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FBF8F">
      <w:pPr>
        <w:spacing w:line="360" w:lineRule="auto"/>
        <w:jc w:val="center"/>
        <w:rPr>
          <w:rFonts w:ascii="宋体" w:hAnsi="宋体" w:cs="宋体"/>
          <w:b/>
          <w:sz w:val="24"/>
        </w:rPr>
      </w:pPr>
    </w:p>
    <w:p w14:paraId="443D1ADA">
      <w:pPr>
        <w:spacing w:line="360" w:lineRule="auto"/>
        <w:jc w:val="center"/>
        <w:rPr>
          <w:rFonts w:ascii="宋体" w:hAnsi="宋体" w:cs="宋体"/>
          <w:b/>
          <w:sz w:val="24"/>
        </w:rPr>
      </w:pPr>
    </w:p>
    <w:p w14:paraId="68D51BDC">
      <w:pPr>
        <w:adjustRightInd/>
        <w:spacing w:line="360" w:lineRule="auto"/>
        <w:jc w:val="center"/>
        <w:rPr>
          <w:rFonts w:ascii="宋体" w:hAnsi="宋体" w:cs="宋体"/>
          <w:b/>
          <w:sz w:val="44"/>
          <w:szCs w:val="44"/>
        </w:rPr>
      </w:pPr>
    </w:p>
    <w:p w14:paraId="29CAC1C9">
      <w:pPr>
        <w:spacing w:line="360" w:lineRule="auto"/>
        <w:jc w:val="center"/>
        <w:rPr>
          <w:rFonts w:ascii="宋体" w:hAnsi="宋体" w:cs="宋体"/>
          <w:b/>
          <w:sz w:val="44"/>
          <w:szCs w:val="44"/>
        </w:rPr>
      </w:pPr>
    </w:p>
    <w:p w14:paraId="48483A30">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桐庐县第二人民医院迁建项目污水处理系统采购项目</w:t>
      </w:r>
    </w:p>
    <w:p w14:paraId="20EFB319">
      <w:pPr>
        <w:adjustRightInd/>
        <w:spacing w:line="360" w:lineRule="auto"/>
        <w:jc w:val="center"/>
        <w:rPr>
          <w:rFonts w:hint="eastAsia" w:ascii="宋体" w:hAnsi="宋体" w:cs="宋体"/>
          <w:sz w:val="48"/>
          <w:szCs w:val="48"/>
        </w:rPr>
      </w:pPr>
    </w:p>
    <w:p w14:paraId="4F665589">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4BC24642">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524679E8">
      <w:pPr>
        <w:snapToGrid w:val="0"/>
        <w:spacing w:line="360" w:lineRule="auto"/>
        <w:jc w:val="center"/>
        <w:rPr>
          <w:rFonts w:hint="default" w:ascii="宋体" w:hAnsi="宋体" w:cs="宋体"/>
          <w:color w:val="FF0000"/>
          <w:sz w:val="30"/>
          <w:szCs w:val="30"/>
          <w:lang w:val="en-US"/>
        </w:rPr>
      </w:pPr>
      <w:r>
        <w:rPr>
          <w:rFonts w:hint="eastAsia" w:ascii="宋体" w:hAnsi="宋体" w:cs="宋体"/>
          <w:sz w:val="30"/>
          <w:szCs w:val="30"/>
        </w:rPr>
        <w:t>编号:</w:t>
      </w:r>
      <w:r>
        <w:rPr>
          <w:rFonts w:hint="eastAsia" w:ascii="宋体" w:hAnsi="宋体" w:cs="宋体"/>
          <w:color w:val="auto"/>
          <w:sz w:val="30"/>
          <w:szCs w:val="30"/>
          <w:lang w:val="en-US" w:eastAsia="zh-CN"/>
        </w:rPr>
        <w:t>ZJTP-2024TLZFCG-06</w:t>
      </w:r>
    </w:p>
    <w:p w14:paraId="5C12471C">
      <w:pPr>
        <w:adjustRightInd/>
        <w:spacing w:line="360" w:lineRule="auto"/>
        <w:rPr>
          <w:rFonts w:ascii="宋体" w:hAnsi="宋体" w:cs="宋体"/>
          <w:sz w:val="28"/>
          <w:szCs w:val="20"/>
        </w:rPr>
      </w:pPr>
    </w:p>
    <w:p w14:paraId="269B3B49">
      <w:pPr>
        <w:spacing w:line="360" w:lineRule="auto"/>
        <w:jc w:val="center"/>
        <w:rPr>
          <w:rFonts w:ascii="宋体" w:hAnsi="宋体" w:cs="宋体"/>
          <w:b/>
          <w:sz w:val="44"/>
          <w:szCs w:val="44"/>
        </w:rPr>
      </w:pPr>
      <w:r>
        <w:rPr>
          <w:rFonts w:hint="eastAsia" w:ascii="宋体" w:hAnsi="宋体" w:cs="宋体"/>
          <w:b/>
          <w:sz w:val="44"/>
          <w:szCs w:val="44"/>
        </w:rPr>
        <w:t xml:space="preserve"> </w:t>
      </w:r>
    </w:p>
    <w:p w14:paraId="1F7CE374">
      <w:pPr>
        <w:spacing w:line="360" w:lineRule="auto"/>
        <w:jc w:val="center"/>
        <w:rPr>
          <w:rFonts w:ascii="宋体" w:hAnsi="宋体" w:cs="宋体"/>
          <w:b/>
          <w:sz w:val="44"/>
          <w:szCs w:val="44"/>
        </w:rPr>
      </w:pPr>
    </w:p>
    <w:p w14:paraId="63C1A339">
      <w:pPr>
        <w:spacing w:line="360" w:lineRule="auto"/>
        <w:jc w:val="center"/>
        <w:rPr>
          <w:rFonts w:ascii="宋体" w:hAnsi="宋体" w:cs="宋体"/>
          <w:sz w:val="24"/>
        </w:rPr>
      </w:pPr>
    </w:p>
    <w:p w14:paraId="431EA3C3">
      <w:pPr>
        <w:spacing w:line="360" w:lineRule="auto"/>
        <w:jc w:val="center"/>
        <w:rPr>
          <w:rFonts w:ascii="宋体" w:hAnsi="宋体" w:cs="宋体"/>
          <w:sz w:val="24"/>
        </w:rPr>
      </w:pPr>
    </w:p>
    <w:p w14:paraId="729C0C18">
      <w:pPr>
        <w:spacing w:line="360" w:lineRule="auto"/>
        <w:rPr>
          <w:rFonts w:ascii="宋体" w:hAnsi="宋体" w:cs="宋体"/>
          <w:sz w:val="32"/>
          <w:szCs w:val="32"/>
        </w:rPr>
      </w:pPr>
    </w:p>
    <w:p w14:paraId="0A5351E8">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桐庐县第二人民医院（杭州市第一人民医院桐庐分院）</w:t>
      </w:r>
    </w:p>
    <w:p w14:paraId="234509EA">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浙江天平投资咨询有限公司</w:t>
      </w:r>
    </w:p>
    <w:p w14:paraId="040EBAED">
      <w:pPr>
        <w:spacing w:line="360" w:lineRule="auto"/>
        <w:jc w:val="center"/>
        <w:rPr>
          <w:rFonts w:ascii="宋体" w:hAnsi="宋体" w:cs="宋体"/>
          <w:sz w:val="24"/>
        </w:rPr>
      </w:pPr>
      <w:r>
        <w:rPr>
          <w:rFonts w:hint="eastAsia" w:ascii="宋体" w:hAnsi="宋体" w:cs="宋体"/>
          <w:bCs/>
          <w:color w:val="FF0000"/>
          <w:sz w:val="32"/>
          <w:szCs w:val="32"/>
        </w:rPr>
        <w:t>二〇二</w:t>
      </w:r>
      <w:r>
        <w:rPr>
          <w:rFonts w:hint="eastAsia" w:ascii="宋体" w:hAnsi="宋体" w:cs="宋体"/>
          <w:bCs/>
          <w:color w:val="FF0000"/>
          <w:sz w:val="32"/>
          <w:szCs w:val="32"/>
          <w:lang w:val="en-US" w:eastAsia="zh-CN"/>
        </w:rPr>
        <w:t>四</w:t>
      </w:r>
      <w:r>
        <w:rPr>
          <w:rFonts w:hint="eastAsia" w:ascii="宋体" w:hAnsi="宋体" w:cs="宋体"/>
          <w:bCs/>
          <w:color w:val="FF0000"/>
          <w:sz w:val="32"/>
          <w:szCs w:val="32"/>
        </w:rPr>
        <w:t>年</w:t>
      </w:r>
      <w:r>
        <w:rPr>
          <w:rFonts w:hint="eastAsia" w:ascii="宋体" w:hAnsi="宋体" w:cs="宋体"/>
          <w:bCs/>
          <w:color w:val="FF0000"/>
          <w:sz w:val="32"/>
          <w:szCs w:val="32"/>
          <w:lang w:eastAsia="zh-CN"/>
        </w:rPr>
        <w:t>八</w:t>
      </w:r>
      <w:r>
        <w:rPr>
          <w:rFonts w:hint="eastAsia" w:ascii="宋体" w:hAnsi="宋体" w:cs="宋体"/>
          <w:bCs/>
          <w:color w:val="FF0000"/>
          <w:sz w:val="32"/>
          <w:szCs w:val="32"/>
        </w:rPr>
        <w:t>月</w:t>
      </w:r>
      <w:r>
        <w:rPr>
          <w:rFonts w:hint="eastAsia" w:ascii="宋体" w:hAnsi="宋体" w:cs="宋体"/>
          <w:sz w:val="24"/>
        </w:rPr>
        <w:br w:type="page"/>
      </w:r>
      <w:bookmarkStart w:id="0" w:name="_Hlt67893495"/>
      <w:bookmarkEnd w:id="0"/>
    </w:p>
    <w:p w14:paraId="6FE202FC">
      <w:pPr>
        <w:spacing w:line="360" w:lineRule="auto"/>
        <w:jc w:val="center"/>
        <w:rPr>
          <w:rFonts w:ascii="宋体" w:hAnsi="宋体" w:cs="宋体"/>
          <w:sz w:val="24"/>
        </w:rPr>
      </w:pPr>
    </w:p>
    <w:p w14:paraId="22347225">
      <w:pPr>
        <w:spacing w:line="360" w:lineRule="auto"/>
        <w:jc w:val="center"/>
        <w:rPr>
          <w:rFonts w:ascii="宋体" w:hAnsi="宋体" w:cs="宋体"/>
          <w:b/>
          <w:sz w:val="48"/>
          <w:szCs w:val="48"/>
        </w:rPr>
      </w:pPr>
      <w:r>
        <w:rPr>
          <w:rFonts w:hint="eastAsia" w:ascii="宋体" w:hAnsi="宋体" w:cs="宋体"/>
          <w:b/>
          <w:sz w:val="48"/>
          <w:szCs w:val="48"/>
        </w:rPr>
        <w:t>目  录</w:t>
      </w:r>
    </w:p>
    <w:p w14:paraId="09422DEE">
      <w:pPr>
        <w:spacing w:line="360" w:lineRule="auto"/>
        <w:rPr>
          <w:rFonts w:ascii="宋体" w:hAnsi="宋体" w:cs="宋体"/>
          <w:sz w:val="32"/>
          <w:szCs w:val="32"/>
        </w:rPr>
      </w:pPr>
    </w:p>
    <w:p w14:paraId="2F8A2C98">
      <w:pPr>
        <w:spacing w:line="360" w:lineRule="auto"/>
        <w:rPr>
          <w:rFonts w:ascii="宋体" w:hAnsi="宋体" w:cs="宋体"/>
          <w:sz w:val="32"/>
          <w:szCs w:val="32"/>
        </w:rPr>
      </w:pPr>
    </w:p>
    <w:p w14:paraId="299FA0A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5905FDF">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4C1E62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70028E7">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A428278">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48E4F7E">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F0B5854">
      <w:pPr>
        <w:spacing w:line="360" w:lineRule="auto"/>
        <w:ind w:firstLine="549" w:firstLineChars="229"/>
        <w:rPr>
          <w:rFonts w:ascii="宋体" w:hAnsi="宋体" w:cs="宋体"/>
          <w:sz w:val="24"/>
        </w:rPr>
      </w:pPr>
      <w:bookmarkStart w:id="1" w:name="_Hlt91233176"/>
      <w:bookmarkEnd w:id="1"/>
      <w:bookmarkStart w:id="2" w:name="_Toc91899869"/>
    </w:p>
    <w:p w14:paraId="3442AD97">
      <w:pPr>
        <w:spacing w:line="360" w:lineRule="auto"/>
        <w:ind w:firstLine="549" w:firstLineChars="229"/>
        <w:rPr>
          <w:rFonts w:ascii="宋体" w:hAnsi="宋体" w:cs="宋体"/>
          <w:sz w:val="24"/>
        </w:rPr>
      </w:pPr>
    </w:p>
    <w:p w14:paraId="42017022">
      <w:pPr>
        <w:spacing w:line="360" w:lineRule="auto"/>
        <w:ind w:firstLine="549" w:firstLineChars="229"/>
        <w:rPr>
          <w:rFonts w:ascii="宋体" w:hAnsi="宋体" w:cs="宋体"/>
          <w:sz w:val="24"/>
        </w:rPr>
      </w:pPr>
    </w:p>
    <w:p w14:paraId="2717FA9E">
      <w:pPr>
        <w:spacing w:line="360" w:lineRule="auto"/>
        <w:ind w:firstLine="549" w:firstLineChars="229"/>
        <w:rPr>
          <w:rFonts w:ascii="宋体" w:hAnsi="宋体" w:cs="宋体"/>
          <w:sz w:val="24"/>
        </w:rPr>
      </w:pPr>
    </w:p>
    <w:p w14:paraId="2D2D09BF">
      <w:pPr>
        <w:spacing w:line="360" w:lineRule="auto"/>
        <w:ind w:firstLine="549" w:firstLineChars="229"/>
        <w:rPr>
          <w:rFonts w:ascii="宋体" w:hAnsi="宋体" w:cs="宋体"/>
          <w:sz w:val="24"/>
        </w:rPr>
      </w:pPr>
    </w:p>
    <w:p w14:paraId="72DD82A2">
      <w:pPr>
        <w:spacing w:line="360" w:lineRule="auto"/>
        <w:ind w:firstLine="549" w:firstLineChars="229"/>
        <w:rPr>
          <w:rFonts w:ascii="宋体" w:hAnsi="宋体" w:cs="宋体"/>
          <w:sz w:val="24"/>
        </w:rPr>
      </w:pPr>
    </w:p>
    <w:p w14:paraId="3A575519">
      <w:pPr>
        <w:spacing w:line="360" w:lineRule="auto"/>
        <w:ind w:firstLine="549" w:firstLineChars="229"/>
        <w:rPr>
          <w:rFonts w:ascii="宋体" w:hAnsi="宋体" w:cs="宋体"/>
          <w:sz w:val="24"/>
        </w:rPr>
      </w:pPr>
    </w:p>
    <w:p w14:paraId="35D0CEB6">
      <w:pPr>
        <w:spacing w:line="360" w:lineRule="auto"/>
        <w:ind w:firstLine="549" w:firstLineChars="229"/>
        <w:rPr>
          <w:rFonts w:ascii="宋体" w:hAnsi="宋体" w:cs="宋体"/>
          <w:sz w:val="24"/>
        </w:rPr>
      </w:pPr>
    </w:p>
    <w:p w14:paraId="3F69A24D">
      <w:pPr>
        <w:spacing w:line="360" w:lineRule="auto"/>
        <w:ind w:firstLine="549" w:firstLineChars="229"/>
        <w:rPr>
          <w:rFonts w:ascii="宋体" w:hAnsi="宋体" w:cs="宋体"/>
          <w:sz w:val="24"/>
        </w:rPr>
      </w:pPr>
    </w:p>
    <w:p w14:paraId="16777FE2">
      <w:pPr>
        <w:spacing w:line="360" w:lineRule="auto"/>
        <w:ind w:firstLine="549" w:firstLineChars="229"/>
        <w:rPr>
          <w:rFonts w:ascii="宋体" w:hAnsi="宋体" w:cs="宋体"/>
          <w:sz w:val="24"/>
        </w:rPr>
      </w:pPr>
    </w:p>
    <w:p w14:paraId="75308A5C">
      <w:pPr>
        <w:spacing w:line="360" w:lineRule="auto"/>
        <w:ind w:firstLine="549" w:firstLineChars="229"/>
        <w:rPr>
          <w:rFonts w:ascii="宋体" w:hAnsi="宋体" w:cs="宋体"/>
          <w:sz w:val="24"/>
        </w:rPr>
      </w:pPr>
    </w:p>
    <w:p w14:paraId="0159BAAA">
      <w:pPr>
        <w:spacing w:line="360" w:lineRule="auto"/>
        <w:ind w:firstLine="549" w:firstLineChars="229"/>
        <w:rPr>
          <w:rFonts w:ascii="宋体" w:hAnsi="宋体" w:cs="宋体"/>
          <w:sz w:val="24"/>
        </w:rPr>
      </w:pPr>
    </w:p>
    <w:p w14:paraId="672EE443">
      <w:pPr>
        <w:spacing w:line="360" w:lineRule="auto"/>
        <w:ind w:firstLine="549" w:firstLineChars="229"/>
        <w:rPr>
          <w:rFonts w:ascii="宋体" w:hAnsi="宋体" w:cs="宋体"/>
          <w:sz w:val="24"/>
        </w:rPr>
      </w:pPr>
    </w:p>
    <w:p w14:paraId="4853C5F3">
      <w:pPr>
        <w:spacing w:line="360" w:lineRule="auto"/>
        <w:rPr>
          <w:rFonts w:ascii="宋体" w:hAnsi="宋体" w:cs="宋体"/>
          <w:sz w:val="24"/>
        </w:rPr>
      </w:pPr>
    </w:p>
    <w:p w14:paraId="4E564132">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BBB9D9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86A3EAE">
      <w:pPr>
        <w:pBdr>
          <w:top w:val="single" w:color="auto" w:sz="4" w:space="1"/>
          <w:left w:val="single" w:color="auto" w:sz="4" w:space="4"/>
          <w:bottom w:val="single" w:color="auto" w:sz="4" w:space="2"/>
          <w:right w:val="single" w:color="auto" w:sz="4" w:space="4"/>
        </w:pBdr>
        <w:spacing w:line="360" w:lineRule="auto"/>
        <w:ind w:firstLine="480" w:firstLineChars="200"/>
        <w:jc w:val="left"/>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桐庐县第二人民医院迁建项目污水处理系统采购项目</w:t>
      </w:r>
      <w:r>
        <w:rPr>
          <w:rFonts w:hint="eastAsia" w:asciiTheme="minorEastAsia" w:hAnsiTheme="minorEastAsia" w:eastAsiaTheme="minorEastAsia"/>
          <w:sz w:val="24"/>
        </w:rPr>
        <w:t>招标项目的潜在投标人应在</w:t>
      </w:r>
      <w:r>
        <w:rPr>
          <w:rFonts w:hint="eastAsia" w:asciiTheme="minorEastAsia" w:hAnsiTheme="minorEastAsia" w:eastAsiaTheme="minorEastAsia"/>
          <w:sz w:val="24"/>
          <w:highlight w:val="none"/>
        </w:rPr>
        <w:t>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cs="Times New Roman" w:asciiTheme="minorEastAsia" w:hAnsiTheme="minorEastAsia" w:eastAsiaTheme="minorEastAsia"/>
          <w:snapToGrid/>
          <w:kern w:val="2"/>
          <w:sz w:val="24"/>
          <w:szCs w:val="24"/>
          <w:highlight w:val="none"/>
        </w:rPr>
        <w:t>https://www.zcygov.cn/）获取（下载）招标文件，并于</w:t>
      </w:r>
      <w:r>
        <w:rPr>
          <w:rStyle w:val="77"/>
          <w:rFonts w:hint="eastAsia" w:cs="Times New Roman" w:asciiTheme="minorEastAsia" w:hAnsiTheme="minorEastAsia" w:eastAsiaTheme="minorEastAsia"/>
          <w:snapToGrid/>
          <w:kern w:val="2"/>
          <w:sz w:val="24"/>
          <w:szCs w:val="24"/>
          <w:highlight w:val="none"/>
          <w:lang w:val="en-US" w:eastAsia="zh-CN"/>
        </w:rPr>
        <w:t>2024</w:t>
      </w:r>
      <w:r>
        <w:rPr>
          <w:rStyle w:val="77"/>
          <w:rFonts w:cs="Times New Roman" w:asciiTheme="minorEastAsia" w:hAnsiTheme="minorEastAsia" w:eastAsiaTheme="minorEastAsia"/>
          <w:snapToGrid/>
          <w:kern w:val="2"/>
          <w:sz w:val="24"/>
          <w:szCs w:val="24"/>
          <w:highlight w:val="none"/>
        </w:rPr>
        <w:t>年</w:t>
      </w:r>
      <w:r>
        <w:rPr>
          <w:rStyle w:val="77"/>
          <w:rFonts w:hint="eastAsia" w:cs="Times New Roman" w:asciiTheme="minorEastAsia" w:hAnsiTheme="minorEastAsia" w:eastAsiaTheme="minorEastAsia"/>
          <w:snapToGrid/>
          <w:kern w:val="2"/>
          <w:sz w:val="24"/>
          <w:szCs w:val="24"/>
          <w:highlight w:val="none"/>
          <w:lang w:val="en-US" w:eastAsia="zh-CN"/>
        </w:rPr>
        <w:t>09</w:t>
      </w:r>
      <w:r>
        <w:rPr>
          <w:rStyle w:val="77"/>
          <w:rFonts w:hint="eastAsia" w:cs="Times New Roman" w:asciiTheme="minorEastAsia" w:hAnsiTheme="minorEastAsia" w:eastAsiaTheme="minorEastAsia"/>
          <w:snapToGrid/>
          <w:kern w:val="2"/>
          <w:sz w:val="24"/>
          <w:szCs w:val="24"/>
          <w:highlight w:val="none"/>
        </w:rPr>
        <w:t>月</w:t>
      </w:r>
      <w:r>
        <w:rPr>
          <w:rStyle w:val="77"/>
          <w:rFonts w:hint="eastAsia" w:cs="Times New Roman" w:asciiTheme="minorEastAsia" w:hAnsiTheme="minorEastAsia" w:eastAsiaTheme="minorEastAsia"/>
          <w:snapToGrid/>
          <w:kern w:val="2"/>
          <w:sz w:val="24"/>
          <w:szCs w:val="24"/>
          <w:highlight w:val="none"/>
          <w:lang w:val="en-US" w:eastAsia="zh-CN"/>
        </w:rPr>
        <w:t>24</w:t>
      </w:r>
      <w:r>
        <w:rPr>
          <w:rStyle w:val="77"/>
          <w:rFonts w:hint="eastAsia" w:cs="Times New Roman" w:asciiTheme="minorEastAsia" w:hAnsiTheme="minorEastAsia" w:eastAsiaTheme="minorEastAsia"/>
          <w:snapToGrid/>
          <w:kern w:val="2"/>
          <w:sz w:val="24"/>
          <w:szCs w:val="24"/>
          <w:highlight w:val="none"/>
        </w:rPr>
        <w:t>日</w:t>
      </w:r>
      <w:r>
        <w:rPr>
          <w:rStyle w:val="77"/>
          <w:rFonts w:hint="eastAsia" w:cs="Times New Roman" w:asciiTheme="minorEastAsia" w:hAnsiTheme="minorEastAsia" w:eastAsiaTheme="minorEastAsia"/>
          <w:snapToGrid/>
          <w:kern w:val="2"/>
          <w:sz w:val="24"/>
          <w:szCs w:val="24"/>
          <w:highlight w:val="none"/>
          <w:lang w:val="en-US" w:eastAsia="zh-CN"/>
        </w:rPr>
        <w:t>09</w:t>
      </w:r>
      <w:r>
        <w:rPr>
          <w:rStyle w:val="77"/>
          <w:rFonts w:hint="eastAsia" w:cs="Times New Roman" w:asciiTheme="minorEastAsia" w:hAnsiTheme="minorEastAsia" w:eastAsiaTheme="minorEastAsia"/>
          <w:snapToGrid/>
          <w:kern w:val="2"/>
          <w:sz w:val="24"/>
          <w:szCs w:val="24"/>
          <w:highlight w:val="none"/>
        </w:rPr>
        <w:t>点</w:t>
      </w:r>
      <w:r>
        <w:rPr>
          <w:rStyle w:val="77"/>
          <w:rFonts w:hint="eastAsia" w:cs="Times New Roman" w:asciiTheme="minorEastAsia" w:hAnsiTheme="minorEastAsia" w:eastAsiaTheme="minorEastAsia"/>
          <w:snapToGrid/>
          <w:kern w:val="2"/>
          <w:sz w:val="24"/>
          <w:szCs w:val="24"/>
          <w:highlight w:val="none"/>
          <w:lang w:val="en-US" w:eastAsia="zh-CN"/>
        </w:rPr>
        <w:t>30</w:t>
      </w:r>
      <w:r>
        <w:rPr>
          <w:rStyle w:val="77"/>
          <w:rFonts w:hint="eastAsia" w:cs="Times New Roman" w:asciiTheme="minorEastAsia" w:hAnsiTheme="minorEastAsia" w:eastAsiaTheme="minorEastAsia"/>
          <w:snapToGrid/>
          <w:kern w:val="2"/>
          <w:sz w:val="24"/>
          <w:szCs w:val="24"/>
          <w:highlight w:val="none"/>
        </w:rPr>
        <w:t>分</w:t>
      </w:r>
      <w:r>
        <w:rPr>
          <w:rStyle w:val="77"/>
          <w:rFonts w:hint="eastAsia" w:cs="Times New Roman" w:asciiTheme="minorEastAsia" w:hAnsiTheme="minorEastAsia" w:eastAsiaTheme="minorEastAsia"/>
          <w:bCs/>
          <w:snapToGrid/>
          <w:kern w:val="2"/>
          <w:sz w:val="24"/>
          <w:szCs w:val="24"/>
          <w:highlight w:val="none"/>
        </w:rPr>
        <w:t>00秒</w:t>
      </w:r>
      <w:r>
        <w:rPr>
          <w:rStyle w:val="77"/>
          <w:rFonts w:hint="eastAsia" w:cs="Times New Roman" w:asciiTheme="minorEastAsia" w:hAnsiTheme="minorEastAsia" w:eastAsiaTheme="minorEastAsia"/>
          <w:bCs/>
          <w:snapToGrid/>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w:t>
      </w:r>
      <w:r>
        <w:rPr>
          <w:rFonts w:hint="eastAsia" w:asciiTheme="minorEastAsia" w:hAnsiTheme="minorEastAsia" w:eastAsiaTheme="minorEastAsia"/>
          <w:sz w:val="24"/>
        </w:rPr>
        <w:t>标文件。</w:t>
      </w:r>
    </w:p>
    <w:p w14:paraId="26AB5B50">
      <w:pPr>
        <w:spacing w:line="360" w:lineRule="auto"/>
        <w:rPr>
          <w:rFonts w:ascii="宋体" w:hAnsi="宋体" w:cs="宋体"/>
          <w:b/>
          <w:sz w:val="24"/>
        </w:rPr>
      </w:pPr>
      <w:r>
        <w:rPr>
          <w:rFonts w:hint="eastAsia" w:ascii="宋体" w:hAnsi="宋体" w:cs="宋体"/>
          <w:b/>
          <w:sz w:val="24"/>
        </w:rPr>
        <w:t xml:space="preserve">一、项目基本情况                                            </w:t>
      </w:r>
    </w:p>
    <w:p w14:paraId="3CE1C5BA">
      <w:pPr>
        <w:spacing w:line="360" w:lineRule="auto"/>
        <w:rPr>
          <w:rFonts w:hint="eastAsia"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val="0"/>
          <w:bCs/>
          <w:sz w:val="24"/>
          <w:lang w:eastAsia="zh-CN"/>
        </w:rPr>
        <w:t>ZJTP-2024TLZFCG-06</w:t>
      </w:r>
    </w:p>
    <w:p w14:paraId="1A20DC67">
      <w:pPr>
        <w:spacing w:line="360" w:lineRule="auto"/>
        <w:ind w:firstLine="480"/>
        <w:rPr>
          <w:rFonts w:hint="eastAsia" w:ascii="宋体" w:hAnsi="宋体" w:cs="宋体"/>
          <w:b w:val="0"/>
          <w:bCs/>
          <w:sz w:val="24"/>
          <w:lang w:eastAsia="zh-CN"/>
        </w:rPr>
      </w:pPr>
      <w:r>
        <w:rPr>
          <w:rFonts w:hint="eastAsia" w:ascii="宋体" w:hAnsi="宋体" w:cs="宋体"/>
          <w:b/>
          <w:sz w:val="24"/>
        </w:rPr>
        <w:t>项目名称：</w:t>
      </w:r>
      <w:r>
        <w:rPr>
          <w:rFonts w:hint="eastAsia" w:ascii="宋体" w:hAnsi="宋体" w:cs="宋体"/>
          <w:b w:val="0"/>
          <w:bCs/>
          <w:sz w:val="24"/>
          <w:lang w:eastAsia="zh-CN"/>
        </w:rPr>
        <w:t>桐庐县第二人民医院迁建项目污水处理系统采购项目</w:t>
      </w:r>
    </w:p>
    <w:p w14:paraId="6CE0CA5E">
      <w:pPr>
        <w:spacing w:line="360" w:lineRule="auto"/>
        <w:ind w:firstLine="480"/>
        <w:rPr>
          <w:rFonts w:hint="default" w:ascii="宋体" w:hAnsi="宋体" w:cs="宋体"/>
          <w:b w:val="0"/>
          <w:bCs/>
          <w:sz w:val="24"/>
          <w:lang w:val="en-US" w:eastAsia="zh-CN"/>
        </w:rPr>
      </w:pPr>
      <w:r>
        <w:rPr>
          <w:rFonts w:hint="eastAsia" w:ascii="宋体" w:hAnsi="宋体" w:cs="宋体"/>
          <w:b/>
          <w:sz w:val="24"/>
        </w:rPr>
        <w:t>预算金额（元）：</w:t>
      </w:r>
      <w:r>
        <w:rPr>
          <w:rFonts w:hint="eastAsia" w:ascii="宋体" w:hAnsi="宋体" w:cs="宋体"/>
          <w:color w:val="0000FF"/>
          <w:sz w:val="24"/>
        </w:rPr>
        <w:t xml:space="preserve"> </w:t>
      </w:r>
      <w:r>
        <w:rPr>
          <w:rFonts w:hint="eastAsia" w:ascii="宋体" w:hAnsi="宋体" w:cs="宋体"/>
          <w:b w:val="0"/>
          <w:bCs/>
          <w:sz w:val="24"/>
          <w:lang w:val="en-US" w:eastAsia="zh-CN"/>
        </w:rPr>
        <w:t>1600000元</w:t>
      </w:r>
    </w:p>
    <w:p w14:paraId="15472CE3">
      <w:pPr>
        <w:spacing w:line="360" w:lineRule="auto"/>
        <w:ind w:firstLine="480"/>
        <w:rPr>
          <w:rFonts w:ascii="宋体" w:hAnsi="宋体" w:cs="宋体"/>
          <w:color w:val="0000FF"/>
          <w:sz w:val="24"/>
          <w:highlight w:val="none"/>
        </w:rPr>
      </w:pPr>
      <w:r>
        <w:rPr>
          <w:rFonts w:hint="eastAsia" w:ascii="宋体" w:hAnsi="宋体" w:cs="宋体"/>
          <w:b/>
          <w:sz w:val="24"/>
          <w:highlight w:val="none"/>
        </w:rPr>
        <w:t>最高限价（元）：</w:t>
      </w:r>
      <w:r>
        <w:rPr>
          <w:rFonts w:hint="eastAsia" w:ascii="宋体" w:hAnsi="宋体" w:cs="宋体"/>
          <w:color w:val="0000FF"/>
          <w:sz w:val="24"/>
          <w:highlight w:val="none"/>
        </w:rPr>
        <w:t xml:space="preserve"> </w:t>
      </w:r>
      <w:r>
        <w:rPr>
          <w:rFonts w:hint="eastAsia" w:ascii="宋体" w:hAnsi="宋体" w:cs="宋体"/>
          <w:b w:val="0"/>
          <w:bCs/>
          <w:sz w:val="24"/>
          <w:highlight w:val="none"/>
          <w:lang w:val="en-US" w:eastAsia="zh-CN"/>
        </w:rPr>
        <w:t>1600000元</w:t>
      </w:r>
    </w:p>
    <w:p w14:paraId="67954BB6">
      <w:pPr>
        <w:pStyle w:val="16"/>
        <w:spacing w:line="360" w:lineRule="auto"/>
        <w:ind w:firstLine="480"/>
        <w:rPr>
          <w:rFonts w:hAnsi="宋体" w:cs="宋体"/>
          <w:bCs/>
          <w:snapToGrid/>
          <w:color w:val="auto"/>
          <w:kern w:val="2"/>
          <w:sz w:val="24"/>
          <w:szCs w:val="24"/>
        </w:rPr>
      </w:pPr>
      <w:r>
        <w:rPr>
          <w:rFonts w:hint="eastAsia" w:hAnsi="宋体" w:cs="宋体"/>
          <w:b/>
          <w:color w:val="auto"/>
          <w:sz w:val="24"/>
        </w:rPr>
        <w:t>采购需求：污水处理系统采购</w:t>
      </w:r>
      <w:r>
        <w:rPr>
          <w:rFonts w:hint="eastAsia" w:hAnsi="宋体" w:cs="宋体"/>
          <w:b w:val="0"/>
          <w:bCs/>
          <w:color w:val="auto"/>
          <w:sz w:val="24"/>
        </w:rPr>
        <w:t>，具体详见采购需求。</w:t>
      </w:r>
    </w:p>
    <w:p w14:paraId="17E86E7D">
      <w:pPr>
        <w:pStyle w:val="16"/>
        <w:spacing w:line="360" w:lineRule="auto"/>
        <w:ind w:firstLine="480"/>
        <w:rPr>
          <w:rFonts w:hint="eastAsia" w:hAnsi="宋体" w:eastAsia="宋体" w:cs="宋体"/>
          <w:b/>
          <w:color w:val="auto"/>
          <w:sz w:val="24"/>
          <w:lang w:eastAsia="zh-CN"/>
        </w:rPr>
      </w:pPr>
      <w:r>
        <w:rPr>
          <w:rFonts w:hint="eastAsia" w:hAnsi="宋体" w:cs="宋体"/>
          <w:b/>
          <w:color w:val="auto"/>
          <w:sz w:val="24"/>
        </w:rPr>
        <w:t>合同履约期限：</w:t>
      </w:r>
      <w:r>
        <w:rPr>
          <w:rFonts w:hint="eastAsia" w:hAnsi="宋体" w:cs="宋体"/>
          <w:b/>
          <w:color w:val="auto"/>
          <w:sz w:val="24"/>
          <w:lang w:eastAsia="zh-CN"/>
        </w:rPr>
        <w:t>本项目要求在签订合同后150天内完成供货安装及验收。</w:t>
      </w:r>
    </w:p>
    <w:p w14:paraId="7863A75F">
      <w:pPr>
        <w:pStyle w:val="1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3384AB39">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30CF2A3B">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A454319">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4B65C756">
      <w:pPr>
        <w:spacing w:line="360" w:lineRule="auto"/>
        <w:ind w:firstLine="480" w:firstLineChars="200"/>
        <w:rPr>
          <w:rFonts w:hint="eastAsia" w:ascii="宋体" w:hAnsi="宋体" w:eastAsia="宋体" w:cs="宋体"/>
          <w:snapToGrid w:val="0"/>
          <w:kern w:val="28"/>
          <w:sz w:val="24"/>
          <w:szCs w:val="20"/>
          <w:lang w:eastAsia="zh-CN"/>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snapToGrid w:val="0"/>
          <w:kern w:val="28"/>
          <w:sz w:val="24"/>
          <w:szCs w:val="20"/>
          <w:lang w:eastAsia="zh-CN"/>
        </w:rPr>
        <w:t>：无；</w:t>
      </w:r>
    </w:p>
    <w:p w14:paraId="44FC46D3">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z w:val="24"/>
        </w:rPr>
        <w:t>无；</w:t>
      </w:r>
    </w:p>
    <w:p w14:paraId="3512197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B89060">
      <w:pPr>
        <w:spacing w:line="360" w:lineRule="auto"/>
        <w:rPr>
          <w:rFonts w:ascii="宋体" w:hAnsi="宋体" w:cs="宋体"/>
          <w:b/>
          <w:sz w:val="24"/>
        </w:rPr>
      </w:pPr>
      <w:r>
        <w:rPr>
          <w:rFonts w:hint="eastAsia" w:ascii="宋体" w:hAnsi="宋体" w:cs="宋体"/>
          <w:b/>
          <w:sz w:val="24"/>
        </w:rPr>
        <w:t xml:space="preserve">三、获取招标文件 </w:t>
      </w:r>
    </w:p>
    <w:p w14:paraId="383351CD">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b/>
          <w:sz w:val="24"/>
          <w:highlight w:val="none"/>
        </w:rPr>
        <w:t>提交投标文件截止时间</w:t>
      </w:r>
      <w:r>
        <w:rPr>
          <w:rFonts w:hint="eastAsia" w:ascii="宋体" w:hAnsi="宋体" w:cs="宋体"/>
          <w:sz w:val="24"/>
        </w:rPr>
        <w:t>，每天上午00:00至12:00 ，下午12:00至23:59（北京时间，线上获取法定节假日均可，线下获取文件法定节假日除外）</w:t>
      </w:r>
    </w:p>
    <w:p w14:paraId="40FEF307">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4758642">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4A1E30A">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9B4CE26">
      <w:pPr>
        <w:spacing w:line="360" w:lineRule="auto"/>
        <w:rPr>
          <w:rFonts w:ascii="宋体" w:hAnsi="宋体" w:cs="宋体"/>
          <w:b/>
          <w:sz w:val="24"/>
        </w:rPr>
      </w:pPr>
      <w:r>
        <w:rPr>
          <w:rFonts w:hint="eastAsia" w:ascii="宋体" w:hAnsi="宋体" w:cs="宋体"/>
          <w:b/>
          <w:sz w:val="24"/>
        </w:rPr>
        <w:t>四、提交投标文件截止时间、开标时间和地点</w:t>
      </w:r>
    </w:p>
    <w:p w14:paraId="7A3321F4">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b w:val="0"/>
          <w:bCs/>
          <w:sz w:val="24"/>
          <w:highlight w:val="none"/>
          <w:u w:val="single"/>
          <w:lang w:eastAsia="zh-CN"/>
        </w:rPr>
        <w:t>2024年09月24日09点30分00秒</w:t>
      </w:r>
      <w:r>
        <w:rPr>
          <w:rFonts w:hint="eastAsia" w:ascii="宋体" w:hAnsi="宋体" w:cs="宋体"/>
          <w:sz w:val="24"/>
          <w:highlight w:val="none"/>
        </w:rPr>
        <w:t>（北京时间）</w:t>
      </w:r>
    </w:p>
    <w:p w14:paraId="7F050DC4">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2A61EC45">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Style w:val="77"/>
          <w:rFonts w:hint="eastAsia" w:cs="Times New Roman" w:asciiTheme="minorEastAsia" w:hAnsiTheme="minorEastAsia" w:eastAsiaTheme="minorEastAsia"/>
          <w:snapToGrid/>
          <w:kern w:val="2"/>
          <w:sz w:val="24"/>
          <w:szCs w:val="24"/>
          <w:highlight w:val="none"/>
          <w:u w:val="single"/>
          <w:lang w:val="en-US" w:eastAsia="zh-CN"/>
        </w:rPr>
        <w:t>2024年09月24日09点30分00秒</w:t>
      </w:r>
    </w:p>
    <w:p w14:paraId="608B5686">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A76A8ED">
      <w:pPr>
        <w:spacing w:line="360" w:lineRule="auto"/>
        <w:rPr>
          <w:rFonts w:ascii="宋体" w:hAnsi="宋体" w:cs="宋体"/>
          <w:sz w:val="24"/>
        </w:rPr>
      </w:pPr>
      <w:r>
        <w:rPr>
          <w:rFonts w:hint="eastAsia" w:ascii="宋体" w:hAnsi="宋体" w:cs="宋体"/>
          <w:b/>
          <w:sz w:val="24"/>
        </w:rPr>
        <w:t xml:space="preserve">五、公告期限 </w:t>
      </w:r>
    </w:p>
    <w:p w14:paraId="6D668D8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DEE8AF9">
      <w:pPr>
        <w:spacing w:line="360" w:lineRule="auto"/>
        <w:rPr>
          <w:rFonts w:ascii="宋体" w:hAnsi="宋体" w:cs="宋体"/>
          <w:b/>
          <w:sz w:val="24"/>
        </w:rPr>
      </w:pPr>
      <w:r>
        <w:rPr>
          <w:rFonts w:hint="eastAsia" w:ascii="宋体" w:hAnsi="宋体" w:cs="宋体"/>
          <w:b/>
          <w:sz w:val="24"/>
        </w:rPr>
        <w:t>六、其他补充事宜</w:t>
      </w:r>
    </w:p>
    <w:p w14:paraId="1E73E7EF">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67FB3CF">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531497">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21707D">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E2E7ED4">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3CD9F5C">
      <w:pPr>
        <w:spacing w:line="360"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1.采购人信息</w:t>
      </w:r>
    </w:p>
    <w:p w14:paraId="2FFB0DDD">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rPr>
        <w:t>名    称：</w:t>
      </w:r>
      <w:r>
        <w:rPr>
          <w:rFonts w:hint="eastAsia" w:ascii="宋体" w:hAnsi="宋体" w:cs="宋体"/>
          <w:b w:val="0"/>
          <w:bCs/>
          <w:kern w:val="0"/>
          <w:sz w:val="24"/>
          <w:szCs w:val="22"/>
          <w:highlight w:val="none"/>
          <w:lang w:val="en-US" w:eastAsia="zh-CN"/>
        </w:rPr>
        <w:t>桐庐县第二人民医院</w:t>
      </w:r>
      <w:r>
        <w:rPr>
          <w:rFonts w:hint="eastAsia" w:ascii="宋体" w:hAnsi="宋体" w:eastAsia="宋体" w:cs="宋体"/>
          <w:sz w:val="24"/>
          <w:szCs w:val="24"/>
        </w:rPr>
        <w:t>（杭州市第一人民医院桐庐分院）</w:t>
      </w:r>
    </w:p>
    <w:p w14:paraId="2D606792">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b w:val="0"/>
          <w:bCs/>
          <w:kern w:val="0"/>
          <w:sz w:val="24"/>
          <w:szCs w:val="22"/>
          <w:highlight w:val="none"/>
          <w:lang w:val="en-US" w:eastAsia="zh-CN"/>
        </w:rPr>
        <w:t>杭州市桐庐县分水镇新淳路96号</w:t>
      </w:r>
    </w:p>
    <w:p w14:paraId="0B2C5E96">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b w:val="0"/>
          <w:bCs/>
          <w:kern w:val="0"/>
          <w:sz w:val="24"/>
          <w:szCs w:val="22"/>
          <w:highlight w:val="none"/>
          <w:lang w:val="en-US" w:eastAsia="zh-CN"/>
        </w:rPr>
        <w:t>胡飞翔</w:t>
      </w:r>
    </w:p>
    <w:p w14:paraId="6FD0D894">
      <w:pPr>
        <w:spacing w:line="360" w:lineRule="auto"/>
        <w:ind w:firstLine="480"/>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b w:val="0"/>
          <w:bCs/>
          <w:kern w:val="0"/>
          <w:sz w:val="24"/>
          <w:szCs w:val="22"/>
          <w:highlight w:val="none"/>
          <w:lang w:val="en-US" w:eastAsia="zh-CN"/>
        </w:rPr>
        <w:t>13305714393</w:t>
      </w:r>
    </w:p>
    <w:p w14:paraId="6F7B8A1F">
      <w:pPr>
        <w:spacing w:line="360" w:lineRule="auto"/>
        <w:rPr>
          <w:rFonts w:ascii="宋体" w:hAnsi="宋体" w:cs="宋体"/>
          <w:sz w:val="24"/>
        </w:rPr>
      </w:pPr>
      <w:r>
        <w:rPr>
          <w:rFonts w:hint="eastAsia" w:ascii="宋体" w:hAnsi="宋体" w:cs="宋体"/>
          <w:sz w:val="24"/>
        </w:rPr>
        <w:t xml:space="preserve">   </w:t>
      </w:r>
      <w:bookmarkStart w:id="12" w:name="_Toc28359098"/>
      <w:bookmarkStart w:id="13" w:name="_Toc35393808"/>
      <w:bookmarkStart w:id="14" w:name="_Toc28359021"/>
      <w:bookmarkStart w:id="15" w:name="_Toc35393639"/>
      <w:r>
        <w:rPr>
          <w:rFonts w:hint="eastAsia" w:ascii="宋体" w:hAnsi="宋体" w:eastAsia="宋体" w:cs="宋体"/>
          <w:b/>
          <w:bCs/>
          <w:sz w:val="24"/>
        </w:rPr>
        <w:t xml:space="preserve"> </w:t>
      </w:r>
      <w:r>
        <w:rPr>
          <w:rFonts w:hint="eastAsia" w:ascii="宋体" w:hAnsi="宋体" w:cs="宋体"/>
          <w:sz w:val="24"/>
        </w:rPr>
        <w:t>质疑联系人：</w:t>
      </w:r>
      <w:r>
        <w:rPr>
          <w:rFonts w:hint="eastAsia" w:ascii="宋体" w:hAnsi="宋体" w:cs="宋体"/>
          <w:sz w:val="24"/>
          <w:lang w:val="en-US" w:eastAsia="zh-CN"/>
        </w:rPr>
        <w:t>王建良</w:t>
      </w:r>
      <w:r>
        <w:rPr>
          <w:rFonts w:hint="eastAsia" w:ascii="宋体" w:hAnsi="宋体" w:cs="宋体"/>
          <w:sz w:val="24"/>
        </w:rPr>
        <w:t xml:space="preserve"> </w:t>
      </w:r>
    </w:p>
    <w:p w14:paraId="1677A9D9">
      <w:pPr>
        <w:spacing w:line="360" w:lineRule="auto"/>
        <w:rPr>
          <w:rFonts w:hint="eastAsia" w:ascii="宋体" w:hAnsi="宋体" w:eastAsia="宋体" w:cs="宋体"/>
          <w:b/>
          <w:bCs/>
          <w:sz w:val="24"/>
        </w:rPr>
      </w:pPr>
      <w:r>
        <w:rPr>
          <w:rFonts w:hint="eastAsia" w:ascii="宋体" w:hAnsi="宋体" w:cs="宋体"/>
          <w:sz w:val="24"/>
        </w:rPr>
        <w:t xml:space="preserve">    质疑联系方式：</w:t>
      </w:r>
      <w:r>
        <w:rPr>
          <w:rFonts w:hint="eastAsia" w:ascii="宋体" w:hAnsi="宋体" w:eastAsia="宋体" w:cs="宋体"/>
          <w:sz w:val="24"/>
          <w:lang w:eastAsia="zh-CN"/>
        </w:rPr>
        <w:t>18069776278</w:t>
      </w:r>
    </w:p>
    <w:p w14:paraId="46CB97AD">
      <w:pPr>
        <w:spacing w:line="360" w:lineRule="auto"/>
        <w:rPr>
          <w:rFonts w:ascii="宋体" w:hAnsi="宋体" w:cs="宋体"/>
          <w:sz w:val="24"/>
        </w:rPr>
      </w:pPr>
      <w:r>
        <w:rPr>
          <w:rFonts w:hint="eastAsia" w:ascii="宋体" w:hAnsi="宋体" w:eastAsia="宋体" w:cs="宋体"/>
          <w:b/>
          <w:bCs/>
          <w:sz w:val="24"/>
        </w:rPr>
        <w:t xml:space="preserve">2.采购代理机构信息  </w:t>
      </w:r>
      <w:r>
        <w:rPr>
          <w:rFonts w:hint="eastAsia" w:ascii="宋体" w:hAnsi="宋体" w:cs="宋体"/>
          <w:sz w:val="24"/>
        </w:rPr>
        <w:t xml:space="preserve">          </w:t>
      </w:r>
    </w:p>
    <w:p w14:paraId="78B179C3">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浙江天平投资咨询有限公司</w:t>
      </w:r>
    </w:p>
    <w:p w14:paraId="2471F669">
      <w:pPr>
        <w:spacing w:line="360" w:lineRule="auto"/>
        <w:ind w:firstLine="48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桐庐县城南街道白云源路1018号中艺大厦8楼</w:t>
      </w:r>
    </w:p>
    <w:p w14:paraId="0A3B3D6C">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顾勤飞</w:t>
      </w:r>
      <w:r>
        <w:rPr>
          <w:rFonts w:hint="eastAsia" w:ascii="宋体" w:hAnsi="宋体" w:cs="宋体"/>
          <w:sz w:val="24"/>
        </w:rPr>
        <w:t xml:space="preserve"> </w:t>
      </w:r>
    </w:p>
    <w:p w14:paraId="3A4CA995">
      <w:pPr>
        <w:spacing w:line="360" w:lineRule="auto"/>
        <w:rPr>
          <w:rFonts w:hint="eastAsia" w:ascii="宋体" w:hAnsi="宋体" w:eastAsia="宋体" w:cs="宋体"/>
          <w:sz w:val="24"/>
          <w:lang w:eastAsia="zh-CN"/>
        </w:rPr>
      </w:pPr>
      <w:r>
        <w:rPr>
          <w:rFonts w:hint="eastAsia" w:ascii="宋体" w:hAnsi="宋体" w:cs="宋体"/>
          <w:sz w:val="24"/>
        </w:rPr>
        <w:t xml:space="preserve">    项目联系方式（询问）：</w:t>
      </w:r>
      <w:r>
        <w:rPr>
          <w:rFonts w:hint="eastAsia" w:ascii="宋体" w:hAnsi="宋体" w:cs="宋体"/>
          <w:sz w:val="24"/>
          <w:lang w:eastAsia="zh-CN"/>
        </w:rPr>
        <w:t>13735843982</w:t>
      </w:r>
    </w:p>
    <w:p w14:paraId="6C456DD3">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包炉海</w:t>
      </w:r>
      <w:r>
        <w:rPr>
          <w:rFonts w:hint="eastAsia" w:ascii="宋体" w:hAnsi="宋体" w:cs="宋体"/>
          <w:sz w:val="24"/>
        </w:rPr>
        <w:t xml:space="preserve"> </w:t>
      </w:r>
    </w:p>
    <w:p w14:paraId="3E82C494">
      <w:pPr>
        <w:spacing w:line="360" w:lineRule="auto"/>
        <w:rPr>
          <w:rFonts w:hint="eastAsia" w:ascii="宋体" w:hAnsi="宋体" w:eastAsia="宋体" w:cs="宋体"/>
          <w:sz w:val="24"/>
          <w:lang w:eastAsia="zh-CN"/>
        </w:rPr>
      </w:pPr>
      <w:r>
        <w:rPr>
          <w:rFonts w:hint="eastAsia" w:ascii="宋体" w:hAnsi="宋体" w:cs="宋体"/>
          <w:sz w:val="24"/>
        </w:rPr>
        <w:t xml:space="preserve">    质疑联系方式：</w:t>
      </w:r>
      <w:r>
        <w:rPr>
          <w:rFonts w:hint="eastAsia" w:ascii="宋体" w:hAnsi="宋体" w:eastAsia="宋体" w:cs="宋体"/>
          <w:sz w:val="24"/>
          <w:lang w:eastAsia="zh-CN"/>
        </w:rPr>
        <w:t>15267016868</w:t>
      </w:r>
    </w:p>
    <w:bookmarkEnd w:id="12"/>
    <w:bookmarkEnd w:id="13"/>
    <w:bookmarkEnd w:id="14"/>
    <w:bookmarkEnd w:id="15"/>
    <w:p w14:paraId="12FC03F3">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p w14:paraId="29970EF1">
      <w:pPr>
        <w:spacing w:line="360" w:lineRule="auto"/>
        <w:ind w:firstLine="480"/>
        <w:rPr>
          <w:rFonts w:hint="eastAsia" w:ascii="宋体" w:hAnsi="宋体" w:cs="宋体"/>
          <w:sz w:val="24"/>
          <w:lang w:val="en-US" w:eastAsia="zh-CN"/>
        </w:rPr>
      </w:pPr>
      <w:r>
        <w:rPr>
          <w:rFonts w:hint="eastAsia" w:ascii="宋体" w:hAnsi="宋体" w:cs="宋体"/>
          <w:sz w:val="24"/>
        </w:rPr>
        <w:t>名    称：</w:t>
      </w:r>
      <w:r>
        <w:rPr>
          <w:rFonts w:hint="eastAsia" w:ascii="宋体" w:hAnsi="宋体" w:eastAsia="宋体" w:cs="宋体"/>
          <w:sz w:val="24"/>
        </w:rPr>
        <w:t>桐庐县财政局</w:t>
      </w:r>
      <w:r>
        <w:rPr>
          <w:rFonts w:hint="eastAsia" w:ascii="宋体" w:hAnsi="宋体" w:cs="宋体"/>
          <w:color w:val="auto"/>
          <w:sz w:val="24"/>
          <w:lang w:val="en-US" w:eastAsia="zh-CN"/>
        </w:rPr>
        <w:t>/</w:t>
      </w:r>
      <w:r>
        <w:rPr>
          <w:rFonts w:hint="eastAsia" w:ascii="宋体" w:hAnsi="宋体" w:eastAsia="宋体" w:cs="宋体"/>
          <w:sz w:val="24"/>
        </w:rPr>
        <w:t>浙江省政府采购行政裁决服务中心（杭州）</w:t>
      </w:r>
    </w:p>
    <w:p w14:paraId="3E5D9E29">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eastAsia="宋体" w:cs="宋体"/>
          <w:sz w:val="24"/>
        </w:rPr>
        <w:t>杭州市上城区四季青街道新业路市民之家G03办公室（快递仅限ems或顺丰）</w:t>
      </w:r>
    </w:p>
    <w:p w14:paraId="593602E5">
      <w:pPr>
        <w:spacing w:line="360" w:lineRule="auto"/>
        <w:rPr>
          <w:rFonts w:hint="eastAsia" w:ascii="宋体" w:hAnsi="宋体" w:eastAsia="宋体" w:cs="宋体"/>
          <w:color w:val="auto"/>
          <w:sz w:val="24"/>
          <w:lang w:val="en-US" w:eastAsia="zh-CN"/>
        </w:rPr>
      </w:pPr>
      <w:r>
        <w:rPr>
          <w:rFonts w:hint="eastAsia" w:ascii="宋体" w:hAnsi="宋体" w:cs="宋体"/>
          <w:sz w:val="24"/>
        </w:rPr>
        <w:t xml:space="preserve">   </w:t>
      </w:r>
      <w:r>
        <w:rPr>
          <w:rFonts w:hint="eastAsia" w:ascii="宋体" w:hAnsi="宋体" w:cs="宋体"/>
          <w:color w:val="auto"/>
          <w:sz w:val="24"/>
        </w:rPr>
        <w:t xml:space="preserve"> 联系人 ：</w:t>
      </w:r>
      <w:r>
        <w:rPr>
          <w:rFonts w:hint="eastAsia" w:ascii="宋体" w:hAnsi="宋体" w:eastAsia="宋体" w:cs="宋体"/>
          <w:sz w:val="24"/>
          <w:lang w:val="en-US" w:eastAsia="zh-CN"/>
        </w:rPr>
        <w:t>朱女士、王女士</w:t>
      </w:r>
    </w:p>
    <w:p w14:paraId="12E28912">
      <w:pPr>
        <w:spacing w:line="360" w:lineRule="auto"/>
        <w:ind w:firstLine="480"/>
        <w:rPr>
          <w:rFonts w:ascii="宋体" w:hAnsi="宋体" w:cs="宋体"/>
          <w:sz w:val="24"/>
        </w:rPr>
      </w:pPr>
      <w:r>
        <w:rPr>
          <w:rFonts w:hint="eastAsia" w:ascii="宋体" w:hAnsi="宋体" w:cs="宋体"/>
          <w:color w:val="auto"/>
          <w:sz w:val="24"/>
        </w:rPr>
        <w:t>监督投诉电话：</w:t>
      </w:r>
      <w:r>
        <w:rPr>
          <w:rFonts w:hint="eastAsia" w:ascii="宋体" w:hAnsi="宋体" w:eastAsia="宋体" w:cs="宋体"/>
          <w:sz w:val="24"/>
        </w:rPr>
        <w:t>0571-85252453</w:t>
      </w:r>
      <w:r>
        <w:rPr>
          <w:rFonts w:hint="eastAsia" w:ascii="宋体" w:hAnsi="宋体" w:cs="宋体"/>
          <w:color w:val="FF0000"/>
          <w:sz w:val="24"/>
        </w:rPr>
        <w:t xml:space="preserve"> </w:t>
      </w:r>
      <w:r>
        <w:rPr>
          <w:rFonts w:hint="eastAsia" w:ascii="宋体" w:hAnsi="宋体" w:cs="宋体"/>
          <w:sz w:val="24"/>
        </w:rPr>
        <w:t xml:space="preserve">   </w:t>
      </w:r>
    </w:p>
    <w:p w14:paraId="46B8B6C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61144705">
      <w:pPr>
        <w:spacing w:line="360" w:lineRule="auto"/>
        <w:ind w:firstLine="480" w:firstLineChars="200"/>
        <w:rPr>
          <w:rFonts w:ascii="宋体" w:hAnsi="宋体" w:cs="宋体"/>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7FB79BBC">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362D8C8A">
      <w:pPr>
        <w:pStyle w:val="3"/>
        <w:rPr>
          <w:rFonts w:ascii="宋体"/>
          <w:snapToGrid w:val="0"/>
        </w:rPr>
      </w:pPr>
      <w:r>
        <w:br w:type="page"/>
      </w:r>
    </w:p>
    <w:p w14:paraId="5B736919">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FF2A2E8">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5F00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35DC78">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B8EAB08">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A5C8CF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3031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189F59">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35102E8">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79D6C8D">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sz w:val="24"/>
                <w:highlight w:val="none"/>
              </w:rPr>
            </w:pPr>
            <w:r>
              <w:rPr>
                <w:rFonts w:hint="eastAsia" w:ascii="宋体" w:hAnsi="宋体" w:cs="宋体"/>
                <w:sz w:val="24"/>
                <w:highlight w:val="none"/>
              </w:rPr>
              <w:t>货物类</w:t>
            </w: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水泵、鼓风机、</w:t>
            </w:r>
            <w:r>
              <w:rPr>
                <w:rFonts w:hint="eastAsia" w:ascii="宋体" w:hAnsi="宋体" w:eastAsia="宋体" w:cs="宋体"/>
                <w:color w:val="auto"/>
                <w:kern w:val="0"/>
                <w:sz w:val="24"/>
                <w:highlight w:val="none"/>
                <w:u w:val="single"/>
                <w:lang w:val="en-US" w:eastAsia="zh-CN"/>
              </w:rPr>
              <w:t>生物滤池废气处理装置内的玻璃钢离心风机、次氯酸钠投加装置</w:t>
            </w:r>
            <w:r>
              <w:rPr>
                <w:rFonts w:hint="eastAsia" w:ascii="宋体" w:hAnsi="宋体" w:cs="宋体"/>
                <w:color w:val="auto"/>
                <w:sz w:val="24"/>
                <w:highlight w:val="none"/>
                <w:u w:val="single"/>
              </w:rPr>
              <w:t>。</w:t>
            </w:r>
          </w:p>
        </w:tc>
      </w:tr>
      <w:tr w14:paraId="2F60E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B676AB">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889842F">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4DD4A61">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《关于印发中小企业划型标准规定的通知》（工信部联企业〔2011〕300号）规定的划分标准。</w:t>
            </w:r>
          </w:p>
          <w:p w14:paraId="704F93C6">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0000FF"/>
                <w:kern w:val="0"/>
                <w:sz w:val="24"/>
                <w:szCs w:val="24"/>
                <w:highlight w:val="none"/>
              </w:rPr>
            </w:pPr>
            <w:r>
              <w:rPr>
                <w:rFonts w:hint="eastAsia" w:asciiTheme="minorEastAsia" w:hAnsiTheme="minorEastAsia" w:eastAsiaTheme="minorEastAsia" w:cstheme="minorEastAsia"/>
                <w:color w:val="0000FF"/>
                <w:kern w:val="0"/>
                <w:sz w:val="24"/>
                <w:szCs w:val="24"/>
                <w:highlight w:val="none"/>
              </w:rPr>
              <w:t>（1）标的</w:t>
            </w:r>
            <w:r>
              <w:rPr>
                <w:rFonts w:hint="eastAsia" w:asciiTheme="minorEastAsia" w:hAnsiTheme="minorEastAsia" w:eastAsiaTheme="minorEastAsia" w:cstheme="minorEastAsia"/>
                <w:color w:val="0000FF"/>
                <w:kern w:val="0"/>
                <w:sz w:val="24"/>
                <w:szCs w:val="24"/>
                <w:highlight w:val="none"/>
                <w:lang w:eastAsia="zh-CN"/>
              </w:rPr>
              <w:t>及所属行业</w:t>
            </w:r>
            <w:r>
              <w:rPr>
                <w:rFonts w:hint="eastAsia" w:asciiTheme="minorEastAsia" w:hAnsiTheme="minorEastAsia" w:eastAsiaTheme="minorEastAsia" w:cstheme="minorEastAsia"/>
                <w:color w:val="0000FF"/>
                <w:kern w:val="0"/>
                <w:sz w:val="24"/>
                <w:szCs w:val="24"/>
                <w:highlight w:val="none"/>
              </w:rPr>
              <w:t>：</w:t>
            </w:r>
            <w:r>
              <w:rPr>
                <w:rFonts w:hint="eastAsia" w:asciiTheme="minorEastAsia" w:hAnsiTheme="minorEastAsia" w:eastAsiaTheme="minorEastAsia" w:cstheme="minorEastAsia"/>
                <w:color w:val="0000FF"/>
                <w:kern w:val="0"/>
                <w:sz w:val="24"/>
                <w:szCs w:val="24"/>
                <w:highlight w:val="none"/>
                <w:u w:val="single"/>
              </w:rPr>
              <w:t xml:space="preserve"> </w:t>
            </w:r>
            <w:r>
              <w:rPr>
                <w:rFonts w:hint="eastAsia" w:asciiTheme="minorEastAsia" w:hAnsiTheme="minorEastAsia" w:eastAsiaTheme="minorEastAsia" w:cstheme="minorEastAsia"/>
                <w:color w:val="0000FF"/>
                <w:kern w:val="0"/>
                <w:sz w:val="24"/>
                <w:szCs w:val="24"/>
                <w:highlight w:val="none"/>
                <w:u w:val="single"/>
                <w:lang w:eastAsia="zh-CN"/>
              </w:rPr>
              <w:t>详见附后</w:t>
            </w:r>
            <w:r>
              <w:rPr>
                <w:rFonts w:hint="eastAsia" w:asciiTheme="minorEastAsia" w:hAnsiTheme="minorEastAsia" w:eastAsiaTheme="minorEastAsia" w:cstheme="minorEastAsia"/>
                <w:color w:val="0000FF"/>
                <w:kern w:val="0"/>
                <w:sz w:val="24"/>
                <w:szCs w:val="24"/>
                <w:highlight w:val="none"/>
                <w:u w:val="single"/>
                <w:lang w:val="en-US" w:eastAsia="zh-CN"/>
              </w:rPr>
              <w:t xml:space="preserve"> </w:t>
            </w:r>
            <w:r>
              <w:rPr>
                <w:rFonts w:hint="eastAsia" w:asciiTheme="minorEastAsia" w:hAnsiTheme="minorEastAsia" w:eastAsiaTheme="minorEastAsia" w:cstheme="minorEastAsia"/>
                <w:color w:val="0000FF"/>
                <w:kern w:val="0"/>
                <w:sz w:val="24"/>
                <w:szCs w:val="24"/>
                <w:highlight w:val="none"/>
              </w:rPr>
              <w:t>；</w:t>
            </w:r>
          </w:p>
          <w:p w14:paraId="211F43D8">
            <w:pPr>
              <w:pStyle w:val="16"/>
              <w:pageBreakBefore w:val="0"/>
              <w:numPr>
                <w:ilvl w:val="0"/>
                <w:numId w:val="0"/>
              </w:numPr>
              <w:kinsoku/>
              <w:wordWrap/>
              <w:overflowPunct/>
              <w:topLinePunct w:val="0"/>
              <w:autoSpaceDE/>
              <w:autoSpaceDN/>
              <w:bidi w:val="0"/>
              <w:spacing w:line="360" w:lineRule="auto"/>
              <w:ind w:firstLine="567"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napToGrid w:val="0"/>
                <w:color w:val="000000"/>
                <w:kern w:val="28"/>
                <w:sz w:val="24"/>
                <w:szCs w:val="24"/>
                <w:highlight w:val="none"/>
                <w:lang w:val="en-US" w:eastAsia="zh-CN" w:bidi="ar-SA"/>
              </w:rPr>
              <w:t>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854CB6F">
            <w:pPr>
              <w:pStyle w:val="3"/>
              <w:pageBreakBefore w:val="0"/>
              <w:widowControl w:val="0"/>
              <w:kinsoku/>
              <w:wordWrap/>
              <w:overflowPunct/>
              <w:topLinePunct w:val="0"/>
              <w:autoSpaceDE/>
              <w:autoSpaceDN/>
              <w:bidi w:val="0"/>
              <w:spacing w:line="360" w:lineRule="auto"/>
              <w:ind w:left="0" w:leftChars="0" w:firstLine="480" w:firstLineChars="200"/>
              <w:textAlignment w:val="auto"/>
              <w:rPr>
                <w:rFonts w:hint="default"/>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注：1、</w:t>
            </w:r>
            <w:r>
              <w:rPr>
                <w:rFonts w:hint="eastAsia" w:asciiTheme="minorEastAsia" w:hAnsiTheme="minorEastAsia" w:eastAsiaTheme="minorEastAsia" w:cstheme="minorEastAsia"/>
                <w:b w:val="0"/>
                <w:bCs w:val="0"/>
                <w:sz w:val="24"/>
                <w:highlight w:val="none"/>
              </w:rPr>
              <w:t>本次采购为非专门面向中小企业预留采购份额的采购项目。</w:t>
            </w:r>
            <w:r>
              <w:rPr>
                <w:rFonts w:hint="eastAsia" w:asciiTheme="minorEastAsia" w:hAnsiTheme="minorEastAsia" w:eastAsiaTheme="minorEastAsia" w:cstheme="minorEastAsia"/>
                <w:b w:val="0"/>
                <w:bCs w:val="0"/>
                <w:sz w:val="24"/>
                <w:highlight w:val="none"/>
                <w:lang w:val="en-US" w:eastAsia="zh-CN"/>
              </w:rPr>
              <w:t>2、</w:t>
            </w:r>
            <w:r>
              <w:rPr>
                <w:rFonts w:hint="eastAsia" w:asciiTheme="minorEastAsia" w:hAnsiTheme="minorEastAsia" w:eastAsiaTheme="minorEastAsia" w:cstheme="minorEastAsia"/>
                <w:b w:val="0"/>
                <w:bCs w:val="0"/>
                <w:sz w:val="24"/>
                <w:highlight w:val="none"/>
              </w:rPr>
              <w:t>参加本次采购活动的供应商提供的货物全部由小微企业制造的，其报价给予</w:t>
            </w:r>
            <w:r>
              <w:rPr>
                <w:rFonts w:hint="eastAsia" w:asciiTheme="minorEastAsia" w:hAnsiTheme="minorEastAsia" w:eastAsiaTheme="minorEastAsia" w:cstheme="minorEastAsia"/>
                <w:b w:val="0"/>
                <w:bCs w:val="0"/>
                <w:sz w:val="24"/>
                <w:highlight w:val="none"/>
                <w:lang w:val="en-US" w:eastAsia="zh-CN"/>
              </w:rPr>
              <w:t>2</w:t>
            </w:r>
            <w:r>
              <w:rPr>
                <w:rFonts w:hint="eastAsia" w:asciiTheme="minorEastAsia" w:hAnsiTheme="minorEastAsia" w:eastAsiaTheme="minorEastAsia" w:cstheme="minorEastAsia"/>
                <w:b w:val="0"/>
                <w:bCs w:val="0"/>
                <w:sz w:val="24"/>
                <w:highlight w:val="none"/>
              </w:rPr>
              <w:t>0%的扣除，用扣除后的价格参加评审。</w:t>
            </w:r>
            <w:r>
              <w:rPr>
                <w:rFonts w:hint="eastAsia" w:asciiTheme="minorEastAsia" w:hAnsiTheme="minorEastAsia" w:eastAsiaTheme="minorEastAsia" w:cstheme="minorEastAsia"/>
                <w:b w:val="0"/>
                <w:bCs w:val="0"/>
                <w:sz w:val="24"/>
                <w:highlight w:val="none"/>
                <w:lang w:val="en-US" w:eastAsia="zh-CN"/>
              </w:rPr>
              <w:t>3、提供的货物全部由小微企业制造的，供应商应当出具《中小企业声明函》。4、残疾人福利性单位视同小微企业，享受小微企业同等的价格扣除。残疾人福利性单位参加政府采购活动时，应当提供《残疾人福利性单位声明函》。6、监狱企业视同小微企业，享受小微企业同等的价格扣除。监狱企业参加政府采购活动时，应当出具省级以上监狱管理局、戒毒管理局（含新疆生产建设兵团）提供的属于监狱企业的证明文件。</w:t>
            </w:r>
          </w:p>
        </w:tc>
      </w:tr>
      <w:tr w14:paraId="48CF0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C65F10">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A5A2DA6">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0A8C46">
            <w:pPr>
              <w:spacing w:line="360" w:lineRule="auto"/>
              <w:rPr>
                <w:rFonts w:ascii="宋体" w:hAnsi="宋体" w:cs="宋体"/>
              </w:rPr>
            </w:pPr>
            <w:r>
              <w:rPr>
                <w:rFonts w:hint="eastAsia" w:ascii="宋体" w:hAnsi="宋体" w:cs="宋体"/>
                <w:kern w:val="0"/>
                <w:sz w:val="24"/>
                <w:lang w:eastAsia="zh-CN"/>
              </w:rPr>
              <w:t>本项目不允许采购</w:t>
            </w:r>
            <w:r>
              <w:rPr>
                <w:rFonts w:hint="eastAsia" w:ascii="宋体" w:hAnsi="宋体" w:cs="宋体"/>
                <w:kern w:val="0"/>
                <w:sz w:val="24"/>
              </w:rPr>
              <w:t>进口产品。</w:t>
            </w:r>
          </w:p>
        </w:tc>
      </w:tr>
      <w:tr w14:paraId="41B5E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32D640">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5F3936A">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5C4BD16">
            <w:pPr>
              <w:spacing w:line="360" w:lineRule="auto"/>
              <w:rPr>
                <w:rFonts w:hint="eastAsia"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u w:val="single"/>
                <w:lang w:val="en-US" w:eastAsia="zh-CN"/>
              </w:rPr>
              <w:t xml:space="preserve">   </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p>
          <w:p w14:paraId="3C76A980">
            <w:pPr>
              <w:spacing w:line="360" w:lineRule="auto"/>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0356149B">
            <w:pPr>
              <w:spacing w:line="360" w:lineRule="auto"/>
              <w:rPr>
                <w:rFonts w:ascii="宋体" w:hAnsi="宋体" w:cs="宋体"/>
                <w:sz w:val="24"/>
              </w:rPr>
            </w:pPr>
            <w:r>
              <w:rPr>
                <w:rFonts w:hint="eastAsia" w:ascii="宋体" w:hAnsi="宋体" w:cs="宋体"/>
                <w:sz w:val="24"/>
              </w:rPr>
              <w:t>注：不得限制大中型企业向小微企业合理分包。</w:t>
            </w:r>
          </w:p>
        </w:tc>
      </w:tr>
      <w:tr w14:paraId="5C1DA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E89219">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86A772">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CDBD2AD">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1E99A78">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28E8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47B4F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4069106">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8C3087B">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46D10B07">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B要求提供，</w:t>
            </w:r>
          </w:p>
        </w:tc>
      </w:tr>
      <w:tr w14:paraId="4AF3D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F2F539">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F3C3266">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2AFC2CB">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14:paraId="19CE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8188C3F">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C4438CC">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55EE09B">
            <w:pPr>
              <w:spacing w:line="360" w:lineRule="auto"/>
              <w:rPr>
                <w:rFonts w:ascii="宋体" w:hAnsi="宋体" w:cs="宋体"/>
                <w:sz w:val="24"/>
              </w:rPr>
            </w:pPr>
            <w:r>
              <w:rPr>
                <w:rFonts w:hint="eastAsia" w:ascii="宋体" w:hAnsi="宋体" w:cs="宋体"/>
                <w:sz w:val="24"/>
              </w:rPr>
              <w:t>（1）资格证明文件：见招标文件第二部分11.1。</w:t>
            </w:r>
          </w:p>
          <w:p w14:paraId="706A457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86B5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345DB01F">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36016A4">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0F4239">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615D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76A69A">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8EE43D4">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80877B5">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4CA4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89E3EB">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C2F2B17">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51A1FAD">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425E22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0D3FE5D0">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523959D">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C1DE72F">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B9142B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8CD1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3" w:hRule="atLeast"/>
          <w:tblHeader/>
        </w:trPr>
        <w:tc>
          <w:tcPr>
            <w:tcW w:w="629" w:type="dxa"/>
            <w:tcBorders>
              <w:top w:val="single" w:color="auto" w:sz="4" w:space="0"/>
              <w:left w:val="single" w:color="000000" w:sz="8" w:space="0"/>
              <w:right w:val="single" w:color="000000" w:sz="2" w:space="0"/>
            </w:tcBorders>
            <w:vAlign w:val="center"/>
          </w:tcPr>
          <w:p w14:paraId="347073AF">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A121915">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335B2FF5">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223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08D145">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CF56192">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737E4A7">
            <w:pPr>
              <w:pStyle w:val="33"/>
              <w:spacing w:line="360" w:lineRule="auto"/>
              <w:rPr>
                <w:rFonts w:hint="eastAsia" w:hAnsi="宋体" w:cs="宋体"/>
                <w:color w:val="auto"/>
                <w:sz w:val="24"/>
                <w:szCs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eastAsia="zh-CN"/>
              </w:rPr>
              <w:t>桐庐县城南街道白云源路1018号中艺大厦8楼</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eastAsia="zh-CN"/>
              </w:rPr>
              <w:t>顾勤飞13735843982</w:t>
            </w:r>
            <w:r>
              <w:rPr>
                <w:rFonts w:hint="eastAsia" w:hAnsi="宋体" w:cs="宋体"/>
                <w:color w:val="auto"/>
                <w:sz w:val="24"/>
                <w:szCs w:val="24"/>
              </w:rPr>
              <w:t>。</w:t>
            </w:r>
          </w:p>
          <w:p w14:paraId="3488D7E3">
            <w:pPr>
              <w:pStyle w:val="782"/>
              <w:widowControl w:val="0"/>
              <w:spacing w:line="460" w:lineRule="exact"/>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备份投标文件的递交：投标人如需要递交备份投标文件（后缀格式为.bfbs）的，请将u盘形式的备份投标文件密封包装后以递交。</w:t>
            </w:r>
          </w:p>
          <w:p w14:paraId="35939E8C">
            <w:pPr>
              <w:pStyle w:val="33"/>
              <w:spacing w:line="360" w:lineRule="auto"/>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备份投标文件的邮寄递交：投标人如需要邮件备份投标文件（后缀格式为.bfbs）的，请将备份投标文件重命名（单位名称、项目编号、项目名称）。</w:t>
            </w:r>
          </w:p>
          <w:p w14:paraId="41225CCD">
            <w:pPr>
              <w:pStyle w:val="33"/>
              <w:spacing w:line="360" w:lineRule="auto"/>
              <w:rPr>
                <w:rFonts w:hAnsi="宋体" w:cs="宋体"/>
                <w:kern w:val="28"/>
                <w:sz w:val="24"/>
              </w:rPr>
            </w:pPr>
            <w:r>
              <w:rPr>
                <w:rFonts w:hint="eastAsia" w:hAnsi="宋体" w:cs="宋体"/>
                <w:b/>
                <w:color w:val="auto"/>
                <w:sz w:val="24"/>
                <w:szCs w:val="24"/>
              </w:rPr>
              <w:t>采购人、采购代理机构不强制或变相强制投标人提交备份投标文件。</w:t>
            </w:r>
          </w:p>
        </w:tc>
      </w:tr>
      <w:tr w14:paraId="0CFE3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1D7C222">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C092A06">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0DB211E2">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00C3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8F5ED87">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D427247">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6C2A49D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8E1ADB6">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1DED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155DB7">
            <w:pPr>
              <w:snapToGrid w:val="0"/>
              <w:spacing w:line="360" w:lineRule="auto"/>
              <w:jc w:val="center"/>
              <w:rPr>
                <w:rFonts w:hint="eastAsia" w:ascii="宋体" w:hAnsi="宋体" w:eastAsia="宋体" w:cs="宋体"/>
                <w:sz w:val="24"/>
              </w:rPr>
            </w:pPr>
          </w:p>
          <w:p w14:paraId="6A8ECA63">
            <w:pPr>
              <w:snapToGrid w:val="0"/>
              <w:spacing w:line="360" w:lineRule="auto"/>
              <w:jc w:val="center"/>
              <w:rPr>
                <w:rFonts w:ascii="宋体" w:hAnsi="宋体" w:cs="宋体"/>
                <w:sz w:val="24"/>
              </w:rPr>
            </w:pPr>
            <w:r>
              <w:rPr>
                <w:rFonts w:hint="eastAsia" w:ascii="宋体" w:hAnsi="宋体" w:eastAsia="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784643C">
            <w:pPr>
              <w:snapToGrid w:val="0"/>
              <w:spacing w:line="360" w:lineRule="auto"/>
              <w:jc w:val="center"/>
              <w:rPr>
                <w:rFonts w:ascii="宋体" w:hAnsi="宋体" w:cs="宋体"/>
                <w:b/>
                <w:sz w:val="24"/>
              </w:rPr>
            </w:pPr>
            <w:r>
              <w:rPr>
                <w:rFonts w:hint="eastAsia" w:ascii="宋体" w:hAnsi="宋体" w:eastAsia="宋体" w:cs="宋体"/>
                <w:b/>
                <w:sz w:val="24"/>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5C58601">
            <w:pPr>
              <w:spacing w:line="360" w:lineRule="auto"/>
              <w:jc w:val="both"/>
              <w:rPr>
                <w:rFonts w:hint="eastAsia" w:ascii="宋体" w:hAnsi="宋体" w:eastAsia="宋体" w:cs="宋体"/>
                <w:sz w:val="24"/>
              </w:rPr>
            </w:pPr>
            <w:r>
              <w:rPr>
                <w:rFonts w:hint="eastAsia" w:ascii="宋体" w:hAnsi="宋体" w:eastAsia="宋体" w:cs="宋体"/>
                <w:sz w:val="24"/>
              </w:rPr>
              <w:t>本项目招标代理费：</w:t>
            </w:r>
            <w:r>
              <w:rPr>
                <w:rFonts w:hint="eastAsia" w:ascii="宋体" w:hAnsi="宋体" w:eastAsia="宋体" w:cs="宋体"/>
                <w:b w:val="0"/>
                <w:bCs w:val="0"/>
                <w:sz w:val="24"/>
              </w:rPr>
              <w:t>本次采购的招标代理服务费</w:t>
            </w:r>
            <w:r>
              <w:rPr>
                <w:rFonts w:hint="eastAsia" w:ascii="宋体" w:hAnsi="宋体"/>
                <w:color w:val="auto"/>
                <w:sz w:val="24"/>
              </w:rPr>
              <w:t>按浙价服[2003]77号文件（</w:t>
            </w:r>
            <w:r>
              <w:rPr>
                <w:rFonts w:hint="eastAsia" w:ascii="宋体" w:hAnsi="宋体"/>
                <w:color w:val="auto"/>
                <w:sz w:val="24"/>
                <w:lang w:eastAsia="zh-CN"/>
              </w:rPr>
              <w:t>货物</w:t>
            </w:r>
            <w:r>
              <w:rPr>
                <w:rFonts w:hint="eastAsia" w:ascii="宋体" w:hAnsi="宋体"/>
                <w:color w:val="auto"/>
                <w:sz w:val="24"/>
              </w:rPr>
              <w:t>类）计取；</w:t>
            </w:r>
            <w:r>
              <w:rPr>
                <w:rFonts w:hint="eastAsia" w:ascii="宋体" w:hAnsi="宋体" w:eastAsia="宋体" w:cs="宋体"/>
                <w:sz w:val="24"/>
              </w:rPr>
              <w:t>以上费用均由中标单位在领取中标通知书时，一次性支付给代理公司，上述费用应含在投标报价中（不得单独列项），投标人在投标报价让利中考虑上述费用。</w:t>
            </w:r>
          </w:p>
          <w:p w14:paraId="532CA98C">
            <w:pPr>
              <w:spacing w:line="360" w:lineRule="auto"/>
              <w:jc w:val="both"/>
              <w:rPr>
                <w:rFonts w:hint="eastAsia" w:ascii="宋体" w:hAnsi="宋体" w:eastAsia="宋体" w:cs="宋体"/>
                <w:sz w:val="24"/>
              </w:rPr>
            </w:pPr>
            <w:r>
              <w:rPr>
                <w:rFonts w:hint="eastAsia" w:ascii="宋体" w:hAnsi="宋体" w:eastAsia="宋体" w:cs="宋体"/>
                <w:sz w:val="24"/>
              </w:rPr>
              <w:t>收取账号信息：</w:t>
            </w:r>
          </w:p>
          <w:p w14:paraId="5EF650BF">
            <w:pPr>
              <w:spacing w:line="360" w:lineRule="auto"/>
              <w:jc w:val="both"/>
              <w:rPr>
                <w:rFonts w:hint="eastAsia" w:ascii="宋体" w:hAnsi="宋体" w:eastAsia="宋体" w:cs="宋体"/>
                <w:sz w:val="24"/>
              </w:rPr>
            </w:pPr>
            <w:r>
              <w:rPr>
                <w:rFonts w:hint="eastAsia" w:ascii="宋体" w:hAnsi="宋体" w:eastAsia="宋体" w:cs="宋体"/>
                <w:sz w:val="24"/>
              </w:rPr>
              <w:t>公司名称：</w:t>
            </w:r>
            <w:r>
              <w:rPr>
                <w:rFonts w:hint="eastAsia" w:ascii="宋体" w:hAnsi="宋体" w:eastAsia="宋体" w:cs="宋体"/>
                <w:sz w:val="24"/>
                <w:lang w:eastAsia="zh-CN"/>
              </w:rPr>
              <w:t>浙江天平投资咨询有限公司</w:t>
            </w:r>
            <w:r>
              <w:rPr>
                <w:rFonts w:hint="eastAsia" w:ascii="宋体" w:hAnsi="宋体" w:eastAsia="宋体" w:cs="宋体"/>
                <w:sz w:val="24"/>
              </w:rPr>
              <w:t>桐庐分公司</w:t>
            </w:r>
          </w:p>
          <w:p w14:paraId="0D76DFD9">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人民币账号:  </w:t>
            </w:r>
            <w:r>
              <w:rPr>
                <w:rFonts w:hint="eastAsia" w:ascii="宋体" w:hAnsi="宋体" w:eastAsia="宋体" w:cs="宋体"/>
                <w:sz w:val="24"/>
                <w:lang w:eastAsia="zh-CN"/>
              </w:rPr>
              <w:t>201000142135438</w:t>
            </w:r>
          </w:p>
          <w:p w14:paraId="0F505AA0">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开户行： </w:t>
            </w:r>
            <w:r>
              <w:rPr>
                <w:rFonts w:hint="eastAsia" w:ascii="宋体" w:hAnsi="宋体" w:eastAsia="宋体" w:cs="宋体"/>
                <w:sz w:val="24"/>
                <w:lang w:eastAsia="zh-CN"/>
              </w:rPr>
              <w:t>浙江桐庐农村商业银行股份有限公司营业部</w:t>
            </w:r>
          </w:p>
          <w:p w14:paraId="394EE969">
            <w:pPr>
              <w:spacing w:line="360" w:lineRule="auto"/>
              <w:jc w:val="both"/>
              <w:rPr>
                <w:rFonts w:hint="eastAsia" w:cs="Arial" w:asciiTheme="minorEastAsia" w:hAnsiTheme="minorEastAsia" w:eastAsiaTheme="minorEastAsia"/>
                <w:kern w:val="0"/>
                <w:sz w:val="24"/>
              </w:rPr>
            </w:pPr>
            <w:r>
              <w:rPr>
                <w:rFonts w:hint="eastAsia" w:ascii="宋体" w:hAnsi="宋体" w:eastAsia="宋体" w:cs="宋体"/>
                <w:sz w:val="24"/>
              </w:rPr>
              <w:t>交纳方式：电子汇票、转账支票和银行汇票等非现金方式。</w:t>
            </w:r>
          </w:p>
        </w:tc>
      </w:tr>
    </w:tbl>
    <w:p w14:paraId="04D142A8">
      <w:pPr>
        <w:snapToGrid w:val="0"/>
        <w:spacing w:line="360" w:lineRule="auto"/>
        <w:jc w:val="center"/>
        <w:rPr>
          <w:rFonts w:ascii="宋体" w:hAnsi="宋体" w:cs="宋体"/>
          <w:b/>
          <w:sz w:val="32"/>
          <w:szCs w:val="20"/>
        </w:rPr>
      </w:pPr>
    </w:p>
    <w:bookmarkEnd w:id="10"/>
    <w:p w14:paraId="1116F3AD">
      <w:pPr>
        <w:adjustRightInd/>
        <w:spacing w:line="360" w:lineRule="auto"/>
        <w:ind w:firstLine="3845" w:firstLineChars="1197"/>
        <w:outlineLvl w:val="0"/>
        <w:rPr>
          <w:rFonts w:ascii="宋体" w:hAnsi="宋体" w:cs="宋体"/>
          <w:b/>
          <w:sz w:val="32"/>
          <w:szCs w:val="20"/>
        </w:rPr>
      </w:pPr>
      <w:bookmarkStart w:id="16" w:name="第三部分"/>
      <w:bookmarkStart w:id="17" w:name="_Toc164416483"/>
      <w:r>
        <w:rPr>
          <w:rFonts w:hint="eastAsia" w:ascii="宋体" w:hAnsi="宋体" w:cs="宋体"/>
          <w:b/>
          <w:sz w:val="32"/>
          <w:szCs w:val="20"/>
        </w:rPr>
        <w:t>一、总则</w:t>
      </w:r>
    </w:p>
    <w:p w14:paraId="0010C761">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80D224B">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F0ECCE4">
      <w:pPr>
        <w:adjustRightInd/>
        <w:spacing w:line="360" w:lineRule="auto"/>
        <w:outlineLvl w:val="0"/>
        <w:rPr>
          <w:rFonts w:ascii="宋体" w:hAnsi="宋体" w:cs="宋体"/>
          <w:b/>
          <w:sz w:val="24"/>
        </w:rPr>
      </w:pPr>
      <w:r>
        <w:rPr>
          <w:rFonts w:hint="eastAsia" w:ascii="宋体" w:hAnsi="宋体" w:cs="宋体"/>
          <w:b/>
          <w:sz w:val="24"/>
        </w:rPr>
        <w:t xml:space="preserve">   2.定义</w:t>
      </w:r>
    </w:p>
    <w:p w14:paraId="3B5F4DA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822CA64">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3EC09EF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6963E1B">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2B193EE">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6391212">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08D83043">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7C4F96E">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1376A1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36EB131">
      <w:pPr>
        <w:spacing w:line="360" w:lineRule="auto"/>
        <w:ind w:firstLine="240" w:firstLineChars="100"/>
        <w:rPr>
          <w:rFonts w:ascii="宋体" w:hAnsi="宋体" w:cs="宋体"/>
          <w:sz w:val="24"/>
        </w:rPr>
      </w:pPr>
      <w:r>
        <w:rPr>
          <w:rFonts w:hint="eastAsia" w:ascii="宋体" w:hAnsi="宋体" w:cs="宋体"/>
          <w:sz w:val="24"/>
        </w:rPr>
        <w:t>3.2 支持绿色发展</w:t>
      </w:r>
    </w:p>
    <w:p w14:paraId="4603D01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51A2844">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7350C93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7BD0954">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8"/>
    </w:p>
    <w:p w14:paraId="5B3EC56B">
      <w:pPr>
        <w:spacing w:line="360" w:lineRule="auto"/>
        <w:ind w:firstLine="240" w:firstLineChars="100"/>
        <w:rPr>
          <w:rFonts w:ascii="宋体" w:hAnsi="宋体" w:cs="宋体"/>
          <w:sz w:val="24"/>
        </w:rPr>
      </w:pPr>
      <w:r>
        <w:rPr>
          <w:rFonts w:hint="eastAsia" w:ascii="宋体" w:hAnsi="宋体" w:cs="宋体"/>
          <w:sz w:val="24"/>
        </w:rPr>
        <w:t>3.3支持中小企业发展</w:t>
      </w:r>
    </w:p>
    <w:p w14:paraId="65375134">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64815AB">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7D0774B">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9366DC9">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7B3EA2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z w:val="24"/>
        </w:rPr>
        <w:t>，用扣除后的价格参与评审。接受大中型企业与小微企业组成联合体或者允许大中型企业向一家或者多家小微企业分包的政府采购货物项目，对于</w:t>
      </w:r>
      <w:bookmarkStart w:id="19" w:name="_Hlk101132181"/>
      <w:r>
        <w:rPr>
          <w:rFonts w:hint="eastAsia" w:ascii="宋体" w:hAnsi="宋体" w:cs="宋体"/>
          <w:sz w:val="24"/>
        </w:rPr>
        <w:t>联合协议或者分包意向协议约定小微企业的合同份额占到合同总金额30%以上的</w:t>
      </w:r>
      <w:bookmarkEnd w:id="19"/>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w:t>
      </w:r>
      <w:r>
        <w:rPr>
          <w:rFonts w:hint="eastAsia" w:ascii="宋体" w:hAnsi="宋体" w:cs="宋体"/>
          <w:sz w:val="24"/>
        </w:rPr>
        <w:t>，用扣除后的价格参加评审。组成联合体或者接受分包的小微企业与联合体内其他企业、分包企业之间存在直接控股、管理关系的，不享受价格扣除优惠政策。</w:t>
      </w:r>
    </w:p>
    <w:p w14:paraId="5E6AE745">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8A52641">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87F558">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A02D29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032C73E">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C1BA6F6">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A4F728F">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4C5C83F">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0C466E5">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09E4A65E">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75E0B649">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5589F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5EDFED3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2D6A3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FD11BE8">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EC9A227">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48E40B3F">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389057E">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7EF0007">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C7C8E5B">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7F01DAF">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E7DB6A6">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D609304">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28DE3D6C">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DC31886">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6F5F3B9">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990BEB6">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4D0D9E65">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6D7B72C">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6FE072D">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EF274F5">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B41CF2A">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D455F50">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3FF04CD">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DF9599F">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348EE83C">
      <w:pPr>
        <w:pStyle w:val="887"/>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C35F1DD">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4B659432">
      <w:pPr>
        <w:pStyle w:val="129"/>
        <w:snapToGrid w:val="0"/>
        <w:spacing w:before="0"/>
        <w:ind w:firstLine="360"/>
        <w:rPr>
          <w:rFonts w:ascii="宋体" w:hAnsi="宋体" w:cs="宋体"/>
          <w:sz w:val="18"/>
          <w:szCs w:val="18"/>
        </w:rPr>
      </w:pPr>
    </w:p>
    <w:p w14:paraId="52879015">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DADAEC9">
      <w:pPr>
        <w:pStyle w:val="33"/>
        <w:spacing w:line="360" w:lineRule="auto"/>
        <w:rPr>
          <w:rFonts w:hAnsi="宋体" w:cs="宋体"/>
          <w:b/>
          <w:sz w:val="24"/>
          <w:szCs w:val="24"/>
        </w:rPr>
      </w:pPr>
      <w:r>
        <w:rPr>
          <w:rFonts w:hint="eastAsia" w:hAnsi="宋体" w:cs="宋体"/>
          <w:b/>
          <w:sz w:val="24"/>
          <w:szCs w:val="24"/>
        </w:rPr>
        <w:t>5．招标文件的构成</w:t>
      </w:r>
    </w:p>
    <w:p w14:paraId="574DC374">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4F6F68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7768B7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0A0DF0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E569D22">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34C9AD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FF0ABD3">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A001CC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3837CB6">
      <w:pPr>
        <w:pStyle w:val="33"/>
        <w:spacing w:line="360" w:lineRule="auto"/>
        <w:rPr>
          <w:rFonts w:hAnsi="宋体" w:cs="宋体"/>
          <w:b/>
          <w:sz w:val="24"/>
          <w:szCs w:val="24"/>
        </w:rPr>
      </w:pPr>
      <w:r>
        <w:rPr>
          <w:rFonts w:hint="eastAsia" w:hAnsi="宋体" w:cs="宋体"/>
          <w:b/>
          <w:sz w:val="24"/>
          <w:szCs w:val="24"/>
        </w:rPr>
        <w:t>6. 招标文件的澄清、修改</w:t>
      </w:r>
    </w:p>
    <w:p w14:paraId="6D189D14">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16E1EC84">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023C54C">
      <w:pPr>
        <w:pStyle w:val="24"/>
        <w:rPr>
          <w:rFonts w:hAnsi="宋体" w:cs="宋体"/>
          <w:sz w:val="18"/>
          <w:szCs w:val="18"/>
          <w:lang w:val="en-US"/>
        </w:rPr>
      </w:pPr>
      <w:r>
        <w:rPr>
          <w:rFonts w:hint="eastAsia" w:hAnsi="宋体" w:cs="宋体"/>
          <w:szCs w:val="24"/>
          <w:lang w:val="en-US"/>
        </w:rPr>
        <w:t xml:space="preserve">    </w:t>
      </w:r>
    </w:p>
    <w:p w14:paraId="31DB3800">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ED6FA31">
      <w:pPr>
        <w:pStyle w:val="33"/>
        <w:spacing w:line="360" w:lineRule="auto"/>
        <w:rPr>
          <w:rFonts w:hAnsi="宋体" w:cs="宋体"/>
          <w:b/>
          <w:sz w:val="24"/>
          <w:szCs w:val="24"/>
        </w:rPr>
      </w:pPr>
      <w:r>
        <w:rPr>
          <w:rFonts w:hint="eastAsia" w:hAnsi="宋体" w:cs="宋体"/>
          <w:b/>
          <w:sz w:val="24"/>
          <w:szCs w:val="24"/>
        </w:rPr>
        <w:t>7. 招标文件的获取</w:t>
      </w:r>
    </w:p>
    <w:p w14:paraId="33E4A3D3">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6249081">
      <w:pPr>
        <w:pStyle w:val="33"/>
        <w:spacing w:line="360" w:lineRule="auto"/>
        <w:rPr>
          <w:rFonts w:hAnsi="宋体" w:cs="宋体"/>
          <w:b/>
          <w:sz w:val="24"/>
          <w:szCs w:val="24"/>
        </w:rPr>
      </w:pPr>
      <w:r>
        <w:rPr>
          <w:rFonts w:hint="eastAsia" w:hAnsi="宋体" w:cs="宋体"/>
          <w:b/>
          <w:sz w:val="24"/>
          <w:szCs w:val="24"/>
        </w:rPr>
        <w:t>8.开标前答疑会或现场考察</w:t>
      </w:r>
    </w:p>
    <w:p w14:paraId="456B8158">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63CE86A">
      <w:pPr>
        <w:pStyle w:val="33"/>
        <w:spacing w:line="360" w:lineRule="auto"/>
        <w:rPr>
          <w:rFonts w:hAnsi="宋体" w:cs="宋体"/>
          <w:b/>
          <w:szCs w:val="24"/>
        </w:rPr>
      </w:pPr>
      <w:r>
        <w:rPr>
          <w:rFonts w:hint="eastAsia" w:hAnsi="宋体" w:cs="宋体"/>
          <w:b/>
          <w:kern w:val="28"/>
          <w:sz w:val="24"/>
          <w:szCs w:val="24"/>
        </w:rPr>
        <w:t>9.投标保证金</w:t>
      </w:r>
    </w:p>
    <w:p w14:paraId="6CF3C28E">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7E35831">
      <w:pPr>
        <w:pStyle w:val="33"/>
        <w:spacing w:line="360" w:lineRule="auto"/>
        <w:rPr>
          <w:rFonts w:hAnsi="宋体" w:cs="宋体"/>
          <w:b/>
          <w:sz w:val="24"/>
          <w:szCs w:val="24"/>
        </w:rPr>
      </w:pPr>
      <w:r>
        <w:rPr>
          <w:rFonts w:hint="eastAsia" w:hAnsi="宋体" w:cs="宋体"/>
          <w:b/>
          <w:sz w:val="24"/>
          <w:szCs w:val="24"/>
        </w:rPr>
        <w:t>10. 投标文件的语言</w:t>
      </w:r>
    </w:p>
    <w:p w14:paraId="1AC432E7">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F1A8D82">
      <w:pPr>
        <w:pStyle w:val="33"/>
        <w:spacing w:line="360" w:lineRule="auto"/>
        <w:rPr>
          <w:rFonts w:hAnsi="宋体" w:cs="宋体"/>
          <w:b/>
          <w:sz w:val="24"/>
          <w:szCs w:val="24"/>
        </w:rPr>
      </w:pPr>
      <w:r>
        <w:rPr>
          <w:rFonts w:hint="eastAsia" w:hAnsi="宋体" w:cs="宋体"/>
          <w:b/>
          <w:sz w:val="24"/>
          <w:szCs w:val="24"/>
        </w:rPr>
        <w:t>11. 投标文件的组成</w:t>
      </w:r>
    </w:p>
    <w:p w14:paraId="0D0FBFD0">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2B6FC36">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1FB71E3">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cs="宋体"/>
          <w:sz w:val="24"/>
        </w:rPr>
        <w:t>1</w:t>
      </w:r>
      <w:r>
        <w:rPr>
          <w:rFonts w:ascii="宋体" w:hAnsi="宋体" w:cs="宋体"/>
          <w:sz w:val="24"/>
        </w:rPr>
        <w:t>1.1.2</w:t>
      </w:r>
      <w:bookmarkStart w:id="20" w:name="_Hlk101259339"/>
      <w:r>
        <w:rPr>
          <w:rFonts w:hint="eastAsia" w:ascii="宋体" w:hAnsi="宋体" w:cs="宋体"/>
          <w:sz w:val="24"/>
          <w:lang w:val="en-US" w:eastAsia="zh-CN"/>
        </w:rPr>
        <w:t xml:space="preserve"> </w:t>
      </w:r>
      <w:r>
        <w:rPr>
          <w:rFonts w:hint="eastAsia" w:ascii="宋体" w:hAnsi="宋体" w:cs="Arial"/>
          <w:kern w:val="0"/>
          <w:sz w:val="24"/>
        </w:rPr>
        <w:t>法人或者其他组织的营业执照等证明文件，自然人的身份证明</w:t>
      </w:r>
      <w:r>
        <w:rPr>
          <w:rFonts w:hint="eastAsia" w:ascii="宋体" w:hAnsi="宋体" w:cs="宋体"/>
          <w:sz w:val="24"/>
          <w:lang w:val="en-US" w:eastAsia="zh-CN"/>
        </w:rPr>
        <w:t>；</w:t>
      </w:r>
    </w:p>
    <w:p w14:paraId="5AA3E724">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napToGrid w:val="0"/>
          <w:kern w:val="28"/>
          <w:sz w:val="24"/>
          <w:szCs w:val="20"/>
        </w:rPr>
        <w:t>联合协议</w:t>
      </w:r>
      <w:bookmarkEnd w:id="20"/>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5D6CA73C">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71A6DDF">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5A9FA170">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7A0B4F1">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9791906">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19A34D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7564DAE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0659B9AF">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EC47215">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61886A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51C188D1">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6FB2C0F">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5134F50">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2431416C">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14:paraId="06F8CF79">
      <w:pPr>
        <w:spacing w:line="360" w:lineRule="auto"/>
        <w:ind w:firstLine="723" w:firstLineChars="300"/>
        <w:rPr>
          <w:rFonts w:ascii="宋体" w:hAnsi="宋体" w:cs="宋体"/>
          <w:b/>
          <w:sz w:val="24"/>
        </w:rPr>
      </w:pPr>
      <w:r>
        <w:rPr>
          <w:rFonts w:hint="eastAsia" w:ascii="宋体" w:hAnsi="宋体" w:cs="宋体"/>
          <w:b/>
          <w:sz w:val="24"/>
          <w:lang w:eastAsia="zh-CN"/>
        </w:rPr>
        <w:t>注：</w:t>
      </w:r>
      <w:r>
        <w:rPr>
          <w:rFonts w:hint="eastAsia" w:ascii="宋体" w:hAnsi="宋体" w:cs="宋体"/>
          <w:b/>
          <w:sz w:val="24"/>
        </w:rPr>
        <w:t>投标文件含有采购人不能接受的附加条件的，投标无效；</w:t>
      </w:r>
    </w:p>
    <w:p w14:paraId="1ABDF755">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28F78280">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B954C63">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6C2799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95B1EA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184AE1E">
      <w:pPr>
        <w:snapToGrid w:val="0"/>
        <w:spacing w:line="360" w:lineRule="auto"/>
        <w:rPr>
          <w:rFonts w:ascii="宋体" w:hAnsi="宋体" w:cs="宋体"/>
          <w:b/>
          <w:sz w:val="24"/>
        </w:rPr>
      </w:pPr>
      <w:r>
        <w:rPr>
          <w:rFonts w:hint="eastAsia" w:ascii="宋体" w:hAnsi="宋体" w:cs="宋体"/>
          <w:b/>
          <w:sz w:val="24"/>
        </w:rPr>
        <w:t>13.投标文件的签署、盖章</w:t>
      </w:r>
    </w:p>
    <w:p w14:paraId="2FCFCCC3">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5A70452">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D02CD9F">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ABC31E2">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A2294CD">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41ABA0">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EF27E61">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442B4105">
      <w:pPr>
        <w:pStyle w:val="33"/>
        <w:spacing w:line="360" w:lineRule="auto"/>
        <w:rPr>
          <w:rFonts w:hAnsi="宋体" w:cs="宋体"/>
          <w:b/>
          <w:sz w:val="24"/>
          <w:szCs w:val="24"/>
        </w:rPr>
      </w:pPr>
      <w:r>
        <w:rPr>
          <w:rFonts w:hint="eastAsia" w:hAnsi="宋体" w:cs="宋体"/>
          <w:b/>
          <w:sz w:val="24"/>
          <w:szCs w:val="24"/>
        </w:rPr>
        <w:t>15.备份投标文件</w:t>
      </w:r>
    </w:p>
    <w:p w14:paraId="2F1C1B28">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6B579C97">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5371583">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36BCC9C7">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33712E37">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BA16560">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1E500F7A">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2FF02DF7">
      <w:pPr>
        <w:pStyle w:val="129"/>
        <w:spacing w:before="0"/>
        <w:ind w:firstLine="0" w:firstLineChars="0"/>
        <w:rPr>
          <w:rFonts w:ascii="宋体" w:hAnsi="宋体" w:cs="宋体"/>
          <w:b/>
          <w:szCs w:val="24"/>
        </w:rPr>
      </w:pPr>
      <w:r>
        <w:rPr>
          <w:rFonts w:hint="eastAsia" w:ascii="宋体" w:hAnsi="宋体" w:cs="宋体"/>
          <w:b/>
          <w:szCs w:val="24"/>
        </w:rPr>
        <w:t>17.投标有效期</w:t>
      </w:r>
    </w:p>
    <w:p w14:paraId="5CCE8606">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48F5760">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78342D33">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51E8EB49">
      <w:pPr>
        <w:pStyle w:val="129"/>
        <w:spacing w:before="0"/>
        <w:ind w:firstLine="643"/>
        <w:rPr>
          <w:rFonts w:ascii="宋体" w:hAnsi="宋体" w:cs="宋体"/>
          <w:b/>
          <w:sz w:val="32"/>
        </w:rPr>
      </w:pPr>
    </w:p>
    <w:p w14:paraId="1CD7375C">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59DDB1B7">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C9A16FB">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1ACA8E11">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57DDE987">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F8A64E3">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CB5BE74">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4919B4EA">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8829329">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19559B16">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3A355365">
      <w:pPr>
        <w:pStyle w:val="129"/>
        <w:spacing w:before="0"/>
        <w:ind w:firstLine="0" w:firstLineChars="0"/>
        <w:rPr>
          <w:rFonts w:ascii="宋体" w:hAnsi="宋体" w:cs="宋体"/>
          <w:b/>
          <w:szCs w:val="24"/>
        </w:rPr>
      </w:pPr>
      <w:r>
        <w:rPr>
          <w:rFonts w:hint="eastAsia" w:ascii="宋体" w:hAnsi="宋体" w:cs="宋体"/>
          <w:b/>
          <w:szCs w:val="24"/>
        </w:rPr>
        <w:t>20、信用信息查询</w:t>
      </w:r>
    </w:p>
    <w:p w14:paraId="26C29786">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46133305">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10C5B25">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403E5CD">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5A7EAA6">
      <w:pPr>
        <w:pStyle w:val="129"/>
        <w:spacing w:before="0"/>
        <w:ind w:firstLine="0" w:firstLineChars="0"/>
        <w:rPr>
          <w:rFonts w:ascii="宋体" w:hAnsi="宋体" w:cs="宋体"/>
          <w:kern w:val="0"/>
          <w:szCs w:val="24"/>
        </w:rPr>
      </w:pPr>
    </w:p>
    <w:p w14:paraId="014D622E">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4F892BC6">
      <w:pPr>
        <w:spacing w:line="360" w:lineRule="auto"/>
        <w:rPr>
          <w:rFonts w:ascii="宋体" w:hAnsi="宋体" w:cs="宋体"/>
          <w:b/>
          <w:sz w:val="24"/>
        </w:rPr>
      </w:pPr>
      <w:bookmarkStart w:id="21"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293AFA7">
      <w:pPr>
        <w:spacing w:line="360" w:lineRule="auto"/>
        <w:rPr>
          <w:rFonts w:ascii="宋体" w:hAnsi="宋体" w:cs="宋体"/>
          <w:b/>
          <w:sz w:val="24"/>
        </w:rPr>
      </w:pPr>
    </w:p>
    <w:p w14:paraId="02AA7669">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033CE22">
      <w:pPr>
        <w:pStyle w:val="25"/>
        <w:spacing w:line="360" w:lineRule="auto"/>
        <w:ind w:left="479" w:hanging="479" w:hangingChars="199"/>
        <w:rPr>
          <w:rFonts w:cs="宋体"/>
          <w:b/>
        </w:rPr>
      </w:pPr>
      <w:r>
        <w:rPr>
          <w:rFonts w:hint="eastAsia" w:cs="宋体"/>
          <w:b/>
        </w:rPr>
        <w:t>22. 确定中标供应商</w:t>
      </w:r>
    </w:p>
    <w:p w14:paraId="63FD9C7C">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0A872C0">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19C862D">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7927126F">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C95D067">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C0704D3">
      <w:pPr>
        <w:snapToGrid w:val="0"/>
        <w:spacing w:line="360" w:lineRule="auto"/>
        <w:ind w:left="120" w:leftChars="57" w:firstLine="482" w:firstLineChars="150"/>
        <w:jc w:val="center"/>
        <w:rPr>
          <w:rFonts w:ascii="宋体" w:hAnsi="宋体" w:cs="宋体"/>
          <w:b/>
          <w:sz w:val="32"/>
        </w:rPr>
      </w:pPr>
    </w:p>
    <w:p w14:paraId="25B1A21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87BE2BD">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F4EAF82">
      <w:pPr>
        <w:pStyle w:val="25"/>
        <w:spacing w:line="360" w:lineRule="auto"/>
        <w:ind w:left="479" w:hanging="479" w:hangingChars="199"/>
        <w:rPr>
          <w:rFonts w:cs="宋体"/>
          <w:b/>
        </w:rPr>
      </w:pPr>
      <w:r>
        <w:rPr>
          <w:rFonts w:hint="eastAsia" w:cs="宋体"/>
          <w:b/>
        </w:rPr>
        <w:t>25. 合同的签订</w:t>
      </w:r>
    </w:p>
    <w:p w14:paraId="3835491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76E9AB7">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421A19A">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BC68887">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D488E4C">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69EF557">
      <w:pPr>
        <w:pStyle w:val="25"/>
        <w:spacing w:line="360" w:lineRule="auto"/>
        <w:ind w:left="479" w:hanging="479" w:hangingChars="199"/>
        <w:rPr>
          <w:rFonts w:cs="宋体"/>
          <w:b/>
        </w:rPr>
      </w:pPr>
      <w:r>
        <w:rPr>
          <w:rFonts w:hint="eastAsia" w:cs="宋体"/>
          <w:b/>
        </w:rPr>
        <w:t>26. 履约保证金</w:t>
      </w:r>
    </w:p>
    <w:p w14:paraId="4B387D83">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A1148D0">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1AE670A">
      <w:pPr>
        <w:pStyle w:val="3"/>
        <w:rPr>
          <w:highlight w:val="none"/>
        </w:rPr>
      </w:pPr>
      <w:r>
        <w:rPr>
          <w:rFonts w:ascii="宋体" w:hAnsi="宋体" w:eastAsia="宋体" w:cs="Times New Roman"/>
          <w:b/>
          <w:bCs/>
          <w:kern w:val="2"/>
          <w:sz w:val="24"/>
          <w:szCs w:val="32"/>
          <w:highlight w:val="none"/>
          <w:lang w:val="en-US"/>
        </w:rPr>
        <w:t>27.预付款</w:t>
      </w:r>
    </w:p>
    <w:p w14:paraId="29883259">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19DC0BAF"/>
    <w:p w14:paraId="650B70F2">
      <w:pPr>
        <w:snapToGrid w:val="0"/>
        <w:spacing w:line="360" w:lineRule="auto"/>
        <w:ind w:firstLine="3357" w:firstLineChars="1045"/>
        <w:rPr>
          <w:rFonts w:ascii="宋体" w:hAnsi="宋体" w:cs="宋体"/>
          <w:b/>
          <w:sz w:val="32"/>
        </w:rPr>
      </w:pPr>
    </w:p>
    <w:p w14:paraId="62940B5F">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471D1A69">
      <w:pPr>
        <w:pStyle w:val="129"/>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21212CE4">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3DAA9C0">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D9196D7">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5756C993">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5E64C79C">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64FBA991">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AB0609E">
      <w:pPr>
        <w:tabs>
          <w:tab w:val="left" w:pos="0"/>
        </w:tabs>
        <w:spacing w:line="360" w:lineRule="auto"/>
        <w:ind w:firstLine="480"/>
        <w:rPr>
          <w:rFonts w:ascii="宋体" w:hAnsi="宋体" w:cs="宋体"/>
          <w:sz w:val="24"/>
        </w:rPr>
      </w:pPr>
    </w:p>
    <w:p w14:paraId="3599747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B72E459">
      <w:pPr>
        <w:pStyle w:val="25"/>
        <w:spacing w:line="360" w:lineRule="auto"/>
        <w:ind w:firstLine="0" w:firstLineChars="0"/>
        <w:rPr>
          <w:rFonts w:cs="宋体"/>
          <w:b/>
        </w:rPr>
      </w:pPr>
      <w:r>
        <w:rPr>
          <w:rFonts w:hint="eastAsia" w:cs="宋体"/>
          <w:b/>
        </w:rPr>
        <w:t>30.验收</w:t>
      </w:r>
    </w:p>
    <w:p w14:paraId="26112908">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CCA864">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7CDD3A0">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937EA5">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0DBE8F83">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2" w:name="_Hlt68057669"/>
      <w:bookmarkEnd w:id="22"/>
      <w:bookmarkStart w:id="23" w:name="_Hlt74729768"/>
      <w:bookmarkEnd w:id="23"/>
      <w:bookmarkStart w:id="24" w:name="_Hlt68072990"/>
      <w:bookmarkEnd w:id="24"/>
      <w:bookmarkStart w:id="25" w:name="_Hlt68073093"/>
      <w:bookmarkEnd w:id="25"/>
      <w:bookmarkStart w:id="26" w:name="_Hlt68072998"/>
      <w:bookmarkEnd w:id="26"/>
      <w:bookmarkStart w:id="27" w:name="_Hlt75236101"/>
      <w:bookmarkEnd w:id="27"/>
      <w:bookmarkStart w:id="28" w:name="_Hlt75236011"/>
      <w:bookmarkEnd w:id="28"/>
      <w:bookmarkStart w:id="29" w:name="_Hlt68403820"/>
      <w:bookmarkEnd w:id="29"/>
      <w:bookmarkStart w:id="30" w:name="_Hlt74707468"/>
      <w:bookmarkEnd w:id="30"/>
      <w:bookmarkStart w:id="31" w:name="_Hlt74730295"/>
      <w:bookmarkEnd w:id="31"/>
      <w:bookmarkStart w:id="32" w:name="_Hlt75236290"/>
      <w:bookmarkEnd w:id="32"/>
      <w:bookmarkStart w:id="33" w:name="_Hlt74714665"/>
      <w:bookmarkEnd w:id="33"/>
    </w:p>
    <w:bookmarkEnd w:id="16"/>
    <w:bookmarkEnd w:id="17"/>
    <w:p w14:paraId="7E0290E8">
      <w:pPr>
        <w:spacing w:line="360" w:lineRule="auto"/>
        <w:jc w:val="center"/>
        <w:outlineLvl w:val="0"/>
        <w:rPr>
          <w:rFonts w:ascii="宋体" w:hAnsi="宋体" w:cs="宋体"/>
          <w:b/>
          <w:sz w:val="36"/>
          <w:szCs w:val="36"/>
        </w:rPr>
      </w:pPr>
      <w:bookmarkStart w:id="34" w:name="第四部分"/>
      <w:r>
        <w:rPr>
          <w:rFonts w:hint="eastAsia" w:ascii="宋体" w:hAnsi="宋体" w:cs="宋体"/>
          <w:b/>
          <w:sz w:val="36"/>
          <w:szCs w:val="36"/>
        </w:rPr>
        <w:t>第三部分   采购需求</w:t>
      </w:r>
    </w:p>
    <w:p w14:paraId="1E3E215F">
      <w:pPr>
        <w:pStyle w:val="4"/>
        <w:keepNext/>
        <w:keepLines/>
        <w:pageBreakBefore w:val="0"/>
        <w:widowControl w:val="0"/>
        <w:kinsoku/>
        <w:wordWrap/>
        <w:overflowPunct/>
        <w:topLinePunct w:val="0"/>
        <w:autoSpaceDE/>
        <w:autoSpaceDN/>
        <w:bidi w:val="0"/>
        <w:adjustRightInd w:val="0"/>
        <w:snapToGrid/>
        <w:spacing w:before="0" w:after="0" w:line="360" w:lineRule="auto"/>
        <w:ind w:left="901"/>
        <w:textAlignment w:val="auto"/>
        <w:rPr>
          <w:rFonts w:hint="eastAsia" w:asciiTheme="minorEastAsia" w:hAnsiTheme="minorEastAsia" w:eastAsiaTheme="minorEastAsia" w:cstheme="minorEastAsia"/>
          <w:sz w:val="24"/>
          <w:szCs w:val="24"/>
          <w:highlight w:val="none"/>
        </w:rPr>
      </w:pPr>
      <w:bookmarkStart w:id="35" w:name="_Toc420509195"/>
      <w:r>
        <w:rPr>
          <w:rFonts w:hint="eastAsia" w:asciiTheme="minorEastAsia" w:hAnsiTheme="minorEastAsia" w:eastAsiaTheme="minorEastAsia" w:cstheme="minorEastAsia"/>
          <w:sz w:val="24"/>
          <w:szCs w:val="24"/>
          <w:highlight w:val="none"/>
        </w:rPr>
        <w:t>一、</w:t>
      </w:r>
      <w:bookmarkEnd w:id="35"/>
      <w:r>
        <w:rPr>
          <w:rFonts w:hint="eastAsia" w:asciiTheme="minorEastAsia" w:hAnsiTheme="minorEastAsia" w:eastAsiaTheme="minorEastAsia" w:cstheme="minorEastAsia"/>
          <w:sz w:val="24"/>
          <w:szCs w:val="24"/>
          <w:highlight w:val="none"/>
        </w:rPr>
        <w:t>项目概况</w:t>
      </w:r>
    </w:p>
    <w:p w14:paraId="28BCC957">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kern w:val="0"/>
          <w:sz w:val="24"/>
          <w:szCs w:val="24"/>
          <w:highlight w:val="none"/>
          <w:u w:val="single"/>
          <w:lang w:eastAsia="zh-CN"/>
        </w:rPr>
        <w:t>桐庐县第二人民医院迁建项目污水处理系统采购项目</w:t>
      </w:r>
      <w:r>
        <w:rPr>
          <w:rFonts w:hint="eastAsia" w:asciiTheme="minorEastAsia" w:hAnsiTheme="minorEastAsia" w:eastAsiaTheme="minorEastAsia" w:cstheme="minorEastAsia"/>
          <w:kern w:val="0"/>
          <w:sz w:val="24"/>
          <w:szCs w:val="24"/>
          <w:highlight w:val="none"/>
          <w:u w:val="single"/>
        </w:rPr>
        <w:t>　</w:t>
      </w:r>
      <w:r>
        <w:rPr>
          <w:rFonts w:hint="eastAsia" w:asciiTheme="minorEastAsia" w:hAnsiTheme="minorEastAsia" w:eastAsiaTheme="minorEastAsia" w:cstheme="minorEastAsia"/>
          <w:sz w:val="24"/>
          <w:szCs w:val="24"/>
          <w:highlight w:val="none"/>
        </w:rPr>
        <w:t>,采购人为</w:t>
      </w:r>
      <w:r>
        <w:rPr>
          <w:rFonts w:hint="eastAsia" w:asciiTheme="minorEastAsia" w:hAnsiTheme="minorEastAsia" w:eastAsiaTheme="minorEastAsia" w:cstheme="minorEastAsia"/>
          <w:sz w:val="24"/>
          <w:szCs w:val="24"/>
          <w:highlight w:val="none"/>
          <w:u w:val="single"/>
        </w:rPr>
        <w:t>桐庐县第二人民医院（杭州市第一人民医院桐庐分院）</w:t>
      </w:r>
      <w:r>
        <w:rPr>
          <w:rFonts w:hint="eastAsia" w:asciiTheme="minorEastAsia" w:hAnsiTheme="minorEastAsia" w:eastAsiaTheme="minorEastAsia" w:cstheme="minorEastAsia"/>
          <w:sz w:val="24"/>
          <w:szCs w:val="24"/>
          <w:highlight w:val="none"/>
        </w:rPr>
        <w:t>，根据相关文件规定，经相关部门批准，现对该项目进行</w:t>
      </w:r>
      <w:r>
        <w:rPr>
          <w:rFonts w:hint="eastAsia" w:asciiTheme="minorEastAsia" w:hAnsiTheme="minorEastAsia" w:eastAsiaTheme="minorEastAsia" w:cstheme="minorEastAsia"/>
          <w:sz w:val="24"/>
          <w:szCs w:val="24"/>
          <w:highlight w:val="none"/>
          <w:u w:val="single"/>
        </w:rPr>
        <w:t>公开招标</w:t>
      </w:r>
      <w:r>
        <w:rPr>
          <w:rFonts w:hint="eastAsia" w:asciiTheme="minorEastAsia" w:hAnsiTheme="minorEastAsia" w:eastAsiaTheme="minorEastAsia" w:cstheme="minorEastAsia"/>
          <w:sz w:val="24"/>
          <w:szCs w:val="24"/>
          <w:highlight w:val="none"/>
        </w:rPr>
        <w:t>招标。</w:t>
      </w:r>
    </w:p>
    <w:p w14:paraId="6B22E993">
      <w:pPr>
        <w:pStyle w:val="4"/>
        <w:keepNext/>
        <w:keepLines/>
        <w:pageBreakBefore w:val="0"/>
        <w:widowControl w:val="0"/>
        <w:kinsoku/>
        <w:wordWrap/>
        <w:overflowPunct/>
        <w:topLinePunct w:val="0"/>
        <w:autoSpaceDE/>
        <w:autoSpaceDN/>
        <w:bidi w:val="0"/>
        <w:adjustRightInd w:val="0"/>
        <w:snapToGrid/>
        <w:spacing w:before="0" w:after="0" w:line="360" w:lineRule="auto"/>
        <w:ind w:left="901"/>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bookmarkStart w:id="36" w:name="_Toc184635055"/>
      <w:r>
        <w:rPr>
          <w:rFonts w:hint="eastAsia" w:asciiTheme="minorEastAsia" w:hAnsiTheme="minorEastAsia" w:eastAsiaTheme="minorEastAsia" w:cstheme="minorEastAsia"/>
          <w:sz w:val="24"/>
          <w:szCs w:val="24"/>
          <w:highlight w:val="none"/>
        </w:rPr>
        <w:t>采购内容及要求</w:t>
      </w:r>
      <w:bookmarkEnd w:id="36"/>
    </w:p>
    <w:p w14:paraId="3789BB36">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ind w:firstLine="482" w:firstLineChars="200"/>
        <w:jc w:val="both"/>
        <w:textAlignment w:val="baseline"/>
        <w:rPr>
          <w:rFonts w:hint="eastAsia" w:asciiTheme="minorEastAsia" w:hAnsiTheme="minorEastAsia" w:eastAsiaTheme="minorEastAsia" w:cstheme="minorEastAsia"/>
          <w:b/>
          <w:bCs w:val="0"/>
          <w:kern w:val="0"/>
          <w:sz w:val="24"/>
          <w:szCs w:val="24"/>
          <w:highlight w:val="none"/>
          <w:lang w:eastAsia="zh-CN"/>
        </w:rPr>
      </w:pPr>
      <w:r>
        <w:rPr>
          <w:rFonts w:hint="eastAsia" w:asciiTheme="minorEastAsia" w:hAnsiTheme="minorEastAsia" w:eastAsiaTheme="minorEastAsia" w:cstheme="minorEastAsia"/>
          <w:b/>
          <w:bCs w:val="0"/>
          <w:kern w:val="0"/>
          <w:sz w:val="24"/>
          <w:szCs w:val="24"/>
          <w:highlight w:val="none"/>
          <w:lang w:eastAsia="zh-CN"/>
        </w:rPr>
        <w:t>（</w:t>
      </w:r>
      <w:r>
        <w:rPr>
          <w:rFonts w:hint="eastAsia" w:asciiTheme="minorEastAsia" w:hAnsiTheme="minorEastAsia" w:eastAsiaTheme="minorEastAsia" w:cstheme="minorEastAsia"/>
          <w:b/>
          <w:bCs w:val="0"/>
          <w:kern w:val="0"/>
          <w:sz w:val="24"/>
          <w:szCs w:val="24"/>
          <w:highlight w:val="none"/>
          <w:lang w:val="en-US" w:eastAsia="zh-CN"/>
        </w:rPr>
        <w:t>一</w:t>
      </w:r>
      <w:r>
        <w:rPr>
          <w:rFonts w:hint="eastAsia" w:asciiTheme="minorEastAsia" w:hAnsiTheme="minorEastAsia" w:eastAsiaTheme="minorEastAsia" w:cstheme="minorEastAsia"/>
          <w:b/>
          <w:bCs w:val="0"/>
          <w:kern w:val="0"/>
          <w:sz w:val="24"/>
          <w:szCs w:val="24"/>
          <w:highlight w:val="none"/>
          <w:lang w:eastAsia="zh-CN"/>
        </w:rPr>
        <w:t>）采购内容</w:t>
      </w:r>
    </w:p>
    <w:p w14:paraId="1B8AB3C6">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ind w:firstLine="482" w:firstLineChars="200"/>
        <w:jc w:val="both"/>
        <w:textAlignment w:val="baseline"/>
        <w:rPr>
          <w:rFonts w:hint="eastAsia" w:asciiTheme="minorEastAsia" w:hAnsiTheme="minorEastAsia" w:eastAsiaTheme="minorEastAsia" w:cstheme="minorEastAsia"/>
          <w:b/>
          <w:bCs w:val="0"/>
          <w:kern w:val="0"/>
          <w:sz w:val="24"/>
          <w:szCs w:val="24"/>
          <w:highlight w:val="none"/>
          <w:lang w:eastAsia="zh-CN"/>
        </w:rPr>
      </w:pPr>
      <w:r>
        <w:rPr>
          <w:rFonts w:hint="eastAsia" w:asciiTheme="minorEastAsia" w:hAnsiTheme="minorEastAsia" w:eastAsiaTheme="minorEastAsia" w:cstheme="minorEastAsia"/>
          <w:b/>
          <w:bCs w:val="0"/>
          <w:kern w:val="0"/>
          <w:sz w:val="24"/>
          <w:szCs w:val="24"/>
          <w:highlight w:val="none"/>
        </w:rPr>
        <w:t>本项目的</w:t>
      </w:r>
      <w:r>
        <w:rPr>
          <w:rFonts w:hint="eastAsia" w:asciiTheme="minorEastAsia" w:hAnsiTheme="minorEastAsia" w:eastAsiaTheme="minorEastAsia" w:cstheme="minorEastAsia"/>
          <w:b/>
          <w:bCs w:val="0"/>
          <w:kern w:val="0"/>
          <w:sz w:val="24"/>
          <w:szCs w:val="24"/>
          <w:highlight w:val="none"/>
          <w:lang w:eastAsia="zh-CN"/>
        </w:rPr>
        <w:t>采购</w:t>
      </w:r>
      <w:r>
        <w:rPr>
          <w:rFonts w:hint="eastAsia" w:asciiTheme="minorEastAsia" w:hAnsiTheme="minorEastAsia" w:eastAsiaTheme="minorEastAsia" w:cstheme="minorEastAsia"/>
          <w:b/>
          <w:bCs w:val="0"/>
          <w:kern w:val="0"/>
          <w:sz w:val="24"/>
          <w:szCs w:val="24"/>
          <w:highlight w:val="none"/>
        </w:rPr>
        <w:t>内容主要为</w:t>
      </w:r>
      <w:r>
        <w:rPr>
          <w:rFonts w:hint="eastAsia" w:asciiTheme="minorEastAsia" w:hAnsiTheme="minorEastAsia" w:eastAsiaTheme="minorEastAsia" w:cstheme="minorEastAsia"/>
          <w:b/>
          <w:bCs w:val="0"/>
          <w:kern w:val="0"/>
          <w:sz w:val="24"/>
          <w:szCs w:val="24"/>
          <w:highlight w:val="none"/>
          <w:lang w:eastAsia="zh-CN"/>
        </w:rPr>
        <w:t>桐庐县第二人民医院迁建项目污水处理系统采购项目，采购清单如下：（若下述技术参数要求与图纸不一致的，均以图纸为准）</w:t>
      </w:r>
    </w:p>
    <w:tbl>
      <w:tblPr>
        <w:tblStyle w:val="63"/>
        <w:tblW w:w="55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664"/>
        <w:gridCol w:w="1276"/>
        <w:gridCol w:w="2224"/>
        <w:gridCol w:w="713"/>
        <w:gridCol w:w="574"/>
        <w:gridCol w:w="1018"/>
        <w:gridCol w:w="1135"/>
        <w:gridCol w:w="1275"/>
      </w:tblGrid>
      <w:tr w14:paraId="4073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noWrap w:val="0"/>
            <w:vAlign w:val="center"/>
          </w:tcPr>
          <w:p w14:paraId="64ABAE99">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350" w:type="pct"/>
            <w:noWrap w:val="0"/>
            <w:vAlign w:val="center"/>
          </w:tcPr>
          <w:p w14:paraId="58FF1BFE">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设备编号</w:t>
            </w:r>
          </w:p>
        </w:tc>
        <w:tc>
          <w:tcPr>
            <w:tcW w:w="673" w:type="pct"/>
            <w:noWrap w:val="0"/>
            <w:vAlign w:val="center"/>
          </w:tcPr>
          <w:p w14:paraId="222F1006">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设备名称</w:t>
            </w:r>
          </w:p>
        </w:tc>
        <w:tc>
          <w:tcPr>
            <w:tcW w:w="1174" w:type="pct"/>
            <w:noWrap w:val="0"/>
            <w:vAlign w:val="center"/>
          </w:tcPr>
          <w:p w14:paraId="626290C9">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设备型号、规格及主要技术参数</w:t>
            </w:r>
          </w:p>
        </w:tc>
        <w:tc>
          <w:tcPr>
            <w:tcW w:w="376" w:type="pct"/>
            <w:noWrap w:val="0"/>
            <w:vAlign w:val="center"/>
          </w:tcPr>
          <w:p w14:paraId="2EE63B0C">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单位</w:t>
            </w:r>
          </w:p>
        </w:tc>
        <w:tc>
          <w:tcPr>
            <w:tcW w:w="303" w:type="pct"/>
            <w:noWrap w:val="0"/>
            <w:vAlign w:val="center"/>
          </w:tcPr>
          <w:p w14:paraId="1F577478">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w:t>
            </w:r>
          </w:p>
        </w:tc>
        <w:tc>
          <w:tcPr>
            <w:tcW w:w="537" w:type="pct"/>
            <w:noWrap w:val="0"/>
            <w:vAlign w:val="center"/>
          </w:tcPr>
          <w:p w14:paraId="72B59AE9">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材质</w:t>
            </w:r>
          </w:p>
        </w:tc>
        <w:tc>
          <w:tcPr>
            <w:tcW w:w="599" w:type="pct"/>
            <w:noWrap w:val="0"/>
            <w:vAlign w:val="center"/>
          </w:tcPr>
          <w:p w14:paraId="58939003">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单机功率</w:t>
            </w:r>
          </w:p>
        </w:tc>
        <w:tc>
          <w:tcPr>
            <w:tcW w:w="673" w:type="pct"/>
            <w:noWrap w:val="0"/>
            <w:vAlign w:val="center"/>
          </w:tcPr>
          <w:p w14:paraId="1CE7E544">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 注</w:t>
            </w:r>
          </w:p>
        </w:tc>
      </w:tr>
      <w:tr w14:paraId="07D9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noWrap w:val="0"/>
            <w:vAlign w:val="center"/>
          </w:tcPr>
          <w:p w14:paraId="6CE9B784">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350" w:type="pct"/>
            <w:noWrap w:val="0"/>
            <w:vAlign w:val="center"/>
          </w:tcPr>
          <w:p w14:paraId="77046357">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E01</w:t>
            </w:r>
          </w:p>
        </w:tc>
        <w:tc>
          <w:tcPr>
            <w:tcW w:w="673" w:type="pct"/>
            <w:noWrap w:val="0"/>
            <w:vAlign w:val="center"/>
          </w:tcPr>
          <w:p w14:paraId="540ED5F9">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回转式机械格栅</w:t>
            </w:r>
          </w:p>
        </w:tc>
        <w:tc>
          <w:tcPr>
            <w:tcW w:w="1174" w:type="pct"/>
            <w:noWrap w:val="0"/>
            <w:vAlign w:val="center"/>
          </w:tcPr>
          <w:p w14:paraId="08ED3F86">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B=0.5m,H=4.8m，栅条间隙：5mm</w:t>
            </w:r>
          </w:p>
        </w:tc>
        <w:tc>
          <w:tcPr>
            <w:tcW w:w="376" w:type="pct"/>
            <w:noWrap w:val="0"/>
            <w:vAlign w:val="center"/>
          </w:tcPr>
          <w:p w14:paraId="0C62940D">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303" w:type="pct"/>
            <w:noWrap w:val="0"/>
            <w:vAlign w:val="center"/>
          </w:tcPr>
          <w:p w14:paraId="72050F8A">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37" w:type="pct"/>
            <w:noWrap w:val="0"/>
            <w:vAlign w:val="center"/>
          </w:tcPr>
          <w:p w14:paraId="16DFC04D">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SUS304</w:t>
            </w:r>
          </w:p>
        </w:tc>
        <w:tc>
          <w:tcPr>
            <w:tcW w:w="599" w:type="pct"/>
            <w:noWrap w:val="0"/>
            <w:vAlign w:val="center"/>
          </w:tcPr>
          <w:p w14:paraId="35FFDD3D">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1.1KW</w:t>
            </w:r>
          </w:p>
        </w:tc>
        <w:tc>
          <w:tcPr>
            <w:tcW w:w="673" w:type="pct"/>
            <w:noWrap w:val="0"/>
            <w:vAlign w:val="center"/>
          </w:tcPr>
          <w:p w14:paraId="2FEF3A58">
            <w:pPr>
              <w:pStyle w:val="626"/>
              <w:rPr>
                <w:rFonts w:hint="eastAsia" w:asciiTheme="minorEastAsia" w:hAnsiTheme="minorEastAsia" w:eastAsiaTheme="minorEastAsia" w:cstheme="minorEastAsia"/>
                <w:sz w:val="24"/>
                <w:szCs w:val="24"/>
                <w:highlight w:val="none"/>
              </w:rPr>
            </w:pPr>
          </w:p>
        </w:tc>
      </w:tr>
      <w:tr w14:paraId="3D5F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312" w:type="pct"/>
            <w:noWrap w:val="0"/>
            <w:vAlign w:val="center"/>
          </w:tcPr>
          <w:p w14:paraId="77F0A524">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350" w:type="pct"/>
            <w:noWrap w:val="0"/>
            <w:vAlign w:val="center"/>
          </w:tcPr>
          <w:p w14:paraId="2BB67C89">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P01</w:t>
            </w:r>
          </w:p>
        </w:tc>
        <w:tc>
          <w:tcPr>
            <w:tcW w:w="673" w:type="pct"/>
            <w:noWrap w:val="0"/>
            <w:vAlign w:val="center"/>
          </w:tcPr>
          <w:p w14:paraId="600203DE">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调节池潜水提升泵</w:t>
            </w:r>
          </w:p>
        </w:tc>
        <w:tc>
          <w:tcPr>
            <w:tcW w:w="1174" w:type="pct"/>
            <w:noWrap w:val="0"/>
            <w:vAlign w:val="center"/>
          </w:tcPr>
          <w:p w14:paraId="0EDA3D7B">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型号：50WQ15-10-</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sz w:val="24"/>
                <w:szCs w:val="24"/>
                <w:highlight w:val="none"/>
              </w:rPr>
              <w:t>，Q=15m³/h，H=10m</w:t>
            </w:r>
          </w:p>
        </w:tc>
        <w:tc>
          <w:tcPr>
            <w:tcW w:w="376" w:type="pct"/>
            <w:noWrap w:val="0"/>
            <w:vAlign w:val="center"/>
          </w:tcPr>
          <w:p w14:paraId="38CCE1BB">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303" w:type="pct"/>
            <w:noWrap w:val="0"/>
            <w:vAlign w:val="center"/>
          </w:tcPr>
          <w:p w14:paraId="3D8E3E3F">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537" w:type="pct"/>
            <w:noWrap w:val="0"/>
            <w:vAlign w:val="center"/>
          </w:tcPr>
          <w:p w14:paraId="7531A512">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HT200</w:t>
            </w:r>
          </w:p>
        </w:tc>
        <w:tc>
          <w:tcPr>
            <w:tcW w:w="599" w:type="pct"/>
            <w:noWrap w:val="0"/>
            <w:vAlign w:val="center"/>
          </w:tcPr>
          <w:p w14:paraId="325723E6">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KW</w:t>
            </w:r>
          </w:p>
        </w:tc>
        <w:tc>
          <w:tcPr>
            <w:tcW w:w="673" w:type="pct"/>
            <w:noWrap w:val="0"/>
            <w:vAlign w:val="center"/>
          </w:tcPr>
          <w:p w14:paraId="0A091C55">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1用1备，配置自耦提升装置</w:t>
            </w:r>
          </w:p>
        </w:tc>
      </w:tr>
      <w:tr w14:paraId="5B65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noWrap w:val="0"/>
            <w:vAlign w:val="center"/>
          </w:tcPr>
          <w:p w14:paraId="08FCB66C">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350" w:type="pct"/>
            <w:noWrap w:val="0"/>
            <w:vAlign w:val="center"/>
          </w:tcPr>
          <w:p w14:paraId="71127DB6">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P02</w:t>
            </w:r>
          </w:p>
        </w:tc>
        <w:tc>
          <w:tcPr>
            <w:tcW w:w="673" w:type="pct"/>
            <w:noWrap w:val="0"/>
            <w:vAlign w:val="center"/>
          </w:tcPr>
          <w:p w14:paraId="6A345DFD">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应急池潜水提升泵</w:t>
            </w:r>
          </w:p>
        </w:tc>
        <w:tc>
          <w:tcPr>
            <w:tcW w:w="1174" w:type="pct"/>
            <w:noWrap w:val="0"/>
            <w:vAlign w:val="center"/>
          </w:tcPr>
          <w:p w14:paraId="513110F2">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型号：50WQ15-10-</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sz w:val="24"/>
                <w:szCs w:val="24"/>
                <w:highlight w:val="none"/>
              </w:rPr>
              <w:t>，Q=15m³/h，H=10m</w:t>
            </w:r>
          </w:p>
        </w:tc>
        <w:tc>
          <w:tcPr>
            <w:tcW w:w="376" w:type="pct"/>
            <w:noWrap w:val="0"/>
            <w:vAlign w:val="center"/>
          </w:tcPr>
          <w:p w14:paraId="3AD37461">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303" w:type="pct"/>
            <w:noWrap w:val="0"/>
            <w:vAlign w:val="center"/>
          </w:tcPr>
          <w:p w14:paraId="6C9E70EB">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37" w:type="pct"/>
            <w:noWrap w:val="0"/>
            <w:vAlign w:val="center"/>
          </w:tcPr>
          <w:p w14:paraId="74F4C04B">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HT200</w:t>
            </w:r>
          </w:p>
        </w:tc>
        <w:tc>
          <w:tcPr>
            <w:tcW w:w="599" w:type="pct"/>
            <w:noWrap w:val="0"/>
            <w:vAlign w:val="center"/>
          </w:tcPr>
          <w:p w14:paraId="294768F9">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KW</w:t>
            </w:r>
          </w:p>
        </w:tc>
        <w:tc>
          <w:tcPr>
            <w:tcW w:w="673" w:type="pct"/>
            <w:noWrap w:val="0"/>
            <w:vAlign w:val="center"/>
          </w:tcPr>
          <w:p w14:paraId="73B916B9">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配置自耦提升装置</w:t>
            </w:r>
          </w:p>
        </w:tc>
      </w:tr>
      <w:tr w14:paraId="1EEA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noWrap w:val="0"/>
            <w:vAlign w:val="center"/>
          </w:tcPr>
          <w:p w14:paraId="7B352F3A">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350" w:type="pct"/>
            <w:noWrap w:val="0"/>
            <w:vAlign w:val="center"/>
          </w:tcPr>
          <w:p w14:paraId="1D1D2857">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P03</w:t>
            </w:r>
          </w:p>
        </w:tc>
        <w:tc>
          <w:tcPr>
            <w:tcW w:w="673" w:type="pct"/>
            <w:noWrap w:val="0"/>
            <w:vAlign w:val="center"/>
          </w:tcPr>
          <w:p w14:paraId="26889575">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污泥回流泵</w:t>
            </w:r>
          </w:p>
        </w:tc>
        <w:tc>
          <w:tcPr>
            <w:tcW w:w="1174" w:type="pct"/>
            <w:noWrap w:val="0"/>
            <w:vAlign w:val="center"/>
          </w:tcPr>
          <w:p w14:paraId="11AD9761">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型号：50WQ10-10-0.75，Q=10m³/h，H=10m</w:t>
            </w:r>
          </w:p>
        </w:tc>
        <w:tc>
          <w:tcPr>
            <w:tcW w:w="376" w:type="pct"/>
            <w:noWrap w:val="0"/>
            <w:vAlign w:val="center"/>
          </w:tcPr>
          <w:p w14:paraId="148F20F5">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303" w:type="pct"/>
            <w:noWrap w:val="0"/>
            <w:vAlign w:val="center"/>
          </w:tcPr>
          <w:p w14:paraId="1CD91786">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537" w:type="pct"/>
            <w:noWrap w:val="0"/>
            <w:vAlign w:val="center"/>
          </w:tcPr>
          <w:p w14:paraId="0ACA3287">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HT200</w:t>
            </w:r>
          </w:p>
        </w:tc>
        <w:tc>
          <w:tcPr>
            <w:tcW w:w="599" w:type="pct"/>
            <w:noWrap w:val="0"/>
            <w:vAlign w:val="center"/>
          </w:tcPr>
          <w:p w14:paraId="37363157">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0.75KW</w:t>
            </w:r>
          </w:p>
        </w:tc>
        <w:tc>
          <w:tcPr>
            <w:tcW w:w="673" w:type="pct"/>
            <w:noWrap w:val="0"/>
            <w:vAlign w:val="center"/>
          </w:tcPr>
          <w:p w14:paraId="70EDB161">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1用1备，配置自耦提升装置</w:t>
            </w:r>
          </w:p>
        </w:tc>
      </w:tr>
      <w:tr w14:paraId="4F26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noWrap w:val="0"/>
            <w:vAlign w:val="center"/>
          </w:tcPr>
          <w:p w14:paraId="52A01BFE">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350" w:type="pct"/>
            <w:noWrap w:val="0"/>
            <w:vAlign w:val="center"/>
          </w:tcPr>
          <w:p w14:paraId="2D5CCA91">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P04</w:t>
            </w:r>
          </w:p>
        </w:tc>
        <w:tc>
          <w:tcPr>
            <w:tcW w:w="673" w:type="pct"/>
            <w:noWrap w:val="0"/>
            <w:vAlign w:val="center"/>
          </w:tcPr>
          <w:p w14:paraId="7C34C781">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潜水搅拌机</w:t>
            </w:r>
          </w:p>
        </w:tc>
        <w:tc>
          <w:tcPr>
            <w:tcW w:w="1174" w:type="pct"/>
            <w:noWrap w:val="0"/>
            <w:vAlign w:val="center"/>
          </w:tcPr>
          <w:p w14:paraId="5DD413DE">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型号：QBJ1.5/8-400/3-740，SUS304</w:t>
            </w:r>
          </w:p>
        </w:tc>
        <w:tc>
          <w:tcPr>
            <w:tcW w:w="376" w:type="pct"/>
            <w:noWrap w:val="0"/>
            <w:vAlign w:val="center"/>
          </w:tcPr>
          <w:p w14:paraId="76EBD095">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303" w:type="pct"/>
            <w:noWrap w:val="0"/>
            <w:vAlign w:val="center"/>
          </w:tcPr>
          <w:p w14:paraId="663BDA28">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537" w:type="pct"/>
            <w:noWrap w:val="0"/>
            <w:vAlign w:val="center"/>
          </w:tcPr>
          <w:p w14:paraId="09B7E220">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SUS304</w:t>
            </w:r>
          </w:p>
        </w:tc>
        <w:tc>
          <w:tcPr>
            <w:tcW w:w="599" w:type="pct"/>
            <w:noWrap w:val="0"/>
            <w:vAlign w:val="center"/>
          </w:tcPr>
          <w:p w14:paraId="75DE9B2B">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1.5KW</w:t>
            </w:r>
          </w:p>
        </w:tc>
        <w:tc>
          <w:tcPr>
            <w:tcW w:w="673" w:type="pct"/>
            <w:noWrap w:val="0"/>
            <w:vAlign w:val="center"/>
          </w:tcPr>
          <w:p w14:paraId="24382AC4">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配不锈钢导杆</w:t>
            </w:r>
          </w:p>
        </w:tc>
      </w:tr>
      <w:tr w14:paraId="13C6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noWrap w:val="0"/>
            <w:vAlign w:val="center"/>
          </w:tcPr>
          <w:p w14:paraId="783F1213">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350" w:type="pct"/>
            <w:noWrap w:val="0"/>
            <w:vAlign w:val="center"/>
          </w:tcPr>
          <w:p w14:paraId="146BB25E">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E02</w:t>
            </w:r>
          </w:p>
        </w:tc>
        <w:tc>
          <w:tcPr>
            <w:tcW w:w="673" w:type="pct"/>
            <w:noWrap w:val="0"/>
            <w:vAlign w:val="center"/>
          </w:tcPr>
          <w:p w14:paraId="0F738E3A">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液位控制器</w:t>
            </w:r>
          </w:p>
        </w:tc>
        <w:tc>
          <w:tcPr>
            <w:tcW w:w="1174" w:type="pct"/>
            <w:noWrap w:val="0"/>
            <w:vAlign w:val="center"/>
          </w:tcPr>
          <w:p w14:paraId="07C2BEDF">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型号：DG-P18</w:t>
            </w:r>
          </w:p>
        </w:tc>
        <w:tc>
          <w:tcPr>
            <w:tcW w:w="376" w:type="pct"/>
            <w:noWrap w:val="0"/>
            <w:vAlign w:val="center"/>
          </w:tcPr>
          <w:p w14:paraId="4E218ACD">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303" w:type="pct"/>
            <w:noWrap w:val="0"/>
            <w:vAlign w:val="center"/>
          </w:tcPr>
          <w:p w14:paraId="5666412E">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537" w:type="pct"/>
            <w:noWrap w:val="0"/>
            <w:vAlign w:val="center"/>
          </w:tcPr>
          <w:p w14:paraId="29ED74B0">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SS304</w:t>
            </w:r>
          </w:p>
        </w:tc>
        <w:tc>
          <w:tcPr>
            <w:tcW w:w="599" w:type="pct"/>
            <w:noWrap w:val="0"/>
            <w:vAlign w:val="center"/>
          </w:tcPr>
          <w:p w14:paraId="786C3889">
            <w:pPr>
              <w:pStyle w:val="626"/>
              <w:rPr>
                <w:rFonts w:hint="eastAsia" w:asciiTheme="minorEastAsia" w:hAnsiTheme="minorEastAsia" w:eastAsiaTheme="minorEastAsia" w:cstheme="minorEastAsia"/>
                <w:sz w:val="24"/>
                <w:szCs w:val="24"/>
                <w:highlight w:val="none"/>
              </w:rPr>
            </w:pPr>
          </w:p>
        </w:tc>
        <w:tc>
          <w:tcPr>
            <w:tcW w:w="673" w:type="pct"/>
            <w:noWrap w:val="0"/>
            <w:vAlign w:val="center"/>
          </w:tcPr>
          <w:p w14:paraId="6F8A1539">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投入式液位计，调节池及事故池</w:t>
            </w:r>
          </w:p>
        </w:tc>
      </w:tr>
      <w:tr w14:paraId="5A8F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noWrap w:val="0"/>
            <w:vAlign w:val="center"/>
          </w:tcPr>
          <w:p w14:paraId="45731820">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w:t>
            </w:r>
          </w:p>
        </w:tc>
        <w:tc>
          <w:tcPr>
            <w:tcW w:w="350" w:type="pct"/>
            <w:noWrap w:val="0"/>
            <w:vAlign w:val="center"/>
          </w:tcPr>
          <w:p w14:paraId="1D8D4DD4">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E03</w:t>
            </w:r>
          </w:p>
        </w:tc>
        <w:tc>
          <w:tcPr>
            <w:tcW w:w="673" w:type="pct"/>
            <w:noWrap w:val="0"/>
            <w:vAlign w:val="center"/>
          </w:tcPr>
          <w:p w14:paraId="6FF33A91">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电磁流量计</w:t>
            </w:r>
          </w:p>
        </w:tc>
        <w:tc>
          <w:tcPr>
            <w:tcW w:w="1174" w:type="pct"/>
            <w:noWrap w:val="0"/>
            <w:vAlign w:val="center"/>
          </w:tcPr>
          <w:p w14:paraId="2AFA402F">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DN50 量程：0-40m³/h 内衬四氟</w:t>
            </w:r>
          </w:p>
        </w:tc>
        <w:tc>
          <w:tcPr>
            <w:tcW w:w="376" w:type="pct"/>
            <w:noWrap w:val="0"/>
            <w:vAlign w:val="center"/>
          </w:tcPr>
          <w:p w14:paraId="05946CF1">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303" w:type="pct"/>
            <w:noWrap w:val="0"/>
            <w:vAlign w:val="center"/>
          </w:tcPr>
          <w:p w14:paraId="615C72B8">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37" w:type="pct"/>
            <w:noWrap w:val="0"/>
            <w:vAlign w:val="center"/>
          </w:tcPr>
          <w:p w14:paraId="69F1CE59">
            <w:pPr>
              <w:pStyle w:val="626"/>
              <w:rPr>
                <w:rFonts w:hint="eastAsia" w:asciiTheme="minorEastAsia" w:hAnsiTheme="minorEastAsia" w:eastAsiaTheme="minorEastAsia" w:cstheme="minorEastAsia"/>
                <w:sz w:val="24"/>
                <w:szCs w:val="24"/>
                <w:highlight w:val="none"/>
              </w:rPr>
            </w:pPr>
          </w:p>
        </w:tc>
        <w:tc>
          <w:tcPr>
            <w:tcW w:w="599" w:type="pct"/>
            <w:noWrap w:val="0"/>
            <w:vAlign w:val="center"/>
          </w:tcPr>
          <w:p w14:paraId="4AFC6823">
            <w:pPr>
              <w:pStyle w:val="626"/>
              <w:rPr>
                <w:rFonts w:hint="eastAsia" w:asciiTheme="minorEastAsia" w:hAnsiTheme="minorEastAsia" w:eastAsiaTheme="minorEastAsia" w:cstheme="minorEastAsia"/>
                <w:sz w:val="24"/>
                <w:szCs w:val="24"/>
                <w:highlight w:val="none"/>
              </w:rPr>
            </w:pPr>
          </w:p>
        </w:tc>
        <w:tc>
          <w:tcPr>
            <w:tcW w:w="673" w:type="pct"/>
            <w:noWrap w:val="0"/>
            <w:vAlign w:val="center"/>
          </w:tcPr>
          <w:p w14:paraId="3B6FFF18">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进水电磁流量计</w:t>
            </w:r>
          </w:p>
        </w:tc>
      </w:tr>
      <w:tr w14:paraId="0F2F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noWrap w:val="0"/>
            <w:vAlign w:val="center"/>
          </w:tcPr>
          <w:p w14:paraId="17EA2F3C">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w:t>
            </w:r>
          </w:p>
        </w:tc>
        <w:tc>
          <w:tcPr>
            <w:tcW w:w="350" w:type="pct"/>
            <w:noWrap w:val="0"/>
            <w:vAlign w:val="center"/>
          </w:tcPr>
          <w:p w14:paraId="33BB0150">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E04</w:t>
            </w:r>
          </w:p>
        </w:tc>
        <w:tc>
          <w:tcPr>
            <w:tcW w:w="673" w:type="pct"/>
            <w:noWrap w:val="0"/>
            <w:vAlign w:val="center"/>
          </w:tcPr>
          <w:p w14:paraId="3E25488F">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鼓风机</w:t>
            </w:r>
          </w:p>
        </w:tc>
        <w:tc>
          <w:tcPr>
            <w:tcW w:w="1174" w:type="pct"/>
            <w:noWrap w:val="0"/>
            <w:vAlign w:val="center"/>
          </w:tcPr>
          <w:p w14:paraId="15F7CD79">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型号：HZ-801S 口径DN65 Q=3.3m³/h H=4m</w:t>
            </w:r>
          </w:p>
        </w:tc>
        <w:tc>
          <w:tcPr>
            <w:tcW w:w="376" w:type="pct"/>
            <w:noWrap w:val="0"/>
            <w:vAlign w:val="center"/>
          </w:tcPr>
          <w:p w14:paraId="478CCAB3">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303" w:type="pct"/>
            <w:noWrap w:val="0"/>
            <w:vAlign w:val="center"/>
          </w:tcPr>
          <w:p w14:paraId="6B68CDA1">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537" w:type="pct"/>
            <w:noWrap w:val="0"/>
            <w:vAlign w:val="center"/>
          </w:tcPr>
          <w:p w14:paraId="41F5B910">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碳钢</w:t>
            </w:r>
          </w:p>
        </w:tc>
        <w:tc>
          <w:tcPr>
            <w:tcW w:w="599" w:type="pct"/>
            <w:noWrap w:val="0"/>
            <w:vAlign w:val="center"/>
          </w:tcPr>
          <w:p w14:paraId="60D05D52">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5.5KW</w:t>
            </w:r>
          </w:p>
        </w:tc>
        <w:tc>
          <w:tcPr>
            <w:tcW w:w="673" w:type="pct"/>
            <w:noWrap w:val="0"/>
            <w:vAlign w:val="center"/>
          </w:tcPr>
          <w:p w14:paraId="6B2EBBE4">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1用1备</w:t>
            </w:r>
          </w:p>
        </w:tc>
      </w:tr>
      <w:tr w14:paraId="218D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noWrap w:val="0"/>
            <w:vAlign w:val="center"/>
          </w:tcPr>
          <w:p w14:paraId="7A239188">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p>
        </w:tc>
        <w:tc>
          <w:tcPr>
            <w:tcW w:w="350" w:type="pct"/>
            <w:noWrap w:val="0"/>
            <w:vAlign w:val="center"/>
          </w:tcPr>
          <w:p w14:paraId="2753CF45">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E05</w:t>
            </w:r>
          </w:p>
        </w:tc>
        <w:tc>
          <w:tcPr>
            <w:tcW w:w="673" w:type="pct"/>
            <w:noWrap w:val="0"/>
            <w:vAlign w:val="center"/>
          </w:tcPr>
          <w:p w14:paraId="751DE13F">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微孔曝气器</w:t>
            </w:r>
          </w:p>
        </w:tc>
        <w:tc>
          <w:tcPr>
            <w:tcW w:w="1174" w:type="pct"/>
            <w:noWrap w:val="0"/>
            <w:vAlign w:val="center"/>
          </w:tcPr>
          <w:p w14:paraId="020C9F42">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Φ215mm  可变孔橡胶膜片</w:t>
            </w:r>
          </w:p>
        </w:tc>
        <w:tc>
          <w:tcPr>
            <w:tcW w:w="376" w:type="pct"/>
            <w:noWrap w:val="0"/>
            <w:vAlign w:val="center"/>
          </w:tcPr>
          <w:p w14:paraId="74D081D0">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套</w:t>
            </w:r>
          </w:p>
        </w:tc>
        <w:tc>
          <w:tcPr>
            <w:tcW w:w="303" w:type="pct"/>
            <w:noWrap w:val="0"/>
            <w:vAlign w:val="center"/>
          </w:tcPr>
          <w:p w14:paraId="05B23478">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88</w:t>
            </w:r>
          </w:p>
        </w:tc>
        <w:tc>
          <w:tcPr>
            <w:tcW w:w="537" w:type="pct"/>
            <w:noWrap w:val="0"/>
            <w:vAlign w:val="center"/>
          </w:tcPr>
          <w:p w14:paraId="5C731F4A">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橡胶</w:t>
            </w:r>
          </w:p>
        </w:tc>
        <w:tc>
          <w:tcPr>
            <w:tcW w:w="599" w:type="pct"/>
            <w:noWrap w:val="0"/>
            <w:vAlign w:val="center"/>
          </w:tcPr>
          <w:p w14:paraId="79DBC3B4">
            <w:pPr>
              <w:pStyle w:val="626"/>
              <w:rPr>
                <w:rFonts w:hint="eastAsia" w:asciiTheme="minorEastAsia" w:hAnsiTheme="minorEastAsia" w:eastAsiaTheme="minorEastAsia" w:cstheme="minorEastAsia"/>
                <w:sz w:val="24"/>
                <w:szCs w:val="24"/>
                <w:highlight w:val="none"/>
              </w:rPr>
            </w:pPr>
          </w:p>
        </w:tc>
        <w:tc>
          <w:tcPr>
            <w:tcW w:w="673" w:type="pct"/>
            <w:noWrap w:val="0"/>
            <w:vAlign w:val="center"/>
          </w:tcPr>
          <w:p w14:paraId="217EBE37">
            <w:pPr>
              <w:pStyle w:val="626"/>
              <w:rPr>
                <w:rFonts w:hint="eastAsia" w:asciiTheme="minorEastAsia" w:hAnsiTheme="minorEastAsia" w:eastAsiaTheme="minorEastAsia" w:cstheme="minorEastAsia"/>
                <w:sz w:val="24"/>
                <w:szCs w:val="24"/>
                <w:highlight w:val="none"/>
              </w:rPr>
            </w:pPr>
          </w:p>
        </w:tc>
      </w:tr>
      <w:tr w14:paraId="7AED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noWrap w:val="0"/>
            <w:vAlign w:val="center"/>
          </w:tcPr>
          <w:p w14:paraId="32ADDE84">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p>
        </w:tc>
        <w:tc>
          <w:tcPr>
            <w:tcW w:w="350" w:type="pct"/>
            <w:noWrap w:val="0"/>
            <w:vAlign w:val="center"/>
          </w:tcPr>
          <w:p w14:paraId="4703078F">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E06</w:t>
            </w:r>
          </w:p>
        </w:tc>
        <w:tc>
          <w:tcPr>
            <w:tcW w:w="673" w:type="pct"/>
            <w:noWrap w:val="0"/>
            <w:vAlign w:val="center"/>
          </w:tcPr>
          <w:p w14:paraId="07E127F2">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生物填料</w:t>
            </w:r>
          </w:p>
        </w:tc>
        <w:tc>
          <w:tcPr>
            <w:tcW w:w="1174" w:type="pct"/>
            <w:noWrap w:val="0"/>
            <w:vAlign w:val="center"/>
          </w:tcPr>
          <w:p w14:paraId="41BCAB1D">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Φ180×2000mm</w:t>
            </w:r>
          </w:p>
        </w:tc>
        <w:tc>
          <w:tcPr>
            <w:tcW w:w="376" w:type="pct"/>
            <w:noWrap w:val="0"/>
            <w:vAlign w:val="center"/>
          </w:tcPr>
          <w:p w14:paraId="25817A31">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m³</w:t>
            </w:r>
          </w:p>
        </w:tc>
        <w:tc>
          <w:tcPr>
            <w:tcW w:w="303" w:type="pct"/>
            <w:noWrap w:val="0"/>
            <w:vAlign w:val="center"/>
          </w:tcPr>
          <w:p w14:paraId="7E805530">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550</w:t>
            </w:r>
          </w:p>
        </w:tc>
        <w:tc>
          <w:tcPr>
            <w:tcW w:w="537" w:type="pct"/>
            <w:noWrap w:val="0"/>
            <w:vAlign w:val="center"/>
          </w:tcPr>
          <w:p w14:paraId="758AE1F4">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PP</w:t>
            </w:r>
          </w:p>
        </w:tc>
        <w:tc>
          <w:tcPr>
            <w:tcW w:w="599" w:type="pct"/>
            <w:noWrap w:val="0"/>
            <w:vAlign w:val="center"/>
          </w:tcPr>
          <w:p w14:paraId="6FCCC275">
            <w:pPr>
              <w:pStyle w:val="626"/>
              <w:rPr>
                <w:rFonts w:hint="eastAsia" w:asciiTheme="minorEastAsia" w:hAnsiTheme="minorEastAsia" w:eastAsiaTheme="minorEastAsia" w:cstheme="minorEastAsia"/>
                <w:sz w:val="24"/>
                <w:szCs w:val="24"/>
                <w:highlight w:val="none"/>
              </w:rPr>
            </w:pPr>
          </w:p>
        </w:tc>
        <w:tc>
          <w:tcPr>
            <w:tcW w:w="673" w:type="pct"/>
            <w:noWrap w:val="0"/>
            <w:vAlign w:val="center"/>
          </w:tcPr>
          <w:p w14:paraId="74120C4D">
            <w:pPr>
              <w:pStyle w:val="626"/>
              <w:rPr>
                <w:rFonts w:hint="eastAsia" w:asciiTheme="minorEastAsia" w:hAnsiTheme="minorEastAsia" w:eastAsiaTheme="minorEastAsia" w:cstheme="minorEastAsia"/>
                <w:sz w:val="24"/>
                <w:szCs w:val="24"/>
                <w:highlight w:val="none"/>
              </w:rPr>
            </w:pPr>
          </w:p>
        </w:tc>
      </w:tr>
      <w:tr w14:paraId="4F73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noWrap w:val="0"/>
            <w:vAlign w:val="center"/>
          </w:tcPr>
          <w:p w14:paraId="48D3D479">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p>
        </w:tc>
        <w:tc>
          <w:tcPr>
            <w:tcW w:w="350" w:type="pct"/>
            <w:noWrap w:val="0"/>
            <w:vAlign w:val="center"/>
          </w:tcPr>
          <w:p w14:paraId="43F88145">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E07</w:t>
            </w:r>
          </w:p>
        </w:tc>
        <w:tc>
          <w:tcPr>
            <w:tcW w:w="673" w:type="pct"/>
            <w:noWrap w:val="0"/>
            <w:vAlign w:val="center"/>
          </w:tcPr>
          <w:p w14:paraId="4547F5FD">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填料支架</w:t>
            </w:r>
          </w:p>
        </w:tc>
        <w:tc>
          <w:tcPr>
            <w:tcW w:w="1174" w:type="pct"/>
            <w:noWrap w:val="0"/>
            <w:vAlign w:val="center"/>
          </w:tcPr>
          <w:p w14:paraId="7B882F4C">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DN50镀锌管 醛化丝醛化绳</w:t>
            </w:r>
          </w:p>
        </w:tc>
        <w:tc>
          <w:tcPr>
            <w:tcW w:w="376" w:type="pct"/>
            <w:noWrap w:val="0"/>
            <w:vAlign w:val="center"/>
          </w:tcPr>
          <w:p w14:paraId="58A5ABA1">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套</w:t>
            </w:r>
          </w:p>
        </w:tc>
        <w:tc>
          <w:tcPr>
            <w:tcW w:w="303" w:type="pct"/>
            <w:noWrap w:val="0"/>
            <w:vAlign w:val="center"/>
          </w:tcPr>
          <w:p w14:paraId="3DEDF7DF">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537" w:type="pct"/>
            <w:noWrap w:val="0"/>
            <w:vAlign w:val="center"/>
          </w:tcPr>
          <w:p w14:paraId="12005868">
            <w:pPr>
              <w:pStyle w:val="626"/>
              <w:rPr>
                <w:rFonts w:hint="eastAsia" w:asciiTheme="minorEastAsia" w:hAnsiTheme="minorEastAsia" w:eastAsiaTheme="minorEastAsia" w:cstheme="minorEastAsia"/>
                <w:sz w:val="24"/>
                <w:szCs w:val="24"/>
                <w:highlight w:val="none"/>
              </w:rPr>
            </w:pPr>
          </w:p>
        </w:tc>
        <w:tc>
          <w:tcPr>
            <w:tcW w:w="599" w:type="pct"/>
            <w:noWrap w:val="0"/>
            <w:vAlign w:val="center"/>
          </w:tcPr>
          <w:p w14:paraId="66126524">
            <w:pPr>
              <w:pStyle w:val="626"/>
              <w:rPr>
                <w:rFonts w:hint="eastAsia" w:asciiTheme="minorEastAsia" w:hAnsiTheme="minorEastAsia" w:eastAsiaTheme="minorEastAsia" w:cstheme="minorEastAsia"/>
                <w:sz w:val="24"/>
                <w:szCs w:val="24"/>
                <w:highlight w:val="none"/>
              </w:rPr>
            </w:pPr>
          </w:p>
        </w:tc>
        <w:tc>
          <w:tcPr>
            <w:tcW w:w="673" w:type="pct"/>
            <w:noWrap w:val="0"/>
            <w:vAlign w:val="center"/>
          </w:tcPr>
          <w:p w14:paraId="06F8C289">
            <w:pPr>
              <w:pStyle w:val="626"/>
              <w:rPr>
                <w:rFonts w:hint="eastAsia" w:asciiTheme="minorEastAsia" w:hAnsiTheme="minorEastAsia" w:eastAsiaTheme="minorEastAsia" w:cstheme="minorEastAsia"/>
                <w:sz w:val="24"/>
                <w:szCs w:val="24"/>
                <w:highlight w:val="none"/>
              </w:rPr>
            </w:pPr>
          </w:p>
        </w:tc>
      </w:tr>
      <w:tr w14:paraId="3194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noWrap w:val="0"/>
            <w:vAlign w:val="center"/>
          </w:tcPr>
          <w:p w14:paraId="4DAF596E">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p>
        </w:tc>
        <w:tc>
          <w:tcPr>
            <w:tcW w:w="350" w:type="pct"/>
            <w:noWrap w:val="0"/>
            <w:vAlign w:val="center"/>
          </w:tcPr>
          <w:p w14:paraId="4489DC24">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E08</w:t>
            </w:r>
          </w:p>
        </w:tc>
        <w:tc>
          <w:tcPr>
            <w:tcW w:w="673" w:type="pct"/>
            <w:noWrap w:val="0"/>
            <w:vAlign w:val="center"/>
          </w:tcPr>
          <w:p w14:paraId="6765DC74">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布水装置</w:t>
            </w:r>
          </w:p>
        </w:tc>
        <w:tc>
          <w:tcPr>
            <w:tcW w:w="1174" w:type="pct"/>
            <w:noWrap w:val="0"/>
            <w:vAlign w:val="center"/>
          </w:tcPr>
          <w:p w14:paraId="43B90238">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D160</w:t>
            </w:r>
          </w:p>
        </w:tc>
        <w:tc>
          <w:tcPr>
            <w:tcW w:w="376" w:type="pct"/>
            <w:noWrap w:val="0"/>
            <w:vAlign w:val="center"/>
          </w:tcPr>
          <w:p w14:paraId="52A7A350">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套</w:t>
            </w:r>
          </w:p>
        </w:tc>
        <w:tc>
          <w:tcPr>
            <w:tcW w:w="303" w:type="pct"/>
            <w:noWrap w:val="0"/>
            <w:vAlign w:val="center"/>
          </w:tcPr>
          <w:p w14:paraId="4EA4D971">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537" w:type="pct"/>
            <w:noWrap w:val="0"/>
            <w:vAlign w:val="center"/>
          </w:tcPr>
          <w:p w14:paraId="20BFA18D">
            <w:pPr>
              <w:pStyle w:val="626"/>
              <w:rPr>
                <w:rFonts w:hint="eastAsia" w:asciiTheme="minorEastAsia" w:hAnsiTheme="minorEastAsia" w:eastAsiaTheme="minorEastAsia" w:cstheme="minorEastAsia"/>
                <w:sz w:val="24"/>
                <w:szCs w:val="24"/>
                <w:highlight w:val="none"/>
              </w:rPr>
            </w:pPr>
          </w:p>
        </w:tc>
        <w:tc>
          <w:tcPr>
            <w:tcW w:w="599" w:type="pct"/>
            <w:noWrap w:val="0"/>
            <w:vAlign w:val="center"/>
          </w:tcPr>
          <w:p w14:paraId="78826F7C">
            <w:pPr>
              <w:pStyle w:val="626"/>
              <w:rPr>
                <w:rFonts w:hint="eastAsia" w:asciiTheme="minorEastAsia" w:hAnsiTheme="minorEastAsia" w:eastAsiaTheme="minorEastAsia" w:cstheme="minorEastAsia"/>
                <w:sz w:val="24"/>
                <w:szCs w:val="24"/>
                <w:highlight w:val="none"/>
              </w:rPr>
            </w:pPr>
          </w:p>
        </w:tc>
        <w:tc>
          <w:tcPr>
            <w:tcW w:w="673" w:type="pct"/>
            <w:noWrap w:val="0"/>
            <w:vAlign w:val="center"/>
          </w:tcPr>
          <w:p w14:paraId="65FDDC7A">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水解池、接触氧化池布水</w:t>
            </w:r>
          </w:p>
        </w:tc>
      </w:tr>
      <w:tr w14:paraId="5C36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noWrap w:val="0"/>
            <w:vAlign w:val="center"/>
          </w:tcPr>
          <w:p w14:paraId="24DC8E6A">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w:t>
            </w:r>
          </w:p>
        </w:tc>
        <w:tc>
          <w:tcPr>
            <w:tcW w:w="350" w:type="pct"/>
            <w:noWrap w:val="0"/>
            <w:vAlign w:val="center"/>
          </w:tcPr>
          <w:p w14:paraId="57266045">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E09</w:t>
            </w:r>
          </w:p>
        </w:tc>
        <w:tc>
          <w:tcPr>
            <w:tcW w:w="673" w:type="pct"/>
            <w:noWrap w:val="0"/>
            <w:vAlign w:val="center"/>
          </w:tcPr>
          <w:p w14:paraId="6AC3E751">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二沉池导流筒</w:t>
            </w:r>
          </w:p>
        </w:tc>
        <w:tc>
          <w:tcPr>
            <w:tcW w:w="1174" w:type="pct"/>
            <w:noWrap w:val="0"/>
            <w:vAlign w:val="center"/>
          </w:tcPr>
          <w:p w14:paraId="0A5D5131">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D400×1800mm</w:t>
            </w:r>
          </w:p>
        </w:tc>
        <w:tc>
          <w:tcPr>
            <w:tcW w:w="376" w:type="pct"/>
            <w:noWrap w:val="0"/>
            <w:vAlign w:val="center"/>
          </w:tcPr>
          <w:p w14:paraId="21D9578A">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套</w:t>
            </w:r>
          </w:p>
        </w:tc>
        <w:tc>
          <w:tcPr>
            <w:tcW w:w="303" w:type="pct"/>
            <w:noWrap w:val="0"/>
            <w:vAlign w:val="center"/>
          </w:tcPr>
          <w:p w14:paraId="3EF167B7">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37" w:type="pct"/>
            <w:noWrap w:val="0"/>
            <w:vAlign w:val="center"/>
          </w:tcPr>
          <w:p w14:paraId="6D7CE3D8">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PP</w:t>
            </w:r>
          </w:p>
        </w:tc>
        <w:tc>
          <w:tcPr>
            <w:tcW w:w="599" w:type="pct"/>
            <w:noWrap w:val="0"/>
            <w:vAlign w:val="center"/>
          </w:tcPr>
          <w:p w14:paraId="138B7B32">
            <w:pPr>
              <w:pStyle w:val="626"/>
              <w:rPr>
                <w:rFonts w:hint="eastAsia" w:asciiTheme="minorEastAsia" w:hAnsiTheme="minorEastAsia" w:eastAsiaTheme="minorEastAsia" w:cstheme="minorEastAsia"/>
                <w:sz w:val="24"/>
                <w:szCs w:val="24"/>
                <w:highlight w:val="none"/>
              </w:rPr>
            </w:pPr>
          </w:p>
        </w:tc>
        <w:tc>
          <w:tcPr>
            <w:tcW w:w="673" w:type="pct"/>
            <w:noWrap w:val="0"/>
            <w:vAlign w:val="center"/>
          </w:tcPr>
          <w:p w14:paraId="61E4317A">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沉淀池，含支架</w:t>
            </w:r>
          </w:p>
        </w:tc>
      </w:tr>
      <w:tr w14:paraId="770B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noWrap w:val="0"/>
            <w:vAlign w:val="center"/>
          </w:tcPr>
          <w:p w14:paraId="57B7B35F">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w:t>
            </w:r>
          </w:p>
        </w:tc>
        <w:tc>
          <w:tcPr>
            <w:tcW w:w="350" w:type="pct"/>
            <w:noWrap w:val="0"/>
            <w:vAlign w:val="center"/>
          </w:tcPr>
          <w:p w14:paraId="77F41228">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E10</w:t>
            </w:r>
          </w:p>
        </w:tc>
        <w:tc>
          <w:tcPr>
            <w:tcW w:w="673" w:type="pct"/>
            <w:noWrap w:val="0"/>
            <w:vAlign w:val="center"/>
          </w:tcPr>
          <w:p w14:paraId="2A5D0EAA">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次氯酸钠投加装置</w:t>
            </w:r>
          </w:p>
        </w:tc>
        <w:tc>
          <w:tcPr>
            <w:tcW w:w="1174" w:type="pct"/>
            <w:noWrap w:val="0"/>
            <w:vAlign w:val="center"/>
          </w:tcPr>
          <w:p w14:paraId="2B4E1905">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LY-JY-1000-0.025</w:t>
            </w:r>
          </w:p>
        </w:tc>
        <w:tc>
          <w:tcPr>
            <w:tcW w:w="376" w:type="pct"/>
            <w:noWrap w:val="0"/>
            <w:vAlign w:val="center"/>
          </w:tcPr>
          <w:p w14:paraId="7D241C09">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套</w:t>
            </w:r>
          </w:p>
        </w:tc>
        <w:tc>
          <w:tcPr>
            <w:tcW w:w="303" w:type="pct"/>
            <w:noWrap w:val="0"/>
            <w:vAlign w:val="center"/>
          </w:tcPr>
          <w:p w14:paraId="2C62A8ED">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37" w:type="pct"/>
            <w:noWrap w:val="0"/>
            <w:vAlign w:val="center"/>
          </w:tcPr>
          <w:p w14:paraId="427E2C47">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PE</w:t>
            </w:r>
          </w:p>
        </w:tc>
        <w:tc>
          <w:tcPr>
            <w:tcW w:w="599" w:type="pct"/>
            <w:noWrap w:val="0"/>
            <w:vAlign w:val="center"/>
          </w:tcPr>
          <w:p w14:paraId="350E4132">
            <w:pPr>
              <w:pStyle w:val="626"/>
              <w:rPr>
                <w:rFonts w:hint="eastAsia" w:asciiTheme="minorEastAsia" w:hAnsiTheme="minorEastAsia" w:eastAsiaTheme="minorEastAsia" w:cstheme="minorEastAsia"/>
                <w:sz w:val="24"/>
                <w:szCs w:val="24"/>
                <w:highlight w:val="none"/>
              </w:rPr>
            </w:pPr>
          </w:p>
        </w:tc>
        <w:tc>
          <w:tcPr>
            <w:tcW w:w="673" w:type="pct"/>
            <w:noWrap w:val="0"/>
            <w:vAlign w:val="center"/>
          </w:tcPr>
          <w:p w14:paraId="76C044E3">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含加药计量泵2台</w:t>
            </w:r>
          </w:p>
        </w:tc>
      </w:tr>
      <w:tr w14:paraId="0298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noWrap w:val="0"/>
            <w:vAlign w:val="center"/>
          </w:tcPr>
          <w:p w14:paraId="110EEF92">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w:t>
            </w:r>
          </w:p>
        </w:tc>
        <w:tc>
          <w:tcPr>
            <w:tcW w:w="350" w:type="pct"/>
            <w:noWrap w:val="0"/>
            <w:vAlign w:val="center"/>
          </w:tcPr>
          <w:p w14:paraId="02063D7F">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E11</w:t>
            </w:r>
          </w:p>
        </w:tc>
        <w:tc>
          <w:tcPr>
            <w:tcW w:w="673" w:type="pct"/>
            <w:noWrap w:val="0"/>
            <w:vAlign w:val="center"/>
          </w:tcPr>
          <w:p w14:paraId="011D95CF">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在线余氯控制系统</w:t>
            </w:r>
          </w:p>
        </w:tc>
        <w:tc>
          <w:tcPr>
            <w:tcW w:w="1174" w:type="pct"/>
            <w:noWrap w:val="0"/>
            <w:vAlign w:val="center"/>
          </w:tcPr>
          <w:p w14:paraId="4D0213C2">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MC-144A  M-CLO-01</w:t>
            </w:r>
          </w:p>
        </w:tc>
        <w:tc>
          <w:tcPr>
            <w:tcW w:w="376" w:type="pct"/>
            <w:noWrap w:val="0"/>
            <w:vAlign w:val="center"/>
          </w:tcPr>
          <w:p w14:paraId="73637D6D">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套</w:t>
            </w:r>
          </w:p>
        </w:tc>
        <w:tc>
          <w:tcPr>
            <w:tcW w:w="303" w:type="pct"/>
            <w:noWrap w:val="0"/>
            <w:vAlign w:val="center"/>
          </w:tcPr>
          <w:p w14:paraId="76C9E98B">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37" w:type="pct"/>
            <w:noWrap w:val="0"/>
            <w:vAlign w:val="center"/>
          </w:tcPr>
          <w:p w14:paraId="60FC5C93">
            <w:pPr>
              <w:pStyle w:val="626"/>
              <w:rPr>
                <w:rFonts w:hint="eastAsia" w:asciiTheme="minorEastAsia" w:hAnsiTheme="minorEastAsia" w:eastAsiaTheme="minorEastAsia" w:cstheme="minorEastAsia"/>
                <w:sz w:val="24"/>
                <w:szCs w:val="24"/>
                <w:highlight w:val="none"/>
              </w:rPr>
            </w:pPr>
          </w:p>
        </w:tc>
        <w:tc>
          <w:tcPr>
            <w:tcW w:w="599" w:type="pct"/>
            <w:noWrap w:val="0"/>
            <w:vAlign w:val="center"/>
          </w:tcPr>
          <w:p w14:paraId="0DBE47DB">
            <w:pPr>
              <w:pStyle w:val="626"/>
              <w:rPr>
                <w:rFonts w:hint="eastAsia" w:asciiTheme="minorEastAsia" w:hAnsiTheme="minorEastAsia" w:eastAsiaTheme="minorEastAsia" w:cstheme="minorEastAsia"/>
                <w:sz w:val="24"/>
                <w:szCs w:val="24"/>
                <w:highlight w:val="none"/>
              </w:rPr>
            </w:pPr>
          </w:p>
        </w:tc>
        <w:tc>
          <w:tcPr>
            <w:tcW w:w="673" w:type="pct"/>
            <w:noWrap w:val="0"/>
            <w:vAlign w:val="center"/>
          </w:tcPr>
          <w:p w14:paraId="65CDBFD0">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余氯监测，自动控制加药，配套取样泵Q=10~100L/h，带过滤器</w:t>
            </w:r>
          </w:p>
        </w:tc>
      </w:tr>
      <w:tr w14:paraId="5D13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noWrap w:val="0"/>
            <w:vAlign w:val="center"/>
          </w:tcPr>
          <w:p w14:paraId="25434A08">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w:t>
            </w:r>
          </w:p>
        </w:tc>
        <w:tc>
          <w:tcPr>
            <w:tcW w:w="350" w:type="pct"/>
            <w:noWrap w:val="0"/>
            <w:vAlign w:val="center"/>
          </w:tcPr>
          <w:p w14:paraId="2A70FD28">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E12</w:t>
            </w:r>
          </w:p>
        </w:tc>
        <w:tc>
          <w:tcPr>
            <w:tcW w:w="673" w:type="pct"/>
            <w:noWrap w:val="0"/>
            <w:vAlign w:val="center"/>
          </w:tcPr>
          <w:p w14:paraId="6F37EDE0">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生物滤池废气处理装置</w:t>
            </w:r>
          </w:p>
        </w:tc>
        <w:tc>
          <w:tcPr>
            <w:tcW w:w="1174" w:type="pct"/>
            <w:noWrap w:val="0"/>
            <w:vAlign w:val="center"/>
          </w:tcPr>
          <w:p w14:paraId="1C1ECBC4">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含预洗段，材质FRP/CS，外立面SUS304面板，处理能力：2000m³/h</w:t>
            </w:r>
          </w:p>
        </w:tc>
        <w:tc>
          <w:tcPr>
            <w:tcW w:w="376" w:type="pct"/>
            <w:noWrap w:val="0"/>
            <w:vAlign w:val="center"/>
          </w:tcPr>
          <w:p w14:paraId="5EF48925">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套</w:t>
            </w:r>
          </w:p>
        </w:tc>
        <w:tc>
          <w:tcPr>
            <w:tcW w:w="303" w:type="pct"/>
            <w:noWrap w:val="0"/>
            <w:vAlign w:val="center"/>
          </w:tcPr>
          <w:p w14:paraId="45DC7E23">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37" w:type="pct"/>
            <w:noWrap w:val="0"/>
            <w:vAlign w:val="center"/>
          </w:tcPr>
          <w:p w14:paraId="34C78173">
            <w:pPr>
              <w:pStyle w:val="626"/>
              <w:rPr>
                <w:rFonts w:hint="eastAsia" w:asciiTheme="minorEastAsia" w:hAnsiTheme="minorEastAsia" w:eastAsiaTheme="minorEastAsia" w:cstheme="minorEastAsia"/>
                <w:sz w:val="24"/>
                <w:szCs w:val="24"/>
                <w:highlight w:val="none"/>
              </w:rPr>
            </w:pPr>
          </w:p>
        </w:tc>
        <w:tc>
          <w:tcPr>
            <w:tcW w:w="599" w:type="pct"/>
            <w:noWrap w:val="0"/>
            <w:vAlign w:val="center"/>
          </w:tcPr>
          <w:p w14:paraId="068EE25A">
            <w:pPr>
              <w:pStyle w:val="626"/>
              <w:rPr>
                <w:rFonts w:hint="eastAsia" w:asciiTheme="minorEastAsia" w:hAnsiTheme="minorEastAsia" w:eastAsiaTheme="minorEastAsia" w:cstheme="minorEastAsia"/>
                <w:sz w:val="24"/>
                <w:szCs w:val="24"/>
                <w:highlight w:val="none"/>
              </w:rPr>
            </w:pPr>
          </w:p>
        </w:tc>
        <w:tc>
          <w:tcPr>
            <w:tcW w:w="673" w:type="pct"/>
            <w:noWrap w:val="0"/>
            <w:vAlign w:val="center"/>
          </w:tcPr>
          <w:p w14:paraId="13B05B6E">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填料采用聚乙烯/火山岩滤料Φ3~5mm</w:t>
            </w:r>
          </w:p>
        </w:tc>
      </w:tr>
      <w:tr w14:paraId="3340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noWrap w:val="0"/>
            <w:vAlign w:val="center"/>
          </w:tcPr>
          <w:p w14:paraId="456DB45B">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w:t>
            </w:r>
          </w:p>
        </w:tc>
        <w:tc>
          <w:tcPr>
            <w:tcW w:w="350" w:type="pct"/>
            <w:noWrap w:val="0"/>
            <w:vAlign w:val="center"/>
          </w:tcPr>
          <w:p w14:paraId="5B1B307D">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E13</w:t>
            </w:r>
          </w:p>
        </w:tc>
        <w:tc>
          <w:tcPr>
            <w:tcW w:w="673" w:type="pct"/>
            <w:noWrap w:val="0"/>
            <w:vAlign w:val="center"/>
          </w:tcPr>
          <w:p w14:paraId="7021F305">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风机排气管道及支架</w:t>
            </w:r>
          </w:p>
        </w:tc>
        <w:tc>
          <w:tcPr>
            <w:tcW w:w="1174" w:type="pct"/>
            <w:noWrap w:val="0"/>
            <w:vAlign w:val="center"/>
          </w:tcPr>
          <w:p w14:paraId="23C04DCD">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玻璃钢离心风机，Q=2000m³/h，H=1000~2500pa，N=7.5KW</w:t>
            </w:r>
          </w:p>
        </w:tc>
        <w:tc>
          <w:tcPr>
            <w:tcW w:w="376" w:type="pct"/>
            <w:noWrap w:val="0"/>
            <w:vAlign w:val="center"/>
          </w:tcPr>
          <w:p w14:paraId="184D8817">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套</w:t>
            </w:r>
          </w:p>
        </w:tc>
        <w:tc>
          <w:tcPr>
            <w:tcW w:w="303" w:type="pct"/>
            <w:noWrap w:val="0"/>
            <w:vAlign w:val="center"/>
          </w:tcPr>
          <w:p w14:paraId="42B12F59">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37" w:type="pct"/>
            <w:noWrap w:val="0"/>
            <w:vAlign w:val="center"/>
          </w:tcPr>
          <w:p w14:paraId="3074C20E">
            <w:pPr>
              <w:pStyle w:val="626"/>
              <w:rPr>
                <w:rFonts w:hint="eastAsia" w:asciiTheme="minorEastAsia" w:hAnsiTheme="minorEastAsia" w:eastAsiaTheme="minorEastAsia" w:cstheme="minorEastAsia"/>
                <w:sz w:val="24"/>
                <w:szCs w:val="24"/>
                <w:highlight w:val="none"/>
              </w:rPr>
            </w:pPr>
          </w:p>
        </w:tc>
        <w:tc>
          <w:tcPr>
            <w:tcW w:w="599" w:type="pct"/>
            <w:noWrap w:val="0"/>
            <w:vAlign w:val="center"/>
          </w:tcPr>
          <w:p w14:paraId="07BF19C9">
            <w:pPr>
              <w:pStyle w:val="626"/>
              <w:rPr>
                <w:rFonts w:hint="eastAsia" w:asciiTheme="minorEastAsia" w:hAnsiTheme="minorEastAsia" w:eastAsiaTheme="minorEastAsia" w:cstheme="minorEastAsia"/>
                <w:sz w:val="24"/>
                <w:szCs w:val="24"/>
                <w:highlight w:val="none"/>
              </w:rPr>
            </w:pPr>
          </w:p>
        </w:tc>
        <w:tc>
          <w:tcPr>
            <w:tcW w:w="673" w:type="pct"/>
            <w:noWrap w:val="0"/>
            <w:vAlign w:val="center"/>
          </w:tcPr>
          <w:p w14:paraId="172E8BF5">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含收集管道及15米高空排放D160-300 UPVC</w:t>
            </w:r>
          </w:p>
        </w:tc>
      </w:tr>
      <w:tr w14:paraId="196F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noWrap w:val="0"/>
            <w:vAlign w:val="center"/>
          </w:tcPr>
          <w:p w14:paraId="0BF1E900">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w:t>
            </w:r>
          </w:p>
        </w:tc>
        <w:tc>
          <w:tcPr>
            <w:tcW w:w="350" w:type="pct"/>
            <w:noWrap w:val="0"/>
            <w:vAlign w:val="center"/>
          </w:tcPr>
          <w:p w14:paraId="5C592391">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E14</w:t>
            </w:r>
          </w:p>
        </w:tc>
        <w:tc>
          <w:tcPr>
            <w:tcW w:w="673" w:type="pct"/>
            <w:noWrap w:val="0"/>
            <w:vAlign w:val="center"/>
          </w:tcPr>
          <w:p w14:paraId="5E2EDB29">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系统管道管件及阀门</w:t>
            </w:r>
          </w:p>
        </w:tc>
        <w:tc>
          <w:tcPr>
            <w:tcW w:w="1174" w:type="pct"/>
            <w:noWrap w:val="0"/>
            <w:vAlign w:val="center"/>
          </w:tcPr>
          <w:p w14:paraId="02ED37D4">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UPVC 碳钢</w:t>
            </w:r>
          </w:p>
        </w:tc>
        <w:tc>
          <w:tcPr>
            <w:tcW w:w="376" w:type="pct"/>
            <w:noWrap w:val="0"/>
            <w:vAlign w:val="center"/>
          </w:tcPr>
          <w:p w14:paraId="1BDFB715">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w:t>
            </w:r>
          </w:p>
        </w:tc>
        <w:tc>
          <w:tcPr>
            <w:tcW w:w="303" w:type="pct"/>
            <w:noWrap w:val="0"/>
            <w:vAlign w:val="center"/>
          </w:tcPr>
          <w:p w14:paraId="36DF9925">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37" w:type="pct"/>
            <w:noWrap w:val="0"/>
            <w:vAlign w:val="center"/>
          </w:tcPr>
          <w:p w14:paraId="0EB2849A">
            <w:pPr>
              <w:pStyle w:val="626"/>
              <w:rPr>
                <w:rFonts w:hint="eastAsia" w:asciiTheme="minorEastAsia" w:hAnsiTheme="minorEastAsia" w:eastAsiaTheme="minorEastAsia" w:cstheme="minorEastAsia"/>
                <w:sz w:val="24"/>
                <w:szCs w:val="24"/>
                <w:highlight w:val="none"/>
              </w:rPr>
            </w:pPr>
          </w:p>
        </w:tc>
        <w:tc>
          <w:tcPr>
            <w:tcW w:w="599" w:type="pct"/>
            <w:noWrap w:val="0"/>
            <w:vAlign w:val="center"/>
          </w:tcPr>
          <w:p w14:paraId="74420CB3">
            <w:pPr>
              <w:pStyle w:val="626"/>
              <w:rPr>
                <w:rFonts w:hint="eastAsia" w:asciiTheme="minorEastAsia" w:hAnsiTheme="minorEastAsia" w:eastAsiaTheme="minorEastAsia" w:cstheme="minorEastAsia"/>
                <w:sz w:val="24"/>
                <w:szCs w:val="24"/>
                <w:highlight w:val="none"/>
              </w:rPr>
            </w:pPr>
          </w:p>
        </w:tc>
        <w:tc>
          <w:tcPr>
            <w:tcW w:w="673" w:type="pct"/>
            <w:noWrap w:val="0"/>
            <w:vAlign w:val="center"/>
          </w:tcPr>
          <w:p w14:paraId="562DCDAD">
            <w:pPr>
              <w:pStyle w:val="626"/>
              <w:rPr>
                <w:rFonts w:hint="eastAsia" w:asciiTheme="minorEastAsia" w:hAnsiTheme="minorEastAsia" w:eastAsiaTheme="minorEastAsia" w:cstheme="minorEastAsia"/>
                <w:sz w:val="24"/>
                <w:szCs w:val="24"/>
                <w:highlight w:val="none"/>
              </w:rPr>
            </w:pPr>
          </w:p>
        </w:tc>
      </w:tr>
      <w:tr w14:paraId="0E6C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noWrap w:val="0"/>
            <w:vAlign w:val="center"/>
          </w:tcPr>
          <w:p w14:paraId="7D395A3B">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w:t>
            </w:r>
          </w:p>
        </w:tc>
        <w:tc>
          <w:tcPr>
            <w:tcW w:w="350" w:type="pct"/>
            <w:noWrap w:val="0"/>
            <w:vAlign w:val="center"/>
          </w:tcPr>
          <w:p w14:paraId="39324B74">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E15</w:t>
            </w:r>
          </w:p>
        </w:tc>
        <w:tc>
          <w:tcPr>
            <w:tcW w:w="673" w:type="pct"/>
            <w:noWrap w:val="0"/>
            <w:vAlign w:val="center"/>
          </w:tcPr>
          <w:p w14:paraId="5D3ECC8D">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系统电缆及线管</w:t>
            </w:r>
          </w:p>
        </w:tc>
        <w:tc>
          <w:tcPr>
            <w:tcW w:w="1174" w:type="pct"/>
            <w:noWrap w:val="0"/>
            <w:vAlign w:val="center"/>
          </w:tcPr>
          <w:p w14:paraId="77D11395">
            <w:pPr>
              <w:pStyle w:val="626"/>
              <w:rPr>
                <w:rFonts w:hint="eastAsia" w:asciiTheme="minorEastAsia" w:hAnsiTheme="minorEastAsia" w:eastAsiaTheme="minorEastAsia" w:cstheme="minorEastAsia"/>
                <w:sz w:val="24"/>
                <w:szCs w:val="24"/>
                <w:highlight w:val="none"/>
              </w:rPr>
            </w:pPr>
          </w:p>
        </w:tc>
        <w:tc>
          <w:tcPr>
            <w:tcW w:w="376" w:type="pct"/>
            <w:noWrap w:val="0"/>
            <w:vAlign w:val="center"/>
          </w:tcPr>
          <w:p w14:paraId="015B8421">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w:t>
            </w:r>
          </w:p>
        </w:tc>
        <w:tc>
          <w:tcPr>
            <w:tcW w:w="303" w:type="pct"/>
            <w:noWrap w:val="0"/>
            <w:vAlign w:val="center"/>
          </w:tcPr>
          <w:p w14:paraId="02A9984F">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37" w:type="pct"/>
            <w:noWrap w:val="0"/>
            <w:vAlign w:val="center"/>
          </w:tcPr>
          <w:p w14:paraId="0373AB53">
            <w:pPr>
              <w:pStyle w:val="626"/>
              <w:rPr>
                <w:rFonts w:hint="eastAsia" w:asciiTheme="minorEastAsia" w:hAnsiTheme="minorEastAsia" w:eastAsiaTheme="minorEastAsia" w:cstheme="minorEastAsia"/>
                <w:sz w:val="24"/>
                <w:szCs w:val="24"/>
                <w:highlight w:val="none"/>
              </w:rPr>
            </w:pPr>
          </w:p>
        </w:tc>
        <w:tc>
          <w:tcPr>
            <w:tcW w:w="599" w:type="pct"/>
            <w:noWrap w:val="0"/>
            <w:vAlign w:val="center"/>
          </w:tcPr>
          <w:p w14:paraId="31D46110">
            <w:pPr>
              <w:pStyle w:val="626"/>
              <w:rPr>
                <w:rFonts w:hint="eastAsia" w:asciiTheme="minorEastAsia" w:hAnsiTheme="minorEastAsia" w:eastAsiaTheme="minorEastAsia" w:cstheme="minorEastAsia"/>
                <w:sz w:val="24"/>
                <w:szCs w:val="24"/>
                <w:highlight w:val="none"/>
              </w:rPr>
            </w:pPr>
          </w:p>
        </w:tc>
        <w:tc>
          <w:tcPr>
            <w:tcW w:w="673" w:type="pct"/>
            <w:noWrap w:val="0"/>
            <w:vAlign w:val="center"/>
          </w:tcPr>
          <w:p w14:paraId="579B1636">
            <w:pPr>
              <w:pStyle w:val="626"/>
              <w:rPr>
                <w:rFonts w:hint="eastAsia" w:asciiTheme="minorEastAsia" w:hAnsiTheme="minorEastAsia" w:eastAsiaTheme="minorEastAsia" w:cstheme="minorEastAsia"/>
                <w:sz w:val="24"/>
                <w:szCs w:val="24"/>
                <w:highlight w:val="none"/>
              </w:rPr>
            </w:pPr>
          </w:p>
        </w:tc>
      </w:tr>
      <w:tr w14:paraId="476D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noWrap w:val="0"/>
            <w:vAlign w:val="center"/>
          </w:tcPr>
          <w:p w14:paraId="4DE7ECD6">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w:t>
            </w:r>
          </w:p>
        </w:tc>
        <w:tc>
          <w:tcPr>
            <w:tcW w:w="350" w:type="pct"/>
            <w:noWrap w:val="0"/>
            <w:vAlign w:val="center"/>
          </w:tcPr>
          <w:p w14:paraId="43C32614">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E16</w:t>
            </w:r>
          </w:p>
        </w:tc>
        <w:tc>
          <w:tcPr>
            <w:tcW w:w="673" w:type="pct"/>
            <w:noWrap w:val="0"/>
            <w:vAlign w:val="center"/>
          </w:tcPr>
          <w:p w14:paraId="44198062">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系统配件及安装辅材</w:t>
            </w:r>
          </w:p>
        </w:tc>
        <w:tc>
          <w:tcPr>
            <w:tcW w:w="1174" w:type="pct"/>
            <w:noWrap w:val="0"/>
            <w:vAlign w:val="center"/>
          </w:tcPr>
          <w:p w14:paraId="153B83CD">
            <w:pPr>
              <w:pStyle w:val="626"/>
              <w:rPr>
                <w:rFonts w:hint="eastAsia" w:asciiTheme="minorEastAsia" w:hAnsiTheme="minorEastAsia" w:eastAsiaTheme="minorEastAsia" w:cstheme="minorEastAsia"/>
                <w:sz w:val="24"/>
                <w:szCs w:val="24"/>
                <w:highlight w:val="none"/>
              </w:rPr>
            </w:pPr>
          </w:p>
        </w:tc>
        <w:tc>
          <w:tcPr>
            <w:tcW w:w="376" w:type="pct"/>
            <w:noWrap w:val="0"/>
            <w:vAlign w:val="center"/>
          </w:tcPr>
          <w:p w14:paraId="1EA40269">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w:t>
            </w:r>
          </w:p>
        </w:tc>
        <w:tc>
          <w:tcPr>
            <w:tcW w:w="303" w:type="pct"/>
            <w:noWrap w:val="0"/>
            <w:vAlign w:val="center"/>
          </w:tcPr>
          <w:p w14:paraId="3C5241C7">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37" w:type="pct"/>
            <w:noWrap w:val="0"/>
            <w:vAlign w:val="center"/>
          </w:tcPr>
          <w:p w14:paraId="07A292B8">
            <w:pPr>
              <w:pStyle w:val="626"/>
              <w:rPr>
                <w:rFonts w:hint="eastAsia" w:asciiTheme="minorEastAsia" w:hAnsiTheme="minorEastAsia" w:eastAsiaTheme="minorEastAsia" w:cstheme="minorEastAsia"/>
                <w:sz w:val="24"/>
                <w:szCs w:val="24"/>
                <w:highlight w:val="none"/>
              </w:rPr>
            </w:pPr>
          </w:p>
        </w:tc>
        <w:tc>
          <w:tcPr>
            <w:tcW w:w="599" w:type="pct"/>
            <w:noWrap w:val="0"/>
            <w:vAlign w:val="center"/>
          </w:tcPr>
          <w:p w14:paraId="4E518A5E">
            <w:pPr>
              <w:pStyle w:val="626"/>
              <w:rPr>
                <w:rFonts w:hint="eastAsia" w:asciiTheme="minorEastAsia" w:hAnsiTheme="minorEastAsia" w:eastAsiaTheme="minorEastAsia" w:cstheme="minorEastAsia"/>
                <w:sz w:val="24"/>
                <w:szCs w:val="24"/>
                <w:highlight w:val="none"/>
              </w:rPr>
            </w:pPr>
          </w:p>
        </w:tc>
        <w:tc>
          <w:tcPr>
            <w:tcW w:w="673" w:type="pct"/>
            <w:noWrap w:val="0"/>
            <w:vAlign w:val="center"/>
          </w:tcPr>
          <w:p w14:paraId="48F8587F">
            <w:pPr>
              <w:pStyle w:val="626"/>
              <w:rPr>
                <w:rFonts w:hint="eastAsia" w:asciiTheme="minorEastAsia" w:hAnsiTheme="minorEastAsia" w:eastAsiaTheme="minorEastAsia" w:cstheme="minorEastAsia"/>
                <w:sz w:val="24"/>
                <w:szCs w:val="24"/>
                <w:highlight w:val="none"/>
              </w:rPr>
            </w:pPr>
          </w:p>
        </w:tc>
      </w:tr>
      <w:tr w14:paraId="2B9D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noWrap w:val="0"/>
            <w:vAlign w:val="center"/>
          </w:tcPr>
          <w:p w14:paraId="2B08AF38">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w:t>
            </w:r>
          </w:p>
        </w:tc>
        <w:tc>
          <w:tcPr>
            <w:tcW w:w="350" w:type="pct"/>
            <w:noWrap w:val="0"/>
            <w:vAlign w:val="center"/>
          </w:tcPr>
          <w:p w14:paraId="227CB9E6">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E17</w:t>
            </w:r>
          </w:p>
        </w:tc>
        <w:tc>
          <w:tcPr>
            <w:tcW w:w="673" w:type="pct"/>
            <w:noWrap w:val="0"/>
            <w:vAlign w:val="center"/>
          </w:tcPr>
          <w:p w14:paraId="73F238D2">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电气控制系统</w:t>
            </w:r>
          </w:p>
        </w:tc>
        <w:tc>
          <w:tcPr>
            <w:tcW w:w="1174" w:type="pct"/>
            <w:noWrap w:val="0"/>
            <w:vAlign w:val="center"/>
          </w:tcPr>
          <w:p w14:paraId="0CD3C734">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控制柜、自动开关、电气元件</w:t>
            </w:r>
          </w:p>
        </w:tc>
        <w:tc>
          <w:tcPr>
            <w:tcW w:w="376" w:type="pct"/>
            <w:noWrap w:val="0"/>
            <w:vAlign w:val="center"/>
          </w:tcPr>
          <w:p w14:paraId="3DE0E070">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套</w:t>
            </w:r>
          </w:p>
        </w:tc>
        <w:tc>
          <w:tcPr>
            <w:tcW w:w="303" w:type="pct"/>
            <w:noWrap w:val="0"/>
            <w:vAlign w:val="center"/>
          </w:tcPr>
          <w:p w14:paraId="2D760E95">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37" w:type="pct"/>
            <w:noWrap w:val="0"/>
            <w:vAlign w:val="center"/>
          </w:tcPr>
          <w:p w14:paraId="15AC2039">
            <w:pPr>
              <w:pStyle w:val="626"/>
              <w:rPr>
                <w:rFonts w:hint="eastAsia" w:asciiTheme="minorEastAsia" w:hAnsiTheme="minorEastAsia" w:eastAsiaTheme="minorEastAsia" w:cstheme="minorEastAsia"/>
                <w:sz w:val="24"/>
                <w:szCs w:val="24"/>
                <w:highlight w:val="none"/>
              </w:rPr>
            </w:pPr>
          </w:p>
        </w:tc>
        <w:tc>
          <w:tcPr>
            <w:tcW w:w="599" w:type="pct"/>
            <w:noWrap w:val="0"/>
            <w:vAlign w:val="center"/>
          </w:tcPr>
          <w:p w14:paraId="3463E6D5">
            <w:pPr>
              <w:pStyle w:val="626"/>
              <w:rPr>
                <w:rFonts w:hint="eastAsia" w:asciiTheme="minorEastAsia" w:hAnsiTheme="minorEastAsia" w:eastAsiaTheme="minorEastAsia" w:cstheme="minorEastAsia"/>
                <w:sz w:val="24"/>
                <w:szCs w:val="24"/>
                <w:highlight w:val="none"/>
              </w:rPr>
            </w:pPr>
          </w:p>
        </w:tc>
        <w:tc>
          <w:tcPr>
            <w:tcW w:w="673" w:type="pct"/>
            <w:noWrap w:val="0"/>
            <w:vAlign w:val="center"/>
          </w:tcPr>
          <w:p w14:paraId="1614DF31">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GGD立式柜</w:t>
            </w:r>
          </w:p>
        </w:tc>
      </w:tr>
      <w:tr w14:paraId="4889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vMerge w:val="restart"/>
            <w:noWrap w:val="0"/>
            <w:vAlign w:val="center"/>
          </w:tcPr>
          <w:p w14:paraId="512B4D3E">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w:t>
            </w:r>
          </w:p>
        </w:tc>
        <w:tc>
          <w:tcPr>
            <w:tcW w:w="350" w:type="pct"/>
            <w:vMerge w:val="restart"/>
            <w:noWrap w:val="0"/>
            <w:vAlign w:val="center"/>
          </w:tcPr>
          <w:p w14:paraId="046B3BAE">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E18</w:t>
            </w:r>
          </w:p>
        </w:tc>
        <w:tc>
          <w:tcPr>
            <w:tcW w:w="673" w:type="pct"/>
            <w:noWrap w:val="0"/>
            <w:vAlign w:val="center"/>
          </w:tcPr>
          <w:p w14:paraId="4FCAC1A6">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明渠流量计</w:t>
            </w:r>
          </w:p>
        </w:tc>
        <w:tc>
          <w:tcPr>
            <w:tcW w:w="1174" w:type="pct"/>
            <w:noWrap w:val="0"/>
            <w:vAlign w:val="center"/>
          </w:tcPr>
          <w:p w14:paraId="4AE56CC6">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量程0~20m³/h,4~20ma信号输出</w:t>
            </w:r>
          </w:p>
        </w:tc>
        <w:tc>
          <w:tcPr>
            <w:tcW w:w="376" w:type="pct"/>
            <w:noWrap w:val="0"/>
            <w:vAlign w:val="center"/>
          </w:tcPr>
          <w:p w14:paraId="59128408">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套</w:t>
            </w:r>
          </w:p>
        </w:tc>
        <w:tc>
          <w:tcPr>
            <w:tcW w:w="303" w:type="pct"/>
            <w:noWrap w:val="0"/>
            <w:vAlign w:val="center"/>
          </w:tcPr>
          <w:p w14:paraId="2DC3DAD0">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37" w:type="pct"/>
            <w:noWrap w:val="0"/>
            <w:vAlign w:val="center"/>
          </w:tcPr>
          <w:p w14:paraId="3641147B">
            <w:pPr>
              <w:pStyle w:val="626"/>
              <w:rPr>
                <w:rFonts w:hint="eastAsia" w:asciiTheme="minorEastAsia" w:hAnsiTheme="minorEastAsia" w:eastAsiaTheme="minorEastAsia" w:cstheme="minorEastAsia"/>
                <w:sz w:val="24"/>
                <w:szCs w:val="24"/>
                <w:highlight w:val="none"/>
              </w:rPr>
            </w:pPr>
          </w:p>
        </w:tc>
        <w:tc>
          <w:tcPr>
            <w:tcW w:w="599" w:type="pct"/>
            <w:noWrap w:val="0"/>
            <w:vAlign w:val="center"/>
          </w:tcPr>
          <w:p w14:paraId="104476D3">
            <w:pPr>
              <w:pStyle w:val="626"/>
              <w:rPr>
                <w:rFonts w:hint="eastAsia" w:asciiTheme="minorEastAsia" w:hAnsiTheme="minorEastAsia" w:eastAsiaTheme="minorEastAsia" w:cstheme="minorEastAsia"/>
                <w:sz w:val="24"/>
                <w:szCs w:val="24"/>
                <w:highlight w:val="none"/>
              </w:rPr>
            </w:pPr>
          </w:p>
        </w:tc>
        <w:tc>
          <w:tcPr>
            <w:tcW w:w="673" w:type="pct"/>
            <w:noWrap w:val="0"/>
            <w:vAlign w:val="center"/>
          </w:tcPr>
          <w:p w14:paraId="7D5DACDF">
            <w:pPr>
              <w:pStyle w:val="626"/>
              <w:rPr>
                <w:rFonts w:hint="eastAsia" w:asciiTheme="minorEastAsia" w:hAnsiTheme="minorEastAsia" w:eastAsiaTheme="minorEastAsia" w:cstheme="minorEastAsia"/>
                <w:sz w:val="24"/>
                <w:szCs w:val="24"/>
                <w:highlight w:val="none"/>
              </w:rPr>
            </w:pPr>
          </w:p>
        </w:tc>
      </w:tr>
      <w:tr w14:paraId="3AAE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12" w:type="pct"/>
            <w:vMerge w:val="continue"/>
            <w:noWrap w:val="0"/>
            <w:vAlign w:val="center"/>
          </w:tcPr>
          <w:p w14:paraId="73226F75">
            <w:pPr>
              <w:pStyle w:val="626"/>
              <w:rPr>
                <w:rFonts w:hint="eastAsia" w:asciiTheme="minorEastAsia" w:hAnsiTheme="minorEastAsia" w:eastAsiaTheme="minorEastAsia" w:cstheme="minorEastAsia"/>
                <w:sz w:val="24"/>
                <w:szCs w:val="24"/>
                <w:highlight w:val="none"/>
              </w:rPr>
            </w:pPr>
          </w:p>
        </w:tc>
        <w:tc>
          <w:tcPr>
            <w:tcW w:w="350" w:type="pct"/>
            <w:vMerge w:val="continue"/>
            <w:noWrap w:val="0"/>
            <w:vAlign w:val="center"/>
          </w:tcPr>
          <w:p w14:paraId="6BF12A42">
            <w:pPr>
              <w:pStyle w:val="626"/>
              <w:rPr>
                <w:rFonts w:hint="eastAsia" w:asciiTheme="minorEastAsia" w:hAnsiTheme="minorEastAsia" w:eastAsiaTheme="minorEastAsia" w:cstheme="minorEastAsia"/>
                <w:sz w:val="24"/>
                <w:szCs w:val="24"/>
                <w:highlight w:val="none"/>
              </w:rPr>
            </w:pPr>
          </w:p>
        </w:tc>
        <w:tc>
          <w:tcPr>
            <w:tcW w:w="673" w:type="pct"/>
            <w:noWrap w:val="0"/>
            <w:vAlign w:val="center"/>
          </w:tcPr>
          <w:p w14:paraId="246E14A3">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巴歇尔槽</w:t>
            </w:r>
          </w:p>
        </w:tc>
        <w:tc>
          <w:tcPr>
            <w:tcW w:w="1174" w:type="pct"/>
            <w:noWrap w:val="0"/>
            <w:vAlign w:val="center"/>
          </w:tcPr>
          <w:p w14:paraId="2F90D866">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2号槽，带支架SUS304材质</w:t>
            </w:r>
          </w:p>
        </w:tc>
        <w:tc>
          <w:tcPr>
            <w:tcW w:w="376" w:type="pct"/>
            <w:noWrap w:val="0"/>
            <w:vAlign w:val="center"/>
          </w:tcPr>
          <w:p w14:paraId="38FA8D7F">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套</w:t>
            </w:r>
          </w:p>
        </w:tc>
        <w:tc>
          <w:tcPr>
            <w:tcW w:w="303" w:type="pct"/>
            <w:noWrap w:val="0"/>
            <w:vAlign w:val="center"/>
          </w:tcPr>
          <w:p w14:paraId="5295109A">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37" w:type="pct"/>
            <w:noWrap w:val="0"/>
            <w:vAlign w:val="center"/>
          </w:tcPr>
          <w:p w14:paraId="7DA53065">
            <w:pPr>
              <w:pStyle w:val="626"/>
              <w:rPr>
                <w:rFonts w:hint="eastAsia" w:asciiTheme="minorEastAsia" w:hAnsiTheme="minorEastAsia" w:eastAsiaTheme="minorEastAsia" w:cstheme="minorEastAsia"/>
                <w:sz w:val="24"/>
                <w:szCs w:val="24"/>
                <w:highlight w:val="none"/>
              </w:rPr>
            </w:pPr>
          </w:p>
        </w:tc>
        <w:tc>
          <w:tcPr>
            <w:tcW w:w="599" w:type="pct"/>
            <w:noWrap w:val="0"/>
            <w:vAlign w:val="center"/>
          </w:tcPr>
          <w:p w14:paraId="5B8F45F6">
            <w:pPr>
              <w:pStyle w:val="626"/>
              <w:rPr>
                <w:rFonts w:hint="eastAsia" w:asciiTheme="minorEastAsia" w:hAnsiTheme="minorEastAsia" w:eastAsiaTheme="minorEastAsia" w:cstheme="minorEastAsia"/>
                <w:sz w:val="24"/>
                <w:szCs w:val="24"/>
                <w:highlight w:val="none"/>
              </w:rPr>
            </w:pPr>
          </w:p>
        </w:tc>
        <w:tc>
          <w:tcPr>
            <w:tcW w:w="673" w:type="pct"/>
            <w:noWrap w:val="0"/>
            <w:vAlign w:val="center"/>
          </w:tcPr>
          <w:p w14:paraId="5F625DBD">
            <w:pPr>
              <w:pStyle w:val="626"/>
              <w:rPr>
                <w:rFonts w:hint="eastAsia" w:asciiTheme="minorEastAsia" w:hAnsiTheme="minorEastAsia" w:eastAsiaTheme="minorEastAsia" w:cstheme="minorEastAsia"/>
                <w:sz w:val="24"/>
                <w:szCs w:val="24"/>
                <w:highlight w:val="none"/>
              </w:rPr>
            </w:pPr>
          </w:p>
        </w:tc>
      </w:tr>
    </w:tbl>
    <w:p w14:paraId="1040AA03">
      <w:pPr>
        <w:pStyle w:val="59"/>
        <w:pageBreakBefore w:val="0"/>
        <w:kinsoku/>
        <w:wordWrap w:val="0"/>
        <w:overflowPunct/>
        <w:topLinePunct/>
        <w:autoSpaceDE/>
        <w:autoSpaceDN/>
        <w:bidi w:val="0"/>
        <w:adjustRightInd/>
        <w:snapToGrid/>
        <w:spacing w:before="0" w:after="0" w:line="360" w:lineRule="auto"/>
        <w:ind w:left="0" w:leftChars="0" w:right="78" w:rightChars="37" w:firstLine="420" w:firstLineChars="175"/>
        <w:jc w:val="both"/>
        <w:rPr>
          <w:rFonts w:hint="eastAsia" w:asciiTheme="minorEastAsia" w:hAnsiTheme="minorEastAsia" w:eastAsiaTheme="minorEastAsia" w:cstheme="minorEastAsia"/>
          <w:b/>
          <w:bCs w:val="0"/>
          <w:kern w:val="0"/>
          <w:sz w:val="24"/>
          <w:szCs w:val="24"/>
          <w:highlight w:val="none"/>
          <w:lang w:eastAsia="zh-CN"/>
        </w:rPr>
      </w:pPr>
      <w:bookmarkStart w:id="568" w:name="_GoBack"/>
      <w:r>
        <w:rPr>
          <w:rFonts w:hint="eastAsia" w:asciiTheme="minorEastAsia" w:hAnsiTheme="minorEastAsia" w:eastAsiaTheme="minorEastAsia" w:cstheme="minorEastAsia"/>
          <w:b w:val="0"/>
          <w:bCs/>
          <w:kern w:val="0"/>
          <w:sz w:val="24"/>
          <w:szCs w:val="24"/>
          <w:highlight w:val="none"/>
          <w:lang w:eastAsia="zh-CN"/>
        </w:rPr>
        <w:t>注：</w:t>
      </w:r>
      <w:r>
        <w:rPr>
          <w:rFonts w:hint="eastAsia" w:asciiTheme="minorEastAsia" w:hAnsiTheme="minorEastAsia" w:eastAsiaTheme="minorEastAsia" w:cstheme="minorEastAsia"/>
          <w:b w:val="0"/>
          <w:bCs/>
          <w:kern w:val="0"/>
          <w:sz w:val="24"/>
          <w:szCs w:val="24"/>
          <w:highlight w:val="none"/>
        </w:rPr>
        <w:t>本项目为总价包干合同，图纸及清单由投标人自行复核，工程量的准确性由投标人负责，中标后不予调整；因投标人原因漏算、少计的均由投标人自行承担；投标人报价时可根据设计图纸、技术要求、项目实际需求综合考虑报价</w:t>
      </w:r>
      <w:r>
        <w:rPr>
          <w:rFonts w:hint="eastAsia" w:asciiTheme="minorEastAsia" w:hAnsiTheme="minorEastAsia" w:eastAsiaTheme="minorEastAsia" w:cstheme="minorEastAsia"/>
          <w:b w:val="0"/>
          <w:bCs/>
          <w:kern w:val="0"/>
          <w:sz w:val="24"/>
          <w:szCs w:val="24"/>
          <w:highlight w:val="none"/>
          <w:lang w:val="en-US" w:eastAsia="zh-CN"/>
        </w:rPr>
        <w:t>。</w:t>
      </w:r>
      <w:r>
        <w:rPr>
          <w:rFonts w:hint="eastAsia" w:ascii="宋体" w:hAnsi="宋体" w:cs="宋体"/>
          <w:b w:val="0"/>
          <w:bCs/>
          <w:kern w:val="0"/>
          <w:sz w:val="24"/>
          <w:szCs w:val="22"/>
          <w:highlight w:val="none"/>
          <w:lang w:val="en-US" w:eastAsia="zh-CN"/>
        </w:rPr>
        <w:t>（甲方设计变更除外）。</w:t>
      </w:r>
    </w:p>
    <w:bookmarkEnd w:id="568"/>
    <w:p w14:paraId="502DE2D7">
      <w:pPr>
        <w:pStyle w:val="59"/>
        <w:pageBreakBefore w:val="0"/>
        <w:kinsoku/>
        <w:wordWrap w:val="0"/>
        <w:overflowPunct/>
        <w:topLinePunct/>
        <w:autoSpaceDE/>
        <w:autoSpaceDN/>
        <w:bidi w:val="0"/>
        <w:adjustRightInd/>
        <w:snapToGrid/>
        <w:spacing w:before="0" w:after="0" w:line="360" w:lineRule="auto"/>
        <w:ind w:left="0" w:leftChars="0" w:right="78" w:rightChars="37" w:firstLine="422" w:firstLineChars="175"/>
        <w:jc w:val="both"/>
        <w:rPr>
          <w:rFonts w:hint="eastAsia" w:asciiTheme="minorEastAsia" w:hAnsiTheme="minorEastAsia" w:eastAsiaTheme="minorEastAsia" w:cstheme="minorEastAsia"/>
          <w:b/>
          <w:bCs w:val="0"/>
          <w:kern w:val="0"/>
          <w:sz w:val="24"/>
          <w:szCs w:val="24"/>
          <w:highlight w:val="none"/>
          <w:lang w:eastAsia="zh-CN"/>
        </w:rPr>
      </w:pPr>
      <w:r>
        <w:rPr>
          <w:rFonts w:hint="eastAsia" w:asciiTheme="minorEastAsia" w:hAnsiTheme="minorEastAsia" w:eastAsiaTheme="minorEastAsia" w:cstheme="minorEastAsia"/>
          <w:b/>
          <w:bCs w:val="0"/>
          <w:kern w:val="0"/>
          <w:sz w:val="24"/>
          <w:szCs w:val="24"/>
          <w:highlight w:val="none"/>
          <w:lang w:eastAsia="zh-CN"/>
        </w:rPr>
        <w:t>（二）技术要求</w:t>
      </w:r>
    </w:p>
    <w:p w14:paraId="6B453A56">
      <w:pPr>
        <w:pStyle w:val="2"/>
        <w:pageBreakBefore w:val="0"/>
        <w:tabs>
          <w:tab w:val="left" w:pos="0"/>
          <w:tab w:val="clear" w:pos="432"/>
        </w:tabs>
        <w:kinsoku/>
        <w:wordWrap/>
        <w:topLinePunct w:val="0"/>
        <w:bidi w:val="0"/>
        <w:spacing w:before="0" w:after="0"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机电设备一般技术规定</w:t>
      </w:r>
    </w:p>
    <w:p w14:paraId="3C2E7260">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总则</w:t>
      </w:r>
    </w:p>
    <w:p w14:paraId="491A924A">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本技术规范实施的设备和安装应遵守中华人民共和国的生效法律、法规和浙江省市地方政府所规定的条例。</w:t>
      </w:r>
    </w:p>
    <w:p w14:paraId="2D807D5F">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本技术规范作为潜在投标单位投标技术文件及供货设备的评价及评标依据，无法满足或达到本技术规范书的供应商投标文件将被否决。</w:t>
      </w:r>
    </w:p>
    <w:p w14:paraId="3ACDE803">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本章规定了中标人所提供设备的一般技术规定。除在特殊技术规定有其他规定外，设备的所有零件和部件应符合本技术规范书的一般技术规定。</w:t>
      </w:r>
    </w:p>
    <w:p w14:paraId="29BEFCC9">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中标人在其合同实施的整个过程中，必须充分考虑现场所有人员的安全，并保持现场（尚在其管理之下）和设施（尚没有竣工或尚未被业主接管）次序井然，以避免工作人员的危险。</w:t>
      </w:r>
    </w:p>
    <w:p w14:paraId="2CE43904">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范围</w:t>
      </w:r>
    </w:p>
    <w:p w14:paraId="56B522D3">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的机电工程范围，应是指中标人为满足污水处理工艺（含除臭设施）要求的所有机电设备的设计、制造、测试、供货、运输、安装、调试、试运行、培训、运行维护、交付使用、缺陷责任期内保修，以及为上述机电工程所作的一切准备工作、服务、人工、材料、管网和包括竣工资料与操作维护手册的提供，不管它们是否在文件或图纸上注明。</w:t>
      </w:r>
    </w:p>
    <w:p w14:paraId="4A59A84B">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设计使用期限</w:t>
      </w:r>
    </w:p>
    <w:p w14:paraId="378BD6DC">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计的材料和设备均应有长的使用期，并应适合于长期的每天二十四小时的连续运转，且只须进行最少量的维修，可以要求中标人对任何部件使用期作出证明，中标人可以用相类似设备的使用记录或用广泛的测试记录来证明。</w:t>
      </w:r>
    </w:p>
    <w:p w14:paraId="09519FA9">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常规的维护和修理应尽可能的不要求技术高的人员来服务。</w:t>
      </w:r>
    </w:p>
    <w:p w14:paraId="5BBF8204">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机电设备通用技术规定</w:t>
      </w:r>
    </w:p>
    <w:p w14:paraId="54167376">
      <w:pPr>
        <w:pageBreakBefore w:val="0"/>
        <w:kinsoku/>
        <w:wordWrap/>
        <w:topLinePunct w:val="0"/>
        <w:bidi w:val="0"/>
        <w:adjustRightInd w:val="0"/>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材料</w:t>
      </w:r>
    </w:p>
    <w:p w14:paraId="35328140">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工程中所使用的材料必须是最适合该工作的，并应是新的，优质的，无缺陷的，且应选择使用寿命长，维护要求低的材料。</w:t>
      </w:r>
    </w:p>
    <w:p w14:paraId="3C303644">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浸没在水下的设备的活动部分及表面，如销、栓与心轴等，应是抗腐蚀的。直接与各种化学制品接触的部件应具有对这些化学制品有完全的抗腐蚀与抗磨损的能力，并能保证这些部件不会由于时间的消逝，暴露在日光下或任何其它原因引起老化。</w:t>
      </w:r>
    </w:p>
    <w:p w14:paraId="4FD56ED3">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不锈钢应具有适应相关环境需要的耐腐蚀性能，一般设备不低于GB1220－2007规定的标准。</w:t>
      </w:r>
    </w:p>
    <w:p w14:paraId="01F95DC5">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当规定中标注“不锈钢”而未标注不锈钢标号（牌号）材料时，默认为304不锈钢。</w:t>
      </w:r>
    </w:p>
    <w:p w14:paraId="78D86D55">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用于焊接的不锈钢应选用不产生晶相腐蚀的材料。</w:t>
      </w:r>
    </w:p>
    <w:p w14:paraId="1CD262B4">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在两种耐腐材料的接触之处，所选用的材料应具有合适的硬度光洁度及润滑，防止两种相接触的材料亲合。</w:t>
      </w:r>
    </w:p>
    <w:p w14:paraId="3A490C2B">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型钢应符合ISO657。</w:t>
      </w:r>
    </w:p>
    <w:p w14:paraId="58CB9A27">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普通钢管应符合ISO3304。</w:t>
      </w:r>
    </w:p>
    <w:p w14:paraId="52F09D54">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铸铁具有GG25以上机械特性。</w:t>
      </w:r>
    </w:p>
    <w:p w14:paraId="43659207">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相接触的材料，其电位差不应超过0.6V，否则应采取必要的措施。</w:t>
      </w:r>
    </w:p>
    <w:p w14:paraId="729030CE">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当业主要求递交材料样品作测试时，在材料应用到设备30个日历日之前，中标人应自费递交材料样品，业主应作书面批准。中标人在没有得到此批准前，材料不得使用。</w:t>
      </w:r>
    </w:p>
    <w:p w14:paraId="2056F030">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如有要求，中标人应递交使用在设备中的材料质保书，包括材料成份报告。</w:t>
      </w:r>
    </w:p>
    <w:p w14:paraId="728C532A">
      <w:pPr>
        <w:pageBreakBefore w:val="0"/>
        <w:kinsoku/>
        <w:wordWrap/>
        <w:topLinePunct w:val="0"/>
        <w:bidi w:val="0"/>
        <w:adjustRightInd w:val="0"/>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铸件</w:t>
      </w:r>
    </w:p>
    <w:p w14:paraId="10C78056">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所有铸件应质地细密，有工作应力之处，应使用铸钢而不可使用可锻铸铁。</w:t>
      </w:r>
    </w:p>
    <w:p w14:paraId="414FE329">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所有铸件结构应均匀，无杂质和其他缺陷。所有非加工表面应光滑并对所有铸造表面进行仔细地清理。</w:t>
      </w:r>
    </w:p>
    <w:p w14:paraId="4279A349">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铸件应清洁，形状正确，所有形状和尺寸的变化应有较大的圆弧过渡和铸造圆角，铸件在加工前需进行退火以及时处理消除内应力。</w:t>
      </w:r>
    </w:p>
    <w:p w14:paraId="542ACCAB">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铸件由于浇铸或其它原因造成的裂缝等缺陷，将视为不合格铸件，严禁焊补修复后使用。</w:t>
      </w:r>
    </w:p>
    <w:p w14:paraId="3D1F79CA">
      <w:pPr>
        <w:pageBreakBefore w:val="0"/>
        <w:kinsoku/>
        <w:wordWrap/>
        <w:topLinePunct w:val="0"/>
        <w:bidi w:val="0"/>
        <w:adjustRightInd w:val="0"/>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焊接</w:t>
      </w:r>
    </w:p>
    <w:p w14:paraId="46BFBD7A">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在任何情况下，承受高应力的焊缝，在制作前，中标人应向业主递交所有焊接的详细图纸和准备工作的计划。在业主没有批准前，不得进行任何的焊接，也不能对先前已批准的焊接准备工作的细节作任何的改变。</w:t>
      </w:r>
    </w:p>
    <w:p w14:paraId="5DE2F6C4">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所有其他的焊缝应有合格的焊接工焊接。具有高应力的焊缝，可能要求射线探伤，应符合ISO1106、ISO2504或JB4730-1994，质量等级为II级。</w:t>
      </w:r>
    </w:p>
    <w:p w14:paraId="5AB6BFA3">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所有焊接结构在机加工前应按GB/T 150-2011进行热处理以去除内应力。</w:t>
      </w:r>
    </w:p>
    <w:p w14:paraId="4B74F290">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焊条（丝）的选择应符合相应的规定要求：</w:t>
      </w:r>
    </w:p>
    <w:p w14:paraId="63D90AE4">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当同类钢材焊接时，应根据等强度的原则，选择满足母材力学性能的焊条（丝），或结合母材的可焊性，改用非等强度而焊接性好的焊条，所选用的焊条（丝）的合金成分应符合或接近母材。</w:t>
      </w:r>
    </w:p>
    <w:p w14:paraId="67A36BD9">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当一般碳钢和低合金钢焊接时，应使焊接接头的强度大于被焊接钢材中最低的强度，焊接接头的塑性和冲击韧性不低于被焊钢材，为防止焊接裂缝，应根据焊接性较差的母材选取焊接工艺。</w:t>
      </w:r>
    </w:p>
    <w:p w14:paraId="07E80771">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当低碳钢和奥氏体不锈钢焊接时，一般应选用含铬镍比母材高，塑性、抗裂性好的奥氏体不锈钢焊条（丝）。对于不重要的焊件，可选用与不锈钢相应的焊条（丝）。</w:t>
      </w:r>
    </w:p>
    <w:p w14:paraId="2A392A8F">
      <w:pPr>
        <w:pageBreakBefore w:val="0"/>
        <w:kinsoku/>
        <w:wordWrap/>
        <w:topLinePunct w:val="0"/>
        <w:bidi w:val="0"/>
        <w:adjustRightInd w:val="0"/>
        <w:spacing w:line="360" w:lineRule="auto"/>
        <w:ind w:firstLine="48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锻件</w:t>
      </w:r>
    </w:p>
    <w:p w14:paraId="044A42D1">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承受主要应力的锻件应符合标准规范，并且在开工前应将此标准交给业主批准。锻件重量超过300kg应按JB4730-2005进行超声检测。锻件应符合JB/T5000的要求进行内部检查和非破坏性测试以探测裂纹，并应进行热处理，去除残余应力。对于每一这样的锻件，应向业主递交制造商姓名以及为锻件所进行的热处理方式。业主可能在制造商，中标人代表到场的情况下对锻件进行检查。</w:t>
      </w:r>
    </w:p>
    <w:p w14:paraId="1B0646A2">
      <w:pPr>
        <w:pageBreakBefore w:val="0"/>
        <w:kinsoku/>
        <w:wordWrap/>
        <w:topLinePunct w:val="0"/>
        <w:bidi w:val="0"/>
        <w:adjustRightInd w:val="0"/>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螺母、螺钉、垫圈和螺栓</w:t>
      </w:r>
    </w:p>
    <w:p w14:paraId="28820B39">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粗制螺栓，螺钉和螺母应符合ISO225，ISO272，ISO885，ISO888和SO4759/1。精制六角螺栓，螺钉和螺母应符合ISO272，ISO4759/1 8.8级。垫圈应符合ISO/R887，并使用在所有螺母，六角螺栓和螺钉之下。</w:t>
      </w:r>
    </w:p>
    <w:p w14:paraId="50BB9927">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所有浸没于污水中的螺栓，螺钉，螺母，垫圈应采用不锈钢材料，并符合SUS304要求。</w:t>
      </w:r>
    </w:p>
    <w:p w14:paraId="432CB705">
      <w:pPr>
        <w:keepNext w:val="0"/>
        <w:keepLines w:val="0"/>
        <w:pageBreakBefore w:val="0"/>
        <w:widowControl w:val="0"/>
        <w:kinsoku/>
        <w:wordWrap/>
        <w:overflowPunct/>
        <w:topLinePunct w:val="0"/>
        <w:autoSpaceDE/>
        <w:autoSpaceDN/>
        <w:bidi w:val="0"/>
        <w:adjustRightInd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螺栓的应有足够长度以确保螺母旋紧。</w:t>
      </w:r>
    </w:p>
    <w:p w14:paraId="6258B2FF">
      <w:pPr>
        <w:keepNext w:val="0"/>
        <w:keepLines w:val="0"/>
        <w:pageBreakBefore w:val="0"/>
        <w:widowControl w:val="0"/>
        <w:kinsoku/>
        <w:wordWrap/>
        <w:overflowPunct/>
        <w:topLinePunct w:val="0"/>
        <w:autoSpaceDE/>
        <w:autoSpaceDN/>
        <w:bidi w:val="0"/>
        <w:adjustRightInd w:val="0"/>
        <w:snapToGrid/>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紧固螺栓</w:t>
      </w:r>
    </w:p>
    <w:p w14:paraId="7051733B">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在混凝土，砖石或切石中的紧固螺栓，螺母和垫圈应为不锈钢。螺栓可以是棘形的或齿形的螺栓，膨胀螺栓，或树脂膨胀管螺栓。中标人应递交他所建议使用的螺栓类型的详细资料，包括制造商的产品规格，给业主批准。</w:t>
      </w:r>
    </w:p>
    <w:p w14:paraId="76C904DB">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螺栓用来紧固铝合金件时，应用非金属隔套和垫圈将铝合金隔离。带有棘形或齿形预埋螺栓的二次灌浆材料应为专用的非收缩型环氧树脂砂浆，地脚螺栓和预埋螺栓应在二次灌浆材料达到足够的强度时才能投入使用。</w:t>
      </w:r>
    </w:p>
    <w:p w14:paraId="6CE98764">
      <w:pPr>
        <w:keepNext w:val="0"/>
        <w:keepLines w:val="0"/>
        <w:pageBreakBefore w:val="0"/>
        <w:widowControl w:val="0"/>
        <w:kinsoku/>
        <w:wordWrap/>
        <w:overflowPunct/>
        <w:topLinePunct w:val="0"/>
        <w:autoSpaceDE/>
        <w:autoSpaceDN/>
        <w:bidi w:val="0"/>
        <w:adjustRightInd w:val="0"/>
        <w:snapToGrid/>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润滑</w:t>
      </w:r>
    </w:p>
    <w:p w14:paraId="5ECB71B1">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所有加注润滑油、润滑脂的位置应适合于日常维护。必要时，应装有合适的延长管。</w:t>
      </w:r>
    </w:p>
    <w:p w14:paraId="642DA3B2">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手动油脂加注点应使用六角型帽加注油杯，如果多种油脂需要加注，每种油脂应对应一种加注油杯，并配有标签，注明所需的润滑剂。</w:t>
      </w:r>
    </w:p>
    <w:p w14:paraId="175B0E57">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油浴润滑系统应有玻璃油位显示器。没有业主的批准不能使用油位测杆。在规定之处应使用自动加油装置，系统的全部详细资料应递交业主批准。</w:t>
      </w:r>
    </w:p>
    <w:p w14:paraId="0D16A3D3">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如果需要连续地加注润滑脂、润滑油，其油箱的容量应至少满足7天的连续工作所需。</w:t>
      </w:r>
    </w:p>
    <w:p w14:paraId="159B0DDF">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整套润滑剂推荐表应包含在设备的操作、维修手册中。</w:t>
      </w:r>
    </w:p>
    <w:p w14:paraId="1E9A33B3">
      <w:pPr>
        <w:keepNext w:val="0"/>
        <w:keepLines w:val="0"/>
        <w:pageBreakBefore w:val="0"/>
        <w:widowControl w:val="0"/>
        <w:kinsoku/>
        <w:wordWrap/>
        <w:overflowPunct/>
        <w:topLinePunct w:val="0"/>
        <w:autoSpaceDE/>
        <w:autoSpaceDN/>
        <w:bidi w:val="0"/>
        <w:adjustRightInd w:val="0"/>
        <w:snapToGrid/>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铭牌，标签和警告牌</w:t>
      </w:r>
    </w:p>
    <w:p w14:paraId="131843A4">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设备按照其工作状况应有适宜的和统一的标牌，在电气控制柜上的标牌应与其协调一致。所有铭牌，标签和警告牌应用中英文书写，中文应写在英文之上。警告牌，不管其处于静止的或其它状态，应放置在合适的位置上，以警示人们任何由设备引起的潜在危险。开始应写上“危险”字样，并用中英文写于红色底面上。</w:t>
      </w:r>
    </w:p>
    <w:p w14:paraId="0D6B2461">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所有断路器、启动器、开关装置、熔断器和其它电气设备应清楚地标明设备的功能，如果是单相设备，就应标明此相与哪台设备连接。</w:t>
      </w:r>
    </w:p>
    <w:p w14:paraId="23F74F1C">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在熔断器柜上的标牌应标明每一回路。</w:t>
      </w:r>
    </w:p>
    <w:p w14:paraId="4ED7EA7F">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对于一些设备，其铭牌不易看到（例如，潜水泵、水下搅拌机），中标人应附加地提供一块相同的铭牌紧固在相关的控制柜或启动装置上。</w:t>
      </w:r>
    </w:p>
    <w:p w14:paraId="05EB8883">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标牌和警告牌应是凹字塑料板，用螺钉和螺栓固定。黏接固定将不被接收。</w:t>
      </w:r>
    </w:p>
    <w:p w14:paraId="29B67A35">
      <w:pPr>
        <w:keepNext w:val="0"/>
        <w:keepLines w:val="0"/>
        <w:pageBreakBefore w:val="0"/>
        <w:widowControl w:val="0"/>
        <w:kinsoku/>
        <w:wordWrap/>
        <w:overflowPunct/>
        <w:topLinePunct w:val="0"/>
        <w:autoSpaceDE/>
        <w:autoSpaceDN/>
        <w:bidi w:val="0"/>
        <w:snapToGrid/>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安全罩</w:t>
      </w:r>
    </w:p>
    <w:p w14:paraId="616DA59E">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设备的所有含有危险因素的部分应加上安全罩。在正常工况条件下，温度高于60</w:t>
      </w:r>
      <w:r>
        <w:rPr>
          <w:rFonts w:hint="eastAsia" w:asciiTheme="minorEastAsia" w:hAnsiTheme="minorEastAsia" w:eastAsiaTheme="minorEastAsia" w:cstheme="minorEastAsia"/>
          <w:sz w:val="24"/>
          <w:szCs w:val="24"/>
        </w:rPr>
        <w:sym w:font="Symbol" w:char="F0B0"/>
      </w:r>
      <w:r>
        <w:rPr>
          <w:rFonts w:hint="eastAsia" w:asciiTheme="minorEastAsia" w:hAnsiTheme="minorEastAsia" w:eastAsiaTheme="minorEastAsia" w:cstheme="minorEastAsia"/>
          <w:sz w:val="24"/>
          <w:szCs w:val="24"/>
        </w:rPr>
        <w:t>C或小于5</w:t>
      </w:r>
      <w:r>
        <w:rPr>
          <w:rFonts w:hint="eastAsia" w:asciiTheme="minorEastAsia" w:hAnsiTheme="minorEastAsia" w:eastAsiaTheme="minorEastAsia" w:cstheme="minorEastAsia"/>
          <w:sz w:val="24"/>
          <w:szCs w:val="24"/>
        </w:rPr>
        <w:sym w:font="Symbol" w:char="F0B0"/>
      </w:r>
      <w:r>
        <w:rPr>
          <w:rFonts w:hint="eastAsia" w:asciiTheme="minorEastAsia" w:hAnsiTheme="minorEastAsia" w:eastAsiaTheme="minorEastAsia" w:cstheme="minorEastAsia"/>
          <w:sz w:val="24"/>
          <w:szCs w:val="24"/>
        </w:rPr>
        <w:t>C的所有零件应装有防护栏或保温套。</w:t>
      </w:r>
    </w:p>
    <w:p w14:paraId="41030EEB">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所有电气传导件包括由此而形成的电器装置都应绝缘或用防护栏防护或置于安全之处以防危险。</w:t>
      </w:r>
    </w:p>
    <w:p w14:paraId="30A07C10">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罩应用钢丝网或用钢板网制成，如必要的话，用全钢板制成。安全罩应设计成对轴承、润滑脂加注点、温度计、和其它检测点便利操作的型式，允许操作工在没有危险或不需要拆掉安全罩的任何部分情况下，进行日常的维护工作。在便利到达检测点的地方应设置装有挂锁的检修门。防护罩应采用螺栓固定，不会被无意地拆除或移动。</w:t>
      </w:r>
    </w:p>
    <w:p w14:paraId="6792CB25">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用于防护罩结构的所有低碳钢包括螺栓，螺母，垫圈，挡圈应热浸锌，除非有其他规定。安全罩的图纸在加工前应送交业主批准。</w:t>
      </w:r>
    </w:p>
    <w:p w14:paraId="6E7DEDE1">
      <w:pPr>
        <w:keepNext w:val="0"/>
        <w:keepLines w:val="0"/>
        <w:pageBreakBefore w:val="0"/>
        <w:widowControl w:val="0"/>
        <w:kinsoku/>
        <w:wordWrap/>
        <w:overflowPunct/>
        <w:topLinePunct w:val="0"/>
        <w:autoSpaceDE/>
        <w:autoSpaceDN/>
        <w:bidi w:val="0"/>
        <w:snapToGrid/>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管道工程</w:t>
      </w:r>
    </w:p>
    <w:p w14:paraId="34F848D0">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管道提供的范围应为招标图纸上所标明，并应包括所有必要的专用件，连接材料和法兰套管等。</w:t>
      </w:r>
    </w:p>
    <w:p w14:paraId="3C877B57">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足够数量的柔性法兰接头应能方便拆去任何设备而无需拆卸相关管道以及适应由于温度引起的管道的轴向伸缩。</w:t>
      </w:r>
    </w:p>
    <w:p w14:paraId="23249DDF">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在采用一根出水总管之处，除非在招标图纸上另有规定，泵的出水支管应在水平面上接入并以圆弧和角度过渡连接以防水流变化过急。</w:t>
      </w:r>
    </w:p>
    <w:p w14:paraId="1202018D">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在土建结构结合之处，管道上应配有挠性联接管以适应不同的沉降。</w:t>
      </w:r>
    </w:p>
    <w:p w14:paraId="22F6FBDB">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在固定点连接的管道应提供模板管，套圈，短管或挠性接头以适应土建结构的误差。</w:t>
      </w:r>
    </w:p>
    <w:p w14:paraId="49228B36">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通过地下墙壁或水池结构的铸铁管应配以穿墙管。</w:t>
      </w:r>
    </w:p>
    <w:p w14:paraId="14BD0E3B">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存水泵、通风管的小口径管道可以是镀锌管或铜管。</w:t>
      </w:r>
    </w:p>
    <w:p w14:paraId="33EB5E9E">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所有管道在固紧前应校中，检查法兰的配合和连接，所有管道不允许弯曲就位。</w:t>
      </w:r>
    </w:p>
    <w:p w14:paraId="232E4A3E">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所有管道，应具有合适的支撑和地脚锚固布置，特别应注意，尽可能地保证不要将管道的推力传到机械装置和其他相关设备上去。在需要混凝土支撑的地方，中标人应将此标在其图纸上，由业主安排必要的工作。混凝土支撑的设计是中标人的责任。如有要求，设计计算应递交业主。</w:t>
      </w:r>
    </w:p>
    <w:p w14:paraId="0AE38A06">
      <w:pPr>
        <w:keepNext w:val="0"/>
        <w:keepLines w:val="0"/>
        <w:pageBreakBefore w:val="0"/>
        <w:widowControl w:val="0"/>
        <w:kinsoku/>
        <w:wordWrap/>
        <w:overflowPunct/>
        <w:topLinePunct w:val="0"/>
        <w:autoSpaceDE/>
        <w:autoSpaceDN/>
        <w:bidi w:val="0"/>
        <w:adjustRightInd w:val="0"/>
        <w:snapToGrid/>
        <w:spacing w:line="360" w:lineRule="auto"/>
        <w:ind w:firstLine="48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安装完成的管道都应有管道标识，标明管道内物料名称、流向等。规格应符合国家规范。</w:t>
      </w:r>
    </w:p>
    <w:p w14:paraId="078A2283">
      <w:pPr>
        <w:keepNext w:val="0"/>
        <w:keepLines w:val="0"/>
        <w:pageBreakBefore w:val="0"/>
        <w:widowControl w:val="0"/>
        <w:kinsoku/>
        <w:wordWrap/>
        <w:overflowPunct/>
        <w:topLinePunct w:val="0"/>
        <w:autoSpaceDE/>
        <w:autoSpaceDN/>
        <w:bidi w:val="0"/>
        <w:adjustRightInd w:val="0"/>
        <w:snapToGrid/>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钢管及异型钢管</w:t>
      </w:r>
    </w:p>
    <w:p w14:paraId="07AA9B61">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钢板和配件应为无缝或焊接结构，符合最新版的规范。GB50235-2010，BS3601，BS534，ISO4200，ISO2604/2，ISO2604/3，ISO260 4 /6或其它认可的规范。</w:t>
      </w:r>
    </w:p>
    <w:p w14:paraId="1E52F5C3">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管壁厚应适合说明所规定的正常工作压力。</w:t>
      </w:r>
    </w:p>
    <w:p w14:paraId="67752A83">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管道及配件应按照BS3600，表1或ISO4200用公称直径表示。</w:t>
      </w:r>
    </w:p>
    <w:p w14:paraId="3B17C273">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所有管道工程和配件应为新的并且在制造厂家完全装配好并进行防腐处理。</w:t>
      </w:r>
    </w:p>
    <w:p w14:paraId="26AB1C64">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兰为平焊法兰，在法兰的内部和外部都必须焊接。所有法兰应为1MPa设计压力。除了与现有的设备连接，其螺孔及其布置有所不同之外。在此情况下，法兰厚度应符合1MPa设计压力进行制造，螺孔及其布置应按照连接法兰的螺孔及布置制作。</w:t>
      </w:r>
    </w:p>
    <w:p w14:paraId="67052FD7">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焊接应严格按GBJ50235-2010和BS2971，2级电弧焊或相当的国际标准执行。所有焊接装配工作应由一个独立的检验机构编号并测试。电焊工应进行有关测试，而且中标人应提供试验证明给监理工程师考核。监理工程师保留在制造时进行巡查的权力，并有权检查产品，检验配件，有权现场核查有关所使用的材料和工人的证明。</w:t>
      </w:r>
    </w:p>
    <w:p w14:paraId="1A86B8FB">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定位焊接的工作应由合格电焊工按GBJ50236-2011，BS2971或相当的国际标准进行手工操作，中标人应向监理工程师提交所有打算聘佣的电焊工的详细材料。监理工程师对任一电焊工的认可仅在其满足GBJ50236-2011，BS4871：Partl，BSEN287：Partl，或其它相当的国际标准所规定的电焊工测试的要求后才给出。</w:t>
      </w:r>
    </w:p>
    <w:p w14:paraId="4C85A6C1">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除特殊要求外，碳钢钢管和不锈钢管的公称直径、壁厚、外径应符合下表要求。</w:t>
      </w:r>
    </w:p>
    <w:p w14:paraId="7C4FAF23">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除特殊要求外，碳钢钢管公称直径、壁厚、外径统一如下：</w:t>
      </w:r>
    </w:p>
    <w:p w14:paraId="781414D3">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碳钢钢管公称直径、壁厚、外径一览表（mm）（国标）</w:t>
      </w:r>
    </w:p>
    <w:tbl>
      <w:tblPr>
        <w:tblStyle w:val="63"/>
        <w:tblW w:w="7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061"/>
        <w:gridCol w:w="2061"/>
        <w:gridCol w:w="2061"/>
      </w:tblGrid>
      <w:tr w14:paraId="62FE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00" w:type="dxa"/>
            <w:noWrap w:val="0"/>
            <w:vAlign w:val="center"/>
          </w:tcPr>
          <w:p w14:paraId="2CBB621C">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061" w:type="dxa"/>
            <w:noWrap w:val="0"/>
            <w:vAlign w:val="center"/>
          </w:tcPr>
          <w:p w14:paraId="6D33925B">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公称直径DN</w:t>
            </w:r>
          </w:p>
        </w:tc>
        <w:tc>
          <w:tcPr>
            <w:tcW w:w="2061" w:type="dxa"/>
            <w:noWrap w:val="0"/>
            <w:vAlign w:val="center"/>
          </w:tcPr>
          <w:p w14:paraId="7728475D">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外径D</w:t>
            </w:r>
          </w:p>
        </w:tc>
        <w:tc>
          <w:tcPr>
            <w:tcW w:w="2061" w:type="dxa"/>
            <w:noWrap w:val="0"/>
            <w:vAlign w:val="center"/>
          </w:tcPr>
          <w:p w14:paraId="2CA21477">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壁厚</w:t>
            </w:r>
          </w:p>
        </w:tc>
      </w:tr>
      <w:tr w14:paraId="1D9E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4999E59B">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061" w:type="dxa"/>
            <w:noWrap w:val="0"/>
            <w:vAlign w:val="center"/>
          </w:tcPr>
          <w:p w14:paraId="06417190">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w:t>
            </w:r>
          </w:p>
        </w:tc>
        <w:tc>
          <w:tcPr>
            <w:tcW w:w="2061" w:type="dxa"/>
            <w:noWrap w:val="0"/>
            <w:vAlign w:val="center"/>
          </w:tcPr>
          <w:p w14:paraId="28568F4E">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57</w:t>
            </w:r>
          </w:p>
        </w:tc>
        <w:tc>
          <w:tcPr>
            <w:tcW w:w="2061" w:type="dxa"/>
            <w:noWrap w:val="0"/>
            <w:vAlign w:val="center"/>
          </w:tcPr>
          <w:p w14:paraId="66221F74">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r>
      <w:tr w14:paraId="35CB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6A19AC3A">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061" w:type="dxa"/>
            <w:noWrap w:val="0"/>
            <w:vAlign w:val="center"/>
          </w:tcPr>
          <w:p w14:paraId="35F3E006">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70</w:t>
            </w:r>
          </w:p>
        </w:tc>
        <w:tc>
          <w:tcPr>
            <w:tcW w:w="2061" w:type="dxa"/>
            <w:noWrap w:val="0"/>
            <w:vAlign w:val="center"/>
          </w:tcPr>
          <w:p w14:paraId="4732FE2A">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w:t>
            </w:r>
          </w:p>
        </w:tc>
        <w:tc>
          <w:tcPr>
            <w:tcW w:w="2061" w:type="dxa"/>
            <w:noWrap w:val="0"/>
            <w:vAlign w:val="center"/>
          </w:tcPr>
          <w:p w14:paraId="51FB4DBD">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r>
      <w:tr w14:paraId="2AA2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37DD0913">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061" w:type="dxa"/>
            <w:noWrap w:val="0"/>
            <w:vAlign w:val="center"/>
          </w:tcPr>
          <w:p w14:paraId="310BBEC1">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w:t>
            </w:r>
          </w:p>
        </w:tc>
        <w:tc>
          <w:tcPr>
            <w:tcW w:w="2061" w:type="dxa"/>
            <w:noWrap w:val="0"/>
            <w:vAlign w:val="center"/>
          </w:tcPr>
          <w:p w14:paraId="59F7F365">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89</w:t>
            </w:r>
          </w:p>
        </w:tc>
        <w:tc>
          <w:tcPr>
            <w:tcW w:w="2061" w:type="dxa"/>
            <w:noWrap w:val="0"/>
            <w:vAlign w:val="center"/>
          </w:tcPr>
          <w:p w14:paraId="4AFCEDA5">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r>
      <w:tr w14:paraId="7A64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57325FCB">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061" w:type="dxa"/>
            <w:noWrap w:val="0"/>
            <w:vAlign w:val="center"/>
          </w:tcPr>
          <w:p w14:paraId="29E29F44">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2061" w:type="dxa"/>
            <w:noWrap w:val="0"/>
            <w:vAlign w:val="center"/>
          </w:tcPr>
          <w:p w14:paraId="3CFB6A25">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108</w:t>
            </w:r>
          </w:p>
        </w:tc>
        <w:tc>
          <w:tcPr>
            <w:tcW w:w="2061" w:type="dxa"/>
            <w:noWrap w:val="0"/>
            <w:vAlign w:val="center"/>
          </w:tcPr>
          <w:p w14:paraId="3EFA3DAD">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r>
      <w:tr w14:paraId="34D3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0AA1BD00">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061" w:type="dxa"/>
            <w:noWrap w:val="0"/>
            <w:vAlign w:val="center"/>
          </w:tcPr>
          <w:p w14:paraId="5520B30B">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125</w:t>
            </w:r>
          </w:p>
        </w:tc>
        <w:tc>
          <w:tcPr>
            <w:tcW w:w="2061" w:type="dxa"/>
            <w:noWrap w:val="0"/>
            <w:vAlign w:val="center"/>
          </w:tcPr>
          <w:p w14:paraId="263AFDF4">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w:t>
            </w:r>
          </w:p>
        </w:tc>
        <w:tc>
          <w:tcPr>
            <w:tcW w:w="2061" w:type="dxa"/>
            <w:noWrap w:val="0"/>
            <w:vAlign w:val="center"/>
          </w:tcPr>
          <w:p w14:paraId="6FD2D2A1">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r>
      <w:tr w14:paraId="5E96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038FFF01">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061" w:type="dxa"/>
            <w:noWrap w:val="0"/>
            <w:vAlign w:val="center"/>
          </w:tcPr>
          <w:p w14:paraId="50B701F8">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150</w:t>
            </w:r>
          </w:p>
        </w:tc>
        <w:tc>
          <w:tcPr>
            <w:tcW w:w="2061" w:type="dxa"/>
            <w:noWrap w:val="0"/>
            <w:vAlign w:val="center"/>
          </w:tcPr>
          <w:p w14:paraId="76BD5162">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159</w:t>
            </w:r>
          </w:p>
        </w:tc>
        <w:tc>
          <w:tcPr>
            <w:tcW w:w="2061" w:type="dxa"/>
            <w:noWrap w:val="0"/>
            <w:vAlign w:val="center"/>
          </w:tcPr>
          <w:p w14:paraId="42CD3145">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r>
      <w:tr w14:paraId="5E83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44F442FC">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061" w:type="dxa"/>
            <w:noWrap w:val="0"/>
            <w:vAlign w:val="center"/>
          </w:tcPr>
          <w:p w14:paraId="4F78D502">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w:t>
            </w:r>
          </w:p>
        </w:tc>
        <w:tc>
          <w:tcPr>
            <w:tcW w:w="2061" w:type="dxa"/>
            <w:noWrap w:val="0"/>
            <w:vAlign w:val="center"/>
          </w:tcPr>
          <w:p w14:paraId="2F716447">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219</w:t>
            </w:r>
          </w:p>
        </w:tc>
        <w:tc>
          <w:tcPr>
            <w:tcW w:w="2061" w:type="dxa"/>
            <w:noWrap w:val="0"/>
            <w:vAlign w:val="center"/>
          </w:tcPr>
          <w:p w14:paraId="2427646F">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r>
      <w:tr w14:paraId="1AE6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66549FC6">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061" w:type="dxa"/>
            <w:noWrap w:val="0"/>
            <w:vAlign w:val="center"/>
          </w:tcPr>
          <w:p w14:paraId="4DB8F077">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250</w:t>
            </w:r>
          </w:p>
        </w:tc>
        <w:tc>
          <w:tcPr>
            <w:tcW w:w="2061" w:type="dxa"/>
            <w:noWrap w:val="0"/>
            <w:vAlign w:val="center"/>
          </w:tcPr>
          <w:p w14:paraId="33E9ACAC">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273</w:t>
            </w:r>
          </w:p>
        </w:tc>
        <w:tc>
          <w:tcPr>
            <w:tcW w:w="2061" w:type="dxa"/>
            <w:noWrap w:val="0"/>
            <w:vAlign w:val="center"/>
          </w:tcPr>
          <w:p w14:paraId="0A5DFEDF">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r>
      <w:tr w14:paraId="1512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31B39CD7">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061" w:type="dxa"/>
            <w:noWrap w:val="0"/>
            <w:vAlign w:val="center"/>
          </w:tcPr>
          <w:p w14:paraId="578FDA2D">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2061" w:type="dxa"/>
            <w:noWrap w:val="0"/>
            <w:vAlign w:val="center"/>
          </w:tcPr>
          <w:p w14:paraId="1258D39C">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325</w:t>
            </w:r>
          </w:p>
        </w:tc>
        <w:tc>
          <w:tcPr>
            <w:tcW w:w="2061" w:type="dxa"/>
            <w:noWrap w:val="0"/>
            <w:vAlign w:val="center"/>
          </w:tcPr>
          <w:p w14:paraId="2D489DCC">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r>
      <w:tr w14:paraId="6195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50F87FBF">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2061" w:type="dxa"/>
            <w:noWrap w:val="0"/>
            <w:vAlign w:val="center"/>
          </w:tcPr>
          <w:p w14:paraId="37C4814C">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350</w:t>
            </w:r>
          </w:p>
        </w:tc>
        <w:tc>
          <w:tcPr>
            <w:tcW w:w="2061" w:type="dxa"/>
            <w:noWrap w:val="0"/>
            <w:vAlign w:val="center"/>
          </w:tcPr>
          <w:p w14:paraId="33B853A5">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377</w:t>
            </w:r>
          </w:p>
        </w:tc>
        <w:tc>
          <w:tcPr>
            <w:tcW w:w="2061" w:type="dxa"/>
            <w:noWrap w:val="0"/>
            <w:vAlign w:val="center"/>
          </w:tcPr>
          <w:p w14:paraId="5151AA21">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r>
      <w:tr w14:paraId="118E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3D720CA2">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2061" w:type="dxa"/>
            <w:noWrap w:val="0"/>
            <w:vAlign w:val="center"/>
          </w:tcPr>
          <w:p w14:paraId="066BEF5C">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w:t>
            </w:r>
          </w:p>
        </w:tc>
        <w:tc>
          <w:tcPr>
            <w:tcW w:w="2061" w:type="dxa"/>
            <w:noWrap w:val="0"/>
            <w:vAlign w:val="center"/>
          </w:tcPr>
          <w:p w14:paraId="0924D36A">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426</w:t>
            </w:r>
          </w:p>
        </w:tc>
        <w:tc>
          <w:tcPr>
            <w:tcW w:w="2061" w:type="dxa"/>
            <w:noWrap w:val="0"/>
            <w:vAlign w:val="center"/>
          </w:tcPr>
          <w:p w14:paraId="19C884A3">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r>
      <w:tr w14:paraId="7EB5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64C0CEDC">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2061" w:type="dxa"/>
            <w:noWrap w:val="0"/>
            <w:vAlign w:val="center"/>
          </w:tcPr>
          <w:p w14:paraId="19C102F9">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450</w:t>
            </w:r>
          </w:p>
        </w:tc>
        <w:tc>
          <w:tcPr>
            <w:tcW w:w="2061" w:type="dxa"/>
            <w:noWrap w:val="0"/>
            <w:vAlign w:val="center"/>
          </w:tcPr>
          <w:p w14:paraId="7892C185">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480</w:t>
            </w:r>
          </w:p>
        </w:tc>
        <w:tc>
          <w:tcPr>
            <w:tcW w:w="2061" w:type="dxa"/>
            <w:noWrap w:val="0"/>
            <w:vAlign w:val="center"/>
          </w:tcPr>
          <w:p w14:paraId="4E93F53D">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r>
      <w:tr w14:paraId="5D2E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1730D8B4">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2061" w:type="dxa"/>
            <w:noWrap w:val="0"/>
            <w:vAlign w:val="center"/>
          </w:tcPr>
          <w:p w14:paraId="0BC21DBC">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w:t>
            </w:r>
          </w:p>
        </w:tc>
        <w:tc>
          <w:tcPr>
            <w:tcW w:w="2061" w:type="dxa"/>
            <w:noWrap w:val="0"/>
            <w:vAlign w:val="center"/>
          </w:tcPr>
          <w:p w14:paraId="71EC2391">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530</w:t>
            </w:r>
          </w:p>
        </w:tc>
        <w:tc>
          <w:tcPr>
            <w:tcW w:w="2061" w:type="dxa"/>
            <w:noWrap w:val="0"/>
            <w:vAlign w:val="center"/>
          </w:tcPr>
          <w:p w14:paraId="25C28370">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r>
      <w:tr w14:paraId="6C3D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3A88C73D">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2061" w:type="dxa"/>
            <w:noWrap w:val="0"/>
            <w:vAlign w:val="center"/>
          </w:tcPr>
          <w:p w14:paraId="4709B9E6">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600</w:t>
            </w:r>
          </w:p>
        </w:tc>
        <w:tc>
          <w:tcPr>
            <w:tcW w:w="2061" w:type="dxa"/>
            <w:noWrap w:val="0"/>
            <w:vAlign w:val="center"/>
          </w:tcPr>
          <w:p w14:paraId="3E7EA5B2">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630</w:t>
            </w:r>
          </w:p>
        </w:tc>
        <w:tc>
          <w:tcPr>
            <w:tcW w:w="2061" w:type="dxa"/>
            <w:noWrap w:val="0"/>
            <w:vAlign w:val="center"/>
          </w:tcPr>
          <w:p w14:paraId="1158ABF6">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r>
      <w:tr w14:paraId="45E2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066695AC">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2061" w:type="dxa"/>
            <w:noWrap w:val="0"/>
            <w:vAlign w:val="center"/>
          </w:tcPr>
          <w:p w14:paraId="1CE5EDCF">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700</w:t>
            </w:r>
          </w:p>
        </w:tc>
        <w:tc>
          <w:tcPr>
            <w:tcW w:w="2061" w:type="dxa"/>
            <w:noWrap w:val="0"/>
            <w:vAlign w:val="center"/>
          </w:tcPr>
          <w:p w14:paraId="439EB8FA">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720</w:t>
            </w:r>
          </w:p>
        </w:tc>
        <w:tc>
          <w:tcPr>
            <w:tcW w:w="2061" w:type="dxa"/>
            <w:noWrap w:val="0"/>
            <w:vAlign w:val="center"/>
          </w:tcPr>
          <w:p w14:paraId="486386D1">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r>
      <w:tr w14:paraId="0105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5E133F05">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2061" w:type="dxa"/>
            <w:noWrap w:val="0"/>
            <w:vAlign w:val="center"/>
          </w:tcPr>
          <w:p w14:paraId="668105B7">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800</w:t>
            </w:r>
          </w:p>
        </w:tc>
        <w:tc>
          <w:tcPr>
            <w:tcW w:w="2061" w:type="dxa"/>
            <w:noWrap w:val="0"/>
            <w:vAlign w:val="center"/>
          </w:tcPr>
          <w:p w14:paraId="46D0BA15">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820</w:t>
            </w:r>
          </w:p>
        </w:tc>
        <w:tc>
          <w:tcPr>
            <w:tcW w:w="2061" w:type="dxa"/>
            <w:noWrap w:val="0"/>
            <w:vAlign w:val="center"/>
          </w:tcPr>
          <w:p w14:paraId="4F5ECE04">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14:paraId="069A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67E3167F">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2061" w:type="dxa"/>
            <w:noWrap w:val="0"/>
            <w:vAlign w:val="center"/>
          </w:tcPr>
          <w:p w14:paraId="40D2DAD0">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900</w:t>
            </w:r>
          </w:p>
        </w:tc>
        <w:tc>
          <w:tcPr>
            <w:tcW w:w="2061" w:type="dxa"/>
            <w:noWrap w:val="0"/>
            <w:vAlign w:val="center"/>
          </w:tcPr>
          <w:p w14:paraId="1494FE55">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920</w:t>
            </w:r>
          </w:p>
        </w:tc>
        <w:tc>
          <w:tcPr>
            <w:tcW w:w="2061" w:type="dxa"/>
            <w:noWrap w:val="0"/>
            <w:vAlign w:val="center"/>
          </w:tcPr>
          <w:p w14:paraId="598202F8">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14:paraId="25B3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25655762">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2061" w:type="dxa"/>
            <w:noWrap w:val="0"/>
            <w:vAlign w:val="center"/>
          </w:tcPr>
          <w:p w14:paraId="4D3264BC">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1000</w:t>
            </w:r>
          </w:p>
        </w:tc>
        <w:tc>
          <w:tcPr>
            <w:tcW w:w="2061" w:type="dxa"/>
            <w:noWrap w:val="0"/>
            <w:vAlign w:val="center"/>
          </w:tcPr>
          <w:p w14:paraId="343FF605">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1020</w:t>
            </w:r>
          </w:p>
        </w:tc>
        <w:tc>
          <w:tcPr>
            <w:tcW w:w="2061" w:type="dxa"/>
            <w:noWrap w:val="0"/>
            <w:vAlign w:val="center"/>
          </w:tcPr>
          <w:p w14:paraId="43B9ED48">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14:paraId="58D4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05A684FF">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2061" w:type="dxa"/>
            <w:noWrap w:val="0"/>
            <w:vAlign w:val="center"/>
          </w:tcPr>
          <w:p w14:paraId="195046DD">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1200</w:t>
            </w:r>
          </w:p>
        </w:tc>
        <w:tc>
          <w:tcPr>
            <w:tcW w:w="2061" w:type="dxa"/>
            <w:noWrap w:val="0"/>
            <w:vAlign w:val="center"/>
          </w:tcPr>
          <w:p w14:paraId="1478D813">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1220</w:t>
            </w:r>
          </w:p>
        </w:tc>
        <w:tc>
          <w:tcPr>
            <w:tcW w:w="2061" w:type="dxa"/>
            <w:noWrap w:val="0"/>
            <w:vAlign w:val="center"/>
          </w:tcPr>
          <w:p w14:paraId="60930008">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r>
      <w:tr w14:paraId="24F5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5DC0A5FA">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2061" w:type="dxa"/>
            <w:noWrap w:val="0"/>
            <w:vAlign w:val="center"/>
          </w:tcPr>
          <w:p w14:paraId="695C3C00">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1400</w:t>
            </w:r>
          </w:p>
        </w:tc>
        <w:tc>
          <w:tcPr>
            <w:tcW w:w="2061" w:type="dxa"/>
            <w:noWrap w:val="0"/>
            <w:vAlign w:val="center"/>
          </w:tcPr>
          <w:p w14:paraId="72D52069">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1420</w:t>
            </w:r>
          </w:p>
        </w:tc>
        <w:tc>
          <w:tcPr>
            <w:tcW w:w="2061" w:type="dxa"/>
            <w:noWrap w:val="0"/>
            <w:vAlign w:val="center"/>
          </w:tcPr>
          <w:p w14:paraId="138F09E5">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r>
      <w:tr w14:paraId="4279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0A28E5A6">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2061" w:type="dxa"/>
            <w:noWrap w:val="0"/>
            <w:vAlign w:val="center"/>
          </w:tcPr>
          <w:p w14:paraId="5E5053C9">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1600</w:t>
            </w:r>
          </w:p>
        </w:tc>
        <w:tc>
          <w:tcPr>
            <w:tcW w:w="2061" w:type="dxa"/>
            <w:noWrap w:val="0"/>
            <w:vAlign w:val="center"/>
          </w:tcPr>
          <w:p w14:paraId="0CD7B11B">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1620</w:t>
            </w:r>
          </w:p>
        </w:tc>
        <w:tc>
          <w:tcPr>
            <w:tcW w:w="2061" w:type="dxa"/>
            <w:noWrap w:val="0"/>
            <w:vAlign w:val="center"/>
          </w:tcPr>
          <w:p w14:paraId="46EF35EC">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r>
      <w:tr w14:paraId="0233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58724258">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2061" w:type="dxa"/>
            <w:noWrap w:val="0"/>
            <w:vAlign w:val="center"/>
          </w:tcPr>
          <w:p w14:paraId="07770DAE">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1800</w:t>
            </w:r>
          </w:p>
        </w:tc>
        <w:tc>
          <w:tcPr>
            <w:tcW w:w="2061" w:type="dxa"/>
            <w:noWrap w:val="0"/>
            <w:vAlign w:val="center"/>
          </w:tcPr>
          <w:p w14:paraId="4F7FE583">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1820</w:t>
            </w:r>
          </w:p>
        </w:tc>
        <w:tc>
          <w:tcPr>
            <w:tcW w:w="2061" w:type="dxa"/>
            <w:noWrap w:val="0"/>
            <w:vAlign w:val="center"/>
          </w:tcPr>
          <w:p w14:paraId="1A8FF887">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r>
      <w:tr w14:paraId="6F4E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73C9D000">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2061" w:type="dxa"/>
            <w:noWrap w:val="0"/>
            <w:vAlign w:val="center"/>
          </w:tcPr>
          <w:p w14:paraId="233016C3">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2000</w:t>
            </w:r>
          </w:p>
        </w:tc>
        <w:tc>
          <w:tcPr>
            <w:tcW w:w="2061" w:type="dxa"/>
            <w:noWrap w:val="0"/>
            <w:vAlign w:val="center"/>
          </w:tcPr>
          <w:p w14:paraId="2F7DDDB2">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w:t>
            </w:r>
          </w:p>
        </w:tc>
        <w:tc>
          <w:tcPr>
            <w:tcW w:w="2061" w:type="dxa"/>
            <w:noWrap w:val="0"/>
            <w:vAlign w:val="center"/>
          </w:tcPr>
          <w:p w14:paraId="0E11E1A4">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r>
      <w:tr w14:paraId="51BF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33B49E33">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w:t>
            </w:r>
          </w:p>
        </w:tc>
        <w:tc>
          <w:tcPr>
            <w:tcW w:w="2061" w:type="dxa"/>
            <w:noWrap w:val="0"/>
            <w:vAlign w:val="center"/>
          </w:tcPr>
          <w:p w14:paraId="4FB94CDF">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2200</w:t>
            </w:r>
          </w:p>
        </w:tc>
        <w:tc>
          <w:tcPr>
            <w:tcW w:w="2061" w:type="dxa"/>
            <w:noWrap w:val="0"/>
            <w:vAlign w:val="center"/>
          </w:tcPr>
          <w:p w14:paraId="61ADE3F8">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2220</w:t>
            </w:r>
          </w:p>
        </w:tc>
        <w:tc>
          <w:tcPr>
            <w:tcW w:w="2061" w:type="dxa"/>
            <w:noWrap w:val="0"/>
            <w:vAlign w:val="center"/>
          </w:tcPr>
          <w:p w14:paraId="1B87DDC9">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r>
      <w:tr w14:paraId="7670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5D1BAACD">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w:t>
            </w:r>
          </w:p>
        </w:tc>
        <w:tc>
          <w:tcPr>
            <w:tcW w:w="2061" w:type="dxa"/>
            <w:noWrap w:val="0"/>
            <w:vAlign w:val="center"/>
          </w:tcPr>
          <w:p w14:paraId="4B396A8C">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2400</w:t>
            </w:r>
          </w:p>
        </w:tc>
        <w:tc>
          <w:tcPr>
            <w:tcW w:w="2061" w:type="dxa"/>
            <w:noWrap w:val="0"/>
            <w:vAlign w:val="center"/>
          </w:tcPr>
          <w:p w14:paraId="7B0678FC">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2420</w:t>
            </w:r>
          </w:p>
        </w:tc>
        <w:tc>
          <w:tcPr>
            <w:tcW w:w="2061" w:type="dxa"/>
            <w:noWrap w:val="0"/>
            <w:vAlign w:val="center"/>
          </w:tcPr>
          <w:p w14:paraId="70D8421C">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r>
      <w:tr w14:paraId="1534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1609E0CD">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w:t>
            </w:r>
          </w:p>
        </w:tc>
        <w:tc>
          <w:tcPr>
            <w:tcW w:w="2061" w:type="dxa"/>
            <w:noWrap w:val="0"/>
            <w:vAlign w:val="center"/>
          </w:tcPr>
          <w:p w14:paraId="0CA1CBB3">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2600</w:t>
            </w:r>
          </w:p>
        </w:tc>
        <w:tc>
          <w:tcPr>
            <w:tcW w:w="2061" w:type="dxa"/>
            <w:noWrap w:val="0"/>
            <w:vAlign w:val="center"/>
          </w:tcPr>
          <w:p w14:paraId="7AF96068">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2620</w:t>
            </w:r>
          </w:p>
        </w:tc>
        <w:tc>
          <w:tcPr>
            <w:tcW w:w="2061" w:type="dxa"/>
            <w:noWrap w:val="0"/>
            <w:vAlign w:val="center"/>
          </w:tcPr>
          <w:p w14:paraId="48461966">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r>
    </w:tbl>
    <w:p w14:paraId="7F9E8BCC">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除特殊要求外，不锈钢管公称直径、壁厚、外径统一如下：</w:t>
      </w:r>
    </w:p>
    <w:p w14:paraId="541B1228">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不锈钢管公称直径、壁厚、外径一览表（mm）（国标）</w:t>
      </w:r>
    </w:p>
    <w:tbl>
      <w:tblPr>
        <w:tblStyle w:val="63"/>
        <w:tblW w:w="8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777"/>
        <w:gridCol w:w="1615"/>
        <w:gridCol w:w="1962"/>
        <w:gridCol w:w="1705"/>
      </w:tblGrid>
      <w:tr w14:paraId="3778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7" w:type="dxa"/>
            <w:vMerge w:val="restart"/>
            <w:noWrap w:val="0"/>
            <w:vAlign w:val="center"/>
          </w:tcPr>
          <w:p w14:paraId="56C363C8">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5354" w:type="dxa"/>
            <w:gridSpan w:val="3"/>
            <w:noWrap w:val="0"/>
            <w:vAlign w:val="center"/>
          </w:tcPr>
          <w:p w14:paraId="2AA55E0F">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w:t>
            </w:r>
          </w:p>
        </w:tc>
        <w:tc>
          <w:tcPr>
            <w:tcW w:w="1705" w:type="dxa"/>
            <w:vMerge w:val="restart"/>
            <w:noWrap w:val="0"/>
            <w:vAlign w:val="center"/>
          </w:tcPr>
          <w:p w14:paraId="0A2BB225">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4BE3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7" w:type="dxa"/>
            <w:vMerge w:val="continue"/>
            <w:noWrap w:val="0"/>
            <w:vAlign w:val="center"/>
          </w:tcPr>
          <w:p w14:paraId="01ECFACB">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p>
        </w:tc>
        <w:tc>
          <w:tcPr>
            <w:tcW w:w="1777" w:type="dxa"/>
            <w:noWrap w:val="0"/>
            <w:vAlign w:val="center"/>
          </w:tcPr>
          <w:p w14:paraId="7B07EA77">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公称直径</w:t>
            </w:r>
          </w:p>
        </w:tc>
        <w:tc>
          <w:tcPr>
            <w:tcW w:w="1615" w:type="dxa"/>
            <w:noWrap w:val="0"/>
            <w:vAlign w:val="center"/>
          </w:tcPr>
          <w:p w14:paraId="1FADE2C9">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壁厚</w:t>
            </w:r>
          </w:p>
        </w:tc>
        <w:tc>
          <w:tcPr>
            <w:tcW w:w="1962" w:type="dxa"/>
            <w:noWrap w:val="0"/>
            <w:vAlign w:val="center"/>
          </w:tcPr>
          <w:p w14:paraId="5839261E">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加工后外径</w:t>
            </w:r>
          </w:p>
        </w:tc>
        <w:tc>
          <w:tcPr>
            <w:tcW w:w="1705" w:type="dxa"/>
            <w:vMerge w:val="continue"/>
            <w:noWrap w:val="0"/>
            <w:vAlign w:val="center"/>
          </w:tcPr>
          <w:p w14:paraId="71AC4C95">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p>
        </w:tc>
      </w:tr>
      <w:tr w14:paraId="2350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7" w:type="dxa"/>
            <w:noWrap w:val="0"/>
            <w:vAlign w:val="center"/>
          </w:tcPr>
          <w:p w14:paraId="3C639973">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777" w:type="dxa"/>
            <w:noWrap w:val="0"/>
            <w:vAlign w:val="center"/>
          </w:tcPr>
          <w:p w14:paraId="225F73B9">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1800</w:t>
            </w:r>
          </w:p>
        </w:tc>
        <w:tc>
          <w:tcPr>
            <w:tcW w:w="1615" w:type="dxa"/>
            <w:noWrap w:val="0"/>
            <w:vAlign w:val="center"/>
          </w:tcPr>
          <w:p w14:paraId="0C1588D5">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962" w:type="dxa"/>
            <w:noWrap w:val="0"/>
            <w:vAlign w:val="center"/>
          </w:tcPr>
          <w:p w14:paraId="460F9009">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1820</w:t>
            </w:r>
          </w:p>
        </w:tc>
        <w:tc>
          <w:tcPr>
            <w:tcW w:w="1705" w:type="dxa"/>
            <w:vMerge w:val="restart"/>
            <w:noWrap w:val="0"/>
            <w:vAlign w:val="center"/>
          </w:tcPr>
          <w:p w14:paraId="0060C9A4">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穿越道路或管顶埋深≥6m、或管顶埋深≤0.7m者另行处理。</w:t>
            </w:r>
          </w:p>
        </w:tc>
      </w:tr>
      <w:tr w14:paraId="50B3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7" w:type="dxa"/>
            <w:noWrap w:val="0"/>
            <w:vAlign w:val="center"/>
          </w:tcPr>
          <w:p w14:paraId="2C1A1BD0">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777" w:type="dxa"/>
            <w:noWrap w:val="0"/>
            <w:vAlign w:val="center"/>
          </w:tcPr>
          <w:p w14:paraId="6F843A26">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1200</w:t>
            </w:r>
          </w:p>
        </w:tc>
        <w:tc>
          <w:tcPr>
            <w:tcW w:w="1615" w:type="dxa"/>
            <w:noWrap w:val="0"/>
            <w:vAlign w:val="center"/>
          </w:tcPr>
          <w:p w14:paraId="3E5F9020">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962" w:type="dxa"/>
            <w:noWrap w:val="0"/>
            <w:vAlign w:val="center"/>
          </w:tcPr>
          <w:p w14:paraId="576DB685">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1220</w:t>
            </w:r>
          </w:p>
        </w:tc>
        <w:tc>
          <w:tcPr>
            <w:tcW w:w="1705" w:type="dxa"/>
            <w:vMerge w:val="continue"/>
            <w:noWrap w:val="0"/>
            <w:vAlign w:val="center"/>
          </w:tcPr>
          <w:p w14:paraId="21C2FDCB">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p>
        </w:tc>
      </w:tr>
      <w:tr w14:paraId="0FEC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7" w:type="dxa"/>
            <w:noWrap w:val="0"/>
            <w:vAlign w:val="center"/>
          </w:tcPr>
          <w:p w14:paraId="78122605">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777" w:type="dxa"/>
            <w:noWrap w:val="0"/>
            <w:vAlign w:val="center"/>
          </w:tcPr>
          <w:p w14:paraId="0343491D">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1000</w:t>
            </w:r>
          </w:p>
        </w:tc>
        <w:tc>
          <w:tcPr>
            <w:tcW w:w="1615" w:type="dxa"/>
            <w:noWrap w:val="0"/>
            <w:vAlign w:val="center"/>
          </w:tcPr>
          <w:p w14:paraId="53B38CC8">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962" w:type="dxa"/>
            <w:noWrap w:val="0"/>
            <w:vAlign w:val="center"/>
          </w:tcPr>
          <w:p w14:paraId="310E29B1">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1020</w:t>
            </w:r>
          </w:p>
        </w:tc>
        <w:tc>
          <w:tcPr>
            <w:tcW w:w="1705" w:type="dxa"/>
            <w:vMerge w:val="continue"/>
            <w:noWrap w:val="0"/>
            <w:vAlign w:val="center"/>
          </w:tcPr>
          <w:p w14:paraId="0737BF41">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p>
        </w:tc>
      </w:tr>
      <w:tr w14:paraId="189D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7" w:type="dxa"/>
            <w:noWrap w:val="0"/>
            <w:vAlign w:val="center"/>
          </w:tcPr>
          <w:p w14:paraId="3973A61A">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777" w:type="dxa"/>
            <w:noWrap w:val="0"/>
            <w:vAlign w:val="center"/>
          </w:tcPr>
          <w:p w14:paraId="7B52F333">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800</w:t>
            </w:r>
          </w:p>
        </w:tc>
        <w:tc>
          <w:tcPr>
            <w:tcW w:w="1615" w:type="dxa"/>
            <w:noWrap w:val="0"/>
            <w:vAlign w:val="center"/>
          </w:tcPr>
          <w:p w14:paraId="66323051">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962" w:type="dxa"/>
            <w:noWrap w:val="0"/>
            <w:vAlign w:val="center"/>
          </w:tcPr>
          <w:p w14:paraId="64BD4C2F">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820</w:t>
            </w:r>
          </w:p>
        </w:tc>
        <w:tc>
          <w:tcPr>
            <w:tcW w:w="1705" w:type="dxa"/>
            <w:vMerge w:val="continue"/>
            <w:noWrap w:val="0"/>
            <w:vAlign w:val="center"/>
          </w:tcPr>
          <w:p w14:paraId="085E55C0">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p>
        </w:tc>
      </w:tr>
      <w:tr w14:paraId="4109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7" w:type="dxa"/>
            <w:noWrap w:val="0"/>
            <w:vAlign w:val="center"/>
          </w:tcPr>
          <w:p w14:paraId="4935BCB7">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777" w:type="dxa"/>
            <w:noWrap w:val="0"/>
            <w:vAlign w:val="center"/>
          </w:tcPr>
          <w:p w14:paraId="2AE8EA3C">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700</w:t>
            </w:r>
          </w:p>
        </w:tc>
        <w:tc>
          <w:tcPr>
            <w:tcW w:w="1615" w:type="dxa"/>
            <w:noWrap w:val="0"/>
            <w:vAlign w:val="center"/>
          </w:tcPr>
          <w:p w14:paraId="0D638BBA">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962" w:type="dxa"/>
            <w:noWrap w:val="0"/>
            <w:vAlign w:val="center"/>
          </w:tcPr>
          <w:p w14:paraId="2B163477">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720</w:t>
            </w:r>
          </w:p>
        </w:tc>
        <w:tc>
          <w:tcPr>
            <w:tcW w:w="1705" w:type="dxa"/>
            <w:vMerge w:val="continue"/>
            <w:noWrap w:val="0"/>
            <w:vAlign w:val="center"/>
          </w:tcPr>
          <w:p w14:paraId="5D62E865">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p>
        </w:tc>
      </w:tr>
      <w:tr w14:paraId="57A0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7" w:type="dxa"/>
            <w:noWrap w:val="0"/>
            <w:vAlign w:val="center"/>
          </w:tcPr>
          <w:p w14:paraId="363393FE">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777" w:type="dxa"/>
            <w:noWrap w:val="0"/>
            <w:vAlign w:val="center"/>
          </w:tcPr>
          <w:p w14:paraId="22B35B13">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600</w:t>
            </w:r>
          </w:p>
        </w:tc>
        <w:tc>
          <w:tcPr>
            <w:tcW w:w="1615" w:type="dxa"/>
            <w:noWrap w:val="0"/>
            <w:vAlign w:val="center"/>
          </w:tcPr>
          <w:p w14:paraId="28B4FB53">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962" w:type="dxa"/>
            <w:noWrap w:val="0"/>
            <w:vAlign w:val="center"/>
          </w:tcPr>
          <w:p w14:paraId="439914A9">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630</w:t>
            </w:r>
          </w:p>
        </w:tc>
        <w:tc>
          <w:tcPr>
            <w:tcW w:w="1705" w:type="dxa"/>
            <w:vMerge w:val="continue"/>
            <w:noWrap w:val="0"/>
            <w:vAlign w:val="center"/>
          </w:tcPr>
          <w:p w14:paraId="201FD6EA">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p>
        </w:tc>
      </w:tr>
      <w:tr w14:paraId="097A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7" w:type="dxa"/>
            <w:noWrap w:val="0"/>
            <w:vAlign w:val="center"/>
          </w:tcPr>
          <w:p w14:paraId="2182E4D2">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777" w:type="dxa"/>
            <w:noWrap w:val="0"/>
            <w:vAlign w:val="center"/>
          </w:tcPr>
          <w:p w14:paraId="610E0DA5">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w:t>
            </w:r>
          </w:p>
        </w:tc>
        <w:tc>
          <w:tcPr>
            <w:tcW w:w="1615" w:type="dxa"/>
            <w:noWrap w:val="0"/>
            <w:vAlign w:val="center"/>
          </w:tcPr>
          <w:p w14:paraId="230A409B">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962" w:type="dxa"/>
            <w:noWrap w:val="0"/>
            <w:vAlign w:val="center"/>
          </w:tcPr>
          <w:p w14:paraId="43E8859A">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530</w:t>
            </w:r>
          </w:p>
        </w:tc>
        <w:tc>
          <w:tcPr>
            <w:tcW w:w="1705" w:type="dxa"/>
            <w:vMerge w:val="continue"/>
            <w:noWrap w:val="0"/>
            <w:vAlign w:val="center"/>
          </w:tcPr>
          <w:p w14:paraId="01AD1983">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p>
        </w:tc>
      </w:tr>
      <w:tr w14:paraId="18C2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7" w:type="dxa"/>
            <w:noWrap w:val="0"/>
            <w:vAlign w:val="center"/>
          </w:tcPr>
          <w:p w14:paraId="6DFF975D">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777" w:type="dxa"/>
            <w:noWrap w:val="0"/>
            <w:vAlign w:val="center"/>
          </w:tcPr>
          <w:p w14:paraId="1E4BC323">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w:t>
            </w:r>
          </w:p>
        </w:tc>
        <w:tc>
          <w:tcPr>
            <w:tcW w:w="1615" w:type="dxa"/>
            <w:noWrap w:val="0"/>
            <w:vAlign w:val="center"/>
          </w:tcPr>
          <w:p w14:paraId="2EED411D">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62" w:type="dxa"/>
            <w:noWrap w:val="0"/>
            <w:vAlign w:val="center"/>
          </w:tcPr>
          <w:p w14:paraId="22385423">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426</w:t>
            </w:r>
          </w:p>
        </w:tc>
        <w:tc>
          <w:tcPr>
            <w:tcW w:w="1705" w:type="dxa"/>
            <w:vMerge w:val="continue"/>
            <w:noWrap w:val="0"/>
            <w:vAlign w:val="center"/>
          </w:tcPr>
          <w:p w14:paraId="051AA534">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p>
        </w:tc>
      </w:tr>
      <w:tr w14:paraId="33EC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7" w:type="dxa"/>
            <w:noWrap w:val="0"/>
            <w:vAlign w:val="center"/>
          </w:tcPr>
          <w:p w14:paraId="673C7F65">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777" w:type="dxa"/>
            <w:noWrap w:val="0"/>
            <w:vAlign w:val="center"/>
          </w:tcPr>
          <w:p w14:paraId="0A3A5D5D">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1615" w:type="dxa"/>
            <w:noWrap w:val="0"/>
            <w:vAlign w:val="center"/>
          </w:tcPr>
          <w:p w14:paraId="657ED68D">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62" w:type="dxa"/>
            <w:noWrap w:val="0"/>
            <w:vAlign w:val="center"/>
          </w:tcPr>
          <w:p w14:paraId="36AFE4A1">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325</w:t>
            </w:r>
          </w:p>
        </w:tc>
        <w:tc>
          <w:tcPr>
            <w:tcW w:w="1705" w:type="dxa"/>
            <w:vMerge w:val="continue"/>
            <w:noWrap w:val="0"/>
            <w:vAlign w:val="center"/>
          </w:tcPr>
          <w:p w14:paraId="207045F6">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p>
        </w:tc>
      </w:tr>
      <w:tr w14:paraId="6130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7" w:type="dxa"/>
            <w:noWrap w:val="0"/>
            <w:vAlign w:val="center"/>
          </w:tcPr>
          <w:p w14:paraId="08B02FB3">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777" w:type="dxa"/>
            <w:noWrap w:val="0"/>
            <w:vAlign w:val="center"/>
          </w:tcPr>
          <w:p w14:paraId="54B44083">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250</w:t>
            </w:r>
          </w:p>
        </w:tc>
        <w:tc>
          <w:tcPr>
            <w:tcW w:w="1615" w:type="dxa"/>
            <w:noWrap w:val="0"/>
            <w:vAlign w:val="center"/>
          </w:tcPr>
          <w:p w14:paraId="3B806B11">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62" w:type="dxa"/>
            <w:noWrap w:val="0"/>
            <w:vAlign w:val="center"/>
          </w:tcPr>
          <w:p w14:paraId="6822A58C">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273</w:t>
            </w:r>
          </w:p>
        </w:tc>
        <w:tc>
          <w:tcPr>
            <w:tcW w:w="1705" w:type="dxa"/>
            <w:vMerge w:val="continue"/>
            <w:noWrap w:val="0"/>
            <w:vAlign w:val="center"/>
          </w:tcPr>
          <w:p w14:paraId="7331835B">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p>
        </w:tc>
      </w:tr>
      <w:tr w14:paraId="6B9A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7" w:type="dxa"/>
            <w:noWrap w:val="0"/>
            <w:vAlign w:val="center"/>
          </w:tcPr>
          <w:p w14:paraId="6FDCAFAE">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777" w:type="dxa"/>
            <w:noWrap w:val="0"/>
            <w:vAlign w:val="center"/>
          </w:tcPr>
          <w:p w14:paraId="219A2316">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w:t>
            </w:r>
          </w:p>
        </w:tc>
        <w:tc>
          <w:tcPr>
            <w:tcW w:w="1615" w:type="dxa"/>
            <w:noWrap w:val="0"/>
            <w:vAlign w:val="center"/>
          </w:tcPr>
          <w:p w14:paraId="56C24027">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62" w:type="dxa"/>
            <w:noWrap w:val="0"/>
            <w:vAlign w:val="center"/>
          </w:tcPr>
          <w:p w14:paraId="065FF78E">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219</w:t>
            </w:r>
          </w:p>
        </w:tc>
        <w:tc>
          <w:tcPr>
            <w:tcW w:w="1705" w:type="dxa"/>
            <w:vMerge w:val="continue"/>
            <w:noWrap w:val="0"/>
            <w:vAlign w:val="center"/>
          </w:tcPr>
          <w:p w14:paraId="2E754FB6">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p>
        </w:tc>
      </w:tr>
      <w:tr w14:paraId="67EC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7" w:type="dxa"/>
            <w:noWrap w:val="0"/>
            <w:vAlign w:val="center"/>
          </w:tcPr>
          <w:p w14:paraId="46F46A74">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777" w:type="dxa"/>
            <w:noWrap w:val="0"/>
            <w:vAlign w:val="center"/>
          </w:tcPr>
          <w:p w14:paraId="0E4AD5B6">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150</w:t>
            </w:r>
          </w:p>
        </w:tc>
        <w:tc>
          <w:tcPr>
            <w:tcW w:w="1615" w:type="dxa"/>
            <w:noWrap w:val="0"/>
            <w:vAlign w:val="center"/>
          </w:tcPr>
          <w:p w14:paraId="1F41B7E5">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62" w:type="dxa"/>
            <w:noWrap w:val="0"/>
            <w:vAlign w:val="center"/>
          </w:tcPr>
          <w:p w14:paraId="6EA45A6F">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159</w:t>
            </w:r>
          </w:p>
        </w:tc>
        <w:tc>
          <w:tcPr>
            <w:tcW w:w="1705" w:type="dxa"/>
            <w:vMerge w:val="continue"/>
            <w:noWrap w:val="0"/>
            <w:vAlign w:val="center"/>
          </w:tcPr>
          <w:p w14:paraId="47C56626">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p>
        </w:tc>
      </w:tr>
      <w:tr w14:paraId="2CB9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7" w:type="dxa"/>
            <w:noWrap w:val="0"/>
            <w:vAlign w:val="center"/>
          </w:tcPr>
          <w:p w14:paraId="185B7482">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777" w:type="dxa"/>
            <w:noWrap w:val="0"/>
            <w:vAlign w:val="center"/>
          </w:tcPr>
          <w:p w14:paraId="573019A3">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615" w:type="dxa"/>
            <w:noWrap w:val="0"/>
            <w:vAlign w:val="center"/>
          </w:tcPr>
          <w:p w14:paraId="1636168B">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62" w:type="dxa"/>
            <w:noWrap w:val="0"/>
            <w:vAlign w:val="center"/>
          </w:tcPr>
          <w:p w14:paraId="7765373C">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108</w:t>
            </w:r>
          </w:p>
        </w:tc>
        <w:tc>
          <w:tcPr>
            <w:tcW w:w="1705" w:type="dxa"/>
            <w:vMerge w:val="continue"/>
            <w:noWrap w:val="0"/>
            <w:vAlign w:val="center"/>
          </w:tcPr>
          <w:p w14:paraId="479B3181">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p>
        </w:tc>
      </w:tr>
      <w:tr w14:paraId="1173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7" w:type="dxa"/>
            <w:noWrap w:val="0"/>
            <w:vAlign w:val="center"/>
          </w:tcPr>
          <w:p w14:paraId="5627C7C1">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777" w:type="dxa"/>
            <w:noWrap w:val="0"/>
            <w:vAlign w:val="center"/>
          </w:tcPr>
          <w:p w14:paraId="4C8B427A">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w:t>
            </w:r>
          </w:p>
        </w:tc>
        <w:tc>
          <w:tcPr>
            <w:tcW w:w="1615" w:type="dxa"/>
            <w:noWrap w:val="0"/>
            <w:vAlign w:val="center"/>
          </w:tcPr>
          <w:p w14:paraId="3BEBBFA4">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62" w:type="dxa"/>
            <w:noWrap w:val="0"/>
            <w:vAlign w:val="center"/>
          </w:tcPr>
          <w:p w14:paraId="6EEAC8E9">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57</w:t>
            </w:r>
          </w:p>
        </w:tc>
        <w:tc>
          <w:tcPr>
            <w:tcW w:w="1705" w:type="dxa"/>
            <w:vMerge w:val="continue"/>
            <w:noWrap w:val="0"/>
            <w:vAlign w:val="center"/>
          </w:tcPr>
          <w:p w14:paraId="0516738D">
            <w:pPr>
              <w:pStyle w:val="626"/>
              <w:keepNext w:val="0"/>
              <w:keepLines w:val="0"/>
              <w:pageBreakBefore w:val="0"/>
              <w:widowControl w:val="0"/>
              <w:kinsoku/>
              <w:wordWrap/>
              <w:overflowPunct/>
              <w:topLinePunct w:val="0"/>
              <w:autoSpaceDE/>
              <w:autoSpaceDN/>
              <w:bidi w:val="0"/>
              <w:snapToGrid/>
              <w:spacing w:line="360" w:lineRule="auto"/>
              <w:rPr>
                <w:rFonts w:hint="eastAsia" w:asciiTheme="minorEastAsia" w:hAnsiTheme="minorEastAsia" w:eastAsiaTheme="minorEastAsia" w:cstheme="minorEastAsia"/>
                <w:sz w:val="24"/>
                <w:szCs w:val="24"/>
              </w:rPr>
            </w:pPr>
          </w:p>
        </w:tc>
      </w:tr>
    </w:tbl>
    <w:p w14:paraId="3EB90282">
      <w:pPr>
        <w:keepNext w:val="0"/>
        <w:keepLines w:val="0"/>
        <w:pageBreakBefore w:val="0"/>
        <w:widowControl w:val="0"/>
        <w:kinsoku/>
        <w:wordWrap/>
        <w:overflowPunct/>
        <w:topLinePunct w:val="0"/>
        <w:autoSpaceDE/>
        <w:autoSpaceDN/>
        <w:bidi w:val="0"/>
        <w:adjustRightInd w:val="0"/>
        <w:snapToGrid/>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镀锌钢管</w:t>
      </w:r>
    </w:p>
    <w:p w14:paraId="3799C5C6">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钢管应符合ISO65：重量级，并且镀锌符合ISO1459、1460、1461。在50mm以下管径的钢管可以用螺纹短管连接，其它型式的接头可以是与2.5MPa压力法兰螺丝连接，螺纹应用铬酸锌涂胶保护。</w:t>
      </w:r>
    </w:p>
    <w:p w14:paraId="085F3B57">
      <w:pPr>
        <w:keepNext w:val="0"/>
        <w:keepLines w:val="0"/>
        <w:pageBreakBefore w:val="0"/>
        <w:widowControl w:val="0"/>
        <w:kinsoku/>
        <w:wordWrap/>
        <w:overflowPunct/>
        <w:topLinePunct w:val="0"/>
        <w:autoSpaceDE/>
        <w:autoSpaceDN/>
        <w:bidi w:val="0"/>
        <w:adjustRightInd w:val="0"/>
        <w:snapToGrid/>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HDPE管和配件</w:t>
      </w:r>
    </w:p>
    <w:p w14:paraId="0F79407A">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用于污水污泥的HDPE管一般应符合CECS282-2010标准和ASTM D1248等级要求，最小压力等级为0.6Mpa。管道埋设及埋深按图施工，施工前需向土建施工单位核对标高。</w:t>
      </w:r>
    </w:p>
    <w:p w14:paraId="38F81CF1">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溶剂连接接头和配件可以使用，但应提供足够的机械接头以便利管道和设备的拆卸和维护。在要求机械接头承受外部推力之处应采用法兰型接头，法兰接头应为短法兰并带有止退挡圈。</w:t>
      </w:r>
    </w:p>
    <w:p w14:paraId="43196D42">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所有法兰的螺孔应符合ISO7005：1MPa设计压力标准，除非法兰与现有的设备连接，而法兰的螺孔不同，在此情况下，螺孔及其布置应按照连接法兰。</w:t>
      </w:r>
    </w:p>
    <w:p w14:paraId="565A1E5C">
      <w:pPr>
        <w:keepNext w:val="0"/>
        <w:keepLines w:val="0"/>
        <w:pageBreakBefore w:val="0"/>
        <w:widowControl w:val="0"/>
        <w:kinsoku/>
        <w:wordWrap/>
        <w:overflowPunct/>
        <w:topLinePunct w:val="0"/>
        <w:autoSpaceDE/>
        <w:autoSpaceDN/>
        <w:bidi w:val="0"/>
        <w:adjustRightInd w:val="0"/>
        <w:snapToGrid/>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化学药剂管和软管</w:t>
      </w:r>
    </w:p>
    <w:p w14:paraId="35599F0C">
      <w:pPr>
        <w:keepNext w:val="0"/>
        <w:keepLines w:val="0"/>
        <w:pageBreakBefore w:val="0"/>
        <w:widowControl w:val="0"/>
        <w:kinsoku/>
        <w:wordWrap/>
        <w:overflowPunct/>
        <w:topLinePunct w:val="0"/>
        <w:autoSpaceDE/>
        <w:autoSpaceDN/>
        <w:bidi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学药剂管和软管应为适用于化学药剂的阻燃材料制成并应提供双份。管子的布置应能方便拆卸清洗，如在任何一路管道中采用螺纹接头或溶剂连接接头，应提供足量的法兰或者挠性接头以便拆卸任何一段管子。应在合适之处装置三通和旋塞阀以方便连接压力水冲洗管道。</w:t>
      </w:r>
    </w:p>
    <w:p w14:paraId="05D973DE">
      <w:pPr>
        <w:keepNext w:val="0"/>
        <w:keepLines w:val="0"/>
        <w:pageBreakBefore w:val="0"/>
        <w:widowControl w:val="0"/>
        <w:kinsoku/>
        <w:wordWrap/>
        <w:overflowPunct/>
        <w:topLinePunct w:val="0"/>
        <w:autoSpaceDE/>
        <w:autoSpaceDN/>
        <w:bidi w:val="0"/>
        <w:adjustRightInd w:val="0"/>
        <w:snapToGrid/>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化学药剂管和软管应箍紧并能识辨每一管路的走向。尽可能地将支架或槽线板固定在管槽墙上或建筑物和池子墙上，化学药剂管用管箍固定在支架和槽线板上，管箍应能方便拆卸而不妨碍相邻管子。中标人应提供包括所有这些支架或槽线板。所有应提供的软管，管子，支架和槽线板的详细资料应提交业主批准 。</w:t>
      </w:r>
    </w:p>
    <w:p w14:paraId="70C34285">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风管</w:t>
      </w:r>
    </w:p>
    <w:p w14:paraId="76018785">
      <w:pPr>
        <w:keepNext w:val="0"/>
        <w:keepLines w:val="0"/>
        <w:pageBreakBefore w:val="0"/>
        <w:widowControl w:val="0"/>
        <w:kinsoku/>
        <w:wordWrap/>
        <w:overflowPunct/>
        <w:topLinePunct w:val="0"/>
        <w:autoSpaceDE/>
        <w:autoSpaceDN/>
        <w:bidi w:val="0"/>
        <w:adjustRightInd w:val="0"/>
        <w:snapToGrid/>
        <w:spacing w:line="360" w:lineRule="auto"/>
        <w:ind w:firstLine="226" w:firstLineChars="94"/>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（1）主要材料</w:t>
      </w:r>
    </w:p>
    <w:p w14:paraId="493A9ACB">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风管               热镀锌材质</w:t>
      </w:r>
    </w:p>
    <w:p w14:paraId="494576B7">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风口               不锈钢</w:t>
      </w:r>
    </w:p>
    <w:p w14:paraId="213AA9AA">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螺栓、螺母、垫圈   不锈钢</w:t>
      </w:r>
    </w:p>
    <w:p w14:paraId="311A3B98">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法兰垫料           橡胶板</w:t>
      </w:r>
    </w:p>
    <w:p w14:paraId="47A046B7">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（2）风管安装技术要求</w:t>
      </w:r>
    </w:p>
    <w:p w14:paraId="7C542B56">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 风管安装要求：</w:t>
      </w:r>
    </w:p>
    <w:p w14:paraId="69A56894">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搬运风管应防止碰、撬、摔等机械损伤，安装时严禁攀登倚靠风管。</w:t>
      </w:r>
    </w:p>
    <w:p w14:paraId="21ADC624">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风管安装前应对其外观进行质量检查，并清除其内外表面粉尘及管内杂物。安装中途停顿时，应将风管端口封闭。</w:t>
      </w:r>
    </w:p>
    <w:p w14:paraId="297A5C59">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风管接口不得安装在墙内或楼板中，风管沿墙体或楼板安装时，距离墙面、楼板宜大于150mm。</w:t>
      </w:r>
    </w:p>
    <w:p w14:paraId="1C6A421B">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风管内不得敷设各种管道、电线或电缆，室外立管的固定拉索严禁拉在避雷针或避雷网上。</w:t>
      </w:r>
    </w:p>
    <w:p w14:paraId="4BA482A1">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2 \* GB3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风管安装偏差应符合下列规定：</w:t>
      </w:r>
    </w:p>
    <w:p w14:paraId="5D6683C6">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a.明装水平风管水平度偏差应为3mm/m，总偏差不得大于20mm；</w:t>
      </w:r>
    </w:p>
    <w:p w14:paraId="514D86C6">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b.明装垂直风管垂直度偏差应为2mm/m，总偏差不得大于20mm；</w:t>
      </w:r>
    </w:p>
    <w:p w14:paraId="6A834D50">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c.暗装风管位置应正确，无明显偏差。</w:t>
      </w:r>
    </w:p>
    <w:p w14:paraId="3D7ABCD0">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支吊架的预埋件位置应正确、牢固可靠，埋入部分应除锈、除油污，并不得涂漆。支吊架外露部分应做防腐处理。</w:t>
      </w:r>
    </w:p>
    <w:p w14:paraId="3D892DB7">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支吊架不应设置在风口处或阀门、检查门和自控机构的操作部位，距离风口或插接管不宜小于200mm。</w:t>
      </w:r>
    </w:p>
    <w:p w14:paraId="58792300">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风管各管段的连接，应采用可拆卸的型式，风管和部件可拆卸的接口，不得装设在墙和楼板内。</w:t>
      </w:r>
    </w:p>
    <w:p w14:paraId="4A71BD88">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直接与通风机相连接的风管，宜在设备就位后安装。</w:t>
      </w:r>
    </w:p>
    <w:p w14:paraId="1C834C09">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风管和部件在安装前，内壁必须擦拭干净，做到无浮尘和其它杂物。</w:t>
      </w:r>
    </w:p>
    <w:p w14:paraId="69082815">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法兰破损和脱落处，应完全修复后才能安装。</w:t>
      </w:r>
    </w:p>
    <w:p w14:paraId="2102A2AE">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支、吊、托架的预埋件或膨胀螺栓，位置应正确、牢固，预埋件的埋入部分不得油漆，并应除去油污。</w:t>
      </w:r>
    </w:p>
    <w:p w14:paraId="147EA2C3">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3 \* GB3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风管支、吊、托架间距，如设计无特殊要求，应符合下列规定：</w:t>
      </w:r>
    </w:p>
    <w:p w14:paraId="08FD8323">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a.水平安装：当圆管直径、矩形管大边长为501～2000mm时，间距不应大于3500mm。</w:t>
      </w:r>
    </w:p>
    <w:p w14:paraId="79CF260D">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b.垂直安装：间距不应大于4000mm，但每根立管固定件不应少于2个。</w:t>
      </w:r>
    </w:p>
    <w:p w14:paraId="7FEF99F4">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支、吊架应避开风口、阀门等处。</w:t>
      </w:r>
    </w:p>
    <w:p w14:paraId="4AC7B726">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4 \* GB3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风管支、吊架用材应符合下列规定：</w:t>
      </w:r>
    </w:p>
    <w:p w14:paraId="7DED9503">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a.风管支、吊架应用扁钢、角钢、槽钢、圆钢制作；</w:t>
      </w:r>
    </w:p>
    <w:p w14:paraId="641F2470">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b.托座扁钢：圆管直径为501～1000mm时，托座应使用不小于25×6扁钢。</w:t>
      </w:r>
    </w:p>
    <w:p w14:paraId="77C4A06C">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c.吊杆圆钢：圆管直径、矩形管大边长小于1000mm时，应使用直径不小于8mm圆钢。</w:t>
      </w:r>
    </w:p>
    <w:p w14:paraId="4B329346">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风管钢制支、吊架、吊杆螺栓必须刷防锈漆；风管螺栓必须使用不锈钢螺栓。</w:t>
      </w:r>
    </w:p>
    <w:p w14:paraId="73C1ACB1">
      <w:pPr>
        <w:keepNext w:val="0"/>
        <w:keepLines w:val="0"/>
        <w:pageBreakBefore w:val="0"/>
        <w:widowControl w:val="0"/>
        <w:kinsoku/>
        <w:wordWrap/>
        <w:overflowPunct/>
        <w:topLinePunct w:val="0"/>
        <w:autoSpaceDE/>
        <w:autoSpaceDN/>
        <w:bidi w:val="0"/>
        <w:adjustRightInd w:val="0"/>
        <w:snapToGrid/>
        <w:spacing w:line="360" w:lineRule="auto"/>
        <w:ind w:firstLine="226" w:firstLineChars="94"/>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（3）参考标准</w:t>
      </w:r>
    </w:p>
    <w:p w14:paraId="100D23BB">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GB50243-2002       通风与空调工程施工及验收规范</w:t>
      </w:r>
    </w:p>
    <w:p w14:paraId="557F34D9">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JGJ141-2004         通风管道技术规程</w:t>
      </w:r>
    </w:p>
    <w:p w14:paraId="2C116756">
      <w:pPr>
        <w:keepNext w:val="0"/>
        <w:keepLines w:val="0"/>
        <w:pageBreakBefore w:val="0"/>
        <w:widowControl w:val="0"/>
        <w:kinsoku/>
        <w:wordWrap/>
        <w:overflowPunct/>
        <w:topLinePunct w:val="0"/>
        <w:autoSpaceDE/>
        <w:autoSpaceDN/>
        <w:bidi w:val="0"/>
        <w:adjustRightInd w:val="0"/>
        <w:snapToGrid/>
        <w:spacing w:line="360" w:lineRule="auto"/>
        <w:ind w:firstLine="226" w:firstLineChars="94"/>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（4）检验和试验</w:t>
      </w:r>
    </w:p>
    <w:p w14:paraId="52C393FE">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 一般规定</w:t>
      </w:r>
    </w:p>
    <w:p w14:paraId="15535F0F">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风管制作与安装工艺过程中的质量控制和检验应符合规程的要求。风管制作与安装的质量验收应符合设计要求，并应符合现行国家标准《通风与空调工程施工质量验收规范》GB50243的规定。</w:t>
      </w:r>
    </w:p>
    <w:p w14:paraId="2DBC7A27">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风管制作质量的检验应按其材料、工艺。工程中使用的外购成品风管应有检测机构提供的风管耐压强度、严密性检测报告。</w:t>
      </w:r>
    </w:p>
    <w:p w14:paraId="1D4CCFA7">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风管系统的主风管安装完毕，尚未连接风口和支风管前，应以主干管为主进行风管系统的严密性检验。</w:t>
      </w:r>
    </w:p>
    <w:p w14:paraId="22AF86A3">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 一般项目</w:t>
      </w:r>
    </w:p>
    <w:p w14:paraId="140DA451">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风管密封材料应符合系统工作条件，法兰与接口处应严密；</w:t>
      </w:r>
    </w:p>
    <w:p w14:paraId="1CBB9392">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风管表面应平整、不脱胶、无气鼓和破损，接口处粘接牢固严密。风管内表面层不应有损坏；</w:t>
      </w:r>
    </w:p>
    <w:p w14:paraId="66E6C3E2">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风管表面应无裂纹、分层、明显泛霜且光洁；</w:t>
      </w:r>
    </w:p>
    <w:p w14:paraId="7A07FA28">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中标人还应提交下述风管的工厂试验报告，以证明符合设计要求：</w:t>
      </w:r>
    </w:p>
    <w:p w14:paraId="3A529E12">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风管耐压强度及漏风量测试；</w:t>
      </w:r>
    </w:p>
    <w:p w14:paraId="6779FFE6">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表观密度测试；</w:t>
      </w:r>
    </w:p>
    <w:p w14:paraId="1FB4616A">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抗折强度试验；</w:t>
      </w:r>
    </w:p>
    <w:p w14:paraId="753C1283">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抗冻性试验；</w:t>
      </w:r>
    </w:p>
    <w:p w14:paraId="06EE4BF7">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耐酸腐蚀性测试；</w:t>
      </w:r>
    </w:p>
    <w:p w14:paraId="3D047D23">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燃烧性能试验；</w:t>
      </w:r>
    </w:p>
    <w:p w14:paraId="69F4C9AC">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表面粗糙度测试；</w:t>
      </w:r>
    </w:p>
    <w:p w14:paraId="5FDBC2A7">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现场验收试验应证明风管在任何情况下都保证：</w:t>
      </w:r>
    </w:p>
    <w:p w14:paraId="5ADFD32A">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安装和运输过程中无损坏；</w:t>
      </w:r>
    </w:p>
    <w:p w14:paraId="441213A0">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安装正确；</w:t>
      </w:r>
    </w:p>
    <w:p w14:paraId="7C68603E">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连接正确；</w:t>
      </w:r>
    </w:p>
    <w:p w14:paraId="10CF2D40">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齿轮箱</w:t>
      </w:r>
    </w:p>
    <w:p w14:paraId="0D60B485">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驱动设备需要一个减速和增速的驱动系统时，驱动系统应由驱动设备专业制造商供货。</w:t>
      </w:r>
    </w:p>
    <w:p w14:paraId="39F0C6C3">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除非在详细技术规定中有其他说明，所有驱动系统假定都以电机驱动，电源由当地供电局提供，则电源频率的变化不超过</w:t>
      </w:r>
      <w:r>
        <w:rPr>
          <w:rFonts w:hint="eastAsia" w:asciiTheme="minorEastAsia" w:hAnsiTheme="minorEastAsia" w:eastAsiaTheme="minorEastAsia" w:cstheme="minorEastAsia"/>
          <w:sz w:val="24"/>
          <w:szCs w:val="24"/>
        </w:rPr>
        <w:sym w:font="Symbol" w:char="F0B1"/>
      </w:r>
      <w:r>
        <w:rPr>
          <w:rFonts w:hint="eastAsia" w:asciiTheme="minorEastAsia" w:hAnsiTheme="minorEastAsia" w:eastAsiaTheme="minorEastAsia" w:cstheme="minorEastAsia"/>
          <w:sz w:val="24"/>
          <w:szCs w:val="24"/>
        </w:rPr>
        <w:t>1%。</w:t>
      </w:r>
    </w:p>
    <w:p w14:paraId="45D68514">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除非在详细技术规定中有其他说明，齿轮的类型由驱动设备制造商决定。齿轮形状应符合ISO和AGMA标准的有关规定。齿轮强度和磨损的负荷能力应由ISO和AGMA有关标准决定。但下列的参数至少应予采用：</w:t>
      </w:r>
    </w:p>
    <w:p w14:paraId="1CB30BBE">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每天24h连续运行；</w:t>
      </w:r>
    </w:p>
    <w:p w14:paraId="10C4B380">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工作系数不小于1.4；</w:t>
      </w:r>
    </w:p>
    <w:p w14:paraId="7362715E">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额定寿命50000h；</w:t>
      </w:r>
    </w:p>
    <w:p w14:paraId="1EFBA8C2">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齿轮表面硬度应根据ISO和AGMA相关标准决定。齿轮表面淬硬层应在磨削后不低于0.4mm。</w:t>
      </w:r>
    </w:p>
    <w:p w14:paraId="44E66290">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齿轮应放在铸铁箱中或钢结构箱中，钢结构箱应在加工前消除应力。齿轮箱应有箱盖，以便不拆除齿轮轴就能观察到齿轮。</w:t>
      </w:r>
    </w:p>
    <w:p w14:paraId="5A643A38">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齿轮轴承寿命应在齿轮最大速度和最高输出功率下额定寿命为50000h，所有齿轮的推力应有轴承承受。</w:t>
      </w:r>
    </w:p>
    <w:p w14:paraId="135AC1B7">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油浴润滑齿轮箱应在热油、冷油段中设置玻璃油位显示器。</w:t>
      </w:r>
    </w:p>
    <w:p w14:paraId="7670093C">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压力表具</w:t>
      </w:r>
    </w:p>
    <w:p w14:paraId="6589B3B3">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在中央控制盘中的压力表应至少为100mm直径，装在每台设备中压力表不小于150mm。铝合金不能用在表的结构中，刻度盘和表盖应为紫铜，内部元件应为不锈钢、紫铜和其他抗腐蚀材料（不包括铝合金）。</w:t>
      </w:r>
    </w:p>
    <w:p w14:paraId="25465E9C">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压力表可以直接安装在主要系统管道上或一个接一个地安装在控制台或柜中，每个压力表后应紧接着一个旋塞，在压力表管道连接主系统端头应有一个隔离阀。装在控制盘中的压力表，隔离阀应连接一个试验压力表，装有旋塞的压力表，应能用经批准的标签和文字识别。</w:t>
      </w:r>
    </w:p>
    <w:p w14:paraId="45DB15AD">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用于污水和污泥的压力表，应有一个压力变送系统。变送系统应为充气密封型，内含铜或不锈钢毛细管和隔膜变送仪。</w:t>
      </w:r>
    </w:p>
    <w:p w14:paraId="3462C014">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隔膜应装在一个可清扫的壳中，变送仪的外壳应直接与25mm或更大口径的直通式隔离旋塞连接，隔离旋塞再直接接到压力管口上。</w:t>
      </w:r>
    </w:p>
    <w:p w14:paraId="7BB8E0B5">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压力表应以水深m为最小刻度，以MPa为压力单位。有真空的地方应有真空度，系统的精度应为全量程的</w:t>
      </w:r>
      <w:r>
        <w:rPr>
          <w:rFonts w:hint="eastAsia" w:asciiTheme="minorEastAsia" w:hAnsiTheme="minorEastAsia" w:eastAsiaTheme="minorEastAsia" w:cstheme="minorEastAsia"/>
          <w:sz w:val="24"/>
          <w:szCs w:val="24"/>
        </w:rPr>
        <w:sym w:font="Symbol" w:char="F0B1"/>
      </w:r>
      <w:r>
        <w:rPr>
          <w:rFonts w:hint="eastAsia" w:asciiTheme="minorEastAsia" w:hAnsiTheme="minorEastAsia" w:eastAsiaTheme="minorEastAsia" w:cstheme="minorEastAsia"/>
          <w:sz w:val="24"/>
          <w:szCs w:val="24"/>
        </w:rPr>
        <w:t>1.5%或</w:t>
      </w:r>
      <w:r>
        <w:rPr>
          <w:rFonts w:hint="eastAsia" w:asciiTheme="minorEastAsia" w:hAnsiTheme="minorEastAsia" w:eastAsiaTheme="minorEastAsia" w:cstheme="minorEastAsia"/>
          <w:sz w:val="24"/>
          <w:szCs w:val="24"/>
        </w:rPr>
        <w:sym w:font="Symbol" w:char="F0B1"/>
      </w:r>
      <w:r>
        <w:rPr>
          <w:rFonts w:hint="eastAsia" w:asciiTheme="minorEastAsia" w:hAnsiTheme="minorEastAsia" w:eastAsiaTheme="minorEastAsia" w:cstheme="minorEastAsia"/>
          <w:sz w:val="24"/>
          <w:szCs w:val="24"/>
        </w:rPr>
        <w:t>2.5m。</w:t>
      </w:r>
    </w:p>
    <w:p w14:paraId="4E3EB9C0">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机电设备特殊技术规定</w:t>
      </w:r>
    </w:p>
    <w:p w14:paraId="2388BC2C">
      <w:pPr>
        <w:pStyle w:val="3"/>
        <w:pageBreakBefore w:val="0"/>
        <w:tabs>
          <w:tab w:val="left" w:pos="0"/>
          <w:tab w:val="clear" w:pos="432"/>
        </w:tabs>
        <w:kinsoku/>
        <w:wordWrap/>
        <w:topLinePunct w:val="0"/>
        <w:bidi w:val="0"/>
        <w:spacing w:before="0" w:after="0" w:line="360" w:lineRule="auto"/>
        <w:ind w:left="0"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总则</w:t>
      </w:r>
    </w:p>
    <w:p w14:paraId="3038B39F">
      <w:pPr>
        <w:pageBreakBefore w:val="0"/>
        <w:numPr>
          <w:ilvl w:val="0"/>
          <w:numId w:val="0"/>
        </w:numPr>
        <w:kinsoku/>
        <w:wordWrap/>
        <w:topLinePunct w:val="0"/>
        <w:bidi w:val="0"/>
        <w:adjustRightInd w:val="0"/>
        <w:spacing w:line="360" w:lineRule="auto"/>
        <w:ind w:left="0" w:leftChars="0" w:firstLine="48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承包商提供的成套设备（系统）应含该设备（系统）能正常、稳定运行所需的全部零件及材料并计入总价，如报价中没有单独列项，则视作隐含在其他项目报价中，中标后应无条件提供所需零部件、材料等。</w:t>
      </w:r>
    </w:p>
    <w:p w14:paraId="544B4084">
      <w:pPr>
        <w:pageBreakBefore w:val="0"/>
        <w:numPr>
          <w:ilvl w:val="0"/>
          <w:numId w:val="0"/>
        </w:numPr>
        <w:kinsoku/>
        <w:wordWrap/>
        <w:topLinePunct w:val="0"/>
        <w:bidi w:val="0"/>
        <w:adjustRightInd w:val="0"/>
        <w:spacing w:line="360" w:lineRule="auto"/>
        <w:ind w:left="0" w:leftChars="0" w:firstLine="48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根据技术规范要求，投标人应对本污水处理站工程的处理水量、工艺流程及应达到的出水水质标准进行合理的设备配置，并对所选用的设备及配套附件应进行详细描述，下述仅为主要处理设备的技术要求。</w:t>
      </w:r>
    </w:p>
    <w:p w14:paraId="22C069A6">
      <w:pPr>
        <w:pageBreakBefore w:val="0"/>
        <w:numPr>
          <w:ilvl w:val="0"/>
          <w:numId w:val="0"/>
        </w:numPr>
        <w:kinsoku/>
        <w:wordWrap/>
        <w:topLinePunct w:val="0"/>
        <w:bidi w:val="0"/>
        <w:adjustRightInd w:val="0"/>
        <w:spacing w:line="360" w:lineRule="auto"/>
        <w:ind w:left="0" w:leftChars="0" w:firstLine="48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投标人需在投标文件中注明品牌、产地及详细的性能指标。</w:t>
      </w:r>
    </w:p>
    <w:p w14:paraId="46B7A1AD">
      <w:pPr>
        <w:pageBreakBefore w:val="0"/>
        <w:numPr>
          <w:ilvl w:val="0"/>
          <w:numId w:val="0"/>
        </w:numPr>
        <w:kinsoku/>
        <w:wordWrap/>
        <w:topLinePunct w:val="0"/>
        <w:bidi w:val="0"/>
        <w:adjustRightInd w:val="0"/>
        <w:spacing w:line="360" w:lineRule="auto"/>
        <w:ind w:left="0" w:leftChars="0" w:firstLine="48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中标单位设备进场前需提交以下资料供业主、设计、监理单位审核确认，确认无误后设备方可进场。</w:t>
      </w:r>
    </w:p>
    <w:p w14:paraId="6D5708D2">
      <w:pPr>
        <w:pageBreakBefore w:val="0"/>
        <w:numPr>
          <w:ilvl w:val="0"/>
          <w:numId w:val="0"/>
        </w:numPr>
        <w:kinsoku/>
        <w:wordWrap/>
        <w:topLinePunct w:val="0"/>
        <w:bidi w:val="0"/>
        <w:adjustRightInd w:val="0"/>
        <w:spacing w:line="360" w:lineRule="auto"/>
        <w:ind w:left="0" w:leftChars="0" w:firstLine="48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提供设备的外形尺寸和安装图；</w:t>
      </w:r>
    </w:p>
    <w:p w14:paraId="7F44A376">
      <w:pPr>
        <w:pageBreakBefore w:val="0"/>
        <w:numPr>
          <w:ilvl w:val="0"/>
          <w:numId w:val="0"/>
        </w:numPr>
        <w:kinsoku/>
        <w:wordWrap/>
        <w:topLinePunct w:val="0"/>
        <w:bidi w:val="0"/>
        <w:adjustRightInd w:val="0"/>
        <w:spacing w:line="360" w:lineRule="auto"/>
        <w:ind w:left="0" w:leftChars="0" w:firstLine="48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提供产品合格证及出厂说明文件；</w:t>
      </w:r>
    </w:p>
    <w:p w14:paraId="7F10E42F">
      <w:pPr>
        <w:pageBreakBefore w:val="0"/>
        <w:numPr>
          <w:ilvl w:val="0"/>
          <w:numId w:val="0"/>
        </w:numPr>
        <w:kinsoku/>
        <w:wordWrap/>
        <w:topLinePunct w:val="0"/>
        <w:bidi w:val="0"/>
        <w:adjustRightInd w:val="0"/>
        <w:spacing w:line="360" w:lineRule="auto"/>
        <w:ind w:left="0" w:leftChars="0" w:firstLine="48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提供安装说明书及维修保养手册；</w:t>
      </w:r>
    </w:p>
    <w:p w14:paraId="7024E973">
      <w:pPr>
        <w:pageBreakBefore w:val="0"/>
        <w:numPr>
          <w:ilvl w:val="0"/>
          <w:numId w:val="0"/>
        </w:numPr>
        <w:kinsoku/>
        <w:wordWrap/>
        <w:topLinePunct w:val="0"/>
        <w:bidi w:val="0"/>
        <w:adjustRightInd w:val="0"/>
        <w:spacing w:line="360" w:lineRule="auto"/>
        <w:ind w:left="0" w:leftChars="0" w:firstLine="48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提供厂家本项目授权委托书，确认所供设备为原厂正品。</w:t>
      </w:r>
    </w:p>
    <w:p w14:paraId="3E416D70">
      <w:pPr>
        <w:pStyle w:val="4"/>
        <w:keepNext/>
        <w:keepLines/>
        <w:pageBreakBefore w:val="0"/>
        <w:widowControl w:val="0"/>
        <w:tabs>
          <w:tab w:val="left" w:pos="0"/>
          <w:tab w:val="clear" w:pos="900"/>
        </w:tabs>
        <w:kinsoku/>
        <w:wordWrap/>
        <w:overflowPunct/>
        <w:topLinePunct w:val="0"/>
        <w:autoSpaceDE/>
        <w:autoSpaceDN/>
        <w:bidi w:val="0"/>
        <w:adjustRightInd/>
        <w:snapToGrid/>
        <w:spacing w:before="0" w:after="0" w:line="360" w:lineRule="auto"/>
        <w:ind w:left="0" w:leftChars="0" w:firstLine="42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设备</w:t>
      </w:r>
    </w:p>
    <w:p w14:paraId="59DF5790">
      <w:pPr>
        <w:pStyle w:val="4"/>
        <w:keepNext/>
        <w:keepLines/>
        <w:pageBreakBefore w:val="0"/>
        <w:widowControl w:val="0"/>
        <w:tabs>
          <w:tab w:val="left" w:pos="0"/>
          <w:tab w:val="clear" w:pos="900"/>
        </w:tabs>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潜污泵</w:t>
      </w:r>
    </w:p>
    <w:p w14:paraId="1C3C30FD">
      <w:pPr>
        <w:pStyle w:val="6"/>
        <w:keepNext/>
        <w:keepLines/>
        <w:pageBreakBefore w:val="0"/>
        <w:widowControl w:val="0"/>
        <w:tabs>
          <w:tab w:val="left" w:pos="0"/>
          <w:tab w:val="clear" w:pos="864"/>
        </w:tabs>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2.1.1</w:t>
      </w:r>
      <w:r>
        <w:rPr>
          <w:rFonts w:hint="eastAsia" w:asciiTheme="minorEastAsia" w:hAnsiTheme="minorEastAsia" w:eastAsiaTheme="minorEastAsia" w:cstheme="minorEastAsia"/>
          <w:sz w:val="24"/>
          <w:szCs w:val="24"/>
        </w:rPr>
        <w:t>总则</w:t>
      </w:r>
    </w:p>
    <w:p w14:paraId="1100DEF0">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标准化的外观、运行、维修、备品备件及制造商的服务，所提供的设备必须是一个制造商的最终产品，全新未经使用。</w:t>
      </w:r>
    </w:p>
    <w:p w14:paraId="3AB35B9D">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投标商应该根据设计文件及图纸要求所规定的流量、扬程及功率及安装位置对潜水提升泵进行核算选型，并提供潜水提升泵的平面布置图，在设计的条件下，投标商对潜水泵的效率负责。</w:t>
      </w:r>
    </w:p>
    <w:p w14:paraId="5C0CC888">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本工程土建完成后，投标商应保证所投设备可以安装。</w:t>
      </w:r>
    </w:p>
    <w:p w14:paraId="0C803111">
      <w:pPr>
        <w:pStyle w:val="4"/>
        <w:keepNext/>
        <w:keepLines/>
        <w:pageBreakBefore w:val="0"/>
        <w:widowControl w:val="0"/>
        <w:tabs>
          <w:tab w:val="left" w:pos="0"/>
          <w:tab w:val="clear" w:pos="900"/>
        </w:tabs>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2.1.2</w:t>
      </w:r>
      <w:r>
        <w:rPr>
          <w:rFonts w:hint="eastAsia" w:asciiTheme="minorEastAsia" w:hAnsiTheme="minorEastAsia" w:eastAsiaTheme="minorEastAsia" w:cstheme="minorEastAsia"/>
          <w:b/>
          <w:bCs/>
          <w:sz w:val="24"/>
          <w:szCs w:val="24"/>
          <w:lang w:eastAsia="zh-CN"/>
        </w:rPr>
        <w:t>供货范围</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3610"/>
        <w:gridCol w:w="664"/>
        <w:gridCol w:w="782"/>
        <w:gridCol w:w="2229"/>
      </w:tblGrid>
      <w:tr w14:paraId="3A0F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712" w:type="pct"/>
            <w:noWrap w:val="0"/>
            <w:vAlign w:val="center"/>
          </w:tcPr>
          <w:p w14:paraId="07452B86">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设备名称</w:t>
            </w:r>
          </w:p>
        </w:tc>
        <w:tc>
          <w:tcPr>
            <w:tcW w:w="2125" w:type="pct"/>
            <w:noWrap w:val="0"/>
            <w:vAlign w:val="center"/>
          </w:tcPr>
          <w:p w14:paraId="47E4847A">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规格及主要尺寸</w:t>
            </w:r>
          </w:p>
        </w:tc>
        <w:tc>
          <w:tcPr>
            <w:tcW w:w="391" w:type="pct"/>
            <w:noWrap w:val="0"/>
            <w:vAlign w:val="center"/>
          </w:tcPr>
          <w:p w14:paraId="5CA7C509">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460" w:type="pct"/>
            <w:noWrap w:val="0"/>
            <w:vAlign w:val="center"/>
          </w:tcPr>
          <w:p w14:paraId="74B4EFBF">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312" w:type="pct"/>
            <w:noWrap w:val="0"/>
            <w:vAlign w:val="center"/>
          </w:tcPr>
          <w:p w14:paraId="0973B6B1">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66DB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2" w:type="pct"/>
            <w:noWrap w:val="0"/>
            <w:vAlign w:val="center"/>
          </w:tcPr>
          <w:p w14:paraId="3B748032">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潜水提升泵</w:t>
            </w:r>
          </w:p>
        </w:tc>
        <w:tc>
          <w:tcPr>
            <w:tcW w:w="2125" w:type="pct"/>
            <w:noWrap w:val="0"/>
            <w:vAlign w:val="center"/>
          </w:tcPr>
          <w:p w14:paraId="31685A1F">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型号：50WQ15-10-1.</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，Q=15m³/h，H=10m</w:t>
            </w:r>
          </w:p>
        </w:tc>
        <w:tc>
          <w:tcPr>
            <w:tcW w:w="391" w:type="pct"/>
            <w:noWrap w:val="0"/>
            <w:vAlign w:val="center"/>
          </w:tcPr>
          <w:p w14:paraId="4106C06E">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460" w:type="pct"/>
            <w:noWrap w:val="0"/>
            <w:vAlign w:val="center"/>
          </w:tcPr>
          <w:p w14:paraId="5898EC6C">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1312" w:type="pct"/>
            <w:noWrap w:val="0"/>
            <w:vAlign w:val="center"/>
          </w:tcPr>
          <w:p w14:paraId="6EC7B3B3">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1用1备，配置自耦提升装置</w:t>
            </w:r>
          </w:p>
        </w:tc>
      </w:tr>
      <w:tr w14:paraId="0A34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2" w:type="pct"/>
            <w:noWrap w:val="0"/>
            <w:vAlign w:val="center"/>
          </w:tcPr>
          <w:p w14:paraId="62BAF79E">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潜水提升泵</w:t>
            </w:r>
          </w:p>
        </w:tc>
        <w:tc>
          <w:tcPr>
            <w:tcW w:w="2125" w:type="pct"/>
            <w:noWrap w:val="0"/>
            <w:vAlign w:val="center"/>
          </w:tcPr>
          <w:p w14:paraId="4B9EFC57">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型号：50WQ15-10-1.</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，Q=15m³/h，H=10m</w:t>
            </w:r>
          </w:p>
        </w:tc>
        <w:tc>
          <w:tcPr>
            <w:tcW w:w="391" w:type="pct"/>
            <w:noWrap w:val="0"/>
            <w:vAlign w:val="center"/>
          </w:tcPr>
          <w:p w14:paraId="333C5EEA">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460" w:type="pct"/>
            <w:noWrap w:val="0"/>
            <w:vAlign w:val="center"/>
          </w:tcPr>
          <w:p w14:paraId="0D5EC23C">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312" w:type="pct"/>
            <w:noWrap w:val="0"/>
            <w:vAlign w:val="center"/>
          </w:tcPr>
          <w:p w14:paraId="53D81040">
            <w:pPr>
              <w:pStyle w:val="6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配置自耦提升装置</w:t>
            </w:r>
          </w:p>
        </w:tc>
      </w:tr>
      <w:tr w14:paraId="3EC0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2" w:type="pct"/>
            <w:noWrap w:val="0"/>
            <w:vAlign w:val="center"/>
          </w:tcPr>
          <w:p w14:paraId="014A8763">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污泥回流泵</w:t>
            </w:r>
          </w:p>
        </w:tc>
        <w:tc>
          <w:tcPr>
            <w:tcW w:w="2125" w:type="pct"/>
            <w:noWrap w:val="0"/>
            <w:vAlign w:val="center"/>
          </w:tcPr>
          <w:p w14:paraId="1C8C6F0D">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型号：50WQ10-10-0.75，Q=10m³/h，H=10m</w:t>
            </w:r>
          </w:p>
        </w:tc>
        <w:tc>
          <w:tcPr>
            <w:tcW w:w="391" w:type="pct"/>
            <w:noWrap w:val="0"/>
            <w:vAlign w:val="center"/>
          </w:tcPr>
          <w:p w14:paraId="75889CEB">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460" w:type="pct"/>
            <w:noWrap w:val="0"/>
            <w:vAlign w:val="center"/>
          </w:tcPr>
          <w:p w14:paraId="71327A63">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12" w:type="pct"/>
            <w:noWrap w:val="0"/>
            <w:vAlign w:val="center"/>
          </w:tcPr>
          <w:p w14:paraId="4C4A041A">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1用1备，配置自耦提升装置</w:t>
            </w:r>
          </w:p>
        </w:tc>
      </w:tr>
    </w:tbl>
    <w:p w14:paraId="07D2D366">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①卖方提供潜水离心泵应为成套装置，并需配备出水弯座、耦合装置、提升用导向杆、提升链、水下电缆（8m）、电缆网兜等有效和安全运行所必需的附件。</w:t>
      </w:r>
    </w:p>
    <w:p w14:paraId="3E14788F">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②卖方应提供安装用的所有紧固件（包括膨胀地脚螺栓、螺母、垫圈等），并应符合相关的技术要求。</w:t>
      </w:r>
    </w:p>
    <w:p w14:paraId="02E5A772">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③结构形式</w:t>
      </w:r>
    </w:p>
    <w:p w14:paraId="0D919870">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潜水离心泵应是立式、单级和可脱卸的潜水泵，并与潜水电机的轴为一个整体，潜水离心泵应能泵送原生污水及污泥。</w:t>
      </w:r>
    </w:p>
    <w:p w14:paraId="0F2951D9">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潜水电机应直接与泵叶轮同轴相连，水力部件由水泵壳体、叶轮组成。泵应能够在20m水深下持续长期运行。为了确保流量稳定且没有过多涡旋，水力部件应设计和制造成没有锐利的棱角。泵出水配管法兰应按DIN EN 1092-2，PN10或DIN2633 PN16标准。</w:t>
      </w:r>
    </w:p>
    <w:p w14:paraId="13F0D966">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非有其他规定，潜水离心泵输送的介质为含有固体颗粒的城市污水，在不需看护的情况下，无故障运行至少10，000小时。潜水泵应能通过粘性材料、破布、废纸和塑料等而不发生堵塞现象，流量扬程曲线上任何一点都不超载，可靠和无故障的运行以及低成本的维修费用将成为选择水泵的首要因素。</w:t>
      </w:r>
    </w:p>
    <w:p w14:paraId="29FCC4AA">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潜水泵出水法兰与出水耦合弯座为重力自动无刮擦性硬面耦合，应密封可靠，采用橡胶等弹性密封将不被采用。</w:t>
      </w:r>
    </w:p>
    <w:p w14:paraId="2C4A2FF5">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泵的所有旋转零件（包括电动机）应在制造时进行静平衡试验，装配后进行动平衡试验，精度应至少达到ISO1940 G6.3级的要求。</w:t>
      </w:r>
    </w:p>
    <w:p w14:paraId="4FD487FA">
      <w:pPr>
        <w:pageBreakBefore w:val="0"/>
        <w:widowControl w:val="0"/>
        <w:kinsoku/>
        <w:wordWrap/>
        <w:overflowPunct/>
        <w:topLinePunct w:val="0"/>
        <w:bidi w:val="0"/>
        <w:snapToGrid/>
        <w:spacing w:line="360" w:lineRule="auto"/>
        <w:ind w:firstLine="482"/>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泵壳</w:t>
      </w:r>
    </w:p>
    <w:p w14:paraId="4680D458">
      <w:pPr>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泵壳采用HT200，泵壳内表面经加工后为光滑、无疵瑕形式，所有水流通过</w:t>
      </w:r>
      <w:r>
        <w:rPr>
          <w:rFonts w:hint="eastAsia" w:asciiTheme="minorEastAsia" w:hAnsiTheme="minorEastAsia" w:eastAsiaTheme="minorEastAsia" w:cstheme="minorEastAsia"/>
          <w:sz w:val="24"/>
          <w:szCs w:val="24"/>
        </w:rPr>
        <w:t>部分应设计成无锐角形式，以使流速和流向变化趋于平稳。通道的断面要足够大，以使相应粒径的杂物能通过叶轮。泵壳要有足够的厚度来承受所有的载荷，包括要求的静水试验压力以及连续工作的最大压力。</w:t>
      </w:r>
    </w:p>
    <w:p w14:paraId="510F6BFC">
      <w:pPr>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泵壳设计时要考虑到能够把叶轮从顶部或底部抽出。离心式潜水泵须提供出水联接底座和定位挡板以便水泵安装时能自动入座锁紧。</w:t>
      </w:r>
    </w:p>
    <w:p w14:paraId="17AD1F84">
      <w:pPr>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台泵壳都必须在制造车间进行静压试验，试验压力不得小于关闭水头的2倍（如特性曲线所示），试验时间应至少持续10min。在这一试验压力下，泵的任一部分均不得有变形现象发生，或出现变形的迹象及其它缺陷。</w:t>
      </w:r>
    </w:p>
    <w:p w14:paraId="789B7861">
      <w:pPr>
        <w:pageBreakBefore w:val="0"/>
        <w:widowControl w:val="0"/>
        <w:kinsoku/>
        <w:wordWrap/>
        <w:overflowPunct/>
        <w:topLinePunct w:val="0"/>
        <w:bidi w:val="0"/>
        <w:snapToGrid/>
        <w:spacing w:line="360" w:lineRule="auto"/>
        <w:ind w:firstLine="482"/>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泵叶轮</w:t>
      </w:r>
    </w:p>
    <w:p w14:paraId="08970CCC">
      <w:pPr>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潜水泵应采用双通道式叶轮，叶轮为静态及动态平衡。叶轮应具有较大的抽吸能力，并精心地进行加工和表面处理。</w:t>
      </w:r>
    </w:p>
    <w:p w14:paraId="2339EDE7">
      <w:pPr>
        <w:pageBreakBefore w:val="0"/>
        <w:widowControl w:val="0"/>
        <w:kinsoku/>
        <w:wordWrap/>
        <w:overflowPunct/>
        <w:topLinePunct w:val="0"/>
        <w:bidi w:val="0"/>
        <w:snapToGrid/>
        <w:spacing w:line="360" w:lineRule="auto"/>
        <w:ind w:firstLine="482"/>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泵轴</w:t>
      </w:r>
    </w:p>
    <w:p w14:paraId="688D65C2">
      <w:pPr>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泵轴和电机轴必须为整体结构，并与泵送的水流完全分开。轴材料采用高强度耐腐蚀不锈钢AISI420制造。</w:t>
      </w:r>
    </w:p>
    <w:p w14:paraId="787C5435">
      <w:pPr>
        <w:pageBreakBefore w:val="0"/>
        <w:widowControl w:val="0"/>
        <w:kinsoku/>
        <w:wordWrap/>
        <w:overflowPunct/>
        <w:topLinePunct w:val="0"/>
        <w:bidi w:val="0"/>
        <w:snapToGrid/>
        <w:spacing w:line="360" w:lineRule="auto"/>
        <w:ind w:firstLine="482"/>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泵轴承</w:t>
      </w:r>
    </w:p>
    <w:p w14:paraId="35995B20">
      <w:pPr>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应采用高质量的终身润滑轴承，轴承的设计使用寿命应大于</w:t>
      </w:r>
      <w:r>
        <w:rPr>
          <w:rFonts w:hint="eastAsia" w:asciiTheme="minorEastAsia" w:hAnsiTheme="minorEastAsia" w:eastAsiaTheme="minorEastAsia" w:cstheme="minorEastAsia"/>
          <w:bCs/>
          <w:sz w:val="24"/>
          <w:szCs w:val="24"/>
        </w:rPr>
        <w:t>100，000小时</w:t>
      </w:r>
      <w:r>
        <w:rPr>
          <w:rFonts w:hint="eastAsia" w:asciiTheme="minorEastAsia" w:hAnsiTheme="minorEastAsia" w:eastAsiaTheme="minorEastAsia" w:cstheme="minorEastAsia"/>
          <w:sz w:val="24"/>
          <w:szCs w:val="24"/>
        </w:rPr>
        <w:t>。设计的轴承必须能够承受所有轴向和径向负荷，并完全与泵送的水流分开。</w:t>
      </w:r>
    </w:p>
    <w:p w14:paraId="53606AC2">
      <w:pPr>
        <w:pageBreakBefore w:val="0"/>
        <w:widowControl w:val="0"/>
        <w:kinsoku/>
        <w:wordWrap/>
        <w:overflowPunct/>
        <w:topLinePunct w:val="0"/>
        <w:bidi w:val="0"/>
        <w:snapToGrid/>
        <w:spacing w:line="360" w:lineRule="auto"/>
        <w:ind w:firstLine="482"/>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叶轮间隙调整</w:t>
      </w:r>
    </w:p>
    <w:p w14:paraId="4DDE0A20">
      <w:pPr>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采用叶轮间隙可调的形式，叶轮间隙调节应能保证蜗壳和叶轮吸口之间有效的间隙性，并且叶轮间隙应多次可调，当泵由于磨损而效率降低时，可通过调整叶轮的间隙来恢复水泵的效率。叶轮间隙调节时以轴向调节为准，并在泵的外部调节和测量。</w:t>
      </w:r>
    </w:p>
    <w:p w14:paraId="166286D4">
      <w:pPr>
        <w:pageBreakBefore w:val="0"/>
        <w:widowControl w:val="0"/>
        <w:kinsoku/>
        <w:wordWrap/>
        <w:overflowPunct/>
        <w:topLinePunct w:val="0"/>
        <w:bidi w:val="0"/>
        <w:snapToGrid/>
        <w:spacing w:line="360" w:lineRule="auto"/>
        <w:ind w:firstLine="482"/>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泵的密封</w:t>
      </w:r>
    </w:p>
    <w:p w14:paraId="602948B1">
      <w:pPr>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采用两个上下双重独立的高质量机械密封系统，可以顺时针或逆时针转动，而不会带来不良后果。机械密封均采用耐腐蚀碳化硅/耐腐蚀碳化硅或耐腐蚀碳化钨/耐腐蚀碳化硅，介质酸碱度范围为PH6~9。</w:t>
      </w:r>
    </w:p>
    <w:p w14:paraId="4938E664">
      <w:pPr>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机械密封应该是免维护的，应能抵抗热冲击，并具有良好紧急运行的特点。</w:t>
      </w:r>
    </w:p>
    <w:p w14:paraId="4ADB9C37">
      <w:pPr>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制造厂家应保证机械密封的使用寿命不低于25，000小时。</w:t>
      </w:r>
    </w:p>
    <w:p w14:paraId="03EF17B1">
      <w:pPr>
        <w:pageBreakBefore w:val="0"/>
        <w:widowControl w:val="0"/>
        <w:kinsoku/>
        <w:wordWrap/>
        <w:overflowPunct/>
        <w:topLinePunct w:val="0"/>
        <w:bidi w:val="0"/>
        <w:snapToGrid/>
        <w:spacing w:line="360" w:lineRule="auto"/>
        <w:ind w:firstLine="482"/>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电机</w:t>
      </w:r>
    </w:p>
    <w:p w14:paraId="50ADB9DB">
      <w:pPr>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泵的电机是鼠笼式感应电机，装在充气的防水的壳内。电机符合IEC IP68级封水性要求。定子绕组和定子接线的绝缘等级不低于F级155℃。定子浸入F级绝缘漆三次。定子用热缩法嵌入定子室。电机设计为可在泵送温度为40℃的介质而温升不超过80℃的情况下连续运行，能每小时至少起动15次而不对泵带来任何有害影响。</w:t>
      </w:r>
    </w:p>
    <w:p w14:paraId="7B7F5FCC">
      <w:pPr>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监控每相绕组的温度，需在每相定子线圈中装入热敏开关。热敏开关需在≤70℃时常闭，在125℃时跳开。热敏开关与电机过载保护连接并接至控制柜，接线盒包括端子板。端子板用弹性O形环与电机密封。接线板采用穿线压紧杆方式长期固定和联接电缆导线和定子进线。</w:t>
      </w:r>
    </w:p>
    <w:p w14:paraId="795BB599">
      <w:pPr>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工作因素（即电压、频率及比重的综合效）至少为1.15。电机的允许电压波动为正负10％。电机能在水下20米处连续使用而不失去其防水性能（根据IP58标准，原IP68标准）。电机有足够的轴功率，以保证泵在其整个性能曲线范围内运行时不过载。动力电缆包括2—7根1．5平方毫米的控制电缆，以连接热敏电阻及其它监控传感器。</w:t>
      </w:r>
    </w:p>
    <w:p w14:paraId="07BE6239">
      <w:pPr>
        <w:pageBreakBefore w:val="0"/>
        <w:widowControl w:val="0"/>
        <w:kinsoku/>
        <w:wordWrap/>
        <w:overflowPunct/>
        <w:topLinePunct w:val="0"/>
        <w:bidi w:val="0"/>
        <w:snapToGrid/>
        <w:spacing w:line="360" w:lineRule="auto"/>
        <w:ind w:firstLine="482"/>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电缆进线的水密封</w:t>
      </w:r>
    </w:p>
    <w:p w14:paraId="40DD8BB7">
      <w:pPr>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电机在电缆入口处有弹性衬套，用密封盖进行挤压，保证防水和水密封。弹性衬套应有精密的公差，以适应电缆的外径和入口的内径。防水电缆进线有防拉紧、防缠绕保护及每根走线密封。</w:t>
      </w:r>
    </w:p>
    <w:p w14:paraId="1F43834E">
      <w:pPr>
        <w:pageBreakBefore w:val="0"/>
        <w:widowControl w:val="0"/>
        <w:kinsoku/>
        <w:wordWrap/>
        <w:overflowPunct/>
        <w:topLinePunct w:val="0"/>
        <w:bidi w:val="0"/>
        <w:snapToGrid/>
        <w:spacing w:line="360" w:lineRule="auto"/>
        <w:ind w:firstLine="482"/>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接线室</w:t>
      </w:r>
    </w:p>
    <w:p w14:paraId="0E713D3B">
      <w:pPr>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潜水电缆和定子接线的连接通过接线室内的接线板进行连接，接线室应通过橡胶件与定子室隔离密封，保护电机，避免物质进入电机腔。</w:t>
      </w:r>
    </w:p>
    <w:p w14:paraId="2C1E3169">
      <w:pPr>
        <w:pageBreakBefore w:val="0"/>
        <w:widowControl w:val="0"/>
        <w:kinsoku/>
        <w:wordWrap/>
        <w:overflowPunct/>
        <w:topLinePunct w:val="0"/>
        <w:bidi w:val="0"/>
        <w:snapToGrid/>
        <w:spacing w:line="360" w:lineRule="auto"/>
        <w:ind w:firstLine="482"/>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供电及控制电缆</w:t>
      </w:r>
    </w:p>
    <w:p w14:paraId="0947DC25">
      <w:pPr>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电机电缆线为适用于污水环境的潜水电缆，电缆设计温度最高可达到80℃。</w:t>
      </w:r>
    </w:p>
    <w:p w14:paraId="57EB039B">
      <w:pPr>
        <w:pageBreakBefore w:val="0"/>
        <w:widowControl w:val="0"/>
        <w:kinsoku/>
        <w:wordWrap/>
        <w:overflowPunct/>
        <w:topLinePunct w:val="0"/>
        <w:bidi w:val="0"/>
        <w:snapToGrid/>
        <w:spacing w:line="360" w:lineRule="auto"/>
        <w:ind w:firstLine="482"/>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电机保护装置</w:t>
      </w:r>
    </w:p>
    <w:p w14:paraId="44F9F654">
      <w:pPr>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机的每一相均设有温度传感器，当电机过热时将发出报警信号并自动切断电源。这些传感器都应在摄氏140℃时断开，可以与电机过载保护相连接，并接至控制柜。油腔中应装有密封泄露传感器，监测是否有水从轴封处浸入油室。所有常闭热敏传感器都应采用双金属片式传感器。所有泄漏传感器都应为电极式传感器，输出信号为开关量信号。</w:t>
      </w:r>
    </w:p>
    <w:p w14:paraId="2DF27F0D">
      <w:pPr>
        <w:pageBreakBefore w:val="0"/>
        <w:widowControl w:val="0"/>
        <w:kinsoku/>
        <w:wordWrap/>
        <w:overflowPunct/>
        <w:topLinePunct w:val="0"/>
        <w:bidi w:val="0"/>
        <w:snapToGrid/>
        <w:spacing w:line="360" w:lineRule="auto"/>
        <w:ind w:firstLine="482"/>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防腐要求</w:t>
      </w:r>
    </w:p>
    <w:p w14:paraId="17426571">
      <w:pPr>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制造潜水泵的全部材料应适用于污水的腐蚀环境以及腐蚀性气体的环境，未经保护或非防腐性材料应进行除锈和涂环氧防锈漆处理。</w:t>
      </w:r>
    </w:p>
    <w:p w14:paraId="203E36DF">
      <w:pPr>
        <w:pageBreakBefore w:val="0"/>
        <w:widowControl w:val="0"/>
        <w:kinsoku/>
        <w:wordWrap/>
        <w:overflowPunct/>
        <w:topLinePunct w:val="0"/>
        <w:bidi w:val="0"/>
        <w:snapToGrid/>
        <w:spacing w:line="360" w:lineRule="auto"/>
        <w:ind w:firstLine="482"/>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控制方式</w:t>
      </w:r>
    </w:p>
    <w:p w14:paraId="18E4724C">
      <w:pPr>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潜水提升泵的操作方式为就地手动控制和PLC自动控制二种方式。另外应具备向中心控制室PLC传输状态显示信号并接受PLC输出控制信号的接口和接受中控室遥控的信号接口。</w:t>
      </w:r>
    </w:p>
    <w:p w14:paraId="1B155595">
      <w:pPr>
        <w:pStyle w:val="6"/>
        <w:pageBreakBefore w:val="0"/>
        <w:widowControl w:val="0"/>
        <w:tabs>
          <w:tab w:val="left" w:pos="0"/>
          <w:tab w:val="clear" w:pos="864"/>
        </w:tabs>
        <w:kinsoku/>
        <w:wordWrap/>
        <w:overflowPunct/>
        <w:topLinePunct w:val="0"/>
        <w:bidi w:val="0"/>
        <w:snapToGrid/>
        <w:spacing w:before="0" w:after="0" w:line="360" w:lineRule="auto"/>
        <w:ind w:left="0" w:leftChars="0"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2.1.3</w:t>
      </w:r>
      <w:r>
        <w:rPr>
          <w:rFonts w:hint="eastAsia" w:asciiTheme="minorEastAsia" w:hAnsiTheme="minorEastAsia" w:eastAsiaTheme="minorEastAsia" w:cstheme="minorEastAsia"/>
          <w:sz w:val="24"/>
          <w:szCs w:val="24"/>
        </w:rPr>
        <w:t>资料提交</w:t>
      </w:r>
    </w:p>
    <w:p w14:paraId="02E6371E">
      <w:pPr>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①★绝缘电阻（MΩ）：热态＞500，冷态＞500；定子绕组耐电压：应能承受电压1760V，历时1min的耐电压试验而不发生击穿。规定点效率（效率）≥34.4%；电泵输入功率、泵轴功率≤0.67KW；功率因数≥0.82；定子的温升限值≤20.4；额定流量时的扬程（m）≥9.8（提供</w:t>
      </w:r>
      <w:r>
        <w:rPr>
          <w:rFonts w:hint="eastAsia" w:asciiTheme="minorEastAsia" w:hAnsiTheme="minorEastAsia" w:eastAsiaTheme="minorEastAsia" w:cstheme="minorEastAsia"/>
          <w:b/>
          <w:bCs/>
          <w:sz w:val="24"/>
          <w:szCs w:val="24"/>
        </w:rPr>
        <w:t>国家权威机构出具的同类产品CMA、CNAS检测报告加盖制造商公章佐证）。</w:t>
      </w:r>
    </w:p>
    <w:p w14:paraId="442F2C23">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②提供</w:t>
      </w:r>
      <w:r>
        <w:rPr>
          <w:rFonts w:hint="eastAsia" w:asciiTheme="minorEastAsia" w:hAnsiTheme="minorEastAsia" w:eastAsiaTheme="minorEastAsia" w:cstheme="minorEastAsia"/>
          <w:snapToGrid w:val="0"/>
          <w:sz w:val="24"/>
          <w:szCs w:val="24"/>
          <w:highlight w:val="none"/>
          <w:lang w:eastAsia="zh-CN"/>
        </w:rPr>
        <w:t>投标设备泵</w:t>
      </w:r>
      <w:r>
        <w:rPr>
          <w:rFonts w:hint="eastAsia" w:asciiTheme="minorEastAsia" w:hAnsiTheme="minorEastAsia" w:eastAsiaTheme="minorEastAsia" w:cstheme="minorEastAsia"/>
          <w:snapToGrid w:val="0"/>
          <w:sz w:val="24"/>
          <w:szCs w:val="24"/>
          <w:highlight w:val="none"/>
        </w:rPr>
        <w:t>厂家授权书。</w:t>
      </w:r>
    </w:p>
    <w:p w14:paraId="29399C8B">
      <w:pPr>
        <w:pStyle w:val="4"/>
        <w:keepNext/>
        <w:keepLines/>
        <w:pageBreakBefore w:val="0"/>
        <w:widowControl w:val="0"/>
        <w:tabs>
          <w:tab w:val="left" w:pos="0"/>
          <w:tab w:val="clear" w:pos="900"/>
        </w:tabs>
        <w:kinsoku/>
        <w:wordWrap/>
        <w:overflowPunct/>
        <w:topLinePunct w:val="0"/>
        <w:autoSpaceDE/>
        <w:autoSpaceDN/>
        <w:bidi w:val="0"/>
        <w:adjustRightInd/>
        <w:snapToGrid/>
        <w:spacing w:before="0" w:after="0" w:line="360" w:lineRule="auto"/>
        <w:ind w:left="0" w:leftChars="0" w:firstLine="422" w:firstLineChars="17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曝气风机</w:t>
      </w:r>
    </w:p>
    <w:p w14:paraId="1C3B7B97">
      <w:pPr>
        <w:pStyle w:val="6"/>
        <w:keepNext/>
        <w:keepLines/>
        <w:pageBreakBefore w:val="0"/>
        <w:widowControl w:val="0"/>
        <w:tabs>
          <w:tab w:val="left" w:pos="0"/>
          <w:tab w:val="clear" w:pos="864"/>
        </w:tabs>
        <w:kinsoku/>
        <w:wordWrap/>
        <w:overflowPunct/>
        <w:topLinePunct w:val="0"/>
        <w:autoSpaceDE/>
        <w:autoSpaceDN/>
        <w:bidi w:val="0"/>
        <w:adjustRightInd/>
        <w:snapToGrid/>
        <w:spacing w:before="0" w:after="0" w:line="360" w:lineRule="auto"/>
        <w:ind w:left="0" w:leftChars="0" w:firstLine="422" w:firstLineChars="17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2.2.1</w:t>
      </w:r>
      <w:r>
        <w:rPr>
          <w:rFonts w:hint="eastAsia" w:asciiTheme="minorEastAsia" w:hAnsiTheme="minorEastAsia" w:eastAsiaTheme="minorEastAsia" w:cstheme="minorEastAsia"/>
          <w:sz w:val="24"/>
          <w:szCs w:val="24"/>
        </w:rPr>
        <w:t>总则</w:t>
      </w:r>
    </w:p>
    <w:p w14:paraId="63DE249C">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标准化的外观、运行、维修、备品备件及制造商的服务，所提供的设备必须是一个制造商的最终产品，全新未经使用。</w:t>
      </w:r>
    </w:p>
    <w:p w14:paraId="2F0A5F89">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投标商应该根据设计文件及图纸要求所规定的风量、风压及功率及安装位置对曝气风机进行核算选型，并提供曝气风机的平面布置图，在设计的条件下，投标商对风机的效率负责。</w:t>
      </w:r>
    </w:p>
    <w:p w14:paraId="25EBAD75">
      <w:pPr>
        <w:pStyle w:val="6"/>
        <w:pageBreakBefore w:val="0"/>
        <w:tabs>
          <w:tab w:val="left" w:pos="0"/>
          <w:tab w:val="clear" w:pos="864"/>
        </w:tabs>
        <w:kinsoku/>
        <w:wordWrap/>
        <w:topLinePunct w:val="0"/>
        <w:bidi w:val="0"/>
        <w:spacing w:before="0" w:after="0" w:line="360" w:lineRule="auto"/>
        <w:ind w:left="4" w:leftChars="0" w:firstLine="417" w:firstLineChars="1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2.2.2</w:t>
      </w:r>
      <w:r>
        <w:rPr>
          <w:rFonts w:hint="eastAsia" w:asciiTheme="minorEastAsia" w:hAnsiTheme="minorEastAsia" w:eastAsiaTheme="minorEastAsia" w:cstheme="minorEastAsia"/>
          <w:sz w:val="24"/>
          <w:szCs w:val="24"/>
        </w:rPr>
        <w:t>供货范围</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3694"/>
        <w:gridCol w:w="914"/>
        <w:gridCol w:w="889"/>
        <w:gridCol w:w="1254"/>
      </w:tblGrid>
      <w:tr w14:paraId="255C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027" w:type="pct"/>
            <w:noWrap w:val="0"/>
            <w:vAlign w:val="center"/>
          </w:tcPr>
          <w:p w14:paraId="508D5D71">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设备名称</w:t>
            </w:r>
          </w:p>
        </w:tc>
        <w:tc>
          <w:tcPr>
            <w:tcW w:w="2174" w:type="pct"/>
            <w:noWrap w:val="0"/>
            <w:vAlign w:val="center"/>
          </w:tcPr>
          <w:p w14:paraId="556ECEBC">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规格及主要尺寸</w:t>
            </w:r>
          </w:p>
        </w:tc>
        <w:tc>
          <w:tcPr>
            <w:tcW w:w="538" w:type="pct"/>
            <w:noWrap w:val="0"/>
            <w:vAlign w:val="center"/>
          </w:tcPr>
          <w:p w14:paraId="5771D766">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523" w:type="pct"/>
            <w:noWrap w:val="0"/>
            <w:vAlign w:val="center"/>
          </w:tcPr>
          <w:p w14:paraId="61C61B47">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738" w:type="pct"/>
            <w:noWrap w:val="0"/>
            <w:vAlign w:val="center"/>
          </w:tcPr>
          <w:p w14:paraId="73453CDF">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79DA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27" w:type="pct"/>
            <w:noWrap w:val="0"/>
            <w:vAlign w:val="center"/>
          </w:tcPr>
          <w:p w14:paraId="108C85B4">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鼓风机</w:t>
            </w:r>
          </w:p>
        </w:tc>
        <w:tc>
          <w:tcPr>
            <w:tcW w:w="2174" w:type="pct"/>
            <w:noWrap w:val="0"/>
            <w:vAlign w:val="center"/>
          </w:tcPr>
          <w:p w14:paraId="329CC481">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型号：HZ-801S 口径DN65 Q=3.3m³/min H=4m</w:t>
            </w:r>
          </w:p>
        </w:tc>
        <w:tc>
          <w:tcPr>
            <w:tcW w:w="538" w:type="pct"/>
            <w:noWrap w:val="0"/>
            <w:vAlign w:val="center"/>
          </w:tcPr>
          <w:p w14:paraId="3587EA8B">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523" w:type="pct"/>
            <w:noWrap w:val="0"/>
            <w:vAlign w:val="center"/>
          </w:tcPr>
          <w:p w14:paraId="504C205D">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38" w:type="pct"/>
            <w:noWrap w:val="0"/>
            <w:vAlign w:val="center"/>
          </w:tcPr>
          <w:p w14:paraId="70D7FAE9">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1用1备</w:t>
            </w:r>
          </w:p>
        </w:tc>
      </w:tr>
    </w:tbl>
    <w:p w14:paraId="71395D59">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卖方提供风机应为成套装置，并需配备机壳、叶轮、轴承、电机底座、消音器机壳、主轴、排气管、弹性接头、手动蝶阀、空气过滤器、逆止阀/止回阀、油封、异径管（扩展管）等有效和安全运行所必需的附件。</w:t>
      </w:r>
    </w:p>
    <w:p w14:paraId="7F3D35C3">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2）卖方应提供安装用的所有紧固件（包括膨胀地脚螺栓、螺母、垫圈等），并应符合相关的技术要求。</w:t>
      </w:r>
    </w:p>
    <w:p w14:paraId="07FA4A1D">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技术要求</w:t>
      </w:r>
    </w:p>
    <w:p w14:paraId="10A665BB">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1、为保证系统设备的一致性，曝气风机及其辅助设备均应由风机制造商配套提供和组装成整体单元。</w:t>
      </w:r>
    </w:p>
    <w:p w14:paraId="119391BF">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2、在运行工况条件下，不允许发生喘振现象或实际运行功率超过电机铭牌功率，出口压力应平稳，不得有压力脉冲现象。</w:t>
      </w:r>
    </w:p>
    <w:p w14:paraId="634F2AA5">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控制方式</w:t>
      </w:r>
    </w:p>
    <w:p w14:paraId="38F13D08">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风机的操作方式为就地手动控制和PLC自动控制二种方式。另外应具备向控制柜PLC传输状态显示信号并接受PLC输出控制信号的接口和接受中控室遥控的信号接口。</w:t>
      </w:r>
    </w:p>
    <w:p w14:paraId="0DA4C11C">
      <w:pPr>
        <w:pStyle w:val="6"/>
        <w:pageBreakBefore w:val="0"/>
        <w:tabs>
          <w:tab w:val="left" w:pos="0"/>
          <w:tab w:val="clear" w:pos="864"/>
        </w:tabs>
        <w:kinsoku/>
        <w:wordWrap/>
        <w:topLinePunct w:val="0"/>
        <w:bidi w:val="0"/>
        <w:spacing w:before="0" w:after="0" w:line="360" w:lineRule="auto"/>
        <w:ind w:left="4" w:leftChars="0" w:firstLine="417" w:firstLineChars="1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2.2.3</w:t>
      </w:r>
      <w:r>
        <w:rPr>
          <w:rFonts w:hint="eastAsia" w:asciiTheme="minorEastAsia" w:hAnsiTheme="minorEastAsia" w:eastAsiaTheme="minorEastAsia" w:cstheme="minorEastAsia"/>
          <w:sz w:val="24"/>
          <w:szCs w:val="24"/>
        </w:rPr>
        <w:t>资料提交</w:t>
      </w:r>
    </w:p>
    <w:p w14:paraId="0016030C">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1.★ 投标人所提供的鼓风机应符合噪声平均声压级(dB）</w:t>
      </w:r>
      <w:r>
        <w:rPr>
          <w:rFonts w:hint="eastAsia" w:asciiTheme="minorEastAsia" w:hAnsiTheme="minorEastAsia" w:eastAsiaTheme="minorEastAsia" w:cstheme="minorEastAsia"/>
          <w:snapToGrid w:val="0"/>
          <w:sz w:val="24"/>
          <w:szCs w:val="24"/>
          <w:highlight w:val="none"/>
          <w:lang w:val="en-US" w:eastAsia="zh-CN"/>
        </w:rPr>
        <w:t>≤</w:t>
      </w:r>
      <w:r>
        <w:rPr>
          <w:rFonts w:hint="eastAsia" w:asciiTheme="minorEastAsia" w:hAnsiTheme="minorEastAsia" w:eastAsiaTheme="minorEastAsia" w:cstheme="minorEastAsia"/>
          <w:snapToGrid w:val="0"/>
          <w:sz w:val="24"/>
          <w:szCs w:val="24"/>
          <w:highlight w:val="none"/>
        </w:rPr>
        <w:t>61.8</w:t>
      </w:r>
      <w:r>
        <w:rPr>
          <w:rFonts w:hint="eastAsia" w:asciiTheme="minorEastAsia" w:hAnsiTheme="minorEastAsia" w:eastAsiaTheme="minorEastAsia" w:cstheme="minorEastAsia"/>
          <w:b/>
          <w:bCs/>
          <w:snapToGrid w:val="0"/>
          <w:sz w:val="24"/>
          <w:szCs w:val="24"/>
          <w:highlight w:val="none"/>
        </w:rPr>
        <w:t>（以上数据出具第三方检测机构出具的检验报告佐证。）</w:t>
      </w:r>
    </w:p>
    <w:p w14:paraId="6DE5219F">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2.所投产品生产单位应通过ISO9000认证体系，且证书应在有效期内佐证。</w:t>
      </w:r>
    </w:p>
    <w:p w14:paraId="4E40B97F">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3.提供</w:t>
      </w:r>
      <w:r>
        <w:rPr>
          <w:rFonts w:hint="eastAsia" w:asciiTheme="minorEastAsia" w:hAnsiTheme="minorEastAsia" w:eastAsiaTheme="minorEastAsia" w:cstheme="minorEastAsia"/>
          <w:snapToGrid w:val="0"/>
          <w:sz w:val="24"/>
          <w:szCs w:val="24"/>
          <w:highlight w:val="none"/>
          <w:lang w:eastAsia="zh-CN"/>
        </w:rPr>
        <w:t>投标</w:t>
      </w:r>
      <w:r>
        <w:rPr>
          <w:rFonts w:hint="eastAsia" w:asciiTheme="minorEastAsia" w:hAnsiTheme="minorEastAsia" w:eastAsiaTheme="minorEastAsia" w:cstheme="minorEastAsia"/>
          <w:snapToGrid w:val="0"/>
          <w:sz w:val="24"/>
          <w:szCs w:val="24"/>
          <w:lang w:eastAsia="zh-CN"/>
        </w:rPr>
        <w:t>设备风机</w:t>
      </w:r>
      <w:r>
        <w:rPr>
          <w:rFonts w:hint="eastAsia" w:asciiTheme="minorEastAsia" w:hAnsiTheme="minorEastAsia" w:eastAsiaTheme="minorEastAsia" w:cstheme="minorEastAsia"/>
          <w:snapToGrid w:val="0"/>
          <w:sz w:val="24"/>
          <w:szCs w:val="24"/>
        </w:rPr>
        <w:t>厂家授权书。</w:t>
      </w:r>
    </w:p>
    <w:p w14:paraId="5BC33E22">
      <w:pPr>
        <w:pStyle w:val="4"/>
        <w:pageBreakBefore w:val="0"/>
        <w:tabs>
          <w:tab w:val="left" w:pos="0"/>
          <w:tab w:val="clear" w:pos="900"/>
        </w:tabs>
        <w:kinsoku/>
        <w:wordWrap/>
        <w:topLinePunct w:val="0"/>
        <w:bidi w:val="0"/>
        <w:spacing w:before="0" w:after="0" w:line="360" w:lineRule="auto"/>
        <w:ind w:left="0"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曝气器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填料</w:t>
      </w:r>
    </w:p>
    <w:p w14:paraId="218A28B6">
      <w:pPr>
        <w:pStyle w:val="6"/>
        <w:pageBreakBefore w:val="0"/>
        <w:tabs>
          <w:tab w:val="left" w:pos="0"/>
          <w:tab w:val="clear" w:pos="864"/>
        </w:tabs>
        <w:kinsoku/>
        <w:wordWrap/>
        <w:topLinePunct w:val="0"/>
        <w:bidi w:val="0"/>
        <w:spacing w:before="0" w:after="0" w:line="360" w:lineRule="auto"/>
        <w:ind w:left="0"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2.3.1</w:t>
      </w:r>
      <w:r>
        <w:rPr>
          <w:rFonts w:hint="eastAsia" w:asciiTheme="minorEastAsia" w:hAnsiTheme="minorEastAsia" w:eastAsiaTheme="minorEastAsia" w:cstheme="minorEastAsia"/>
          <w:sz w:val="24"/>
          <w:szCs w:val="24"/>
        </w:rPr>
        <w:t>总则</w:t>
      </w:r>
    </w:p>
    <w:p w14:paraId="3A020D56">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标准化的外观、运行、维修、备品备件及制造商的服务，所提供的设备必须是一个制造商的最终产品，全新未经使用。</w:t>
      </w:r>
    </w:p>
    <w:p w14:paraId="6FE8CEC9">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投标商应该根据设计文件及图纸要求所规定的池体尺寸及安装位置对非标设备进行核算选型，并提供非标设备的平面布置图，在设计的条件下，投标商对填料的挂膜效果负责。</w:t>
      </w:r>
    </w:p>
    <w:p w14:paraId="45AA2977">
      <w:pPr>
        <w:pStyle w:val="6"/>
        <w:pageBreakBefore w:val="0"/>
        <w:tabs>
          <w:tab w:val="left" w:pos="0"/>
          <w:tab w:val="clear" w:pos="864"/>
        </w:tabs>
        <w:kinsoku/>
        <w:wordWrap/>
        <w:topLinePunct w:val="0"/>
        <w:bidi w:val="0"/>
        <w:spacing w:before="0" w:after="0" w:line="360" w:lineRule="auto"/>
        <w:ind w:left="0"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2.3.2</w:t>
      </w:r>
      <w:r>
        <w:rPr>
          <w:rFonts w:hint="eastAsia" w:asciiTheme="minorEastAsia" w:hAnsiTheme="minorEastAsia" w:eastAsiaTheme="minorEastAsia" w:cstheme="minorEastAsia"/>
          <w:sz w:val="24"/>
          <w:szCs w:val="24"/>
        </w:rPr>
        <w:t>供货范围</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4288"/>
        <w:gridCol w:w="873"/>
        <w:gridCol w:w="875"/>
        <w:gridCol w:w="1127"/>
      </w:tblGrid>
      <w:tr w14:paraId="24A3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84" w:type="pct"/>
            <w:noWrap w:val="0"/>
            <w:vAlign w:val="center"/>
          </w:tcPr>
          <w:p w14:paraId="2052B5D7">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设备名称</w:t>
            </w:r>
          </w:p>
        </w:tc>
        <w:tc>
          <w:tcPr>
            <w:tcW w:w="2524" w:type="pct"/>
            <w:noWrap w:val="0"/>
            <w:vAlign w:val="center"/>
          </w:tcPr>
          <w:p w14:paraId="63A204FB">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规格及主要尺寸</w:t>
            </w:r>
          </w:p>
        </w:tc>
        <w:tc>
          <w:tcPr>
            <w:tcW w:w="514" w:type="pct"/>
            <w:noWrap w:val="0"/>
            <w:vAlign w:val="center"/>
          </w:tcPr>
          <w:p w14:paraId="3478954C">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515" w:type="pct"/>
            <w:noWrap w:val="0"/>
            <w:vAlign w:val="center"/>
          </w:tcPr>
          <w:p w14:paraId="4B1F2101">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663" w:type="pct"/>
            <w:noWrap w:val="0"/>
            <w:vAlign w:val="center"/>
          </w:tcPr>
          <w:p w14:paraId="6BEFEEFB">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2742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84" w:type="pct"/>
            <w:noWrap w:val="0"/>
            <w:vAlign w:val="center"/>
          </w:tcPr>
          <w:p w14:paraId="6FA40C8C">
            <w:pPr>
              <w:pStyle w:val="626"/>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微孔曝气器</w:t>
            </w:r>
          </w:p>
        </w:tc>
        <w:tc>
          <w:tcPr>
            <w:tcW w:w="2524" w:type="pct"/>
            <w:noWrap w:val="0"/>
            <w:vAlign w:val="center"/>
          </w:tcPr>
          <w:p w14:paraId="30A2D943">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Φ215mm 可变孔橡胶膜片</w:t>
            </w:r>
          </w:p>
        </w:tc>
        <w:tc>
          <w:tcPr>
            <w:tcW w:w="514" w:type="pct"/>
            <w:noWrap w:val="0"/>
            <w:vAlign w:val="center"/>
          </w:tcPr>
          <w:p w14:paraId="52C8F2C0">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515" w:type="pct"/>
            <w:noWrap w:val="0"/>
            <w:vAlign w:val="center"/>
          </w:tcPr>
          <w:p w14:paraId="29ACFE25">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w:t>
            </w:r>
          </w:p>
        </w:tc>
        <w:tc>
          <w:tcPr>
            <w:tcW w:w="663" w:type="pct"/>
            <w:noWrap w:val="0"/>
            <w:vAlign w:val="center"/>
          </w:tcPr>
          <w:p w14:paraId="28AB91AE">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橡胶</w:t>
            </w:r>
          </w:p>
        </w:tc>
      </w:tr>
      <w:tr w14:paraId="56F3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784" w:type="pct"/>
            <w:noWrap w:val="0"/>
            <w:vAlign w:val="center"/>
          </w:tcPr>
          <w:p w14:paraId="24A39B45">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生物填料</w:t>
            </w:r>
          </w:p>
        </w:tc>
        <w:tc>
          <w:tcPr>
            <w:tcW w:w="2524" w:type="pct"/>
            <w:noWrap w:val="0"/>
            <w:vAlign w:val="center"/>
          </w:tcPr>
          <w:p w14:paraId="364973EB">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Φ180×2000mm </w:t>
            </w:r>
          </w:p>
        </w:tc>
        <w:tc>
          <w:tcPr>
            <w:tcW w:w="514" w:type="pct"/>
            <w:noWrap w:val="0"/>
            <w:vAlign w:val="center"/>
          </w:tcPr>
          <w:p w14:paraId="054E8B35">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m³</w:t>
            </w:r>
          </w:p>
        </w:tc>
        <w:tc>
          <w:tcPr>
            <w:tcW w:w="515" w:type="pct"/>
            <w:noWrap w:val="0"/>
            <w:vAlign w:val="center"/>
          </w:tcPr>
          <w:p w14:paraId="33417175">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550</w:t>
            </w:r>
          </w:p>
        </w:tc>
        <w:tc>
          <w:tcPr>
            <w:tcW w:w="663" w:type="pct"/>
            <w:noWrap w:val="0"/>
            <w:vAlign w:val="center"/>
          </w:tcPr>
          <w:p w14:paraId="795FF7C5">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PP</w:t>
            </w:r>
          </w:p>
        </w:tc>
      </w:tr>
    </w:tbl>
    <w:p w14:paraId="1A03D905">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1）卖方提非标设备等应为成套装置，并需配备有效和安全运行所必需的附件。</w:t>
      </w:r>
    </w:p>
    <w:p w14:paraId="02C7FEFE">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2）卖方应提供安装用的所有紧固件（包括膨胀地脚螺栓、螺母、垫圈等），并应符合相关的技术要求。</w:t>
      </w:r>
    </w:p>
    <w:p w14:paraId="1946A889">
      <w:pPr>
        <w:pStyle w:val="6"/>
        <w:pageBreakBefore w:val="0"/>
        <w:tabs>
          <w:tab w:val="left" w:pos="0"/>
          <w:tab w:val="clear" w:pos="864"/>
        </w:tabs>
        <w:kinsoku/>
        <w:wordWrap/>
        <w:topLinePunct w:val="0"/>
        <w:bidi w:val="0"/>
        <w:spacing w:before="0" w:after="0" w:line="360" w:lineRule="auto"/>
        <w:ind w:left="4" w:leftChars="0" w:firstLine="417" w:firstLineChars="1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2.3.3</w:t>
      </w:r>
      <w:r>
        <w:rPr>
          <w:rFonts w:hint="eastAsia" w:asciiTheme="minorEastAsia" w:hAnsiTheme="minorEastAsia" w:eastAsiaTheme="minorEastAsia" w:cstheme="minorEastAsia"/>
          <w:sz w:val="24"/>
          <w:szCs w:val="24"/>
        </w:rPr>
        <w:t>资料提供</w:t>
      </w:r>
    </w:p>
    <w:p w14:paraId="6578EF52">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1.★微孔曝气器：Φ215曝气器，标准氧传质速率：0.47kg/h；标准曝气效率：11kg/（kW*h）；标准氧传质效率：35.6%；阻力损失：2600Pa；</w:t>
      </w:r>
    </w:p>
    <w:p w14:paraId="516A4C77">
      <w:pPr>
        <w:keepNext w:val="0"/>
        <w:keepLines w:val="0"/>
        <w:pageBreakBefore w:val="0"/>
        <w:widowControl w:val="0"/>
        <w:kinsoku/>
        <w:wordWrap/>
        <w:overflowPunct/>
        <w:topLinePunct w:val="0"/>
        <w:autoSpaceDE/>
        <w:autoSpaceDN/>
        <w:bidi w:val="0"/>
        <w:snapToGrid/>
        <w:spacing w:line="360" w:lineRule="auto"/>
        <w:ind w:firstLine="482"/>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color w:val="000000"/>
          <w:sz w:val="24"/>
          <w:szCs w:val="24"/>
        </w:rPr>
        <w:t>（</w:t>
      </w:r>
      <w:r>
        <w:rPr>
          <w:rFonts w:hint="eastAsia" w:asciiTheme="minorEastAsia" w:hAnsiTheme="minorEastAsia" w:eastAsiaTheme="minorEastAsia" w:cstheme="minorEastAsia"/>
          <w:b/>
          <w:bCs/>
          <w:color w:val="000000"/>
          <w:sz w:val="24"/>
          <w:szCs w:val="24"/>
        </w:rPr>
        <w:t>出具</w:t>
      </w:r>
      <w:r>
        <w:rPr>
          <w:rFonts w:hint="eastAsia" w:asciiTheme="minorEastAsia" w:hAnsiTheme="minorEastAsia" w:eastAsiaTheme="minorEastAsia" w:cstheme="minorEastAsia"/>
          <w:b/>
          <w:color w:val="000000"/>
          <w:sz w:val="24"/>
          <w:szCs w:val="24"/>
        </w:rPr>
        <w:t>国家环保设备质量监督检验中心出具的带CMA、CNAS、ilac-MRA的检验检测报告）</w:t>
      </w:r>
    </w:p>
    <w:p w14:paraId="2103D7D8">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生物填料：单丝抗拉强度：7.08g/单丝（</w:t>
      </w:r>
      <w:r>
        <w:rPr>
          <w:rFonts w:hint="eastAsia" w:asciiTheme="minorEastAsia" w:hAnsiTheme="minorEastAsia" w:eastAsiaTheme="minorEastAsia" w:cstheme="minorEastAsia"/>
          <w:b/>
          <w:bCs/>
          <w:color w:val="000000"/>
          <w:sz w:val="24"/>
          <w:szCs w:val="24"/>
        </w:rPr>
        <w:t>出具第三方检测机构的检验检测报告）</w:t>
      </w:r>
    </w:p>
    <w:p w14:paraId="2005D72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3.★出具</w:t>
      </w:r>
      <w:r>
        <w:rPr>
          <w:rFonts w:hint="eastAsia" w:asciiTheme="minorEastAsia" w:hAnsiTheme="minorEastAsia" w:eastAsiaTheme="minorEastAsia" w:cstheme="minorEastAsia"/>
          <w:snapToGrid w:val="0"/>
          <w:sz w:val="24"/>
          <w:szCs w:val="24"/>
          <w:highlight w:val="none"/>
          <w:lang w:eastAsia="zh-CN"/>
        </w:rPr>
        <w:t>投标</w:t>
      </w:r>
      <w:r>
        <w:rPr>
          <w:rFonts w:hint="eastAsia" w:asciiTheme="minorEastAsia" w:hAnsiTheme="minorEastAsia" w:eastAsiaTheme="minorEastAsia" w:cstheme="minorEastAsia"/>
          <w:sz w:val="24"/>
          <w:szCs w:val="24"/>
        </w:rPr>
        <w:t>曝气器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填料厂家授权书</w:t>
      </w:r>
    </w:p>
    <w:p w14:paraId="386BA386">
      <w:pPr>
        <w:pStyle w:val="4"/>
        <w:pageBreakBefore w:val="0"/>
        <w:tabs>
          <w:tab w:val="left" w:pos="0"/>
          <w:tab w:val="clear" w:pos="900"/>
        </w:tabs>
        <w:kinsoku/>
        <w:wordWrap/>
        <w:topLinePunct w:val="0"/>
        <w:bidi w:val="0"/>
        <w:spacing w:before="0" w:after="0" w:line="360" w:lineRule="auto"/>
        <w:ind w:left="0" w:leftChars="0" w:firstLine="422" w:firstLineChars="1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在线余氯控制系统</w:t>
      </w:r>
    </w:p>
    <w:p w14:paraId="476239B8">
      <w:pPr>
        <w:pStyle w:val="6"/>
        <w:pageBreakBefore w:val="0"/>
        <w:tabs>
          <w:tab w:val="left" w:pos="0"/>
          <w:tab w:val="clear" w:pos="864"/>
        </w:tabs>
        <w:kinsoku/>
        <w:wordWrap/>
        <w:topLinePunct w:val="0"/>
        <w:bidi w:val="0"/>
        <w:spacing w:before="0" w:after="0" w:line="360" w:lineRule="auto"/>
        <w:ind w:left="0" w:leftChars="0" w:firstLine="422" w:firstLineChars="1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2.4.1</w:t>
      </w:r>
      <w:r>
        <w:rPr>
          <w:rFonts w:hint="eastAsia" w:asciiTheme="minorEastAsia" w:hAnsiTheme="minorEastAsia" w:eastAsiaTheme="minorEastAsia" w:cstheme="minorEastAsia"/>
          <w:sz w:val="24"/>
          <w:szCs w:val="24"/>
        </w:rPr>
        <w:t>总则</w:t>
      </w:r>
    </w:p>
    <w:p w14:paraId="72015ED8">
      <w:pPr>
        <w:pageBreakBefore w:val="0"/>
        <w:kinsoku/>
        <w:wordWrap/>
        <w:topLinePunct w:val="0"/>
        <w:bidi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标准化的外观、运行、维修、备品备件及制造商的服务，所提供的设备必须是一个制造商的最终产品，全新未经使用。</w:t>
      </w:r>
    </w:p>
    <w:p w14:paraId="7A348DB1">
      <w:pPr>
        <w:pStyle w:val="6"/>
        <w:pageBreakBefore w:val="0"/>
        <w:tabs>
          <w:tab w:val="left" w:pos="0"/>
          <w:tab w:val="clear" w:pos="864"/>
        </w:tabs>
        <w:kinsoku/>
        <w:wordWrap/>
        <w:topLinePunct w:val="0"/>
        <w:bidi w:val="0"/>
        <w:spacing w:before="0" w:after="0" w:line="360" w:lineRule="auto"/>
        <w:ind w:left="0"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2.4.2</w:t>
      </w:r>
      <w:r>
        <w:rPr>
          <w:rFonts w:hint="eastAsia" w:asciiTheme="minorEastAsia" w:hAnsiTheme="minorEastAsia" w:eastAsiaTheme="minorEastAsia" w:cstheme="minorEastAsia"/>
          <w:sz w:val="24"/>
          <w:szCs w:val="24"/>
        </w:rPr>
        <w:t>供货范围</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3627"/>
        <w:gridCol w:w="902"/>
        <w:gridCol w:w="902"/>
        <w:gridCol w:w="1441"/>
      </w:tblGrid>
      <w:tr w14:paraId="32CC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955" w:type="pct"/>
            <w:noWrap w:val="0"/>
            <w:vAlign w:val="center"/>
          </w:tcPr>
          <w:p w14:paraId="6C56DBC1">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设备名称</w:t>
            </w:r>
          </w:p>
        </w:tc>
        <w:tc>
          <w:tcPr>
            <w:tcW w:w="2135" w:type="pct"/>
            <w:noWrap w:val="0"/>
            <w:vAlign w:val="center"/>
          </w:tcPr>
          <w:p w14:paraId="5E7CB0AC">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规格型号</w:t>
            </w:r>
          </w:p>
        </w:tc>
        <w:tc>
          <w:tcPr>
            <w:tcW w:w="531" w:type="pct"/>
            <w:noWrap w:val="0"/>
            <w:vAlign w:val="center"/>
          </w:tcPr>
          <w:p w14:paraId="05416A08">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531" w:type="pct"/>
            <w:noWrap w:val="0"/>
            <w:vAlign w:val="center"/>
          </w:tcPr>
          <w:p w14:paraId="66C1379D">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849" w:type="pct"/>
            <w:noWrap w:val="0"/>
            <w:vAlign w:val="center"/>
          </w:tcPr>
          <w:p w14:paraId="01D3C659">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673A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955" w:type="pct"/>
            <w:noWrap w:val="0"/>
            <w:vAlign w:val="center"/>
          </w:tcPr>
          <w:p w14:paraId="51EA435F">
            <w:pPr>
              <w:pStyle w:val="626"/>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在线余氯控制系统</w:t>
            </w:r>
          </w:p>
        </w:tc>
        <w:tc>
          <w:tcPr>
            <w:tcW w:w="2135" w:type="pct"/>
            <w:noWrap w:val="0"/>
            <w:vAlign w:val="center"/>
          </w:tcPr>
          <w:p w14:paraId="688D1E5C">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MC-144A  M-CLO-01</w:t>
            </w:r>
          </w:p>
        </w:tc>
        <w:tc>
          <w:tcPr>
            <w:tcW w:w="531" w:type="pct"/>
            <w:noWrap w:val="0"/>
            <w:vAlign w:val="center"/>
          </w:tcPr>
          <w:p w14:paraId="4DAF798A">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531" w:type="pct"/>
            <w:noWrap w:val="0"/>
            <w:vAlign w:val="center"/>
          </w:tcPr>
          <w:p w14:paraId="7D8FE580">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49" w:type="pct"/>
            <w:noWrap w:val="0"/>
            <w:vAlign w:val="center"/>
          </w:tcPr>
          <w:p w14:paraId="2DC7303B">
            <w:pPr>
              <w:pStyle w:val="626"/>
              <w:rPr>
                <w:rFonts w:hint="eastAsia" w:asciiTheme="minorEastAsia" w:hAnsiTheme="minorEastAsia" w:eastAsiaTheme="minorEastAsia" w:cstheme="minorEastAsia"/>
                <w:sz w:val="24"/>
                <w:szCs w:val="24"/>
              </w:rPr>
            </w:pPr>
          </w:p>
        </w:tc>
      </w:tr>
    </w:tbl>
    <w:p w14:paraId="7F0C48A9">
      <w:pPr>
        <w:pStyle w:val="6"/>
        <w:pageBreakBefore w:val="0"/>
        <w:tabs>
          <w:tab w:val="left" w:pos="0"/>
          <w:tab w:val="clear" w:pos="864"/>
        </w:tabs>
        <w:kinsoku/>
        <w:wordWrap/>
        <w:topLinePunct w:val="0"/>
        <w:bidi w:val="0"/>
        <w:spacing w:before="0" w:after="0" w:line="360" w:lineRule="auto"/>
        <w:ind w:left="4" w:leftChars="0" w:firstLine="417" w:firstLineChars="1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2.4.3</w:t>
      </w:r>
      <w:r>
        <w:rPr>
          <w:rFonts w:hint="eastAsia" w:asciiTheme="minorEastAsia" w:hAnsiTheme="minorEastAsia" w:eastAsiaTheme="minorEastAsia" w:cstheme="minorEastAsia"/>
          <w:sz w:val="24"/>
          <w:szCs w:val="24"/>
        </w:rPr>
        <w:t>资料提供</w:t>
      </w:r>
    </w:p>
    <w:p w14:paraId="3B53CF72">
      <w:pPr>
        <w:pageBreakBefore w:val="0"/>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在线余氯控制系统符合以下技术参数要求：</w:t>
      </w:r>
    </w:p>
    <w:p w14:paraId="259AEE85">
      <w:pPr>
        <w:pageBreakBefore w:val="0"/>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测量范围：0～20mg/L ；</w:t>
      </w:r>
    </w:p>
    <w:p w14:paraId="73B44562">
      <w:pPr>
        <w:pageBreakBefore w:val="0"/>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分辨率：0.01mg/l</w:t>
      </w:r>
    </w:p>
    <w:p w14:paraId="24FB649A">
      <w:pPr>
        <w:pageBreakBefore w:val="0"/>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工作原理：三电极恒电位法 ，不更换电极，支持现场余氯、二氧化氯测量模式切换；</w:t>
      </w:r>
    </w:p>
    <w:p w14:paraId="20768E9A">
      <w:pPr>
        <w:pageBreakBefore w:val="0"/>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电极材料：单环铂金（黄金）电极</w:t>
      </w:r>
    </w:p>
    <w:p w14:paraId="45EF14DC">
      <w:pPr>
        <w:pageBreakBefore w:val="0"/>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精度误差：余氯：±0.02 mg/L（实际水样的标准方法检测值≤0.1 mg/L时），＜10%（实际水样的标准方法检测值＞0.1 mg/L时）</w:t>
      </w:r>
    </w:p>
    <w:p w14:paraId="7A707B60">
      <w:pPr>
        <w:pageBreakBefore w:val="0"/>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响应时间：T90 &lt; 2.5min</w:t>
      </w:r>
    </w:p>
    <w:p w14:paraId="40108D16">
      <w:pPr>
        <w:pageBreakBefore w:val="0"/>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传感器防护等级：IP68</w:t>
      </w:r>
    </w:p>
    <w:p w14:paraId="7D18D8F3">
      <w:pPr>
        <w:pageBreakBefore w:val="0"/>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测量流速：0.5~2L/min</w:t>
      </w:r>
    </w:p>
    <w:p w14:paraId="54F0C4E0">
      <w:pPr>
        <w:pageBreakBefore w:val="0"/>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余氯：重复性0.62%</w:t>
      </w:r>
    </w:p>
    <w:p w14:paraId="12EB6EF3">
      <w:pPr>
        <w:pageBreakBefore w:val="0"/>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响应时间：90s</w:t>
      </w:r>
    </w:p>
    <w:p w14:paraId="49094513">
      <w:pPr>
        <w:pageBreakBefore w:val="0"/>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测定下限：0.01mg/L</w:t>
      </w:r>
    </w:p>
    <w:p w14:paraId="485B01BC">
      <w:pPr>
        <w:pageBreakBefore w:val="0"/>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★仪器支持间隔测量（节水）模式，可设置间隔式测量周期。</w:t>
      </w:r>
    </w:p>
    <w:p w14:paraId="56933213">
      <w:pPr>
        <w:pageBreakBefore w:val="0"/>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★余氯支持气泡自清洗，浊度支持自清洗、自排污。</w:t>
      </w:r>
    </w:p>
    <w:p w14:paraId="7AFD63B3">
      <w:pPr>
        <w:pageBreakBefore w:val="0"/>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★余氯带自动流速补偿、自动pH补偿功能。</w:t>
      </w:r>
    </w:p>
    <w:p w14:paraId="784A802C">
      <w:pPr>
        <w:pageBreakBefore w:val="0"/>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仪器支持外部（4～20）mA 信号的因子接入，可在仪器上编辑因子名称、分辨率及单位。</w:t>
      </w:r>
    </w:p>
    <w:p w14:paraId="3C3C1D8B">
      <w:pPr>
        <w:pageBreakBefore w:val="0"/>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仪器自带无线模块，支持2G/3G/4G全网通无线传输。</w:t>
      </w:r>
    </w:p>
    <w:p w14:paraId="277AFACF">
      <w:pPr>
        <w:pageBreakBefore w:val="0"/>
        <w:kinsoku/>
        <w:wordWrap/>
        <w:topLinePunct w:val="0"/>
        <w:bidi w:val="0"/>
        <w:spacing w:line="360" w:lineRule="auto"/>
        <w:ind w:left="0" w:leftChars="0"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（以上参数须提供第三方检测机构出具的检测报告）</w:t>
      </w:r>
    </w:p>
    <w:p w14:paraId="31D06281">
      <w:pPr>
        <w:pageBreakBefore w:val="0"/>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3.★提供</w:t>
      </w:r>
      <w:r>
        <w:rPr>
          <w:rFonts w:hint="eastAsia" w:asciiTheme="minorEastAsia" w:hAnsiTheme="minorEastAsia" w:eastAsiaTheme="minorEastAsia" w:cstheme="minorEastAsia"/>
          <w:snapToGrid w:val="0"/>
          <w:sz w:val="24"/>
          <w:szCs w:val="24"/>
          <w:highlight w:val="none"/>
          <w:lang w:eastAsia="zh-CN"/>
        </w:rPr>
        <w:t>投标</w:t>
      </w:r>
      <w:r>
        <w:rPr>
          <w:rFonts w:hint="eastAsia" w:asciiTheme="minorEastAsia" w:hAnsiTheme="minorEastAsia" w:eastAsiaTheme="minorEastAsia" w:cstheme="minorEastAsia"/>
          <w:sz w:val="24"/>
          <w:szCs w:val="24"/>
        </w:rPr>
        <w:t>在线余氯控制系统厂家授权书</w:t>
      </w:r>
    </w:p>
    <w:p w14:paraId="577E5C60">
      <w:pPr>
        <w:pStyle w:val="4"/>
        <w:pageBreakBefore w:val="0"/>
        <w:tabs>
          <w:tab w:val="left" w:pos="0"/>
          <w:tab w:val="clear" w:pos="900"/>
        </w:tabs>
        <w:kinsoku/>
        <w:wordWrap/>
        <w:topLinePunct w:val="0"/>
        <w:bidi w:val="0"/>
        <w:spacing w:before="0" w:after="0" w:line="360" w:lineRule="auto"/>
        <w:ind w:left="0"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2.5离心风机</w:t>
      </w:r>
    </w:p>
    <w:p w14:paraId="7564938A">
      <w:pPr>
        <w:pStyle w:val="6"/>
        <w:pageBreakBefore w:val="0"/>
        <w:tabs>
          <w:tab w:val="left" w:pos="0"/>
          <w:tab w:val="clear" w:pos="864"/>
        </w:tabs>
        <w:kinsoku/>
        <w:wordWrap/>
        <w:topLinePunct w:val="0"/>
        <w:bidi w:val="0"/>
        <w:spacing w:before="0" w:after="0" w:line="360" w:lineRule="auto"/>
        <w:ind w:left="0"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2.5.1</w:t>
      </w:r>
      <w:r>
        <w:rPr>
          <w:rFonts w:hint="eastAsia" w:asciiTheme="minorEastAsia" w:hAnsiTheme="minorEastAsia" w:eastAsiaTheme="minorEastAsia" w:cstheme="minorEastAsia"/>
          <w:sz w:val="24"/>
          <w:szCs w:val="24"/>
        </w:rPr>
        <w:t>总则</w:t>
      </w:r>
    </w:p>
    <w:p w14:paraId="72D72F86">
      <w:pPr>
        <w:pageBreakBefore w:val="0"/>
        <w:kinsoku/>
        <w:wordWrap/>
        <w:topLinePunct w:val="0"/>
        <w:bidi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本工程除臭采用生物滤池+离心风机处理工艺。</w:t>
      </w:r>
    </w:p>
    <w:p w14:paraId="2DBD0357">
      <w:pPr>
        <w:pStyle w:val="6"/>
        <w:pageBreakBefore w:val="0"/>
        <w:tabs>
          <w:tab w:val="left" w:pos="0"/>
          <w:tab w:val="clear" w:pos="864"/>
        </w:tabs>
        <w:kinsoku/>
        <w:wordWrap/>
        <w:topLinePunct w:val="0"/>
        <w:bidi w:val="0"/>
        <w:spacing w:before="0" w:after="0" w:line="360" w:lineRule="auto"/>
        <w:ind w:left="4" w:leftChars="0" w:firstLine="417" w:firstLineChars="1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2.5.2</w:t>
      </w:r>
      <w:r>
        <w:rPr>
          <w:rFonts w:hint="eastAsia" w:asciiTheme="minorEastAsia" w:hAnsiTheme="minorEastAsia" w:eastAsiaTheme="minorEastAsia" w:cstheme="minorEastAsia"/>
          <w:sz w:val="24"/>
          <w:szCs w:val="24"/>
        </w:rPr>
        <w:t>供货范围</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4123"/>
        <w:gridCol w:w="1222"/>
        <w:gridCol w:w="1118"/>
      </w:tblGrid>
      <w:tr w14:paraId="341A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6" w:type="pct"/>
            <w:noWrap w:val="0"/>
            <w:vAlign w:val="center"/>
          </w:tcPr>
          <w:p w14:paraId="4F9A0FB1">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设备名称</w:t>
            </w:r>
          </w:p>
        </w:tc>
        <w:tc>
          <w:tcPr>
            <w:tcW w:w="2427" w:type="pct"/>
            <w:noWrap w:val="0"/>
            <w:vAlign w:val="center"/>
          </w:tcPr>
          <w:p w14:paraId="2FF86954">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规格及主要尺寸</w:t>
            </w:r>
          </w:p>
        </w:tc>
        <w:tc>
          <w:tcPr>
            <w:tcW w:w="719" w:type="pct"/>
            <w:noWrap w:val="0"/>
            <w:vAlign w:val="center"/>
          </w:tcPr>
          <w:p w14:paraId="1BB1BEB3">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658" w:type="pct"/>
            <w:noWrap w:val="0"/>
            <w:vAlign w:val="center"/>
          </w:tcPr>
          <w:p w14:paraId="59AA4DD5">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r>
      <w:tr w14:paraId="6AC4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196" w:type="pct"/>
            <w:noWrap w:val="0"/>
            <w:vAlign w:val="center"/>
          </w:tcPr>
          <w:p w14:paraId="6A16CDBB">
            <w:pPr>
              <w:pStyle w:val="626"/>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风机排气管道及支架</w:t>
            </w:r>
          </w:p>
        </w:tc>
        <w:tc>
          <w:tcPr>
            <w:tcW w:w="2427" w:type="pct"/>
            <w:noWrap w:val="0"/>
            <w:vAlign w:val="center"/>
          </w:tcPr>
          <w:p w14:paraId="657C07D4">
            <w:pPr>
              <w:pStyle w:val="626"/>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玻璃钢离心风机，Q=2000m³/h，H=1000~2500pa，N=7.5KW</w:t>
            </w:r>
          </w:p>
        </w:tc>
        <w:tc>
          <w:tcPr>
            <w:tcW w:w="719" w:type="pct"/>
            <w:noWrap w:val="0"/>
            <w:vAlign w:val="center"/>
          </w:tcPr>
          <w:p w14:paraId="09043B5D">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658" w:type="pct"/>
            <w:noWrap w:val="0"/>
            <w:vAlign w:val="center"/>
          </w:tcPr>
          <w:p w14:paraId="448E52A9">
            <w:pPr>
              <w:pStyle w:val="6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r>
    </w:tbl>
    <w:p w14:paraId="50CE98EC">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①投标人提供废气处理设备等应为成套装置，并需配备有效和安全运行所必需的附件。</w:t>
      </w:r>
    </w:p>
    <w:p w14:paraId="7A1D567A">
      <w:pPr>
        <w:pageBreakBefore w:val="0"/>
        <w:kinsoku/>
        <w:wordWrap/>
        <w:topLinePunct w:val="0"/>
        <w:bidi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②投标人提供安装用的所有紧固件（包括膨胀地脚螺栓、螺母、垫圈等），并应符合相关的技术要求。</w:t>
      </w:r>
    </w:p>
    <w:p w14:paraId="771AC6F3">
      <w:pPr>
        <w:pStyle w:val="6"/>
        <w:pageBreakBefore w:val="0"/>
        <w:tabs>
          <w:tab w:val="left" w:pos="0"/>
          <w:tab w:val="clear" w:pos="864"/>
        </w:tabs>
        <w:kinsoku/>
        <w:wordWrap/>
        <w:topLinePunct w:val="0"/>
        <w:bidi w:val="0"/>
        <w:spacing w:before="0" w:after="0" w:line="360" w:lineRule="auto"/>
        <w:ind w:left="0"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2.5.3</w:t>
      </w:r>
      <w:r>
        <w:rPr>
          <w:rFonts w:hint="eastAsia" w:asciiTheme="minorEastAsia" w:hAnsiTheme="minorEastAsia" w:eastAsiaTheme="minorEastAsia" w:cstheme="minorEastAsia"/>
          <w:sz w:val="24"/>
          <w:szCs w:val="24"/>
        </w:rPr>
        <w:t>资料提供</w:t>
      </w:r>
    </w:p>
    <w:p w14:paraId="787F4F87">
      <w:pPr>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1.详细的设备安装、使用、维护手册。</w:t>
      </w:r>
    </w:p>
    <w:p w14:paraId="6D72E10D">
      <w:pPr>
        <w:ind w:left="0" w:lef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b/>
          <w:bCs/>
          <w:color w:val="000000"/>
          <w:sz w:val="24"/>
          <w:szCs w:val="24"/>
        </w:rPr>
        <w:t>废气处理玻璃钢引风机是节能产品，应提供节能证书和第三方节能产品认证试验报告</w:t>
      </w:r>
      <w:r>
        <w:rPr>
          <w:rFonts w:hint="eastAsia" w:asciiTheme="minorEastAsia" w:hAnsiTheme="minorEastAsia" w:eastAsiaTheme="minorEastAsia" w:cstheme="minorEastAsia"/>
          <w:b/>
          <w:bCs/>
          <w:sz w:val="24"/>
          <w:szCs w:val="24"/>
        </w:rPr>
        <w:t>加盖制造商公章佐证。</w:t>
      </w:r>
    </w:p>
    <w:p w14:paraId="333FC551">
      <w:pPr>
        <w:ind w:left="0" w:leftChars="0"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000000"/>
          <w:sz w:val="24"/>
          <w:szCs w:val="24"/>
          <w:lang w:bidi="ar"/>
        </w:rPr>
        <w:t>3.</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color w:val="000000"/>
          <w:sz w:val="24"/>
          <w:szCs w:val="24"/>
          <w:lang w:bidi="ar"/>
        </w:rPr>
        <w:t xml:space="preserve"> 玻璃钢引风机应符合《建筑材料及制品燃烧性能分级》GB 8624-2012，进行型式检验 (安全性能）其燃烧性能达到GB8624-2012规定的难燃B1(B-s2,d0,t1）级。</w:t>
      </w:r>
      <w:r>
        <w:rPr>
          <w:rFonts w:hint="eastAsia" w:asciiTheme="minorEastAsia" w:hAnsiTheme="minorEastAsia" w:eastAsiaTheme="minorEastAsia" w:cstheme="minorEastAsia"/>
          <w:b/>
          <w:bCs/>
          <w:color w:val="000000"/>
          <w:sz w:val="24"/>
          <w:szCs w:val="24"/>
          <w:lang w:bidi="ar"/>
        </w:rPr>
        <w:t>投标人应在投标文件中提供消防研究所出具的玻璃纤维增强制品燃烧性能标识授权书并</w:t>
      </w:r>
      <w:r>
        <w:rPr>
          <w:rFonts w:hint="eastAsia" w:asciiTheme="minorEastAsia" w:hAnsiTheme="minorEastAsia" w:eastAsiaTheme="minorEastAsia" w:cstheme="minorEastAsia"/>
          <w:b/>
          <w:bCs/>
          <w:sz w:val="24"/>
          <w:szCs w:val="24"/>
        </w:rPr>
        <w:t>加盖制造商公章佐证。</w:t>
      </w:r>
    </w:p>
    <w:p w14:paraId="6E0C23B1">
      <w:pPr>
        <w:pageBreakBefore w:val="0"/>
        <w:numPr>
          <w:ilvl w:val="0"/>
          <w:numId w:val="0"/>
        </w:numPr>
        <w:kinsoku/>
        <w:wordWrap/>
        <w:topLinePunct w:val="0"/>
        <w:bidi w:val="0"/>
        <w:adjustRightInd w:val="0"/>
        <w:spacing w:line="360" w:lineRule="auto"/>
        <w:ind w:left="0" w:leftChars="0"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napToGrid w:val="0"/>
          <w:sz w:val="24"/>
          <w:szCs w:val="24"/>
        </w:rPr>
        <w:t>提供</w:t>
      </w:r>
      <w:r>
        <w:rPr>
          <w:rFonts w:hint="eastAsia" w:asciiTheme="minorEastAsia" w:hAnsiTheme="minorEastAsia" w:eastAsiaTheme="minorEastAsia" w:cstheme="minorEastAsia"/>
          <w:snapToGrid w:val="0"/>
          <w:sz w:val="24"/>
          <w:szCs w:val="24"/>
          <w:highlight w:val="none"/>
          <w:lang w:eastAsia="zh-CN"/>
        </w:rPr>
        <w:t>投标</w:t>
      </w:r>
      <w:r>
        <w:rPr>
          <w:rFonts w:hint="eastAsia" w:asciiTheme="minorEastAsia" w:hAnsiTheme="minorEastAsia" w:eastAsiaTheme="minorEastAsia" w:cstheme="minorEastAsia"/>
          <w:sz w:val="24"/>
          <w:szCs w:val="24"/>
          <w:lang w:val="en-US" w:eastAsia="zh-CN"/>
        </w:rPr>
        <w:t>离心风机</w:t>
      </w:r>
      <w:r>
        <w:rPr>
          <w:rFonts w:hint="eastAsia" w:asciiTheme="minorEastAsia" w:hAnsiTheme="minorEastAsia" w:eastAsiaTheme="minorEastAsia" w:cstheme="minorEastAsia"/>
          <w:snapToGrid w:val="0"/>
          <w:sz w:val="24"/>
          <w:szCs w:val="24"/>
        </w:rPr>
        <w:t>厂家授权书。</w:t>
      </w:r>
    </w:p>
    <w:p w14:paraId="0C3B9617">
      <w:pPr>
        <w:pStyle w:val="4"/>
        <w:pageBreakBefore w:val="0"/>
        <w:tabs>
          <w:tab w:val="left" w:pos="0"/>
          <w:tab w:val="clear" w:pos="900"/>
        </w:tabs>
        <w:kinsoku/>
        <w:wordWrap/>
        <w:topLinePunct w:val="0"/>
        <w:bidi w:val="0"/>
        <w:spacing w:before="0" w:after="0" w:line="360" w:lineRule="auto"/>
        <w:ind w:left="0" w:lef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2.6低压开关柜</w:t>
      </w:r>
    </w:p>
    <w:p w14:paraId="1E897BBD">
      <w:pPr>
        <w:pStyle w:val="6"/>
        <w:pageBreakBefore w:val="0"/>
        <w:tabs>
          <w:tab w:val="left" w:pos="0"/>
          <w:tab w:val="clear" w:pos="864"/>
        </w:tabs>
        <w:kinsoku/>
        <w:wordWrap/>
        <w:topLinePunct w:val="0"/>
        <w:bidi w:val="0"/>
        <w:spacing w:before="0" w:after="0" w:line="360" w:lineRule="auto"/>
        <w:ind w:left="4" w:leftChars="0" w:firstLine="417" w:firstLineChars="173"/>
        <w:rPr>
          <w:rFonts w:hint="eastAsia" w:ascii="宋体" w:hAnsi="宋体" w:eastAsia="宋体" w:cs="宋体"/>
          <w:sz w:val="24"/>
          <w:szCs w:val="24"/>
        </w:rPr>
      </w:pPr>
      <w:r>
        <w:rPr>
          <w:rFonts w:hint="eastAsia" w:ascii="宋体" w:hAnsi="宋体" w:eastAsia="宋体" w:cs="宋体"/>
          <w:sz w:val="24"/>
          <w:szCs w:val="24"/>
          <w:lang w:val="en-US" w:eastAsia="zh-CN"/>
        </w:rPr>
        <w:t>2.6.1</w:t>
      </w:r>
      <w:r>
        <w:rPr>
          <w:rFonts w:hint="eastAsia" w:ascii="宋体" w:hAnsi="宋体" w:eastAsia="宋体" w:cs="宋体"/>
          <w:sz w:val="24"/>
          <w:szCs w:val="24"/>
        </w:rPr>
        <w:t>技术要求</w:t>
      </w:r>
    </w:p>
    <w:p w14:paraId="1006963F">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1.开关柜技术参数：</w:t>
      </w:r>
    </w:p>
    <w:p w14:paraId="181A911E">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b/>
          <w:bCs/>
          <w:snapToGrid w:val="0"/>
          <w:sz w:val="24"/>
          <w:szCs w:val="24"/>
        </w:rPr>
        <w:t>额定工作电压：</w:t>
      </w:r>
      <w:r>
        <w:rPr>
          <w:rFonts w:hint="eastAsia" w:ascii="宋体" w:hAnsi="宋体" w:eastAsia="宋体" w:cs="宋体"/>
          <w:snapToGrid w:val="0"/>
          <w:sz w:val="24"/>
          <w:szCs w:val="24"/>
        </w:rPr>
        <w:t>380V</w:t>
      </w:r>
    </w:p>
    <w:p w14:paraId="493A4E91">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2）额定频率：50Hz</w:t>
      </w:r>
    </w:p>
    <w:p w14:paraId="6B1A7835">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3）相数：三相（三相五线制）</w:t>
      </w:r>
    </w:p>
    <w:p w14:paraId="301E8482">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4）额定电流 ： 水平母线：</w:t>
      </w:r>
    </w:p>
    <w:p w14:paraId="282D3717">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5）额定绝缘电压：690V；</w:t>
      </w:r>
    </w:p>
    <w:p w14:paraId="0BB6DF2E">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6）推荐型号为：MNS</w:t>
      </w:r>
    </w:p>
    <w:p w14:paraId="2DCF3348">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2.柜体结构</w:t>
      </w:r>
    </w:p>
    <w:p w14:paraId="074E08FA">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开关柜的一般结构满足如下要求：</w:t>
      </w:r>
    </w:p>
    <w:p w14:paraId="2AE0AD08">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开关柜外形平整美观，柜体由刚性框架组成，骨架全部采用2.0mm优质冷轧钢板经数控机床加工成型，壳体焊接后表面喷塑处理，开关柜的骨架尺寸精确而稳固。围绕骨架设步型模数为25mm的孔以供各种扩展的需要。其余门和侧板可采用优质冷轧钢板，厚度不小于2.0mm，钢支架均以自攻螺丝组合而成坚固一体，无任何焊电。内部隔板选用镀锌钢板或者覆铝锌板。</w:t>
      </w:r>
    </w:p>
    <w:p w14:paraId="4FEC76E9">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骨架、门、侧板和隔板等组成的柜体能承受系统短路所产生的机械和热应力的作用，能承受开关动作产生的冲击力而不致影响其他电器的工作，并能承受正常吊装、运输所导致的应力作用保护其性能不受影响。</w:t>
      </w:r>
    </w:p>
    <w:p w14:paraId="55751387">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开关柜应由门、封板、隔板、安装支架，以及母线、功能单元等零部件组装而成。开关柜内零部件尺寸、隔室尺寸，均应实行模数化。</w:t>
      </w:r>
    </w:p>
    <w:p w14:paraId="30F5AC4C">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开关柜为自然通风式，所有电缆有柜低或柜顶引入，电缆进线孔应有密封措施。</w:t>
      </w:r>
    </w:p>
    <w:p w14:paraId="36EF382C">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（1）分隔措施：低压开关柜应利用隔板划分为几个隔室。如主母线室、功能单元室、电缆室、控制回路室，分隔清晰。形成隔室的材料有足够的机械强度，以保证：</w:t>
      </w:r>
    </w:p>
    <w:p w14:paraId="3A2B4396">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防止非专职人员触及本单元的带电部件；</w:t>
      </w:r>
    </w:p>
    <w:p w14:paraId="3CC36C91">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防止所有人员触及相邻单元的带电部件；</w:t>
      </w:r>
    </w:p>
    <w:p w14:paraId="4A3EB860">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防止一个回路开关电器的通断动作影响相邻单元的运行稳定性；</w:t>
      </w:r>
    </w:p>
    <w:p w14:paraId="15CEF8A1">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限制事故电弧不致扩大到相邻单元。</w:t>
      </w:r>
    </w:p>
    <w:p w14:paraId="284A71BC">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3. 电气间隙、爬电距离和间隔距离</w:t>
      </w:r>
    </w:p>
    <w:p w14:paraId="4C9FD493">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主母线、垂直母线、分支母线和主电路连接件带电部件之间及其接地金属构件之间的爬电距离气间隙应不小于20mm。母线连接和电气元件进出线端子间，某些部分达不到规定时，应允许采用包扎绝缘的措施，但不能低于下表规定：</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1541"/>
        <w:gridCol w:w="1381"/>
        <w:gridCol w:w="1728"/>
        <w:gridCol w:w="1497"/>
      </w:tblGrid>
      <w:tr w14:paraId="5D00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82" w:type="pct"/>
            <w:noWrap w:val="0"/>
            <w:vAlign w:val="center"/>
          </w:tcPr>
          <w:p w14:paraId="3C633AE5">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额定绝缘电压</w:t>
            </w:r>
          </w:p>
        </w:tc>
        <w:tc>
          <w:tcPr>
            <w:tcW w:w="1720" w:type="pct"/>
            <w:gridSpan w:val="2"/>
            <w:noWrap w:val="0"/>
            <w:vAlign w:val="center"/>
          </w:tcPr>
          <w:p w14:paraId="5662207E">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电气间隙</w:t>
            </w:r>
          </w:p>
        </w:tc>
        <w:tc>
          <w:tcPr>
            <w:tcW w:w="1898" w:type="pct"/>
            <w:gridSpan w:val="2"/>
            <w:noWrap w:val="0"/>
            <w:vAlign w:val="center"/>
          </w:tcPr>
          <w:p w14:paraId="79E6C73E">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爬电距离</w:t>
            </w:r>
          </w:p>
        </w:tc>
      </w:tr>
      <w:tr w14:paraId="4F79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382" w:type="pct"/>
            <w:noWrap w:val="0"/>
            <w:vAlign w:val="center"/>
          </w:tcPr>
          <w:p w14:paraId="6846E2CF">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V</w:t>
            </w:r>
          </w:p>
        </w:tc>
        <w:tc>
          <w:tcPr>
            <w:tcW w:w="907" w:type="pct"/>
            <w:noWrap w:val="0"/>
            <w:vAlign w:val="center"/>
          </w:tcPr>
          <w:p w14:paraId="375B2753">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63A及以下</w:t>
            </w:r>
          </w:p>
        </w:tc>
        <w:tc>
          <w:tcPr>
            <w:tcW w:w="813" w:type="pct"/>
            <w:noWrap w:val="0"/>
            <w:vAlign w:val="center"/>
          </w:tcPr>
          <w:p w14:paraId="166A7D2D">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大于63A</w:t>
            </w:r>
          </w:p>
        </w:tc>
        <w:tc>
          <w:tcPr>
            <w:tcW w:w="1017" w:type="pct"/>
            <w:noWrap w:val="0"/>
            <w:vAlign w:val="center"/>
          </w:tcPr>
          <w:p w14:paraId="5866C1CB">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63A及以下</w:t>
            </w:r>
          </w:p>
        </w:tc>
        <w:tc>
          <w:tcPr>
            <w:tcW w:w="881" w:type="pct"/>
            <w:noWrap w:val="0"/>
            <w:vAlign w:val="center"/>
          </w:tcPr>
          <w:p w14:paraId="03C8B4AF">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大于63A</w:t>
            </w:r>
          </w:p>
        </w:tc>
      </w:tr>
      <w:tr w14:paraId="53BA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82" w:type="pct"/>
            <w:noWrap w:val="0"/>
            <w:vAlign w:val="center"/>
          </w:tcPr>
          <w:p w14:paraId="40C0177D">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ui≦60</w:t>
            </w:r>
          </w:p>
        </w:tc>
        <w:tc>
          <w:tcPr>
            <w:tcW w:w="907" w:type="pct"/>
            <w:noWrap w:val="0"/>
            <w:vAlign w:val="center"/>
          </w:tcPr>
          <w:p w14:paraId="6CD4DE5D">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3</w:t>
            </w:r>
          </w:p>
        </w:tc>
        <w:tc>
          <w:tcPr>
            <w:tcW w:w="813" w:type="pct"/>
            <w:noWrap w:val="0"/>
            <w:vAlign w:val="center"/>
          </w:tcPr>
          <w:p w14:paraId="090A8F21">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7</w:t>
            </w:r>
          </w:p>
        </w:tc>
        <w:tc>
          <w:tcPr>
            <w:tcW w:w="1017" w:type="pct"/>
            <w:noWrap w:val="0"/>
            <w:vAlign w:val="center"/>
          </w:tcPr>
          <w:p w14:paraId="0787712C">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3</w:t>
            </w:r>
          </w:p>
        </w:tc>
        <w:tc>
          <w:tcPr>
            <w:tcW w:w="881" w:type="pct"/>
            <w:noWrap w:val="0"/>
            <w:vAlign w:val="center"/>
          </w:tcPr>
          <w:p w14:paraId="287842B9">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7</w:t>
            </w:r>
          </w:p>
        </w:tc>
      </w:tr>
      <w:tr w14:paraId="52ED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82" w:type="pct"/>
            <w:noWrap w:val="0"/>
            <w:vAlign w:val="center"/>
          </w:tcPr>
          <w:p w14:paraId="3301917E">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60＜ui≦300</w:t>
            </w:r>
          </w:p>
        </w:tc>
        <w:tc>
          <w:tcPr>
            <w:tcW w:w="907" w:type="pct"/>
            <w:noWrap w:val="0"/>
            <w:vAlign w:val="center"/>
          </w:tcPr>
          <w:p w14:paraId="49459867">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7</w:t>
            </w:r>
          </w:p>
        </w:tc>
        <w:tc>
          <w:tcPr>
            <w:tcW w:w="813" w:type="pct"/>
            <w:noWrap w:val="0"/>
            <w:vAlign w:val="center"/>
          </w:tcPr>
          <w:p w14:paraId="37C1AC63">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6</w:t>
            </w:r>
          </w:p>
        </w:tc>
        <w:tc>
          <w:tcPr>
            <w:tcW w:w="1017" w:type="pct"/>
            <w:noWrap w:val="0"/>
            <w:vAlign w:val="center"/>
          </w:tcPr>
          <w:p w14:paraId="2955C91A">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6</w:t>
            </w:r>
          </w:p>
        </w:tc>
        <w:tc>
          <w:tcPr>
            <w:tcW w:w="881" w:type="pct"/>
            <w:noWrap w:val="0"/>
            <w:vAlign w:val="center"/>
          </w:tcPr>
          <w:p w14:paraId="6F9F4290">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8</w:t>
            </w:r>
          </w:p>
        </w:tc>
      </w:tr>
      <w:tr w14:paraId="2728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82" w:type="pct"/>
            <w:noWrap w:val="0"/>
            <w:vAlign w:val="center"/>
          </w:tcPr>
          <w:p w14:paraId="25B6F369">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300＜ui≦660</w:t>
            </w:r>
          </w:p>
        </w:tc>
        <w:tc>
          <w:tcPr>
            <w:tcW w:w="907" w:type="pct"/>
            <w:noWrap w:val="0"/>
            <w:vAlign w:val="center"/>
          </w:tcPr>
          <w:p w14:paraId="24B6DF85">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8</w:t>
            </w:r>
          </w:p>
        </w:tc>
        <w:tc>
          <w:tcPr>
            <w:tcW w:w="813" w:type="pct"/>
            <w:noWrap w:val="0"/>
            <w:vAlign w:val="center"/>
          </w:tcPr>
          <w:p w14:paraId="6F1AE71A">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10</w:t>
            </w:r>
          </w:p>
        </w:tc>
        <w:tc>
          <w:tcPr>
            <w:tcW w:w="1017" w:type="pct"/>
            <w:noWrap w:val="0"/>
            <w:vAlign w:val="center"/>
          </w:tcPr>
          <w:p w14:paraId="71C5E4BF">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10</w:t>
            </w:r>
          </w:p>
        </w:tc>
        <w:tc>
          <w:tcPr>
            <w:tcW w:w="881" w:type="pct"/>
            <w:noWrap w:val="0"/>
            <w:vAlign w:val="center"/>
          </w:tcPr>
          <w:p w14:paraId="64EDF677">
            <w:pPr>
              <w:pStyle w:val="626"/>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12</w:t>
            </w:r>
          </w:p>
        </w:tc>
      </w:tr>
    </w:tbl>
    <w:p w14:paraId="2B22C0F8">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当采用绝缘母线时允许缩小电气间隙和爬电距离。</w:t>
      </w:r>
    </w:p>
    <w:p w14:paraId="552F4477">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4.接地：</w:t>
      </w:r>
    </w:p>
    <w:p w14:paraId="7AC8CE1E">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所有作为隔离带电导体的金属隔板均应有效地接地，所有电气元件的金属外壳以及金属手柄均有效地接地。</w:t>
      </w:r>
    </w:p>
    <w:p w14:paraId="3BB5A63B">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所有电器元件外壳应采用金属螺钉安装在已经接地的镀锌金属构件上。</w:t>
      </w:r>
    </w:p>
    <w:p w14:paraId="14BAE6C6">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镀锌的金属板、安装结构件应采用螺钉相互连接，应具有保护电流的连续性。</w:t>
      </w:r>
    </w:p>
    <w:p w14:paraId="2F081B76">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设备的接地端子应是螺栓式，适合于铜排的连接，接地铜排的截面应不小于200mm</w:t>
      </w:r>
      <w:r>
        <w:rPr>
          <w:rFonts w:hint="eastAsia" w:ascii="宋体" w:hAnsi="宋体" w:eastAsia="宋体" w:cs="宋体"/>
          <w:snapToGrid w:val="0"/>
          <w:sz w:val="24"/>
          <w:szCs w:val="24"/>
          <w:vertAlign w:val="superscript"/>
        </w:rPr>
        <w:t>2</w:t>
      </w:r>
      <w:r>
        <w:rPr>
          <w:rFonts w:hint="eastAsia" w:ascii="宋体" w:hAnsi="宋体" w:eastAsia="宋体" w:cs="宋体"/>
          <w:snapToGrid w:val="0"/>
          <w:sz w:val="24"/>
          <w:szCs w:val="24"/>
        </w:rPr>
        <w:t>。</w:t>
      </w:r>
    </w:p>
    <w:p w14:paraId="156A7B81">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5. 主母线和分支母线：</w:t>
      </w:r>
    </w:p>
    <w:p w14:paraId="5B4A5D3D">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低压开关柜母线系统为三相五线制，接地保护型式为TN－S系统。A，B，C，N和PE母排均由刚性、硬拉高导电的电解铜制成。主母线安装于柜体的上部，其表面和各结合部均镀锡。PE母线单独安装于柜体下部，与相线隔离。PE线贯穿于整个柜体，金属柜体的各部分与接地PE线有良好的导电性能。所有铜母线、母线接头应镀锡；分支母线接头应除锈酸洗处理并镀锡。</w:t>
      </w:r>
    </w:p>
    <w:p w14:paraId="7508F626">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母线排用粘性色带进行标记，相色分别为：A相黄色，B相绿色，C相红色。</w:t>
      </w:r>
    </w:p>
    <w:p w14:paraId="0AB94C9A">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三相母排的排列为：由柜后向柜面排列为A、B、C相。</w:t>
      </w:r>
    </w:p>
    <w:p w14:paraId="0E86DE92">
      <w:pPr>
        <w:keepNext w:val="0"/>
        <w:keepLines w:val="0"/>
        <w:pageBreakBefore w:val="0"/>
        <w:widowControl w:val="0"/>
        <w:tabs>
          <w:tab w:val="left" w:pos="420"/>
          <w:tab w:val="left" w:pos="840"/>
        </w:tabs>
        <w:kinsoku/>
        <w:wordWrap/>
        <w:overflowPunct/>
        <w:topLinePunct w:val="0"/>
        <w:autoSpaceDE/>
        <w:autoSpaceDN/>
        <w:bidi w:val="0"/>
        <w:adjustRightInd w:val="0"/>
        <w:snapToGrid/>
        <w:spacing w:line="360" w:lineRule="auto"/>
        <w:ind w:firstLine="480"/>
        <w:rPr>
          <w:rFonts w:hint="eastAsia" w:ascii="宋体" w:hAnsi="宋体" w:eastAsia="宋体" w:cs="宋体"/>
          <w:snapToGrid w:val="0"/>
          <w:kern w:val="0"/>
          <w:sz w:val="24"/>
          <w:szCs w:val="24"/>
        </w:rPr>
      </w:pPr>
      <w:r>
        <w:rPr>
          <w:rFonts w:hint="eastAsia" w:ascii="宋体" w:hAnsi="宋体" w:eastAsia="宋体" w:cs="宋体"/>
          <w:snapToGrid w:val="0"/>
          <w:sz w:val="24"/>
          <w:szCs w:val="24"/>
        </w:rPr>
        <w:t>母排支撑件由特殊材料支撑，能适应机械及电气的要求，应该保证承受装置额定短时耐受电流和峰值耐受电流所产生的热应力和机械应力的冲击。</w:t>
      </w:r>
    </w:p>
    <w:p w14:paraId="213EAADE">
      <w:pPr>
        <w:pStyle w:val="6"/>
        <w:pageBreakBefore w:val="0"/>
        <w:tabs>
          <w:tab w:val="left" w:pos="0"/>
          <w:tab w:val="clear" w:pos="864"/>
        </w:tabs>
        <w:kinsoku/>
        <w:wordWrap/>
        <w:topLinePunct w:val="0"/>
        <w:bidi w:val="0"/>
        <w:spacing w:before="0" w:after="0" w:line="360" w:lineRule="auto"/>
        <w:ind w:left="0" w:leftChars="0" w:firstLine="482" w:firstLineChars="200"/>
        <w:rPr>
          <w:rFonts w:hint="eastAsia" w:ascii="宋体" w:hAnsi="宋体" w:eastAsia="宋体" w:cs="宋体"/>
          <w:sz w:val="24"/>
          <w:szCs w:val="24"/>
        </w:rPr>
      </w:pPr>
      <w:r>
        <w:rPr>
          <w:rFonts w:hint="eastAsia" w:ascii="宋体" w:hAnsi="宋体" w:eastAsia="宋体" w:cs="宋体"/>
          <w:sz w:val="24"/>
          <w:szCs w:val="24"/>
          <w:lang w:val="en-US" w:eastAsia="zh-CN"/>
        </w:rPr>
        <w:t>2.6.2</w:t>
      </w:r>
      <w:r>
        <w:rPr>
          <w:rFonts w:hint="eastAsia" w:ascii="宋体" w:hAnsi="宋体" w:eastAsia="宋体" w:cs="宋体"/>
          <w:sz w:val="24"/>
          <w:szCs w:val="24"/>
        </w:rPr>
        <w:t>主要元件的技术要求</w:t>
      </w:r>
    </w:p>
    <w:p w14:paraId="2863E503">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进线、联络开关采用抽出式框架空气断路器。</w:t>
      </w:r>
    </w:p>
    <w:p w14:paraId="7932955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额定值（详细见图纸）</w:t>
      </w:r>
    </w:p>
    <w:p w14:paraId="07D220D2">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额定电压： AC380V</w:t>
      </w:r>
    </w:p>
    <w:p w14:paraId="3F07AF2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额定工作电压：660V/50Hz</w:t>
      </w:r>
    </w:p>
    <w:p w14:paraId="78AD97C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额定极限短路分断容量及使用分断能力（KA）：≥65 KA（有效值）</w:t>
      </w:r>
    </w:p>
    <w:p w14:paraId="0AD22BB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机械使用寿命：≥10000次（免维护）</w:t>
      </w:r>
    </w:p>
    <w:p w14:paraId="75A24FB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电气使用寿命：≥4000次 （免维护）</w:t>
      </w:r>
    </w:p>
    <w:p w14:paraId="468CE18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保护方式：框架式空气断路器采用三段保护（包含过载、瞬时短路保护、延时短路保护）。</w:t>
      </w:r>
    </w:p>
    <w:p w14:paraId="3CC703A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断路器及其他元器件必须满足设计图纸及以下功能要求：</w:t>
      </w:r>
    </w:p>
    <w:p w14:paraId="7C125FE6">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1、断路器/交流接触器/热过载继电器/浪涌保护器采用优质知名品牌，中间继电器/选择开关/指示灯/按钮采用优质知名品牌。</w:t>
      </w:r>
    </w:p>
    <w:p w14:paraId="34C7BF7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2、PLC采用优质知名品牌，配10寸屏，I/O点冗余10%。</w:t>
      </w:r>
    </w:p>
    <w:p w14:paraId="1AABEE9C">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3、熔断器的熔体规格、自动开关的整定值符合设计要求；</w:t>
      </w:r>
    </w:p>
    <w:p w14:paraId="58F533F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4、信号回路的信号灯、按扭、光字牌、电铃、电笛、事故电钟等动作和信号显示准确；</w:t>
      </w:r>
    </w:p>
    <w:p w14:paraId="59B24016">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5、端子排安装牢固，端子有序号，强电、弱电端子隔离布置，端子规格和芯线截面积大小适配，端子预留10%的备用。</w:t>
      </w:r>
    </w:p>
    <w:p w14:paraId="59632C75">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6、按钮和指示灯式样应协调，按钮及指示灯颜色统一为：风机水泵类的红色按钮为停止按钮，绿色按钮为启动按钮；红色指示灯为停止指示，绿色指示灯为运行指示；电动阀和电磁阀类红色按钮为关闭按钮，绿色按钮为打开按钮；红色指示灯为关到位指示，绿色指示灯为开到位指示；急停按钮及指示灯采用红色，自锁旋转复位型。电动机机旁提供的按钮箱，应配备必要的型钢结构支架、托板等附件（或以图纸要求为准），以及能清楚地表示所控制设备的标志。所有按钮、指示灯配中文或英文数字（设备位号）标牌，文字最小高度为3mm。</w:t>
      </w:r>
    </w:p>
    <w:p w14:paraId="51C422B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7、控制继电器辅助触点最小额定值为220V，10A，采用积木式结构，相似于接触器的结构。小型继电器带可见指示器，用于指示继电器是否带电；继电器带有测试按钮。时间继电器采用电子可调式。继电器和定时器应安装在导轨上，便于维修和保养，导轨上预留安装空位置，以便将来增加继电器。</w:t>
      </w:r>
    </w:p>
    <w:p w14:paraId="697FD68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lang w:val="en-US" w:eastAsia="zh-CN"/>
        </w:rPr>
        <w:t>8、</w:t>
      </w:r>
      <w:r>
        <w:rPr>
          <w:rFonts w:hint="eastAsia" w:ascii="宋体" w:hAnsi="宋体" w:eastAsia="宋体" w:cs="宋体"/>
          <w:snapToGrid w:val="0"/>
          <w:sz w:val="24"/>
          <w:szCs w:val="24"/>
        </w:rPr>
        <w:t xml:space="preserve">    630A 及以下馈电开关采用固定式塑壳断路器</w:t>
      </w:r>
    </w:p>
    <w:p w14:paraId="455D9A9F">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额定值（详细见图纸）</w:t>
      </w:r>
    </w:p>
    <w:p w14:paraId="2DF0002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电气参数及技术要求：额定极限短路分断能力Icu：≥50kA</w:t>
      </w:r>
    </w:p>
    <w:p w14:paraId="5ADF1AE1">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机械使用寿命：</w:t>
      </w:r>
      <w:r>
        <w:rPr>
          <w:rFonts w:hint="eastAsia" w:ascii="宋体" w:hAnsi="宋体" w:eastAsia="宋体" w:cs="宋体"/>
          <w:sz w:val="24"/>
          <w:szCs w:val="24"/>
        </w:rPr>
        <w:t>≥</w:t>
      </w:r>
      <w:r>
        <w:rPr>
          <w:rFonts w:hint="eastAsia" w:ascii="宋体" w:hAnsi="宋体" w:eastAsia="宋体" w:cs="宋体"/>
          <w:snapToGrid w:val="0"/>
          <w:sz w:val="24"/>
          <w:szCs w:val="24"/>
        </w:rPr>
        <w:t>2000次（通电时）</w:t>
      </w:r>
    </w:p>
    <w:p w14:paraId="58B4D38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napToGrid w:val="0"/>
          <w:kern w:val="0"/>
          <w:sz w:val="24"/>
          <w:szCs w:val="24"/>
        </w:rPr>
      </w:pPr>
      <w:r>
        <w:rPr>
          <w:rFonts w:hint="eastAsia" w:ascii="宋体" w:hAnsi="宋体" w:eastAsia="宋体" w:cs="宋体"/>
          <w:snapToGrid w:val="0"/>
          <w:sz w:val="24"/>
          <w:szCs w:val="24"/>
        </w:rPr>
        <w:t>极数：3P</w:t>
      </w:r>
    </w:p>
    <w:p w14:paraId="7A2682C7">
      <w:pPr>
        <w:pStyle w:val="257"/>
        <w:pageBreakBefore w:val="0"/>
        <w:tabs>
          <w:tab w:val="left" w:pos="1384"/>
        </w:tabs>
        <w:kinsoku/>
        <w:overflowPunct/>
        <w:autoSpaceDE/>
        <w:autoSpaceDN/>
        <w:bidi w:val="0"/>
        <w:adjustRightInd/>
        <w:snapToGrid/>
        <w:spacing w:line="360" w:lineRule="auto"/>
        <w:ind w:left="0" w:leftChars="0" w:right="78" w:rightChars="37" w:firstLine="420" w:firstLineChars="175"/>
        <w:rPr>
          <w:rFonts w:hint="eastAsia" w:asciiTheme="minorEastAsia" w:hAnsiTheme="minorEastAsia" w:eastAsiaTheme="minorEastAsia" w:cstheme="minorEastAsia"/>
          <w:sz w:val="24"/>
          <w:szCs w:val="24"/>
          <w:highlight w:val="none"/>
        </w:rPr>
      </w:pPr>
    </w:p>
    <w:p w14:paraId="5386CE39">
      <w:pPr>
        <w:pStyle w:val="8"/>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Theme="minorEastAsia" w:hAnsiTheme="minorEastAsia" w:eastAsiaTheme="minorEastAsia" w:cstheme="minorEastAsia"/>
          <w:b/>
          <w:bCs/>
          <w:spacing w:val="6"/>
          <w:sz w:val="24"/>
          <w:szCs w:val="24"/>
          <w:highlight w:val="none"/>
          <w:lang w:eastAsia="zh-CN"/>
        </w:rPr>
      </w:pPr>
      <w:r>
        <w:rPr>
          <w:rFonts w:hint="eastAsia" w:asciiTheme="minorEastAsia" w:hAnsiTheme="minorEastAsia" w:eastAsiaTheme="minorEastAsia" w:cstheme="minorEastAsia"/>
          <w:b/>
          <w:bCs/>
          <w:spacing w:val="6"/>
          <w:sz w:val="24"/>
          <w:szCs w:val="24"/>
          <w:highlight w:val="none"/>
          <w:lang w:eastAsia="zh-CN"/>
        </w:rPr>
        <w:t>（三）其他要求</w:t>
      </w:r>
    </w:p>
    <w:p w14:paraId="3A7AF88F">
      <w:pPr>
        <w:pStyle w:val="257"/>
        <w:pageBreakBefore w:val="0"/>
        <w:tabs>
          <w:tab w:val="left" w:pos="1384"/>
        </w:tabs>
        <w:kinsoku/>
        <w:bidi w:val="0"/>
        <w:snapToGrid/>
        <w:spacing w:line="360" w:lineRule="auto"/>
        <w:ind w:left="0" w:leftChars="0" w:right="78" w:rightChars="37" w:firstLine="448" w:firstLineChars="1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pacing w:val="8"/>
          <w:sz w:val="24"/>
          <w:szCs w:val="24"/>
          <w:highlight w:val="none"/>
          <w:lang w:eastAsia="zh-CN"/>
        </w:rPr>
        <w:t>（1）质量标准：达到国家验收规范合格标准，符合省市相关规范、标准及招标文件质量要求。</w:t>
      </w:r>
      <w:r>
        <w:rPr>
          <w:rFonts w:hint="eastAsia" w:asciiTheme="minorEastAsia" w:hAnsiTheme="minorEastAsia" w:eastAsiaTheme="minorEastAsia" w:cstheme="minorEastAsia"/>
          <w:sz w:val="24"/>
          <w:szCs w:val="24"/>
        </w:rPr>
        <w:t>中标人保证所提供的设备是全新的、未经使用过的</w:t>
      </w:r>
      <w:r>
        <w:rPr>
          <w:rFonts w:hint="eastAsia" w:asciiTheme="minorEastAsia" w:hAnsiTheme="minorEastAsia" w:eastAsiaTheme="minorEastAsia" w:cstheme="minorEastAsia"/>
          <w:sz w:val="24"/>
          <w:szCs w:val="24"/>
          <w:lang w:eastAsia="zh-CN"/>
        </w:rPr>
        <w:t>，达到国家有关要求，所有设备要求无瑕疵和缺陷，质量为合格产品，交货时提交制造厂的合格证明。</w:t>
      </w:r>
      <w:r>
        <w:rPr>
          <w:rFonts w:hint="eastAsia" w:asciiTheme="minorEastAsia" w:hAnsiTheme="minorEastAsia" w:eastAsiaTheme="minorEastAsia" w:cstheme="minorEastAsia"/>
          <w:sz w:val="24"/>
          <w:szCs w:val="24"/>
        </w:rPr>
        <w:t>中标人提供的设备符合招标采购内容、技术条件中的规格型号和技术性能。</w:t>
      </w:r>
    </w:p>
    <w:p w14:paraId="2C434F62">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验收</w:t>
      </w:r>
    </w:p>
    <w:p w14:paraId="6F6DF17B">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2.1 设备到达现场后，中标人应负责设备的开箱检验工作；并通知监理和采购人到场确认。若发现货物与装箱单数目不符，由中标人负责补齐或收回，如采购人对质量有异议，中标人负责解释及处理，直到符合合同约定为止，同时，采购人保留依法追究中标人违约责任的权利。该检验称为初步清点验收，方式如下： </w:t>
      </w:r>
    </w:p>
    <w:p w14:paraId="299B4B82">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2.1.1 中标人在将货物运到采购人指定地点时，甲乙双方及采购人委托的验收参与人员根据本合同约定的计量方式、技术标准和质量要求对中标人交付的货物进行初步清点，主要核对：数量、规格型号、产地、尺寸、颜色包装及标识完整、完好程度、交货资料</w:t>
      </w:r>
      <w:r>
        <w:rPr>
          <w:rFonts w:hint="eastAsia" w:ascii="宋体" w:hAnsi="宋体" w:eastAsia="宋体" w:cs="宋体"/>
          <w:sz w:val="24"/>
          <w:szCs w:val="24"/>
          <w:lang w:eastAsia="zh-CN"/>
        </w:rPr>
        <w:t>等</w:t>
      </w:r>
      <w:r>
        <w:rPr>
          <w:rFonts w:hint="eastAsia" w:ascii="宋体" w:hAnsi="宋体" w:eastAsia="宋体" w:cs="宋体"/>
          <w:sz w:val="24"/>
          <w:szCs w:val="24"/>
        </w:rPr>
        <w:t xml:space="preserve">。各方签字后即表示初步验收清点完成，可以进行安装施工，但并不免除任何中标人对交货产品存在质量、制造、设计、性能、零部件的完整性等各方面的缺陷和不合格的责任、违约责任和对采购人造成损失的赔偿。 </w:t>
      </w:r>
    </w:p>
    <w:p w14:paraId="1DE83DD2">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2.1.2 甲乙双方及采购人委托的验收参与人员初步清点时，若发现存在数量、规格型号、产地、尺寸、颜色包装及标识完整、完好程度、交货资料</w:t>
      </w:r>
      <w:r>
        <w:rPr>
          <w:rFonts w:hint="eastAsia" w:ascii="宋体" w:hAnsi="宋体" w:eastAsia="宋体" w:cs="宋体"/>
          <w:sz w:val="24"/>
          <w:szCs w:val="24"/>
          <w:lang w:eastAsia="zh-CN"/>
        </w:rPr>
        <w:t>等</w:t>
      </w:r>
      <w:r>
        <w:rPr>
          <w:rFonts w:hint="eastAsia" w:ascii="宋体" w:hAnsi="宋体" w:eastAsia="宋体" w:cs="宋体"/>
          <w:sz w:val="24"/>
          <w:szCs w:val="24"/>
        </w:rPr>
        <w:t xml:space="preserve">方面不合格情况的，采购人有权拒收、部分拒收、退货、部分退货、拒付货款直至解除本合同，并向中标人索赔因此造成的损失。 </w:t>
      </w:r>
    </w:p>
    <w:p w14:paraId="7A5FFC35">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2.2 中标人交货前应按合同规定的检验方法，作出全面检测，其记录附在质量证明书内。但有关质量、规格、性能、数量或重量的检验不应视为最终检验。中标人检验的结果和详细要求应在质量说明书中加以说明。  </w:t>
      </w:r>
    </w:p>
    <w:p w14:paraId="4F345EF9">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2.3 其中采购人认为的重要部件不论何时（验收时或日后维修时）发现不符投标文件中的型号规格，中标人均将承担违约责任。中标人必须更换与招标文件相一致的部件并承诺包括安装在内的一切费用和相关责任。如中标人拒不更换的，采购人有权要求中标人按该重要部件所在设备的整体价款的一倍支付违约金。 </w:t>
      </w:r>
    </w:p>
    <w:p w14:paraId="6B16B692">
      <w:pPr>
        <w:pStyle w:val="257"/>
        <w:pageBreakBefore w:val="0"/>
        <w:tabs>
          <w:tab w:val="left" w:pos="1384"/>
        </w:tabs>
        <w:kinsoku/>
        <w:overflowPunct/>
        <w:autoSpaceDE/>
        <w:autoSpaceDN/>
        <w:bidi w:val="0"/>
        <w:adjustRightInd/>
        <w:snapToGrid/>
        <w:spacing w:line="360" w:lineRule="auto"/>
        <w:ind w:left="0" w:leftChars="0" w:right="78" w:rightChars="37" w:firstLine="420" w:firstLineChars="175"/>
        <w:jc w:val="left"/>
        <w:rPr>
          <w:rFonts w:hint="eastAsia" w:ascii="宋体" w:hAnsi="宋体" w:cs="宋体"/>
          <w:b w:val="0"/>
          <w:bCs/>
          <w:spacing w:val="8"/>
          <w:sz w:val="24"/>
          <w:szCs w:val="24"/>
          <w:highlight w:val="none"/>
          <w:lang w:eastAsia="zh-CN"/>
        </w:rPr>
      </w:pPr>
      <w:r>
        <w:rPr>
          <w:rFonts w:hint="eastAsia" w:ascii="宋体" w:hAnsi="宋体" w:eastAsia="宋体" w:cs="宋体"/>
          <w:sz w:val="24"/>
          <w:szCs w:val="24"/>
        </w:rPr>
        <w:t>2.4 中标人在交付设备时必须同时需向采购人移交招投标文件所列的备品备件、维修工具（该备品备件不作为保修期内所使用的维保耗材）。</w:t>
      </w:r>
    </w:p>
    <w:p w14:paraId="47B4B967">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eastAsia="zh-CN"/>
        </w:rPr>
        <w:t>（</w:t>
      </w:r>
      <w:r>
        <w:rPr>
          <w:rFonts w:hint="eastAsia" w:ascii="宋体" w:hAnsi="宋体" w:eastAsia="宋体" w:cs="宋体"/>
          <w:b w:val="0"/>
          <w:bCs/>
          <w:spacing w:val="8"/>
          <w:sz w:val="24"/>
          <w:szCs w:val="24"/>
          <w:highlight w:val="none"/>
          <w:lang w:val="en-US" w:eastAsia="zh-CN"/>
        </w:rPr>
        <w:t>3</w:t>
      </w:r>
      <w:r>
        <w:rPr>
          <w:rFonts w:hint="eastAsia" w:ascii="宋体" w:hAnsi="宋体" w:eastAsia="宋体" w:cs="宋体"/>
          <w:b w:val="0"/>
          <w:bCs/>
          <w:spacing w:val="8"/>
          <w:sz w:val="24"/>
          <w:szCs w:val="24"/>
          <w:highlight w:val="none"/>
          <w:lang w:eastAsia="zh-CN"/>
        </w:rPr>
        <w:t>）售后服务</w:t>
      </w:r>
    </w:p>
    <w:p w14:paraId="3670DB7F">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val="en-US" w:eastAsia="zh-CN"/>
        </w:rPr>
      </w:pPr>
      <w:r>
        <w:rPr>
          <w:rFonts w:hint="eastAsia" w:ascii="宋体" w:hAnsi="宋体" w:eastAsia="宋体" w:cs="宋体"/>
          <w:b w:val="0"/>
          <w:bCs/>
          <w:spacing w:val="8"/>
          <w:sz w:val="24"/>
          <w:szCs w:val="24"/>
          <w:highlight w:val="none"/>
          <w:lang w:val="en-US" w:eastAsia="zh-CN"/>
        </w:rPr>
        <w:t>3.1中标人对项目整体提供</w:t>
      </w:r>
      <w:r>
        <w:rPr>
          <w:rFonts w:hint="eastAsia" w:ascii="宋体" w:hAnsi="宋体" w:eastAsia="宋体" w:cs="宋体"/>
          <w:kern w:val="0"/>
          <w:sz w:val="24"/>
          <w:lang w:val="en-US" w:eastAsia="zh-CN"/>
        </w:rPr>
        <w:t>5年质保及维护保养</w:t>
      </w:r>
      <w:r>
        <w:rPr>
          <w:rFonts w:hint="eastAsia" w:ascii="宋体" w:hAnsi="宋体" w:eastAsia="宋体" w:cs="宋体"/>
          <w:kern w:val="0"/>
          <w:sz w:val="24"/>
          <w:lang w:eastAsia="zh-CN"/>
        </w:rPr>
        <w:t>。</w:t>
      </w:r>
      <w:r>
        <w:rPr>
          <w:rFonts w:hint="eastAsia" w:ascii="宋体" w:hAnsi="宋体" w:eastAsia="宋体" w:cs="宋体"/>
          <w:b w:val="0"/>
          <w:bCs/>
          <w:spacing w:val="8"/>
          <w:sz w:val="24"/>
          <w:szCs w:val="24"/>
          <w:highlight w:val="none"/>
          <w:lang w:val="en-US" w:eastAsia="zh-CN"/>
        </w:rPr>
        <w:t>时间从项目整体验收合格之日算起。在此期间，因产品制造质量不良而产生损坏或不能正常工作，中标人应免费维修更换。</w:t>
      </w:r>
    </w:p>
    <w:p w14:paraId="6B48F453">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val="en-US" w:eastAsia="zh-CN"/>
        </w:rPr>
        <w:t>3.2</w:t>
      </w:r>
      <w:r>
        <w:rPr>
          <w:rFonts w:hint="eastAsia" w:ascii="宋体" w:hAnsi="宋体" w:eastAsia="宋体" w:cs="宋体"/>
          <w:b w:val="0"/>
          <w:bCs/>
          <w:spacing w:val="8"/>
          <w:sz w:val="24"/>
          <w:szCs w:val="24"/>
          <w:highlight w:val="none"/>
          <w:lang w:eastAsia="zh-CN"/>
        </w:rPr>
        <w:t>技术支持要求：质保期内出现问题，中标单位在接到电话后2小时内响应，6小时内到达现场解决问题，最迟在2个工作日内修复，如不能修复应采取补救措施，以保证使用方的正常工作，中标单位有其它服务承诺的，一并履行。未及时响应或到达现场解决问题并修复的，采购人有权自行通过第三方进行修复，其费用由供货商承担。在保修期内中标单位不得以任何理由影响正常使用。</w:t>
      </w:r>
    </w:p>
    <w:p w14:paraId="3AC810EE">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val="en-US" w:eastAsia="zh-CN"/>
        </w:rPr>
        <w:t>3.3</w:t>
      </w:r>
      <w:r>
        <w:rPr>
          <w:rFonts w:hint="eastAsia" w:ascii="宋体" w:hAnsi="宋体" w:eastAsia="宋体" w:cs="宋体"/>
          <w:b w:val="0"/>
          <w:bCs/>
          <w:spacing w:val="8"/>
          <w:sz w:val="24"/>
          <w:szCs w:val="24"/>
          <w:highlight w:val="none"/>
          <w:lang w:eastAsia="zh-CN"/>
        </w:rPr>
        <w:t>中标供应商应负责提供充足的备品备件，实行一年一次的质量跟踪服务和反馈。在质保期满前时作一次免费维护保养。质保期外，如若货物故障，维修费采购人先付50%，另50%待货物运行一月后结清。货物配件如需要重新购买则按不超过报价响应文件中承诺的报价计算。</w:t>
      </w:r>
    </w:p>
    <w:p w14:paraId="57F8A739">
      <w:pPr>
        <w:pStyle w:val="257"/>
        <w:pageBreakBefore w:val="0"/>
        <w:tabs>
          <w:tab w:val="left" w:pos="1384"/>
        </w:tabs>
        <w:kinsoku/>
        <w:overflowPunct/>
        <w:autoSpaceDE/>
        <w:autoSpaceDN/>
        <w:bidi w:val="0"/>
        <w:adjustRightInd/>
        <w:snapToGrid/>
        <w:spacing w:line="360" w:lineRule="auto"/>
        <w:ind w:left="0" w:leftChars="0" w:right="78" w:rightChars="37" w:firstLine="450" w:firstLineChars="175"/>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pacing w:val="8"/>
          <w:sz w:val="24"/>
          <w:szCs w:val="24"/>
          <w:highlight w:val="none"/>
          <w:lang w:eastAsia="zh-CN"/>
        </w:rPr>
        <w:t>（四）</w:t>
      </w:r>
      <w:r>
        <w:rPr>
          <w:rFonts w:hint="eastAsia" w:asciiTheme="minorEastAsia" w:hAnsiTheme="minorEastAsia" w:eastAsiaTheme="minorEastAsia" w:cstheme="minorEastAsia"/>
          <w:b/>
          <w:spacing w:val="8"/>
          <w:sz w:val="24"/>
          <w:szCs w:val="24"/>
          <w:highlight w:val="none"/>
        </w:rPr>
        <w:t>交货期</w:t>
      </w:r>
    </w:p>
    <w:p w14:paraId="5BF8A37D">
      <w:pPr>
        <w:pStyle w:val="24"/>
        <w:pageBreakBefore w:val="0"/>
        <w:kinsoku/>
        <w:overflowPunct/>
        <w:autoSpaceDE/>
        <w:autoSpaceDN/>
        <w:bidi w:val="0"/>
        <w:adjustRightInd/>
        <w:snapToGrid/>
        <w:spacing w:after="0" w:line="360" w:lineRule="auto"/>
        <w:ind w:left="0" w:leftChars="0" w:right="78" w:rightChars="37" w:firstLine="420" w:firstLineChars="175"/>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交货期：</w:t>
      </w:r>
      <w:r>
        <w:rPr>
          <w:rFonts w:hint="eastAsia" w:hAnsi="宋体" w:cs="宋体"/>
          <w:b/>
          <w:color w:val="auto"/>
          <w:sz w:val="24"/>
        </w:rPr>
        <w:t>本项目要求在签订合同后</w:t>
      </w:r>
      <w:r>
        <w:rPr>
          <w:rFonts w:hint="eastAsia" w:ascii="宋体" w:hAnsi="宋体" w:eastAsia="宋体" w:cs="宋体"/>
          <w:b/>
          <w:color w:val="auto"/>
          <w:sz w:val="24"/>
          <w:szCs w:val="24"/>
          <w:highlight w:val="none"/>
          <w:lang w:val="en-US" w:eastAsia="zh-CN"/>
        </w:rPr>
        <w:t>150</w:t>
      </w:r>
      <w:r>
        <w:rPr>
          <w:rFonts w:hint="eastAsia" w:hAnsi="宋体" w:cs="宋体"/>
          <w:b/>
          <w:color w:val="auto"/>
          <w:sz w:val="24"/>
          <w:lang w:val="en-US" w:eastAsia="zh-CN"/>
        </w:rPr>
        <w:t>天内完成供货</w:t>
      </w:r>
      <w:r>
        <w:rPr>
          <w:rFonts w:hint="eastAsia" w:hAnsi="宋体" w:cs="宋体"/>
          <w:b/>
          <w:color w:val="auto"/>
          <w:sz w:val="24"/>
        </w:rPr>
        <w:t>安装</w:t>
      </w:r>
      <w:r>
        <w:rPr>
          <w:rFonts w:hint="eastAsia" w:hAnsi="宋体" w:cs="宋体"/>
          <w:b/>
          <w:color w:val="auto"/>
          <w:sz w:val="24"/>
          <w:lang w:eastAsia="zh-CN"/>
        </w:rPr>
        <w:t>及验收</w:t>
      </w:r>
      <w:r>
        <w:rPr>
          <w:rFonts w:hint="eastAsia" w:hAnsi="宋体" w:cs="宋体"/>
          <w:b/>
          <w:color w:val="auto"/>
          <w:sz w:val="24"/>
        </w:rPr>
        <w:t>。</w:t>
      </w:r>
    </w:p>
    <w:p w14:paraId="60713610">
      <w:pPr>
        <w:pStyle w:val="8"/>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eastAsia="zh-CN"/>
        </w:rPr>
        <w:t>（五）</w:t>
      </w:r>
      <w:r>
        <w:rPr>
          <w:rFonts w:hint="eastAsia" w:asciiTheme="minorEastAsia" w:hAnsiTheme="minorEastAsia" w:eastAsiaTheme="minorEastAsia" w:cstheme="minorEastAsia"/>
          <w:spacing w:val="6"/>
          <w:sz w:val="24"/>
          <w:szCs w:val="24"/>
          <w:highlight w:val="none"/>
        </w:rPr>
        <w:t>交货地点</w:t>
      </w:r>
    </w:p>
    <w:p w14:paraId="5B04EAC0">
      <w:pPr>
        <w:pStyle w:val="24"/>
        <w:pageBreakBefore w:val="0"/>
        <w:kinsoku/>
        <w:overflowPunct/>
        <w:autoSpaceDE/>
        <w:autoSpaceDN/>
        <w:bidi w:val="0"/>
        <w:adjustRightInd/>
        <w:snapToGrid/>
        <w:spacing w:after="0" w:line="360" w:lineRule="auto"/>
        <w:ind w:left="0" w:leftChars="0" w:right="78" w:rightChars="37" w:firstLine="420" w:firstLineChars="17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桐庐县第二人民医院迁建项目</w:t>
      </w:r>
      <w:r>
        <w:rPr>
          <w:rFonts w:hint="eastAsia" w:asciiTheme="minorEastAsia" w:hAnsiTheme="minorEastAsia" w:eastAsiaTheme="minorEastAsia" w:cstheme="minorEastAsia"/>
          <w:sz w:val="24"/>
          <w:szCs w:val="24"/>
          <w:highlight w:val="none"/>
        </w:rPr>
        <w:t>工地指定地点。</w:t>
      </w:r>
    </w:p>
    <w:p w14:paraId="0706E9C3">
      <w:pPr>
        <w:pStyle w:val="24"/>
        <w:pageBreakBefore w:val="0"/>
        <w:kinsoku/>
        <w:overflowPunct/>
        <w:autoSpaceDE/>
        <w:autoSpaceDN/>
        <w:bidi w:val="0"/>
        <w:adjustRightInd/>
        <w:snapToGrid/>
        <w:spacing w:after="0" w:line="360" w:lineRule="auto"/>
        <w:ind w:left="0" w:leftChars="0" w:right="78" w:rightChars="37" w:firstLine="443" w:firstLineChars="175"/>
        <w:rPr>
          <w:rFonts w:hint="eastAsia" w:ascii="宋体" w:hAnsi="宋体" w:eastAsia="宋体" w:cs="宋体"/>
          <w:b/>
          <w:sz w:val="24"/>
          <w:szCs w:val="24"/>
          <w:highlight w:val="none"/>
        </w:rPr>
      </w:pPr>
      <w:r>
        <w:rPr>
          <w:rFonts w:hint="eastAsia" w:ascii="宋体" w:hAnsi="宋体" w:eastAsia="宋体" w:cs="宋体"/>
          <w:b/>
          <w:spacing w:val="6"/>
          <w:sz w:val="24"/>
          <w:szCs w:val="24"/>
          <w:highlight w:val="none"/>
          <w:lang w:eastAsia="zh-CN"/>
        </w:rPr>
        <w:t>（六）</w:t>
      </w:r>
      <w:r>
        <w:rPr>
          <w:rFonts w:hint="eastAsia" w:ascii="宋体" w:hAnsi="宋体" w:eastAsia="宋体" w:cs="宋体"/>
          <w:b/>
          <w:spacing w:val="6"/>
          <w:sz w:val="24"/>
          <w:szCs w:val="24"/>
          <w:highlight w:val="none"/>
        </w:rPr>
        <w:t>报价要求</w:t>
      </w:r>
    </w:p>
    <w:p w14:paraId="72FAC59D">
      <w:pPr>
        <w:pStyle w:val="24"/>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1、本招标的投标报价必须包括设备费、材料费、管线费</w:t>
      </w:r>
      <w:r>
        <w:rPr>
          <w:rFonts w:hint="eastAsia" w:ascii="宋体" w:hAnsi="宋体" w:eastAsia="宋体" w:cs="宋体"/>
          <w:sz w:val="24"/>
          <w:szCs w:val="24"/>
          <w:highlight w:val="none"/>
          <w:lang w:eastAsia="zh-CN"/>
        </w:rPr>
        <w:t>、涉及土建拆改及修复费用（不按图施工的土建结构整改除外）、</w:t>
      </w:r>
      <w:r>
        <w:rPr>
          <w:rFonts w:hint="eastAsia" w:ascii="宋体" w:hAnsi="宋体" w:eastAsia="宋体" w:cs="宋体"/>
          <w:sz w:val="24"/>
          <w:szCs w:val="24"/>
          <w:highlight w:val="none"/>
        </w:rPr>
        <w:t>组装就位费（</w:t>
      </w:r>
      <w:r>
        <w:rPr>
          <w:rFonts w:hint="eastAsia" w:ascii="宋体" w:hAnsi="宋体" w:eastAsia="宋体" w:cs="宋体"/>
          <w:spacing w:val="2"/>
          <w:sz w:val="24"/>
          <w:szCs w:val="24"/>
          <w:highlight w:val="none"/>
        </w:rPr>
        <w:t>指设备固定</w:t>
      </w:r>
      <w:r>
        <w:rPr>
          <w:rFonts w:hint="eastAsia" w:ascii="宋体" w:hAnsi="宋体" w:eastAsia="宋体" w:cs="宋体"/>
          <w:sz w:val="24"/>
          <w:szCs w:val="24"/>
          <w:highlight w:val="none"/>
        </w:rPr>
        <w:t>及配套管线、桥架等的铺设、连接等工作</w:t>
      </w:r>
      <w:r>
        <w:rPr>
          <w:rFonts w:hint="eastAsia" w:ascii="宋体" w:hAnsi="宋体" w:eastAsia="宋体" w:cs="宋体"/>
          <w:sz w:val="24"/>
          <w:szCs w:val="24"/>
          <w:highlight w:val="none"/>
          <w:lang w:eastAsia="zh-CN"/>
        </w:rPr>
        <w:t>（如需）</w:t>
      </w:r>
      <w:r>
        <w:rPr>
          <w:rFonts w:hint="eastAsia" w:ascii="宋体" w:hAnsi="宋体" w:eastAsia="宋体" w:cs="宋体"/>
          <w:spacing w:val="-91"/>
          <w:sz w:val="24"/>
          <w:szCs w:val="24"/>
          <w:highlight w:val="none"/>
        </w:rPr>
        <w:t>）</w:t>
      </w:r>
      <w:r>
        <w:rPr>
          <w:rFonts w:hint="eastAsia" w:ascii="宋体" w:hAnsi="宋体" w:eastAsia="宋体" w:cs="宋体"/>
          <w:sz w:val="24"/>
          <w:szCs w:val="24"/>
          <w:highlight w:val="none"/>
        </w:rPr>
        <w:t>、调试和试运行费、税金、运输装卸及运输保险费、质保期内维修</w:t>
      </w:r>
      <w:r>
        <w:rPr>
          <w:rFonts w:hint="eastAsia" w:ascii="宋体" w:hAnsi="宋体" w:eastAsia="宋体" w:cs="宋体"/>
          <w:sz w:val="24"/>
          <w:szCs w:val="24"/>
          <w:highlight w:val="none"/>
          <w:lang w:eastAsia="zh-CN"/>
        </w:rPr>
        <w:t>、保养</w:t>
      </w:r>
      <w:r>
        <w:rPr>
          <w:rFonts w:hint="eastAsia" w:ascii="宋体" w:hAnsi="宋体" w:eastAsia="宋体" w:cs="宋体"/>
          <w:sz w:val="24"/>
          <w:szCs w:val="24"/>
          <w:highlight w:val="none"/>
        </w:rPr>
        <w:t>保护费、特殊工艺费、售后服务费、培训费（含运行及维护手册编制费</w:t>
      </w:r>
      <w:r>
        <w:rPr>
          <w:rFonts w:hint="eastAsia" w:ascii="宋体" w:hAnsi="宋体" w:eastAsia="宋体" w:cs="宋体"/>
          <w:sz w:val="24"/>
          <w:szCs w:val="24"/>
          <w:highlight w:val="none"/>
          <w:lang w:eastAsia="zh-CN"/>
        </w:rPr>
        <w:t>）等完成本项目的一切费用。</w:t>
      </w:r>
      <w:r>
        <w:rPr>
          <w:rFonts w:hint="eastAsia" w:ascii="宋体" w:hAnsi="宋体" w:eastAsia="宋体" w:cs="宋体"/>
          <w:b w:val="0"/>
          <w:bCs/>
          <w:kern w:val="0"/>
          <w:sz w:val="24"/>
          <w:szCs w:val="22"/>
          <w:highlight w:val="none"/>
        </w:rPr>
        <w:t>本项目为总价包干合同，图纸及清单由投标人自行复核，工程量的准确性由投标人负责，中标后不予调整；因投标人原因漏算、少计的均由投标人自行承担；投标人报价时可根据设计图纸、技术要求、项目实际需求综合考虑报价</w:t>
      </w:r>
      <w:r>
        <w:rPr>
          <w:rFonts w:hint="eastAsia" w:ascii="宋体" w:hAnsi="宋体" w:eastAsia="宋体" w:cs="宋体"/>
          <w:b w:val="0"/>
          <w:bCs/>
          <w:kern w:val="0"/>
          <w:sz w:val="24"/>
          <w:szCs w:val="22"/>
          <w:highlight w:val="none"/>
          <w:lang w:val="en-US" w:eastAsia="zh-CN"/>
        </w:rPr>
        <w:t>。</w:t>
      </w:r>
      <w:r>
        <w:rPr>
          <w:rFonts w:hint="eastAsia" w:ascii="宋体" w:hAnsi="宋体" w:cs="宋体"/>
          <w:b w:val="0"/>
          <w:bCs/>
          <w:kern w:val="0"/>
          <w:sz w:val="24"/>
          <w:szCs w:val="22"/>
          <w:highlight w:val="none"/>
          <w:lang w:val="en-US" w:eastAsia="zh-CN"/>
        </w:rPr>
        <w:t>（甲方设计变更除外）。</w:t>
      </w:r>
      <w:r>
        <w:rPr>
          <w:rFonts w:hint="eastAsia" w:ascii="宋体" w:hAnsi="宋体" w:eastAsia="宋体" w:cs="宋体"/>
          <w:sz w:val="24"/>
          <w:szCs w:val="24"/>
          <w:highlight w:val="none"/>
        </w:rPr>
        <w:t>投标人须全面负责</w:t>
      </w:r>
      <w:r>
        <w:rPr>
          <w:rFonts w:hint="eastAsia" w:ascii="宋体" w:hAnsi="宋体" w:eastAsia="宋体" w:cs="宋体"/>
          <w:sz w:val="24"/>
          <w:szCs w:val="24"/>
          <w:highlight w:val="none"/>
          <w:lang w:eastAsia="zh-CN"/>
        </w:rPr>
        <w:t>本</w:t>
      </w:r>
      <w:r>
        <w:rPr>
          <w:rFonts w:hint="eastAsia" w:ascii="宋体" w:hAnsi="宋体" w:eastAsia="宋体" w:cs="宋体"/>
          <w:sz w:val="24"/>
          <w:szCs w:val="24"/>
          <w:highlight w:val="none"/>
        </w:rPr>
        <w:t>项目设备的技术、采购、运输、保险、交货、质保期内的备品备件供应、专用工具、安装、调试和试运行、最终验收、技术培训及相关技术服务，保证达到验收标准要求等全部责任、风险和义务。</w:t>
      </w:r>
    </w:p>
    <w:p w14:paraId="34319B37">
      <w:pPr>
        <w:pStyle w:val="24"/>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2、投标人应到工地踏勘以充分了解工地位置、情况、道路、装卸运输限制及任何其他足以影响其报价的情况，任何因忽视或误解工地情况而导致的索赔或工期延长申请将不被批准。 </w:t>
      </w:r>
    </w:p>
    <w:p w14:paraId="6EAC7DC1">
      <w:pPr>
        <w:pStyle w:val="24"/>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投标人的报价不仅应包括招标文件提供的技术条款和图纸上所标明的，还应包括任何未明确标出的，但全套系统安装后保证正常安全运行所不可缺少的配件及附件的全部费用。其中全部设备材料应说明名称、型号、数量、单价、总价、产地、厂商等。投标人按要求应列入而未列入设备材料清单的设备及材料，均认为已含在其设备材料清单中。如实际组装就位中主机或末端的位置有调整而引起所需组装就位材料变化，组装就位材料费用及组装就位费不作调整，投标人应自行估算相关风险。设备系统调试时若未正式通电，调试时电缆及电箱等由投标单位自行解决。 </w:t>
      </w:r>
    </w:p>
    <w:p w14:paraId="172141A2">
      <w:pPr>
        <w:pStyle w:val="24"/>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4、允许投标人在满足招标文件提出的技术要求的前提下，在投标价格不增加且能扩大使用功能的前提下，可提出合理化建议，做出其优越性、先进性等详细说明。 </w:t>
      </w:r>
    </w:p>
    <w:p w14:paraId="5749A1BF">
      <w:pPr>
        <w:spacing w:line="360" w:lineRule="auto"/>
        <w:ind w:firstLine="482" w:firstLineChars="200"/>
        <w:jc w:val="left"/>
        <w:rPr>
          <w:rFonts w:hint="eastAsia" w:ascii="宋体" w:hAnsi="宋体" w:eastAsia="宋体" w:cs="宋体"/>
          <w:b w:val="0"/>
          <w:bCs/>
          <w:sz w:val="24"/>
          <w:highlight w:val="none"/>
        </w:rPr>
      </w:pPr>
      <w:r>
        <w:rPr>
          <w:rFonts w:hint="eastAsia" w:ascii="宋体" w:hAnsi="宋体" w:cs="宋体"/>
          <w:b/>
          <w:bCs w:val="0"/>
          <w:kern w:val="0"/>
          <w:sz w:val="24"/>
          <w:highlight w:val="none"/>
          <w:lang w:val="en-US" w:eastAsia="zh-CN"/>
        </w:rPr>
        <w:t>（七）</w:t>
      </w:r>
      <w:r>
        <w:rPr>
          <w:rFonts w:hint="eastAsia" w:ascii="宋体" w:hAnsi="宋体" w:eastAsia="宋体" w:cs="宋体"/>
          <w:b/>
          <w:bCs w:val="0"/>
          <w:kern w:val="0"/>
          <w:sz w:val="24"/>
          <w:highlight w:val="none"/>
          <w:lang w:val="en-US" w:eastAsia="zh-CN"/>
        </w:rPr>
        <w:t>履约保证金：</w:t>
      </w:r>
      <w:r>
        <w:rPr>
          <w:rFonts w:hint="eastAsia" w:ascii="宋体" w:hAnsi="宋体" w:eastAsia="宋体" w:cs="宋体"/>
          <w:b w:val="0"/>
          <w:bCs/>
          <w:sz w:val="24"/>
          <w:highlight w:val="none"/>
        </w:rPr>
        <w:t>签订合同时中标人应向采购人缴纳合同金额的0.1%</w:t>
      </w:r>
      <w:r>
        <w:rPr>
          <w:rFonts w:hint="eastAsia" w:ascii="宋体" w:hAnsi="宋体" w:cs="宋体"/>
          <w:b w:val="0"/>
          <w:bCs/>
          <w:sz w:val="24"/>
          <w:highlight w:val="none"/>
          <w:lang w:eastAsia="zh-CN"/>
        </w:rPr>
        <w:t>人民币</w:t>
      </w:r>
      <w:r>
        <w:rPr>
          <w:rFonts w:hint="eastAsia" w:ascii="宋体" w:hAnsi="宋体" w:eastAsia="宋体" w:cs="宋体"/>
          <w:b w:val="0"/>
          <w:bCs/>
          <w:sz w:val="24"/>
          <w:highlight w:val="none"/>
        </w:rPr>
        <w:t>作为履约保证金</w:t>
      </w:r>
      <w:r>
        <w:rPr>
          <w:rFonts w:hint="eastAsia" w:ascii="宋体" w:hAnsi="宋体" w:eastAsia="宋体" w:cs="宋体"/>
          <w:b w:val="0"/>
          <w:bCs/>
          <w:sz w:val="24"/>
          <w:highlight w:val="none"/>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eastAsia="宋体" w:cs="宋体"/>
          <w:b w:val="0"/>
          <w:bCs/>
          <w:sz w:val="24"/>
          <w:highlight w:val="none"/>
          <w:lang w:val="en-US" w:eastAsia="zh-CN"/>
        </w:rPr>
        <w:t>履约保证金可以以保函形式提交。</w:t>
      </w:r>
    </w:p>
    <w:p w14:paraId="67E5DFE9">
      <w:pPr>
        <w:spacing w:line="360" w:lineRule="auto"/>
        <w:ind w:firstLine="482" w:firstLineChars="200"/>
        <w:jc w:val="left"/>
        <w:rPr>
          <w:rFonts w:hint="eastAsia" w:ascii="宋体" w:hAnsi="宋体" w:eastAsia="宋体" w:cs="宋体"/>
          <w:b/>
          <w:bCs w:val="0"/>
          <w:kern w:val="0"/>
          <w:sz w:val="24"/>
          <w:highlight w:val="none"/>
          <w:lang w:val="en-US" w:eastAsia="zh-CN"/>
        </w:rPr>
      </w:pPr>
      <w:r>
        <w:rPr>
          <w:rFonts w:hint="eastAsia" w:ascii="宋体" w:hAnsi="宋体" w:eastAsia="宋体" w:cs="宋体"/>
          <w:b/>
          <w:bCs w:val="0"/>
          <w:kern w:val="0"/>
          <w:sz w:val="24"/>
          <w:highlight w:val="none"/>
          <w:lang w:val="en-US" w:eastAsia="zh-CN"/>
        </w:rPr>
        <w:t>（八）付款方式</w:t>
      </w:r>
    </w:p>
    <w:p w14:paraId="255D165F">
      <w:pPr>
        <w:spacing w:line="360" w:lineRule="auto"/>
        <w:ind w:firstLine="480" w:firstLineChars="200"/>
        <w:jc w:val="left"/>
        <w:rPr>
          <w:rFonts w:hint="eastAsia" w:ascii="宋体" w:hAnsi="宋体" w:eastAsia="宋体" w:cs="宋体"/>
          <w:b w:val="0"/>
          <w:bCs/>
          <w:kern w:val="0"/>
          <w:sz w:val="24"/>
          <w:highlight w:val="none"/>
          <w:lang w:val="en-US" w:eastAsia="zh-CN"/>
        </w:rPr>
      </w:pPr>
      <w:r>
        <w:rPr>
          <w:rFonts w:hint="eastAsia" w:ascii="宋体" w:hAnsi="宋体" w:eastAsia="宋体" w:cs="宋体"/>
          <w:b w:val="0"/>
          <w:bCs/>
          <w:kern w:val="0"/>
          <w:sz w:val="24"/>
          <w:highlight w:val="none"/>
          <w:lang w:val="en-US" w:eastAsia="zh-CN"/>
        </w:rPr>
        <w:t>（1）合同签订后7个工作日内预付合同价的60%（注：中标人向采购人提交银行、保险公司等金融机构出具的预付款保函或其他担保措施）；</w:t>
      </w:r>
    </w:p>
    <w:p w14:paraId="6A8DB331">
      <w:pPr>
        <w:spacing w:line="360" w:lineRule="auto"/>
        <w:ind w:firstLine="480" w:firstLineChars="200"/>
        <w:jc w:val="left"/>
        <w:rPr>
          <w:rFonts w:hint="eastAsia" w:ascii="宋体" w:hAnsi="宋体" w:eastAsia="宋体" w:cs="宋体"/>
          <w:b w:val="0"/>
          <w:bCs/>
          <w:kern w:val="0"/>
          <w:sz w:val="24"/>
          <w:highlight w:val="none"/>
          <w:lang w:val="en-US" w:eastAsia="zh-CN"/>
        </w:rPr>
      </w:pPr>
      <w:r>
        <w:rPr>
          <w:rFonts w:hint="eastAsia" w:ascii="宋体" w:hAnsi="宋体" w:eastAsia="宋体" w:cs="宋体"/>
          <w:b w:val="0"/>
          <w:bCs/>
          <w:kern w:val="0"/>
          <w:sz w:val="24"/>
          <w:highlight w:val="none"/>
          <w:lang w:val="en-US" w:eastAsia="zh-CN"/>
        </w:rPr>
        <w:t>（2）</w:t>
      </w:r>
      <w:r>
        <w:rPr>
          <w:rFonts w:hint="eastAsia" w:ascii="宋体" w:hAnsi="宋体" w:cs="宋体"/>
          <w:b w:val="0"/>
          <w:bCs/>
          <w:kern w:val="0"/>
          <w:sz w:val="24"/>
          <w:highlight w:val="none"/>
          <w:lang w:val="en-US" w:eastAsia="zh-CN"/>
        </w:rPr>
        <w:t>所有货物到场开箱验收后支付至合同价的75%</w:t>
      </w:r>
      <w:r>
        <w:rPr>
          <w:rFonts w:hint="eastAsia" w:ascii="宋体" w:hAnsi="宋体" w:eastAsia="宋体" w:cs="宋体"/>
          <w:b w:val="0"/>
          <w:bCs/>
          <w:kern w:val="0"/>
          <w:sz w:val="24"/>
          <w:highlight w:val="none"/>
          <w:lang w:val="en-US" w:eastAsia="zh-CN"/>
        </w:rPr>
        <w:t>；</w:t>
      </w:r>
    </w:p>
    <w:p w14:paraId="27AABE60">
      <w:pPr>
        <w:spacing w:line="360" w:lineRule="auto"/>
        <w:ind w:firstLine="480" w:firstLineChars="200"/>
        <w:jc w:val="left"/>
        <w:rPr>
          <w:rFonts w:hint="eastAsia" w:ascii="宋体" w:hAnsi="宋体" w:eastAsia="宋体" w:cs="宋体"/>
          <w:b w:val="0"/>
          <w:bCs/>
          <w:kern w:val="0"/>
          <w:sz w:val="24"/>
          <w:highlight w:val="none"/>
          <w:lang w:val="en-US" w:eastAsia="zh-CN"/>
        </w:rPr>
      </w:pPr>
      <w:r>
        <w:rPr>
          <w:rFonts w:hint="eastAsia" w:ascii="宋体" w:hAnsi="宋体" w:eastAsia="宋体" w:cs="宋体"/>
          <w:b w:val="0"/>
          <w:bCs/>
          <w:kern w:val="0"/>
          <w:sz w:val="24"/>
          <w:highlight w:val="none"/>
          <w:lang w:val="en-US" w:eastAsia="zh-CN"/>
        </w:rPr>
        <w:t>（3）</w:t>
      </w:r>
      <w:r>
        <w:rPr>
          <w:rFonts w:hint="eastAsia" w:ascii="宋体" w:hAnsi="宋体" w:cs="宋体"/>
          <w:b w:val="0"/>
          <w:bCs/>
          <w:kern w:val="0"/>
          <w:sz w:val="24"/>
          <w:highlight w:val="none"/>
          <w:lang w:val="en-US" w:eastAsia="zh-CN"/>
        </w:rPr>
        <w:t>所有货物安装调试完成并经最终验收合格后支付至合同价的90%</w:t>
      </w:r>
      <w:r>
        <w:rPr>
          <w:rFonts w:hint="eastAsia" w:ascii="宋体" w:hAnsi="宋体" w:eastAsia="宋体" w:cs="宋体"/>
          <w:b w:val="0"/>
          <w:bCs/>
          <w:kern w:val="0"/>
          <w:sz w:val="24"/>
          <w:highlight w:val="none"/>
          <w:lang w:val="en-US" w:eastAsia="zh-CN"/>
        </w:rPr>
        <w:t>；</w:t>
      </w:r>
    </w:p>
    <w:p w14:paraId="6145A0F9">
      <w:pPr>
        <w:spacing w:line="360" w:lineRule="auto"/>
        <w:ind w:firstLine="480" w:firstLineChars="200"/>
        <w:jc w:val="left"/>
        <w:rPr>
          <w:rFonts w:ascii="宋体" w:hAnsi="宋体" w:cs="宋体"/>
          <w:b/>
          <w:sz w:val="36"/>
          <w:szCs w:val="36"/>
        </w:rPr>
      </w:pPr>
      <w:r>
        <w:rPr>
          <w:rFonts w:hint="eastAsia" w:ascii="宋体" w:hAnsi="宋体" w:eastAsia="宋体" w:cs="宋体"/>
          <w:b w:val="0"/>
          <w:bCs/>
          <w:kern w:val="0"/>
          <w:sz w:val="24"/>
          <w:highlight w:val="none"/>
          <w:lang w:val="en-US" w:eastAsia="zh-CN"/>
        </w:rPr>
        <w:t>（4）</w:t>
      </w:r>
      <w:r>
        <w:rPr>
          <w:rFonts w:hint="eastAsia" w:ascii="宋体" w:hAnsi="宋体" w:cs="宋体"/>
          <w:b w:val="0"/>
          <w:bCs/>
          <w:kern w:val="0"/>
          <w:sz w:val="24"/>
          <w:highlight w:val="none"/>
          <w:lang w:val="en-US" w:eastAsia="zh-CN"/>
        </w:rPr>
        <w:t>本项目</w:t>
      </w:r>
      <w:r>
        <w:rPr>
          <w:rFonts w:hint="eastAsia" w:ascii="宋体" w:hAnsi="宋体" w:eastAsia="宋体" w:cs="宋体"/>
          <w:b w:val="0"/>
          <w:bCs/>
          <w:kern w:val="0"/>
          <w:sz w:val="24"/>
          <w:highlight w:val="none"/>
          <w:lang w:val="en-US" w:eastAsia="zh-CN"/>
        </w:rPr>
        <w:t>结算审计并经审定后30日内支付至结算造价的98.5%，其余1.5%留作质量保修金。质保期一半时间满后支付质量保修金50%，质保期满后付清剩余质量保修金（质保金不计息）。</w:t>
      </w:r>
      <w:r>
        <w:rPr>
          <w:rFonts w:hint="eastAsia" w:ascii="宋体" w:hAnsi="宋体" w:eastAsia="宋体" w:cs="宋体"/>
          <w:b/>
          <w:bCs w:val="0"/>
          <w:kern w:val="0"/>
          <w:sz w:val="24"/>
          <w:lang w:val="en-US" w:eastAsia="zh-CN"/>
        </w:rPr>
        <w:br w:type="page"/>
      </w:r>
      <w:r>
        <w:rPr>
          <w:rFonts w:hint="eastAsia" w:ascii="宋体" w:hAnsi="宋体" w:cs="宋体"/>
          <w:b/>
          <w:sz w:val="24"/>
          <w:lang w:val="en-US" w:eastAsia="zh-CN"/>
        </w:rPr>
        <w:t xml:space="preserve">                   </w:t>
      </w:r>
      <w:r>
        <w:rPr>
          <w:rFonts w:hint="eastAsia" w:ascii="宋体" w:hAnsi="宋体" w:cs="宋体"/>
          <w:b/>
          <w:sz w:val="36"/>
          <w:szCs w:val="36"/>
        </w:rPr>
        <w:t xml:space="preserve">第四部分   </w:t>
      </w:r>
      <w:bookmarkStart w:id="37" w:name="_Toc184310322"/>
      <w:bookmarkEnd w:id="37"/>
      <w:bookmarkStart w:id="38" w:name="_Toc184310326"/>
      <w:bookmarkEnd w:id="38"/>
      <w:bookmarkStart w:id="39" w:name="_Toc184313287"/>
      <w:bookmarkEnd w:id="39"/>
      <w:bookmarkStart w:id="40" w:name="_Toc184310307"/>
      <w:bookmarkEnd w:id="40"/>
      <w:bookmarkStart w:id="41" w:name="_Toc184310293"/>
      <w:bookmarkEnd w:id="41"/>
      <w:bookmarkStart w:id="42" w:name="_Toc184313294"/>
      <w:bookmarkEnd w:id="42"/>
      <w:bookmarkStart w:id="43" w:name="_Toc184312139"/>
      <w:bookmarkEnd w:id="43"/>
      <w:bookmarkStart w:id="44" w:name="_Toc184312102"/>
      <w:bookmarkEnd w:id="44"/>
      <w:bookmarkStart w:id="45" w:name="_Toc184310301"/>
      <w:bookmarkEnd w:id="45"/>
      <w:bookmarkStart w:id="46" w:name="_Toc184313285"/>
      <w:bookmarkEnd w:id="46"/>
      <w:bookmarkStart w:id="47" w:name="_Toc184313306"/>
      <w:bookmarkEnd w:id="47"/>
      <w:bookmarkStart w:id="48" w:name="_Toc184310305"/>
      <w:bookmarkEnd w:id="48"/>
      <w:bookmarkStart w:id="49" w:name="_Toc184310273"/>
      <w:bookmarkEnd w:id="49"/>
      <w:bookmarkStart w:id="50" w:name="_Toc184313266"/>
      <w:bookmarkEnd w:id="50"/>
      <w:bookmarkStart w:id="51" w:name="_Toc184314441"/>
      <w:bookmarkEnd w:id="51"/>
      <w:bookmarkStart w:id="52" w:name="_Toc184312133"/>
      <w:bookmarkEnd w:id="52"/>
      <w:bookmarkStart w:id="53" w:name="_Toc184313267"/>
      <w:bookmarkEnd w:id="53"/>
      <w:bookmarkStart w:id="54" w:name="_Toc184313262"/>
      <w:bookmarkEnd w:id="54"/>
      <w:bookmarkStart w:id="55" w:name="_Toc184314460"/>
      <w:bookmarkEnd w:id="55"/>
      <w:bookmarkStart w:id="56" w:name="_Toc184313249"/>
      <w:bookmarkEnd w:id="56"/>
      <w:bookmarkStart w:id="57" w:name="_Toc184308061"/>
      <w:bookmarkEnd w:id="57"/>
      <w:bookmarkStart w:id="58" w:name="_Toc184313252"/>
      <w:bookmarkEnd w:id="58"/>
      <w:bookmarkStart w:id="59" w:name="_Toc184308051"/>
      <w:bookmarkEnd w:id="59"/>
      <w:bookmarkStart w:id="60" w:name="_Toc184312071"/>
      <w:bookmarkEnd w:id="60"/>
      <w:bookmarkStart w:id="61" w:name="_Toc184308073"/>
      <w:bookmarkEnd w:id="61"/>
      <w:bookmarkStart w:id="62" w:name="_Toc184310297"/>
      <w:bookmarkEnd w:id="62"/>
      <w:bookmarkStart w:id="63" w:name="_Toc184312138"/>
      <w:bookmarkEnd w:id="63"/>
      <w:bookmarkStart w:id="64" w:name="_Toc184313283"/>
      <w:bookmarkEnd w:id="64"/>
      <w:bookmarkStart w:id="65" w:name="_Toc184312125"/>
      <w:bookmarkEnd w:id="65"/>
      <w:bookmarkStart w:id="66" w:name="_Toc184310290"/>
      <w:bookmarkEnd w:id="66"/>
      <w:bookmarkStart w:id="67" w:name="_Toc184312129"/>
      <w:bookmarkEnd w:id="67"/>
      <w:bookmarkStart w:id="68" w:name="_Toc184313263"/>
      <w:bookmarkEnd w:id="68"/>
      <w:bookmarkStart w:id="69" w:name="_Toc184314462"/>
      <w:bookmarkEnd w:id="69"/>
      <w:bookmarkStart w:id="70" w:name="_Toc184312087"/>
      <w:bookmarkEnd w:id="70"/>
      <w:bookmarkStart w:id="71" w:name="_Toc184308091"/>
      <w:bookmarkEnd w:id="71"/>
      <w:bookmarkStart w:id="72" w:name="_Toc184313239"/>
      <w:bookmarkEnd w:id="72"/>
      <w:bookmarkStart w:id="73" w:name="_Toc184308060"/>
      <w:bookmarkEnd w:id="73"/>
      <w:bookmarkStart w:id="74" w:name="_Toc184314439"/>
      <w:bookmarkEnd w:id="74"/>
      <w:bookmarkStart w:id="75" w:name="_Toc184310314"/>
      <w:bookmarkEnd w:id="75"/>
      <w:bookmarkStart w:id="76" w:name="_Toc184308047"/>
      <w:bookmarkEnd w:id="76"/>
      <w:bookmarkStart w:id="77" w:name="_Toc184312122"/>
      <w:bookmarkEnd w:id="77"/>
      <w:bookmarkStart w:id="78" w:name="_Toc184308098"/>
      <w:bookmarkEnd w:id="78"/>
      <w:bookmarkStart w:id="79" w:name="_Toc184312092"/>
      <w:bookmarkEnd w:id="79"/>
      <w:bookmarkStart w:id="80" w:name="_Toc184313305"/>
      <w:bookmarkEnd w:id="80"/>
      <w:bookmarkStart w:id="81" w:name="_Toc184313300"/>
      <w:bookmarkEnd w:id="81"/>
      <w:bookmarkStart w:id="82" w:name="_Toc184308102"/>
      <w:bookmarkEnd w:id="82"/>
      <w:bookmarkStart w:id="83" w:name="_Toc184312112"/>
      <w:bookmarkEnd w:id="83"/>
      <w:bookmarkStart w:id="84" w:name="_Toc184308057"/>
      <w:bookmarkEnd w:id="84"/>
      <w:bookmarkStart w:id="85" w:name="_Toc184313290"/>
      <w:bookmarkEnd w:id="85"/>
      <w:bookmarkStart w:id="86" w:name="_Toc184314450"/>
      <w:bookmarkEnd w:id="86"/>
      <w:bookmarkStart w:id="87" w:name="_Toc184312089"/>
      <w:bookmarkEnd w:id="87"/>
      <w:bookmarkStart w:id="88" w:name="_Toc184313296"/>
      <w:bookmarkEnd w:id="88"/>
      <w:bookmarkStart w:id="89" w:name="_Toc184312078"/>
      <w:bookmarkEnd w:id="89"/>
      <w:bookmarkStart w:id="90" w:name="_Toc184313272"/>
      <w:bookmarkEnd w:id="90"/>
      <w:bookmarkStart w:id="91" w:name="_Toc184312121"/>
      <w:bookmarkEnd w:id="91"/>
      <w:bookmarkStart w:id="92" w:name="_Toc184310332"/>
      <w:bookmarkEnd w:id="92"/>
      <w:bookmarkStart w:id="93" w:name="_Toc184310286"/>
      <w:bookmarkEnd w:id="93"/>
      <w:bookmarkStart w:id="94" w:name="_Toc184314438"/>
      <w:bookmarkEnd w:id="94"/>
      <w:bookmarkStart w:id="95" w:name="_Toc184312074"/>
      <w:bookmarkEnd w:id="95"/>
      <w:bookmarkStart w:id="96" w:name="_Toc184310281"/>
      <w:bookmarkEnd w:id="96"/>
      <w:bookmarkStart w:id="97" w:name="_Toc184312130"/>
      <w:bookmarkEnd w:id="97"/>
      <w:bookmarkStart w:id="98" w:name="_Toc184310280"/>
      <w:bookmarkEnd w:id="98"/>
      <w:bookmarkStart w:id="99" w:name="_Toc184314447"/>
      <w:bookmarkEnd w:id="99"/>
      <w:bookmarkStart w:id="100" w:name="_Toc184312117"/>
      <w:bookmarkEnd w:id="100"/>
      <w:bookmarkStart w:id="101" w:name="_Toc184312126"/>
      <w:bookmarkEnd w:id="101"/>
      <w:bookmarkStart w:id="102" w:name="_Toc184314422"/>
      <w:bookmarkEnd w:id="102"/>
      <w:bookmarkStart w:id="103" w:name="_Toc184314465"/>
      <w:bookmarkEnd w:id="103"/>
      <w:bookmarkStart w:id="104" w:name="_Toc184313245"/>
      <w:bookmarkEnd w:id="104"/>
      <w:bookmarkStart w:id="105" w:name="_Toc184313281"/>
      <w:bookmarkEnd w:id="105"/>
      <w:bookmarkStart w:id="106" w:name="_Toc184313303"/>
      <w:bookmarkEnd w:id="106"/>
      <w:bookmarkStart w:id="107" w:name="_Toc184308039"/>
      <w:bookmarkEnd w:id="107"/>
      <w:bookmarkStart w:id="108" w:name="_Toc184312098"/>
      <w:bookmarkEnd w:id="108"/>
      <w:bookmarkStart w:id="109" w:name="_Toc184313291"/>
      <w:bookmarkEnd w:id="109"/>
      <w:bookmarkStart w:id="110" w:name="_Toc184308041"/>
      <w:bookmarkEnd w:id="110"/>
      <w:bookmarkStart w:id="111" w:name="_Toc184312111"/>
      <w:bookmarkEnd w:id="111"/>
      <w:bookmarkStart w:id="112" w:name="_Toc184310272"/>
      <w:bookmarkEnd w:id="112"/>
      <w:bookmarkStart w:id="113" w:name="_Toc184310336"/>
      <w:bookmarkEnd w:id="113"/>
      <w:bookmarkStart w:id="114" w:name="_Toc184314464"/>
      <w:bookmarkEnd w:id="114"/>
      <w:bookmarkStart w:id="115" w:name="_Toc184310300"/>
      <w:bookmarkEnd w:id="115"/>
      <w:bookmarkStart w:id="116" w:name="_Toc184312104"/>
      <w:bookmarkEnd w:id="116"/>
      <w:bookmarkStart w:id="117" w:name="_Toc184310312"/>
      <w:bookmarkEnd w:id="117"/>
      <w:bookmarkStart w:id="118" w:name="_Toc184308075"/>
      <w:bookmarkEnd w:id="118"/>
      <w:bookmarkStart w:id="119" w:name="_Toc184310291"/>
      <w:bookmarkEnd w:id="119"/>
      <w:bookmarkStart w:id="120" w:name="_Toc184312103"/>
      <w:bookmarkEnd w:id="120"/>
      <w:bookmarkStart w:id="121" w:name="_Toc184314444"/>
      <w:bookmarkEnd w:id="121"/>
      <w:bookmarkStart w:id="122" w:name="_Toc184313243"/>
      <w:bookmarkEnd w:id="122"/>
      <w:bookmarkStart w:id="123" w:name="_Toc184310328"/>
      <w:bookmarkEnd w:id="123"/>
      <w:bookmarkStart w:id="124" w:name="_Toc184312108"/>
      <w:bookmarkEnd w:id="124"/>
      <w:bookmarkStart w:id="125" w:name="_Toc184314436"/>
      <w:bookmarkEnd w:id="125"/>
      <w:bookmarkStart w:id="126" w:name="_Toc184314463"/>
      <w:bookmarkEnd w:id="126"/>
      <w:bookmarkStart w:id="127" w:name="_Toc184308054"/>
      <w:bookmarkEnd w:id="127"/>
      <w:bookmarkStart w:id="128" w:name="_Toc184313280"/>
      <w:bookmarkEnd w:id="128"/>
      <w:bookmarkStart w:id="129" w:name="_Toc184314446"/>
      <w:bookmarkEnd w:id="129"/>
      <w:bookmarkStart w:id="130" w:name="_Toc184313250"/>
      <w:bookmarkEnd w:id="130"/>
      <w:bookmarkStart w:id="131" w:name="_Toc184312075"/>
      <w:bookmarkEnd w:id="131"/>
      <w:bookmarkStart w:id="132" w:name="_Toc184314423"/>
      <w:bookmarkEnd w:id="132"/>
      <w:bookmarkStart w:id="133" w:name="_Toc184308070"/>
      <w:bookmarkEnd w:id="133"/>
      <w:bookmarkStart w:id="134" w:name="_Toc184313276"/>
      <w:bookmarkEnd w:id="134"/>
      <w:bookmarkStart w:id="135" w:name="_Toc184312118"/>
      <w:bookmarkEnd w:id="135"/>
      <w:bookmarkStart w:id="136" w:name="_Toc184310284"/>
      <w:bookmarkEnd w:id="136"/>
      <w:bookmarkStart w:id="137" w:name="_Toc184314427"/>
      <w:bookmarkEnd w:id="137"/>
      <w:bookmarkStart w:id="138" w:name="_Toc184308062"/>
      <w:bookmarkEnd w:id="138"/>
      <w:bookmarkStart w:id="139" w:name="_Toc184313295"/>
      <w:bookmarkEnd w:id="139"/>
      <w:bookmarkStart w:id="140" w:name="_Toc184312113"/>
      <w:bookmarkEnd w:id="140"/>
      <w:bookmarkStart w:id="141" w:name="_Toc184313286"/>
      <w:bookmarkEnd w:id="141"/>
      <w:bookmarkStart w:id="142" w:name="_Toc184310311"/>
      <w:bookmarkEnd w:id="142"/>
      <w:bookmarkStart w:id="143" w:name="_Toc184314431"/>
      <w:bookmarkEnd w:id="143"/>
      <w:bookmarkStart w:id="144" w:name="_Toc184308096"/>
      <w:bookmarkEnd w:id="144"/>
      <w:bookmarkStart w:id="145" w:name="_Toc184312116"/>
      <w:bookmarkEnd w:id="145"/>
      <w:bookmarkStart w:id="146" w:name="_Toc184312072"/>
      <w:bookmarkEnd w:id="146"/>
      <w:bookmarkStart w:id="147" w:name="_Toc184310333"/>
      <w:bookmarkEnd w:id="147"/>
      <w:bookmarkStart w:id="148" w:name="_Toc184308083"/>
      <w:bookmarkEnd w:id="148"/>
      <w:bookmarkStart w:id="149" w:name="_Toc184313260"/>
      <w:bookmarkEnd w:id="149"/>
      <w:bookmarkStart w:id="150" w:name="_Toc184314473"/>
      <w:bookmarkEnd w:id="150"/>
      <w:bookmarkStart w:id="151" w:name="_Toc184308036"/>
      <w:bookmarkEnd w:id="151"/>
      <w:bookmarkStart w:id="152" w:name="_Toc184312096"/>
      <w:bookmarkEnd w:id="152"/>
      <w:bookmarkStart w:id="153" w:name="_Toc184308049"/>
      <w:bookmarkEnd w:id="153"/>
      <w:bookmarkStart w:id="154" w:name="_Toc184310299"/>
      <w:bookmarkEnd w:id="154"/>
      <w:bookmarkStart w:id="155" w:name="_Toc184312131"/>
      <w:bookmarkEnd w:id="155"/>
      <w:bookmarkStart w:id="156" w:name="_Toc184308084"/>
      <w:bookmarkEnd w:id="156"/>
      <w:bookmarkStart w:id="157" w:name="_Toc184314478"/>
      <w:bookmarkEnd w:id="157"/>
      <w:bookmarkStart w:id="158" w:name="_Toc184310318"/>
      <w:bookmarkEnd w:id="158"/>
      <w:bookmarkStart w:id="159" w:name="_Toc184314413"/>
      <w:bookmarkEnd w:id="159"/>
      <w:bookmarkStart w:id="160" w:name="_Toc184312070"/>
      <w:bookmarkEnd w:id="160"/>
      <w:bookmarkStart w:id="161" w:name="_Toc184310324"/>
      <w:bookmarkEnd w:id="161"/>
      <w:bookmarkStart w:id="162" w:name="_Toc184313282"/>
      <w:bookmarkEnd w:id="162"/>
      <w:bookmarkStart w:id="163" w:name="_Toc184314472"/>
      <w:bookmarkEnd w:id="163"/>
      <w:bookmarkStart w:id="164" w:name="_Toc184308068"/>
      <w:bookmarkEnd w:id="164"/>
      <w:bookmarkStart w:id="165" w:name="_Toc184310338"/>
      <w:bookmarkEnd w:id="165"/>
      <w:bookmarkStart w:id="166" w:name="_Toc184310276"/>
      <w:bookmarkEnd w:id="166"/>
      <w:bookmarkStart w:id="167" w:name="_Toc184313307"/>
      <w:bookmarkEnd w:id="167"/>
      <w:bookmarkStart w:id="168" w:name="_Toc184308079"/>
      <w:bookmarkEnd w:id="168"/>
      <w:bookmarkStart w:id="169" w:name="_Toc184312099"/>
      <w:bookmarkEnd w:id="169"/>
      <w:bookmarkStart w:id="170" w:name="_Toc184308048"/>
      <w:bookmarkEnd w:id="170"/>
      <w:bookmarkStart w:id="171" w:name="_Toc184310277"/>
      <w:bookmarkEnd w:id="171"/>
      <w:bookmarkStart w:id="172" w:name="_Toc184310335"/>
      <w:bookmarkEnd w:id="172"/>
      <w:bookmarkStart w:id="173" w:name="_Toc184314470"/>
      <w:bookmarkEnd w:id="173"/>
      <w:bookmarkStart w:id="174" w:name="_Toc184312120"/>
      <w:bookmarkEnd w:id="174"/>
      <w:bookmarkStart w:id="175" w:name="_Toc184308046"/>
      <w:bookmarkEnd w:id="175"/>
      <w:bookmarkStart w:id="176" w:name="_Toc184310302"/>
      <w:bookmarkEnd w:id="176"/>
      <w:bookmarkStart w:id="177" w:name="_Toc184312097"/>
      <w:bookmarkEnd w:id="177"/>
      <w:bookmarkStart w:id="178" w:name="_Toc184310317"/>
      <w:bookmarkEnd w:id="178"/>
      <w:bookmarkStart w:id="179" w:name="_Toc184310295"/>
      <w:bookmarkEnd w:id="179"/>
      <w:bookmarkStart w:id="180" w:name="_Toc184314443"/>
      <w:bookmarkEnd w:id="180"/>
      <w:bookmarkStart w:id="181" w:name="_Toc184314455"/>
      <w:bookmarkEnd w:id="181"/>
      <w:bookmarkStart w:id="182" w:name="_Toc184314480"/>
      <w:bookmarkEnd w:id="182"/>
      <w:bookmarkStart w:id="183" w:name="_Toc184310275"/>
      <w:bookmarkEnd w:id="183"/>
      <w:bookmarkStart w:id="184" w:name="_Toc184313298"/>
      <w:bookmarkEnd w:id="184"/>
      <w:bookmarkStart w:id="185" w:name="_Toc184310321"/>
      <w:bookmarkEnd w:id="185"/>
      <w:bookmarkStart w:id="186" w:name="_Toc184310316"/>
      <w:bookmarkEnd w:id="186"/>
      <w:bookmarkStart w:id="187" w:name="_Toc184312091"/>
      <w:bookmarkEnd w:id="187"/>
      <w:bookmarkStart w:id="188" w:name="_Toc184308044"/>
      <w:bookmarkEnd w:id="188"/>
      <w:bookmarkStart w:id="189" w:name="_Toc184308100"/>
      <w:bookmarkEnd w:id="189"/>
      <w:bookmarkStart w:id="190" w:name="_Toc184314459"/>
      <w:bookmarkEnd w:id="190"/>
      <w:bookmarkStart w:id="191" w:name="_Toc184313241"/>
      <w:bookmarkEnd w:id="191"/>
      <w:bookmarkStart w:id="192" w:name="_Toc184310330"/>
      <w:bookmarkEnd w:id="192"/>
      <w:bookmarkStart w:id="193" w:name="_Toc184312114"/>
      <w:bookmarkEnd w:id="193"/>
      <w:bookmarkStart w:id="194" w:name="_Toc184308045"/>
      <w:bookmarkEnd w:id="194"/>
      <w:bookmarkStart w:id="195" w:name="_Toc184312084"/>
      <w:bookmarkEnd w:id="195"/>
      <w:bookmarkStart w:id="196" w:name="_Toc184313238"/>
      <w:bookmarkEnd w:id="196"/>
      <w:bookmarkStart w:id="197" w:name="_Toc184314467"/>
      <w:bookmarkEnd w:id="197"/>
      <w:bookmarkStart w:id="198" w:name="_Toc184312128"/>
      <w:bookmarkEnd w:id="198"/>
      <w:bookmarkStart w:id="199" w:name="_Toc184313269"/>
      <w:bookmarkEnd w:id="199"/>
      <w:bookmarkStart w:id="200" w:name="_Toc184314417"/>
      <w:bookmarkEnd w:id="200"/>
      <w:bookmarkStart w:id="201" w:name="_Toc184310319"/>
      <w:bookmarkEnd w:id="201"/>
      <w:bookmarkStart w:id="202" w:name="_Toc184313273"/>
      <w:bookmarkEnd w:id="202"/>
      <w:bookmarkStart w:id="203" w:name="_Toc184312088"/>
      <w:bookmarkEnd w:id="203"/>
      <w:bookmarkStart w:id="204" w:name="_Toc184308103"/>
      <w:bookmarkEnd w:id="204"/>
      <w:bookmarkStart w:id="205" w:name="_Toc184308086"/>
      <w:bookmarkEnd w:id="205"/>
      <w:bookmarkStart w:id="206" w:name="_Toc184314452"/>
      <w:bookmarkEnd w:id="206"/>
      <w:bookmarkStart w:id="207" w:name="_Toc184308063"/>
      <w:bookmarkEnd w:id="207"/>
      <w:bookmarkStart w:id="208" w:name="_Toc184308087"/>
      <w:bookmarkEnd w:id="208"/>
      <w:bookmarkStart w:id="209" w:name="_Toc184308089"/>
      <w:bookmarkEnd w:id="209"/>
      <w:bookmarkStart w:id="210" w:name="_Toc184312105"/>
      <w:bookmarkEnd w:id="210"/>
      <w:bookmarkStart w:id="211" w:name="_Toc184313261"/>
      <w:bookmarkEnd w:id="211"/>
      <w:bookmarkStart w:id="212" w:name="_Toc184310279"/>
      <w:bookmarkEnd w:id="212"/>
      <w:bookmarkStart w:id="213" w:name="_Toc184314429"/>
      <w:bookmarkEnd w:id="213"/>
      <w:bookmarkStart w:id="214" w:name="_Toc184308090"/>
      <w:bookmarkEnd w:id="214"/>
      <w:bookmarkStart w:id="215" w:name="_Toc184314482"/>
      <w:bookmarkEnd w:id="215"/>
      <w:bookmarkStart w:id="216" w:name="_Toc184314466"/>
      <w:bookmarkEnd w:id="216"/>
      <w:bookmarkStart w:id="217" w:name="_Toc184313242"/>
      <w:bookmarkEnd w:id="217"/>
      <w:bookmarkStart w:id="218" w:name="_Toc184308065"/>
      <w:bookmarkEnd w:id="218"/>
      <w:bookmarkStart w:id="219" w:name="_Toc184314435"/>
      <w:bookmarkEnd w:id="219"/>
      <w:bookmarkStart w:id="220" w:name="_Toc184310323"/>
      <w:bookmarkEnd w:id="220"/>
      <w:bookmarkStart w:id="221" w:name="_Toc184312094"/>
      <w:bookmarkEnd w:id="221"/>
      <w:bookmarkStart w:id="222" w:name="_Toc184312137"/>
      <w:bookmarkEnd w:id="222"/>
      <w:bookmarkStart w:id="223" w:name="_Toc184310294"/>
      <w:bookmarkEnd w:id="223"/>
      <w:bookmarkStart w:id="224" w:name="_Toc184312068"/>
      <w:bookmarkEnd w:id="224"/>
      <w:bookmarkStart w:id="225" w:name="_Toc184314477"/>
      <w:bookmarkEnd w:id="225"/>
      <w:bookmarkStart w:id="226" w:name="_Toc184314410"/>
      <w:bookmarkEnd w:id="226"/>
      <w:bookmarkStart w:id="227" w:name="_Toc184313264"/>
      <w:bookmarkEnd w:id="227"/>
      <w:bookmarkStart w:id="228" w:name="_Toc184308093"/>
      <w:bookmarkEnd w:id="228"/>
      <w:bookmarkStart w:id="229" w:name="_Toc184308056"/>
      <w:bookmarkEnd w:id="229"/>
      <w:bookmarkStart w:id="230" w:name="_Toc184313297"/>
      <w:bookmarkEnd w:id="230"/>
      <w:bookmarkStart w:id="231" w:name="_Toc184310287"/>
      <w:bookmarkEnd w:id="231"/>
      <w:bookmarkStart w:id="232" w:name="_Toc184310320"/>
      <w:bookmarkEnd w:id="232"/>
      <w:bookmarkStart w:id="233" w:name="_Toc184308088"/>
      <w:bookmarkEnd w:id="233"/>
      <w:bookmarkStart w:id="234" w:name="_Toc184313271"/>
      <w:bookmarkEnd w:id="234"/>
      <w:bookmarkStart w:id="235" w:name="_Toc184312095"/>
      <w:bookmarkEnd w:id="235"/>
      <w:bookmarkStart w:id="236" w:name="_Toc184314433"/>
      <w:bookmarkEnd w:id="236"/>
      <w:bookmarkStart w:id="237" w:name="_Toc184310274"/>
      <w:bookmarkEnd w:id="237"/>
      <w:bookmarkStart w:id="238" w:name="_Toc184312100"/>
      <w:bookmarkEnd w:id="238"/>
      <w:bookmarkStart w:id="239" w:name="_Toc184313255"/>
      <w:bookmarkEnd w:id="239"/>
      <w:bookmarkStart w:id="240" w:name="_Toc184308105"/>
      <w:bookmarkEnd w:id="240"/>
      <w:bookmarkStart w:id="241" w:name="_Toc184313268"/>
      <w:bookmarkEnd w:id="241"/>
      <w:bookmarkStart w:id="242" w:name="_Toc184310341"/>
      <w:bookmarkEnd w:id="242"/>
      <w:bookmarkStart w:id="243" w:name="_Toc184313247"/>
      <w:bookmarkEnd w:id="243"/>
      <w:bookmarkStart w:id="244" w:name="_Toc184312134"/>
      <w:bookmarkEnd w:id="244"/>
      <w:bookmarkStart w:id="245" w:name="_Toc184314479"/>
      <w:bookmarkEnd w:id="245"/>
      <w:bookmarkStart w:id="246" w:name="_Toc184314424"/>
      <w:bookmarkEnd w:id="246"/>
      <w:bookmarkStart w:id="247" w:name="_Toc184314453"/>
      <w:bookmarkEnd w:id="247"/>
      <w:bookmarkStart w:id="248" w:name="_Toc184310327"/>
      <w:bookmarkEnd w:id="248"/>
      <w:bookmarkStart w:id="249" w:name="_Toc184308078"/>
      <w:bookmarkEnd w:id="249"/>
      <w:bookmarkStart w:id="250" w:name="_Toc184313240"/>
      <w:bookmarkEnd w:id="250"/>
      <w:bookmarkStart w:id="251" w:name="_Toc184314475"/>
      <w:bookmarkEnd w:id="251"/>
      <w:bookmarkStart w:id="252" w:name="_Toc184314471"/>
      <w:bookmarkEnd w:id="252"/>
      <w:bookmarkStart w:id="253" w:name="_Toc184310343"/>
      <w:bookmarkEnd w:id="253"/>
      <w:bookmarkStart w:id="254" w:name="_Toc184308064"/>
      <w:bookmarkEnd w:id="254"/>
      <w:bookmarkStart w:id="255" w:name="_Toc184308052"/>
      <w:bookmarkEnd w:id="255"/>
      <w:bookmarkStart w:id="256" w:name="_Toc184308066"/>
      <w:bookmarkEnd w:id="256"/>
      <w:bookmarkStart w:id="257" w:name="_Toc184308038"/>
      <w:bookmarkEnd w:id="257"/>
      <w:bookmarkStart w:id="258" w:name="_Toc184314448"/>
      <w:bookmarkEnd w:id="258"/>
      <w:bookmarkStart w:id="259" w:name="_Toc184313270"/>
      <w:bookmarkEnd w:id="259"/>
      <w:bookmarkStart w:id="260" w:name="_Toc184312082"/>
      <w:bookmarkEnd w:id="260"/>
      <w:bookmarkStart w:id="261" w:name="_Toc184314419"/>
      <w:bookmarkEnd w:id="261"/>
      <w:bookmarkStart w:id="262" w:name="_Toc184313254"/>
      <w:bookmarkEnd w:id="262"/>
      <w:bookmarkStart w:id="263" w:name="_Toc184314430"/>
      <w:bookmarkEnd w:id="263"/>
      <w:bookmarkStart w:id="264" w:name="_Toc184312119"/>
      <w:bookmarkEnd w:id="264"/>
      <w:bookmarkStart w:id="265" w:name="_Toc184310303"/>
      <w:bookmarkEnd w:id="265"/>
      <w:bookmarkStart w:id="266" w:name="_Toc184308082"/>
      <w:bookmarkEnd w:id="266"/>
      <w:bookmarkStart w:id="267" w:name="_Toc184312086"/>
      <w:bookmarkEnd w:id="267"/>
      <w:bookmarkStart w:id="268" w:name="_Toc184314440"/>
      <w:bookmarkEnd w:id="268"/>
      <w:bookmarkStart w:id="269" w:name="_Toc184312083"/>
      <w:bookmarkEnd w:id="269"/>
      <w:bookmarkStart w:id="270" w:name="_Toc184313244"/>
      <w:bookmarkEnd w:id="270"/>
      <w:bookmarkStart w:id="271" w:name="_Toc184313310"/>
      <w:bookmarkEnd w:id="271"/>
      <w:bookmarkStart w:id="272" w:name="_Toc184312106"/>
      <w:bookmarkEnd w:id="272"/>
      <w:bookmarkStart w:id="273" w:name="_Toc184308059"/>
      <w:bookmarkEnd w:id="273"/>
      <w:bookmarkStart w:id="274" w:name="_Toc184312110"/>
      <w:bookmarkEnd w:id="274"/>
      <w:bookmarkStart w:id="275" w:name="_Toc184314457"/>
      <w:bookmarkEnd w:id="275"/>
      <w:bookmarkStart w:id="276" w:name="_Toc184308040"/>
      <w:bookmarkEnd w:id="276"/>
      <w:bookmarkStart w:id="277" w:name="_Toc184310278"/>
      <w:bookmarkEnd w:id="277"/>
      <w:bookmarkStart w:id="278" w:name="_Toc184313259"/>
      <w:bookmarkEnd w:id="278"/>
      <w:bookmarkStart w:id="279" w:name="_Toc184308085"/>
      <w:bookmarkEnd w:id="279"/>
      <w:bookmarkStart w:id="280" w:name="_Toc184312081"/>
      <w:bookmarkEnd w:id="280"/>
      <w:bookmarkStart w:id="281" w:name="_Toc184312080"/>
      <w:bookmarkEnd w:id="281"/>
      <w:bookmarkStart w:id="282" w:name="_Toc184313253"/>
      <w:bookmarkEnd w:id="282"/>
      <w:bookmarkStart w:id="283" w:name="_Toc184310283"/>
      <w:bookmarkEnd w:id="283"/>
      <w:bookmarkStart w:id="284" w:name="_Toc184312109"/>
      <w:bookmarkEnd w:id="284"/>
      <w:bookmarkStart w:id="285" w:name="_Toc184310331"/>
      <w:bookmarkEnd w:id="285"/>
      <w:bookmarkStart w:id="286" w:name="_Toc184308095"/>
      <w:bookmarkEnd w:id="286"/>
      <w:bookmarkStart w:id="287" w:name="_Toc184313288"/>
      <w:bookmarkEnd w:id="287"/>
      <w:bookmarkStart w:id="288" w:name="_Toc184310334"/>
      <w:bookmarkEnd w:id="288"/>
      <w:bookmarkStart w:id="289" w:name="_Toc184312132"/>
      <w:bookmarkEnd w:id="289"/>
      <w:bookmarkStart w:id="290" w:name="_Toc184312067"/>
      <w:bookmarkEnd w:id="290"/>
      <w:bookmarkStart w:id="291" w:name="_Toc184314420"/>
      <w:bookmarkEnd w:id="291"/>
      <w:bookmarkStart w:id="292" w:name="_Toc184310310"/>
      <w:bookmarkEnd w:id="292"/>
      <w:bookmarkStart w:id="293" w:name="_Toc184314418"/>
      <w:bookmarkEnd w:id="293"/>
      <w:bookmarkStart w:id="294" w:name="_Toc184314476"/>
      <w:bookmarkEnd w:id="294"/>
      <w:bookmarkStart w:id="295" w:name="_Toc184308058"/>
      <w:bookmarkEnd w:id="295"/>
      <w:bookmarkStart w:id="296" w:name="_Toc184308074"/>
      <w:bookmarkEnd w:id="296"/>
      <w:bookmarkStart w:id="297" w:name="_Toc184314474"/>
      <w:bookmarkEnd w:id="297"/>
      <w:bookmarkStart w:id="298" w:name="_Toc184308077"/>
      <w:bookmarkEnd w:id="298"/>
      <w:bookmarkStart w:id="299" w:name="_Toc184313309"/>
      <w:bookmarkEnd w:id="299"/>
      <w:bookmarkStart w:id="300" w:name="_Toc184308094"/>
      <w:bookmarkEnd w:id="300"/>
      <w:bookmarkStart w:id="301" w:name="_Toc184308055"/>
      <w:bookmarkEnd w:id="301"/>
      <w:bookmarkStart w:id="302" w:name="_Toc184308108"/>
      <w:bookmarkEnd w:id="302"/>
      <w:bookmarkStart w:id="303" w:name="_Toc184314442"/>
      <w:bookmarkEnd w:id="303"/>
      <w:bookmarkStart w:id="304" w:name="_Toc184308076"/>
      <w:bookmarkEnd w:id="304"/>
      <w:bookmarkStart w:id="305" w:name="_Toc184310289"/>
      <w:bookmarkEnd w:id="305"/>
      <w:bookmarkStart w:id="306" w:name="_Toc184310313"/>
      <w:bookmarkEnd w:id="306"/>
      <w:bookmarkStart w:id="307" w:name="_Toc184314449"/>
      <w:bookmarkEnd w:id="307"/>
      <w:bookmarkStart w:id="308" w:name="_Toc184314456"/>
      <w:bookmarkEnd w:id="308"/>
      <w:bookmarkStart w:id="309" w:name="_Toc184314428"/>
      <w:bookmarkEnd w:id="309"/>
      <w:bookmarkStart w:id="310" w:name="_Toc184312085"/>
      <w:bookmarkEnd w:id="310"/>
      <w:bookmarkStart w:id="311" w:name="_Toc184312090"/>
      <w:bookmarkEnd w:id="311"/>
      <w:bookmarkStart w:id="312" w:name="_Toc184313308"/>
      <w:bookmarkEnd w:id="312"/>
      <w:bookmarkStart w:id="313" w:name="_Toc184313293"/>
      <w:bookmarkEnd w:id="313"/>
      <w:bookmarkStart w:id="314" w:name="_Toc184308101"/>
      <w:bookmarkEnd w:id="314"/>
      <w:bookmarkStart w:id="315" w:name="_Toc184313289"/>
      <w:bookmarkEnd w:id="315"/>
      <w:bookmarkStart w:id="316" w:name="_Toc184310344"/>
      <w:bookmarkEnd w:id="316"/>
      <w:bookmarkStart w:id="317" w:name="_Toc184313299"/>
      <w:bookmarkEnd w:id="317"/>
      <w:bookmarkStart w:id="318" w:name="_Toc184308050"/>
      <w:bookmarkEnd w:id="318"/>
      <w:bookmarkStart w:id="319" w:name="_Toc184313284"/>
      <w:bookmarkEnd w:id="319"/>
      <w:bookmarkStart w:id="320" w:name="_Toc184314468"/>
      <w:bookmarkEnd w:id="320"/>
      <w:bookmarkStart w:id="321" w:name="_Toc184314426"/>
      <w:bookmarkEnd w:id="321"/>
      <w:bookmarkStart w:id="322" w:name="_Toc184314434"/>
      <w:bookmarkEnd w:id="322"/>
      <w:bookmarkStart w:id="323" w:name="_Toc184314432"/>
      <w:bookmarkEnd w:id="323"/>
      <w:bookmarkStart w:id="324" w:name="_Toc184312093"/>
      <w:bookmarkEnd w:id="324"/>
      <w:bookmarkStart w:id="325" w:name="_Toc184313292"/>
      <w:bookmarkEnd w:id="325"/>
      <w:bookmarkStart w:id="326" w:name="_Toc184308081"/>
      <w:bookmarkEnd w:id="326"/>
      <w:bookmarkStart w:id="327" w:name="_Toc184312101"/>
      <w:bookmarkEnd w:id="327"/>
      <w:bookmarkStart w:id="328" w:name="_Toc184314461"/>
      <w:bookmarkEnd w:id="328"/>
      <w:bookmarkStart w:id="329" w:name="_Toc184310309"/>
      <w:bookmarkEnd w:id="329"/>
      <w:bookmarkStart w:id="330" w:name="_Toc184310282"/>
      <w:bookmarkEnd w:id="330"/>
      <w:bookmarkStart w:id="331" w:name="_Toc184312107"/>
      <w:bookmarkEnd w:id="331"/>
      <w:bookmarkStart w:id="332" w:name="_Toc184310288"/>
      <w:bookmarkEnd w:id="332"/>
      <w:bookmarkStart w:id="333" w:name="_Toc184310304"/>
      <w:bookmarkEnd w:id="333"/>
      <w:bookmarkStart w:id="334" w:name="_Toc184310308"/>
      <w:bookmarkEnd w:id="334"/>
      <w:bookmarkStart w:id="335" w:name="_Toc184314437"/>
      <w:bookmarkEnd w:id="335"/>
      <w:bookmarkStart w:id="336" w:name="_Toc184313274"/>
      <w:bookmarkEnd w:id="336"/>
      <w:bookmarkStart w:id="337" w:name="_Toc184308106"/>
      <w:bookmarkEnd w:id="337"/>
      <w:bookmarkStart w:id="338" w:name="_Toc184314425"/>
      <w:bookmarkEnd w:id="338"/>
      <w:bookmarkStart w:id="339" w:name="_Toc184313246"/>
      <w:bookmarkEnd w:id="339"/>
      <w:bookmarkStart w:id="340" w:name="_Toc184308067"/>
      <w:bookmarkEnd w:id="340"/>
      <w:bookmarkStart w:id="341" w:name="_Toc184314421"/>
      <w:bookmarkEnd w:id="341"/>
      <w:bookmarkStart w:id="342" w:name="_Toc184312123"/>
      <w:bookmarkEnd w:id="342"/>
      <w:bookmarkStart w:id="343" w:name="_Toc184308097"/>
      <w:bookmarkEnd w:id="343"/>
      <w:bookmarkStart w:id="344" w:name="_Toc184314414"/>
      <w:bookmarkEnd w:id="344"/>
      <w:bookmarkStart w:id="345" w:name="_Toc184313279"/>
      <w:bookmarkEnd w:id="345"/>
      <w:bookmarkStart w:id="346" w:name="_Toc184308092"/>
      <w:bookmarkEnd w:id="346"/>
      <w:bookmarkStart w:id="347" w:name="_Toc184312115"/>
      <w:bookmarkEnd w:id="347"/>
      <w:bookmarkStart w:id="348" w:name="_Toc184313257"/>
      <w:bookmarkEnd w:id="348"/>
      <w:bookmarkStart w:id="349" w:name="_Toc184308104"/>
      <w:bookmarkEnd w:id="349"/>
      <w:bookmarkStart w:id="350" w:name="_Toc184312135"/>
      <w:bookmarkEnd w:id="350"/>
      <w:bookmarkStart w:id="351" w:name="_Toc184314454"/>
      <w:bookmarkEnd w:id="351"/>
      <w:bookmarkStart w:id="352" w:name="_Toc184310339"/>
      <w:bookmarkEnd w:id="352"/>
      <w:bookmarkStart w:id="353" w:name="_Toc184310285"/>
      <w:bookmarkEnd w:id="353"/>
      <w:bookmarkStart w:id="354" w:name="_Toc184308071"/>
      <w:bookmarkEnd w:id="354"/>
      <w:bookmarkStart w:id="355" w:name="_Toc184312077"/>
      <w:bookmarkEnd w:id="355"/>
      <w:bookmarkStart w:id="356" w:name="_Toc184313258"/>
      <w:bookmarkEnd w:id="356"/>
      <w:bookmarkStart w:id="357" w:name="_Toc184313278"/>
      <w:bookmarkEnd w:id="357"/>
      <w:bookmarkStart w:id="358" w:name="_Toc184308042"/>
      <w:bookmarkEnd w:id="358"/>
      <w:bookmarkStart w:id="359" w:name="_Toc184313277"/>
      <w:bookmarkEnd w:id="359"/>
      <w:bookmarkStart w:id="360" w:name="_Toc184313275"/>
      <w:bookmarkEnd w:id="360"/>
      <w:bookmarkStart w:id="361" w:name="_Toc184312136"/>
      <w:bookmarkEnd w:id="361"/>
      <w:bookmarkStart w:id="362" w:name="_Toc184308037"/>
      <w:bookmarkEnd w:id="362"/>
      <w:bookmarkStart w:id="363" w:name="_Toc184308107"/>
      <w:bookmarkEnd w:id="363"/>
      <w:bookmarkStart w:id="364" w:name="_Toc184310292"/>
      <w:bookmarkEnd w:id="364"/>
      <w:bookmarkStart w:id="365" w:name="_Toc184313265"/>
      <w:bookmarkEnd w:id="365"/>
      <w:bookmarkStart w:id="366" w:name="_Toc184313304"/>
      <w:bookmarkEnd w:id="366"/>
      <w:bookmarkStart w:id="367" w:name="_Toc184313256"/>
      <w:bookmarkEnd w:id="367"/>
      <w:bookmarkStart w:id="368" w:name="_Toc184310342"/>
      <w:bookmarkEnd w:id="368"/>
      <w:bookmarkStart w:id="369" w:name="_Toc184308072"/>
      <w:bookmarkEnd w:id="369"/>
      <w:bookmarkStart w:id="370" w:name="_Toc184312069"/>
      <w:bookmarkEnd w:id="370"/>
      <w:bookmarkStart w:id="371" w:name="_Toc184314411"/>
      <w:bookmarkEnd w:id="371"/>
      <w:bookmarkStart w:id="372" w:name="_Toc184312073"/>
      <w:bookmarkEnd w:id="372"/>
      <w:bookmarkStart w:id="373" w:name="_Toc184312079"/>
      <w:bookmarkEnd w:id="373"/>
      <w:bookmarkStart w:id="374" w:name="_Toc184310340"/>
      <w:bookmarkEnd w:id="374"/>
      <w:bookmarkStart w:id="375" w:name="_Toc184314415"/>
      <w:bookmarkEnd w:id="375"/>
      <w:bookmarkStart w:id="376" w:name="_Toc184313301"/>
      <w:bookmarkEnd w:id="376"/>
      <w:bookmarkStart w:id="377" w:name="_Toc184310337"/>
      <w:bookmarkEnd w:id="377"/>
      <w:bookmarkStart w:id="378" w:name="_Toc184314481"/>
      <w:bookmarkEnd w:id="378"/>
      <w:bookmarkStart w:id="379" w:name="_Toc184313251"/>
      <w:bookmarkEnd w:id="379"/>
      <w:bookmarkStart w:id="380" w:name="_Toc184310296"/>
      <w:bookmarkEnd w:id="380"/>
      <w:bookmarkStart w:id="381" w:name="_Toc184313248"/>
      <w:bookmarkEnd w:id="381"/>
      <w:bookmarkStart w:id="382" w:name="_Toc184310325"/>
      <w:bookmarkEnd w:id="382"/>
      <w:bookmarkStart w:id="383" w:name="_Toc184308043"/>
      <w:bookmarkEnd w:id="383"/>
      <w:bookmarkStart w:id="384" w:name="_Toc184312127"/>
      <w:bookmarkEnd w:id="384"/>
      <w:bookmarkStart w:id="385" w:name="_Toc184308053"/>
      <w:bookmarkEnd w:id="385"/>
      <w:bookmarkStart w:id="386" w:name="_Toc184312124"/>
      <w:bookmarkEnd w:id="386"/>
      <w:bookmarkStart w:id="387" w:name="_Toc184313302"/>
      <w:bookmarkEnd w:id="387"/>
      <w:bookmarkStart w:id="388" w:name="_Toc184312076"/>
      <w:bookmarkEnd w:id="388"/>
      <w:bookmarkStart w:id="389" w:name="_Toc184310298"/>
      <w:bookmarkEnd w:id="389"/>
      <w:bookmarkStart w:id="390" w:name="_Toc184314445"/>
      <w:bookmarkEnd w:id="390"/>
      <w:bookmarkStart w:id="391" w:name="_Toc184310306"/>
      <w:bookmarkEnd w:id="391"/>
      <w:bookmarkStart w:id="392" w:name="_Toc184308080"/>
      <w:bookmarkEnd w:id="392"/>
      <w:bookmarkStart w:id="393" w:name="_Toc184314412"/>
      <w:bookmarkEnd w:id="393"/>
      <w:bookmarkStart w:id="394" w:name="_Toc184310329"/>
      <w:bookmarkEnd w:id="394"/>
      <w:bookmarkStart w:id="395" w:name="_Toc184314458"/>
      <w:bookmarkEnd w:id="395"/>
      <w:bookmarkStart w:id="396" w:name="_Toc184314469"/>
      <w:bookmarkEnd w:id="396"/>
      <w:bookmarkStart w:id="397" w:name="_Toc184310315"/>
      <w:bookmarkEnd w:id="397"/>
      <w:bookmarkStart w:id="398" w:name="_Toc184314416"/>
      <w:bookmarkEnd w:id="398"/>
      <w:bookmarkStart w:id="399" w:name="_Toc184308069"/>
      <w:bookmarkEnd w:id="399"/>
      <w:bookmarkStart w:id="400" w:name="_Toc184308099"/>
      <w:bookmarkEnd w:id="400"/>
      <w:bookmarkStart w:id="401" w:name="_Toc184314451"/>
      <w:bookmarkEnd w:id="401"/>
      <w:r>
        <w:rPr>
          <w:rFonts w:hint="eastAsia" w:ascii="宋体" w:hAnsi="宋体" w:cs="宋体"/>
          <w:b/>
          <w:sz w:val="36"/>
          <w:szCs w:val="36"/>
        </w:rPr>
        <w:t>评标办法</w:t>
      </w:r>
    </w:p>
    <w:p w14:paraId="0F2DBD0F">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656"/>
        <w:gridCol w:w="645"/>
        <w:gridCol w:w="930"/>
        <w:gridCol w:w="1845"/>
      </w:tblGrid>
      <w:tr w14:paraId="4949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FA624FA">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序号</w:t>
            </w:r>
          </w:p>
        </w:tc>
        <w:tc>
          <w:tcPr>
            <w:tcW w:w="5656" w:type="dxa"/>
            <w:noWrap w:val="0"/>
            <w:vAlign w:val="center"/>
          </w:tcPr>
          <w:p w14:paraId="59E574E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评标标准</w:t>
            </w:r>
          </w:p>
        </w:tc>
        <w:tc>
          <w:tcPr>
            <w:tcW w:w="645" w:type="dxa"/>
            <w:noWrap w:val="0"/>
            <w:vAlign w:val="center"/>
          </w:tcPr>
          <w:p w14:paraId="6E703208">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分值</w:t>
            </w:r>
          </w:p>
        </w:tc>
        <w:tc>
          <w:tcPr>
            <w:tcW w:w="930" w:type="dxa"/>
            <w:noWrap w:val="0"/>
            <w:vAlign w:val="center"/>
          </w:tcPr>
          <w:p w14:paraId="5815F0C7">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主观分/客观分属性</w:t>
            </w:r>
          </w:p>
        </w:tc>
        <w:tc>
          <w:tcPr>
            <w:tcW w:w="1845" w:type="dxa"/>
            <w:noWrap w:val="0"/>
            <w:vAlign w:val="top"/>
          </w:tcPr>
          <w:p w14:paraId="003F276E">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投标文件中评标标准相应的商务技术资料目录*</w:t>
            </w:r>
          </w:p>
        </w:tc>
      </w:tr>
      <w:tr w14:paraId="727E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55BF8D6C">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5656" w:type="dxa"/>
            <w:noWrap w:val="0"/>
            <w:vAlign w:val="center"/>
          </w:tcPr>
          <w:p w14:paraId="0CB1B5E8">
            <w:pPr>
              <w:widowControl/>
              <w:spacing w:line="360" w:lineRule="auto"/>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投标人自2020年1月1日（合同签订时间为准）至今完成过类似的医院废水处理项目业绩的，每提供一个得1分，最高得3分。</w:t>
            </w:r>
          </w:p>
          <w:p w14:paraId="17FE2E2B">
            <w:pPr>
              <w:widowControl/>
              <w:spacing w:line="360" w:lineRule="auto"/>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（提供业绩合同及甲方盖章的项目验收证明材料扫描件，如合同中无法体现业绩相关认定内容的，还须提供用户证明，否则不得分。）</w:t>
            </w:r>
          </w:p>
        </w:tc>
        <w:tc>
          <w:tcPr>
            <w:tcW w:w="645" w:type="dxa"/>
            <w:noWrap w:val="0"/>
            <w:vAlign w:val="center"/>
          </w:tcPr>
          <w:p w14:paraId="647C95EF">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930" w:type="dxa"/>
            <w:noWrap w:val="0"/>
            <w:vAlign w:val="center"/>
          </w:tcPr>
          <w:p w14:paraId="7360D662">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0F706DB1">
            <w:pPr>
              <w:widowControl/>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（一）业绩</w:t>
            </w:r>
          </w:p>
        </w:tc>
      </w:tr>
      <w:tr w14:paraId="1673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59552A94">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p>
        </w:tc>
        <w:tc>
          <w:tcPr>
            <w:tcW w:w="5656" w:type="dxa"/>
            <w:noWrap w:val="0"/>
            <w:vAlign w:val="center"/>
          </w:tcPr>
          <w:p w14:paraId="296FD6EF">
            <w:pPr>
              <w:widowControl/>
              <w:spacing w:line="360" w:lineRule="auto"/>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投标人具有质量管理体系认证、环境管理体系认证、职业健康安全管理体系认证证书（认证范围均需包含环保或污水处理类内容）每提供一本证书得1分，最高得3分。</w:t>
            </w:r>
          </w:p>
          <w:p w14:paraId="4779C489">
            <w:pPr>
              <w:widowControl/>
              <w:spacing w:line="360" w:lineRule="auto"/>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注：以上认证证书均须提供有效期内的证书复印件和全国认证认可信息公共服务平台（http://cx.cnca.cn/CertECloud/index/index/page）查询结果截图，否则不得分。</w:t>
            </w:r>
          </w:p>
        </w:tc>
        <w:tc>
          <w:tcPr>
            <w:tcW w:w="645" w:type="dxa"/>
            <w:noWrap w:val="0"/>
            <w:vAlign w:val="center"/>
          </w:tcPr>
          <w:p w14:paraId="6E3B2D68">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930" w:type="dxa"/>
            <w:noWrap w:val="0"/>
            <w:vAlign w:val="center"/>
          </w:tcPr>
          <w:p w14:paraId="20947361">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restart"/>
            <w:noWrap w:val="0"/>
            <w:vAlign w:val="center"/>
          </w:tcPr>
          <w:p w14:paraId="341A8C66">
            <w:pPr>
              <w:widowControl/>
              <w:jc w:val="center"/>
              <w:textAlignment w:val="center"/>
              <w:rPr>
                <w:rFonts w:hint="eastAsia" w:ascii="宋体" w:hAnsi="宋体" w:eastAsia="宋体" w:cs="宋体"/>
                <w:bCs/>
                <w:color w:val="auto"/>
                <w:kern w:val="2"/>
                <w:sz w:val="24"/>
                <w:szCs w:val="24"/>
                <w:highlight w:val="none"/>
                <w:lang w:val="en-US" w:eastAsia="zh-CN" w:bidi="ar-SA"/>
              </w:rPr>
            </w:pPr>
          </w:p>
          <w:p w14:paraId="1C798FF2">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（二）认证证书</w:t>
            </w:r>
          </w:p>
          <w:p w14:paraId="2BA8E178">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 </w:t>
            </w:r>
          </w:p>
          <w:p w14:paraId="5AA26F3C">
            <w:pPr>
              <w:spacing w:line="360" w:lineRule="auto"/>
              <w:jc w:val="both"/>
              <w:rPr>
                <w:rFonts w:hint="eastAsia" w:ascii="宋体" w:hAnsi="宋体" w:eastAsia="宋体" w:cs="宋体"/>
                <w:bCs/>
                <w:color w:val="auto"/>
                <w:kern w:val="2"/>
                <w:sz w:val="24"/>
                <w:szCs w:val="24"/>
                <w:highlight w:val="none"/>
                <w:lang w:val="en-US" w:eastAsia="zh-CN" w:bidi="ar-SA"/>
              </w:rPr>
            </w:pPr>
          </w:p>
          <w:p w14:paraId="58C2D459">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7848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8C18F40">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5656" w:type="dxa"/>
            <w:noWrap w:val="0"/>
            <w:vAlign w:val="center"/>
          </w:tcPr>
          <w:p w14:paraId="1C552C97">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产品属于品目清单范围且提供国家确定的认证机构出具的处于有效期之内的节能产品认证证书（扫描件加盖公章）的得0.5分；投标产品属于品目清单范围且提供国家确定的认证机构出具的处于有效期之内的环境标志产品认证证书（扫描件加盖公章）的得0.5分。</w:t>
            </w:r>
          </w:p>
        </w:tc>
        <w:tc>
          <w:tcPr>
            <w:tcW w:w="645" w:type="dxa"/>
            <w:noWrap w:val="0"/>
            <w:vAlign w:val="center"/>
          </w:tcPr>
          <w:p w14:paraId="6183CA01">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930" w:type="dxa"/>
            <w:noWrap w:val="0"/>
            <w:vAlign w:val="center"/>
          </w:tcPr>
          <w:p w14:paraId="0B32051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continue"/>
            <w:noWrap w:val="0"/>
            <w:vAlign w:val="center"/>
          </w:tcPr>
          <w:p w14:paraId="578B5670">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4CED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811" w:type="dxa"/>
            <w:noWrap w:val="0"/>
            <w:vAlign w:val="center"/>
          </w:tcPr>
          <w:p w14:paraId="0820B7C8">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5656" w:type="dxa"/>
            <w:noWrap w:val="0"/>
            <w:vAlign w:val="center"/>
          </w:tcPr>
          <w:p w14:paraId="77344E10">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highlight w:val="none"/>
              </w:rPr>
              <w:t>对招标文件第三部分</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需求“</w:t>
            </w:r>
            <w:r>
              <w:rPr>
                <w:rFonts w:hint="eastAsia" w:hAnsi="宋体" w:cs="宋体"/>
                <w:sz w:val="24"/>
                <w:szCs w:val="24"/>
                <w:highlight w:val="none"/>
                <w:lang w:eastAsia="zh-CN"/>
              </w:rPr>
              <w:t>技术要求</w:t>
            </w:r>
            <w:r>
              <w:rPr>
                <w:rFonts w:hint="eastAsia" w:ascii="宋体" w:hAnsi="宋体" w:eastAsia="宋体" w:cs="宋体"/>
                <w:sz w:val="24"/>
                <w:szCs w:val="24"/>
                <w:highlight w:val="none"/>
              </w:rPr>
              <w:t>”的响应程度：全部符合要求</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得2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不符合（负偏离）技术要求中标注“▲”条款（不可偏离）的投标无效，标注“★”的技术条款低于技术要求（负偏离）的每项扣</w:t>
            </w:r>
            <w:r>
              <w:rPr>
                <w:rFonts w:hint="eastAsia" w:hAnsi="宋体" w:cs="宋体"/>
                <w:sz w:val="24"/>
                <w:szCs w:val="24"/>
                <w:highlight w:val="none"/>
                <w:lang w:val="en-US" w:eastAsia="zh-CN"/>
              </w:rPr>
              <w:t>2</w:t>
            </w:r>
            <w:r>
              <w:rPr>
                <w:rFonts w:hint="eastAsia" w:ascii="宋体" w:hAnsi="宋体" w:eastAsia="宋体" w:cs="宋体"/>
                <w:sz w:val="24"/>
                <w:szCs w:val="24"/>
                <w:highlight w:val="none"/>
              </w:rPr>
              <w:t>分，未标注“★”或“▲”的技术条款低于技术要求（负偏离）的每项扣</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分，扣完</w:t>
            </w:r>
            <w:r>
              <w:rPr>
                <w:rFonts w:hint="eastAsia" w:hAnsi="宋体" w:cs="宋体"/>
                <w:sz w:val="24"/>
                <w:szCs w:val="24"/>
                <w:highlight w:val="none"/>
                <w:lang w:val="en-US" w:eastAsia="zh-CN"/>
              </w:rPr>
              <w:t>22</w:t>
            </w:r>
            <w:r>
              <w:rPr>
                <w:rFonts w:hint="eastAsia" w:ascii="宋体" w:hAnsi="宋体" w:eastAsia="宋体" w:cs="宋体"/>
                <w:sz w:val="24"/>
                <w:szCs w:val="24"/>
                <w:highlight w:val="none"/>
              </w:rPr>
              <w:t>分为止。（商务技术偏离表技术要求中响应规格与技术支持资料不一致的视为负偏离，未按招标文件要求提供证明资料的为负偏离）。</w:t>
            </w:r>
          </w:p>
        </w:tc>
        <w:tc>
          <w:tcPr>
            <w:tcW w:w="645" w:type="dxa"/>
            <w:noWrap w:val="0"/>
            <w:vAlign w:val="center"/>
          </w:tcPr>
          <w:p w14:paraId="13A1BBFF">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22</w:t>
            </w:r>
          </w:p>
        </w:tc>
        <w:tc>
          <w:tcPr>
            <w:tcW w:w="930" w:type="dxa"/>
            <w:noWrap w:val="0"/>
            <w:vAlign w:val="center"/>
          </w:tcPr>
          <w:p w14:paraId="2D4A4772">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05912564">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（三）产品技术参数等响应程度</w:t>
            </w:r>
          </w:p>
        </w:tc>
      </w:tr>
      <w:tr w14:paraId="69BA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2111B8C8">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5656" w:type="dxa"/>
            <w:noWrap w:val="0"/>
            <w:vAlign w:val="center"/>
          </w:tcPr>
          <w:p w14:paraId="6DD62B2C">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智能物联网云平台演示视频（u盘形式提供</w:t>
            </w:r>
            <w:r>
              <w:rPr>
                <w:rFonts w:hint="eastAsia" w:hAnsi="宋体" w:cs="宋体"/>
                <w:bCs/>
                <w:color w:val="auto"/>
                <w:kern w:val="2"/>
                <w:sz w:val="24"/>
                <w:szCs w:val="24"/>
                <w:highlight w:val="none"/>
                <w:lang w:val="en-US" w:eastAsia="zh-CN" w:bidi="ar-SA"/>
              </w:rPr>
              <w:t>，提供要求按备份文件要求，但须注明“演示视频”</w:t>
            </w:r>
            <w:r>
              <w:rPr>
                <w:rFonts w:hint="eastAsia" w:ascii="宋体" w:hAnsi="宋体" w:eastAsia="宋体" w:cs="宋体"/>
                <w:bCs/>
                <w:color w:val="auto"/>
                <w:kern w:val="2"/>
                <w:sz w:val="24"/>
                <w:szCs w:val="24"/>
                <w:highlight w:val="none"/>
                <w:lang w:val="en-US" w:eastAsia="zh-CN" w:bidi="ar-SA"/>
              </w:rPr>
              <w:t>）：提供污水处理运行监控平台视频演示</w:t>
            </w:r>
            <w:r>
              <w:rPr>
                <w:rFonts w:hint="eastAsia"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得</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分；投标单位自有物联网云平台软件注册证书，得</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分；智能物联网云平台承诺终身免费提供甲方使用（提供承诺函），得</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p>
          <w:p w14:paraId="06988E79">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注：没有提供材料不得分。</w:t>
            </w:r>
          </w:p>
        </w:tc>
        <w:tc>
          <w:tcPr>
            <w:tcW w:w="645" w:type="dxa"/>
            <w:noWrap w:val="0"/>
            <w:vAlign w:val="center"/>
          </w:tcPr>
          <w:p w14:paraId="6ECC3FB1">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p>
        </w:tc>
        <w:tc>
          <w:tcPr>
            <w:tcW w:w="930" w:type="dxa"/>
            <w:noWrap w:val="0"/>
            <w:vAlign w:val="center"/>
          </w:tcPr>
          <w:p w14:paraId="2CE8AE0D">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restart"/>
            <w:noWrap w:val="0"/>
            <w:vAlign w:val="center"/>
          </w:tcPr>
          <w:p w14:paraId="54C439BE">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（四）技术能力及相关方案</w:t>
            </w:r>
          </w:p>
        </w:tc>
      </w:tr>
      <w:tr w14:paraId="6F65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1A75D6DC">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w:t>
            </w:r>
          </w:p>
        </w:tc>
        <w:tc>
          <w:tcPr>
            <w:tcW w:w="5656" w:type="dxa"/>
            <w:noWrap w:val="0"/>
            <w:vAlign w:val="center"/>
          </w:tcPr>
          <w:p w14:paraId="559732EB">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根据投标人的安装就位和服务组织实施技术方案</w:t>
            </w:r>
            <w:r>
              <w:rPr>
                <w:rFonts w:hint="eastAsia" w:hAnsi="宋体" w:cs="宋体"/>
                <w:sz w:val="24"/>
                <w:szCs w:val="24"/>
                <w:highlight w:val="none"/>
                <w:lang w:eastAsia="zh-CN"/>
              </w:rPr>
              <w:t>是否满足采购要求，全面、科学、合理</w:t>
            </w:r>
            <w:r>
              <w:rPr>
                <w:rFonts w:hint="eastAsia" w:ascii="宋体" w:hAnsi="宋体" w:eastAsia="宋体" w:cs="宋体"/>
                <w:sz w:val="24"/>
                <w:szCs w:val="24"/>
                <w:highlight w:val="none"/>
              </w:rPr>
              <w:t>进行评</w:t>
            </w:r>
            <w:r>
              <w:rPr>
                <w:rFonts w:hint="eastAsia" w:ascii="宋体" w:hAnsi="宋体" w:eastAsia="宋体" w:cs="宋体"/>
                <w:sz w:val="24"/>
                <w:szCs w:val="24"/>
                <w:highlight w:val="none"/>
                <w:lang w:eastAsia="zh-CN"/>
              </w:rPr>
              <w:t>议</w:t>
            </w:r>
            <w:r>
              <w:rPr>
                <w:rFonts w:hint="eastAsia" w:ascii="宋体" w:hAnsi="宋体" w:eastAsia="宋体" w:cs="宋体"/>
                <w:sz w:val="24"/>
                <w:szCs w:val="24"/>
                <w:highlight w:val="none"/>
              </w:rPr>
              <w:t>。</w:t>
            </w:r>
          </w:p>
          <w:p w14:paraId="16A98B2C">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分；②方案内容较完善、基本科学合理的得</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分；③方案内容笼统，内容模糊，不够合理的得0-</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r>
              <w:rPr>
                <w:rFonts w:hint="eastAsia"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689AB15A">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930" w:type="dxa"/>
            <w:noWrap w:val="0"/>
            <w:vAlign w:val="center"/>
          </w:tcPr>
          <w:p w14:paraId="470FCB1F">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2A26D67D">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6527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D556655">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7</w:t>
            </w:r>
          </w:p>
        </w:tc>
        <w:tc>
          <w:tcPr>
            <w:tcW w:w="5656" w:type="dxa"/>
            <w:noWrap w:val="0"/>
            <w:vAlign w:val="center"/>
          </w:tcPr>
          <w:p w14:paraId="7EC2795D">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根据投标人安全文明施工保证措施（安全管理体系、安全施工技术措施、安全监督措施）内容全面详尽，能确保项目安全顺利实施进行评议。</w:t>
            </w:r>
          </w:p>
          <w:p w14:paraId="0DADFE93">
            <w:pPr>
              <w:pStyle w:val="53"/>
              <w:spacing w:line="360" w:lineRule="auto"/>
              <w:ind w:left="0" w:leftChars="0" w:firstLine="420" w:firstLineChars="0"/>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①方案内容详尽、全面完善、科学合理可行的得2-3分；②方案内容较完善、基本科学合理的得1-2分；③方案内容笼统，内容模糊的得0-1分；④方案不够合理或未提供的不得分。</w:t>
            </w:r>
          </w:p>
        </w:tc>
        <w:tc>
          <w:tcPr>
            <w:tcW w:w="645" w:type="dxa"/>
            <w:noWrap w:val="0"/>
            <w:vAlign w:val="center"/>
          </w:tcPr>
          <w:p w14:paraId="110A337D">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3</w:t>
            </w:r>
          </w:p>
        </w:tc>
        <w:tc>
          <w:tcPr>
            <w:tcW w:w="930" w:type="dxa"/>
            <w:noWrap w:val="0"/>
            <w:vAlign w:val="center"/>
          </w:tcPr>
          <w:p w14:paraId="5C5070F2">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347F2A28">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2539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1804DB04">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w:t>
            </w:r>
          </w:p>
        </w:tc>
        <w:tc>
          <w:tcPr>
            <w:tcW w:w="5656" w:type="dxa"/>
            <w:noWrap w:val="0"/>
            <w:vAlign w:val="center"/>
          </w:tcPr>
          <w:p w14:paraId="74E24CC1">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根据投标人对项目实施进度计划安排（包括工期目标及关键点控制、工期保障措施完整、全面以及能否有效控制工期等内容进行评议。</w:t>
            </w:r>
          </w:p>
          <w:p w14:paraId="2EEDB505">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①方案内容详尽、全面完善、科学合理可行的得2-3分；②方案内容较完善、基本科学合理的得1-2分；③方案内容笼统，内容模糊的得0-1分；④方案不够合理或未提供的不得分。</w:t>
            </w:r>
          </w:p>
        </w:tc>
        <w:tc>
          <w:tcPr>
            <w:tcW w:w="645" w:type="dxa"/>
            <w:noWrap w:val="0"/>
            <w:vAlign w:val="center"/>
          </w:tcPr>
          <w:p w14:paraId="608DF30E">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3</w:t>
            </w:r>
          </w:p>
        </w:tc>
        <w:tc>
          <w:tcPr>
            <w:tcW w:w="930" w:type="dxa"/>
            <w:noWrap w:val="0"/>
            <w:vAlign w:val="center"/>
          </w:tcPr>
          <w:p w14:paraId="36B4A658">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50A0A033">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52D1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EE8F0A9">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9</w:t>
            </w:r>
          </w:p>
        </w:tc>
        <w:tc>
          <w:tcPr>
            <w:tcW w:w="5656" w:type="dxa"/>
            <w:noWrap w:val="0"/>
            <w:vAlign w:val="center"/>
          </w:tcPr>
          <w:p w14:paraId="2E630F38">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根据投标人提供的质量保证措施，包括不仅限于生产运输质量保证措施、安装调试质量保证措施、检验、验收等采用或依据的标准、规范符合行业标准等内容进行综合评议。</w:t>
            </w:r>
          </w:p>
          <w:p w14:paraId="17108702">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①方案内容详尽、全面完善、科学合理可行的得2-3分；②方案内容较完善、基本科学合理的得1-2分；③方案内容笼统，内容模糊的得0-1分；④方案不够合理或未提供的不得分。</w:t>
            </w:r>
          </w:p>
        </w:tc>
        <w:tc>
          <w:tcPr>
            <w:tcW w:w="645" w:type="dxa"/>
            <w:noWrap w:val="0"/>
            <w:vAlign w:val="center"/>
          </w:tcPr>
          <w:p w14:paraId="2AB13D6B">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3</w:t>
            </w:r>
          </w:p>
        </w:tc>
        <w:tc>
          <w:tcPr>
            <w:tcW w:w="930" w:type="dxa"/>
            <w:noWrap w:val="0"/>
            <w:vAlign w:val="center"/>
          </w:tcPr>
          <w:p w14:paraId="6D7E7835">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4E12755A">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08E0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714B860">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10</w:t>
            </w:r>
          </w:p>
        </w:tc>
        <w:tc>
          <w:tcPr>
            <w:tcW w:w="5656" w:type="dxa"/>
            <w:noWrap w:val="0"/>
            <w:vAlign w:val="center"/>
          </w:tcPr>
          <w:p w14:paraId="789A9BB1">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项目负责人：项目负责人具有机电工程专业一级建造师注册证书的得2分</w:t>
            </w:r>
            <w:r>
              <w:rPr>
                <w:rFonts w:hint="eastAsia" w:hAnsi="宋体" w:cs="宋体"/>
                <w:bCs/>
                <w:color w:val="auto"/>
                <w:kern w:val="2"/>
                <w:sz w:val="24"/>
                <w:szCs w:val="24"/>
                <w:highlight w:val="none"/>
                <w:lang w:val="en-US" w:eastAsia="zh-CN" w:bidi="ar-SA"/>
              </w:rPr>
              <w:t>,具有</w:t>
            </w:r>
            <w:r>
              <w:rPr>
                <w:rFonts w:hint="eastAsia" w:ascii="宋体" w:hAnsi="宋体" w:eastAsia="宋体" w:cs="宋体"/>
                <w:bCs/>
                <w:color w:val="auto"/>
                <w:kern w:val="2"/>
                <w:sz w:val="24"/>
                <w:szCs w:val="24"/>
                <w:highlight w:val="none"/>
                <w:lang w:val="en-US" w:eastAsia="zh-CN" w:bidi="ar-SA"/>
              </w:rPr>
              <w:t>机电工程专业二级建造师注册证书的得1分</w:t>
            </w:r>
            <w:r>
              <w:rPr>
                <w:rFonts w:hint="eastAsia"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（上述不重复得分）</w:t>
            </w:r>
          </w:p>
          <w:p w14:paraId="5D57728F">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项目负责人具有中级及以上职称证书的得2分。</w:t>
            </w:r>
          </w:p>
          <w:p w14:paraId="219F2038">
            <w:pPr>
              <w:pStyle w:val="53"/>
              <w:spacing w:line="360" w:lineRule="auto"/>
              <w:ind w:left="0" w:leftChars="0" w:firstLine="420" w:firstLineChars="0"/>
              <w:rPr>
                <w:rFonts w:hint="eastAsia" w:ascii="宋体" w:hAnsi="宋体" w:eastAsia="宋体" w:cs="宋体"/>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证明材料：提供证书和本单位人员社保缴纳证明</w:t>
            </w:r>
            <w:r>
              <w:rPr>
                <w:rFonts w:hint="eastAsia" w:hAnsi="宋体" w:cs="宋体"/>
                <w:bCs/>
                <w:color w:val="auto"/>
                <w:kern w:val="2"/>
                <w:sz w:val="24"/>
                <w:szCs w:val="24"/>
                <w:highlight w:val="none"/>
                <w:lang w:val="en-US" w:eastAsia="zh-CN" w:bidi="ar-SA"/>
              </w:rPr>
              <w:t>扫描件</w:t>
            </w:r>
            <w:r>
              <w:rPr>
                <w:rFonts w:hint="eastAsia" w:ascii="宋体" w:hAnsi="宋体" w:eastAsia="宋体" w:cs="宋体"/>
                <w:bCs/>
                <w:color w:val="auto"/>
                <w:kern w:val="2"/>
                <w:sz w:val="24"/>
                <w:szCs w:val="24"/>
                <w:highlight w:val="none"/>
                <w:lang w:val="en-US" w:eastAsia="zh-CN" w:bidi="ar-SA"/>
              </w:rPr>
              <w:t>。</w:t>
            </w:r>
          </w:p>
        </w:tc>
        <w:tc>
          <w:tcPr>
            <w:tcW w:w="645" w:type="dxa"/>
            <w:noWrap w:val="0"/>
            <w:vAlign w:val="center"/>
          </w:tcPr>
          <w:p w14:paraId="30A068CA">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930" w:type="dxa"/>
            <w:noWrap w:val="0"/>
            <w:vAlign w:val="center"/>
          </w:tcPr>
          <w:p w14:paraId="5E2DF39D">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restart"/>
            <w:noWrap w:val="0"/>
            <w:vAlign w:val="center"/>
          </w:tcPr>
          <w:p w14:paraId="0996D453">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（五）拟派人员情况</w:t>
            </w:r>
          </w:p>
        </w:tc>
      </w:tr>
      <w:tr w14:paraId="5B8E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76FBDEF1">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11</w:t>
            </w:r>
          </w:p>
        </w:tc>
        <w:tc>
          <w:tcPr>
            <w:tcW w:w="5656" w:type="dxa"/>
            <w:noWrap w:val="0"/>
            <w:vAlign w:val="center"/>
          </w:tcPr>
          <w:p w14:paraId="5463D1FE">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highlight w:val="none"/>
              </w:rPr>
              <w:t>技术负责人：项目技术负责人具有注册环保工程师得2分，具有</w:t>
            </w:r>
            <w:r>
              <w:rPr>
                <w:rFonts w:hint="eastAsia" w:hAnsi="宋体" w:cs="宋体"/>
                <w:sz w:val="24"/>
                <w:szCs w:val="24"/>
                <w:highlight w:val="none"/>
                <w:lang w:eastAsia="zh-CN"/>
              </w:rPr>
              <w:t>环保类相关专业</w:t>
            </w:r>
            <w:r>
              <w:rPr>
                <w:rFonts w:hint="eastAsia" w:ascii="宋体" w:hAnsi="宋体" w:eastAsia="宋体" w:cs="宋体"/>
                <w:sz w:val="24"/>
                <w:szCs w:val="24"/>
                <w:highlight w:val="none"/>
              </w:rPr>
              <w:t>中级及以上职称证书的得2分。本项最高得4分。</w:t>
            </w:r>
            <w:r>
              <w:rPr>
                <w:rFonts w:hint="eastAsia" w:ascii="宋体" w:hAnsi="宋体" w:eastAsia="宋体" w:cs="宋体"/>
                <w:bCs/>
                <w:color w:val="auto"/>
                <w:kern w:val="2"/>
                <w:sz w:val="24"/>
                <w:szCs w:val="24"/>
                <w:highlight w:val="none"/>
                <w:lang w:val="en-US" w:eastAsia="zh-CN" w:bidi="ar-SA"/>
              </w:rPr>
              <w:t>证明材料：提供证书和本单位人员社保缴纳证明</w:t>
            </w:r>
            <w:r>
              <w:rPr>
                <w:rFonts w:hint="eastAsia" w:hAnsi="宋体" w:cs="宋体"/>
                <w:bCs/>
                <w:color w:val="auto"/>
                <w:kern w:val="2"/>
                <w:sz w:val="24"/>
                <w:szCs w:val="24"/>
                <w:highlight w:val="none"/>
                <w:lang w:val="en-US" w:eastAsia="zh-CN" w:bidi="ar-SA"/>
              </w:rPr>
              <w:t>扫描件</w:t>
            </w:r>
            <w:r>
              <w:rPr>
                <w:rFonts w:hint="eastAsia" w:ascii="宋体" w:hAnsi="宋体" w:eastAsia="宋体" w:cs="宋体"/>
                <w:bCs/>
                <w:color w:val="auto"/>
                <w:kern w:val="2"/>
                <w:sz w:val="24"/>
                <w:szCs w:val="24"/>
                <w:highlight w:val="none"/>
                <w:lang w:val="en-US" w:eastAsia="zh-CN" w:bidi="ar-SA"/>
              </w:rPr>
              <w:t>。</w:t>
            </w:r>
          </w:p>
          <w:p w14:paraId="494B595D">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注：以上人员含项目负责人不得兼任。</w:t>
            </w:r>
          </w:p>
        </w:tc>
        <w:tc>
          <w:tcPr>
            <w:tcW w:w="645" w:type="dxa"/>
            <w:noWrap w:val="0"/>
            <w:vAlign w:val="center"/>
          </w:tcPr>
          <w:p w14:paraId="2D79FCBD">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930" w:type="dxa"/>
            <w:noWrap w:val="0"/>
            <w:vAlign w:val="center"/>
          </w:tcPr>
          <w:p w14:paraId="66673780">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continue"/>
            <w:noWrap w:val="0"/>
            <w:vAlign w:val="center"/>
          </w:tcPr>
          <w:p w14:paraId="305D0DBE">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0486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3A72BCE">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12</w:t>
            </w:r>
          </w:p>
        </w:tc>
        <w:tc>
          <w:tcPr>
            <w:tcW w:w="5656" w:type="dxa"/>
            <w:noWrap w:val="0"/>
            <w:vAlign w:val="center"/>
          </w:tcPr>
          <w:p w14:paraId="08BA591F">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hAnsi="宋体" w:cs="宋体"/>
                <w:sz w:val="24"/>
                <w:szCs w:val="24"/>
                <w:highlight w:val="none"/>
                <w:lang w:eastAsia="zh-CN"/>
              </w:rPr>
              <w:t>投标人</w:t>
            </w:r>
            <w:r>
              <w:rPr>
                <w:rFonts w:hint="eastAsia" w:ascii="宋体" w:hAnsi="宋体" w:eastAsia="宋体" w:cs="宋体"/>
                <w:sz w:val="24"/>
                <w:szCs w:val="24"/>
                <w:highlight w:val="none"/>
              </w:rPr>
              <w:t>售后服务体系的完善性、服务标准规范化程度、备件（含易耗品）齐全、保修措施完善、备品备件（含易耗品）质保期后优惠率及供应保障等方面评审打分。</w:t>
            </w:r>
          </w:p>
          <w:p w14:paraId="73FE55D7">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1、技术培训计划的科学合理、可行、操作性强的得</w:t>
            </w:r>
            <w:r>
              <w:rPr>
                <w:rFonts w:hint="eastAsia" w:hAnsi="宋体" w:cs="宋体"/>
                <w:sz w:val="24"/>
                <w:szCs w:val="24"/>
                <w:highlight w:val="none"/>
                <w:lang w:val="en-US" w:eastAsia="zh-CN"/>
              </w:rPr>
              <w:t>1-</w:t>
            </w:r>
            <w:r>
              <w:rPr>
                <w:rFonts w:hint="eastAsia" w:ascii="宋体" w:hAnsi="宋体" w:eastAsia="宋体" w:cs="宋体"/>
                <w:sz w:val="24"/>
                <w:szCs w:val="24"/>
                <w:highlight w:val="none"/>
              </w:rPr>
              <w:t>2分，基本可行的</w:t>
            </w:r>
            <w:r>
              <w:rPr>
                <w:rFonts w:hint="eastAsia" w:hAnsi="宋体" w:cs="宋体"/>
                <w:sz w:val="24"/>
                <w:szCs w:val="24"/>
                <w:highlight w:val="none"/>
                <w:lang w:val="en-US" w:eastAsia="zh-CN"/>
              </w:rPr>
              <w:t>0-</w:t>
            </w:r>
            <w:r>
              <w:rPr>
                <w:rFonts w:hint="eastAsia" w:ascii="宋体" w:hAnsi="宋体" w:eastAsia="宋体" w:cs="宋体"/>
                <w:sz w:val="24"/>
                <w:szCs w:val="24"/>
                <w:highlight w:val="none"/>
              </w:rPr>
              <w:t>1分，有明显有缺陷</w:t>
            </w:r>
            <w:r>
              <w:rPr>
                <w:rFonts w:hint="eastAsia" w:hAnsi="宋体" w:cs="宋体"/>
                <w:sz w:val="24"/>
                <w:szCs w:val="24"/>
                <w:highlight w:val="none"/>
                <w:lang w:eastAsia="zh-CN"/>
              </w:rPr>
              <w:t>或未提供</w:t>
            </w:r>
            <w:r>
              <w:rPr>
                <w:rFonts w:hint="eastAsia" w:ascii="宋体" w:hAnsi="宋体" w:eastAsia="宋体" w:cs="宋体"/>
                <w:sz w:val="24"/>
                <w:szCs w:val="24"/>
                <w:highlight w:val="none"/>
              </w:rPr>
              <w:t>的0分。</w:t>
            </w:r>
          </w:p>
          <w:p w14:paraId="643924F0">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2、售后服务服务标准高、队伍强、到达现场时间短，完全满足项目和业主要求的得</w:t>
            </w:r>
            <w:r>
              <w:rPr>
                <w:rFonts w:hint="eastAsia" w:hAnsi="宋体" w:cs="宋体"/>
                <w:sz w:val="24"/>
                <w:szCs w:val="24"/>
                <w:highlight w:val="none"/>
                <w:lang w:val="en-US" w:eastAsia="zh-CN"/>
              </w:rPr>
              <w:t>1-</w:t>
            </w:r>
            <w:r>
              <w:rPr>
                <w:rFonts w:hint="eastAsia" w:ascii="宋体" w:hAnsi="宋体" w:eastAsia="宋体" w:cs="宋体"/>
                <w:sz w:val="24"/>
                <w:szCs w:val="24"/>
                <w:highlight w:val="none"/>
              </w:rPr>
              <w:t>2分，基本满足的得</w:t>
            </w:r>
            <w:r>
              <w:rPr>
                <w:rFonts w:hint="eastAsia" w:hAnsi="宋体" w:cs="宋体"/>
                <w:sz w:val="24"/>
                <w:szCs w:val="24"/>
                <w:highlight w:val="none"/>
                <w:lang w:val="en-US" w:eastAsia="zh-CN"/>
              </w:rPr>
              <w:t>0-</w:t>
            </w:r>
            <w:r>
              <w:rPr>
                <w:rFonts w:hint="eastAsia" w:ascii="宋体" w:hAnsi="宋体" w:eastAsia="宋体" w:cs="宋体"/>
                <w:sz w:val="24"/>
                <w:szCs w:val="24"/>
                <w:highlight w:val="none"/>
              </w:rPr>
              <w:t>1分，有明显缺陷</w:t>
            </w:r>
            <w:r>
              <w:rPr>
                <w:rFonts w:hint="eastAsia" w:hAnsi="宋体" w:cs="宋体"/>
                <w:sz w:val="24"/>
                <w:szCs w:val="24"/>
                <w:highlight w:val="none"/>
                <w:lang w:eastAsia="zh-CN"/>
              </w:rPr>
              <w:t>或未提供</w:t>
            </w:r>
            <w:r>
              <w:rPr>
                <w:rFonts w:hint="eastAsia" w:ascii="宋体" w:hAnsi="宋体" w:eastAsia="宋体" w:cs="宋体"/>
                <w:sz w:val="24"/>
                <w:szCs w:val="24"/>
                <w:highlight w:val="none"/>
              </w:rPr>
              <w:t>的得0分。</w:t>
            </w:r>
          </w:p>
          <w:p w14:paraId="520CE7B1">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3、备品备件齐全可靠、优惠力度高的得</w:t>
            </w:r>
            <w:r>
              <w:rPr>
                <w:rFonts w:hint="eastAsia" w:hAnsi="宋体" w:cs="宋体"/>
                <w:sz w:val="24"/>
                <w:szCs w:val="24"/>
                <w:highlight w:val="none"/>
                <w:lang w:val="en-US" w:eastAsia="zh-CN"/>
              </w:rPr>
              <w:t>0.5-</w:t>
            </w:r>
            <w:r>
              <w:rPr>
                <w:rFonts w:hint="eastAsia" w:ascii="宋体" w:hAnsi="宋体" w:eastAsia="宋体" w:cs="宋体"/>
                <w:sz w:val="24"/>
                <w:szCs w:val="24"/>
                <w:highlight w:val="none"/>
              </w:rPr>
              <w:t>1分，基本可靠、优惠力度一般的得</w:t>
            </w:r>
            <w:r>
              <w:rPr>
                <w:rFonts w:hint="eastAsia" w:hAnsi="宋体" w:cs="宋体"/>
                <w:sz w:val="24"/>
                <w:szCs w:val="24"/>
                <w:highlight w:val="none"/>
                <w:lang w:val="en-US" w:eastAsia="zh-CN"/>
              </w:rPr>
              <w:t>0-</w:t>
            </w:r>
            <w:r>
              <w:rPr>
                <w:rFonts w:hint="eastAsia" w:ascii="宋体" w:hAnsi="宋体" w:eastAsia="宋体" w:cs="宋体"/>
                <w:sz w:val="24"/>
                <w:szCs w:val="24"/>
                <w:highlight w:val="none"/>
              </w:rPr>
              <w:t>0.5分，有明显缺陷</w:t>
            </w:r>
            <w:r>
              <w:rPr>
                <w:rFonts w:hint="eastAsia" w:hAnsi="宋体" w:cs="宋体"/>
                <w:sz w:val="24"/>
                <w:szCs w:val="24"/>
                <w:highlight w:val="none"/>
                <w:lang w:eastAsia="zh-CN"/>
              </w:rPr>
              <w:t>或未提供</w:t>
            </w:r>
            <w:r>
              <w:rPr>
                <w:rFonts w:hint="eastAsia" w:ascii="宋体" w:hAnsi="宋体" w:eastAsia="宋体" w:cs="宋体"/>
                <w:sz w:val="24"/>
                <w:szCs w:val="24"/>
                <w:highlight w:val="none"/>
              </w:rPr>
              <w:t>的0分。</w:t>
            </w:r>
          </w:p>
          <w:p w14:paraId="5696D636">
            <w:pPr>
              <w:pStyle w:val="53"/>
              <w:spacing w:line="360" w:lineRule="auto"/>
              <w:ind w:left="0" w:leftChars="0" w:firstLine="420" w:firstLineChars="0"/>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4、具有五星级及以上售后服务认证书且认证范围包括</w:t>
            </w:r>
            <w:r>
              <w:rPr>
                <w:rFonts w:hint="eastAsia" w:ascii="宋体" w:hAnsi="宋体" w:eastAsia="宋体" w:cs="宋体"/>
                <w:bCs/>
                <w:color w:val="auto"/>
                <w:kern w:val="2"/>
                <w:sz w:val="24"/>
                <w:szCs w:val="24"/>
                <w:highlight w:val="none"/>
                <w:lang w:val="en-US" w:eastAsia="zh-CN" w:bidi="ar-SA"/>
              </w:rPr>
              <w:t>环保或污水处理类内容</w:t>
            </w:r>
            <w:r>
              <w:rPr>
                <w:rFonts w:hint="eastAsia" w:hAnsi="宋体" w:cs="宋体"/>
                <w:sz w:val="24"/>
                <w:szCs w:val="24"/>
                <w:highlight w:val="none"/>
                <w:lang w:val="en-US" w:eastAsia="zh-CN"/>
              </w:rPr>
              <w:t>售后服务的得1分；（提供材料：有效期内证书扫描件）</w:t>
            </w:r>
          </w:p>
        </w:tc>
        <w:tc>
          <w:tcPr>
            <w:tcW w:w="645" w:type="dxa"/>
            <w:noWrap w:val="0"/>
            <w:vAlign w:val="center"/>
          </w:tcPr>
          <w:p w14:paraId="73193029">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w:t>
            </w:r>
          </w:p>
        </w:tc>
        <w:tc>
          <w:tcPr>
            <w:tcW w:w="930" w:type="dxa"/>
            <w:noWrap w:val="0"/>
            <w:vAlign w:val="center"/>
          </w:tcPr>
          <w:p w14:paraId="00C085DB">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13BC9D51">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（六）售后服务</w:t>
            </w:r>
          </w:p>
        </w:tc>
      </w:tr>
      <w:tr w14:paraId="5587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7845F04D">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13</w:t>
            </w:r>
          </w:p>
        </w:tc>
        <w:tc>
          <w:tcPr>
            <w:tcW w:w="5656" w:type="dxa"/>
            <w:noWrap w:val="0"/>
            <w:vAlign w:val="center"/>
          </w:tcPr>
          <w:p w14:paraId="6D2AF5D7">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投标人提供的应急方案是否科学、全面，是否具有可操作性、能否及时有效的解决各种突发事件。制定可靠有效的有限空间（封闭污水池体内）作业方案可操作性强的3-4分，基本方案符合得1-2分，不符合不得分。</w:t>
            </w:r>
          </w:p>
          <w:p w14:paraId="6AF6B759">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提供自</w:t>
            </w:r>
            <w:r>
              <w:rPr>
                <w:rFonts w:hint="eastAsia" w:hAnsi="宋体" w:cs="宋体"/>
                <w:bCs/>
                <w:color w:val="auto"/>
                <w:kern w:val="2"/>
                <w:sz w:val="24"/>
                <w:szCs w:val="24"/>
                <w:highlight w:val="none"/>
                <w:lang w:val="en-US" w:eastAsia="zh-CN" w:bidi="ar-SA"/>
              </w:rPr>
              <w:t>有</w:t>
            </w:r>
            <w:r>
              <w:rPr>
                <w:rFonts w:hint="eastAsia" w:ascii="宋体" w:hAnsi="宋体" w:eastAsia="宋体" w:cs="宋体"/>
                <w:bCs/>
                <w:color w:val="auto"/>
                <w:kern w:val="2"/>
                <w:sz w:val="24"/>
                <w:szCs w:val="24"/>
                <w:highlight w:val="none"/>
                <w:lang w:val="en-US" w:eastAsia="zh-CN" w:bidi="ar-SA"/>
              </w:rPr>
              <w:t>施工专用便携式有害气体监测仪、电动送风长管呼吸器得2分（提供自</w:t>
            </w:r>
            <w:r>
              <w:rPr>
                <w:rFonts w:hint="eastAsia" w:hAnsi="宋体" w:cs="宋体"/>
                <w:bCs/>
                <w:color w:val="auto"/>
                <w:kern w:val="2"/>
                <w:sz w:val="24"/>
                <w:szCs w:val="24"/>
                <w:highlight w:val="none"/>
                <w:lang w:val="en-US" w:eastAsia="zh-CN" w:bidi="ar-SA"/>
              </w:rPr>
              <w:t>有</w:t>
            </w:r>
            <w:r>
              <w:rPr>
                <w:rFonts w:hint="eastAsia" w:ascii="宋体" w:hAnsi="宋体" w:eastAsia="宋体" w:cs="宋体"/>
                <w:bCs/>
                <w:color w:val="auto"/>
                <w:kern w:val="2"/>
                <w:sz w:val="24"/>
                <w:szCs w:val="24"/>
                <w:highlight w:val="none"/>
                <w:lang w:val="en-US" w:eastAsia="zh-CN" w:bidi="ar-SA"/>
              </w:rPr>
              <w:t>购买发票</w:t>
            </w:r>
            <w:r>
              <w:rPr>
                <w:rFonts w:hint="eastAsia" w:hAnsi="宋体" w:cs="宋体"/>
                <w:bCs/>
                <w:color w:val="auto"/>
                <w:kern w:val="2"/>
                <w:sz w:val="24"/>
                <w:szCs w:val="24"/>
                <w:highlight w:val="none"/>
                <w:lang w:val="en-US" w:eastAsia="zh-CN" w:bidi="ar-SA"/>
              </w:rPr>
              <w:t>扫描件</w:t>
            </w:r>
            <w:r>
              <w:rPr>
                <w:rFonts w:hint="eastAsia" w:ascii="宋体" w:hAnsi="宋体" w:eastAsia="宋体" w:cs="宋体"/>
                <w:bCs/>
                <w:color w:val="auto"/>
                <w:kern w:val="2"/>
                <w:sz w:val="24"/>
                <w:szCs w:val="24"/>
                <w:highlight w:val="none"/>
                <w:lang w:val="en-US" w:eastAsia="zh-CN" w:bidi="ar-SA"/>
              </w:rPr>
              <w:t>，未提供不得分）</w:t>
            </w:r>
          </w:p>
        </w:tc>
        <w:tc>
          <w:tcPr>
            <w:tcW w:w="645" w:type="dxa"/>
            <w:noWrap w:val="0"/>
            <w:vAlign w:val="center"/>
          </w:tcPr>
          <w:p w14:paraId="4182C117">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w:t>
            </w:r>
          </w:p>
        </w:tc>
        <w:tc>
          <w:tcPr>
            <w:tcW w:w="930" w:type="dxa"/>
            <w:noWrap w:val="0"/>
            <w:vAlign w:val="center"/>
          </w:tcPr>
          <w:p w14:paraId="4F8C3F40">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5715B373">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（七）应急及安全方案</w:t>
            </w:r>
          </w:p>
        </w:tc>
      </w:tr>
      <w:tr w14:paraId="711F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7A3DD19A">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14</w:t>
            </w:r>
          </w:p>
        </w:tc>
        <w:tc>
          <w:tcPr>
            <w:tcW w:w="5656" w:type="dxa"/>
            <w:noWrap w:val="0"/>
            <w:vAlign w:val="center"/>
          </w:tcPr>
          <w:p w14:paraId="71267A2C">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根据投标人针对本项目</w:t>
            </w:r>
            <w:r>
              <w:rPr>
                <w:rFonts w:hint="eastAsia" w:hAnsi="宋体" w:cs="宋体"/>
                <w:bCs/>
                <w:color w:val="auto"/>
                <w:kern w:val="2"/>
                <w:sz w:val="24"/>
                <w:szCs w:val="24"/>
                <w:highlight w:val="none"/>
                <w:lang w:val="en-US" w:eastAsia="zh-CN" w:bidi="ar-SA"/>
              </w:rPr>
              <w:t>提供的</w:t>
            </w:r>
            <w:r>
              <w:rPr>
                <w:rFonts w:hint="eastAsia" w:ascii="宋体" w:hAnsi="宋体" w:eastAsia="宋体" w:cs="宋体"/>
                <w:bCs/>
                <w:color w:val="auto"/>
                <w:kern w:val="2"/>
                <w:sz w:val="24"/>
                <w:szCs w:val="24"/>
                <w:highlight w:val="none"/>
                <w:lang w:val="en-US" w:eastAsia="zh-CN" w:bidi="ar-SA"/>
              </w:rPr>
              <w:t>具有针对性、实质性切实可行的合理化建议进行评议（0-</w:t>
            </w:r>
            <w:r>
              <w:rPr>
                <w:rFonts w:hint="eastAsia" w:hAnsi="宋体" w:cs="宋体"/>
                <w:bCs/>
                <w:color w:val="auto"/>
                <w:kern w:val="2"/>
                <w:sz w:val="24"/>
                <w:szCs w:val="24"/>
                <w:highlight w:val="none"/>
                <w:lang w:val="en-US" w:eastAsia="zh-CN" w:bidi="ar-SA"/>
              </w:rPr>
              <w:t>1</w:t>
            </w:r>
            <w:r>
              <w:rPr>
                <w:rFonts w:hint="eastAsia" w:ascii="宋体" w:hAnsi="宋体" w:eastAsia="宋体" w:cs="宋体"/>
                <w:bCs/>
                <w:color w:val="auto"/>
                <w:kern w:val="2"/>
                <w:sz w:val="24"/>
                <w:szCs w:val="24"/>
                <w:highlight w:val="none"/>
                <w:lang w:val="en-US" w:eastAsia="zh-CN" w:bidi="ar-SA"/>
              </w:rPr>
              <w:t>分）</w:t>
            </w:r>
          </w:p>
        </w:tc>
        <w:tc>
          <w:tcPr>
            <w:tcW w:w="645" w:type="dxa"/>
            <w:noWrap w:val="0"/>
            <w:vAlign w:val="center"/>
          </w:tcPr>
          <w:p w14:paraId="6D9CE34A">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930" w:type="dxa"/>
            <w:noWrap w:val="0"/>
            <w:vAlign w:val="center"/>
          </w:tcPr>
          <w:p w14:paraId="05FAD996">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3102D7A6">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（八）合理化建议</w:t>
            </w:r>
          </w:p>
        </w:tc>
      </w:tr>
      <w:tr w14:paraId="3B2F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5F2B444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15</w:t>
            </w:r>
          </w:p>
        </w:tc>
        <w:tc>
          <w:tcPr>
            <w:tcW w:w="5656" w:type="dxa"/>
            <w:noWrap w:val="0"/>
            <w:vAlign w:val="top"/>
          </w:tcPr>
          <w:p w14:paraId="33D68168">
            <w:pPr>
              <w:spacing w:line="360" w:lineRule="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有效投标报价的最低价作为评标基准价，其最低报价为满分；按［投标报价得分=（评标基准价/投标报价）*</w:t>
            </w:r>
            <w:r>
              <w:rPr>
                <w:rFonts w:hint="eastAsia" w:ascii="宋体" w:hAnsi="宋体" w:eastAsia="宋体" w:cs="宋体"/>
                <w:bCs/>
                <w:color w:val="auto"/>
                <w:kern w:val="2"/>
                <w:sz w:val="24"/>
                <w:szCs w:val="24"/>
                <w:highlight w:val="none"/>
                <w:lang w:val="en-US" w:eastAsia="zh-CN" w:bidi="ar-SA"/>
              </w:rPr>
              <w:t>30</w:t>
            </w:r>
            <w:r>
              <w:rPr>
                <w:rFonts w:hint="eastAsia" w:ascii="宋体" w:hAnsi="宋体" w:eastAsia="宋体" w:cs="宋体"/>
                <w:bCs/>
                <w:color w:val="auto"/>
                <w:kern w:val="2"/>
                <w:sz w:val="24"/>
                <w:szCs w:val="24"/>
                <w:highlight w:val="none"/>
                <w:lang w:val="zh-CN" w:eastAsia="zh-CN" w:bidi="ar-SA"/>
              </w:rPr>
              <w:t>］的计算公式计算。</w:t>
            </w:r>
          </w:p>
          <w:p w14:paraId="4597ACDB">
            <w:pPr>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cs="宋体"/>
                <w:sz w:val="24"/>
              </w:rPr>
              <w:t>因落实政府采购政策需要进行价格调整的，以调整后的价格计算评标基准价和投标报价。</w:t>
            </w:r>
          </w:p>
        </w:tc>
        <w:tc>
          <w:tcPr>
            <w:tcW w:w="645" w:type="dxa"/>
            <w:noWrap w:val="0"/>
            <w:vAlign w:val="center"/>
          </w:tcPr>
          <w:p w14:paraId="06977C0C">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30</w:t>
            </w:r>
          </w:p>
        </w:tc>
        <w:tc>
          <w:tcPr>
            <w:tcW w:w="930" w:type="dxa"/>
            <w:noWrap w:val="0"/>
            <w:vAlign w:val="center"/>
          </w:tcPr>
          <w:p w14:paraId="79FED763">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1DAE60C9">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p>
        </w:tc>
      </w:tr>
    </w:tbl>
    <w:p w14:paraId="5F4B6BDD"/>
    <w:p w14:paraId="2841C1BD">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17051C9">
      <w:pPr>
        <w:snapToGrid w:val="0"/>
        <w:spacing w:line="360" w:lineRule="auto"/>
        <w:rPr>
          <w:rFonts w:ascii="宋体" w:hAnsi="宋体" w:cs="宋体"/>
          <w:b/>
          <w:sz w:val="28"/>
          <w:szCs w:val="28"/>
        </w:rPr>
      </w:pPr>
      <w:r>
        <w:rPr>
          <w:rFonts w:hint="eastAsia" w:ascii="宋体" w:hAnsi="宋体" w:cs="宋体"/>
          <w:b/>
          <w:sz w:val="32"/>
        </w:rPr>
        <w:t>一、评标方法</w:t>
      </w:r>
    </w:p>
    <w:p w14:paraId="48F79394">
      <w:pPr>
        <w:adjustRightInd/>
        <w:spacing w:line="360" w:lineRule="auto"/>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r>
        <w:rPr>
          <w:rFonts w:hint="eastAsia" w:cs="Arial" w:asciiTheme="minorEastAsia" w:hAnsiTheme="minorEastAsia" w:eastAsiaTheme="minorEastAsia"/>
          <w:kern w:val="0"/>
          <w:sz w:val="24"/>
          <w:lang w:val="en-US" w:eastAsia="zh-CN"/>
        </w:rPr>
        <w:t>本项目推荐一名中标候选人。</w:t>
      </w:r>
    </w:p>
    <w:p w14:paraId="579372A1">
      <w:pPr>
        <w:adjustRightInd/>
        <w:spacing w:line="360" w:lineRule="auto"/>
        <w:rPr>
          <w:rFonts w:ascii="宋体" w:hAnsi="宋体" w:cs="宋体"/>
          <w:kern w:val="0"/>
          <w:sz w:val="24"/>
        </w:rPr>
      </w:pPr>
      <w:r>
        <w:rPr>
          <w:rFonts w:hint="eastAsia" w:ascii="宋体" w:hAnsi="宋体" w:cs="宋体"/>
          <w:b/>
          <w:sz w:val="32"/>
        </w:rPr>
        <w:t>二、评标标准</w:t>
      </w:r>
    </w:p>
    <w:p w14:paraId="5FBB024A">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2327C6C">
      <w:pPr>
        <w:spacing w:line="360" w:lineRule="auto"/>
        <w:outlineLvl w:val="0"/>
        <w:rPr>
          <w:rFonts w:ascii="宋体" w:hAnsi="宋体" w:cs="宋体"/>
          <w:b/>
          <w:sz w:val="36"/>
          <w:szCs w:val="36"/>
        </w:rPr>
      </w:pPr>
      <w:r>
        <w:rPr>
          <w:rFonts w:hint="eastAsia" w:ascii="宋体" w:hAnsi="宋体" w:cs="宋体"/>
          <w:b/>
          <w:sz w:val="36"/>
          <w:szCs w:val="36"/>
        </w:rPr>
        <w:t>三、评标程序</w:t>
      </w:r>
    </w:p>
    <w:p w14:paraId="321C198E">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259B35A">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F0CF86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5B2DED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164FE40">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F2D3455">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8F3CEF0">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F5229C7">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FE7A00F">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E5CA687">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34B952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9F04F2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D6A576E">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19CB948">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0FA6C9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952FC8E">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371F77">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F4A237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DC49949">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9CF39E">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369AC74">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5E52E12">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2E16E8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3E8EA66">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C6BDB7D">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54158A4">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A4D2C4A">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F8AF794">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D7BAB25">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8CA023B">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B91E5B5">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170A620">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DA88A79">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C3A21E9">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7D678B8">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599FC99">
      <w:pPr>
        <w:pStyle w:val="25"/>
        <w:snapToGrid w:val="0"/>
        <w:spacing w:line="360" w:lineRule="auto"/>
        <w:rPr>
          <w:rFonts w:cs="宋体"/>
        </w:rPr>
      </w:pPr>
      <w:r>
        <w:rPr>
          <w:rFonts w:hint="eastAsia" w:cs="宋体"/>
        </w:rPr>
        <w:t>5.1符合专业条件的供应商或者对招标文件作实质响应的供应商不足3家的；</w:t>
      </w:r>
    </w:p>
    <w:p w14:paraId="222900D1">
      <w:pPr>
        <w:pStyle w:val="25"/>
        <w:snapToGrid w:val="0"/>
        <w:spacing w:line="360" w:lineRule="auto"/>
        <w:rPr>
          <w:rFonts w:cs="宋体"/>
        </w:rPr>
      </w:pPr>
      <w:r>
        <w:rPr>
          <w:rFonts w:hint="eastAsia" w:cs="宋体"/>
        </w:rPr>
        <w:t>5.2出现影响采购公正的违法、违规行为的；</w:t>
      </w:r>
    </w:p>
    <w:p w14:paraId="2F7A24B4">
      <w:pPr>
        <w:pStyle w:val="25"/>
        <w:snapToGrid w:val="0"/>
        <w:spacing w:line="360" w:lineRule="auto"/>
        <w:rPr>
          <w:rFonts w:cs="宋体"/>
        </w:rPr>
      </w:pPr>
      <w:r>
        <w:rPr>
          <w:rFonts w:hint="eastAsia" w:cs="宋体"/>
        </w:rPr>
        <w:t>5.3投标人的报价均超过了采购预算，采购人不能支付的；</w:t>
      </w:r>
    </w:p>
    <w:p w14:paraId="04839996">
      <w:pPr>
        <w:pStyle w:val="25"/>
        <w:snapToGrid w:val="0"/>
        <w:spacing w:line="360" w:lineRule="auto"/>
        <w:rPr>
          <w:rFonts w:cs="宋体"/>
        </w:rPr>
      </w:pPr>
      <w:r>
        <w:rPr>
          <w:rFonts w:hint="eastAsia" w:cs="宋体"/>
        </w:rPr>
        <w:t>5.4因重大变故，采购任务取消的。</w:t>
      </w:r>
    </w:p>
    <w:p w14:paraId="62CD050C">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4EB07088">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0A159787">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6751994">
      <w:pPr>
        <w:pStyle w:val="25"/>
        <w:snapToGrid w:val="0"/>
        <w:spacing w:line="360" w:lineRule="auto"/>
        <w:rPr>
          <w:rFonts w:cs="宋体"/>
        </w:rPr>
      </w:pPr>
      <w:r>
        <w:rPr>
          <w:rFonts w:hint="eastAsia" w:cs="宋体"/>
        </w:rPr>
        <w:t>7.1未确定中标供应商的，终止本次政府采购活动，重新开展政府采购活动。</w:t>
      </w:r>
    </w:p>
    <w:p w14:paraId="49A29703">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0BCCB74">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A4A7E35">
      <w:pPr>
        <w:pStyle w:val="25"/>
        <w:snapToGrid w:val="0"/>
        <w:spacing w:line="360" w:lineRule="auto"/>
        <w:rPr>
          <w:rFonts w:cs="宋体"/>
        </w:rPr>
      </w:pPr>
      <w:r>
        <w:rPr>
          <w:rFonts w:hint="eastAsia" w:cs="宋体"/>
        </w:rPr>
        <w:t>7.4政府采购合同已经履行，给采购人、供应商造成损失的，由责任人承担赔偿责任。</w:t>
      </w:r>
    </w:p>
    <w:p w14:paraId="5431EAF2">
      <w:pPr>
        <w:pStyle w:val="25"/>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4"/>
      <w:bookmarkStart w:id="402" w:name="第五部分"/>
      <w:bookmarkStart w:id="403" w:name="_Toc86217003"/>
      <w:r>
        <w:rPr>
          <w:rFonts w:hint="eastAsia" w:ascii="宋体" w:hAnsi="宋体" w:cs="宋体"/>
          <w:b/>
          <w:sz w:val="36"/>
          <w:szCs w:val="36"/>
        </w:rPr>
        <w:t xml:space="preserve"> </w:t>
      </w:r>
      <w:r>
        <w:rPr>
          <w:rFonts w:ascii="宋体" w:hAnsi="宋体" w:cs="宋体"/>
          <w:b/>
          <w:sz w:val="36"/>
          <w:szCs w:val="36"/>
        </w:rPr>
        <w:br w:type="page"/>
      </w:r>
    </w:p>
    <w:p w14:paraId="242ED236">
      <w:pPr>
        <w:pStyle w:val="62"/>
        <w:ind w:left="0" w:leftChars="0" w:firstLine="0" w:firstLineChars="0"/>
        <w:rPr>
          <w:rFonts w:ascii="宋体" w:hAnsi="宋体" w:cs="宋体"/>
          <w:b/>
          <w:sz w:val="36"/>
          <w:szCs w:val="36"/>
        </w:rPr>
      </w:pPr>
    </w:p>
    <w:p w14:paraId="4B0C34FA">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BD3672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28D5413">
      <w:pPr>
        <w:spacing w:line="480" w:lineRule="auto"/>
        <w:jc w:val="center"/>
        <w:rPr>
          <w:rFonts w:ascii="宋体" w:hAnsi="宋体" w:cs="宋体"/>
          <w:b/>
          <w:sz w:val="28"/>
          <w:szCs w:val="28"/>
        </w:rPr>
      </w:pPr>
    </w:p>
    <w:p w14:paraId="476C2FD8">
      <w:pPr>
        <w:spacing w:line="480" w:lineRule="auto"/>
        <w:jc w:val="center"/>
        <w:rPr>
          <w:rFonts w:ascii="宋体" w:hAnsi="宋体" w:cs="宋体"/>
          <w:b/>
          <w:sz w:val="24"/>
        </w:rPr>
      </w:pPr>
    </w:p>
    <w:p w14:paraId="41E51394">
      <w:pPr>
        <w:spacing w:line="480" w:lineRule="auto"/>
        <w:jc w:val="center"/>
        <w:rPr>
          <w:rFonts w:ascii="宋体" w:hAnsi="宋体" w:cs="宋体"/>
          <w:b/>
          <w:sz w:val="24"/>
        </w:rPr>
      </w:pPr>
    </w:p>
    <w:p w14:paraId="700CA88C">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6F0C9DB">
      <w:pPr>
        <w:spacing w:line="480" w:lineRule="auto"/>
        <w:jc w:val="center"/>
        <w:rPr>
          <w:rFonts w:ascii="宋体" w:hAnsi="宋体" w:cs="宋体"/>
          <w:b/>
          <w:sz w:val="36"/>
          <w:szCs w:val="36"/>
        </w:rPr>
      </w:pPr>
      <w:r>
        <w:rPr>
          <w:rFonts w:hint="eastAsia" w:ascii="宋体" w:hAnsi="宋体" w:cs="宋体"/>
          <w:b/>
          <w:sz w:val="36"/>
          <w:szCs w:val="36"/>
        </w:rPr>
        <w:t>（货物类）</w:t>
      </w:r>
    </w:p>
    <w:p w14:paraId="1942A640">
      <w:pPr>
        <w:pStyle w:val="700"/>
        <w:jc w:val="center"/>
        <w:rPr>
          <w:rFonts w:ascii="宋体" w:hAnsi="宋体" w:cs="宋体"/>
          <w:szCs w:val="24"/>
        </w:rPr>
      </w:pPr>
    </w:p>
    <w:p w14:paraId="2E634549">
      <w:pPr>
        <w:pStyle w:val="700"/>
        <w:ind w:firstLine="2843" w:firstLineChars="1180"/>
        <w:rPr>
          <w:rFonts w:ascii="宋体" w:hAnsi="宋体" w:cs="宋体"/>
          <w:b/>
          <w:szCs w:val="24"/>
        </w:rPr>
      </w:pPr>
      <w:r>
        <w:rPr>
          <w:rFonts w:hint="eastAsia" w:ascii="宋体" w:hAnsi="宋体" w:cs="宋体"/>
          <w:b/>
          <w:szCs w:val="24"/>
        </w:rPr>
        <w:t>第一部分 合同书</w:t>
      </w:r>
    </w:p>
    <w:p w14:paraId="6EF00391">
      <w:pPr>
        <w:pStyle w:val="700"/>
        <w:rPr>
          <w:rFonts w:ascii="宋体" w:hAnsi="宋体" w:cs="宋体"/>
          <w:szCs w:val="24"/>
        </w:rPr>
      </w:pPr>
    </w:p>
    <w:p w14:paraId="6FC44C3B">
      <w:pPr>
        <w:pStyle w:val="700"/>
        <w:rPr>
          <w:rFonts w:ascii="宋体" w:hAnsi="宋体" w:cs="宋体"/>
          <w:szCs w:val="24"/>
        </w:rPr>
      </w:pPr>
    </w:p>
    <w:p w14:paraId="77C6E23B">
      <w:pPr>
        <w:spacing w:before="120" w:line="22" w:lineRule="atLeast"/>
        <w:rPr>
          <w:rFonts w:ascii="宋体" w:hAnsi="宋体" w:cs="宋体"/>
          <w:sz w:val="24"/>
        </w:rPr>
      </w:pPr>
    </w:p>
    <w:p w14:paraId="3B0823BA">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8D4BAB7">
      <w:pPr>
        <w:pStyle w:val="597"/>
        <w:spacing w:before="120" w:line="22" w:lineRule="atLeast"/>
        <w:rPr>
          <w:rFonts w:ascii="宋体" w:hAnsi="宋体" w:eastAsia="宋体" w:cs="宋体"/>
          <w:szCs w:val="24"/>
        </w:rPr>
      </w:pPr>
    </w:p>
    <w:p w14:paraId="3B504C7F">
      <w:pPr>
        <w:pStyle w:val="597"/>
        <w:spacing w:before="120" w:line="22" w:lineRule="atLeast"/>
        <w:rPr>
          <w:rFonts w:ascii="宋体" w:hAnsi="宋体" w:eastAsia="宋体" w:cs="宋体"/>
          <w:szCs w:val="24"/>
        </w:rPr>
      </w:pPr>
    </w:p>
    <w:p w14:paraId="77D7C19C">
      <w:pPr>
        <w:rPr>
          <w:rFonts w:ascii="宋体" w:hAnsi="宋体" w:cs="宋体"/>
          <w:sz w:val="24"/>
        </w:rPr>
      </w:pPr>
    </w:p>
    <w:p w14:paraId="64FD6256">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9471A36">
      <w:pPr>
        <w:spacing w:before="120" w:line="22" w:lineRule="atLeast"/>
        <w:rPr>
          <w:rFonts w:ascii="宋体" w:hAnsi="宋体" w:cs="宋体"/>
          <w:sz w:val="24"/>
        </w:rPr>
      </w:pPr>
    </w:p>
    <w:p w14:paraId="023E5A0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4EC0B2D">
      <w:pPr>
        <w:spacing w:before="120" w:line="22" w:lineRule="atLeast"/>
        <w:rPr>
          <w:rFonts w:ascii="宋体" w:hAnsi="宋体" w:cs="宋体"/>
          <w:sz w:val="24"/>
        </w:rPr>
      </w:pPr>
    </w:p>
    <w:p w14:paraId="4BCBBC92">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A46CC25">
      <w:pPr>
        <w:spacing w:before="120" w:line="22" w:lineRule="atLeast"/>
        <w:rPr>
          <w:rFonts w:ascii="宋体" w:hAnsi="宋体" w:cs="宋体"/>
          <w:sz w:val="24"/>
        </w:rPr>
      </w:pPr>
    </w:p>
    <w:p w14:paraId="1305CA0F">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DC5E437">
      <w:pPr>
        <w:widowControl/>
        <w:jc w:val="left"/>
        <w:rPr>
          <w:rFonts w:ascii="宋体" w:hAnsi="宋体" w:cs="宋体"/>
          <w:kern w:val="0"/>
          <w:sz w:val="24"/>
        </w:rPr>
        <w:sectPr>
          <w:pgSz w:w="11907" w:h="16840"/>
          <w:pgMar w:top="1474" w:right="1814" w:bottom="1474" w:left="1814" w:header="851" w:footer="851" w:gutter="0"/>
          <w:cols w:space="720" w:num="1"/>
        </w:sectPr>
      </w:pPr>
    </w:p>
    <w:p w14:paraId="3ED2CE05">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5062D1CA">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007D7F9D">
      <w:pPr>
        <w:spacing w:line="560" w:lineRule="exact"/>
        <w:ind w:firstLine="482" w:firstLineChars="200"/>
        <w:outlineLvl w:val="0"/>
        <w:rPr>
          <w:rFonts w:ascii="宋体" w:hAnsi="宋体" w:cs="宋体"/>
          <w:b/>
          <w:sz w:val="24"/>
        </w:rPr>
      </w:pPr>
      <w:bookmarkStart w:id="404" w:name="_Toc3029"/>
      <w:bookmarkStart w:id="405" w:name="_Toc2232"/>
      <w:bookmarkStart w:id="406" w:name="_Toc24059"/>
      <w:r>
        <w:rPr>
          <w:rFonts w:hint="eastAsia" w:ascii="宋体" w:hAnsi="宋体" w:cs="宋体"/>
          <w:b/>
          <w:sz w:val="24"/>
        </w:rPr>
        <w:t>1.1 合同组成部分</w:t>
      </w:r>
      <w:bookmarkEnd w:id="404"/>
      <w:bookmarkEnd w:id="405"/>
      <w:bookmarkEnd w:id="406"/>
    </w:p>
    <w:p w14:paraId="582D7B24">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1678927">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0C64919A">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6DA352BF">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193EBDA0">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686D303F">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4B16E492">
      <w:pPr>
        <w:spacing w:line="560" w:lineRule="exact"/>
        <w:ind w:firstLine="482" w:firstLineChars="200"/>
        <w:outlineLvl w:val="0"/>
        <w:rPr>
          <w:rFonts w:ascii="宋体" w:hAnsi="宋体" w:cs="宋体"/>
          <w:b/>
          <w:sz w:val="24"/>
        </w:rPr>
      </w:pPr>
      <w:bookmarkStart w:id="407" w:name="_Toc24300"/>
      <w:bookmarkStart w:id="408" w:name="_Toc21295"/>
      <w:bookmarkStart w:id="409" w:name="_Toc27126"/>
      <w:r>
        <w:rPr>
          <w:rFonts w:hint="eastAsia" w:ascii="宋体" w:hAnsi="宋体" w:cs="宋体"/>
          <w:b/>
          <w:sz w:val="24"/>
        </w:rPr>
        <w:t>1.2 货物</w:t>
      </w:r>
      <w:bookmarkEnd w:id="407"/>
      <w:bookmarkEnd w:id="408"/>
      <w:bookmarkEnd w:id="409"/>
    </w:p>
    <w:p w14:paraId="471A3DF8">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797490C8">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59EB3924">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06DBD515">
      <w:pPr>
        <w:spacing w:line="560" w:lineRule="exact"/>
        <w:ind w:firstLine="482" w:firstLineChars="200"/>
        <w:outlineLvl w:val="0"/>
        <w:rPr>
          <w:rFonts w:ascii="宋体" w:hAnsi="宋体" w:cs="宋体"/>
          <w:b/>
          <w:sz w:val="24"/>
        </w:rPr>
      </w:pPr>
      <w:bookmarkStart w:id="410" w:name="_Toc21551"/>
      <w:bookmarkStart w:id="411" w:name="_Toc21631"/>
      <w:bookmarkStart w:id="412" w:name="_Toc23292"/>
      <w:r>
        <w:rPr>
          <w:rFonts w:hint="eastAsia" w:ascii="宋体" w:hAnsi="宋体" w:cs="宋体"/>
          <w:b/>
          <w:sz w:val="24"/>
        </w:rPr>
        <w:t>1.3 价款</w:t>
      </w:r>
      <w:bookmarkEnd w:id="410"/>
      <w:bookmarkEnd w:id="411"/>
      <w:bookmarkEnd w:id="412"/>
    </w:p>
    <w:p w14:paraId="3DD3071C">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2E70ADFA">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832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98D043">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8280960">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5E2B834">
            <w:pPr>
              <w:pStyle w:val="319"/>
              <w:spacing w:line="560" w:lineRule="exact"/>
              <w:jc w:val="center"/>
              <w:rPr>
                <w:rFonts w:hAnsi="宋体" w:cs="宋体"/>
                <w:sz w:val="24"/>
                <w:szCs w:val="24"/>
              </w:rPr>
            </w:pPr>
            <w:r>
              <w:rPr>
                <w:rFonts w:hint="eastAsia" w:hAnsi="宋体" w:cs="宋体"/>
                <w:sz w:val="24"/>
                <w:szCs w:val="24"/>
              </w:rPr>
              <w:t>分项价格</w:t>
            </w:r>
          </w:p>
        </w:tc>
      </w:tr>
      <w:tr w14:paraId="50E1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6880DB">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293EC39">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354B1E3">
            <w:pPr>
              <w:pStyle w:val="319"/>
              <w:spacing w:line="560" w:lineRule="exact"/>
              <w:ind w:firstLine="200"/>
              <w:jc w:val="center"/>
              <w:rPr>
                <w:rFonts w:hAnsi="宋体" w:cs="宋体"/>
                <w:sz w:val="24"/>
                <w:szCs w:val="24"/>
              </w:rPr>
            </w:pPr>
          </w:p>
        </w:tc>
      </w:tr>
      <w:tr w14:paraId="5F5E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3F71DDF">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AFD583E">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471B6B9">
            <w:pPr>
              <w:pStyle w:val="319"/>
              <w:spacing w:line="560" w:lineRule="exact"/>
              <w:ind w:firstLine="200"/>
              <w:jc w:val="center"/>
              <w:rPr>
                <w:rFonts w:hAnsi="宋体" w:cs="宋体"/>
                <w:sz w:val="24"/>
                <w:szCs w:val="24"/>
              </w:rPr>
            </w:pPr>
          </w:p>
        </w:tc>
      </w:tr>
      <w:tr w14:paraId="27C2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44098EB">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B2F2A0D">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2EEAC72">
            <w:pPr>
              <w:pStyle w:val="319"/>
              <w:spacing w:line="560" w:lineRule="exact"/>
              <w:ind w:firstLine="200"/>
              <w:jc w:val="center"/>
              <w:rPr>
                <w:rFonts w:hAnsi="宋体" w:cs="宋体"/>
                <w:sz w:val="24"/>
                <w:szCs w:val="24"/>
              </w:rPr>
            </w:pPr>
          </w:p>
        </w:tc>
      </w:tr>
      <w:tr w14:paraId="7B13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A2F7373">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4972F02">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E81218B">
            <w:pPr>
              <w:pStyle w:val="319"/>
              <w:spacing w:line="560" w:lineRule="exact"/>
              <w:ind w:firstLine="200"/>
              <w:jc w:val="center"/>
              <w:rPr>
                <w:rFonts w:hAnsi="宋体" w:cs="宋体"/>
                <w:sz w:val="24"/>
                <w:szCs w:val="24"/>
              </w:rPr>
            </w:pPr>
          </w:p>
        </w:tc>
      </w:tr>
      <w:tr w14:paraId="64DE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BC76F4F">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02B3B42">
            <w:pPr>
              <w:pStyle w:val="319"/>
              <w:spacing w:line="560" w:lineRule="exact"/>
              <w:ind w:firstLine="200"/>
              <w:jc w:val="center"/>
              <w:rPr>
                <w:rFonts w:hAnsi="宋体" w:cs="宋体"/>
                <w:sz w:val="24"/>
                <w:szCs w:val="24"/>
              </w:rPr>
            </w:pPr>
          </w:p>
        </w:tc>
      </w:tr>
    </w:tbl>
    <w:p w14:paraId="3601E2DD">
      <w:pPr>
        <w:pStyle w:val="958"/>
        <w:spacing w:before="0" w:beforeAutospacing="0" w:after="0" w:afterAutospacing="0" w:line="360" w:lineRule="auto"/>
        <w:ind w:firstLine="480"/>
        <w:rPr>
          <w:b/>
        </w:rPr>
      </w:pPr>
      <w:bookmarkStart w:id="413" w:name="_Toc22618"/>
      <w:bookmarkStart w:id="414" w:name="_Toc10340"/>
      <w:bookmarkStart w:id="415" w:name="_Toc1814"/>
      <w:r>
        <w:rPr>
          <w:rFonts w:hint="eastAsia"/>
          <w:b/>
        </w:rPr>
        <w:t>1.4履约保证金</w:t>
      </w:r>
    </w:p>
    <w:p w14:paraId="429E8986">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F471A36">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443733A">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85AF10F">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6CAAB62">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7FE258C">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3"/>
      <w:bookmarkEnd w:id="414"/>
      <w:bookmarkEnd w:id="415"/>
      <w:r>
        <w:rPr>
          <w:rFonts w:hint="eastAsia" w:ascii="宋体" w:hAnsi="宋体" w:cs="宋体"/>
          <w:b/>
          <w:sz w:val="24"/>
        </w:rPr>
        <w:t>预付款</w:t>
      </w:r>
    </w:p>
    <w:p w14:paraId="61F4FD8D">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2C05B3F">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422DE38">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83D7F63">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4E93FF3">
      <w:pPr>
        <w:pStyle w:val="958"/>
        <w:spacing w:before="0" w:beforeAutospacing="0" w:after="0" w:afterAutospacing="0" w:line="360" w:lineRule="auto"/>
        <w:ind w:firstLine="480"/>
        <w:rPr>
          <w:b/>
          <w:bCs/>
        </w:rPr>
      </w:pPr>
      <w:r>
        <w:rPr>
          <w:rFonts w:hint="eastAsia"/>
          <w:b/>
          <w:bCs/>
        </w:rPr>
        <w:t>1.6资金支付</w:t>
      </w:r>
    </w:p>
    <w:p w14:paraId="1476D993">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197870F">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5090BF8">
      <w:pPr>
        <w:spacing w:line="560" w:lineRule="exact"/>
        <w:ind w:firstLine="482" w:firstLineChars="200"/>
        <w:outlineLvl w:val="0"/>
        <w:rPr>
          <w:rFonts w:ascii="宋体" w:hAnsi="宋体" w:cs="宋体"/>
          <w:b/>
          <w:sz w:val="24"/>
        </w:rPr>
      </w:pPr>
      <w:bookmarkStart w:id="416" w:name="_Toc19304"/>
      <w:bookmarkStart w:id="417" w:name="_Toc32071"/>
      <w:bookmarkStart w:id="418" w:name="_Toc2846"/>
      <w:r>
        <w:rPr>
          <w:rFonts w:hint="eastAsia" w:ascii="宋体" w:hAnsi="宋体" w:cs="宋体"/>
          <w:b/>
          <w:sz w:val="24"/>
        </w:rPr>
        <w:t>1.7货物交付期限、地点和方式</w:t>
      </w:r>
      <w:bookmarkEnd w:id="416"/>
      <w:bookmarkEnd w:id="417"/>
      <w:bookmarkEnd w:id="418"/>
    </w:p>
    <w:p w14:paraId="32592354">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33635763">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44EAFE75">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19B5DEFE">
      <w:pPr>
        <w:spacing w:line="560" w:lineRule="exact"/>
        <w:ind w:firstLine="482" w:firstLineChars="200"/>
        <w:outlineLvl w:val="0"/>
        <w:rPr>
          <w:rFonts w:ascii="宋体" w:hAnsi="宋体" w:cs="宋体"/>
          <w:b/>
          <w:sz w:val="24"/>
        </w:rPr>
      </w:pPr>
      <w:bookmarkStart w:id="419" w:name="_Toc27250"/>
      <w:bookmarkStart w:id="420" w:name="_Toc21423"/>
      <w:bookmarkStart w:id="421" w:name="_Toc19554"/>
      <w:r>
        <w:rPr>
          <w:rFonts w:hint="eastAsia" w:ascii="宋体" w:hAnsi="宋体" w:cs="宋体"/>
          <w:b/>
          <w:sz w:val="24"/>
        </w:rPr>
        <w:t>1.8违约责任</w:t>
      </w:r>
      <w:bookmarkEnd w:id="419"/>
      <w:bookmarkEnd w:id="420"/>
      <w:bookmarkEnd w:id="421"/>
    </w:p>
    <w:p w14:paraId="04A24A1F">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77DD3372">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0A8D6E08">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09A0E28">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3C7CC46">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07C408B">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18F86252">
      <w:pPr>
        <w:spacing w:line="560" w:lineRule="exact"/>
        <w:ind w:firstLine="482" w:firstLineChars="200"/>
        <w:outlineLvl w:val="0"/>
        <w:rPr>
          <w:rFonts w:ascii="宋体" w:hAnsi="宋体" w:cs="宋体"/>
          <w:b/>
          <w:sz w:val="24"/>
        </w:rPr>
      </w:pPr>
      <w:bookmarkStart w:id="422" w:name="_Toc16021"/>
      <w:bookmarkStart w:id="423" w:name="_Toc28375"/>
      <w:bookmarkStart w:id="424" w:name="_Toc15583"/>
      <w:r>
        <w:rPr>
          <w:rFonts w:hint="eastAsia" w:ascii="宋体" w:hAnsi="宋体" w:cs="宋体"/>
          <w:b/>
          <w:sz w:val="24"/>
        </w:rPr>
        <w:t>1.9合同争议的解决</w:t>
      </w:r>
      <w:bookmarkEnd w:id="422"/>
      <w:bookmarkEnd w:id="423"/>
      <w:bookmarkEnd w:id="424"/>
    </w:p>
    <w:p w14:paraId="0D4813F7">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1.9.2</w:t>
      </w:r>
      <w:r>
        <w:rPr>
          <w:rFonts w:hint="eastAsia" w:ascii="宋体" w:hAnsi="宋体" w:cs="宋体"/>
          <w:b/>
          <w:i/>
          <w:sz w:val="24"/>
          <w:u w:val="single"/>
        </w:rPr>
        <w:t xml:space="preserve">   </w:t>
      </w:r>
      <w:r>
        <w:rPr>
          <w:rFonts w:hint="eastAsia" w:ascii="宋体" w:hAnsi="宋体" w:cs="宋体"/>
          <w:sz w:val="24"/>
        </w:rPr>
        <w:t>条款规定的方式解决：</w:t>
      </w:r>
    </w:p>
    <w:p w14:paraId="6D81783E">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33783BD">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88CFC36">
      <w:pPr>
        <w:spacing w:line="560" w:lineRule="exact"/>
        <w:ind w:firstLine="482" w:firstLineChars="200"/>
        <w:outlineLvl w:val="0"/>
        <w:rPr>
          <w:rFonts w:ascii="宋体" w:hAnsi="宋体" w:cs="宋体"/>
          <w:b/>
          <w:sz w:val="24"/>
        </w:rPr>
      </w:pPr>
      <w:bookmarkStart w:id="425" w:name="_Toc11173"/>
      <w:bookmarkStart w:id="426" w:name="_Toc7245"/>
      <w:bookmarkStart w:id="427" w:name="_Toc15322"/>
      <w:r>
        <w:rPr>
          <w:rFonts w:hint="eastAsia" w:ascii="宋体" w:hAnsi="宋体" w:cs="宋体"/>
          <w:b/>
          <w:sz w:val="24"/>
        </w:rPr>
        <w:t>2.0 合同生效</w:t>
      </w:r>
      <w:bookmarkEnd w:id="425"/>
      <w:bookmarkEnd w:id="426"/>
      <w:bookmarkEnd w:id="427"/>
    </w:p>
    <w:p w14:paraId="3A11C8D8">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3F7D6F8A">
      <w:pPr>
        <w:autoSpaceDE w:val="0"/>
        <w:autoSpaceDN w:val="0"/>
        <w:spacing w:line="560" w:lineRule="exact"/>
        <w:rPr>
          <w:rFonts w:ascii="宋体" w:hAnsi="宋体" w:cs="宋体"/>
          <w:sz w:val="24"/>
          <w:lang w:val="zh-CN"/>
        </w:rPr>
      </w:pPr>
    </w:p>
    <w:p w14:paraId="1246A506">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31A0B0B5">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483C0702">
      <w:pPr>
        <w:autoSpaceDE w:val="0"/>
        <w:autoSpaceDN w:val="0"/>
        <w:spacing w:line="560" w:lineRule="exact"/>
        <w:rPr>
          <w:rFonts w:ascii="宋体" w:hAnsi="宋体" w:cs="宋体"/>
          <w:sz w:val="24"/>
          <w:lang w:val="zh-CN"/>
        </w:rPr>
      </w:pPr>
    </w:p>
    <w:p w14:paraId="42F83BB7">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57D0A109">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6F4CC07B">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53519F9E">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535C017D">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1C6B83AF">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53C11406">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3B76682E">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368BE4B4">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683501BB">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400AB1F7">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31A299FE">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2E83388C">
      <w:pPr>
        <w:pStyle w:val="3"/>
        <w:rPr>
          <w:rFonts w:ascii="宋体" w:hAnsi="宋体" w:cs="宋体"/>
          <w:sz w:val="24"/>
        </w:rPr>
      </w:pPr>
    </w:p>
    <w:p w14:paraId="58E75800">
      <w:pPr>
        <w:rPr>
          <w:rFonts w:ascii="宋体" w:hAnsi="宋体" w:cs="宋体"/>
          <w:sz w:val="24"/>
        </w:rPr>
      </w:pPr>
    </w:p>
    <w:p w14:paraId="328BD5AE">
      <w:pPr>
        <w:pStyle w:val="3"/>
        <w:rPr>
          <w:rFonts w:ascii="宋体" w:hAnsi="宋体" w:cs="宋体"/>
          <w:sz w:val="24"/>
        </w:rPr>
      </w:pPr>
    </w:p>
    <w:p w14:paraId="70EAA2CF">
      <w:pPr>
        <w:pStyle w:val="3"/>
        <w:ind w:left="0" w:leftChars="0" w:firstLine="0" w:firstLineChars="0"/>
        <w:rPr>
          <w:rFonts w:ascii="宋体" w:hAnsi="宋体" w:cs="宋体"/>
          <w:sz w:val="24"/>
        </w:rPr>
      </w:pPr>
    </w:p>
    <w:p w14:paraId="553AFAA6">
      <w:pPr>
        <w:rPr>
          <w:rFonts w:ascii="宋体" w:hAnsi="宋体" w:cs="宋体"/>
          <w:sz w:val="24"/>
        </w:rPr>
      </w:pPr>
    </w:p>
    <w:p w14:paraId="6C6197F0">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23A33C8B">
      <w:pPr>
        <w:spacing w:line="560" w:lineRule="exact"/>
        <w:ind w:firstLine="482" w:firstLineChars="200"/>
        <w:outlineLvl w:val="0"/>
        <w:rPr>
          <w:rFonts w:ascii="宋体" w:hAnsi="宋体" w:cs="宋体"/>
          <w:b/>
          <w:sz w:val="24"/>
        </w:rPr>
      </w:pPr>
      <w:bookmarkStart w:id="428" w:name="_Ref467379195"/>
      <w:bookmarkStart w:id="429" w:name="_Toc16917"/>
      <w:bookmarkStart w:id="430" w:name="_Ref467379205"/>
      <w:bookmarkStart w:id="431" w:name="_Ref467379214"/>
      <w:bookmarkStart w:id="432" w:name="_Ref467378463"/>
      <w:bookmarkStart w:id="433" w:name="_Ref467378499"/>
      <w:bookmarkStart w:id="434" w:name="_Ref467379094"/>
      <w:bookmarkStart w:id="435" w:name="_Ref467378404"/>
      <w:bookmarkStart w:id="436" w:name="_Toc487900349"/>
      <w:bookmarkStart w:id="437" w:name="_Ref467379109"/>
      <w:bookmarkStart w:id="438" w:name="_Toc259093669"/>
      <w:bookmarkStart w:id="439" w:name="_Ref467379225"/>
      <w:bookmarkStart w:id="440" w:name="_Toc28763"/>
      <w:bookmarkStart w:id="441" w:name="_Toc19614"/>
      <w:bookmarkStart w:id="442" w:name="_Ref467379101"/>
      <w:bookmarkStart w:id="443" w:name="_Toc279701240"/>
      <w:r>
        <w:rPr>
          <w:rFonts w:hint="eastAsia" w:ascii="宋体" w:hAnsi="宋体" w:cs="宋体"/>
          <w:b/>
          <w:sz w:val="24"/>
        </w:rPr>
        <w:t>2.1 定义</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554A41E4">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0C4C8337">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0C3F6DAC">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5FDFDB39">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41B157C8">
      <w:pPr>
        <w:spacing w:line="560" w:lineRule="exact"/>
        <w:ind w:firstLine="480" w:firstLineChars="200"/>
        <w:rPr>
          <w:rFonts w:ascii="宋体" w:hAnsi="宋体" w:cs="宋体"/>
          <w:sz w:val="24"/>
        </w:rPr>
      </w:pPr>
      <w:bookmarkStart w:id="444" w:name="_Ref467378840"/>
      <w:r>
        <w:rPr>
          <w:rFonts w:hint="eastAsia" w:ascii="宋体" w:hAnsi="宋体" w:cs="宋体"/>
          <w:sz w:val="24"/>
        </w:rPr>
        <w:t>2.1.4 “甲方”系指与中标或成交供应商签署合同的采购人</w:t>
      </w:r>
      <w:bookmarkEnd w:id="444"/>
      <w:r>
        <w:rPr>
          <w:rFonts w:hint="eastAsia" w:ascii="宋体" w:hAnsi="宋体" w:cs="宋体"/>
          <w:sz w:val="24"/>
        </w:rPr>
        <w:t>；采购人委托采购代理机构代表其与乙方签订合同的，采购人的授权委托书作为合同附件。</w:t>
      </w:r>
    </w:p>
    <w:p w14:paraId="0488D834">
      <w:pPr>
        <w:spacing w:line="560" w:lineRule="exact"/>
        <w:ind w:firstLine="480" w:firstLineChars="200"/>
        <w:rPr>
          <w:rFonts w:ascii="宋体" w:hAnsi="宋体" w:cs="宋体"/>
          <w:sz w:val="24"/>
        </w:rPr>
      </w:pPr>
      <w:bookmarkStart w:id="445" w:name="_Ref467379400"/>
      <w:r>
        <w:rPr>
          <w:rFonts w:hint="eastAsia" w:ascii="宋体" w:hAnsi="宋体" w:cs="宋体"/>
          <w:sz w:val="24"/>
        </w:rPr>
        <w:t>2.1.5 “乙方”系指根据合同约定交付货物的中标或成交供应商</w:t>
      </w:r>
      <w:bookmarkEnd w:id="44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D2D8E5B">
      <w:pPr>
        <w:spacing w:line="560" w:lineRule="exact"/>
        <w:ind w:firstLine="480" w:firstLineChars="200"/>
        <w:rPr>
          <w:rFonts w:ascii="宋体" w:hAnsi="宋体" w:cs="宋体"/>
          <w:sz w:val="24"/>
        </w:rPr>
      </w:pPr>
      <w:bookmarkStart w:id="446" w:name="_Ref467379436"/>
      <w:r>
        <w:rPr>
          <w:rFonts w:hint="eastAsia" w:ascii="宋体" w:hAnsi="宋体" w:cs="宋体"/>
          <w:sz w:val="24"/>
        </w:rPr>
        <w:t>2.1.6 “现场”系指合同约定货物将要运至或者安装的地点。</w:t>
      </w:r>
      <w:bookmarkEnd w:id="446"/>
    </w:p>
    <w:p w14:paraId="0983E402">
      <w:pPr>
        <w:spacing w:line="560" w:lineRule="exact"/>
        <w:ind w:firstLine="482" w:firstLineChars="200"/>
        <w:outlineLvl w:val="0"/>
        <w:rPr>
          <w:rFonts w:ascii="宋体" w:hAnsi="宋体" w:cs="宋体"/>
          <w:b/>
          <w:sz w:val="24"/>
        </w:rPr>
      </w:pPr>
      <w:bookmarkStart w:id="447" w:name="_Toc279701241"/>
      <w:bookmarkStart w:id="448" w:name="_Toc13336"/>
      <w:bookmarkStart w:id="449" w:name="_Toc259093670"/>
      <w:bookmarkStart w:id="450" w:name="_Toc487900350"/>
      <w:bookmarkStart w:id="451" w:name="_Toc32504"/>
      <w:bookmarkStart w:id="452" w:name="_Toc27635"/>
      <w:r>
        <w:rPr>
          <w:rFonts w:hint="eastAsia" w:ascii="宋体" w:hAnsi="宋体" w:cs="宋体"/>
          <w:b/>
          <w:sz w:val="24"/>
        </w:rPr>
        <w:t>2.2 技术规范</w:t>
      </w:r>
      <w:bookmarkEnd w:id="447"/>
      <w:bookmarkEnd w:id="448"/>
      <w:bookmarkEnd w:id="449"/>
      <w:bookmarkEnd w:id="450"/>
      <w:bookmarkEnd w:id="451"/>
      <w:bookmarkEnd w:id="452"/>
    </w:p>
    <w:p w14:paraId="33257282">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CEC9A0D">
      <w:pPr>
        <w:spacing w:line="560" w:lineRule="exact"/>
        <w:ind w:firstLine="482" w:firstLineChars="200"/>
        <w:outlineLvl w:val="0"/>
        <w:rPr>
          <w:rFonts w:ascii="宋体" w:hAnsi="宋体" w:cs="宋体"/>
          <w:b/>
          <w:sz w:val="24"/>
        </w:rPr>
      </w:pPr>
      <w:bookmarkStart w:id="453" w:name="_Toc31634"/>
      <w:bookmarkStart w:id="454" w:name="_Toc27853"/>
      <w:bookmarkStart w:id="455" w:name="_Toc487900351"/>
      <w:bookmarkStart w:id="456" w:name="_Toc279701242"/>
      <w:bookmarkStart w:id="457" w:name="_Toc259093671"/>
      <w:bookmarkStart w:id="458" w:name="_Toc9829"/>
      <w:r>
        <w:rPr>
          <w:rFonts w:hint="eastAsia" w:ascii="宋体" w:hAnsi="宋体" w:cs="宋体"/>
          <w:b/>
          <w:sz w:val="24"/>
        </w:rPr>
        <w:t>2.3 知识产权</w:t>
      </w:r>
      <w:bookmarkEnd w:id="453"/>
      <w:bookmarkEnd w:id="454"/>
      <w:bookmarkEnd w:id="455"/>
      <w:bookmarkEnd w:id="456"/>
      <w:bookmarkEnd w:id="457"/>
      <w:bookmarkEnd w:id="458"/>
    </w:p>
    <w:p w14:paraId="0CDDD710">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54B69484">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7DFC60F8">
      <w:pPr>
        <w:spacing w:line="560" w:lineRule="exact"/>
        <w:ind w:firstLine="482" w:firstLineChars="200"/>
        <w:outlineLvl w:val="0"/>
        <w:rPr>
          <w:rFonts w:ascii="宋体" w:hAnsi="宋体" w:cs="宋体"/>
          <w:b/>
          <w:sz w:val="24"/>
        </w:rPr>
      </w:pPr>
      <w:bookmarkStart w:id="459" w:name="_Toc4194"/>
      <w:bookmarkStart w:id="460" w:name="_Toc11932"/>
      <w:bookmarkStart w:id="461" w:name="_Toc29149"/>
      <w:r>
        <w:rPr>
          <w:rFonts w:hint="eastAsia" w:ascii="宋体" w:hAnsi="宋体" w:cs="宋体"/>
          <w:b/>
          <w:sz w:val="24"/>
        </w:rPr>
        <w:t>2.4 包装和装运</w:t>
      </w:r>
      <w:bookmarkEnd w:id="459"/>
      <w:bookmarkEnd w:id="460"/>
      <w:bookmarkEnd w:id="461"/>
    </w:p>
    <w:p w14:paraId="5ED0F324">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38BB4B4">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10D8203">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05826755">
      <w:pPr>
        <w:spacing w:line="560" w:lineRule="exact"/>
        <w:ind w:firstLine="482" w:firstLineChars="200"/>
        <w:outlineLvl w:val="0"/>
        <w:rPr>
          <w:rFonts w:ascii="宋体" w:hAnsi="宋体" w:cs="宋体"/>
          <w:b/>
          <w:sz w:val="24"/>
        </w:rPr>
      </w:pPr>
      <w:bookmarkStart w:id="462" w:name="_Ref467379536"/>
      <w:bookmarkStart w:id="463" w:name="_Toc487900354"/>
      <w:bookmarkStart w:id="464" w:name="_Ref467379527"/>
      <w:bookmarkStart w:id="465" w:name="_Toc259093674"/>
      <w:bookmarkStart w:id="466" w:name="_Toc279701245"/>
      <w:bookmarkStart w:id="467" w:name="_Ref467378591"/>
      <w:bookmarkStart w:id="468" w:name="_Ref467379542"/>
      <w:bookmarkStart w:id="469" w:name="_Ref467378541"/>
      <w:bookmarkStart w:id="470" w:name="_Toc26182"/>
      <w:bookmarkStart w:id="471" w:name="_Toc30272"/>
      <w:bookmarkStart w:id="472" w:name="_Toc19074"/>
      <w:r>
        <w:rPr>
          <w:rFonts w:hint="eastAsia" w:ascii="宋体" w:hAnsi="宋体" w:cs="宋体"/>
          <w:b/>
          <w:sz w:val="24"/>
        </w:rPr>
        <w:t>2.</w:t>
      </w:r>
      <w:bookmarkEnd w:id="462"/>
      <w:bookmarkEnd w:id="463"/>
      <w:bookmarkEnd w:id="464"/>
      <w:bookmarkEnd w:id="465"/>
      <w:bookmarkEnd w:id="466"/>
      <w:bookmarkEnd w:id="467"/>
      <w:bookmarkEnd w:id="468"/>
      <w:bookmarkEnd w:id="469"/>
      <w:r>
        <w:rPr>
          <w:rFonts w:hint="eastAsia" w:ascii="宋体" w:hAnsi="宋体" w:cs="宋体"/>
          <w:b/>
          <w:sz w:val="24"/>
        </w:rPr>
        <w:t>5 履约检查和问题反馈</w:t>
      </w:r>
      <w:bookmarkEnd w:id="470"/>
      <w:bookmarkEnd w:id="471"/>
      <w:bookmarkEnd w:id="472"/>
    </w:p>
    <w:p w14:paraId="7259BFA5">
      <w:pPr>
        <w:spacing w:line="560" w:lineRule="exact"/>
        <w:ind w:firstLine="480" w:firstLineChars="200"/>
        <w:rPr>
          <w:rFonts w:ascii="宋体" w:hAnsi="宋体" w:cs="宋体"/>
          <w:sz w:val="24"/>
        </w:rPr>
      </w:pPr>
      <w:bookmarkStart w:id="473" w:name="_Ref467379657"/>
      <w:r>
        <w:rPr>
          <w:rFonts w:hint="eastAsia" w:ascii="宋体" w:hAnsi="宋体" w:cs="宋体"/>
          <w:sz w:val="24"/>
        </w:rPr>
        <w:t>2.5.1</w:t>
      </w:r>
      <w:bookmarkEnd w:id="473"/>
      <w:bookmarkStart w:id="474" w:name="_Toc186431854"/>
      <w:bookmarkStart w:id="475" w:name="_Toc487900357"/>
      <w:bookmarkStart w:id="476" w:name="_Ref467379793"/>
      <w:bookmarkStart w:id="477" w:name="_Ref467379807"/>
      <w:bookmarkStart w:id="478" w:name="_Toc259093676"/>
      <w:bookmarkStart w:id="479"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BC8E51D">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4"/>
      <w:bookmarkStart w:id="480" w:name="_Toc186431855"/>
      <w:r>
        <w:rPr>
          <w:rFonts w:hint="eastAsia" w:ascii="宋体" w:hAnsi="宋体" w:cs="宋体"/>
          <w:sz w:val="24"/>
        </w:rPr>
        <w:t>。</w:t>
      </w:r>
    </w:p>
    <w:bookmarkEnd w:id="475"/>
    <w:bookmarkEnd w:id="476"/>
    <w:bookmarkEnd w:id="477"/>
    <w:bookmarkEnd w:id="478"/>
    <w:bookmarkEnd w:id="479"/>
    <w:bookmarkEnd w:id="480"/>
    <w:p w14:paraId="720CE4A7">
      <w:pPr>
        <w:spacing w:line="560" w:lineRule="exact"/>
        <w:ind w:firstLine="482" w:firstLineChars="200"/>
        <w:outlineLvl w:val="0"/>
        <w:rPr>
          <w:rFonts w:ascii="宋体" w:hAnsi="宋体" w:cs="宋体"/>
          <w:b/>
          <w:sz w:val="24"/>
        </w:rPr>
      </w:pPr>
      <w:bookmarkStart w:id="481" w:name="_Toc259093677"/>
      <w:bookmarkStart w:id="482" w:name="_Toc279701248"/>
      <w:bookmarkStart w:id="483" w:name="_Ref467379852"/>
      <w:bookmarkStart w:id="484" w:name="_Ref467379863"/>
      <w:bookmarkStart w:id="485" w:name="_Ref467379923"/>
      <w:bookmarkStart w:id="486" w:name="_Toc487900358"/>
      <w:bookmarkStart w:id="487" w:name="_Toc774"/>
      <w:bookmarkStart w:id="488" w:name="_Toc16110"/>
      <w:bookmarkStart w:id="489" w:name="_Toc3225"/>
      <w:r>
        <w:rPr>
          <w:rFonts w:hint="eastAsia" w:ascii="宋体" w:hAnsi="宋体" w:cs="宋体"/>
          <w:b/>
          <w:sz w:val="24"/>
        </w:rPr>
        <w:t>2.6 技术资料</w:t>
      </w:r>
      <w:bookmarkEnd w:id="481"/>
      <w:bookmarkEnd w:id="482"/>
      <w:bookmarkEnd w:id="483"/>
      <w:bookmarkEnd w:id="484"/>
      <w:bookmarkEnd w:id="485"/>
      <w:bookmarkEnd w:id="486"/>
      <w:r>
        <w:rPr>
          <w:rFonts w:hint="eastAsia" w:ascii="宋体" w:hAnsi="宋体" w:cs="宋体"/>
          <w:b/>
          <w:sz w:val="24"/>
        </w:rPr>
        <w:t>和保密义务</w:t>
      </w:r>
      <w:bookmarkEnd w:id="487"/>
      <w:bookmarkEnd w:id="488"/>
      <w:bookmarkEnd w:id="489"/>
    </w:p>
    <w:p w14:paraId="53ACE23D">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8F7C6E2">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6EFC3E4F">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59043C1">
      <w:pPr>
        <w:spacing w:line="560" w:lineRule="exact"/>
        <w:ind w:firstLine="482" w:firstLineChars="200"/>
        <w:outlineLvl w:val="0"/>
        <w:rPr>
          <w:rFonts w:ascii="宋体" w:hAnsi="宋体" w:cs="宋体"/>
          <w:b/>
          <w:sz w:val="24"/>
        </w:rPr>
      </w:pPr>
      <w:bookmarkStart w:id="490" w:name="_Toc7860"/>
      <w:r>
        <w:rPr>
          <w:rFonts w:hint="eastAsia" w:ascii="宋体" w:hAnsi="宋体" w:cs="宋体"/>
          <w:b/>
          <w:sz w:val="24"/>
        </w:rPr>
        <w:t>2.7 质量保证</w:t>
      </w:r>
      <w:bookmarkEnd w:id="490"/>
    </w:p>
    <w:p w14:paraId="02C1B2BB">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1F636049">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3E4A875A">
      <w:pPr>
        <w:spacing w:line="560" w:lineRule="exact"/>
        <w:ind w:firstLine="482" w:firstLineChars="200"/>
        <w:outlineLvl w:val="0"/>
        <w:rPr>
          <w:rFonts w:ascii="宋体" w:hAnsi="宋体" w:cs="宋体"/>
          <w:b/>
          <w:sz w:val="24"/>
        </w:rPr>
      </w:pPr>
      <w:bookmarkStart w:id="491" w:name="_Toc17244"/>
      <w:bookmarkStart w:id="492" w:name="_Toc279701252"/>
      <w:bookmarkStart w:id="493" w:name="_Toc487900362"/>
      <w:bookmarkStart w:id="494" w:name="_Toc259093681"/>
      <w:r>
        <w:rPr>
          <w:rFonts w:hint="eastAsia" w:ascii="宋体" w:hAnsi="宋体" w:cs="宋体"/>
          <w:b/>
          <w:sz w:val="24"/>
        </w:rPr>
        <w:t>2.8 货物的风险负担</w:t>
      </w:r>
      <w:bookmarkEnd w:id="491"/>
    </w:p>
    <w:p w14:paraId="7A024004">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75F68D2F">
      <w:pPr>
        <w:spacing w:line="560" w:lineRule="exact"/>
        <w:ind w:firstLine="482" w:firstLineChars="200"/>
        <w:outlineLvl w:val="0"/>
        <w:rPr>
          <w:rFonts w:ascii="宋体" w:hAnsi="宋体" w:cs="宋体"/>
          <w:b/>
          <w:sz w:val="24"/>
        </w:rPr>
      </w:pPr>
      <w:bookmarkStart w:id="495" w:name="_Toc14055"/>
      <w:r>
        <w:rPr>
          <w:rFonts w:hint="eastAsia" w:ascii="宋体" w:hAnsi="宋体" w:cs="宋体"/>
          <w:b/>
          <w:sz w:val="24"/>
        </w:rPr>
        <w:t>2.9 延迟交货</w:t>
      </w:r>
      <w:bookmarkEnd w:id="492"/>
      <w:bookmarkEnd w:id="493"/>
      <w:bookmarkEnd w:id="494"/>
      <w:bookmarkEnd w:id="495"/>
    </w:p>
    <w:p w14:paraId="3E415804">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3C68BB4">
      <w:pPr>
        <w:spacing w:line="560" w:lineRule="exact"/>
        <w:ind w:firstLine="482" w:firstLineChars="200"/>
        <w:outlineLvl w:val="0"/>
        <w:rPr>
          <w:rFonts w:ascii="宋体" w:hAnsi="宋体" w:cs="宋体"/>
          <w:b/>
          <w:sz w:val="24"/>
        </w:rPr>
      </w:pPr>
      <w:bookmarkStart w:id="496" w:name="_Toc7502"/>
      <w:bookmarkStart w:id="497" w:name="_Toc487900364"/>
      <w:bookmarkStart w:id="498" w:name="_Ref467378121"/>
      <w:bookmarkStart w:id="499" w:name="_Toc259093683"/>
      <w:bookmarkStart w:id="500" w:name="_Toc279701254"/>
      <w:r>
        <w:rPr>
          <w:rFonts w:hint="eastAsia" w:ascii="宋体" w:hAnsi="宋体" w:cs="宋体"/>
          <w:b/>
          <w:sz w:val="24"/>
        </w:rPr>
        <w:t>2.10 合同变更</w:t>
      </w:r>
      <w:bookmarkEnd w:id="496"/>
    </w:p>
    <w:p w14:paraId="1ABE8ECE">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1" w:name="_Toc279701259"/>
      <w:bookmarkStart w:id="502" w:name="_Toc259093688"/>
      <w:bookmarkStart w:id="503" w:name="_Toc487900369"/>
    </w:p>
    <w:p w14:paraId="29A3CBDB">
      <w:pPr>
        <w:spacing w:line="560" w:lineRule="exact"/>
        <w:ind w:firstLine="482" w:firstLineChars="200"/>
        <w:outlineLvl w:val="0"/>
        <w:rPr>
          <w:rFonts w:ascii="宋体" w:hAnsi="宋体" w:cs="宋体"/>
          <w:b/>
          <w:sz w:val="24"/>
        </w:rPr>
      </w:pPr>
      <w:bookmarkStart w:id="504" w:name="_Toc22955"/>
      <w:bookmarkStart w:id="505" w:name="_Toc10366"/>
      <w:bookmarkStart w:id="506" w:name="_Toc15237"/>
      <w:r>
        <w:rPr>
          <w:rFonts w:hint="eastAsia" w:ascii="宋体" w:hAnsi="宋体" w:cs="宋体"/>
          <w:b/>
          <w:sz w:val="24"/>
        </w:rPr>
        <w:t>2.11 合同转让</w:t>
      </w:r>
      <w:bookmarkEnd w:id="501"/>
      <w:bookmarkEnd w:id="502"/>
      <w:bookmarkEnd w:id="503"/>
      <w:r>
        <w:rPr>
          <w:rFonts w:hint="eastAsia" w:ascii="宋体" w:hAnsi="宋体" w:cs="宋体"/>
          <w:b/>
          <w:sz w:val="24"/>
        </w:rPr>
        <w:t>和分包</w:t>
      </w:r>
      <w:bookmarkEnd w:id="504"/>
      <w:bookmarkEnd w:id="505"/>
      <w:bookmarkEnd w:id="506"/>
    </w:p>
    <w:p w14:paraId="759027DD">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ADB9967">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680521E7">
      <w:pPr>
        <w:spacing w:line="560" w:lineRule="exact"/>
        <w:ind w:firstLine="482" w:firstLineChars="200"/>
        <w:outlineLvl w:val="0"/>
        <w:rPr>
          <w:rFonts w:ascii="宋体" w:hAnsi="宋体" w:cs="宋体"/>
          <w:b/>
          <w:sz w:val="24"/>
        </w:rPr>
      </w:pPr>
      <w:bookmarkStart w:id="507" w:name="_Toc14066"/>
      <w:bookmarkStart w:id="508" w:name="_Toc16508"/>
      <w:bookmarkStart w:id="509" w:name="_Toc13566"/>
      <w:r>
        <w:rPr>
          <w:rFonts w:hint="eastAsia" w:ascii="宋体" w:hAnsi="宋体" w:cs="宋体"/>
          <w:b/>
          <w:sz w:val="24"/>
        </w:rPr>
        <w:t>2.12 不可抗力</w:t>
      </w:r>
      <w:bookmarkEnd w:id="507"/>
      <w:bookmarkEnd w:id="508"/>
      <w:bookmarkEnd w:id="509"/>
    </w:p>
    <w:p w14:paraId="23F86F49">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053AF822">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6E8D8BC6">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48161CCC">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B2BE8BB">
      <w:pPr>
        <w:spacing w:line="560" w:lineRule="exact"/>
        <w:ind w:firstLine="482" w:firstLineChars="200"/>
        <w:outlineLvl w:val="0"/>
        <w:rPr>
          <w:rFonts w:ascii="宋体" w:hAnsi="宋体" w:cs="宋体"/>
          <w:b/>
          <w:sz w:val="24"/>
        </w:rPr>
      </w:pPr>
      <w:bookmarkStart w:id="510" w:name="_Toc30676"/>
      <w:bookmarkStart w:id="511" w:name="_Toc6969"/>
      <w:bookmarkStart w:id="512" w:name="_Toc259093684"/>
      <w:bookmarkStart w:id="513" w:name="_Toc487900365"/>
      <w:bookmarkStart w:id="514" w:name="_Toc279701255"/>
      <w:bookmarkStart w:id="515" w:name="_Toc689"/>
      <w:r>
        <w:rPr>
          <w:rFonts w:hint="eastAsia" w:ascii="宋体" w:hAnsi="宋体" w:cs="宋体"/>
          <w:b/>
          <w:sz w:val="24"/>
        </w:rPr>
        <w:t>2.13 税费</w:t>
      </w:r>
      <w:bookmarkEnd w:id="510"/>
      <w:bookmarkEnd w:id="511"/>
      <w:bookmarkEnd w:id="512"/>
      <w:bookmarkEnd w:id="513"/>
      <w:bookmarkEnd w:id="514"/>
      <w:bookmarkEnd w:id="515"/>
    </w:p>
    <w:p w14:paraId="7D051E41">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4BDAEE27">
      <w:pPr>
        <w:spacing w:line="560" w:lineRule="exact"/>
        <w:ind w:firstLine="482" w:firstLineChars="200"/>
        <w:outlineLvl w:val="0"/>
        <w:rPr>
          <w:rFonts w:ascii="宋体" w:hAnsi="宋体" w:cs="宋体"/>
          <w:b/>
          <w:sz w:val="24"/>
        </w:rPr>
      </w:pPr>
      <w:bookmarkStart w:id="516" w:name="_Toc16959"/>
      <w:bookmarkStart w:id="517" w:name="_Toc279701258"/>
      <w:bookmarkStart w:id="518" w:name="_Toc259093687"/>
      <w:bookmarkStart w:id="519" w:name="_Toc487900368"/>
      <w:bookmarkStart w:id="520" w:name="_Toc7102"/>
      <w:bookmarkStart w:id="521" w:name="_Toc8298"/>
      <w:r>
        <w:rPr>
          <w:rFonts w:hint="eastAsia" w:ascii="宋体" w:hAnsi="宋体" w:cs="宋体"/>
          <w:b/>
          <w:sz w:val="24"/>
        </w:rPr>
        <w:t>2.14乙方破产</w:t>
      </w:r>
      <w:bookmarkEnd w:id="516"/>
      <w:bookmarkEnd w:id="517"/>
      <w:bookmarkEnd w:id="518"/>
      <w:bookmarkEnd w:id="519"/>
      <w:bookmarkEnd w:id="520"/>
      <w:bookmarkEnd w:id="521"/>
    </w:p>
    <w:p w14:paraId="2C23E073">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D1B1A2D">
      <w:pPr>
        <w:spacing w:line="560" w:lineRule="exact"/>
        <w:ind w:firstLine="482" w:firstLineChars="200"/>
        <w:outlineLvl w:val="0"/>
        <w:rPr>
          <w:rFonts w:ascii="宋体" w:hAnsi="宋体" w:cs="宋体"/>
          <w:b/>
          <w:sz w:val="24"/>
        </w:rPr>
      </w:pPr>
      <w:bookmarkStart w:id="522" w:name="_Toc6134"/>
      <w:bookmarkStart w:id="523" w:name="_Toc15387"/>
      <w:bookmarkStart w:id="524" w:name="_Toc29333"/>
      <w:r>
        <w:rPr>
          <w:rFonts w:hint="eastAsia" w:ascii="宋体" w:hAnsi="宋体" w:cs="宋体"/>
          <w:b/>
          <w:sz w:val="24"/>
        </w:rPr>
        <w:t>2.15 合同中止、终止</w:t>
      </w:r>
      <w:bookmarkEnd w:id="522"/>
      <w:bookmarkEnd w:id="523"/>
      <w:bookmarkEnd w:id="524"/>
    </w:p>
    <w:p w14:paraId="5E202DBC">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7ED2A0DA">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0DEDE2CF">
      <w:pPr>
        <w:spacing w:line="560" w:lineRule="exact"/>
        <w:ind w:firstLine="482" w:firstLineChars="200"/>
        <w:outlineLvl w:val="0"/>
        <w:rPr>
          <w:rFonts w:ascii="宋体" w:hAnsi="宋体" w:cs="宋体"/>
          <w:b/>
          <w:sz w:val="24"/>
        </w:rPr>
      </w:pPr>
      <w:bookmarkStart w:id="525" w:name="_Toc1125"/>
      <w:bookmarkStart w:id="526" w:name="_Toc14563"/>
      <w:bookmarkStart w:id="527" w:name="_Toc6596"/>
      <w:r>
        <w:rPr>
          <w:rFonts w:hint="eastAsia" w:ascii="宋体" w:hAnsi="宋体" w:cs="宋体"/>
          <w:b/>
          <w:sz w:val="24"/>
        </w:rPr>
        <w:t>2.16检验和验收</w:t>
      </w:r>
      <w:bookmarkEnd w:id="525"/>
      <w:bookmarkEnd w:id="526"/>
      <w:bookmarkEnd w:id="527"/>
    </w:p>
    <w:p w14:paraId="101D187D">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22A32A51">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2F10997">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7"/>
    <w:bookmarkEnd w:id="498"/>
    <w:bookmarkEnd w:id="499"/>
    <w:bookmarkEnd w:id="500"/>
    <w:p w14:paraId="057DEA97">
      <w:pPr>
        <w:spacing w:line="560" w:lineRule="exact"/>
        <w:ind w:firstLine="482" w:firstLineChars="200"/>
        <w:outlineLvl w:val="0"/>
        <w:rPr>
          <w:rFonts w:ascii="宋体" w:hAnsi="宋体" w:cs="宋体"/>
          <w:b/>
          <w:sz w:val="24"/>
        </w:rPr>
      </w:pPr>
      <w:bookmarkStart w:id="528" w:name="_Toc259093690"/>
      <w:bookmarkStart w:id="529" w:name="_Toc279701261"/>
      <w:bookmarkStart w:id="530" w:name="_Toc487900371"/>
      <w:bookmarkStart w:id="531" w:name="_Toc11284"/>
      <w:bookmarkStart w:id="532" w:name="_Toc25182"/>
      <w:bookmarkStart w:id="533" w:name="_Toc19604"/>
      <w:r>
        <w:rPr>
          <w:rFonts w:hint="eastAsia" w:ascii="宋体" w:hAnsi="宋体" w:cs="宋体"/>
          <w:b/>
          <w:sz w:val="24"/>
        </w:rPr>
        <w:t>2.17 通知</w:t>
      </w:r>
      <w:bookmarkEnd w:id="528"/>
      <w:bookmarkEnd w:id="529"/>
      <w:bookmarkEnd w:id="530"/>
      <w:r>
        <w:rPr>
          <w:rFonts w:hint="eastAsia" w:ascii="宋体" w:hAnsi="宋体" w:cs="宋体"/>
          <w:b/>
          <w:sz w:val="24"/>
        </w:rPr>
        <w:t>和送达</w:t>
      </w:r>
      <w:bookmarkEnd w:id="531"/>
      <w:bookmarkEnd w:id="532"/>
      <w:bookmarkEnd w:id="533"/>
    </w:p>
    <w:p w14:paraId="122FFD89">
      <w:pPr>
        <w:spacing w:line="560" w:lineRule="exact"/>
        <w:ind w:firstLine="480" w:firstLineChars="200"/>
        <w:rPr>
          <w:rFonts w:ascii="宋体" w:hAnsi="宋体" w:cs="宋体"/>
          <w:sz w:val="24"/>
        </w:rPr>
      </w:pPr>
      <w:bookmarkStart w:id="534" w:name="_Toc6698"/>
      <w:bookmarkStart w:id="535" w:name="_Toc3135"/>
      <w:bookmarkStart w:id="536" w:name="_Toc279701262"/>
      <w:bookmarkStart w:id="537" w:name="_Toc259093691"/>
      <w:bookmarkStart w:id="538"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4"/>
      <w:bookmarkEnd w:id="535"/>
    </w:p>
    <w:p w14:paraId="0026DFE5">
      <w:pPr>
        <w:spacing w:line="560" w:lineRule="exact"/>
        <w:ind w:firstLine="480" w:firstLineChars="200"/>
        <w:rPr>
          <w:rFonts w:ascii="宋体" w:hAnsi="宋体" w:cs="宋体"/>
          <w:sz w:val="24"/>
        </w:rPr>
      </w:pPr>
      <w:bookmarkStart w:id="539" w:name="_Toc23294"/>
      <w:bookmarkStart w:id="540"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9"/>
      <w:bookmarkEnd w:id="540"/>
    </w:p>
    <w:p w14:paraId="35C3AB57">
      <w:pPr>
        <w:spacing w:line="560" w:lineRule="exact"/>
        <w:ind w:firstLine="482" w:firstLineChars="200"/>
        <w:outlineLvl w:val="0"/>
        <w:rPr>
          <w:rFonts w:ascii="宋体" w:hAnsi="宋体" w:cs="宋体"/>
          <w:b/>
          <w:sz w:val="24"/>
        </w:rPr>
      </w:pPr>
      <w:bookmarkStart w:id="541" w:name="_Toc18540"/>
      <w:bookmarkStart w:id="542" w:name="_Toc4355"/>
      <w:bookmarkStart w:id="543" w:name="_Toc30599"/>
      <w:r>
        <w:rPr>
          <w:rFonts w:hint="eastAsia" w:ascii="宋体" w:hAnsi="宋体" w:cs="宋体"/>
          <w:b/>
          <w:sz w:val="24"/>
        </w:rPr>
        <w:t>2.18 计量单位</w:t>
      </w:r>
      <w:bookmarkEnd w:id="536"/>
      <w:bookmarkEnd w:id="537"/>
      <w:bookmarkEnd w:id="538"/>
      <w:bookmarkEnd w:id="541"/>
      <w:bookmarkEnd w:id="542"/>
      <w:bookmarkEnd w:id="543"/>
    </w:p>
    <w:p w14:paraId="4291083B">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436910F">
      <w:pPr>
        <w:spacing w:line="560" w:lineRule="exact"/>
        <w:ind w:firstLine="482" w:firstLineChars="200"/>
        <w:outlineLvl w:val="0"/>
        <w:rPr>
          <w:rFonts w:ascii="宋体" w:hAnsi="宋体" w:cs="宋体"/>
          <w:b/>
          <w:sz w:val="24"/>
        </w:rPr>
      </w:pPr>
      <w:bookmarkStart w:id="544" w:name="_Toc18567"/>
      <w:bookmarkStart w:id="545" w:name="_Toc12773"/>
      <w:bookmarkStart w:id="546" w:name="_Toc279701263"/>
      <w:bookmarkStart w:id="547" w:name="_Toc259093692"/>
      <w:bookmarkStart w:id="548" w:name="_Toc10330"/>
      <w:bookmarkStart w:id="549" w:name="_Toc487900373"/>
      <w:r>
        <w:rPr>
          <w:rFonts w:hint="eastAsia" w:ascii="宋体" w:hAnsi="宋体" w:cs="宋体"/>
          <w:b/>
          <w:sz w:val="24"/>
        </w:rPr>
        <w:t>2.19 合同使用的文字和适用的法律</w:t>
      </w:r>
      <w:bookmarkEnd w:id="544"/>
      <w:bookmarkEnd w:id="545"/>
      <w:bookmarkEnd w:id="546"/>
      <w:bookmarkEnd w:id="547"/>
      <w:bookmarkEnd w:id="548"/>
      <w:bookmarkEnd w:id="549"/>
    </w:p>
    <w:p w14:paraId="23D354C7">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0DDE0F9F">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4EDD6AC4">
      <w:pPr>
        <w:spacing w:line="560" w:lineRule="exact"/>
        <w:ind w:firstLine="482" w:firstLineChars="200"/>
        <w:outlineLvl w:val="0"/>
        <w:rPr>
          <w:rFonts w:ascii="宋体" w:hAnsi="宋体" w:cs="宋体"/>
          <w:b/>
          <w:sz w:val="24"/>
        </w:rPr>
      </w:pPr>
      <w:bookmarkStart w:id="550" w:name="_Toc14001"/>
      <w:bookmarkStart w:id="551" w:name="_Toc19890"/>
      <w:bookmarkStart w:id="552" w:name="_Toc6885"/>
      <w:r>
        <w:rPr>
          <w:rFonts w:hint="eastAsia" w:ascii="宋体" w:hAnsi="宋体" w:cs="宋体"/>
          <w:b/>
          <w:sz w:val="24"/>
        </w:rPr>
        <w:t>2.20 合同份数</w:t>
      </w:r>
      <w:bookmarkEnd w:id="550"/>
      <w:bookmarkEnd w:id="551"/>
      <w:bookmarkEnd w:id="552"/>
    </w:p>
    <w:p w14:paraId="649FB689">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1E33826A">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0CFC3F0E">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4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605"/>
      </w:tblGrid>
      <w:tr w14:paraId="22280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71C6AEAB">
            <w:pPr>
              <w:spacing w:line="360" w:lineRule="auto"/>
              <w:jc w:val="center"/>
              <w:rPr>
                <w:rFonts w:ascii="宋体" w:hAnsi="宋体" w:cs="宋体"/>
                <w:b/>
                <w:sz w:val="24"/>
              </w:rPr>
            </w:pPr>
            <w:r>
              <w:rPr>
                <w:rFonts w:hint="eastAsia" w:ascii="宋体" w:hAnsi="宋体" w:cs="宋体"/>
                <w:b/>
                <w:sz w:val="24"/>
              </w:rPr>
              <w:t>条款号</w:t>
            </w:r>
          </w:p>
        </w:tc>
        <w:tc>
          <w:tcPr>
            <w:tcW w:w="8605" w:type="dxa"/>
            <w:vAlign w:val="center"/>
          </w:tcPr>
          <w:p w14:paraId="45CAF428">
            <w:pPr>
              <w:spacing w:line="360" w:lineRule="auto"/>
              <w:jc w:val="center"/>
              <w:rPr>
                <w:rFonts w:ascii="宋体" w:hAnsi="宋体" w:cs="宋体"/>
                <w:b/>
                <w:sz w:val="24"/>
              </w:rPr>
            </w:pPr>
            <w:r>
              <w:rPr>
                <w:rFonts w:hint="eastAsia" w:ascii="宋体" w:hAnsi="宋体" w:cs="宋体"/>
                <w:b/>
                <w:sz w:val="24"/>
              </w:rPr>
              <w:t>约定内容</w:t>
            </w:r>
          </w:p>
        </w:tc>
      </w:tr>
      <w:tr w14:paraId="5B123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6BF950E">
            <w:pPr>
              <w:spacing w:line="360" w:lineRule="auto"/>
              <w:rPr>
                <w:rFonts w:ascii="宋体" w:hAnsi="宋体" w:cs="宋体"/>
                <w:sz w:val="24"/>
              </w:rPr>
            </w:pPr>
            <w:r>
              <w:rPr>
                <w:rFonts w:hint="eastAsia" w:ascii="宋体" w:hAnsi="宋体" w:cs="宋体"/>
                <w:sz w:val="24"/>
              </w:rPr>
              <w:t>1.4.2</w:t>
            </w:r>
          </w:p>
        </w:tc>
        <w:tc>
          <w:tcPr>
            <w:tcW w:w="8605" w:type="dxa"/>
            <w:vAlign w:val="center"/>
          </w:tcPr>
          <w:p w14:paraId="76C39B75">
            <w:pPr>
              <w:spacing w:line="360" w:lineRule="auto"/>
              <w:rPr>
                <w:rFonts w:ascii="宋体" w:hAnsi="宋体" w:cs="宋体"/>
                <w:sz w:val="24"/>
              </w:rPr>
            </w:pPr>
            <w:r>
              <w:rPr>
                <w:rFonts w:hint="eastAsia" w:ascii="宋体" w:hAnsi="宋体" w:eastAsia="宋体" w:cs="宋体"/>
                <w:b/>
                <w:bCs w:val="0"/>
                <w:kern w:val="0"/>
                <w:sz w:val="24"/>
                <w:lang w:val="en-US" w:eastAsia="zh-CN"/>
              </w:rPr>
              <w:t>履约保证金：</w:t>
            </w:r>
            <w:r>
              <w:rPr>
                <w:rFonts w:hint="eastAsia" w:ascii="宋体" w:hAnsi="宋体" w:cs="宋体"/>
                <w:sz w:val="24"/>
              </w:rPr>
              <w:t>签订合同时中标人应向采购人缴纳合同金额的0.1%</w:t>
            </w:r>
            <w:r>
              <w:rPr>
                <w:rFonts w:hint="eastAsia" w:ascii="宋体" w:hAnsi="宋体" w:cs="宋体"/>
                <w:sz w:val="24"/>
                <w:lang w:eastAsia="zh-CN"/>
              </w:rPr>
              <w:t>人民币（计：</w:t>
            </w:r>
            <w:r>
              <w:rPr>
                <w:rFonts w:hint="eastAsia" w:ascii="宋体" w:hAnsi="宋体" w:cs="宋体"/>
                <w:sz w:val="24"/>
                <w:u w:val="single"/>
                <w:lang w:val="en-US" w:eastAsia="zh-CN"/>
              </w:rPr>
              <w:t xml:space="preserve">       </w:t>
            </w:r>
            <w:r>
              <w:rPr>
                <w:rFonts w:hint="eastAsia" w:ascii="宋体" w:hAnsi="宋体" w:cs="宋体"/>
                <w:sz w:val="24"/>
                <w:lang w:eastAsia="zh-CN"/>
              </w:rPr>
              <w:t>）</w:t>
            </w:r>
            <w:r>
              <w:rPr>
                <w:rFonts w:hint="eastAsia" w:ascii="宋体" w:hAnsi="宋体" w:cs="宋体"/>
                <w:sz w:val="24"/>
              </w:rPr>
              <w:t>作为履约保证金</w:t>
            </w:r>
            <w:r>
              <w:rPr>
                <w:rFonts w:hint="eastAsia" w:ascii="宋体" w:hAnsi="宋体" w:cs="宋体"/>
                <w:sz w:val="24"/>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cs="宋体"/>
                <w:sz w:val="24"/>
                <w:lang w:val="en-US" w:eastAsia="zh-CN"/>
              </w:rPr>
              <w:t>履约保证金可以以保函形式提交。</w:t>
            </w:r>
          </w:p>
        </w:tc>
      </w:tr>
      <w:tr w14:paraId="3F3C0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FA1B1C8">
            <w:pPr>
              <w:spacing w:line="360" w:lineRule="auto"/>
              <w:rPr>
                <w:rFonts w:ascii="宋体" w:hAnsi="宋体" w:cs="宋体"/>
                <w:sz w:val="24"/>
              </w:rPr>
            </w:pPr>
            <w:r>
              <w:rPr>
                <w:rFonts w:hint="eastAsia" w:ascii="宋体" w:hAnsi="宋体" w:cs="宋体"/>
                <w:sz w:val="24"/>
              </w:rPr>
              <w:t>1.5.1</w:t>
            </w:r>
          </w:p>
        </w:tc>
        <w:tc>
          <w:tcPr>
            <w:tcW w:w="8605" w:type="dxa"/>
            <w:vAlign w:val="center"/>
          </w:tcPr>
          <w:p w14:paraId="69F852EB">
            <w:pPr>
              <w:spacing w:line="360" w:lineRule="auto"/>
              <w:rPr>
                <w:rFonts w:ascii="宋体" w:hAnsi="宋体" w:cs="宋体"/>
                <w:sz w:val="24"/>
              </w:rPr>
            </w:pPr>
            <w:r>
              <w:rPr>
                <w:rFonts w:hint="eastAsia" w:ascii="宋体" w:hAnsi="宋体" w:cs="宋体"/>
                <w:sz w:val="24"/>
                <w:lang w:val="en-US" w:eastAsia="zh-CN"/>
              </w:rPr>
              <w:t>合同签订后7个工作日内预付合同价的60%；</w:t>
            </w:r>
          </w:p>
        </w:tc>
      </w:tr>
      <w:tr w14:paraId="09086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F80BAC0">
            <w:pPr>
              <w:spacing w:line="360" w:lineRule="auto"/>
              <w:rPr>
                <w:rFonts w:ascii="宋体" w:hAnsi="宋体" w:cs="宋体"/>
                <w:sz w:val="24"/>
              </w:rPr>
            </w:pPr>
            <w:r>
              <w:rPr>
                <w:rFonts w:hint="eastAsia" w:ascii="宋体" w:hAnsi="宋体" w:cs="宋体"/>
                <w:sz w:val="24"/>
              </w:rPr>
              <w:t xml:space="preserve">1.5.2 </w:t>
            </w:r>
          </w:p>
        </w:tc>
        <w:tc>
          <w:tcPr>
            <w:tcW w:w="8605" w:type="dxa"/>
            <w:vAlign w:val="center"/>
          </w:tcPr>
          <w:p w14:paraId="28FBA92B">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14:paraId="7CBEB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76AFE08">
            <w:pPr>
              <w:spacing w:line="360" w:lineRule="auto"/>
              <w:rPr>
                <w:rFonts w:ascii="宋体" w:hAnsi="宋体" w:cs="宋体"/>
                <w:sz w:val="24"/>
              </w:rPr>
            </w:pPr>
            <w:r>
              <w:rPr>
                <w:rFonts w:hint="eastAsia" w:ascii="宋体" w:hAnsi="宋体" w:cs="宋体"/>
                <w:sz w:val="24"/>
              </w:rPr>
              <w:t>1.5.3</w:t>
            </w:r>
          </w:p>
        </w:tc>
        <w:tc>
          <w:tcPr>
            <w:tcW w:w="8605" w:type="dxa"/>
            <w:vAlign w:val="center"/>
          </w:tcPr>
          <w:p w14:paraId="013A8EC6">
            <w:pPr>
              <w:spacing w:line="360" w:lineRule="auto"/>
              <w:rPr>
                <w:rFonts w:ascii="宋体" w:hAnsi="宋体" w:cs="宋体"/>
                <w:sz w:val="24"/>
              </w:rPr>
            </w:pPr>
            <w:r>
              <w:rPr>
                <w:rFonts w:hint="eastAsia" w:ascii="宋体" w:hAnsi="宋体" w:cs="宋体"/>
                <w:sz w:val="24"/>
                <w:lang w:val="en-US" w:eastAsia="zh-CN"/>
              </w:rPr>
              <w:t>中标人向采购人提交银行、保险公司等金融机构出具的预付款保函或其他担保措施。</w:t>
            </w:r>
          </w:p>
        </w:tc>
      </w:tr>
      <w:tr w14:paraId="026E4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1DB8357">
            <w:pPr>
              <w:spacing w:line="360" w:lineRule="auto"/>
              <w:rPr>
                <w:rFonts w:ascii="宋体" w:hAnsi="宋体" w:cs="宋体"/>
                <w:sz w:val="24"/>
              </w:rPr>
            </w:pPr>
            <w:r>
              <w:rPr>
                <w:rFonts w:hint="eastAsia" w:ascii="宋体" w:hAnsi="宋体" w:cs="宋体"/>
                <w:sz w:val="24"/>
              </w:rPr>
              <w:t>1.6.2</w:t>
            </w:r>
          </w:p>
        </w:tc>
        <w:tc>
          <w:tcPr>
            <w:tcW w:w="8605" w:type="dxa"/>
            <w:vAlign w:val="center"/>
          </w:tcPr>
          <w:p w14:paraId="74C1312B">
            <w:pPr>
              <w:spacing w:line="360" w:lineRule="auto"/>
              <w:rPr>
                <w:rFonts w:hint="eastAsia" w:ascii="宋体" w:hAnsi="宋体" w:cs="宋体"/>
                <w:sz w:val="24"/>
                <w:lang w:val="en-US" w:eastAsia="zh-CN"/>
              </w:rPr>
            </w:pPr>
            <w:r>
              <w:rPr>
                <w:rFonts w:hint="eastAsia" w:ascii="宋体" w:hAnsi="宋体" w:cs="宋体"/>
                <w:sz w:val="24"/>
                <w:lang w:val="en-US" w:eastAsia="zh-CN"/>
              </w:rPr>
              <w:t>1、所有货物到场开箱验收后支付至合同价的75%；</w:t>
            </w:r>
          </w:p>
          <w:p w14:paraId="4652A58C">
            <w:pPr>
              <w:pStyle w:val="61"/>
              <w:ind w:left="0" w:leftChars="0" w:firstLine="0" w:firstLineChars="0"/>
              <w:rPr>
                <w:rFonts w:hint="eastAsia"/>
              </w:rPr>
            </w:pPr>
            <w:r>
              <w:rPr>
                <w:rFonts w:hint="eastAsia"/>
                <w:lang w:val="en-US" w:eastAsia="zh-CN"/>
              </w:rPr>
              <w:t>2、</w:t>
            </w:r>
            <w:r>
              <w:rPr>
                <w:rFonts w:hint="eastAsia"/>
                <w:lang w:eastAsia="zh-CN"/>
              </w:rPr>
              <w:t>所有货物安装调试完成并经最终验收合格后支付至合同价的90%</w:t>
            </w:r>
            <w:r>
              <w:rPr>
                <w:rFonts w:hint="eastAsia"/>
              </w:rPr>
              <w:t>；</w:t>
            </w:r>
          </w:p>
          <w:p w14:paraId="5EDA776D">
            <w:pPr>
              <w:pStyle w:val="61"/>
              <w:ind w:left="0" w:leftChars="0" w:firstLine="0" w:firstLineChars="0"/>
            </w:pPr>
            <w:r>
              <w:rPr>
                <w:rFonts w:hint="eastAsia"/>
                <w:lang w:val="en-US" w:eastAsia="zh-CN"/>
              </w:rPr>
              <w:t>3、本项目</w:t>
            </w:r>
            <w:r>
              <w:rPr>
                <w:rFonts w:hint="eastAsia"/>
              </w:rPr>
              <w:t>结算审计并经审定后30日内支付至结算造价的98.5%，其余1.5%留作质量保修金。质保期2年满后支付质量保修金50%，质保期到期后付清剩余质量保修金（质保金不计息）。</w:t>
            </w:r>
          </w:p>
        </w:tc>
      </w:tr>
      <w:tr w14:paraId="0BE5A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D6C4DA3">
            <w:pPr>
              <w:spacing w:line="360" w:lineRule="auto"/>
              <w:rPr>
                <w:rFonts w:ascii="宋体" w:hAnsi="宋体" w:cs="宋体"/>
                <w:sz w:val="24"/>
              </w:rPr>
            </w:pPr>
            <w:r>
              <w:rPr>
                <w:rFonts w:hint="eastAsia" w:ascii="宋体" w:hAnsi="宋体" w:cs="宋体"/>
                <w:sz w:val="24"/>
              </w:rPr>
              <w:t>1.7.1</w:t>
            </w:r>
          </w:p>
        </w:tc>
        <w:tc>
          <w:tcPr>
            <w:tcW w:w="8605" w:type="dxa"/>
            <w:vAlign w:val="center"/>
          </w:tcPr>
          <w:p w14:paraId="3F248FCA">
            <w:pPr>
              <w:spacing w:line="360" w:lineRule="auto"/>
              <w:rPr>
                <w:rFonts w:hint="eastAsia" w:ascii="宋体" w:hAnsi="宋体" w:eastAsia="宋体" w:cs="宋体"/>
                <w:sz w:val="24"/>
                <w:lang w:eastAsia="zh-CN"/>
              </w:rPr>
            </w:pPr>
            <w:r>
              <w:rPr>
                <w:rFonts w:hint="eastAsia" w:ascii="宋体" w:hAnsi="宋体" w:cs="宋体"/>
                <w:sz w:val="24"/>
              </w:rPr>
              <w:t>交货期：</w:t>
            </w:r>
            <w:r>
              <w:rPr>
                <w:rFonts w:hint="eastAsia" w:ascii="宋体" w:hAnsi="宋体" w:cs="宋体"/>
                <w:sz w:val="24"/>
                <w:lang w:eastAsia="zh-CN"/>
              </w:rPr>
              <w:t>本项目要求在签订合同后150天内完成供货安装及验收。</w:t>
            </w:r>
          </w:p>
        </w:tc>
      </w:tr>
      <w:tr w14:paraId="1B014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C02EABB">
            <w:pPr>
              <w:spacing w:line="360" w:lineRule="auto"/>
              <w:rPr>
                <w:rFonts w:ascii="宋体" w:hAnsi="宋体" w:cs="宋体"/>
                <w:sz w:val="24"/>
              </w:rPr>
            </w:pPr>
            <w:r>
              <w:rPr>
                <w:rFonts w:hint="eastAsia" w:ascii="宋体" w:hAnsi="宋体" w:cs="宋体"/>
                <w:sz w:val="24"/>
              </w:rPr>
              <w:t>1.7.2</w:t>
            </w:r>
          </w:p>
        </w:tc>
        <w:tc>
          <w:tcPr>
            <w:tcW w:w="8605" w:type="dxa"/>
            <w:vAlign w:val="center"/>
          </w:tcPr>
          <w:p w14:paraId="044400CB">
            <w:pPr>
              <w:spacing w:line="360" w:lineRule="auto"/>
              <w:rPr>
                <w:rFonts w:hint="eastAsia" w:ascii="宋体" w:hAnsi="宋体" w:eastAsia="宋体" w:cs="宋体"/>
                <w:sz w:val="24"/>
                <w:lang w:eastAsia="zh-CN"/>
              </w:rPr>
            </w:pPr>
            <w:r>
              <w:rPr>
                <w:rFonts w:hint="eastAsia" w:ascii="宋体" w:hAnsi="宋体" w:eastAsia="宋体" w:cs="宋体"/>
                <w:spacing w:val="6"/>
                <w:sz w:val="24"/>
                <w:szCs w:val="24"/>
              </w:rPr>
              <w:t>交货地点</w:t>
            </w:r>
            <w:r>
              <w:rPr>
                <w:rFonts w:hint="eastAsia" w:ascii="宋体" w:hAnsi="宋体" w:eastAsia="宋体" w:cs="宋体"/>
                <w:spacing w:val="6"/>
                <w:sz w:val="24"/>
                <w:szCs w:val="24"/>
                <w:lang w:eastAsia="zh-CN"/>
              </w:rPr>
              <w:t>：</w:t>
            </w:r>
            <w:r>
              <w:rPr>
                <w:rFonts w:hint="eastAsia" w:ascii="宋体" w:hAnsi="宋体" w:eastAsia="宋体" w:cs="宋体"/>
                <w:sz w:val="24"/>
                <w:szCs w:val="24"/>
                <w:lang w:eastAsia="zh-CN"/>
              </w:rPr>
              <w:t>桐庐县第二人民医院迁建项目</w:t>
            </w:r>
            <w:r>
              <w:rPr>
                <w:rFonts w:hint="eastAsia" w:ascii="宋体" w:hAnsi="宋体" w:eastAsia="宋体" w:cs="宋体"/>
                <w:sz w:val="24"/>
                <w:szCs w:val="24"/>
              </w:rPr>
              <w:t>工地指定地点</w:t>
            </w:r>
            <w:r>
              <w:rPr>
                <w:rFonts w:hint="eastAsia" w:ascii="宋体" w:hAnsi="宋体" w:eastAsia="宋体" w:cs="宋体"/>
                <w:sz w:val="24"/>
                <w:szCs w:val="24"/>
                <w:lang w:eastAsia="zh-CN"/>
              </w:rPr>
              <w:t>。</w:t>
            </w:r>
          </w:p>
        </w:tc>
      </w:tr>
      <w:tr w14:paraId="52E3E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07CF416">
            <w:pPr>
              <w:spacing w:line="360" w:lineRule="auto"/>
              <w:rPr>
                <w:rFonts w:ascii="宋体" w:hAnsi="宋体" w:cs="宋体"/>
                <w:sz w:val="24"/>
              </w:rPr>
            </w:pPr>
            <w:r>
              <w:rPr>
                <w:rFonts w:hint="eastAsia" w:ascii="宋体" w:hAnsi="宋体" w:cs="宋体"/>
                <w:sz w:val="24"/>
              </w:rPr>
              <w:t>1.7.3</w:t>
            </w:r>
          </w:p>
        </w:tc>
        <w:tc>
          <w:tcPr>
            <w:tcW w:w="8605" w:type="dxa"/>
            <w:vAlign w:val="center"/>
          </w:tcPr>
          <w:p w14:paraId="7DBC8A95">
            <w:pPr>
              <w:spacing w:line="360" w:lineRule="auto"/>
              <w:rPr>
                <w:rFonts w:hint="eastAsia" w:ascii="宋体" w:hAnsi="宋体" w:eastAsia="宋体" w:cs="宋体"/>
                <w:sz w:val="24"/>
                <w:lang w:eastAsia="zh-CN"/>
              </w:rPr>
            </w:pPr>
            <w:r>
              <w:rPr>
                <w:rFonts w:hint="eastAsia" w:ascii="宋体" w:hAnsi="宋体" w:cs="宋体"/>
                <w:sz w:val="24"/>
                <w:lang w:eastAsia="zh-CN"/>
              </w:rPr>
              <w:t>交付方式：现场交付并经开箱验收合格。</w:t>
            </w:r>
          </w:p>
        </w:tc>
      </w:tr>
      <w:tr w14:paraId="54EDA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CA8C5AA">
            <w:pPr>
              <w:spacing w:line="360" w:lineRule="auto"/>
              <w:rPr>
                <w:rFonts w:ascii="宋体" w:hAnsi="宋体" w:cs="宋体"/>
                <w:sz w:val="24"/>
              </w:rPr>
            </w:pPr>
            <w:r>
              <w:rPr>
                <w:rFonts w:hint="eastAsia" w:ascii="宋体" w:hAnsi="宋体" w:cs="宋体"/>
                <w:sz w:val="24"/>
              </w:rPr>
              <w:t>1.8.6</w:t>
            </w:r>
          </w:p>
        </w:tc>
        <w:tc>
          <w:tcPr>
            <w:tcW w:w="8605" w:type="dxa"/>
            <w:vAlign w:val="center"/>
          </w:tcPr>
          <w:p w14:paraId="1ACC6EF0">
            <w:pPr>
              <w:spacing w:line="360" w:lineRule="auto"/>
              <w:rPr>
                <w:rFonts w:hint="eastAsia" w:ascii="宋体" w:hAnsi="宋体" w:eastAsia="宋体" w:cs="宋体"/>
                <w:sz w:val="24"/>
                <w:lang w:val="en-US" w:eastAsia="zh-CN"/>
              </w:rPr>
            </w:pPr>
            <w:r>
              <w:rPr>
                <w:rFonts w:hint="eastAsia" w:ascii="宋体" w:hAnsi="宋体" w:cs="宋体"/>
                <w:sz w:val="24"/>
                <w:lang w:eastAsia="zh-CN"/>
              </w:rPr>
              <w:t>工期延误按每延期一天支付违约金人民币1000元。</w:t>
            </w:r>
            <w:r>
              <w:rPr>
                <w:rFonts w:hint="eastAsia" w:ascii="宋体" w:hAnsi="宋体" w:cs="宋体"/>
                <w:color w:val="000000"/>
                <w:kern w:val="0"/>
                <w:sz w:val="24"/>
              </w:rPr>
              <w:t>超过</w:t>
            </w:r>
            <w:r>
              <w:rPr>
                <w:rFonts w:hint="eastAsia" w:ascii="宋体" w:hAnsi="宋体" w:cs="宋体"/>
                <w:color w:val="000000"/>
                <w:kern w:val="0"/>
                <w:sz w:val="24"/>
                <w:lang w:val="en-US" w:eastAsia="zh-CN"/>
              </w:rPr>
              <w:t>30</w:t>
            </w:r>
            <w:r>
              <w:rPr>
                <w:rFonts w:hint="eastAsia" w:ascii="宋体" w:hAnsi="宋体" w:cs="宋体"/>
                <w:color w:val="000000"/>
                <w:kern w:val="0"/>
                <w:sz w:val="24"/>
              </w:rPr>
              <w:t>天的，按</w:t>
            </w:r>
            <w:r>
              <w:rPr>
                <w:rFonts w:ascii="宋体" w:hAnsi="宋体" w:cs="宋体"/>
                <w:color w:val="000000"/>
                <w:kern w:val="0"/>
                <w:sz w:val="24"/>
              </w:rPr>
              <w:t xml:space="preserve"> 3000 </w:t>
            </w:r>
            <w:r>
              <w:rPr>
                <w:rFonts w:hint="eastAsia" w:ascii="宋体" w:hAnsi="宋体" w:cs="宋体"/>
                <w:color w:val="000000"/>
                <w:kern w:val="0"/>
                <w:sz w:val="24"/>
              </w:rPr>
              <w:t>元</w:t>
            </w:r>
            <w:r>
              <w:rPr>
                <w:rFonts w:ascii="宋体" w:hAnsi="宋体" w:cs="宋体"/>
                <w:color w:val="000000"/>
                <w:kern w:val="0"/>
                <w:sz w:val="24"/>
              </w:rPr>
              <w:t>/</w:t>
            </w:r>
            <w:r>
              <w:rPr>
                <w:rFonts w:hint="eastAsia" w:ascii="宋体" w:hAnsi="宋体" w:cs="宋体"/>
                <w:color w:val="000000"/>
                <w:kern w:val="0"/>
                <w:sz w:val="24"/>
              </w:rPr>
              <w:t>天向甲方支付违约金</w:t>
            </w:r>
            <w:r>
              <w:rPr>
                <w:rFonts w:hint="eastAsia" w:ascii="宋体" w:hAnsi="宋体" w:cs="宋体"/>
                <w:color w:val="000000"/>
                <w:kern w:val="0"/>
                <w:sz w:val="24"/>
                <w:lang w:eastAsia="zh-CN"/>
              </w:rPr>
              <w:t>。</w:t>
            </w:r>
            <w:r>
              <w:rPr>
                <w:rFonts w:hint="eastAsia" w:ascii="宋体" w:hAnsi="宋体" w:cs="宋体"/>
                <w:sz w:val="24"/>
              </w:rPr>
              <w:t>如产品质量未达到投标承诺技术要求及品牌、型号的；采购人将退货处理，乙方承担项目总额20%的违约金。</w:t>
            </w:r>
          </w:p>
        </w:tc>
      </w:tr>
      <w:tr w14:paraId="70CE5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F407368">
            <w:pPr>
              <w:spacing w:line="360" w:lineRule="auto"/>
              <w:rPr>
                <w:rFonts w:ascii="宋体" w:hAnsi="宋体" w:cs="宋体"/>
                <w:sz w:val="24"/>
              </w:rPr>
            </w:pPr>
            <w:r>
              <w:rPr>
                <w:rFonts w:hint="eastAsia" w:ascii="宋体" w:hAnsi="宋体" w:cs="宋体"/>
                <w:sz w:val="24"/>
              </w:rPr>
              <w:t>1.9</w:t>
            </w:r>
          </w:p>
        </w:tc>
        <w:tc>
          <w:tcPr>
            <w:tcW w:w="8605" w:type="dxa"/>
            <w:vAlign w:val="center"/>
          </w:tcPr>
          <w:p w14:paraId="4C4F08A0">
            <w:pPr>
              <w:spacing w:line="360" w:lineRule="auto"/>
              <w:rPr>
                <w:rFonts w:hint="eastAsia" w:ascii="宋体" w:hAnsi="宋体" w:eastAsia="宋体" w:cs="宋体"/>
                <w:sz w:val="24"/>
                <w:lang w:eastAsia="zh-CN"/>
              </w:rPr>
            </w:pPr>
            <w:r>
              <w:rPr>
                <w:rFonts w:hint="eastAsia" w:ascii="宋体" w:hAnsi="宋体" w:cs="宋体"/>
                <w:sz w:val="24"/>
                <w:lang w:eastAsia="zh-CN"/>
              </w:rPr>
              <w:t>桐庐县。</w:t>
            </w:r>
          </w:p>
        </w:tc>
      </w:tr>
      <w:tr w14:paraId="1EE76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D79064A">
            <w:pPr>
              <w:spacing w:line="360" w:lineRule="auto"/>
              <w:rPr>
                <w:rFonts w:ascii="宋体" w:hAnsi="宋体" w:cs="宋体"/>
                <w:sz w:val="24"/>
              </w:rPr>
            </w:pPr>
            <w:r>
              <w:rPr>
                <w:rFonts w:hint="eastAsia" w:ascii="宋体" w:hAnsi="宋体" w:cs="宋体"/>
                <w:sz w:val="24"/>
              </w:rPr>
              <w:t>2.3.2</w:t>
            </w:r>
          </w:p>
        </w:tc>
        <w:tc>
          <w:tcPr>
            <w:tcW w:w="8605" w:type="dxa"/>
            <w:vAlign w:val="center"/>
          </w:tcPr>
          <w:p w14:paraId="12699F71">
            <w:pPr>
              <w:spacing w:line="360" w:lineRule="auto"/>
              <w:ind w:left="-420" w:leftChars="-200" w:right="-420" w:rightChars="-200" w:firstLine="480" w:firstLineChars="200"/>
              <w:rPr>
                <w:rFonts w:hint="eastAsia" w:ascii="宋体" w:hAnsi="宋体" w:eastAsia="宋体" w:cs="宋体"/>
                <w:sz w:val="24"/>
                <w:lang w:eastAsia="zh-CN"/>
              </w:rPr>
            </w:pPr>
            <w:r>
              <w:rPr>
                <w:rFonts w:hint="eastAsia" w:ascii="宋体" w:hAnsi="宋体" w:eastAsia="宋体" w:cs="宋体"/>
                <w:sz w:val="24"/>
                <w:lang w:eastAsia="zh-CN"/>
              </w:rPr>
              <w:t>归乙方所有，但针对本项目，甲方有无限使用权。</w:t>
            </w:r>
          </w:p>
        </w:tc>
      </w:tr>
      <w:tr w14:paraId="6E730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09D447C">
            <w:pPr>
              <w:spacing w:line="360" w:lineRule="auto"/>
              <w:rPr>
                <w:rFonts w:ascii="宋体" w:hAnsi="宋体" w:cs="宋体"/>
                <w:sz w:val="24"/>
              </w:rPr>
            </w:pPr>
            <w:r>
              <w:rPr>
                <w:rFonts w:hint="eastAsia" w:ascii="宋体" w:hAnsi="宋体" w:cs="宋体"/>
                <w:sz w:val="24"/>
              </w:rPr>
              <w:t>2.4.1</w:t>
            </w:r>
          </w:p>
        </w:tc>
        <w:tc>
          <w:tcPr>
            <w:tcW w:w="8605" w:type="dxa"/>
            <w:vAlign w:val="center"/>
          </w:tcPr>
          <w:p w14:paraId="16A1C048">
            <w:pPr>
              <w:spacing w:line="360" w:lineRule="auto"/>
              <w:ind w:right="147" w:rightChars="70"/>
              <w:rPr>
                <w:rFonts w:hint="eastAsia" w:ascii="宋体" w:hAnsi="宋体" w:eastAsia="宋体" w:cs="宋体"/>
                <w:sz w:val="24"/>
                <w:lang w:eastAsia="zh-CN"/>
              </w:rPr>
            </w:pPr>
            <w:r>
              <w:rPr>
                <w:rFonts w:hint="eastAsia" w:ascii="宋体" w:hAnsi="宋体" w:cs="宋体"/>
                <w:sz w:val="24"/>
                <w:lang w:bidi="ar"/>
              </w:rPr>
              <w:t>按行业及通用条款要求。</w:t>
            </w:r>
          </w:p>
        </w:tc>
      </w:tr>
      <w:tr w14:paraId="3C0E8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08CEFB">
            <w:pPr>
              <w:spacing w:line="360" w:lineRule="auto"/>
              <w:rPr>
                <w:rFonts w:ascii="宋体" w:hAnsi="宋体" w:cs="宋体"/>
                <w:sz w:val="24"/>
              </w:rPr>
            </w:pPr>
            <w:r>
              <w:rPr>
                <w:rFonts w:hint="eastAsia" w:ascii="宋体" w:hAnsi="宋体" w:cs="宋体"/>
                <w:sz w:val="24"/>
              </w:rPr>
              <w:t>2.4.3</w:t>
            </w:r>
          </w:p>
        </w:tc>
        <w:tc>
          <w:tcPr>
            <w:tcW w:w="8605" w:type="dxa"/>
            <w:vAlign w:val="center"/>
          </w:tcPr>
          <w:p w14:paraId="592506D5">
            <w:pPr>
              <w:spacing w:line="360" w:lineRule="auto"/>
              <w:rPr>
                <w:rFonts w:hint="default" w:ascii="宋体" w:hAnsi="宋体" w:eastAsia="宋体" w:cs="宋体"/>
                <w:sz w:val="24"/>
                <w:lang w:val="en-US" w:eastAsia="zh-CN"/>
              </w:rPr>
            </w:pPr>
            <w:r>
              <w:rPr>
                <w:rFonts w:hint="eastAsia" w:ascii="宋体" w:hAnsi="宋体" w:cs="宋体"/>
                <w:sz w:val="24"/>
              </w:rPr>
              <w:t>装运货物的要求</w:t>
            </w:r>
            <w:r>
              <w:rPr>
                <w:rFonts w:hint="eastAsia" w:ascii="宋体" w:hAnsi="宋体" w:cs="宋体"/>
                <w:sz w:val="24"/>
                <w:lang w:eastAsia="zh-CN"/>
              </w:rPr>
              <w:t>按专用条款</w:t>
            </w:r>
            <w:r>
              <w:rPr>
                <w:rFonts w:hint="eastAsia" w:ascii="宋体" w:hAnsi="宋体" w:cs="宋体"/>
                <w:sz w:val="24"/>
                <w:lang w:val="en-US" w:eastAsia="zh-CN"/>
              </w:rPr>
              <w:t>2.4.1和通用条款2.4.2执行。</w:t>
            </w:r>
            <w:r>
              <w:rPr>
                <w:rFonts w:hint="eastAsia" w:ascii="宋体" w:hAnsi="宋体" w:cs="宋体"/>
                <w:sz w:val="24"/>
              </w:rPr>
              <w:t>装运货物通知</w:t>
            </w:r>
            <w:r>
              <w:rPr>
                <w:rFonts w:hint="eastAsia" w:ascii="宋体" w:hAnsi="宋体" w:cs="宋体"/>
                <w:sz w:val="24"/>
                <w:lang w:eastAsia="zh-CN"/>
              </w:rPr>
              <w:t>：在经甲方同意允许货物进场后</w:t>
            </w:r>
            <w:r>
              <w:rPr>
                <w:rFonts w:hint="eastAsia" w:ascii="宋体" w:hAnsi="宋体" w:cs="宋体"/>
                <w:sz w:val="24"/>
                <w:lang w:val="en-US" w:eastAsia="zh-CN"/>
              </w:rPr>
              <w:t>7天内安排货物进场，并在货物到达现场3天前通知甲方准备开箱验收。</w:t>
            </w:r>
          </w:p>
        </w:tc>
      </w:tr>
      <w:tr w14:paraId="77506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51AB981A">
            <w:pPr>
              <w:spacing w:line="360" w:lineRule="auto"/>
              <w:rPr>
                <w:rFonts w:ascii="宋体" w:hAnsi="宋体" w:cs="宋体"/>
                <w:sz w:val="24"/>
              </w:rPr>
            </w:pPr>
            <w:r>
              <w:rPr>
                <w:rFonts w:hint="eastAsia" w:ascii="宋体" w:hAnsi="宋体" w:cs="宋体"/>
                <w:sz w:val="24"/>
              </w:rPr>
              <w:t xml:space="preserve">2.8 </w:t>
            </w:r>
          </w:p>
        </w:tc>
        <w:tc>
          <w:tcPr>
            <w:tcW w:w="8605" w:type="dxa"/>
          </w:tcPr>
          <w:p w14:paraId="005A0B0D">
            <w:pPr>
              <w:spacing w:line="360" w:lineRule="auto"/>
              <w:rPr>
                <w:rFonts w:hint="eastAsia" w:ascii="宋体" w:hAnsi="宋体" w:eastAsia="宋体" w:cs="宋体"/>
                <w:sz w:val="24"/>
                <w:lang w:eastAsia="zh-CN"/>
              </w:rPr>
            </w:pPr>
            <w:r>
              <w:rPr>
                <w:rFonts w:hint="eastAsia" w:ascii="宋体" w:hAnsi="宋体" w:cs="宋体"/>
                <w:sz w:val="24"/>
                <w:lang w:eastAsia="zh-CN"/>
              </w:rPr>
              <w:t>均由乙方承担，到达现场验收后乙方承担保管职责。</w:t>
            </w:r>
          </w:p>
        </w:tc>
      </w:tr>
      <w:tr w14:paraId="6D4C3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260B66A">
            <w:pPr>
              <w:spacing w:line="360" w:lineRule="auto"/>
              <w:rPr>
                <w:rFonts w:ascii="宋体" w:hAnsi="宋体" w:cs="宋体"/>
                <w:sz w:val="24"/>
              </w:rPr>
            </w:pPr>
            <w:r>
              <w:rPr>
                <w:rFonts w:hint="eastAsia" w:ascii="宋体" w:hAnsi="宋体" w:cs="宋体"/>
                <w:sz w:val="24"/>
              </w:rPr>
              <w:t>2.12.3</w:t>
            </w:r>
          </w:p>
        </w:tc>
        <w:tc>
          <w:tcPr>
            <w:tcW w:w="8605" w:type="dxa"/>
            <w:vAlign w:val="center"/>
          </w:tcPr>
          <w:p w14:paraId="43BD4EB6">
            <w:pPr>
              <w:spacing w:line="360" w:lineRule="auto"/>
              <w:rPr>
                <w:rFonts w:hint="default" w:ascii="宋体" w:hAnsi="宋体" w:eastAsia="宋体" w:cs="宋体"/>
                <w:sz w:val="24"/>
                <w:lang w:val="en-US" w:eastAsia="zh-CN"/>
              </w:rPr>
            </w:pPr>
            <w:r>
              <w:rPr>
                <w:rFonts w:hint="eastAsia" w:ascii="宋体" w:hAnsi="宋体" w:cs="宋体"/>
                <w:sz w:val="24"/>
                <w:lang w:bidi="ar"/>
              </w:rPr>
              <w:t>不可抗力时间发生后7天内以书面形式变更合同。</w:t>
            </w:r>
          </w:p>
        </w:tc>
      </w:tr>
      <w:tr w14:paraId="08674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3AFC2EB">
            <w:pPr>
              <w:spacing w:line="360" w:lineRule="auto"/>
              <w:rPr>
                <w:rFonts w:ascii="宋体" w:hAnsi="宋体" w:cs="宋体"/>
                <w:sz w:val="24"/>
              </w:rPr>
            </w:pPr>
            <w:r>
              <w:rPr>
                <w:rFonts w:hint="eastAsia" w:ascii="宋体" w:hAnsi="宋体" w:cs="宋体"/>
                <w:sz w:val="24"/>
              </w:rPr>
              <w:t>2.12.4</w:t>
            </w:r>
          </w:p>
        </w:tc>
        <w:tc>
          <w:tcPr>
            <w:tcW w:w="8605" w:type="dxa"/>
            <w:vAlign w:val="center"/>
          </w:tcPr>
          <w:p w14:paraId="247F6248">
            <w:pPr>
              <w:spacing w:line="360" w:lineRule="auto"/>
              <w:rPr>
                <w:rFonts w:hint="default" w:ascii="宋体" w:hAnsi="宋体" w:eastAsia="宋体" w:cs="宋体"/>
                <w:sz w:val="24"/>
                <w:lang w:val="en-US" w:eastAsia="zh-CN"/>
              </w:rPr>
            </w:pPr>
            <w:r>
              <w:rPr>
                <w:rFonts w:hint="eastAsia" w:ascii="宋体" w:hAnsi="宋体" w:cs="宋体"/>
                <w:sz w:val="24"/>
                <w:lang w:bidi="ar"/>
              </w:rPr>
              <w:t>受不可抗力影响的一方在不可抗力发生后，应在1个工作日内以书面形式通知对方当事人，并在3个工作日内，将有关部门出具的证明文件送达对方当事人。</w:t>
            </w:r>
          </w:p>
        </w:tc>
      </w:tr>
      <w:tr w14:paraId="33D5D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EA4244A">
            <w:pPr>
              <w:spacing w:line="360" w:lineRule="auto"/>
              <w:rPr>
                <w:rFonts w:ascii="宋体" w:hAnsi="宋体" w:cs="宋体"/>
                <w:sz w:val="24"/>
              </w:rPr>
            </w:pPr>
            <w:r>
              <w:rPr>
                <w:rFonts w:hint="eastAsia" w:ascii="宋体" w:hAnsi="宋体" w:cs="宋体"/>
                <w:sz w:val="24"/>
              </w:rPr>
              <w:t>2.16.1</w:t>
            </w:r>
          </w:p>
        </w:tc>
        <w:tc>
          <w:tcPr>
            <w:tcW w:w="8605" w:type="dxa"/>
            <w:vAlign w:val="center"/>
          </w:tcPr>
          <w:p w14:paraId="01A2A8D8">
            <w:pPr>
              <w:spacing w:line="360" w:lineRule="auto"/>
              <w:rPr>
                <w:rFonts w:hint="default" w:ascii="宋体" w:hAnsi="宋体" w:eastAsia="宋体" w:cs="宋体"/>
                <w:sz w:val="24"/>
                <w:lang w:val="en-US" w:eastAsia="zh-CN"/>
              </w:rPr>
            </w:pPr>
            <w:r>
              <w:rPr>
                <w:rFonts w:hint="eastAsia" w:ascii="宋体" w:hAnsi="宋体" w:cs="宋体"/>
                <w:sz w:val="24"/>
                <w:lang w:bidi="ar"/>
              </w:rPr>
              <w:t>提交申请后30天内。</w:t>
            </w:r>
          </w:p>
        </w:tc>
      </w:tr>
      <w:tr w14:paraId="781A9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7F725645">
            <w:pPr>
              <w:spacing w:line="360" w:lineRule="auto"/>
              <w:rPr>
                <w:rFonts w:ascii="宋体" w:hAnsi="宋体" w:cs="宋体"/>
                <w:sz w:val="24"/>
              </w:rPr>
            </w:pPr>
            <w:r>
              <w:rPr>
                <w:rFonts w:hint="eastAsia" w:ascii="宋体" w:hAnsi="宋体" w:cs="宋体"/>
                <w:sz w:val="24"/>
              </w:rPr>
              <w:t>2.16.3</w:t>
            </w:r>
          </w:p>
        </w:tc>
        <w:tc>
          <w:tcPr>
            <w:tcW w:w="8605" w:type="dxa"/>
            <w:vAlign w:val="center"/>
          </w:tcPr>
          <w:p w14:paraId="29960B6A">
            <w:pPr>
              <w:spacing w:line="360" w:lineRule="auto"/>
              <w:rPr>
                <w:rFonts w:ascii="宋体" w:hAnsi="宋体" w:cs="宋体"/>
                <w:sz w:val="24"/>
              </w:rPr>
            </w:pPr>
            <w:r>
              <w:rPr>
                <w:rFonts w:hint="eastAsia" w:ascii="宋体" w:hAnsi="宋体" w:cs="宋体"/>
                <w:sz w:val="24"/>
                <w:lang w:bidi="ar"/>
              </w:rPr>
              <w:t>检验和验收标准，以及前述验收文件的有效性以招标采购需求为准。</w:t>
            </w:r>
          </w:p>
        </w:tc>
      </w:tr>
      <w:tr w14:paraId="58393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0C247ED3">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8605" w:type="dxa"/>
            <w:vAlign w:val="center"/>
          </w:tcPr>
          <w:p w14:paraId="5FE5813D">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10份，甲乙双方各执4分，监管及代理公司各执1份</w:t>
            </w:r>
          </w:p>
        </w:tc>
      </w:tr>
    </w:tbl>
    <w:p w14:paraId="28A0D0BF">
      <w:pPr>
        <w:spacing w:line="360" w:lineRule="auto"/>
        <w:ind w:left="-420" w:leftChars="-200" w:right="-420" w:rightChars="-200" w:firstLine="480" w:firstLineChars="200"/>
        <w:rPr>
          <w:rFonts w:ascii="宋体" w:hAnsi="宋体" w:cs="宋体"/>
          <w:sz w:val="24"/>
        </w:rPr>
      </w:pPr>
    </w:p>
    <w:p w14:paraId="34E61A2E">
      <w:pPr>
        <w:spacing w:line="360" w:lineRule="auto"/>
        <w:ind w:left="-420" w:leftChars="-200" w:right="-420" w:rightChars="-200"/>
        <w:rPr>
          <w:rFonts w:ascii="宋体" w:hAnsi="宋体" w:cs="宋体"/>
          <w:sz w:val="24"/>
        </w:rPr>
      </w:pPr>
    </w:p>
    <w:p w14:paraId="231D8F82">
      <w:pPr>
        <w:pStyle w:val="3"/>
      </w:pPr>
    </w:p>
    <w:p w14:paraId="01AB19ED"/>
    <w:p w14:paraId="78775861">
      <w:pPr>
        <w:rPr>
          <w:rFonts w:hint="eastAsia" w:ascii="宋体" w:hAnsi="宋体" w:cs="宋体"/>
          <w:b/>
          <w:sz w:val="36"/>
          <w:szCs w:val="20"/>
        </w:rPr>
      </w:pPr>
      <w:r>
        <w:rPr>
          <w:rFonts w:hint="eastAsia" w:ascii="宋体" w:hAnsi="宋体" w:cs="宋体"/>
          <w:b/>
          <w:sz w:val="36"/>
          <w:szCs w:val="20"/>
        </w:rPr>
        <w:br w:type="page"/>
      </w:r>
    </w:p>
    <w:p w14:paraId="7F477D18">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2"/>
      <w:r>
        <w:rPr>
          <w:rFonts w:hint="eastAsia" w:ascii="宋体" w:hAnsi="宋体" w:cs="宋体"/>
          <w:b/>
          <w:sz w:val="36"/>
          <w:szCs w:val="20"/>
        </w:rPr>
        <w:t xml:space="preserve"> </w:t>
      </w:r>
      <w:bookmarkEnd w:id="403"/>
      <w:r>
        <w:rPr>
          <w:rFonts w:hint="eastAsia" w:ascii="宋体" w:hAnsi="宋体" w:cs="宋体"/>
          <w:b/>
          <w:sz w:val="36"/>
          <w:szCs w:val="20"/>
        </w:rPr>
        <w:t>应提交的有关格式范例</w:t>
      </w:r>
    </w:p>
    <w:p w14:paraId="07085CEC">
      <w:pPr>
        <w:spacing w:line="360" w:lineRule="auto"/>
        <w:jc w:val="center"/>
        <w:outlineLvl w:val="0"/>
        <w:rPr>
          <w:rFonts w:ascii="宋体" w:hAnsi="宋体" w:cs="宋体"/>
          <w:b/>
          <w:kern w:val="0"/>
          <w:sz w:val="36"/>
          <w:szCs w:val="36"/>
        </w:rPr>
      </w:pPr>
    </w:p>
    <w:p w14:paraId="2B0C2CF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53ED1F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90A885A">
      <w:pPr>
        <w:spacing w:line="360" w:lineRule="auto"/>
        <w:jc w:val="center"/>
        <w:outlineLvl w:val="0"/>
        <w:rPr>
          <w:rFonts w:ascii="宋体" w:hAnsi="宋体" w:cs="宋体"/>
          <w:b/>
          <w:kern w:val="0"/>
          <w:sz w:val="36"/>
          <w:szCs w:val="36"/>
        </w:rPr>
      </w:pPr>
    </w:p>
    <w:p w14:paraId="5FBEF92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5DEA311">
      <w:pPr>
        <w:snapToGrid w:val="0"/>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（2）</w:t>
      </w:r>
      <w:r>
        <w:rPr>
          <w:rFonts w:hint="eastAsia" w:ascii="宋体" w:hAnsi="宋体" w:cs="Arial"/>
          <w:kern w:val="0"/>
          <w:sz w:val="24"/>
        </w:rPr>
        <w:t>法人或者其他组织的营业执照等证明文件，自然人的身份证明</w:t>
      </w:r>
      <w:r>
        <w:rPr>
          <w:rFonts w:hint="eastAsia" w:ascii="宋体" w:hAnsi="宋体" w:cs="宋体"/>
          <w:sz w:val="24"/>
        </w:rPr>
        <w:t>……（页码）</w:t>
      </w:r>
    </w:p>
    <w:p w14:paraId="6FF05B8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napToGrid w:val="0"/>
          <w:kern w:val="28"/>
          <w:sz w:val="24"/>
          <w:szCs w:val="20"/>
        </w:rPr>
        <w:t>联合协议</w:t>
      </w:r>
      <w:r>
        <w:rPr>
          <w:rFonts w:hint="eastAsia" w:ascii="宋体" w:hAnsi="宋体" w:cs="宋体"/>
          <w:sz w:val="24"/>
        </w:rPr>
        <w:t>………………………………………………………………（页码）</w:t>
      </w:r>
    </w:p>
    <w:p w14:paraId="562345F8">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1B237288">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178775B9">
      <w:pPr>
        <w:snapToGrid w:val="0"/>
        <w:spacing w:line="360" w:lineRule="auto"/>
        <w:ind w:firstLine="480" w:firstLineChars="200"/>
        <w:rPr>
          <w:rFonts w:ascii="宋体" w:hAnsi="宋体" w:cs="宋体"/>
          <w:sz w:val="24"/>
        </w:rPr>
      </w:pPr>
    </w:p>
    <w:p w14:paraId="6CEE8373">
      <w:pPr>
        <w:spacing w:line="360" w:lineRule="auto"/>
        <w:ind w:firstLine="480" w:firstLineChars="200"/>
        <w:rPr>
          <w:rFonts w:ascii="宋体" w:hAnsi="宋体" w:cs="宋体"/>
          <w:sz w:val="24"/>
        </w:rPr>
      </w:pPr>
    </w:p>
    <w:p w14:paraId="104EAC9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35BA176">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6775B073">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7C19E26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D5DBC22">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1134D8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0492ABF">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D6F0B6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EB49ECC">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A9EDE4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4E0E41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EAAFD56">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3CD46FF">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56724EA">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D247FDF">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7CDC0D4">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8848272">
      <w:pPr>
        <w:snapToGrid w:val="0"/>
        <w:spacing w:line="360" w:lineRule="auto"/>
        <w:ind w:right="480"/>
        <w:jc w:val="center"/>
        <w:rPr>
          <w:rFonts w:ascii="宋体" w:hAnsi="宋体" w:cs="宋体"/>
          <w:b/>
          <w:kern w:val="0"/>
          <w:sz w:val="32"/>
          <w:szCs w:val="32"/>
        </w:rPr>
      </w:pPr>
    </w:p>
    <w:p w14:paraId="44ECA67A">
      <w:pPr>
        <w:snapToGrid w:val="0"/>
        <w:spacing w:line="360" w:lineRule="auto"/>
        <w:ind w:right="480"/>
        <w:jc w:val="center"/>
        <w:rPr>
          <w:rFonts w:ascii="宋体" w:hAnsi="宋体" w:cs="宋体"/>
          <w:b/>
          <w:kern w:val="0"/>
          <w:sz w:val="32"/>
          <w:szCs w:val="32"/>
        </w:rPr>
      </w:pPr>
    </w:p>
    <w:p w14:paraId="72A1DE98">
      <w:pPr>
        <w:snapToGrid w:val="0"/>
        <w:spacing w:line="360" w:lineRule="auto"/>
        <w:ind w:right="480"/>
        <w:jc w:val="center"/>
        <w:rPr>
          <w:rFonts w:ascii="宋体" w:hAnsi="宋体" w:cs="宋体"/>
          <w:b/>
          <w:kern w:val="0"/>
          <w:sz w:val="32"/>
          <w:szCs w:val="32"/>
        </w:rPr>
      </w:pPr>
    </w:p>
    <w:p w14:paraId="080A306E">
      <w:pPr>
        <w:rPr>
          <w:rFonts w:ascii="宋体" w:hAnsi="宋体" w:cs="宋体"/>
        </w:rPr>
      </w:pPr>
    </w:p>
    <w:p w14:paraId="64B063F5">
      <w:pPr>
        <w:snapToGrid w:val="0"/>
        <w:spacing w:line="360" w:lineRule="auto"/>
        <w:ind w:right="480"/>
        <w:jc w:val="center"/>
        <w:rPr>
          <w:rFonts w:ascii="宋体" w:hAnsi="宋体" w:cs="宋体"/>
          <w:b/>
          <w:kern w:val="0"/>
          <w:sz w:val="32"/>
          <w:szCs w:val="32"/>
        </w:rPr>
      </w:pPr>
    </w:p>
    <w:p w14:paraId="77620371">
      <w:pPr>
        <w:snapToGrid w:val="0"/>
        <w:spacing w:line="360" w:lineRule="auto"/>
        <w:ind w:right="480"/>
        <w:jc w:val="center"/>
        <w:rPr>
          <w:rFonts w:ascii="宋体" w:hAnsi="宋体" w:cs="宋体"/>
          <w:b/>
          <w:kern w:val="0"/>
          <w:sz w:val="32"/>
          <w:szCs w:val="32"/>
        </w:rPr>
      </w:pPr>
    </w:p>
    <w:p w14:paraId="2F656CCF">
      <w:pPr>
        <w:snapToGrid w:val="0"/>
        <w:spacing w:line="360" w:lineRule="auto"/>
        <w:ind w:right="480"/>
        <w:jc w:val="center"/>
        <w:rPr>
          <w:rFonts w:ascii="宋体" w:hAnsi="宋体" w:cs="宋体"/>
          <w:b/>
          <w:kern w:val="0"/>
          <w:sz w:val="32"/>
          <w:szCs w:val="32"/>
        </w:rPr>
      </w:pPr>
    </w:p>
    <w:p w14:paraId="41CA5B95">
      <w:pPr>
        <w:widowControl/>
        <w:spacing w:line="360" w:lineRule="auto"/>
        <w:ind w:firstLine="643" w:firstLineChars="200"/>
        <w:jc w:val="center"/>
        <w:rPr>
          <w:rFonts w:ascii="宋体" w:hAnsi="宋体" w:cs="宋体"/>
          <w:b/>
          <w:kern w:val="0"/>
          <w:sz w:val="32"/>
          <w:szCs w:val="32"/>
        </w:rPr>
      </w:pPr>
    </w:p>
    <w:p w14:paraId="5A9DB0D1">
      <w:pPr>
        <w:widowControl/>
        <w:spacing w:line="360" w:lineRule="auto"/>
        <w:ind w:firstLine="643" w:firstLineChars="200"/>
        <w:jc w:val="center"/>
        <w:rPr>
          <w:rFonts w:hint="eastAsia" w:ascii="宋体" w:hAnsi="宋体" w:eastAsia="宋体" w:cs="宋体"/>
          <w:b/>
          <w:kern w:val="0"/>
          <w:sz w:val="32"/>
          <w:szCs w:val="32"/>
          <w:lang w:eastAsia="zh-CN"/>
        </w:rPr>
      </w:pPr>
      <w:r>
        <w:rPr>
          <w:rFonts w:hint="eastAsia" w:ascii="宋体" w:hAnsi="宋体" w:cs="宋体"/>
          <w:b/>
          <w:kern w:val="0"/>
          <w:sz w:val="32"/>
          <w:szCs w:val="32"/>
        </w:rPr>
        <w:t>二、法人或者其他组织的营业执照等证明文件，自然人的身份证明</w:t>
      </w:r>
      <w:r>
        <w:rPr>
          <w:rFonts w:hint="eastAsia" w:ascii="宋体" w:hAnsi="宋体" w:cs="宋体"/>
          <w:b/>
          <w:kern w:val="0"/>
          <w:sz w:val="32"/>
          <w:szCs w:val="32"/>
          <w:lang w:eastAsia="zh-CN"/>
        </w:rPr>
        <w:t>扫描件</w:t>
      </w:r>
    </w:p>
    <w:p w14:paraId="29D8F71E">
      <w:pPr>
        <w:widowControl/>
        <w:spacing w:line="360" w:lineRule="auto"/>
        <w:ind w:firstLine="643" w:firstLineChars="200"/>
        <w:jc w:val="center"/>
        <w:rPr>
          <w:rFonts w:hint="eastAsia" w:ascii="宋体" w:hAnsi="宋体" w:cs="宋体"/>
          <w:b/>
          <w:kern w:val="0"/>
          <w:sz w:val="32"/>
          <w:szCs w:val="32"/>
        </w:rPr>
      </w:pPr>
    </w:p>
    <w:p w14:paraId="7692630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、联合协议</w:t>
      </w:r>
      <w:r>
        <w:rPr>
          <w:rFonts w:hint="eastAsia" w:ascii="宋体" w:hAnsi="宋体" w:cs="宋体"/>
          <w:b/>
          <w:color w:val="FF0000"/>
          <w:kern w:val="0"/>
          <w:sz w:val="32"/>
          <w:szCs w:val="32"/>
        </w:rPr>
        <w:t>（如果有）</w:t>
      </w:r>
    </w:p>
    <w:p w14:paraId="55FC428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C4AA5E5">
      <w:pPr>
        <w:snapToGrid w:val="0"/>
        <w:spacing w:line="360" w:lineRule="auto"/>
        <w:ind w:right="480"/>
        <w:jc w:val="center"/>
        <w:rPr>
          <w:rFonts w:ascii="宋体" w:hAnsi="宋体" w:cs="宋体"/>
          <w:b/>
          <w:kern w:val="0"/>
          <w:sz w:val="32"/>
          <w:szCs w:val="32"/>
        </w:rPr>
      </w:pPr>
    </w:p>
    <w:p w14:paraId="7FE86583">
      <w:pPr>
        <w:snapToGrid w:val="0"/>
        <w:spacing w:line="360" w:lineRule="auto"/>
        <w:ind w:right="480"/>
        <w:jc w:val="center"/>
        <w:rPr>
          <w:rFonts w:ascii="宋体" w:hAnsi="宋体" w:cs="宋体"/>
          <w:b/>
          <w:kern w:val="0"/>
          <w:sz w:val="32"/>
          <w:szCs w:val="32"/>
        </w:rPr>
      </w:pPr>
    </w:p>
    <w:p w14:paraId="14695164">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、落实政府采购政策需满足的资格要求</w:t>
      </w:r>
    </w:p>
    <w:p w14:paraId="704E6686">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3C074E2">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6638BC06">
      <w:pPr>
        <w:widowControl/>
        <w:spacing w:line="360" w:lineRule="auto"/>
        <w:ind w:firstLine="480"/>
        <w:jc w:val="left"/>
        <w:rPr>
          <w:rFonts w:ascii="宋体" w:hAnsi="宋体" w:cs="宋体"/>
          <w:sz w:val="24"/>
        </w:rPr>
      </w:pPr>
    </w:p>
    <w:p w14:paraId="64248A15">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0416AE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BBFBFAE">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FF29997">
      <w:pPr>
        <w:widowControl/>
        <w:spacing w:line="360" w:lineRule="auto"/>
        <w:ind w:left="150"/>
        <w:jc w:val="center"/>
        <w:rPr>
          <w:rFonts w:ascii="宋体" w:hAnsi="宋体" w:cs="宋体"/>
          <w:b/>
          <w:kern w:val="0"/>
          <w:sz w:val="32"/>
          <w:szCs w:val="32"/>
        </w:rPr>
      </w:pPr>
    </w:p>
    <w:p w14:paraId="0CC9ACD7">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14:paraId="343CC954">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73164FA">
      <w:pPr>
        <w:rPr>
          <w:rFonts w:ascii="宋体" w:hAnsi="宋体" w:cs="宋体"/>
        </w:rPr>
      </w:pPr>
    </w:p>
    <w:p w14:paraId="64B18BBA">
      <w:pPr>
        <w:widowControl/>
        <w:adjustRightInd/>
        <w:jc w:val="left"/>
        <w:rPr>
          <w:rFonts w:ascii="宋体" w:hAnsi="宋体" w:cs="宋体"/>
          <w:b/>
          <w:kern w:val="0"/>
          <w:sz w:val="32"/>
          <w:szCs w:val="32"/>
        </w:rPr>
      </w:pPr>
      <w:r>
        <w:rPr>
          <w:rFonts w:ascii="宋体" w:hAnsi="宋体" w:cs="宋体"/>
          <w:b/>
          <w:kern w:val="0"/>
          <w:sz w:val="32"/>
          <w:szCs w:val="32"/>
        </w:rPr>
        <w:br w:type="page"/>
      </w:r>
    </w:p>
    <w:p w14:paraId="5629307B">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36E582D">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6F9D43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A31053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3C3147B">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2DE5F5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EC8A90B">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FE3B2D5">
      <w:pPr>
        <w:snapToGrid w:val="0"/>
        <w:spacing w:line="360" w:lineRule="auto"/>
        <w:jc w:val="center"/>
        <w:rPr>
          <w:rFonts w:ascii="宋体" w:hAnsi="宋体" w:cs="宋体"/>
          <w:b/>
          <w:kern w:val="0"/>
          <w:sz w:val="32"/>
          <w:szCs w:val="32"/>
          <w:lang w:val="zh-CN"/>
        </w:rPr>
      </w:pPr>
    </w:p>
    <w:p w14:paraId="0900CBC1">
      <w:pPr>
        <w:snapToGrid w:val="0"/>
        <w:spacing w:line="360" w:lineRule="auto"/>
        <w:jc w:val="center"/>
        <w:rPr>
          <w:rFonts w:ascii="宋体" w:hAnsi="宋体" w:cs="宋体"/>
          <w:b/>
          <w:kern w:val="0"/>
          <w:sz w:val="32"/>
          <w:szCs w:val="32"/>
          <w:lang w:val="zh-CN"/>
        </w:rPr>
      </w:pPr>
    </w:p>
    <w:p w14:paraId="580289A4">
      <w:pPr>
        <w:snapToGrid w:val="0"/>
        <w:spacing w:line="360" w:lineRule="auto"/>
        <w:jc w:val="center"/>
        <w:rPr>
          <w:rFonts w:ascii="宋体" w:hAnsi="宋体" w:cs="宋体"/>
          <w:b/>
          <w:kern w:val="0"/>
          <w:sz w:val="32"/>
          <w:szCs w:val="32"/>
          <w:lang w:val="zh-CN"/>
        </w:rPr>
      </w:pPr>
    </w:p>
    <w:p w14:paraId="6F294C0E">
      <w:pPr>
        <w:snapToGrid w:val="0"/>
        <w:spacing w:line="360" w:lineRule="auto"/>
        <w:jc w:val="center"/>
        <w:rPr>
          <w:rFonts w:ascii="宋体" w:hAnsi="宋体" w:cs="宋体"/>
          <w:b/>
          <w:kern w:val="0"/>
          <w:sz w:val="32"/>
          <w:szCs w:val="32"/>
          <w:lang w:val="zh-CN"/>
        </w:rPr>
      </w:pPr>
    </w:p>
    <w:p w14:paraId="45D0223F">
      <w:pPr>
        <w:snapToGrid w:val="0"/>
        <w:spacing w:line="360" w:lineRule="auto"/>
        <w:jc w:val="center"/>
        <w:rPr>
          <w:rFonts w:ascii="宋体" w:hAnsi="宋体" w:cs="宋体"/>
          <w:b/>
          <w:kern w:val="0"/>
          <w:sz w:val="32"/>
          <w:szCs w:val="32"/>
          <w:lang w:val="zh-CN"/>
        </w:rPr>
      </w:pPr>
    </w:p>
    <w:p w14:paraId="1A652C82">
      <w:pPr>
        <w:snapToGrid w:val="0"/>
        <w:spacing w:line="360" w:lineRule="auto"/>
        <w:jc w:val="center"/>
        <w:outlineLvl w:val="0"/>
        <w:rPr>
          <w:rFonts w:ascii="宋体" w:hAnsi="宋体" w:cs="宋体"/>
          <w:b/>
          <w:kern w:val="0"/>
          <w:sz w:val="32"/>
          <w:szCs w:val="32"/>
        </w:rPr>
      </w:pPr>
    </w:p>
    <w:p w14:paraId="402451B9">
      <w:pPr>
        <w:snapToGrid w:val="0"/>
        <w:spacing w:line="360" w:lineRule="auto"/>
        <w:jc w:val="center"/>
        <w:outlineLvl w:val="0"/>
        <w:rPr>
          <w:rFonts w:ascii="宋体" w:hAnsi="宋体" w:cs="宋体"/>
          <w:b/>
          <w:kern w:val="0"/>
          <w:sz w:val="32"/>
          <w:szCs w:val="32"/>
        </w:rPr>
      </w:pPr>
    </w:p>
    <w:p w14:paraId="0FD511E3">
      <w:pPr>
        <w:rPr>
          <w:rFonts w:ascii="宋体" w:hAnsi="宋体" w:cs="宋体"/>
        </w:rPr>
      </w:pPr>
    </w:p>
    <w:p w14:paraId="54241828">
      <w:pPr>
        <w:snapToGrid w:val="0"/>
        <w:spacing w:line="360" w:lineRule="auto"/>
        <w:jc w:val="center"/>
        <w:outlineLvl w:val="0"/>
        <w:rPr>
          <w:rFonts w:ascii="宋体" w:hAnsi="宋体" w:cs="宋体"/>
          <w:b/>
          <w:kern w:val="0"/>
          <w:sz w:val="32"/>
          <w:szCs w:val="32"/>
        </w:rPr>
      </w:pPr>
    </w:p>
    <w:p w14:paraId="066EC028">
      <w:pPr>
        <w:snapToGrid w:val="0"/>
        <w:spacing w:line="360" w:lineRule="auto"/>
        <w:jc w:val="center"/>
        <w:outlineLvl w:val="0"/>
        <w:rPr>
          <w:rFonts w:ascii="宋体" w:hAnsi="宋体" w:cs="宋体"/>
          <w:b/>
          <w:kern w:val="0"/>
          <w:sz w:val="32"/>
          <w:szCs w:val="32"/>
        </w:rPr>
      </w:pPr>
    </w:p>
    <w:p w14:paraId="70024504">
      <w:pPr>
        <w:pStyle w:val="3"/>
        <w:rPr>
          <w:lang w:val="en-US"/>
        </w:rPr>
      </w:pPr>
    </w:p>
    <w:p w14:paraId="655D5FC6"/>
    <w:p w14:paraId="0FB11110">
      <w:pPr>
        <w:snapToGrid w:val="0"/>
        <w:spacing w:line="360" w:lineRule="auto"/>
        <w:ind w:firstLine="3855" w:firstLineChars="1200"/>
        <w:outlineLvl w:val="0"/>
        <w:rPr>
          <w:rFonts w:ascii="宋体" w:hAnsi="宋体" w:cs="宋体"/>
          <w:b/>
          <w:kern w:val="0"/>
          <w:sz w:val="32"/>
          <w:szCs w:val="32"/>
        </w:rPr>
      </w:pPr>
    </w:p>
    <w:p w14:paraId="0FD69BC2">
      <w:pPr>
        <w:snapToGrid w:val="0"/>
        <w:spacing w:line="360" w:lineRule="auto"/>
        <w:ind w:firstLine="3855" w:firstLineChars="1200"/>
        <w:outlineLvl w:val="0"/>
        <w:rPr>
          <w:rFonts w:ascii="宋体" w:hAnsi="宋体" w:cs="宋体"/>
          <w:b/>
          <w:kern w:val="0"/>
          <w:sz w:val="32"/>
          <w:szCs w:val="32"/>
        </w:rPr>
      </w:pPr>
    </w:p>
    <w:p w14:paraId="0C26D59F">
      <w:pPr>
        <w:snapToGrid w:val="0"/>
        <w:spacing w:line="360" w:lineRule="auto"/>
        <w:ind w:firstLine="3855" w:firstLineChars="1200"/>
        <w:outlineLvl w:val="0"/>
        <w:rPr>
          <w:rFonts w:ascii="宋体" w:hAnsi="宋体" w:cs="宋体"/>
          <w:b/>
          <w:kern w:val="0"/>
          <w:sz w:val="32"/>
          <w:szCs w:val="32"/>
        </w:rPr>
      </w:pPr>
    </w:p>
    <w:p w14:paraId="417B6A89">
      <w:pPr>
        <w:widowControl/>
        <w:adjustRightInd/>
        <w:jc w:val="left"/>
        <w:rPr>
          <w:rFonts w:ascii="宋体" w:hAnsi="宋体" w:cs="宋体"/>
          <w:b/>
          <w:kern w:val="0"/>
          <w:sz w:val="32"/>
          <w:szCs w:val="32"/>
        </w:rPr>
      </w:pPr>
      <w:r>
        <w:rPr>
          <w:rFonts w:ascii="宋体" w:hAnsi="宋体" w:cs="宋体"/>
          <w:b/>
          <w:kern w:val="0"/>
          <w:sz w:val="32"/>
          <w:szCs w:val="32"/>
        </w:rPr>
        <w:br w:type="page"/>
      </w:r>
    </w:p>
    <w:p w14:paraId="0B301143">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448433B">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20AE9ED1">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4717CC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CE29F6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5A31250">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828A49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2.1.1符合参加政府采购活动应当具备的一般条件的承诺函；</w:t>
      </w:r>
    </w:p>
    <w:p w14:paraId="7F8E3E7E">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2</w:t>
      </w:r>
      <w:r>
        <w:rPr>
          <w:rFonts w:hint="eastAsia" w:ascii="宋体" w:hAnsi="宋体" w:cs="Arial"/>
          <w:kern w:val="0"/>
          <w:sz w:val="24"/>
        </w:rPr>
        <w:t>法人或者其他组织的营业执照等证明文件，自然人的身份证明</w:t>
      </w:r>
      <w:r>
        <w:rPr>
          <w:rFonts w:hint="eastAsia" w:ascii="宋体" w:hAnsi="宋体" w:cs="宋体"/>
          <w:sz w:val="24"/>
        </w:rPr>
        <w:t>；</w:t>
      </w:r>
    </w:p>
    <w:p w14:paraId="4648149B">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730F7033">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224855E3">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1C67CEEC">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788BEDF">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FB8901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690957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012A1FB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130BE4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5A635B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6ECF5E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8F70CB5">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E9DA87D">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390AD30">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D50A831">
      <w:pPr>
        <w:snapToGrid w:val="0"/>
        <w:spacing w:line="360" w:lineRule="auto"/>
        <w:ind w:left="420" w:leftChars="200" w:firstLine="480" w:firstLineChars="200"/>
        <w:rPr>
          <w:rFonts w:hint="default" w:eastAsia="宋体"/>
          <w:lang w:val="en-US" w:eastAsia="zh-CN"/>
        </w:rPr>
      </w:pPr>
      <w:r>
        <w:rPr>
          <w:rFonts w:hint="eastAsia" w:ascii="宋体" w:hAnsi="宋体" w:cs="宋体"/>
          <w:color w:val="FF0000"/>
          <w:sz w:val="24"/>
        </w:rPr>
        <w:t>2.3.2中小企业声明函（如果有）。</w:t>
      </w:r>
    </w:p>
    <w:p w14:paraId="203775BA">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36068DBF">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E8133C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7F3D34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DCB6DE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5E1F2C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E2B4AB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3B5A338">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865B65A">
      <w:pPr>
        <w:spacing w:line="360" w:lineRule="auto"/>
        <w:jc w:val="center"/>
        <w:rPr>
          <w:rFonts w:ascii="宋体" w:hAnsi="宋体" w:cs="宋体"/>
          <w:sz w:val="24"/>
        </w:rPr>
      </w:pPr>
      <w:r>
        <w:rPr>
          <w:rFonts w:hint="eastAsia" w:ascii="宋体" w:hAnsi="宋体" w:cs="宋体"/>
          <w:sz w:val="24"/>
        </w:rPr>
        <w:t xml:space="preserve">     日期：  年   月   日</w:t>
      </w:r>
    </w:p>
    <w:p w14:paraId="66B9BEBC">
      <w:pPr>
        <w:snapToGrid w:val="0"/>
        <w:spacing w:line="360" w:lineRule="auto"/>
        <w:ind w:left="420" w:leftChars="200" w:firstLine="4200" w:firstLineChars="1750"/>
        <w:rPr>
          <w:rFonts w:ascii="宋体" w:hAnsi="宋体" w:cs="宋体"/>
          <w:kern w:val="0"/>
          <w:sz w:val="24"/>
          <w:u w:val="single"/>
        </w:rPr>
      </w:pPr>
    </w:p>
    <w:p w14:paraId="4164C6F4">
      <w:pPr>
        <w:spacing w:line="360" w:lineRule="auto"/>
        <w:ind w:right="420"/>
        <w:rPr>
          <w:rFonts w:ascii="宋体" w:hAnsi="宋体" w:cs="宋体"/>
          <w:sz w:val="24"/>
        </w:rPr>
      </w:pPr>
      <w:r>
        <w:rPr>
          <w:rFonts w:hint="eastAsia" w:ascii="宋体" w:hAnsi="宋体" w:cs="宋体"/>
          <w:sz w:val="24"/>
        </w:rPr>
        <w:t>注：按本格式和要求提供。</w:t>
      </w:r>
    </w:p>
    <w:p w14:paraId="6A530AF3">
      <w:pPr>
        <w:snapToGrid w:val="0"/>
        <w:spacing w:line="360" w:lineRule="auto"/>
        <w:jc w:val="center"/>
        <w:rPr>
          <w:rFonts w:ascii="宋体" w:hAnsi="宋体" w:cs="宋体"/>
          <w:b/>
          <w:kern w:val="0"/>
          <w:sz w:val="32"/>
          <w:szCs w:val="32"/>
        </w:rPr>
      </w:pPr>
    </w:p>
    <w:p w14:paraId="78FF8F9E">
      <w:pPr>
        <w:snapToGrid w:val="0"/>
        <w:spacing w:line="360" w:lineRule="auto"/>
        <w:rPr>
          <w:rFonts w:ascii="宋体" w:hAnsi="宋体" w:cs="宋体"/>
          <w:sz w:val="24"/>
        </w:rPr>
      </w:pPr>
    </w:p>
    <w:p w14:paraId="65D89F4B">
      <w:pPr>
        <w:jc w:val="center"/>
        <w:rPr>
          <w:rFonts w:ascii="宋体" w:hAnsi="宋体" w:cs="宋体"/>
          <w:b/>
          <w:kern w:val="0"/>
          <w:sz w:val="32"/>
          <w:szCs w:val="32"/>
        </w:rPr>
      </w:pPr>
    </w:p>
    <w:p w14:paraId="042AAD40">
      <w:pPr>
        <w:jc w:val="center"/>
        <w:rPr>
          <w:rFonts w:ascii="宋体" w:hAnsi="宋体" w:cs="宋体"/>
          <w:b/>
          <w:kern w:val="0"/>
          <w:sz w:val="32"/>
          <w:szCs w:val="32"/>
        </w:rPr>
      </w:pPr>
    </w:p>
    <w:p w14:paraId="024B9831">
      <w:pPr>
        <w:jc w:val="center"/>
        <w:rPr>
          <w:rFonts w:ascii="宋体" w:hAnsi="宋体" w:cs="宋体"/>
          <w:b/>
          <w:kern w:val="0"/>
          <w:sz w:val="32"/>
          <w:szCs w:val="32"/>
        </w:rPr>
      </w:pPr>
    </w:p>
    <w:p w14:paraId="613AE802">
      <w:pPr>
        <w:jc w:val="center"/>
        <w:rPr>
          <w:rFonts w:ascii="宋体" w:hAnsi="宋体" w:cs="宋体"/>
          <w:b/>
          <w:kern w:val="0"/>
          <w:sz w:val="32"/>
          <w:szCs w:val="32"/>
        </w:rPr>
      </w:pPr>
    </w:p>
    <w:p w14:paraId="2F54EA9F">
      <w:pPr>
        <w:jc w:val="center"/>
        <w:rPr>
          <w:rFonts w:ascii="宋体" w:hAnsi="宋体" w:cs="宋体"/>
          <w:b/>
          <w:kern w:val="0"/>
          <w:sz w:val="32"/>
          <w:szCs w:val="32"/>
        </w:rPr>
      </w:pPr>
    </w:p>
    <w:p w14:paraId="510043AF">
      <w:pPr>
        <w:jc w:val="center"/>
        <w:rPr>
          <w:rFonts w:ascii="宋体" w:hAnsi="宋体" w:cs="宋体"/>
          <w:b/>
          <w:kern w:val="0"/>
          <w:sz w:val="32"/>
          <w:szCs w:val="32"/>
        </w:rPr>
      </w:pPr>
    </w:p>
    <w:p w14:paraId="36D2C46A">
      <w:pPr>
        <w:jc w:val="center"/>
        <w:rPr>
          <w:rFonts w:ascii="宋体" w:hAnsi="宋体" w:cs="宋体"/>
          <w:b/>
          <w:kern w:val="0"/>
          <w:sz w:val="32"/>
          <w:szCs w:val="32"/>
        </w:rPr>
      </w:pPr>
    </w:p>
    <w:p w14:paraId="0A84BA65">
      <w:pPr>
        <w:jc w:val="center"/>
        <w:rPr>
          <w:rFonts w:ascii="宋体" w:hAnsi="宋体" w:cs="宋体"/>
          <w:b/>
          <w:kern w:val="0"/>
          <w:sz w:val="32"/>
          <w:szCs w:val="32"/>
        </w:rPr>
      </w:pPr>
    </w:p>
    <w:p w14:paraId="4FA0897C">
      <w:pPr>
        <w:jc w:val="center"/>
        <w:rPr>
          <w:rFonts w:ascii="宋体" w:hAnsi="宋体" w:cs="宋体"/>
          <w:b/>
          <w:kern w:val="0"/>
          <w:sz w:val="32"/>
          <w:szCs w:val="32"/>
        </w:rPr>
      </w:pPr>
    </w:p>
    <w:p w14:paraId="0A64DD84">
      <w:pPr>
        <w:jc w:val="center"/>
        <w:rPr>
          <w:rFonts w:ascii="宋体" w:hAnsi="宋体" w:cs="宋体"/>
          <w:b/>
          <w:kern w:val="0"/>
          <w:sz w:val="32"/>
          <w:szCs w:val="32"/>
        </w:rPr>
      </w:pPr>
    </w:p>
    <w:p w14:paraId="7017C913">
      <w:pPr>
        <w:jc w:val="center"/>
        <w:rPr>
          <w:rFonts w:ascii="宋体" w:hAnsi="宋体" w:cs="宋体"/>
          <w:b/>
          <w:kern w:val="0"/>
          <w:sz w:val="32"/>
          <w:szCs w:val="32"/>
        </w:rPr>
      </w:pPr>
    </w:p>
    <w:p w14:paraId="124E399D">
      <w:pPr>
        <w:jc w:val="center"/>
        <w:rPr>
          <w:rFonts w:ascii="宋体" w:hAnsi="宋体" w:cs="宋体"/>
          <w:b/>
          <w:kern w:val="0"/>
          <w:sz w:val="32"/>
          <w:szCs w:val="32"/>
        </w:rPr>
      </w:pPr>
    </w:p>
    <w:p w14:paraId="4D9D63B8">
      <w:pPr>
        <w:jc w:val="center"/>
        <w:rPr>
          <w:rFonts w:ascii="宋体" w:hAnsi="宋体" w:cs="宋体"/>
          <w:b/>
          <w:kern w:val="0"/>
          <w:sz w:val="32"/>
          <w:szCs w:val="32"/>
        </w:rPr>
      </w:pPr>
    </w:p>
    <w:p w14:paraId="5F3AABFE">
      <w:pPr>
        <w:jc w:val="center"/>
        <w:rPr>
          <w:rFonts w:ascii="宋体" w:hAnsi="宋体" w:cs="宋体"/>
          <w:b/>
          <w:kern w:val="0"/>
          <w:sz w:val="32"/>
          <w:szCs w:val="32"/>
        </w:rPr>
      </w:pPr>
    </w:p>
    <w:p w14:paraId="4A0E83A5">
      <w:pPr>
        <w:jc w:val="center"/>
        <w:rPr>
          <w:rFonts w:ascii="宋体" w:hAnsi="宋体" w:cs="宋体"/>
          <w:b/>
          <w:kern w:val="0"/>
          <w:sz w:val="32"/>
          <w:szCs w:val="32"/>
        </w:rPr>
      </w:pPr>
    </w:p>
    <w:p w14:paraId="77529EEA">
      <w:pPr>
        <w:jc w:val="center"/>
        <w:rPr>
          <w:rFonts w:ascii="宋体" w:hAnsi="宋体" w:cs="宋体"/>
          <w:b/>
          <w:kern w:val="0"/>
          <w:sz w:val="32"/>
          <w:szCs w:val="32"/>
        </w:rPr>
      </w:pPr>
    </w:p>
    <w:p w14:paraId="31720A05">
      <w:pPr>
        <w:jc w:val="center"/>
        <w:rPr>
          <w:rFonts w:ascii="宋体" w:hAnsi="宋体" w:cs="宋体"/>
          <w:b/>
          <w:kern w:val="0"/>
          <w:sz w:val="32"/>
          <w:szCs w:val="32"/>
        </w:rPr>
      </w:pPr>
    </w:p>
    <w:p w14:paraId="4F10938D">
      <w:pPr>
        <w:jc w:val="center"/>
        <w:rPr>
          <w:rFonts w:ascii="宋体" w:hAnsi="宋体" w:cs="宋体"/>
          <w:b/>
          <w:kern w:val="0"/>
          <w:sz w:val="32"/>
          <w:szCs w:val="32"/>
        </w:rPr>
      </w:pPr>
    </w:p>
    <w:p w14:paraId="08417E7C">
      <w:pPr>
        <w:jc w:val="center"/>
        <w:rPr>
          <w:rFonts w:ascii="宋体" w:hAnsi="宋体" w:cs="宋体"/>
          <w:b/>
          <w:kern w:val="0"/>
          <w:sz w:val="32"/>
          <w:szCs w:val="32"/>
        </w:rPr>
      </w:pPr>
    </w:p>
    <w:p w14:paraId="1EFCEE52">
      <w:pPr>
        <w:jc w:val="center"/>
        <w:rPr>
          <w:rFonts w:ascii="宋体" w:hAnsi="宋体" w:cs="宋体"/>
          <w:b/>
          <w:kern w:val="0"/>
          <w:sz w:val="32"/>
          <w:szCs w:val="32"/>
        </w:rPr>
      </w:pPr>
    </w:p>
    <w:p w14:paraId="229771D1">
      <w:pPr>
        <w:jc w:val="center"/>
        <w:rPr>
          <w:rFonts w:ascii="宋体" w:hAnsi="宋体" w:cs="宋体"/>
          <w:b/>
          <w:kern w:val="0"/>
          <w:sz w:val="32"/>
          <w:szCs w:val="32"/>
        </w:rPr>
      </w:pPr>
    </w:p>
    <w:p w14:paraId="7E785816">
      <w:pPr>
        <w:jc w:val="center"/>
        <w:rPr>
          <w:rFonts w:ascii="宋体" w:hAnsi="宋体" w:cs="宋体"/>
          <w:b/>
          <w:kern w:val="0"/>
          <w:sz w:val="32"/>
          <w:szCs w:val="32"/>
        </w:rPr>
      </w:pPr>
    </w:p>
    <w:p w14:paraId="13F21E3E">
      <w:pPr>
        <w:widowControl/>
        <w:adjustRightInd/>
        <w:jc w:val="left"/>
        <w:rPr>
          <w:rFonts w:ascii="宋体" w:hAnsi="宋体" w:cs="宋体"/>
          <w:b/>
          <w:kern w:val="0"/>
          <w:sz w:val="32"/>
          <w:szCs w:val="32"/>
        </w:rPr>
      </w:pPr>
      <w:r>
        <w:rPr>
          <w:rFonts w:ascii="宋体" w:hAnsi="宋体" w:cs="宋体"/>
          <w:b/>
          <w:kern w:val="0"/>
          <w:sz w:val="32"/>
          <w:szCs w:val="32"/>
        </w:rPr>
        <w:br w:type="page"/>
      </w:r>
    </w:p>
    <w:p w14:paraId="6F6F738B">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6359178">
      <w:pPr>
        <w:snapToGrid w:val="0"/>
        <w:spacing w:line="360" w:lineRule="auto"/>
        <w:rPr>
          <w:rFonts w:ascii="宋体" w:hAnsi="宋体" w:cs="宋体"/>
          <w:sz w:val="24"/>
        </w:rPr>
      </w:pPr>
      <w:r>
        <w:rPr>
          <w:rFonts w:hint="eastAsia" w:ascii="宋体" w:hAnsi="宋体" w:cs="宋体"/>
          <w:sz w:val="24"/>
        </w:rPr>
        <w:t xml:space="preserve">                                </w:t>
      </w:r>
    </w:p>
    <w:p w14:paraId="3D2C20A0">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99BA6C5">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3D85ADE">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D036AD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61AE17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20779A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5962D4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2DB7FA8">
      <w:pPr>
        <w:snapToGrid w:val="0"/>
        <w:spacing w:line="360" w:lineRule="auto"/>
        <w:rPr>
          <w:rFonts w:ascii="宋体" w:hAnsi="宋体" w:cs="宋体"/>
          <w:sz w:val="24"/>
        </w:rPr>
      </w:pPr>
    </w:p>
    <w:p w14:paraId="79EC5AB5">
      <w:pPr>
        <w:snapToGrid w:val="0"/>
        <w:spacing w:line="360" w:lineRule="auto"/>
        <w:rPr>
          <w:rFonts w:ascii="宋体" w:hAnsi="宋体" w:cs="宋体"/>
          <w:sz w:val="24"/>
        </w:rPr>
      </w:pPr>
    </w:p>
    <w:p w14:paraId="022C1856">
      <w:pPr>
        <w:snapToGrid w:val="0"/>
        <w:spacing w:line="360" w:lineRule="auto"/>
        <w:rPr>
          <w:rFonts w:ascii="宋体" w:hAnsi="宋体" w:cs="宋体"/>
          <w:sz w:val="24"/>
        </w:rPr>
      </w:pPr>
    </w:p>
    <w:p w14:paraId="5B067A28">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D7C443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A69841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8110D6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5ED400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B4A8452">
      <w:pPr>
        <w:jc w:val="center"/>
        <w:rPr>
          <w:rFonts w:ascii="宋体" w:hAnsi="宋体" w:cs="宋体"/>
          <w:b/>
          <w:kern w:val="0"/>
          <w:sz w:val="32"/>
          <w:szCs w:val="32"/>
        </w:rPr>
      </w:pPr>
    </w:p>
    <w:p w14:paraId="5EA75DAF">
      <w:pPr>
        <w:jc w:val="center"/>
        <w:rPr>
          <w:rFonts w:ascii="宋体" w:hAnsi="宋体" w:cs="宋体"/>
          <w:b/>
          <w:kern w:val="0"/>
          <w:sz w:val="32"/>
          <w:szCs w:val="32"/>
        </w:rPr>
      </w:pPr>
    </w:p>
    <w:p w14:paraId="2F948D72">
      <w:pPr>
        <w:jc w:val="center"/>
        <w:rPr>
          <w:rFonts w:ascii="宋体" w:hAnsi="宋体" w:cs="宋体"/>
          <w:b/>
          <w:kern w:val="0"/>
          <w:sz w:val="32"/>
          <w:szCs w:val="32"/>
        </w:rPr>
      </w:pPr>
    </w:p>
    <w:p w14:paraId="4F8F8B69">
      <w:pPr>
        <w:rPr>
          <w:rFonts w:ascii="宋体" w:hAnsi="宋体" w:cs="宋体"/>
        </w:rPr>
      </w:pPr>
    </w:p>
    <w:p w14:paraId="54595C0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9850A0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0CB610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6EB964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1CE37A4">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5F7ECF7">
      <w:pPr>
        <w:pStyle w:val="147"/>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3F6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8E8349">
            <w:pPr>
              <w:pStyle w:val="147"/>
              <w:adjustRightInd w:val="0"/>
              <w:spacing w:line="360" w:lineRule="auto"/>
              <w:rPr>
                <w:rFonts w:hAnsi="宋体" w:cs="宋体"/>
                <w:bCs/>
                <w:sz w:val="24"/>
              </w:rPr>
            </w:pPr>
            <w:r>
              <w:rPr>
                <w:rFonts w:hint="eastAsia" w:hAnsi="宋体" w:cs="宋体"/>
                <w:bCs/>
                <w:sz w:val="24"/>
              </w:rPr>
              <w:t>正面：                                 反面：</w:t>
            </w:r>
          </w:p>
          <w:p w14:paraId="50F4E7F3">
            <w:pPr>
              <w:pStyle w:val="147"/>
              <w:adjustRightInd w:val="0"/>
              <w:spacing w:line="360" w:lineRule="auto"/>
              <w:rPr>
                <w:rFonts w:hAnsi="宋体" w:cs="宋体"/>
                <w:bCs/>
                <w:sz w:val="24"/>
              </w:rPr>
            </w:pPr>
          </w:p>
        </w:tc>
      </w:tr>
    </w:tbl>
    <w:p w14:paraId="3C2D97C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8177BE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02CB05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CB08627">
      <w:pPr>
        <w:jc w:val="center"/>
        <w:rPr>
          <w:rFonts w:ascii="宋体" w:hAnsi="宋体" w:cs="宋体"/>
          <w:b/>
          <w:kern w:val="0"/>
          <w:sz w:val="32"/>
          <w:szCs w:val="32"/>
        </w:rPr>
      </w:pPr>
    </w:p>
    <w:p w14:paraId="3E4F801F">
      <w:pPr>
        <w:jc w:val="center"/>
        <w:rPr>
          <w:rFonts w:ascii="宋体" w:hAnsi="宋体" w:cs="宋体"/>
          <w:b/>
          <w:kern w:val="0"/>
          <w:sz w:val="32"/>
          <w:szCs w:val="32"/>
        </w:rPr>
      </w:pPr>
    </w:p>
    <w:p w14:paraId="29DB1E86">
      <w:pPr>
        <w:jc w:val="center"/>
        <w:rPr>
          <w:rFonts w:ascii="宋体" w:hAnsi="宋体" w:cs="宋体"/>
          <w:b/>
          <w:kern w:val="0"/>
          <w:sz w:val="32"/>
          <w:szCs w:val="32"/>
        </w:rPr>
      </w:pPr>
    </w:p>
    <w:p w14:paraId="32A15115">
      <w:pPr>
        <w:jc w:val="center"/>
        <w:rPr>
          <w:rFonts w:ascii="宋体" w:hAnsi="宋体" w:cs="宋体"/>
          <w:b/>
          <w:kern w:val="0"/>
          <w:sz w:val="32"/>
          <w:szCs w:val="32"/>
        </w:rPr>
      </w:pPr>
    </w:p>
    <w:p w14:paraId="1849672E">
      <w:pPr>
        <w:jc w:val="center"/>
        <w:rPr>
          <w:rFonts w:ascii="宋体" w:hAnsi="宋体" w:cs="宋体"/>
          <w:b/>
          <w:kern w:val="0"/>
          <w:sz w:val="32"/>
          <w:szCs w:val="32"/>
        </w:rPr>
      </w:pPr>
    </w:p>
    <w:p w14:paraId="7746A2C2">
      <w:pPr>
        <w:jc w:val="center"/>
        <w:rPr>
          <w:rFonts w:ascii="宋体" w:hAnsi="宋体" w:cs="宋体"/>
          <w:b/>
          <w:kern w:val="0"/>
          <w:sz w:val="32"/>
          <w:szCs w:val="32"/>
        </w:rPr>
      </w:pPr>
    </w:p>
    <w:p w14:paraId="317AF54E">
      <w:pPr>
        <w:jc w:val="center"/>
        <w:rPr>
          <w:rFonts w:ascii="宋体" w:hAnsi="宋体" w:cs="宋体"/>
          <w:b/>
          <w:kern w:val="0"/>
          <w:sz w:val="32"/>
          <w:szCs w:val="32"/>
        </w:rPr>
      </w:pPr>
    </w:p>
    <w:p w14:paraId="77D7F65B">
      <w:pPr>
        <w:jc w:val="center"/>
        <w:rPr>
          <w:rFonts w:ascii="宋体" w:hAnsi="宋体" w:cs="宋体"/>
          <w:b/>
          <w:kern w:val="0"/>
          <w:sz w:val="32"/>
          <w:szCs w:val="32"/>
        </w:rPr>
      </w:pPr>
    </w:p>
    <w:p w14:paraId="28EEDF58">
      <w:pPr>
        <w:jc w:val="center"/>
        <w:rPr>
          <w:rFonts w:ascii="宋体" w:hAnsi="宋体" w:cs="宋体"/>
          <w:b/>
          <w:kern w:val="0"/>
          <w:sz w:val="32"/>
          <w:szCs w:val="32"/>
        </w:rPr>
      </w:pPr>
    </w:p>
    <w:p w14:paraId="6E90D374">
      <w:pPr>
        <w:jc w:val="center"/>
        <w:rPr>
          <w:rFonts w:ascii="宋体" w:hAnsi="宋体" w:cs="宋体"/>
          <w:b/>
          <w:kern w:val="0"/>
          <w:sz w:val="32"/>
          <w:szCs w:val="32"/>
        </w:rPr>
      </w:pPr>
    </w:p>
    <w:p w14:paraId="32F168D0">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7F07CA6">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47F56999">
      <w:pPr>
        <w:widowControl/>
        <w:spacing w:line="360" w:lineRule="auto"/>
        <w:ind w:firstLine="120" w:firstLineChars="50"/>
        <w:jc w:val="left"/>
        <w:rPr>
          <w:rFonts w:ascii="宋体" w:hAnsi="宋体" w:cs="宋体"/>
          <w:sz w:val="24"/>
        </w:rPr>
      </w:pPr>
      <w:bookmarkStart w:id="55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3"/>
    <w:p w14:paraId="7CE5C10B">
      <w:pPr>
        <w:snapToGrid w:val="0"/>
        <w:spacing w:line="360" w:lineRule="auto"/>
        <w:rPr>
          <w:rFonts w:ascii="宋体" w:hAnsi="宋体" w:cs="宋体"/>
          <w:kern w:val="0"/>
          <w:sz w:val="24"/>
        </w:rPr>
      </w:pPr>
    </w:p>
    <w:p w14:paraId="2BEFBD83">
      <w:pPr>
        <w:jc w:val="center"/>
        <w:rPr>
          <w:rFonts w:ascii="宋体" w:hAnsi="宋体" w:cs="宋体"/>
          <w:b/>
          <w:kern w:val="0"/>
          <w:sz w:val="32"/>
          <w:szCs w:val="32"/>
        </w:rPr>
      </w:pPr>
    </w:p>
    <w:p w14:paraId="4A72472B">
      <w:pPr>
        <w:pStyle w:val="3"/>
        <w:rPr>
          <w:lang w:val="en-US"/>
        </w:rPr>
      </w:pPr>
    </w:p>
    <w:p w14:paraId="51FB0DBC"/>
    <w:p w14:paraId="2D3AC3AA">
      <w:pPr>
        <w:pStyle w:val="3"/>
        <w:rPr>
          <w:lang w:val="en-US"/>
        </w:rPr>
      </w:pPr>
    </w:p>
    <w:p w14:paraId="1D318762">
      <w:pPr>
        <w:jc w:val="center"/>
        <w:rPr>
          <w:rFonts w:ascii="宋体" w:hAnsi="宋体" w:cs="宋体"/>
          <w:b/>
          <w:kern w:val="0"/>
          <w:sz w:val="32"/>
          <w:szCs w:val="32"/>
        </w:rPr>
      </w:pPr>
    </w:p>
    <w:p w14:paraId="78047806">
      <w:pPr>
        <w:jc w:val="center"/>
        <w:rPr>
          <w:rFonts w:ascii="宋体" w:hAnsi="宋体" w:cs="宋体"/>
          <w:b/>
          <w:kern w:val="0"/>
          <w:sz w:val="32"/>
          <w:szCs w:val="32"/>
        </w:rPr>
      </w:pPr>
      <w:r>
        <w:rPr>
          <w:rFonts w:hint="eastAsia" w:ascii="宋体" w:hAnsi="宋体" w:cs="宋体"/>
          <w:b/>
          <w:kern w:val="0"/>
          <w:sz w:val="32"/>
          <w:szCs w:val="32"/>
        </w:rPr>
        <w:t>四、符合性审查资料</w:t>
      </w:r>
    </w:p>
    <w:p w14:paraId="22DAA09B">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2D2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A5D6DB5">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E3C2781">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FA94FE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488EEB4">
            <w:pPr>
              <w:snapToGrid w:val="0"/>
              <w:spacing w:line="240" w:lineRule="atLeast"/>
              <w:jc w:val="center"/>
              <w:rPr>
                <w:rFonts w:ascii="宋体" w:hAnsi="宋体" w:cs="宋体"/>
                <w:b/>
                <w:sz w:val="24"/>
              </w:rPr>
            </w:pPr>
            <w:r>
              <w:rPr>
                <w:rFonts w:hint="eastAsia" w:ascii="宋体" w:hAnsi="宋体" w:cs="宋体"/>
                <w:b/>
                <w:sz w:val="24"/>
              </w:rPr>
              <w:t>投标文件中的</w:t>
            </w:r>
          </w:p>
          <w:p w14:paraId="11E4BC18">
            <w:pPr>
              <w:snapToGrid w:val="0"/>
              <w:spacing w:line="240" w:lineRule="atLeast"/>
              <w:jc w:val="center"/>
              <w:rPr>
                <w:rFonts w:ascii="宋体" w:hAnsi="宋体" w:cs="宋体"/>
                <w:b/>
                <w:sz w:val="24"/>
              </w:rPr>
            </w:pPr>
            <w:r>
              <w:rPr>
                <w:rFonts w:hint="eastAsia" w:ascii="宋体" w:hAnsi="宋体" w:cs="宋体"/>
                <w:b/>
                <w:sz w:val="24"/>
              </w:rPr>
              <w:t>页码位置</w:t>
            </w:r>
          </w:p>
        </w:tc>
      </w:tr>
      <w:tr w14:paraId="07F7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CA5663">
            <w:pPr>
              <w:jc w:val="center"/>
              <w:rPr>
                <w:rFonts w:ascii="宋体" w:hAnsi="宋体" w:cs="宋体"/>
                <w:sz w:val="24"/>
              </w:rPr>
            </w:pPr>
            <w:r>
              <w:rPr>
                <w:rFonts w:hint="eastAsia" w:ascii="宋体" w:hAnsi="宋体" w:cs="宋体"/>
                <w:sz w:val="24"/>
              </w:rPr>
              <w:t>1</w:t>
            </w:r>
          </w:p>
        </w:tc>
        <w:tc>
          <w:tcPr>
            <w:tcW w:w="4991" w:type="dxa"/>
          </w:tcPr>
          <w:p w14:paraId="749372F0">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31EC9F46">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5FED461">
            <w:pPr>
              <w:rPr>
                <w:rFonts w:ascii="宋体" w:hAnsi="宋体" w:cs="宋体"/>
                <w:sz w:val="24"/>
              </w:rPr>
            </w:pPr>
          </w:p>
          <w:p w14:paraId="6D1BB057">
            <w:pPr>
              <w:rPr>
                <w:rFonts w:ascii="宋体" w:hAnsi="宋体" w:cs="宋体"/>
                <w:sz w:val="24"/>
              </w:rPr>
            </w:pPr>
            <w:r>
              <w:rPr>
                <w:rFonts w:hint="eastAsia" w:ascii="宋体" w:hAnsi="宋体" w:cs="宋体"/>
                <w:sz w:val="24"/>
              </w:rPr>
              <w:t>见投标文件</w:t>
            </w:r>
          </w:p>
          <w:p w14:paraId="4061F0A0">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960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3606B0">
            <w:pPr>
              <w:jc w:val="center"/>
              <w:rPr>
                <w:rFonts w:ascii="宋体" w:hAnsi="宋体" w:cs="宋体"/>
                <w:sz w:val="24"/>
              </w:rPr>
            </w:pPr>
            <w:r>
              <w:rPr>
                <w:rFonts w:hint="eastAsia" w:ascii="宋体" w:hAnsi="宋体" w:cs="宋体"/>
                <w:sz w:val="24"/>
              </w:rPr>
              <w:t>2</w:t>
            </w:r>
          </w:p>
        </w:tc>
        <w:tc>
          <w:tcPr>
            <w:tcW w:w="4991" w:type="dxa"/>
          </w:tcPr>
          <w:p w14:paraId="0CC8A7D9">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3804E51">
            <w:pPr>
              <w:rPr>
                <w:rFonts w:ascii="宋体" w:hAnsi="宋体" w:cs="宋体"/>
                <w:sz w:val="24"/>
              </w:rPr>
            </w:pPr>
            <w:r>
              <w:rPr>
                <w:rFonts w:hint="eastAsia" w:ascii="宋体" w:hAnsi="宋体" w:cs="宋体"/>
                <w:sz w:val="24"/>
              </w:rPr>
              <w:t>投标函</w:t>
            </w:r>
          </w:p>
        </w:tc>
        <w:tc>
          <w:tcPr>
            <w:tcW w:w="1418" w:type="dxa"/>
          </w:tcPr>
          <w:p w14:paraId="7B6962FD">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E74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7D8A99">
            <w:pPr>
              <w:jc w:val="center"/>
              <w:rPr>
                <w:rFonts w:ascii="宋体" w:hAnsi="宋体" w:cs="宋体"/>
                <w:sz w:val="24"/>
              </w:rPr>
            </w:pPr>
            <w:r>
              <w:rPr>
                <w:rFonts w:hint="eastAsia" w:ascii="宋体" w:hAnsi="宋体" w:cs="宋体"/>
                <w:sz w:val="24"/>
              </w:rPr>
              <w:t>3</w:t>
            </w:r>
          </w:p>
        </w:tc>
        <w:tc>
          <w:tcPr>
            <w:tcW w:w="4991" w:type="dxa"/>
          </w:tcPr>
          <w:p w14:paraId="3B090480">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952E66C">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A6692D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7DB938B">
      <w:pPr>
        <w:spacing w:line="360" w:lineRule="auto"/>
        <w:ind w:right="420"/>
        <w:rPr>
          <w:rFonts w:ascii="宋体" w:hAnsi="宋体" w:cs="宋体"/>
          <w:sz w:val="24"/>
        </w:rPr>
      </w:pPr>
      <w:r>
        <w:rPr>
          <w:rFonts w:hint="eastAsia" w:ascii="宋体" w:hAnsi="宋体" w:cs="宋体"/>
          <w:sz w:val="24"/>
        </w:rPr>
        <w:t>注：按本格式和要求提供。</w:t>
      </w:r>
    </w:p>
    <w:p w14:paraId="4C2D71ED">
      <w:pPr>
        <w:jc w:val="center"/>
        <w:rPr>
          <w:rFonts w:ascii="宋体" w:hAnsi="宋体" w:cs="宋体"/>
          <w:b/>
          <w:kern w:val="0"/>
          <w:sz w:val="32"/>
          <w:szCs w:val="32"/>
        </w:rPr>
      </w:pPr>
    </w:p>
    <w:p w14:paraId="65B82A4E">
      <w:pPr>
        <w:jc w:val="center"/>
        <w:rPr>
          <w:rFonts w:ascii="宋体" w:hAnsi="宋体" w:cs="宋体"/>
          <w:b/>
          <w:kern w:val="0"/>
          <w:sz w:val="32"/>
          <w:szCs w:val="32"/>
        </w:rPr>
      </w:pPr>
      <w:r>
        <w:rPr>
          <w:rFonts w:hint="eastAsia" w:ascii="宋体" w:hAnsi="宋体" w:cs="宋体"/>
          <w:b/>
          <w:kern w:val="0"/>
          <w:sz w:val="32"/>
          <w:szCs w:val="32"/>
        </w:rPr>
        <w:t xml:space="preserve">            </w:t>
      </w:r>
    </w:p>
    <w:p w14:paraId="4676AAFD">
      <w:pPr>
        <w:jc w:val="center"/>
        <w:rPr>
          <w:rFonts w:ascii="宋体" w:hAnsi="宋体" w:cs="宋体"/>
          <w:b/>
          <w:kern w:val="0"/>
          <w:sz w:val="32"/>
          <w:szCs w:val="32"/>
        </w:rPr>
      </w:pPr>
    </w:p>
    <w:p w14:paraId="777753D7">
      <w:pPr>
        <w:jc w:val="center"/>
        <w:rPr>
          <w:rFonts w:ascii="宋体" w:hAnsi="宋体" w:cs="宋体"/>
          <w:b/>
          <w:kern w:val="0"/>
          <w:sz w:val="32"/>
          <w:szCs w:val="32"/>
        </w:rPr>
      </w:pPr>
    </w:p>
    <w:p w14:paraId="14EF4518">
      <w:pPr>
        <w:jc w:val="center"/>
        <w:rPr>
          <w:rFonts w:ascii="宋体" w:hAnsi="宋体" w:cs="宋体"/>
          <w:b/>
          <w:kern w:val="0"/>
          <w:sz w:val="32"/>
          <w:szCs w:val="32"/>
        </w:rPr>
      </w:pPr>
    </w:p>
    <w:p w14:paraId="68F09DCC">
      <w:pPr>
        <w:jc w:val="center"/>
        <w:rPr>
          <w:rFonts w:ascii="宋体" w:hAnsi="宋体" w:cs="宋体"/>
          <w:b/>
          <w:kern w:val="0"/>
          <w:sz w:val="32"/>
          <w:szCs w:val="32"/>
        </w:rPr>
      </w:pPr>
    </w:p>
    <w:p w14:paraId="626AAED4">
      <w:pPr>
        <w:widowControl/>
        <w:adjustRightInd/>
        <w:jc w:val="left"/>
        <w:rPr>
          <w:rFonts w:ascii="宋体" w:hAnsi="宋体" w:cs="宋体"/>
          <w:b/>
          <w:kern w:val="0"/>
          <w:sz w:val="32"/>
          <w:szCs w:val="32"/>
        </w:rPr>
      </w:pPr>
      <w:r>
        <w:rPr>
          <w:rFonts w:ascii="宋体" w:hAnsi="宋体" w:cs="宋体"/>
          <w:b/>
          <w:kern w:val="0"/>
          <w:sz w:val="32"/>
          <w:szCs w:val="32"/>
        </w:rPr>
        <w:br w:type="page"/>
      </w:r>
    </w:p>
    <w:p w14:paraId="1A48A2FD">
      <w:pPr>
        <w:jc w:val="center"/>
        <w:rPr>
          <w:rFonts w:ascii="宋体" w:hAnsi="宋体" w:cs="宋体"/>
        </w:rPr>
      </w:pPr>
      <w:r>
        <w:rPr>
          <w:rFonts w:hint="eastAsia" w:ascii="宋体" w:hAnsi="宋体" w:cs="宋体"/>
          <w:b/>
          <w:kern w:val="0"/>
          <w:sz w:val="32"/>
          <w:szCs w:val="32"/>
        </w:rPr>
        <w:t>五、评标标准相应的商务技术资料</w:t>
      </w:r>
    </w:p>
    <w:p w14:paraId="73AE9EF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7387B05">
      <w:pPr>
        <w:jc w:val="center"/>
        <w:rPr>
          <w:rFonts w:ascii="宋体" w:hAnsi="宋体" w:cs="宋体"/>
          <w:b/>
          <w:kern w:val="0"/>
          <w:sz w:val="32"/>
          <w:szCs w:val="32"/>
        </w:rPr>
      </w:pPr>
    </w:p>
    <w:p w14:paraId="2E342B3D">
      <w:pPr>
        <w:jc w:val="center"/>
        <w:rPr>
          <w:rFonts w:ascii="宋体" w:hAnsi="宋体" w:cs="宋体"/>
          <w:b/>
          <w:kern w:val="0"/>
          <w:sz w:val="32"/>
          <w:szCs w:val="32"/>
        </w:rPr>
      </w:pPr>
    </w:p>
    <w:p w14:paraId="2F36AED2">
      <w:pPr>
        <w:jc w:val="center"/>
        <w:rPr>
          <w:rFonts w:ascii="宋体" w:hAnsi="宋体" w:cs="宋体"/>
          <w:b/>
          <w:kern w:val="0"/>
          <w:sz w:val="32"/>
          <w:szCs w:val="32"/>
        </w:rPr>
      </w:pPr>
    </w:p>
    <w:p w14:paraId="1D4CB46D">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85B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14F6FC">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5BE2DB5">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E210C42">
            <w:pPr>
              <w:spacing w:line="360" w:lineRule="auto"/>
              <w:jc w:val="center"/>
              <w:rPr>
                <w:rFonts w:ascii="宋体" w:hAnsi="宋体" w:cs="宋体"/>
                <w:b/>
                <w:sz w:val="24"/>
              </w:rPr>
            </w:pPr>
          </w:p>
          <w:p w14:paraId="697234AB">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59E7286">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59421F">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4285F62">
            <w:pPr>
              <w:spacing w:line="360" w:lineRule="auto"/>
              <w:jc w:val="center"/>
              <w:rPr>
                <w:rFonts w:ascii="宋体" w:hAnsi="宋体" w:cs="宋体"/>
                <w:b/>
                <w:sz w:val="24"/>
              </w:rPr>
            </w:pPr>
            <w:r>
              <w:rPr>
                <w:rFonts w:hint="eastAsia" w:ascii="宋体" w:hAnsi="宋体" w:cs="宋体"/>
                <w:b/>
                <w:sz w:val="24"/>
              </w:rPr>
              <w:t>备注</w:t>
            </w:r>
          </w:p>
        </w:tc>
      </w:tr>
      <w:tr w14:paraId="2597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7D97B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B1FB60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054E92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99CDDB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4D3BEE3">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8B6B009">
            <w:pPr>
              <w:spacing w:line="360" w:lineRule="auto"/>
              <w:jc w:val="center"/>
              <w:rPr>
                <w:rFonts w:ascii="宋体" w:hAnsi="宋体" w:cs="宋体"/>
                <w:sz w:val="24"/>
              </w:rPr>
            </w:pPr>
          </w:p>
        </w:tc>
      </w:tr>
      <w:tr w14:paraId="208E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5EA95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FFB07E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804D45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81AA4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5C1039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41D2435">
            <w:pPr>
              <w:spacing w:line="360" w:lineRule="auto"/>
              <w:jc w:val="center"/>
              <w:rPr>
                <w:rFonts w:ascii="宋体" w:hAnsi="宋体" w:cs="宋体"/>
                <w:sz w:val="24"/>
              </w:rPr>
            </w:pPr>
          </w:p>
        </w:tc>
      </w:tr>
      <w:tr w14:paraId="28FC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8AACCD">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870DE3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09963F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1CF179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8FEDE5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F38FEEF">
            <w:pPr>
              <w:spacing w:line="360" w:lineRule="auto"/>
              <w:jc w:val="center"/>
              <w:rPr>
                <w:rFonts w:ascii="宋体" w:hAnsi="宋体" w:cs="宋体"/>
                <w:sz w:val="24"/>
              </w:rPr>
            </w:pPr>
          </w:p>
        </w:tc>
      </w:tr>
    </w:tbl>
    <w:p w14:paraId="3DEF2214">
      <w:pPr>
        <w:spacing w:line="360" w:lineRule="auto"/>
        <w:ind w:right="420"/>
        <w:rPr>
          <w:rFonts w:ascii="宋体" w:hAnsi="宋体" w:cs="宋体"/>
          <w:sz w:val="24"/>
        </w:rPr>
      </w:pPr>
      <w:r>
        <w:rPr>
          <w:rFonts w:hint="eastAsia" w:ascii="宋体" w:hAnsi="宋体" w:cs="宋体"/>
          <w:sz w:val="24"/>
        </w:rPr>
        <w:t>注：按本格式和要求提供。</w:t>
      </w:r>
    </w:p>
    <w:p w14:paraId="719952F4">
      <w:pPr>
        <w:jc w:val="center"/>
        <w:rPr>
          <w:rFonts w:ascii="宋体" w:hAnsi="宋体" w:cs="宋体"/>
          <w:b/>
          <w:kern w:val="0"/>
          <w:sz w:val="32"/>
          <w:szCs w:val="32"/>
        </w:rPr>
      </w:pPr>
    </w:p>
    <w:p w14:paraId="36709D80">
      <w:pPr>
        <w:jc w:val="center"/>
        <w:rPr>
          <w:rFonts w:ascii="宋体" w:hAnsi="宋体" w:cs="宋体"/>
          <w:b/>
          <w:kern w:val="0"/>
          <w:sz w:val="32"/>
          <w:szCs w:val="32"/>
        </w:rPr>
      </w:pPr>
    </w:p>
    <w:p w14:paraId="5F19DA9A">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D1C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2988B5">
            <w:pPr>
              <w:jc w:val="center"/>
              <w:rPr>
                <w:rFonts w:ascii="宋体" w:hAnsi="宋体" w:cs="宋体"/>
                <w:b/>
                <w:bCs/>
                <w:sz w:val="24"/>
              </w:rPr>
            </w:pPr>
            <w:r>
              <w:rPr>
                <w:rFonts w:hint="eastAsia" w:ascii="宋体" w:hAnsi="宋体" w:cs="宋体"/>
                <w:b/>
                <w:bCs/>
                <w:sz w:val="24"/>
              </w:rPr>
              <w:t>序号</w:t>
            </w:r>
          </w:p>
        </w:tc>
        <w:tc>
          <w:tcPr>
            <w:tcW w:w="3683" w:type="dxa"/>
          </w:tcPr>
          <w:p w14:paraId="20D7C243">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546B514">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9D5F54B">
            <w:pPr>
              <w:jc w:val="center"/>
              <w:rPr>
                <w:rFonts w:ascii="宋体" w:hAnsi="宋体" w:cs="宋体"/>
                <w:b/>
                <w:bCs/>
                <w:sz w:val="24"/>
              </w:rPr>
            </w:pPr>
            <w:r>
              <w:rPr>
                <w:rFonts w:hint="eastAsia" w:ascii="宋体" w:hAnsi="宋体" w:cs="宋体"/>
                <w:b/>
                <w:bCs/>
                <w:sz w:val="24"/>
              </w:rPr>
              <w:t>偏离说明</w:t>
            </w:r>
          </w:p>
        </w:tc>
      </w:tr>
      <w:tr w14:paraId="16EB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ECD0C7">
            <w:pPr>
              <w:jc w:val="center"/>
              <w:rPr>
                <w:rFonts w:ascii="宋体" w:hAnsi="宋体" w:cs="宋体"/>
                <w:kern w:val="0"/>
                <w:sz w:val="24"/>
              </w:rPr>
            </w:pPr>
            <w:r>
              <w:rPr>
                <w:rFonts w:hint="eastAsia" w:ascii="宋体" w:hAnsi="宋体" w:cs="宋体"/>
                <w:kern w:val="0"/>
                <w:sz w:val="24"/>
              </w:rPr>
              <w:t>1</w:t>
            </w:r>
          </w:p>
        </w:tc>
        <w:tc>
          <w:tcPr>
            <w:tcW w:w="3683" w:type="dxa"/>
          </w:tcPr>
          <w:p w14:paraId="29A56FA6">
            <w:pPr>
              <w:jc w:val="center"/>
              <w:rPr>
                <w:rFonts w:ascii="宋体" w:hAnsi="宋体" w:cs="宋体"/>
                <w:b/>
                <w:kern w:val="0"/>
                <w:sz w:val="32"/>
                <w:szCs w:val="32"/>
              </w:rPr>
            </w:pPr>
          </w:p>
        </w:tc>
        <w:tc>
          <w:tcPr>
            <w:tcW w:w="3546" w:type="dxa"/>
          </w:tcPr>
          <w:p w14:paraId="0D761F45">
            <w:pPr>
              <w:jc w:val="center"/>
              <w:rPr>
                <w:rFonts w:ascii="宋体" w:hAnsi="宋体" w:cs="宋体"/>
                <w:b/>
                <w:kern w:val="0"/>
                <w:sz w:val="32"/>
                <w:szCs w:val="32"/>
              </w:rPr>
            </w:pPr>
          </w:p>
        </w:tc>
        <w:tc>
          <w:tcPr>
            <w:tcW w:w="1276" w:type="dxa"/>
          </w:tcPr>
          <w:p w14:paraId="5CF9E6D3">
            <w:pPr>
              <w:jc w:val="center"/>
              <w:rPr>
                <w:rFonts w:ascii="宋体" w:hAnsi="宋体" w:cs="宋体"/>
                <w:b/>
                <w:kern w:val="0"/>
                <w:sz w:val="32"/>
                <w:szCs w:val="32"/>
              </w:rPr>
            </w:pPr>
          </w:p>
        </w:tc>
      </w:tr>
      <w:tr w14:paraId="7794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FBFA63">
            <w:pPr>
              <w:jc w:val="center"/>
              <w:rPr>
                <w:rFonts w:ascii="宋体" w:hAnsi="宋体" w:cs="宋体"/>
                <w:kern w:val="0"/>
                <w:sz w:val="24"/>
              </w:rPr>
            </w:pPr>
            <w:r>
              <w:rPr>
                <w:rFonts w:hint="eastAsia" w:ascii="宋体" w:hAnsi="宋体" w:cs="宋体"/>
                <w:kern w:val="0"/>
                <w:sz w:val="24"/>
              </w:rPr>
              <w:t>2</w:t>
            </w:r>
          </w:p>
        </w:tc>
        <w:tc>
          <w:tcPr>
            <w:tcW w:w="3683" w:type="dxa"/>
          </w:tcPr>
          <w:p w14:paraId="24B8A42D">
            <w:pPr>
              <w:jc w:val="center"/>
              <w:rPr>
                <w:rFonts w:ascii="宋体" w:hAnsi="宋体" w:cs="宋体"/>
                <w:b/>
                <w:kern w:val="0"/>
                <w:sz w:val="32"/>
                <w:szCs w:val="32"/>
              </w:rPr>
            </w:pPr>
          </w:p>
        </w:tc>
        <w:tc>
          <w:tcPr>
            <w:tcW w:w="3546" w:type="dxa"/>
          </w:tcPr>
          <w:p w14:paraId="0FAA8DE2">
            <w:pPr>
              <w:jc w:val="center"/>
              <w:rPr>
                <w:rFonts w:ascii="宋体" w:hAnsi="宋体" w:cs="宋体"/>
                <w:b/>
                <w:kern w:val="0"/>
                <w:sz w:val="32"/>
                <w:szCs w:val="32"/>
              </w:rPr>
            </w:pPr>
          </w:p>
        </w:tc>
        <w:tc>
          <w:tcPr>
            <w:tcW w:w="1276" w:type="dxa"/>
          </w:tcPr>
          <w:p w14:paraId="2DA7C99B">
            <w:pPr>
              <w:jc w:val="center"/>
              <w:rPr>
                <w:rFonts w:ascii="宋体" w:hAnsi="宋体" w:cs="宋体"/>
                <w:b/>
                <w:kern w:val="0"/>
                <w:sz w:val="32"/>
                <w:szCs w:val="32"/>
              </w:rPr>
            </w:pPr>
          </w:p>
        </w:tc>
      </w:tr>
      <w:tr w14:paraId="29E5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E319E7">
            <w:pPr>
              <w:jc w:val="center"/>
              <w:rPr>
                <w:rFonts w:ascii="宋体" w:hAnsi="宋体" w:cs="宋体"/>
                <w:kern w:val="0"/>
                <w:sz w:val="24"/>
              </w:rPr>
            </w:pPr>
            <w:r>
              <w:rPr>
                <w:rFonts w:hint="eastAsia" w:ascii="宋体" w:hAnsi="宋体" w:cs="宋体"/>
                <w:kern w:val="0"/>
                <w:sz w:val="24"/>
              </w:rPr>
              <w:t>……</w:t>
            </w:r>
          </w:p>
        </w:tc>
        <w:tc>
          <w:tcPr>
            <w:tcW w:w="3683" w:type="dxa"/>
          </w:tcPr>
          <w:p w14:paraId="10FA11EF">
            <w:pPr>
              <w:jc w:val="center"/>
              <w:rPr>
                <w:rFonts w:ascii="宋体" w:hAnsi="宋体" w:cs="宋体"/>
                <w:b/>
                <w:kern w:val="0"/>
                <w:sz w:val="32"/>
                <w:szCs w:val="32"/>
              </w:rPr>
            </w:pPr>
          </w:p>
        </w:tc>
        <w:tc>
          <w:tcPr>
            <w:tcW w:w="3546" w:type="dxa"/>
          </w:tcPr>
          <w:p w14:paraId="72AA1081">
            <w:pPr>
              <w:jc w:val="center"/>
              <w:rPr>
                <w:rFonts w:ascii="宋体" w:hAnsi="宋体" w:cs="宋体"/>
                <w:b/>
                <w:kern w:val="0"/>
                <w:sz w:val="32"/>
                <w:szCs w:val="32"/>
              </w:rPr>
            </w:pPr>
          </w:p>
        </w:tc>
        <w:tc>
          <w:tcPr>
            <w:tcW w:w="1276" w:type="dxa"/>
          </w:tcPr>
          <w:p w14:paraId="08CE37D8">
            <w:pPr>
              <w:jc w:val="center"/>
              <w:rPr>
                <w:rFonts w:ascii="宋体" w:hAnsi="宋体" w:cs="宋体"/>
                <w:b/>
                <w:kern w:val="0"/>
                <w:sz w:val="32"/>
                <w:szCs w:val="32"/>
              </w:rPr>
            </w:pPr>
          </w:p>
        </w:tc>
      </w:tr>
    </w:tbl>
    <w:p w14:paraId="03649491">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79D6398">
      <w:pPr>
        <w:jc w:val="center"/>
        <w:rPr>
          <w:rFonts w:ascii="宋体" w:hAnsi="宋体" w:cs="宋体"/>
          <w:b/>
          <w:kern w:val="0"/>
          <w:sz w:val="32"/>
          <w:szCs w:val="32"/>
        </w:rPr>
      </w:pPr>
    </w:p>
    <w:p w14:paraId="7E577374">
      <w:pPr>
        <w:spacing w:line="360" w:lineRule="auto"/>
        <w:ind w:right="420"/>
        <w:rPr>
          <w:rFonts w:ascii="宋体" w:hAnsi="宋体" w:cs="宋体"/>
          <w:sz w:val="24"/>
        </w:rPr>
      </w:pPr>
      <w:r>
        <w:rPr>
          <w:rFonts w:hint="eastAsia" w:ascii="宋体" w:hAnsi="宋体" w:cs="宋体"/>
          <w:sz w:val="24"/>
        </w:rPr>
        <w:t>注：按本格式和要求提供。</w:t>
      </w:r>
    </w:p>
    <w:p w14:paraId="6B6221E8">
      <w:pPr>
        <w:rPr>
          <w:rFonts w:hint="eastAsia" w:ascii="宋体" w:hAnsi="宋体" w:eastAsia="宋体" w:cs="宋体"/>
          <w:b/>
          <w:bCs/>
          <w:sz w:val="32"/>
          <w:szCs w:val="32"/>
          <w:lang w:val="en-US" w:eastAsia="zh-CN"/>
        </w:rPr>
      </w:pPr>
      <w:r>
        <w:rPr>
          <w:rFonts w:hint="eastAsia" w:ascii="宋体" w:hAnsi="宋体" w:cs="宋体"/>
          <w:b/>
          <w:bCs/>
          <w:sz w:val="32"/>
          <w:szCs w:val="32"/>
          <w:lang w:eastAsia="zh-CN"/>
        </w:rPr>
        <w:t>根据评分条款目录“</w:t>
      </w:r>
      <w:r>
        <w:rPr>
          <w:rFonts w:hint="eastAsia" w:ascii="宋体" w:hAnsi="宋体" w:cs="宋体"/>
          <w:b/>
          <w:bCs/>
          <w:sz w:val="32"/>
          <w:szCs w:val="32"/>
          <w:lang w:val="en-US" w:eastAsia="zh-CN"/>
        </w:rPr>
        <w:t>（三）产品技术参数等响应程度</w:t>
      </w:r>
      <w:r>
        <w:rPr>
          <w:rFonts w:hint="eastAsia" w:ascii="宋体" w:hAnsi="宋体" w:cs="宋体"/>
          <w:b/>
          <w:bCs/>
          <w:sz w:val="32"/>
          <w:szCs w:val="32"/>
          <w:lang w:eastAsia="zh-CN"/>
        </w:rPr>
        <w:t>”，在此表后附评分相关证明材料（即“第三部分</w:t>
      </w:r>
      <w:r>
        <w:rPr>
          <w:rFonts w:hint="eastAsia" w:ascii="宋体" w:hAnsi="宋体" w:cs="宋体"/>
          <w:b/>
          <w:bCs/>
          <w:sz w:val="32"/>
          <w:szCs w:val="32"/>
          <w:lang w:val="en-US" w:eastAsia="zh-CN"/>
        </w:rPr>
        <w:t xml:space="preserve"> </w:t>
      </w:r>
      <w:r>
        <w:rPr>
          <w:rFonts w:hint="eastAsia" w:ascii="宋体" w:hAnsi="宋体" w:cs="宋体"/>
          <w:b/>
          <w:bCs/>
          <w:sz w:val="32"/>
          <w:szCs w:val="32"/>
          <w:lang w:eastAsia="zh-CN"/>
        </w:rPr>
        <w:t>采购需求”中“技术要求”中要求提供的证明材料，按顺序放置。未按顺序放置导致专家漏看、错看的，由投标人自行负责）。</w:t>
      </w:r>
    </w:p>
    <w:p w14:paraId="32C703D3">
      <w:pPr>
        <w:ind w:firstLine="1911" w:firstLineChars="595"/>
        <w:rPr>
          <w:rFonts w:ascii="宋体" w:hAnsi="宋体" w:cs="宋体"/>
          <w:b/>
          <w:bCs/>
          <w:sz w:val="32"/>
          <w:szCs w:val="32"/>
        </w:rPr>
      </w:pPr>
    </w:p>
    <w:p w14:paraId="5B0E812C">
      <w:pPr>
        <w:ind w:firstLine="1911" w:firstLineChars="595"/>
        <w:rPr>
          <w:rFonts w:ascii="宋体" w:hAnsi="宋体" w:cs="宋体"/>
          <w:b/>
          <w:bCs/>
          <w:sz w:val="32"/>
          <w:szCs w:val="32"/>
        </w:rPr>
      </w:pPr>
    </w:p>
    <w:p w14:paraId="3E54F6DF">
      <w:pPr>
        <w:ind w:firstLine="1911" w:firstLineChars="595"/>
        <w:rPr>
          <w:rFonts w:ascii="宋体" w:hAnsi="宋体" w:cs="宋体"/>
          <w:b/>
          <w:bCs/>
          <w:sz w:val="32"/>
          <w:szCs w:val="32"/>
        </w:rPr>
      </w:pPr>
    </w:p>
    <w:p w14:paraId="380F1974">
      <w:pPr>
        <w:ind w:firstLine="1911" w:firstLineChars="595"/>
        <w:rPr>
          <w:rFonts w:ascii="宋体" w:hAnsi="宋体" w:cs="宋体"/>
          <w:b/>
          <w:bCs/>
          <w:sz w:val="32"/>
          <w:szCs w:val="32"/>
        </w:rPr>
      </w:pPr>
    </w:p>
    <w:p w14:paraId="620097C3">
      <w:pPr>
        <w:widowControl/>
        <w:adjustRightInd/>
        <w:jc w:val="left"/>
        <w:rPr>
          <w:rFonts w:ascii="宋体" w:hAnsi="宋体" w:cs="宋体"/>
          <w:b/>
          <w:bCs/>
          <w:sz w:val="32"/>
          <w:szCs w:val="32"/>
        </w:rPr>
      </w:pPr>
      <w:r>
        <w:rPr>
          <w:rFonts w:ascii="宋体" w:hAnsi="宋体" w:cs="宋体"/>
          <w:b/>
          <w:bCs/>
          <w:sz w:val="32"/>
          <w:szCs w:val="32"/>
        </w:rPr>
        <w:br w:type="page"/>
      </w:r>
    </w:p>
    <w:p w14:paraId="6FA522B0">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A941A0F">
      <w:pPr>
        <w:snapToGrid w:val="0"/>
        <w:spacing w:line="360" w:lineRule="auto"/>
        <w:rPr>
          <w:rFonts w:ascii="宋体" w:hAnsi="宋体" w:cs="宋体"/>
          <w:sz w:val="24"/>
        </w:rPr>
      </w:pPr>
    </w:p>
    <w:p w14:paraId="4883B46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53B2E3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95F84A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DDBAA6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32C3AA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14B610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1B50B5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21115E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F44CA40">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5E81B1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377EE0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33D34BF">
      <w:pPr>
        <w:autoSpaceDE w:val="0"/>
        <w:autoSpaceDN w:val="0"/>
        <w:spacing w:line="360" w:lineRule="auto"/>
        <w:ind w:left="2"/>
        <w:jc w:val="left"/>
        <w:rPr>
          <w:rFonts w:ascii="宋体" w:hAnsi="宋体" w:cs="宋体"/>
          <w:kern w:val="0"/>
          <w:sz w:val="24"/>
          <w:lang w:val="zh-CN"/>
        </w:rPr>
      </w:pPr>
    </w:p>
    <w:p w14:paraId="2E973479">
      <w:pPr>
        <w:autoSpaceDE w:val="0"/>
        <w:autoSpaceDN w:val="0"/>
        <w:spacing w:line="360" w:lineRule="auto"/>
        <w:ind w:left="2"/>
        <w:jc w:val="left"/>
        <w:rPr>
          <w:rFonts w:ascii="宋体" w:hAnsi="宋体" w:cs="宋体"/>
          <w:kern w:val="0"/>
          <w:sz w:val="24"/>
          <w:lang w:val="zh-CN"/>
        </w:rPr>
      </w:pPr>
    </w:p>
    <w:p w14:paraId="1B9DA684">
      <w:pPr>
        <w:autoSpaceDE w:val="0"/>
        <w:autoSpaceDN w:val="0"/>
        <w:spacing w:line="360" w:lineRule="auto"/>
        <w:ind w:left="2"/>
        <w:jc w:val="left"/>
        <w:rPr>
          <w:rFonts w:ascii="宋体" w:hAnsi="宋体" w:cs="宋体"/>
          <w:kern w:val="0"/>
          <w:sz w:val="24"/>
          <w:lang w:val="zh-CN"/>
        </w:rPr>
      </w:pPr>
    </w:p>
    <w:p w14:paraId="7388BE0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0F48A5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98C51ED">
      <w:pPr>
        <w:spacing w:line="360" w:lineRule="auto"/>
        <w:jc w:val="center"/>
        <w:rPr>
          <w:rFonts w:ascii="宋体" w:hAnsi="宋体" w:cs="宋体"/>
          <w:b/>
          <w:bCs/>
          <w:sz w:val="24"/>
        </w:rPr>
      </w:pPr>
    </w:p>
    <w:p w14:paraId="4F9B41A7">
      <w:pPr>
        <w:spacing w:line="360" w:lineRule="auto"/>
        <w:ind w:right="420"/>
        <w:rPr>
          <w:rFonts w:ascii="宋体" w:hAnsi="宋体" w:cs="宋体"/>
          <w:sz w:val="24"/>
        </w:rPr>
      </w:pPr>
      <w:r>
        <w:rPr>
          <w:rFonts w:hint="eastAsia" w:ascii="宋体" w:hAnsi="宋体" w:cs="宋体"/>
          <w:sz w:val="24"/>
        </w:rPr>
        <w:t>注：按本格式和要求提供。</w:t>
      </w:r>
    </w:p>
    <w:p w14:paraId="5594C7AF">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0F8D7B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D863E9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6569792">
      <w:pPr>
        <w:spacing w:line="360" w:lineRule="auto"/>
        <w:jc w:val="center"/>
        <w:outlineLvl w:val="0"/>
        <w:rPr>
          <w:rFonts w:ascii="宋体" w:hAnsi="宋体" w:cs="宋体"/>
          <w:b/>
          <w:kern w:val="0"/>
          <w:sz w:val="36"/>
          <w:szCs w:val="36"/>
        </w:rPr>
      </w:pPr>
    </w:p>
    <w:p w14:paraId="3C78EDBA">
      <w:pPr>
        <w:snapToGrid w:val="0"/>
        <w:spacing w:line="360" w:lineRule="auto"/>
        <w:rPr>
          <w:rFonts w:ascii="宋体" w:hAnsi="宋体" w:cs="宋体"/>
          <w:sz w:val="24"/>
        </w:rPr>
      </w:pPr>
      <w:r>
        <w:rPr>
          <w:rFonts w:hint="eastAsia" w:ascii="宋体" w:hAnsi="宋体" w:cs="宋体"/>
          <w:sz w:val="24"/>
        </w:rPr>
        <w:t>（1）开标一览表（报价表）………………………………………………………（页码）</w:t>
      </w:r>
    </w:p>
    <w:p w14:paraId="1805CF92">
      <w:pPr>
        <w:snapToGrid w:val="0"/>
        <w:spacing w:line="360" w:lineRule="auto"/>
        <w:rPr>
          <w:rFonts w:hint="eastAsia" w:ascii="宋体" w:hAnsi="宋体" w:cs="宋体"/>
          <w:sz w:val="24"/>
        </w:rPr>
      </w:pPr>
      <w:r>
        <w:rPr>
          <w:rFonts w:hint="eastAsia" w:ascii="宋体" w:hAnsi="宋体" w:cs="宋体"/>
          <w:sz w:val="24"/>
        </w:rPr>
        <w:t>（2）中小企业声明函………………………………………………………………（页码）</w:t>
      </w:r>
    </w:p>
    <w:p w14:paraId="1D2EC9E8">
      <w:pPr>
        <w:spacing w:line="360" w:lineRule="auto"/>
        <w:rPr>
          <w:rFonts w:hint="eastAsia" w:eastAsia="宋体"/>
          <w:lang w:eastAsia="zh-CN"/>
        </w:rPr>
      </w:pPr>
    </w:p>
    <w:p w14:paraId="3BD3E7FB">
      <w:pPr>
        <w:snapToGrid w:val="0"/>
        <w:spacing w:line="360" w:lineRule="auto"/>
        <w:ind w:right="480"/>
        <w:jc w:val="center"/>
        <w:rPr>
          <w:rFonts w:ascii="宋体" w:hAnsi="宋体" w:cs="宋体"/>
          <w:b/>
          <w:kern w:val="0"/>
          <w:sz w:val="32"/>
          <w:szCs w:val="32"/>
        </w:rPr>
      </w:pPr>
    </w:p>
    <w:p w14:paraId="66CCB7A9">
      <w:pPr>
        <w:snapToGrid w:val="0"/>
        <w:spacing w:line="360" w:lineRule="auto"/>
        <w:ind w:right="480"/>
        <w:jc w:val="center"/>
        <w:rPr>
          <w:rFonts w:ascii="宋体" w:hAnsi="宋体" w:cs="宋体"/>
          <w:b/>
          <w:kern w:val="0"/>
          <w:sz w:val="32"/>
          <w:szCs w:val="32"/>
        </w:rPr>
      </w:pPr>
    </w:p>
    <w:p w14:paraId="1FC14826">
      <w:pPr>
        <w:snapToGrid w:val="0"/>
        <w:spacing w:line="360" w:lineRule="auto"/>
        <w:ind w:right="480"/>
        <w:jc w:val="center"/>
        <w:rPr>
          <w:rFonts w:ascii="宋体" w:hAnsi="宋体" w:cs="宋体"/>
          <w:b/>
          <w:kern w:val="0"/>
          <w:sz w:val="32"/>
          <w:szCs w:val="32"/>
        </w:rPr>
      </w:pPr>
    </w:p>
    <w:p w14:paraId="79955540">
      <w:pPr>
        <w:snapToGrid w:val="0"/>
        <w:spacing w:line="360" w:lineRule="auto"/>
        <w:ind w:right="480"/>
        <w:jc w:val="center"/>
        <w:rPr>
          <w:rFonts w:ascii="宋体" w:hAnsi="宋体" w:cs="宋体"/>
          <w:b/>
          <w:kern w:val="0"/>
          <w:sz w:val="32"/>
          <w:szCs w:val="32"/>
        </w:rPr>
      </w:pPr>
    </w:p>
    <w:p w14:paraId="4257E75D">
      <w:pPr>
        <w:snapToGrid w:val="0"/>
        <w:spacing w:line="360" w:lineRule="auto"/>
        <w:ind w:right="480"/>
        <w:jc w:val="center"/>
        <w:rPr>
          <w:rFonts w:ascii="宋体" w:hAnsi="宋体" w:cs="宋体"/>
          <w:b/>
          <w:kern w:val="0"/>
          <w:sz w:val="32"/>
          <w:szCs w:val="32"/>
        </w:rPr>
      </w:pPr>
    </w:p>
    <w:p w14:paraId="5199E7D6">
      <w:pPr>
        <w:snapToGrid w:val="0"/>
        <w:spacing w:line="360" w:lineRule="auto"/>
        <w:ind w:right="480"/>
        <w:jc w:val="center"/>
        <w:rPr>
          <w:rFonts w:ascii="宋体" w:hAnsi="宋体" w:cs="宋体"/>
          <w:b/>
          <w:kern w:val="0"/>
          <w:sz w:val="32"/>
          <w:szCs w:val="32"/>
        </w:rPr>
      </w:pPr>
    </w:p>
    <w:p w14:paraId="7013409F">
      <w:pPr>
        <w:snapToGrid w:val="0"/>
        <w:spacing w:line="360" w:lineRule="auto"/>
        <w:ind w:right="480"/>
        <w:jc w:val="center"/>
        <w:rPr>
          <w:rFonts w:ascii="宋体" w:hAnsi="宋体" w:cs="宋体"/>
          <w:b/>
          <w:kern w:val="0"/>
          <w:sz w:val="32"/>
          <w:szCs w:val="32"/>
        </w:rPr>
      </w:pPr>
    </w:p>
    <w:p w14:paraId="305D0ABE">
      <w:pPr>
        <w:snapToGrid w:val="0"/>
        <w:spacing w:line="360" w:lineRule="auto"/>
        <w:ind w:right="480"/>
        <w:jc w:val="center"/>
        <w:rPr>
          <w:rFonts w:ascii="宋体" w:hAnsi="宋体" w:cs="宋体"/>
          <w:b/>
          <w:kern w:val="0"/>
          <w:sz w:val="32"/>
          <w:szCs w:val="32"/>
        </w:rPr>
      </w:pPr>
    </w:p>
    <w:p w14:paraId="15B04493">
      <w:pPr>
        <w:snapToGrid w:val="0"/>
        <w:spacing w:line="360" w:lineRule="auto"/>
        <w:ind w:right="480"/>
        <w:jc w:val="center"/>
        <w:rPr>
          <w:rFonts w:ascii="宋体" w:hAnsi="宋体" w:cs="宋体"/>
          <w:b/>
          <w:kern w:val="0"/>
          <w:sz w:val="32"/>
          <w:szCs w:val="32"/>
        </w:rPr>
      </w:pPr>
    </w:p>
    <w:p w14:paraId="2BAE6874">
      <w:pPr>
        <w:snapToGrid w:val="0"/>
        <w:spacing w:line="360" w:lineRule="auto"/>
        <w:ind w:right="480"/>
        <w:jc w:val="center"/>
        <w:rPr>
          <w:rFonts w:ascii="宋体" w:hAnsi="宋体" w:cs="宋体"/>
          <w:b/>
          <w:kern w:val="0"/>
          <w:sz w:val="32"/>
          <w:szCs w:val="32"/>
        </w:rPr>
      </w:pPr>
    </w:p>
    <w:p w14:paraId="0F369CE9">
      <w:pPr>
        <w:snapToGrid w:val="0"/>
        <w:spacing w:line="360" w:lineRule="auto"/>
        <w:ind w:right="480"/>
        <w:jc w:val="center"/>
        <w:rPr>
          <w:rFonts w:ascii="宋体" w:hAnsi="宋体" w:cs="宋体"/>
          <w:b/>
          <w:kern w:val="0"/>
          <w:sz w:val="32"/>
          <w:szCs w:val="32"/>
        </w:rPr>
      </w:pPr>
    </w:p>
    <w:p w14:paraId="1CAC467A">
      <w:pPr>
        <w:snapToGrid w:val="0"/>
        <w:spacing w:line="360" w:lineRule="auto"/>
        <w:ind w:right="480"/>
        <w:jc w:val="center"/>
        <w:rPr>
          <w:rFonts w:ascii="宋体" w:hAnsi="宋体" w:cs="宋体"/>
          <w:b/>
          <w:kern w:val="0"/>
          <w:sz w:val="32"/>
          <w:szCs w:val="32"/>
        </w:rPr>
      </w:pPr>
    </w:p>
    <w:p w14:paraId="2757988D">
      <w:pPr>
        <w:snapToGrid w:val="0"/>
        <w:spacing w:line="360" w:lineRule="auto"/>
        <w:ind w:right="480"/>
        <w:jc w:val="center"/>
        <w:rPr>
          <w:rFonts w:ascii="宋体" w:hAnsi="宋体" w:cs="宋体"/>
          <w:b/>
          <w:kern w:val="0"/>
          <w:sz w:val="32"/>
          <w:szCs w:val="32"/>
        </w:rPr>
      </w:pPr>
    </w:p>
    <w:p w14:paraId="1D6027D9">
      <w:pPr>
        <w:snapToGrid w:val="0"/>
        <w:spacing w:line="360" w:lineRule="auto"/>
        <w:ind w:right="480"/>
        <w:jc w:val="center"/>
        <w:rPr>
          <w:rFonts w:ascii="宋体" w:hAnsi="宋体" w:cs="宋体"/>
          <w:b/>
          <w:kern w:val="0"/>
          <w:sz w:val="32"/>
          <w:szCs w:val="32"/>
        </w:rPr>
      </w:pPr>
    </w:p>
    <w:p w14:paraId="63C92171">
      <w:pPr>
        <w:snapToGrid w:val="0"/>
        <w:spacing w:line="360" w:lineRule="auto"/>
        <w:ind w:right="480"/>
        <w:jc w:val="center"/>
        <w:rPr>
          <w:rFonts w:ascii="宋体" w:hAnsi="宋体" w:cs="宋体"/>
          <w:b/>
          <w:kern w:val="0"/>
          <w:sz w:val="32"/>
          <w:szCs w:val="32"/>
        </w:rPr>
      </w:pPr>
    </w:p>
    <w:p w14:paraId="1C682896">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B45AC02">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B80B170">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3A53E7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4F61482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27"/>
        <w:gridCol w:w="1095"/>
        <w:gridCol w:w="2556"/>
        <w:gridCol w:w="993"/>
        <w:gridCol w:w="1559"/>
        <w:gridCol w:w="1984"/>
        <w:gridCol w:w="3119"/>
      </w:tblGrid>
      <w:tr w14:paraId="4B80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9059642">
            <w:pPr>
              <w:spacing w:line="360" w:lineRule="auto"/>
              <w:jc w:val="center"/>
              <w:rPr>
                <w:rFonts w:ascii="宋体" w:hAnsi="宋体" w:cs="宋体"/>
                <w:b/>
                <w:sz w:val="24"/>
              </w:rPr>
            </w:pPr>
            <w:r>
              <w:rPr>
                <w:rFonts w:hint="eastAsia" w:ascii="宋体" w:hAnsi="宋体" w:cs="宋体"/>
                <w:b/>
                <w:sz w:val="24"/>
              </w:rPr>
              <w:t>序号</w:t>
            </w:r>
          </w:p>
        </w:tc>
        <w:tc>
          <w:tcPr>
            <w:tcW w:w="2727" w:type="dxa"/>
            <w:vAlign w:val="center"/>
          </w:tcPr>
          <w:p w14:paraId="7552E4D6">
            <w:pPr>
              <w:spacing w:line="360" w:lineRule="auto"/>
              <w:jc w:val="center"/>
              <w:rPr>
                <w:rFonts w:ascii="宋体" w:hAnsi="宋体" w:cs="宋体"/>
                <w:b/>
                <w:sz w:val="24"/>
              </w:rPr>
            </w:pPr>
            <w:r>
              <w:rPr>
                <w:rFonts w:hint="eastAsia" w:ascii="宋体" w:hAnsi="宋体" w:cs="宋体"/>
                <w:b/>
                <w:sz w:val="24"/>
              </w:rPr>
              <w:t>名称</w:t>
            </w:r>
          </w:p>
        </w:tc>
        <w:tc>
          <w:tcPr>
            <w:tcW w:w="1095" w:type="dxa"/>
          </w:tcPr>
          <w:p w14:paraId="768FC513">
            <w:pPr>
              <w:spacing w:line="360" w:lineRule="auto"/>
              <w:jc w:val="center"/>
              <w:rPr>
                <w:rFonts w:ascii="宋体" w:hAnsi="宋体" w:cs="宋体"/>
                <w:b/>
                <w:sz w:val="24"/>
              </w:rPr>
            </w:pPr>
          </w:p>
          <w:p w14:paraId="394F1A02">
            <w:pPr>
              <w:spacing w:line="360" w:lineRule="auto"/>
              <w:jc w:val="center"/>
              <w:rPr>
                <w:rFonts w:ascii="宋体" w:hAnsi="宋体" w:cs="宋体"/>
                <w:b/>
                <w:sz w:val="24"/>
              </w:rPr>
            </w:pPr>
            <w:r>
              <w:rPr>
                <w:rFonts w:hint="eastAsia" w:ascii="宋体" w:hAnsi="宋体" w:cs="宋体"/>
                <w:b/>
                <w:sz w:val="24"/>
              </w:rPr>
              <w:t>品牌</w:t>
            </w:r>
          </w:p>
        </w:tc>
        <w:tc>
          <w:tcPr>
            <w:tcW w:w="2556" w:type="dxa"/>
            <w:vAlign w:val="center"/>
          </w:tcPr>
          <w:p w14:paraId="56C9760E">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6DDC5B0C">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4ADF8244">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00B0141B">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6F0E8518">
            <w:pPr>
              <w:spacing w:line="360" w:lineRule="auto"/>
              <w:jc w:val="center"/>
              <w:rPr>
                <w:rFonts w:ascii="宋体" w:hAnsi="宋体" w:cs="宋体"/>
                <w:b/>
                <w:sz w:val="24"/>
              </w:rPr>
            </w:pPr>
          </w:p>
          <w:p w14:paraId="468C7CE7">
            <w:pPr>
              <w:spacing w:line="360" w:lineRule="auto"/>
              <w:jc w:val="center"/>
              <w:rPr>
                <w:rFonts w:ascii="宋体" w:hAnsi="宋体" w:cs="宋体"/>
                <w:b/>
                <w:sz w:val="24"/>
              </w:rPr>
            </w:pPr>
            <w:r>
              <w:rPr>
                <w:rFonts w:hint="eastAsia" w:ascii="宋体" w:hAnsi="宋体" w:cs="宋体"/>
                <w:b/>
                <w:sz w:val="24"/>
              </w:rPr>
              <w:t>备注（如果有）</w:t>
            </w:r>
          </w:p>
          <w:p w14:paraId="32023DE9">
            <w:pPr>
              <w:spacing w:line="360" w:lineRule="auto"/>
              <w:jc w:val="center"/>
              <w:rPr>
                <w:rFonts w:ascii="宋体" w:hAnsi="宋体" w:cs="宋体"/>
                <w:b/>
                <w:sz w:val="24"/>
              </w:rPr>
            </w:pPr>
          </w:p>
        </w:tc>
      </w:tr>
      <w:tr w14:paraId="0CC2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8848EEC">
            <w:pPr>
              <w:spacing w:line="360" w:lineRule="auto"/>
              <w:jc w:val="center"/>
              <w:rPr>
                <w:rFonts w:ascii="宋体" w:hAnsi="宋体" w:cs="宋体"/>
                <w:color w:val="0000FF"/>
                <w:sz w:val="24"/>
              </w:rPr>
            </w:pPr>
            <w:r>
              <w:rPr>
                <w:rFonts w:hint="eastAsia" w:ascii="宋体" w:hAnsi="宋体" w:cs="宋体"/>
                <w:color w:val="0000FF"/>
                <w:sz w:val="24"/>
              </w:rPr>
              <w:t>1</w:t>
            </w:r>
          </w:p>
        </w:tc>
        <w:tc>
          <w:tcPr>
            <w:tcW w:w="2727" w:type="dxa"/>
            <w:vAlign w:val="center"/>
          </w:tcPr>
          <w:p w14:paraId="15E39FFC">
            <w:pPr>
              <w:snapToGrid w:val="0"/>
              <w:spacing w:line="360" w:lineRule="auto"/>
              <w:jc w:val="center"/>
              <w:rPr>
                <w:rFonts w:hint="eastAsia" w:ascii="宋体" w:hAnsi="宋体" w:eastAsia="宋体" w:cs="宋体"/>
                <w:color w:val="0000FF"/>
                <w:sz w:val="24"/>
                <w:u w:val="none"/>
                <w:lang w:eastAsia="zh-CN"/>
              </w:rPr>
            </w:pPr>
          </w:p>
        </w:tc>
        <w:tc>
          <w:tcPr>
            <w:tcW w:w="1095" w:type="dxa"/>
            <w:vAlign w:val="center"/>
          </w:tcPr>
          <w:p w14:paraId="447F0D9A">
            <w:pPr>
              <w:snapToGrid w:val="0"/>
              <w:spacing w:line="360" w:lineRule="auto"/>
              <w:jc w:val="center"/>
              <w:rPr>
                <w:rFonts w:ascii="宋体" w:hAnsi="宋体" w:cs="宋体"/>
                <w:color w:val="0000FF"/>
                <w:sz w:val="24"/>
              </w:rPr>
            </w:pPr>
          </w:p>
        </w:tc>
        <w:tc>
          <w:tcPr>
            <w:tcW w:w="2556" w:type="dxa"/>
            <w:vAlign w:val="center"/>
          </w:tcPr>
          <w:p w14:paraId="1D304DDE">
            <w:pPr>
              <w:snapToGrid w:val="0"/>
              <w:spacing w:line="360" w:lineRule="auto"/>
              <w:jc w:val="center"/>
              <w:rPr>
                <w:rFonts w:ascii="宋体" w:hAnsi="宋体" w:cs="宋体"/>
                <w:color w:val="0000FF"/>
                <w:sz w:val="24"/>
              </w:rPr>
            </w:pPr>
          </w:p>
        </w:tc>
        <w:tc>
          <w:tcPr>
            <w:tcW w:w="993" w:type="dxa"/>
            <w:vAlign w:val="center"/>
          </w:tcPr>
          <w:p w14:paraId="3E22ADA7">
            <w:pPr>
              <w:snapToGrid w:val="0"/>
              <w:spacing w:line="360" w:lineRule="auto"/>
              <w:jc w:val="center"/>
              <w:rPr>
                <w:rFonts w:ascii="宋体" w:hAnsi="宋体" w:cs="宋体"/>
                <w:color w:val="0000FF"/>
                <w:sz w:val="24"/>
              </w:rPr>
            </w:pPr>
          </w:p>
        </w:tc>
        <w:tc>
          <w:tcPr>
            <w:tcW w:w="1559" w:type="dxa"/>
            <w:vAlign w:val="center"/>
          </w:tcPr>
          <w:p w14:paraId="5ADAFC83">
            <w:pPr>
              <w:spacing w:line="360" w:lineRule="auto"/>
              <w:jc w:val="center"/>
              <w:rPr>
                <w:rFonts w:ascii="宋体" w:hAnsi="宋体" w:cs="宋体"/>
                <w:color w:val="0000FF"/>
                <w:sz w:val="24"/>
              </w:rPr>
            </w:pPr>
          </w:p>
        </w:tc>
        <w:tc>
          <w:tcPr>
            <w:tcW w:w="1984" w:type="dxa"/>
            <w:vAlign w:val="center"/>
          </w:tcPr>
          <w:p w14:paraId="7AFEBBD0">
            <w:pPr>
              <w:spacing w:line="360" w:lineRule="auto"/>
              <w:jc w:val="center"/>
              <w:rPr>
                <w:rFonts w:ascii="宋体" w:hAnsi="宋体" w:cs="宋体"/>
                <w:color w:val="0000FF"/>
                <w:sz w:val="24"/>
              </w:rPr>
            </w:pPr>
          </w:p>
        </w:tc>
        <w:tc>
          <w:tcPr>
            <w:tcW w:w="3119" w:type="dxa"/>
            <w:vAlign w:val="center"/>
          </w:tcPr>
          <w:p w14:paraId="660491D5">
            <w:pPr>
              <w:spacing w:line="360" w:lineRule="auto"/>
              <w:jc w:val="center"/>
              <w:rPr>
                <w:rFonts w:ascii="宋体" w:hAnsi="宋体" w:cs="宋体"/>
                <w:color w:val="0000FF"/>
                <w:sz w:val="24"/>
              </w:rPr>
            </w:pPr>
          </w:p>
        </w:tc>
      </w:tr>
      <w:tr w14:paraId="5AE8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F8F897C">
            <w:pPr>
              <w:spacing w:line="360" w:lineRule="auto"/>
              <w:jc w:val="center"/>
              <w:rPr>
                <w:rFonts w:hint="eastAsia" w:ascii="宋体" w:hAnsi="宋体" w:eastAsia="宋体" w:cs="宋体"/>
                <w:color w:val="0000FF"/>
                <w:sz w:val="24"/>
                <w:lang w:val="en-US" w:eastAsia="zh-CN"/>
              </w:rPr>
            </w:pPr>
            <w:r>
              <w:rPr>
                <w:rFonts w:hint="eastAsia" w:ascii="宋体" w:hAnsi="宋体" w:cs="宋体"/>
                <w:color w:val="0000FF"/>
                <w:sz w:val="24"/>
                <w:lang w:val="en-US" w:eastAsia="zh-CN"/>
              </w:rPr>
              <w:t>2</w:t>
            </w:r>
          </w:p>
        </w:tc>
        <w:tc>
          <w:tcPr>
            <w:tcW w:w="2727" w:type="dxa"/>
            <w:vAlign w:val="center"/>
          </w:tcPr>
          <w:p w14:paraId="0924D4FC">
            <w:pPr>
              <w:snapToGrid w:val="0"/>
              <w:spacing w:line="360" w:lineRule="auto"/>
              <w:jc w:val="center"/>
              <w:rPr>
                <w:rFonts w:ascii="宋体" w:hAnsi="宋体" w:cs="宋体"/>
                <w:color w:val="0000FF"/>
                <w:sz w:val="24"/>
                <w:u w:val="none"/>
              </w:rPr>
            </w:pPr>
          </w:p>
        </w:tc>
        <w:tc>
          <w:tcPr>
            <w:tcW w:w="1095" w:type="dxa"/>
            <w:vAlign w:val="center"/>
          </w:tcPr>
          <w:p w14:paraId="5FF3617A">
            <w:pPr>
              <w:snapToGrid w:val="0"/>
              <w:spacing w:line="360" w:lineRule="auto"/>
              <w:jc w:val="center"/>
              <w:rPr>
                <w:rFonts w:ascii="宋体" w:hAnsi="宋体" w:cs="宋体"/>
                <w:color w:val="0000FF"/>
                <w:sz w:val="24"/>
              </w:rPr>
            </w:pPr>
          </w:p>
        </w:tc>
        <w:tc>
          <w:tcPr>
            <w:tcW w:w="2556" w:type="dxa"/>
            <w:vAlign w:val="center"/>
          </w:tcPr>
          <w:p w14:paraId="54CCAA8A">
            <w:pPr>
              <w:snapToGrid w:val="0"/>
              <w:spacing w:line="360" w:lineRule="auto"/>
              <w:jc w:val="center"/>
              <w:rPr>
                <w:rFonts w:ascii="宋体" w:hAnsi="宋体" w:cs="宋体"/>
                <w:color w:val="0000FF"/>
                <w:sz w:val="24"/>
              </w:rPr>
            </w:pPr>
          </w:p>
        </w:tc>
        <w:tc>
          <w:tcPr>
            <w:tcW w:w="993" w:type="dxa"/>
            <w:vAlign w:val="center"/>
          </w:tcPr>
          <w:p w14:paraId="25FF4195">
            <w:pPr>
              <w:snapToGrid w:val="0"/>
              <w:spacing w:line="360" w:lineRule="auto"/>
              <w:jc w:val="center"/>
              <w:rPr>
                <w:rFonts w:ascii="宋体" w:hAnsi="宋体" w:cs="宋体"/>
                <w:color w:val="0000FF"/>
                <w:sz w:val="24"/>
              </w:rPr>
            </w:pPr>
          </w:p>
        </w:tc>
        <w:tc>
          <w:tcPr>
            <w:tcW w:w="1559" w:type="dxa"/>
            <w:vAlign w:val="center"/>
          </w:tcPr>
          <w:p w14:paraId="1DB4D638">
            <w:pPr>
              <w:spacing w:line="360" w:lineRule="auto"/>
              <w:jc w:val="center"/>
              <w:rPr>
                <w:rFonts w:ascii="宋体" w:hAnsi="宋体" w:cs="宋体"/>
                <w:color w:val="0000FF"/>
                <w:sz w:val="24"/>
              </w:rPr>
            </w:pPr>
          </w:p>
        </w:tc>
        <w:tc>
          <w:tcPr>
            <w:tcW w:w="1984" w:type="dxa"/>
            <w:vAlign w:val="center"/>
          </w:tcPr>
          <w:p w14:paraId="433DC36A">
            <w:pPr>
              <w:spacing w:line="360" w:lineRule="auto"/>
              <w:jc w:val="center"/>
              <w:rPr>
                <w:rFonts w:ascii="宋体" w:hAnsi="宋体" w:cs="宋体"/>
                <w:color w:val="0000FF"/>
                <w:sz w:val="24"/>
              </w:rPr>
            </w:pPr>
          </w:p>
        </w:tc>
        <w:tc>
          <w:tcPr>
            <w:tcW w:w="3119" w:type="dxa"/>
            <w:vAlign w:val="center"/>
          </w:tcPr>
          <w:p w14:paraId="0C804625">
            <w:pPr>
              <w:spacing w:line="360" w:lineRule="auto"/>
              <w:jc w:val="center"/>
              <w:rPr>
                <w:rFonts w:ascii="宋体" w:hAnsi="宋体" w:cs="宋体"/>
                <w:color w:val="0000FF"/>
                <w:sz w:val="24"/>
              </w:rPr>
            </w:pPr>
          </w:p>
        </w:tc>
      </w:tr>
      <w:tr w14:paraId="07BC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526ED41">
            <w:pPr>
              <w:spacing w:line="360" w:lineRule="auto"/>
              <w:jc w:val="center"/>
              <w:rPr>
                <w:rFonts w:hint="eastAsia" w:ascii="宋体" w:hAnsi="宋体" w:eastAsia="宋体" w:cs="宋体"/>
                <w:color w:val="0000FF"/>
                <w:sz w:val="24"/>
                <w:lang w:eastAsia="zh-CN"/>
              </w:rPr>
            </w:pPr>
            <w:r>
              <w:rPr>
                <w:rFonts w:hint="eastAsia" w:ascii="宋体" w:hAnsi="宋体" w:cs="宋体"/>
                <w:color w:val="0000FF"/>
                <w:sz w:val="24"/>
                <w:lang w:val="en-US" w:eastAsia="zh-CN"/>
              </w:rPr>
              <w:t>3</w:t>
            </w:r>
          </w:p>
        </w:tc>
        <w:tc>
          <w:tcPr>
            <w:tcW w:w="2727" w:type="dxa"/>
            <w:vAlign w:val="center"/>
          </w:tcPr>
          <w:p w14:paraId="7A9FAAEF">
            <w:pPr>
              <w:snapToGrid w:val="0"/>
              <w:spacing w:line="360" w:lineRule="auto"/>
              <w:jc w:val="center"/>
              <w:rPr>
                <w:rFonts w:hint="default" w:ascii="宋体" w:hAnsi="宋体" w:eastAsia="宋体" w:cs="宋体"/>
                <w:color w:val="0000FF"/>
                <w:sz w:val="24"/>
                <w:u w:val="none"/>
                <w:lang w:val="en-US" w:eastAsia="zh-CN"/>
              </w:rPr>
            </w:pPr>
            <w:r>
              <w:rPr>
                <w:rFonts w:hint="eastAsia" w:ascii="宋体" w:hAnsi="宋体" w:cs="宋体"/>
                <w:color w:val="0000FF"/>
                <w:sz w:val="24"/>
                <w:u w:val="none"/>
                <w:lang w:val="en-US" w:eastAsia="zh-CN"/>
              </w:rPr>
              <w:t>···</w:t>
            </w:r>
          </w:p>
        </w:tc>
        <w:tc>
          <w:tcPr>
            <w:tcW w:w="1095" w:type="dxa"/>
            <w:vAlign w:val="center"/>
          </w:tcPr>
          <w:p w14:paraId="3F1A5ABF">
            <w:pPr>
              <w:snapToGrid w:val="0"/>
              <w:spacing w:line="360" w:lineRule="auto"/>
              <w:jc w:val="center"/>
              <w:rPr>
                <w:rFonts w:ascii="宋体" w:hAnsi="宋体" w:cs="宋体"/>
                <w:color w:val="0000FF"/>
                <w:sz w:val="24"/>
              </w:rPr>
            </w:pPr>
          </w:p>
        </w:tc>
        <w:tc>
          <w:tcPr>
            <w:tcW w:w="2556" w:type="dxa"/>
            <w:vAlign w:val="center"/>
          </w:tcPr>
          <w:p w14:paraId="1DF5B7F7">
            <w:pPr>
              <w:snapToGrid w:val="0"/>
              <w:spacing w:line="360" w:lineRule="auto"/>
              <w:jc w:val="center"/>
              <w:rPr>
                <w:rFonts w:ascii="宋体" w:hAnsi="宋体" w:cs="宋体"/>
                <w:color w:val="0000FF"/>
                <w:sz w:val="24"/>
              </w:rPr>
            </w:pPr>
          </w:p>
        </w:tc>
        <w:tc>
          <w:tcPr>
            <w:tcW w:w="993" w:type="dxa"/>
            <w:vAlign w:val="center"/>
          </w:tcPr>
          <w:p w14:paraId="6EB1A912">
            <w:pPr>
              <w:snapToGrid w:val="0"/>
              <w:spacing w:line="360" w:lineRule="auto"/>
              <w:jc w:val="center"/>
              <w:rPr>
                <w:rFonts w:ascii="宋体" w:hAnsi="宋体" w:cs="宋体"/>
                <w:color w:val="0000FF"/>
                <w:sz w:val="24"/>
              </w:rPr>
            </w:pPr>
          </w:p>
        </w:tc>
        <w:tc>
          <w:tcPr>
            <w:tcW w:w="1559" w:type="dxa"/>
            <w:vAlign w:val="center"/>
          </w:tcPr>
          <w:p w14:paraId="51B69B73">
            <w:pPr>
              <w:spacing w:line="360" w:lineRule="auto"/>
              <w:jc w:val="center"/>
              <w:rPr>
                <w:rFonts w:ascii="宋体" w:hAnsi="宋体" w:cs="宋体"/>
                <w:color w:val="0000FF"/>
                <w:sz w:val="24"/>
              </w:rPr>
            </w:pPr>
          </w:p>
        </w:tc>
        <w:tc>
          <w:tcPr>
            <w:tcW w:w="1984" w:type="dxa"/>
            <w:vAlign w:val="center"/>
          </w:tcPr>
          <w:p w14:paraId="16DA5C6E">
            <w:pPr>
              <w:spacing w:line="360" w:lineRule="auto"/>
              <w:jc w:val="center"/>
              <w:rPr>
                <w:rFonts w:ascii="宋体" w:hAnsi="宋体" w:cs="宋体"/>
                <w:color w:val="0000FF"/>
                <w:sz w:val="24"/>
              </w:rPr>
            </w:pPr>
          </w:p>
        </w:tc>
        <w:tc>
          <w:tcPr>
            <w:tcW w:w="3119" w:type="dxa"/>
            <w:vAlign w:val="center"/>
          </w:tcPr>
          <w:p w14:paraId="3137C064">
            <w:pPr>
              <w:spacing w:line="360" w:lineRule="auto"/>
              <w:jc w:val="center"/>
              <w:rPr>
                <w:rFonts w:ascii="宋体" w:hAnsi="宋体" w:cs="宋体"/>
                <w:color w:val="0000FF"/>
                <w:sz w:val="24"/>
              </w:rPr>
            </w:pPr>
          </w:p>
        </w:tc>
      </w:tr>
      <w:tr w14:paraId="3AF6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8FEBD78">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7D876CFD">
            <w:pPr>
              <w:spacing w:line="360" w:lineRule="auto"/>
              <w:jc w:val="center"/>
              <w:rPr>
                <w:rFonts w:ascii="宋体" w:hAnsi="宋体" w:cs="宋体"/>
                <w:sz w:val="24"/>
              </w:rPr>
            </w:pPr>
          </w:p>
        </w:tc>
      </w:tr>
      <w:tr w14:paraId="2542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321F595">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201BDAD7">
            <w:pPr>
              <w:spacing w:line="360" w:lineRule="auto"/>
              <w:jc w:val="center"/>
              <w:rPr>
                <w:rFonts w:ascii="宋体" w:hAnsi="宋体" w:cs="宋体"/>
                <w:sz w:val="24"/>
              </w:rPr>
            </w:pPr>
          </w:p>
        </w:tc>
      </w:tr>
      <w:tr w14:paraId="04F6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97D9ED9">
            <w:pPr>
              <w:spacing w:line="360" w:lineRule="auto"/>
              <w:jc w:val="center"/>
              <w:rPr>
                <w:rFonts w:hint="eastAsia" w:ascii="宋体" w:hAnsi="宋体" w:cs="宋体"/>
                <w:b/>
                <w:sz w:val="24"/>
              </w:rPr>
            </w:pPr>
            <w:r>
              <w:rPr>
                <w:rFonts w:hint="eastAsia" w:hAnsi="宋体" w:cs="宋体"/>
                <w:b/>
                <w:color w:val="auto"/>
                <w:sz w:val="24"/>
              </w:rPr>
              <w:t>合同履约期限</w:t>
            </w:r>
          </w:p>
        </w:tc>
        <w:tc>
          <w:tcPr>
            <w:tcW w:w="7655" w:type="dxa"/>
            <w:gridSpan w:val="4"/>
            <w:vAlign w:val="center"/>
          </w:tcPr>
          <w:p w14:paraId="719742C2">
            <w:pPr>
              <w:spacing w:line="360" w:lineRule="auto"/>
              <w:jc w:val="center"/>
              <w:rPr>
                <w:rFonts w:ascii="宋体" w:hAnsi="宋体" w:cs="宋体"/>
                <w:sz w:val="24"/>
              </w:rPr>
            </w:pPr>
          </w:p>
        </w:tc>
      </w:tr>
    </w:tbl>
    <w:p w14:paraId="59D1B88E">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93717EB">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6C271E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AD7B10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6B0E6BD">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A4DC7C9">
      <w:pPr>
        <w:spacing w:line="360" w:lineRule="auto"/>
        <w:ind w:firstLine="482" w:firstLineChars="200"/>
        <w:rPr>
          <w:rFonts w:ascii="宋体" w:hAnsi="宋体" w:cs="宋体"/>
          <w:b/>
          <w:kern w:val="0"/>
          <w:sz w:val="24"/>
        </w:rPr>
      </w:pPr>
    </w:p>
    <w:p w14:paraId="5B759283">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6E90E8D9">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4C27098F">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54" w:name="_Hlk101259491"/>
      <w:r>
        <w:rPr>
          <w:rFonts w:hint="eastAsia" w:ascii="宋体" w:hAnsi="宋体" w:eastAsia="宋体" w:cs="宋体"/>
          <w:color w:val="FF0000"/>
          <w:sz w:val="32"/>
          <w:szCs w:val="32"/>
        </w:rPr>
        <w:t>（如果有）</w:t>
      </w:r>
      <w:bookmarkEnd w:id="554"/>
    </w:p>
    <w:p w14:paraId="45594DD6">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0415036F">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11BC399E">
      <w:pPr>
        <w:spacing w:line="360" w:lineRule="auto"/>
        <w:ind w:right="420" w:firstLine="3614" w:firstLineChars="1000"/>
        <w:rPr>
          <w:rFonts w:ascii="宋体" w:hAnsi="宋体" w:cs="宋体"/>
          <w:b/>
          <w:kern w:val="0"/>
          <w:sz w:val="36"/>
          <w:szCs w:val="36"/>
        </w:rPr>
      </w:pPr>
    </w:p>
    <w:p w14:paraId="0F840A5A">
      <w:pPr>
        <w:spacing w:line="360" w:lineRule="auto"/>
        <w:ind w:right="420" w:firstLine="3614" w:firstLineChars="1000"/>
        <w:rPr>
          <w:rFonts w:ascii="宋体" w:hAnsi="宋体" w:cs="宋体"/>
          <w:b/>
          <w:kern w:val="0"/>
          <w:sz w:val="36"/>
          <w:szCs w:val="36"/>
        </w:rPr>
      </w:pPr>
    </w:p>
    <w:p w14:paraId="6DBECFEA">
      <w:pPr>
        <w:spacing w:line="360" w:lineRule="auto"/>
        <w:ind w:right="420" w:firstLine="3614" w:firstLineChars="1000"/>
        <w:rPr>
          <w:rFonts w:ascii="宋体" w:hAnsi="宋体" w:cs="宋体"/>
          <w:b/>
          <w:kern w:val="0"/>
          <w:sz w:val="36"/>
          <w:szCs w:val="36"/>
        </w:rPr>
      </w:pPr>
    </w:p>
    <w:p w14:paraId="3E6942D7">
      <w:pPr>
        <w:spacing w:line="360" w:lineRule="auto"/>
        <w:ind w:right="420" w:firstLine="3614" w:firstLineChars="1000"/>
        <w:rPr>
          <w:rFonts w:ascii="宋体" w:hAnsi="宋体" w:cs="宋体"/>
          <w:b/>
          <w:kern w:val="0"/>
          <w:sz w:val="36"/>
          <w:szCs w:val="36"/>
        </w:rPr>
      </w:pPr>
    </w:p>
    <w:p w14:paraId="213FF37C">
      <w:pPr>
        <w:spacing w:line="360" w:lineRule="auto"/>
        <w:ind w:right="420" w:firstLine="3614" w:firstLineChars="1000"/>
        <w:rPr>
          <w:rFonts w:ascii="宋体" w:hAnsi="宋体" w:cs="宋体"/>
          <w:b/>
          <w:kern w:val="0"/>
          <w:sz w:val="36"/>
          <w:szCs w:val="36"/>
        </w:rPr>
      </w:pPr>
    </w:p>
    <w:p w14:paraId="589B9530">
      <w:pPr>
        <w:spacing w:line="360" w:lineRule="auto"/>
        <w:ind w:right="420" w:firstLine="3614" w:firstLineChars="1000"/>
        <w:rPr>
          <w:rFonts w:ascii="宋体" w:hAnsi="宋体" w:cs="宋体"/>
          <w:b/>
          <w:kern w:val="0"/>
          <w:sz w:val="36"/>
          <w:szCs w:val="36"/>
        </w:rPr>
      </w:pPr>
    </w:p>
    <w:p w14:paraId="314E568C">
      <w:pPr>
        <w:spacing w:line="360" w:lineRule="auto"/>
        <w:ind w:right="420" w:firstLine="3614" w:firstLineChars="1000"/>
        <w:rPr>
          <w:rFonts w:ascii="宋体" w:hAnsi="宋体" w:cs="宋体"/>
          <w:b/>
          <w:kern w:val="0"/>
          <w:sz w:val="36"/>
          <w:szCs w:val="36"/>
        </w:rPr>
      </w:pPr>
    </w:p>
    <w:p w14:paraId="71A6FE11">
      <w:pPr>
        <w:spacing w:line="360" w:lineRule="auto"/>
        <w:ind w:right="420"/>
        <w:rPr>
          <w:rFonts w:ascii="宋体" w:hAnsi="宋体" w:cs="宋体"/>
          <w:b/>
          <w:kern w:val="0"/>
          <w:sz w:val="36"/>
          <w:szCs w:val="36"/>
        </w:rPr>
      </w:pPr>
    </w:p>
    <w:p w14:paraId="4718CB70">
      <w:r>
        <w:br w:type="page"/>
      </w:r>
    </w:p>
    <w:p w14:paraId="2C42DEEA">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5" w:name="_Toc465665161"/>
      <w:r>
        <w:rPr>
          <w:rFonts w:hint="eastAsia" w:ascii="宋体" w:hAnsi="宋体" w:cs="宋体"/>
        </w:rPr>
        <w:t>附件</w:t>
      </w:r>
      <w:bookmarkEnd w:id="555"/>
    </w:p>
    <w:p w14:paraId="17E2F19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1DA9101">
      <w:pPr>
        <w:spacing w:line="360" w:lineRule="auto"/>
        <w:jc w:val="center"/>
        <w:rPr>
          <w:rFonts w:ascii="宋体" w:hAnsi="宋体" w:cs="宋体"/>
          <w:b/>
          <w:spacing w:val="6"/>
          <w:sz w:val="32"/>
          <w:szCs w:val="32"/>
        </w:rPr>
      </w:pPr>
      <w:bookmarkStart w:id="556" w:name="OLE_LINK14"/>
      <w:bookmarkStart w:id="557" w:name="OLE_LINK13"/>
      <w:r>
        <w:rPr>
          <w:rFonts w:hint="eastAsia" w:ascii="宋体" w:hAnsi="宋体" w:cs="宋体"/>
          <w:b/>
          <w:spacing w:val="6"/>
          <w:sz w:val="32"/>
          <w:szCs w:val="32"/>
        </w:rPr>
        <w:t>残疾人福利性单位声明函</w:t>
      </w:r>
    </w:p>
    <w:bookmarkEnd w:id="556"/>
    <w:bookmarkEnd w:id="557"/>
    <w:p w14:paraId="4D71DA2A">
      <w:pPr>
        <w:spacing w:line="360" w:lineRule="auto"/>
        <w:rPr>
          <w:rFonts w:ascii="宋体" w:hAnsi="宋体" w:cs="宋体"/>
          <w:b/>
          <w:spacing w:val="6"/>
          <w:sz w:val="30"/>
          <w:szCs w:val="30"/>
        </w:rPr>
      </w:pPr>
    </w:p>
    <w:p w14:paraId="2E8D379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0ECDFF1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DAA2394">
      <w:pPr>
        <w:spacing w:line="360" w:lineRule="auto"/>
        <w:ind w:firstLine="480" w:firstLineChars="200"/>
        <w:rPr>
          <w:rFonts w:ascii="宋体" w:hAnsi="宋体" w:cs="宋体"/>
          <w:sz w:val="24"/>
        </w:rPr>
      </w:pPr>
    </w:p>
    <w:p w14:paraId="3D6E3222">
      <w:pPr>
        <w:spacing w:line="360" w:lineRule="auto"/>
        <w:ind w:firstLine="480" w:firstLineChars="200"/>
        <w:rPr>
          <w:rFonts w:ascii="宋体" w:hAnsi="宋体" w:cs="宋体"/>
          <w:sz w:val="24"/>
        </w:rPr>
      </w:pPr>
    </w:p>
    <w:p w14:paraId="03486BD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CB63E2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82A9C25">
      <w:pPr>
        <w:spacing w:line="360" w:lineRule="auto"/>
        <w:ind w:firstLine="480" w:firstLineChars="200"/>
        <w:rPr>
          <w:rFonts w:ascii="宋体" w:hAnsi="宋体" w:cs="宋体"/>
          <w:sz w:val="24"/>
        </w:rPr>
      </w:pPr>
    </w:p>
    <w:p w14:paraId="5C84DB0C">
      <w:pPr>
        <w:spacing w:line="360" w:lineRule="auto"/>
        <w:ind w:firstLine="420" w:firstLineChars="200"/>
        <w:rPr>
          <w:rFonts w:ascii="宋体" w:hAnsi="宋体" w:cs="宋体"/>
        </w:rPr>
      </w:pPr>
    </w:p>
    <w:p w14:paraId="5DA87F63">
      <w:pPr>
        <w:spacing w:line="360" w:lineRule="auto"/>
        <w:ind w:firstLine="420" w:firstLineChars="200"/>
        <w:rPr>
          <w:rFonts w:ascii="宋体" w:hAnsi="宋体" w:cs="宋体"/>
        </w:rPr>
      </w:pPr>
    </w:p>
    <w:p w14:paraId="74044DF1">
      <w:pPr>
        <w:spacing w:line="360" w:lineRule="auto"/>
        <w:ind w:firstLine="420" w:firstLineChars="200"/>
        <w:rPr>
          <w:rFonts w:ascii="宋体" w:hAnsi="宋体" w:cs="宋体"/>
        </w:rPr>
      </w:pPr>
    </w:p>
    <w:p w14:paraId="02C68F4E">
      <w:pPr>
        <w:spacing w:line="360" w:lineRule="auto"/>
        <w:ind w:firstLine="420" w:firstLineChars="200"/>
        <w:rPr>
          <w:rFonts w:ascii="宋体" w:hAnsi="宋体" w:cs="宋体"/>
        </w:rPr>
      </w:pPr>
    </w:p>
    <w:p w14:paraId="2FC1352A">
      <w:pPr>
        <w:spacing w:line="360" w:lineRule="auto"/>
        <w:rPr>
          <w:rFonts w:ascii="宋体" w:hAnsi="宋体" w:cs="宋体"/>
          <w:b/>
          <w:sz w:val="24"/>
        </w:rPr>
      </w:pPr>
    </w:p>
    <w:p w14:paraId="4F8E97D0">
      <w:pPr>
        <w:spacing w:line="360" w:lineRule="auto"/>
        <w:rPr>
          <w:rFonts w:ascii="宋体" w:hAnsi="宋体" w:cs="宋体"/>
          <w:b/>
          <w:sz w:val="24"/>
        </w:rPr>
      </w:pPr>
    </w:p>
    <w:p w14:paraId="67E6E24D">
      <w:pPr>
        <w:spacing w:line="360" w:lineRule="auto"/>
        <w:rPr>
          <w:rFonts w:ascii="宋体" w:hAnsi="宋体" w:cs="宋体"/>
          <w:b/>
          <w:sz w:val="24"/>
        </w:rPr>
      </w:pPr>
    </w:p>
    <w:p w14:paraId="6E024FD2">
      <w:pPr>
        <w:spacing w:line="360" w:lineRule="auto"/>
        <w:rPr>
          <w:rFonts w:ascii="宋体" w:hAnsi="宋体" w:cs="宋体"/>
          <w:b/>
          <w:sz w:val="24"/>
        </w:rPr>
      </w:pPr>
    </w:p>
    <w:p w14:paraId="045DB434">
      <w:pPr>
        <w:spacing w:line="360" w:lineRule="auto"/>
        <w:rPr>
          <w:rFonts w:ascii="宋体" w:hAnsi="宋体" w:cs="宋体"/>
          <w:b/>
          <w:sz w:val="24"/>
        </w:rPr>
      </w:pPr>
    </w:p>
    <w:p w14:paraId="4B14F4A8">
      <w:pPr>
        <w:spacing w:line="360" w:lineRule="auto"/>
        <w:rPr>
          <w:rFonts w:ascii="宋体" w:hAnsi="宋体" w:cs="宋体"/>
          <w:b/>
          <w:sz w:val="24"/>
        </w:rPr>
      </w:pPr>
    </w:p>
    <w:p w14:paraId="1CE18D9D">
      <w:pPr>
        <w:spacing w:line="360" w:lineRule="auto"/>
        <w:rPr>
          <w:rFonts w:ascii="宋体" w:hAnsi="宋体" w:cs="宋体"/>
          <w:b/>
          <w:sz w:val="24"/>
        </w:rPr>
      </w:pPr>
    </w:p>
    <w:p w14:paraId="3C9346E3">
      <w:pPr>
        <w:spacing w:line="360" w:lineRule="auto"/>
        <w:rPr>
          <w:rFonts w:ascii="宋体" w:hAnsi="宋体" w:cs="宋体"/>
          <w:b/>
          <w:sz w:val="24"/>
        </w:rPr>
      </w:pPr>
    </w:p>
    <w:p w14:paraId="214BEF8E">
      <w:pPr>
        <w:spacing w:line="360" w:lineRule="auto"/>
        <w:rPr>
          <w:rFonts w:ascii="宋体" w:hAnsi="宋体" w:cs="宋体"/>
          <w:b/>
          <w:sz w:val="24"/>
        </w:rPr>
      </w:pPr>
    </w:p>
    <w:p w14:paraId="10E8E68B">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FF5377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371E8F2">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AEA5A2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0551CB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1DA29C2">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7A0750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945E247">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71EE72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8CA0026">
      <w:pPr>
        <w:snapToGrid w:val="0"/>
        <w:spacing w:line="360" w:lineRule="auto"/>
        <w:rPr>
          <w:rFonts w:ascii="宋体" w:hAnsi="宋体" w:cs="宋体"/>
          <w:bCs/>
          <w:sz w:val="24"/>
        </w:rPr>
      </w:pPr>
      <w:r>
        <w:rPr>
          <w:rFonts w:hint="eastAsia" w:ascii="宋体" w:hAnsi="宋体" w:cs="宋体"/>
          <w:bCs/>
          <w:sz w:val="24"/>
        </w:rPr>
        <w:t>二、质疑项目基本情况</w:t>
      </w:r>
    </w:p>
    <w:p w14:paraId="09B6E85D">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FCBD41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7BCC82E">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64A164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81841FE">
      <w:pPr>
        <w:snapToGrid w:val="0"/>
        <w:spacing w:line="360" w:lineRule="auto"/>
        <w:rPr>
          <w:rFonts w:ascii="宋体" w:hAnsi="宋体" w:cs="宋体"/>
          <w:bCs/>
          <w:sz w:val="24"/>
        </w:rPr>
      </w:pPr>
      <w:r>
        <w:rPr>
          <w:rFonts w:hint="eastAsia" w:ascii="宋体" w:hAnsi="宋体" w:cs="宋体"/>
          <w:bCs/>
          <w:sz w:val="24"/>
        </w:rPr>
        <w:t>三、质疑事项具体内容</w:t>
      </w:r>
    </w:p>
    <w:p w14:paraId="49C4ABAF">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64FE96F">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5009B21">
      <w:pPr>
        <w:snapToGrid w:val="0"/>
        <w:spacing w:line="360" w:lineRule="auto"/>
        <w:rPr>
          <w:rFonts w:ascii="宋体" w:hAnsi="宋体" w:cs="宋体"/>
          <w:sz w:val="24"/>
        </w:rPr>
      </w:pPr>
      <w:r>
        <w:rPr>
          <w:rFonts w:hint="eastAsia" w:ascii="宋体" w:hAnsi="宋体" w:cs="宋体"/>
          <w:sz w:val="24"/>
          <w:u w:val="dotted"/>
        </w:rPr>
        <w:t xml:space="preserve">                                                       </w:t>
      </w:r>
    </w:p>
    <w:p w14:paraId="2934F1C5">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1AED8AD">
      <w:pPr>
        <w:snapToGrid w:val="0"/>
        <w:spacing w:line="360" w:lineRule="auto"/>
        <w:rPr>
          <w:rFonts w:ascii="宋体" w:hAnsi="宋体" w:cs="宋体"/>
          <w:sz w:val="24"/>
          <w:u w:val="dotted"/>
        </w:rPr>
      </w:pPr>
      <w:r>
        <w:rPr>
          <w:rFonts w:hint="eastAsia" w:ascii="宋体" w:hAnsi="宋体" w:cs="宋体"/>
          <w:sz w:val="24"/>
          <w:u w:val="dotted"/>
        </w:rPr>
        <w:t xml:space="preserve">                                                     </w:t>
      </w:r>
    </w:p>
    <w:p w14:paraId="076AB839">
      <w:pPr>
        <w:snapToGrid w:val="0"/>
        <w:spacing w:line="360" w:lineRule="auto"/>
        <w:rPr>
          <w:rFonts w:ascii="宋体" w:hAnsi="宋体" w:cs="宋体"/>
          <w:sz w:val="24"/>
          <w:u w:val="dotted"/>
        </w:rPr>
      </w:pPr>
      <w:r>
        <w:rPr>
          <w:rFonts w:hint="eastAsia" w:ascii="宋体" w:hAnsi="宋体" w:cs="宋体"/>
          <w:sz w:val="24"/>
        </w:rPr>
        <w:t>质疑事项2</w:t>
      </w:r>
    </w:p>
    <w:p w14:paraId="419EC52A">
      <w:pPr>
        <w:snapToGrid w:val="0"/>
        <w:spacing w:line="360" w:lineRule="auto"/>
        <w:rPr>
          <w:rFonts w:ascii="宋体" w:hAnsi="宋体" w:cs="宋体"/>
          <w:sz w:val="24"/>
        </w:rPr>
      </w:pPr>
      <w:r>
        <w:rPr>
          <w:rFonts w:hint="eastAsia" w:ascii="宋体" w:hAnsi="宋体" w:cs="宋体"/>
          <w:sz w:val="24"/>
        </w:rPr>
        <w:t>……</w:t>
      </w:r>
    </w:p>
    <w:p w14:paraId="0747104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B9E4792">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FCE152F">
      <w:pPr>
        <w:spacing w:line="360" w:lineRule="auto"/>
        <w:rPr>
          <w:rFonts w:ascii="宋体" w:hAnsi="宋体" w:cs="宋体"/>
          <w:sz w:val="24"/>
        </w:rPr>
      </w:pPr>
      <w:r>
        <w:rPr>
          <w:rFonts w:hint="eastAsia" w:ascii="宋体" w:hAnsi="宋体" w:cs="宋体"/>
          <w:sz w:val="24"/>
        </w:rPr>
        <w:t xml:space="preserve">签字(签章)：                   公章：                      </w:t>
      </w:r>
    </w:p>
    <w:p w14:paraId="0536CCB4">
      <w:pPr>
        <w:spacing w:line="360" w:lineRule="auto"/>
        <w:rPr>
          <w:rFonts w:ascii="宋体" w:hAnsi="宋体" w:cs="宋体"/>
          <w:sz w:val="24"/>
        </w:rPr>
      </w:pPr>
      <w:r>
        <w:rPr>
          <w:rFonts w:hint="eastAsia" w:ascii="宋体" w:hAnsi="宋体" w:cs="宋体"/>
          <w:sz w:val="24"/>
        </w:rPr>
        <w:t xml:space="preserve">日期：    </w:t>
      </w:r>
    </w:p>
    <w:p w14:paraId="1573221E">
      <w:pPr>
        <w:spacing w:line="360" w:lineRule="auto"/>
        <w:jc w:val="center"/>
        <w:rPr>
          <w:rFonts w:ascii="宋体" w:hAnsi="宋体" w:cs="宋体"/>
          <w:b/>
          <w:bCs/>
          <w:sz w:val="24"/>
        </w:rPr>
      </w:pPr>
    </w:p>
    <w:p w14:paraId="05D9E4BA">
      <w:pPr>
        <w:spacing w:line="360" w:lineRule="auto"/>
        <w:rPr>
          <w:rFonts w:ascii="宋体" w:hAnsi="宋体" w:cs="宋体"/>
          <w:b/>
          <w:sz w:val="24"/>
        </w:rPr>
      </w:pPr>
    </w:p>
    <w:p w14:paraId="386797DE">
      <w:pPr>
        <w:spacing w:line="360" w:lineRule="auto"/>
        <w:rPr>
          <w:rFonts w:ascii="宋体" w:hAnsi="宋体" w:cs="宋体"/>
          <w:b/>
          <w:sz w:val="24"/>
        </w:rPr>
      </w:pPr>
    </w:p>
    <w:p w14:paraId="64D50076">
      <w:pPr>
        <w:spacing w:line="360" w:lineRule="auto"/>
        <w:rPr>
          <w:rFonts w:ascii="宋体" w:hAnsi="宋体" w:cs="宋体"/>
          <w:b/>
          <w:sz w:val="24"/>
        </w:rPr>
      </w:pPr>
    </w:p>
    <w:p w14:paraId="09B8271A">
      <w:pPr>
        <w:spacing w:line="360" w:lineRule="auto"/>
        <w:rPr>
          <w:rFonts w:ascii="宋体" w:hAnsi="宋体" w:cs="宋体"/>
          <w:b/>
          <w:sz w:val="24"/>
        </w:rPr>
      </w:pPr>
      <w:r>
        <w:rPr>
          <w:rFonts w:hint="eastAsia" w:ascii="宋体" w:hAnsi="宋体" w:cs="宋体"/>
          <w:b/>
          <w:sz w:val="24"/>
        </w:rPr>
        <w:t>质疑函制作说明：</w:t>
      </w:r>
    </w:p>
    <w:p w14:paraId="1202727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FB0995B">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7C9292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0BBC803">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9D92AE8">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74C71D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A54F097">
      <w:pPr>
        <w:widowControl/>
        <w:spacing w:line="360" w:lineRule="auto"/>
        <w:ind w:firstLine="600" w:firstLineChars="200"/>
        <w:jc w:val="left"/>
        <w:rPr>
          <w:rFonts w:ascii="宋体" w:hAnsi="宋体" w:cs="宋体"/>
          <w:sz w:val="30"/>
          <w:szCs w:val="30"/>
        </w:rPr>
      </w:pPr>
    </w:p>
    <w:p w14:paraId="45E998B1">
      <w:pPr>
        <w:spacing w:line="360" w:lineRule="auto"/>
        <w:jc w:val="center"/>
        <w:rPr>
          <w:rFonts w:ascii="宋体" w:hAnsi="宋体" w:cs="宋体"/>
          <w:b/>
          <w:spacing w:val="6"/>
          <w:sz w:val="32"/>
          <w:szCs w:val="32"/>
        </w:rPr>
      </w:pPr>
    </w:p>
    <w:p w14:paraId="62110008">
      <w:pPr>
        <w:spacing w:line="360" w:lineRule="auto"/>
        <w:jc w:val="center"/>
        <w:rPr>
          <w:rFonts w:ascii="宋体" w:hAnsi="宋体" w:cs="宋体"/>
          <w:b/>
          <w:spacing w:val="6"/>
          <w:sz w:val="32"/>
          <w:szCs w:val="32"/>
        </w:rPr>
      </w:pPr>
    </w:p>
    <w:p w14:paraId="0E44594A">
      <w:pPr>
        <w:spacing w:line="360" w:lineRule="auto"/>
        <w:jc w:val="center"/>
        <w:rPr>
          <w:rFonts w:ascii="宋体" w:hAnsi="宋体" w:cs="宋体"/>
          <w:b/>
          <w:spacing w:val="6"/>
          <w:sz w:val="32"/>
          <w:szCs w:val="32"/>
        </w:rPr>
      </w:pPr>
    </w:p>
    <w:p w14:paraId="23F3158D">
      <w:pPr>
        <w:spacing w:line="360" w:lineRule="auto"/>
        <w:jc w:val="center"/>
        <w:rPr>
          <w:rFonts w:ascii="宋体" w:hAnsi="宋体" w:cs="宋体"/>
          <w:b/>
          <w:spacing w:val="6"/>
          <w:sz w:val="32"/>
          <w:szCs w:val="32"/>
        </w:rPr>
      </w:pPr>
    </w:p>
    <w:p w14:paraId="52D0A547">
      <w:pPr>
        <w:spacing w:line="360" w:lineRule="auto"/>
        <w:jc w:val="center"/>
        <w:rPr>
          <w:rFonts w:ascii="宋体" w:hAnsi="宋体" w:cs="宋体"/>
          <w:b/>
          <w:spacing w:val="6"/>
          <w:sz w:val="32"/>
          <w:szCs w:val="32"/>
        </w:rPr>
      </w:pPr>
    </w:p>
    <w:p w14:paraId="610BA7BC">
      <w:pPr>
        <w:spacing w:line="360" w:lineRule="auto"/>
        <w:jc w:val="center"/>
        <w:rPr>
          <w:rFonts w:ascii="宋体" w:hAnsi="宋体" w:cs="宋体"/>
          <w:b/>
          <w:spacing w:val="6"/>
          <w:sz w:val="32"/>
          <w:szCs w:val="32"/>
        </w:rPr>
      </w:pPr>
    </w:p>
    <w:p w14:paraId="6D99CAA6">
      <w:pPr>
        <w:spacing w:line="360" w:lineRule="auto"/>
        <w:jc w:val="center"/>
        <w:rPr>
          <w:rFonts w:ascii="宋体" w:hAnsi="宋体" w:cs="宋体"/>
          <w:b/>
          <w:spacing w:val="6"/>
          <w:sz w:val="32"/>
          <w:szCs w:val="32"/>
        </w:rPr>
      </w:pPr>
    </w:p>
    <w:p w14:paraId="411DB23C">
      <w:pPr>
        <w:spacing w:line="360" w:lineRule="auto"/>
        <w:jc w:val="center"/>
        <w:rPr>
          <w:rFonts w:ascii="宋体" w:hAnsi="宋体" w:cs="宋体"/>
          <w:b/>
          <w:spacing w:val="6"/>
          <w:sz w:val="32"/>
          <w:szCs w:val="32"/>
        </w:rPr>
      </w:pPr>
    </w:p>
    <w:p w14:paraId="4A66FC25">
      <w:pPr>
        <w:spacing w:line="360" w:lineRule="auto"/>
        <w:jc w:val="center"/>
        <w:rPr>
          <w:rFonts w:ascii="宋体" w:hAnsi="宋体" w:cs="宋体"/>
          <w:b/>
          <w:spacing w:val="6"/>
          <w:sz w:val="32"/>
          <w:szCs w:val="32"/>
        </w:rPr>
      </w:pPr>
    </w:p>
    <w:p w14:paraId="0B45F43F">
      <w:pPr>
        <w:spacing w:line="360" w:lineRule="auto"/>
        <w:jc w:val="center"/>
        <w:rPr>
          <w:rFonts w:ascii="宋体" w:hAnsi="宋体" w:cs="宋体"/>
          <w:b/>
          <w:spacing w:val="6"/>
          <w:sz w:val="32"/>
          <w:szCs w:val="32"/>
        </w:rPr>
      </w:pPr>
    </w:p>
    <w:p w14:paraId="705E0EC6">
      <w:pPr>
        <w:spacing w:line="360" w:lineRule="auto"/>
        <w:jc w:val="center"/>
        <w:rPr>
          <w:rFonts w:ascii="宋体" w:hAnsi="宋体" w:cs="宋体"/>
          <w:b/>
          <w:spacing w:val="6"/>
          <w:sz w:val="32"/>
          <w:szCs w:val="32"/>
        </w:rPr>
      </w:pPr>
    </w:p>
    <w:p w14:paraId="78160AFF">
      <w:pPr>
        <w:spacing w:line="360" w:lineRule="auto"/>
        <w:jc w:val="center"/>
        <w:rPr>
          <w:rFonts w:ascii="宋体" w:hAnsi="宋体" w:cs="宋体"/>
          <w:b/>
          <w:spacing w:val="6"/>
          <w:sz w:val="32"/>
          <w:szCs w:val="32"/>
        </w:rPr>
      </w:pPr>
    </w:p>
    <w:p w14:paraId="49FF8709">
      <w:pPr>
        <w:spacing w:line="360" w:lineRule="auto"/>
        <w:jc w:val="left"/>
        <w:rPr>
          <w:rFonts w:ascii="宋体" w:hAnsi="宋体" w:cs="宋体"/>
          <w:b/>
          <w:spacing w:val="6"/>
          <w:sz w:val="32"/>
          <w:szCs w:val="32"/>
        </w:rPr>
      </w:pPr>
    </w:p>
    <w:p w14:paraId="603360E3">
      <w:pPr>
        <w:spacing w:line="360" w:lineRule="auto"/>
        <w:jc w:val="left"/>
        <w:rPr>
          <w:rFonts w:ascii="宋体" w:hAnsi="宋体" w:cs="宋体"/>
          <w:b/>
          <w:spacing w:val="6"/>
          <w:sz w:val="32"/>
          <w:szCs w:val="32"/>
        </w:rPr>
      </w:pPr>
    </w:p>
    <w:p w14:paraId="1A54C1C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48F4478">
      <w:pPr>
        <w:spacing w:line="360" w:lineRule="auto"/>
        <w:jc w:val="center"/>
        <w:rPr>
          <w:rFonts w:ascii="宋体" w:hAnsi="宋体" w:cs="宋体"/>
          <w:b/>
          <w:sz w:val="24"/>
        </w:rPr>
      </w:pPr>
    </w:p>
    <w:p w14:paraId="59D5F26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67C6135">
      <w:pPr>
        <w:spacing w:line="360" w:lineRule="auto"/>
        <w:rPr>
          <w:rFonts w:ascii="宋体" w:hAnsi="宋体" w:cs="宋体"/>
          <w:sz w:val="24"/>
        </w:rPr>
      </w:pPr>
      <w:r>
        <w:rPr>
          <w:rFonts w:hint="eastAsia" w:ascii="宋体" w:hAnsi="宋体" w:cs="宋体"/>
          <w:sz w:val="24"/>
        </w:rPr>
        <w:t>一、投诉相关主体基本情况</w:t>
      </w:r>
    </w:p>
    <w:p w14:paraId="2F5DF68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6C5EA6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3DC3D99">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2287B4E">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50B8ABC">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0B1E5E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D1B1BD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683105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4DDB18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3134B29">
      <w:pPr>
        <w:spacing w:line="360" w:lineRule="auto"/>
        <w:rPr>
          <w:rFonts w:ascii="宋体" w:hAnsi="宋体" w:cs="宋体"/>
          <w:sz w:val="24"/>
        </w:rPr>
      </w:pPr>
      <w:r>
        <w:rPr>
          <w:rFonts w:hint="eastAsia" w:ascii="宋体" w:hAnsi="宋体" w:cs="宋体"/>
          <w:sz w:val="24"/>
        </w:rPr>
        <w:t>被投诉人2</w:t>
      </w:r>
    </w:p>
    <w:p w14:paraId="3018A4D8">
      <w:pPr>
        <w:spacing w:line="360" w:lineRule="auto"/>
        <w:rPr>
          <w:rFonts w:ascii="宋体" w:hAnsi="宋体" w:cs="宋体"/>
          <w:sz w:val="24"/>
          <w:u w:val="dotted"/>
        </w:rPr>
      </w:pPr>
      <w:r>
        <w:rPr>
          <w:rFonts w:hint="eastAsia" w:ascii="宋体" w:hAnsi="宋体" w:cs="宋体"/>
          <w:sz w:val="24"/>
        </w:rPr>
        <w:t>……</w:t>
      </w:r>
    </w:p>
    <w:p w14:paraId="28ACF6A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16354E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9D51D4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48CB194">
      <w:pPr>
        <w:spacing w:line="360" w:lineRule="auto"/>
        <w:rPr>
          <w:rFonts w:ascii="宋体" w:hAnsi="宋体" w:cs="宋体"/>
          <w:sz w:val="24"/>
        </w:rPr>
      </w:pPr>
      <w:r>
        <w:rPr>
          <w:rFonts w:hint="eastAsia" w:ascii="宋体" w:hAnsi="宋体" w:cs="宋体"/>
          <w:sz w:val="24"/>
        </w:rPr>
        <w:t>二、投诉项目基本情况</w:t>
      </w:r>
    </w:p>
    <w:p w14:paraId="3817B9B8">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A23AA3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249F50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0296FC9">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1A2D055">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CA61F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9B19A3C">
      <w:pPr>
        <w:spacing w:line="360" w:lineRule="auto"/>
        <w:rPr>
          <w:rFonts w:ascii="宋体" w:hAnsi="宋体" w:cs="宋体"/>
          <w:sz w:val="24"/>
        </w:rPr>
      </w:pPr>
      <w:r>
        <w:rPr>
          <w:rFonts w:hint="eastAsia" w:ascii="宋体" w:hAnsi="宋体" w:cs="宋体"/>
          <w:sz w:val="24"/>
        </w:rPr>
        <w:t>三、质疑基本情况</w:t>
      </w:r>
    </w:p>
    <w:p w14:paraId="7BCB4544">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8FB78C7">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F52A7A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E90C68F">
      <w:pPr>
        <w:spacing w:line="360" w:lineRule="auto"/>
        <w:rPr>
          <w:rFonts w:ascii="宋体" w:hAnsi="宋体" w:cs="宋体"/>
          <w:sz w:val="24"/>
        </w:rPr>
      </w:pPr>
      <w:r>
        <w:rPr>
          <w:rFonts w:hint="eastAsia" w:ascii="宋体" w:hAnsi="宋体" w:cs="宋体"/>
          <w:sz w:val="24"/>
        </w:rPr>
        <w:t>四、投诉事项具体内容</w:t>
      </w:r>
    </w:p>
    <w:p w14:paraId="60CAA1D9">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8631E25">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296082">
      <w:pPr>
        <w:spacing w:line="360" w:lineRule="auto"/>
        <w:rPr>
          <w:rFonts w:ascii="宋体" w:hAnsi="宋体" w:cs="宋体"/>
          <w:sz w:val="24"/>
          <w:u w:val="dotted"/>
        </w:rPr>
      </w:pPr>
      <w:r>
        <w:rPr>
          <w:rFonts w:hint="eastAsia" w:ascii="宋体" w:hAnsi="宋体" w:cs="宋体"/>
          <w:sz w:val="24"/>
          <w:u w:val="dotted"/>
        </w:rPr>
        <w:t xml:space="preserve">                                                      </w:t>
      </w:r>
    </w:p>
    <w:p w14:paraId="4E7CBAD8">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FD000CB">
      <w:pPr>
        <w:spacing w:line="360" w:lineRule="auto"/>
        <w:rPr>
          <w:rFonts w:ascii="宋体" w:hAnsi="宋体" w:cs="宋体"/>
          <w:sz w:val="24"/>
          <w:u w:val="dotted"/>
        </w:rPr>
      </w:pPr>
      <w:r>
        <w:rPr>
          <w:rFonts w:hint="eastAsia" w:ascii="宋体" w:hAnsi="宋体" w:cs="宋体"/>
          <w:sz w:val="24"/>
          <w:u w:val="dotted"/>
        </w:rPr>
        <w:t xml:space="preserve">                                                      </w:t>
      </w:r>
    </w:p>
    <w:p w14:paraId="05B5A2C5">
      <w:pPr>
        <w:spacing w:line="360" w:lineRule="auto"/>
        <w:rPr>
          <w:rFonts w:ascii="宋体" w:hAnsi="宋体" w:cs="宋体"/>
          <w:sz w:val="24"/>
        </w:rPr>
      </w:pPr>
      <w:r>
        <w:rPr>
          <w:rFonts w:hint="eastAsia" w:ascii="宋体" w:hAnsi="宋体" w:cs="宋体"/>
          <w:sz w:val="24"/>
        </w:rPr>
        <w:t>投诉事项2</w:t>
      </w:r>
    </w:p>
    <w:p w14:paraId="56BE575A">
      <w:pPr>
        <w:spacing w:line="360" w:lineRule="auto"/>
        <w:rPr>
          <w:rFonts w:ascii="宋体" w:hAnsi="宋体" w:cs="宋体"/>
          <w:sz w:val="24"/>
          <w:u w:val="dotted"/>
        </w:rPr>
      </w:pPr>
      <w:r>
        <w:rPr>
          <w:rFonts w:hint="eastAsia" w:ascii="宋体" w:hAnsi="宋体" w:cs="宋体"/>
          <w:sz w:val="24"/>
        </w:rPr>
        <w:t>……</w:t>
      </w:r>
    </w:p>
    <w:p w14:paraId="567CD448">
      <w:pPr>
        <w:spacing w:line="360" w:lineRule="auto"/>
        <w:rPr>
          <w:rFonts w:ascii="宋体" w:hAnsi="宋体" w:cs="宋体"/>
          <w:sz w:val="24"/>
        </w:rPr>
      </w:pPr>
      <w:r>
        <w:rPr>
          <w:rFonts w:hint="eastAsia" w:ascii="宋体" w:hAnsi="宋体" w:cs="宋体"/>
          <w:sz w:val="24"/>
        </w:rPr>
        <w:t>五、与投诉事项相关的投诉请求</w:t>
      </w:r>
    </w:p>
    <w:p w14:paraId="6B55F2D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B2F26D4">
      <w:pPr>
        <w:spacing w:line="360" w:lineRule="auto"/>
        <w:rPr>
          <w:rFonts w:ascii="宋体" w:hAnsi="宋体" w:cs="宋体"/>
          <w:sz w:val="24"/>
          <w:u w:val="single"/>
        </w:rPr>
      </w:pPr>
      <w:r>
        <w:rPr>
          <w:rFonts w:hint="eastAsia" w:ascii="宋体" w:hAnsi="宋体" w:cs="宋体"/>
          <w:sz w:val="24"/>
        </w:rPr>
        <w:t xml:space="preserve">                                                                                                    </w:t>
      </w:r>
    </w:p>
    <w:p w14:paraId="62DC8839">
      <w:pPr>
        <w:spacing w:line="360" w:lineRule="auto"/>
        <w:rPr>
          <w:rFonts w:ascii="宋体" w:hAnsi="宋体" w:cs="宋体"/>
          <w:sz w:val="24"/>
        </w:rPr>
      </w:pPr>
      <w:r>
        <w:rPr>
          <w:rFonts w:hint="eastAsia" w:ascii="宋体" w:hAnsi="宋体" w:cs="宋体"/>
          <w:sz w:val="24"/>
        </w:rPr>
        <w:t xml:space="preserve">签字(签章)：                   公章：                      </w:t>
      </w:r>
    </w:p>
    <w:p w14:paraId="58F7E55D">
      <w:pPr>
        <w:spacing w:line="360" w:lineRule="auto"/>
        <w:rPr>
          <w:rFonts w:ascii="宋体" w:hAnsi="宋体" w:cs="宋体"/>
          <w:sz w:val="24"/>
        </w:rPr>
      </w:pPr>
      <w:r>
        <w:rPr>
          <w:rFonts w:hint="eastAsia" w:ascii="宋体" w:hAnsi="宋体" w:cs="宋体"/>
          <w:sz w:val="24"/>
        </w:rPr>
        <w:t xml:space="preserve">日期：    </w:t>
      </w:r>
    </w:p>
    <w:p w14:paraId="42C10435">
      <w:pPr>
        <w:spacing w:line="360" w:lineRule="auto"/>
        <w:rPr>
          <w:rFonts w:ascii="宋体" w:hAnsi="宋体" w:cs="宋体"/>
          <w:b/>
          <w:sz w:val="24"/>
        </w:rPr>
      </w:pPr>
    </w:p>
    <w:p w14:paraId="4717D04F">
      <w:pPr>
        <w:spacing w:line="360" w:lineRule="auto"/>
        <w:rPr>
          <w:rFonts w:ascii="宋体" w:hAnsi="宋体" w:cs="宋体"/>
          <w:b/>
          <w:sz w:val="24"/>
        </w:rPr>
      </w:pPr>
    </w:p>
    <w:p w14:paraId="62D140A4">
      <w:pPr>
        <w:spacing w:line="360" w:lineRule="auto"/>
        <w:rPr>
          <w:rFonts w:ascii="宋体" w:hAnsi="宋体" w:cs="宋体"/>
          <w:b/>
          <w:sz w:val="24"/>
        </w:rPr>
      </w:pPr>
      <w:r>
        <w:rPr>
          <w:rFonts w:hint="eastAsia" w:ascii="宋体" w:hAnsi="宋体" w:cs="宋体"/>
          <w:b/>
          <w:sz w:val="24"/>
        </w:rPr>
        <w:t>投诉书制作说明：</w:t>
      </w:r>
    </w:p>
    <w:p w14:paraId="7798C5A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1B238B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1D488A1">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ECC05E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E647644">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A567330">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2CE220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1E008B2">
      <w:pPr>
        <w:spacing w:line="360" w:lineRule="auto"/>
        <w:rPr>
          <w:rFonts w:ascii="宋体" w:hAnsi="宋体" w:cs="宋体"/>
          <w:b/>
          <w:sz w:val="24"/>
        </w:rPr>
      </w:pPr>
    </w:p>
    <w:p w14:paraId="5F794D70">
      <w:pPr>
        <w:autoSpaceDE w:val="0"/>
        <w:autoSpaceDN w:val="0"/>
        <w:jc w:val="center"/>
        <w:rPr>
          <w:rFonts w:ascii="宋体" w:hAnsi="宋体" w:cs="宋体"/>
          <w:b/>
          <w:spacing w:val="6"/>
          <w:sz w:val="32"/>
          <w:szCs w:val="32"/>
        </w:rPr>
      </w:pPr>
    </w:p>
    <w:p w14:paraId="27B1ED35">
      <w:pPr>
        <w:autoSpaceDE w:val="0"/>
        <w:autoSpaceDN w:val="0"/>
        <w:jc w:val="center"/>
        <w:rPr>
          <w:rFonts w:ascii="宋体" w:hAnsi="宋体" w:cs="宋体"/>
          <w:b/>
          <w:spacing w:val="6"/>
          <w:sz w:val="32"/>
          <w:szCs w:val="32"/>
        </w:rPr>
      </w:pPr>
    </w:p>
    <w:p w14:paraId="7187B548">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D4E85B6">
      <w:pPr>
        <w:spacing w:line="360" w:lineRule="auto"/>
        <w:rPr>
          <w:rFonts w:ascii="宋体" w:hAnsi="宋体" w:cs="宋体"/>
          <w:color w:val="0000FF"/>
          <w:sz w:val="24"/>
          <w:u w:val="single"/>
        </w:rPr>
      </w:pPr>
    </w:p>
    <w:p w14:paraId="773D943E">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0A582A72">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B6F1364">
      <w:pPr>
        <w:spacing w:line="360" w:lineRule="auto"/>
        <w:ind w:firstLine="480" w:firstLineChars="200"/>
        <w:rPr>
          <w:rFonts w:ascii="宋体" w:hAnsi="宋体" w:cs="宋体"/>
          <w:sz w:val="24"/>
        </w:rPr>
      </w:pPr>
      <w:r>
        <w:rPr>
          <w:rFonts w:hint="eastAsia" w:ascii="宋体" w:hAnsi="宋体" w:cs="宋体"/>
          <w:sz w:val="24"/>
        </w:rPr>
        <w:t>特此说明。</w:t>
      </w:r>
    </w:p>
    <w:p w14:paraId="450CC21F">
      <w:pPr>
        <w:spacing w:line="360" w:lineRule="auto"/>
        <w:ind w:firstLine="494"/>
        <w:rPr>
          <w:rFonts w:ascii="宋体" w:hAnsi="宋体" w:cs="宋体"/>
          <w:sz w:val="24"/>
        </w:rPr>
      </w:pPr>
    </w:p>
    <w:p w14:paraId="70C9236D">
      <w:pPr>
        <w:spacing w:line="360" w:lineRule="auto"/>
        <w:ind w:firstLine="494"/>
        <w:rPr>
          <w:rFonts w:ascii="宋体" w:hAnsi="宋体" w:cs="宋体"/>
          <w:sz w:val="24"/>
        </w:rPr>
      </w:pPr>
    </w:p>
    <w:p w14:paraId="67DD1F07">
      <w:pPr>
        <w:spacing w:line="360" w:lineRule="auto"/>
        <w:ind w:firstLine="494"/>
        <w:rPr>
          <w:rFonts w:ascii="宋体" w:hAnsi="宋体" w:cs="宋体"/>
          <w:sz w:val="24"/>
        </w:rPr>
      </w:pPr>
    </w:p>
    <w:p w14:paraId="50345DB6">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B16F32D">
      <w:pPr>
        <w:ind w:right="1440" w:firstLine="494"/>
        <w:jc w:val="center"/>
        <w:rPr>
          <w:rFonts w:ascii="宋体" w:hAnsi="宋体" w:cs="宋体"/>
          <w:sz w:val="24"/>
        </w:rPr>
      </w:pPr>
      <w:r>
        <w:rPr>
          <w:rFonts w:hint="eastAsia" w:ascii="宋体" w:hAnsi="宋体" w:cs="宋体"/>
          <w:sz w:val="24"/>
        </w:rPr>
        <w:t xml:space="preserve">                              日期：       年     月     日</w:t>
      </w:r>
    </w:p>
    <w:p w14:paraId="1C4D7B23">
      <w:pPr>
        <w:rPr>
          <w:rFonts w:ascii="宋体" w:hAnsi="宋体" w:cs="宋体"/>
          <w:sz w:val="24"/>
        </w:rPr>
      </w:pPr>
      <w:r>
        <w:rPr>
          <w:rFonts w:hint="eastAsia" w:ascii="宋体" w:hAnsi="宋体" w:cs="宋体"/>
          <w:b/>
          <w:bCs/>
          <w:sz w:val="24"/>
        </w:rPr>
        <w:t>附：</w:t>
      </w:r>
    </w:p>
    <w:p w14:paraId="69BF655B">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FA07495">
      <w:pPr>
        <w:autoSpaceDE w:val="0"/>
        <w:autoSpaceDN w:val="0"/>
        <w:jc w:val="center"/>
        <w:rPr>
          <w:rFonts w:ascii="宋体" w:hAnsi="宋体" w:cs="宋体"/>
          <w:b/>
          <w:spacing w:val="6"/>
          <w:sz w:val="32"/>
          <w:szCs w:val="32"/>
        </w:rPr>
      </w:pPr>
    </w:p>
    <w:p w14:paraId="13EB0C84">
      <w:pPr>
        <w:autoSpaceDE w:val="0"/>
        <w:autoSpaceDN w:val="0"/>
        <w:jc w:val="center"/>
        <w:rPr>
          <w:rFonts w:ascii="宋体" w:hAnsi="宋体" w:cs="宋体"/>
          <w:b/>
          <w:spacing w:val="6"/>
          <w:sz w:val="32"/>
          <w:szCs w:val="32"/>
        </w:rPr>
      </w:pPr>
    </w:p>
    <w:p w14:paraId="25C24F8D">
      <w:pPr>
        <w:autoSpaceDE w:val="0"/>
        <w:autoSpaceDN w:val="0"/>
        <w:jc w:val="center"/>
        <w:rPr>
          <w:rFonts w:ascii="宋体" w:hAnsi="宋体" w:cs="宋体"/>
          <w:b/>
          <w:spacing w:val="6"/>
          <w:sz w:val="32"/>
          <w:szCs w:val="32"/>
        </w:rPr>
      </w:pPr>
    </w:p>
    <w:p w14:paraId="1CEC7430">
      <w:pPr>
        <w:autoSpaceDE w:val="0"/>
        <w:autoSpaceDN w:val="0"/>
        <w:jc w:val="center"/>
        <w:rPr>
          <w:rFonts w:ascii="宋体" w:hAnsi="宋体" w:cs="宋体"/>
          <w:b/>
          <w:spacing w:val="6"/>
          <w:sz w:val="32"/>
          <w:szCs w:val="32"/>
        </w:rPr>
      </w:pPr>
    </w:p>
    <w:p w14:paraId="688712D3">
      <w:pPr>
        <w:autoSpaceDE w:val="0"/>
        <w:autoSpaceDN w:val="0"/>
        <w:jc w:val="center"/>
        <w:rPr>
          <w:rFonts w:ascii="宋体" w:hAnsi="宋体" w:cs="宋体"/>
          <w:b/>
          <w:spacing w:val="6"/>
          <w:sz w:val="32"/>
          <w:szCs w:val="32"/>
        </w:rPr>
      </w:pPr>
    </w:p>
    <w:p w14:paraId="113C71EE">
      <w:pPr>
        <w:autoSpaceDE w:val="0"/>
        <w:autoSpaceDN w:val="0"/>
        <w:jc w:val="center"/>
        <w:rPr>
          <w:rFonts w:ascii="宋体" w:hAnsi="宋体" w:cs="宋体"/>
          <w:b/>
          <w:spacing w:val="6"/>
          <w:sz w:val="32"/>
          <w:szCs w:val="32"/>
        </w:rPr>
      </w:pPr>
    </w:p>
    <w:p w14:paraId="60F4E540">
      <w:pPr>
        <w:autoSpaceDE w:val="0"/>
        <w:autoSpaceDN w:val="0"/>
        <w:jc w:val="center"/>
        <w:rPr>
          <w:rFonts w:ascii="宋体" w:hAnsi="宋体" w:cs="宋体"/>
          <w:b/>
          <w:spacing w:val="6"/>
          <w:sz w:val="32"/>
          <w:szCs w:val="32"/>
        </w:rPr>
      </w:pPr>
    </w:p>
    <w:p w14:paraId="7D50FC4D">
      <w:pPr>
        <w:autoSpaceDE w:val="0"/>
        <w:autoSpaceDN w:val="0"/>
        <w:jc w:val="center"/>
        <w:rPr>
          <w:rFonts w:ascii="宋体" w:hAnsi="宋体" w:cs="宋体"/>
          <w:b/>
          <w:spacing w:val="6"/>
          <w:sz w:val="32"/>
          <w:szCs w:val="32"/>
        </w:rPr>
      </w:pPr>
    </w:p>
    <w:p w14:paraId="2D451A47">
      <w:pPr>
        <w:autoSpaceDE w:val="0"/>
        <w:autoSpaceDN w:val="0"/>
        <w:jc w:val="center"/>
        <w:rPr>
          <w:rFonts w:ascii="宋体" w:hAnsi="宋体" w:cs="宋体"/>
          <w:b/>
          <w:spacing w:val="6"/>
          <w:sz w:val="32"/>
          <w:szCs w:val="32"/>
        </w:rPr>
      </w:pPr>
    </w:p>
    <w:p w14:paraId="2B41B322">
      <w:pPr>
        <w:autoSpaceDE w:val="0"/>
        <w:autoSpaceDN w:val="0"/>
        <w:jc w:val="center"/>
        <w:rPr>
          <w:rFonts w:ascii="宋体" w:hAnsi="宋体" w:cs="宋体"/>
          <w:b/>
          <w:spacing w:val="6"/>
          <w:sz w:val="32"/>
          <w:szCs w:val="32"/>
        </w:rPr>
      </w:pPr>
    </w:p>
    <w:p w14:paraId="52CD9AF3">
      <w:pPr>
        <w:autoSpaceDE w:val="0"/>
        <w:autoSpaceDN w:val="0"/>
        <w:jc w:val="center"/>
        <w:rPr>
          <w:rFonts w:ascii="宋体" w:hAnsi="宋体" w:cs="宋体"/>
          <w:b/>
          <w:spacing w:val="6"/>
          <w:sz w:val="32"/>
          <w:szCs w:val="32"/>
        </w:rPr>
      </w:pPr>
    </w:p>
    <w:p w14:paraId="468D3BF8">
      <w:pPr>
        <w:autoSpaceDE w:val="0"/>
        <w:autoSpaceDN w:val="0"/>
        <w:jc w:val="center"/>
        <w:rPr>
          <w:rFonts w:ascii="宋体" w:hAnsi="宋体" w:cs="宋体"/>
          <w:b/>
          <w:spacing w:val="6"/>
          <w:sz w:val="32"/>
          <w:szCs w:val="32"/>
        </w:rPr>
      </w:pPr>
    </w:p>
    <w:p w14:paraId="55F397C4">
      <w:pPr>
        <w:autoSpaceDE w:val="0"/>
        <w:autoSpaceDN w:val="0"/>
        <w:jc w:val="center"/>
        <w:rPr>
          <w:rFonts w:ascii="宋体" w:hAnsi="宋体" w:cs="宋体"/>
          <w:b/>
          <w:spacing w:val="6"/>
          <w:sz w:val="32"/>
          <w:szCs w:val="32"/>
        </w:rPr>
      </w:pPr>
    </w:p>
    <w:p w14:paraId="213E7E7E">
      <w:pPr>
        <w:autoSpaceDE w:val="0"/>
        <w:autoSpaceDN w:val="0"/>
        <w:jc w:val="center"/>
        <w:rPr>
          <w:rFonts w:ascii="宋体" w:hAnsi="宋体" w:cs="宋体"/>
          <w:b/>
          <w:spacing w:val="6"/>
          <w:sz w:val="32"/>
          <w:szCs w:val="32"/>
        </w:rPr>
      </w:pPr>
    </w:p>
    <w:p w14:paraId="6742ECA2">
      <w:pPr>
        <w:autoSpaceDE w:val="0"/>
        <w:autoSpaceDN w:val="0"/>
        <w:jc w:val="center"/>
        <w:rPr>
          <w:rFonts w:ascii="宋体" w:hAnsi="宋体" w:cs="宋体"/>
          <w:b/>
          <w:spacing w:val="6"/>
          <w:sz w:val="32"/>
          <w:szCs w:val="32"/>
        </w:rPr>
      </w:pPr>
    </w:p>
    <w:p w14:paraId="694C8E22">
      <w:pPr>
        <w:autoSpaceDE w:val="0"/>
        <w:autoSpaceDN w:val="0"/>
        <w:jc w:val="center"/>
        <w:rPr>
          <w:rFonts w:ascii="宋体" w:hAnsi="宋体" w:cs="宋体"/>
          <w:b/>
          <w:spacing w:val="6"/>
          <w:sz w:val="32"/>
          <w:szCs w:val="32"/>
        </w:rPr>
      </w:pPr>
    </w:p>
    <w:p w14:paraId="29966854">
      <w:pPr>
        <w:autoSpaceDE w:val="0"/>
        <w:autoSpaceDN w:val="0"/>
        <w:jc w:val="center"/>
        <w:rPr>
          <w:rFonts w:ascii="宋体" w:hAnsi="宋体" w:cs="宋体"/>
          <w:b/>
          <w:spacing w:val="6"/>
          <w:sz w:val="32"/>
          <w:szCs w:val="32"/>
        </w:rPr>
      </w:pPr>
    </w:p>
    <w:p w14:paraId="3728DE5B">
      <w:pPr>
        <w:autoSpaceDE w:val="0"/>
        <w:autoSpaceDN w:val="0"/>
        <w:jc w:val="center"/>
        <w:rPr>
          <w:rFonts w:ascii="宋体" w:hAnsi="宋体" w:cs="宋体"/>
          <w:b/>
          <w:spacing w:val="6"/>
          <w:sz w:val="32"/>
          <w:szCs w:val="32"/>
        </w:rPr>
      </w:pPr>
    </w:p>
    <w:p w14:paraId="46264DF4">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3D09F27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55D6BA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3E4C5D2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76C59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CE88F5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263A596">
      <w:pPr>
        <w:snapToGrid w:val="0"/>
        <w:spacing w:line="360" w:lineRule="auto"/>
        <w:ind w:firstLine="576"/>
        <w:rPr>
          <w:rFonts w:ascii="宋体" w:hAnsi="宋体" w:cs="宋体"/>
          <w:kern w:val="0"/>
          <w:sz w:val="24"/>
          <w:lang w:val="zh-CN"/>
        </w:rPr>
      </w:pPr>
      <w:bookmarkStart w:id="55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FD6E28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6BD95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8"/>
    <w:p w14:paraId="0788C92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B23067B">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3F8412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C743E3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DA5BAF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8AC552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69B2B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ED4753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786FF7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E27570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79535E4">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87DABA1">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26BD3E9">
      <w:pPr>
        <w:spacing w:line="360" w:lineRule="auto"/>
        <w:ind w:right="420"/>
        <w:rPr>
          <w:rFonts w:ascii="宋体" w:hAnsi="宋体" w:cs="宋体"/>
          <w:sz w:val="24"/>
        </w:rPr>
      </w:pPr>
      <w:r>
        <w:rPr>
          <w:rFonts w:hint="eastAsia" w:ascii="宋体" w:hAnsi="宋体" w:cs="宋体"/>
          <w:sz w:val="24"/>
        </w:rPr>
        <w:t>注：按本格式和要求提供。</w:t>
      </w:r>
    </w:p>
    <w:p w14:paraId="69C9378F">
      <w:pPr>
        <w:autoSpaceDE w:val="0"/>
        <w:autoSpaceDN w:val="0"/>
        <w:jc w:val="center"/>
        <w:rPr>
          <w:rFonts w:ascii="宋体" w:hAnsi="宋体" w:cs="宋体"/>
          <w:b/>
          <w:spacing w:val="6"/>
          <w:sz w:val="32"/>
          <w:szCs w:val="32"/>
        </w:rPr>
      </w:pPr>
    </w:p>
    <w:p w14:paraId="50EA498B">
      <w:pPr>
        <w:autoSpaceDE w:val="0"/>
        <w:autoSpaceDN w:val="0"/>
        <w:jc w:val="center"/>
        <w:rPr>
          <w:rFonts w:ascii="宋体" w:hAnsi="宋体" w:cs="宋体"/>
          <w:b/>
          <w:spacing w:val="6"/>
          <w:sz w:val="32"/>
          <w:szCs w:val="32"/>
        </w:rPr>
      </w:pPr>
    </w:p>
    <w:p w14:paraId="4A9E71A3">
      <w:pPr>
        <w:autoSpaceDE w:val="0"/>
        <w:autoSpaceDN w:val="0"/>
        <w:jc w:val="center"/>
        <w:rPr>
          <w:rFonts w:ascii="宋体" w:hAnsi="宋体" w:cs="宋体"/>
          <w:b/>
          <w:spacing w:val="6"/>
          <w:sz w:val="32"/>
          <w:szCs w:val="32"/>
        </w:rPr>
      </w:pPr>
    </w:p>
    <w:p w14:paraId="5D46545D">
      <w:pPr>
        <w:autoSpaceDE w:val="0"/>
        <w:autoSpaceDN w:val="0"/>
        <w:jc w:val="center"/>
        <w:rPr>
          <w:rFonts w:ascii="宋体" w:hAnsi="宋体" w:cs="宋体"/>
          <w:b/>
          <w:spacing w:val="6"/>
          <w:sz w:val="32"/>
          <w:szCs w:val="32"/>
        </w:rPr>
      </w:pPr>
    </w:p>
    <w:p w14:paraId="25A1A974">
      <w:pPr>
        <w:autoSpaceDE w:val="0"/>
        <w:autoSpaceDN w:val="0"/>
        <w:jc w:val="center"/>
        <w:rPr>
          <w:rFonts w:ascii="宋体" w:hAnsi="宋体" w:cs="宋体"/>
          <w:b/>
          <w:spacing w:val="6"/>
          <w:sz w:val="32"/>
          <w:szCs w:val="32"/>
        </w:rPr>
      </w:pPr>
    </w:p>
    <w:p w14:paraId="06C345C0">
      <w:pPr>
        <w:autoSpaceDE w:val="0"/>
        <w:autoSpaceDN w:val="0"/>
        <w:jc w:val="center"/>
        <w:rPr>
          <w:rFonts w:ascii="宋体" w:hAnsi="宋体" w:cs="宋体"/>
          <w:b/>
          <w:spacing w:val="6"/>
          <w:sz w:val="32"/>
          <w:szCs w:val="32"/>
        </w:rPr>
      </w:pPr>
    </w:p>
    <w:p w14:paraId="17B84F5C">
      <w:pPr>
        <w:autoSpaceDE w:val="0"/>
        <w:autoSpaceDN w:val="0"/>
        <w:jc w:val="center"/>
        <w:rPr>
          <w:rFonts w:ascii="宋体" w:hAnsi="宋体" w:cs="宋体"/>
          <w:b/>
          <w:spacing w:val="6"/>
          <w:sz w:val="32"/>
          <w:szCs w:val="32"/>
        </w:rPr>
      </w:pPr>
    </w:p>
    <w:p w14:paraId="6DBF96CC">
      <w:pPr>
        <w:autoSpaceDE w:val="0"/>
        <w:autoSpaceDN w:val="0"/>
        <w:jc w:val="center"/>
        <w:rPr>
          <w:rFonts w:ascii="宋体" w:hAnsi="宋体" w:cs="宋体"/>
          <w:b/>
          <w:spacing w:val="6"/>
          <w:sz w:val="32"/>
          <w:szCs w:val="32"/>
        </w:rPr>
      </w:pPr>
    </w:p>
    <w:p w14:paraId="19E7C9EE">
      <w:pPr>
        <w:autoSpaceDE w:val="0"/>
        <w:autoSpaceDN w:val="0"/>
        <w:jc w:val="center"/>
        <w:rPr>
          <w:rFonts w:ascii="宋体" w:hAnsi="宋体" w:cs="宋体"/>
          <w:b/>
          <w:spacing w:val="6"/>
          <w:sz w:val="32"/>
          <w:szCs w:val="32"/>
        </w:rPr>
      </w:pPr>
    </w:p>
    <w:p w14:paraId="479143ED">
      <w:pPr>
        <w:autoSpaceDE w:val="0"/>
        <w:autoSpaceDN w:val="0"/>
        <w:jc w:val="center"/>
        <w:rPr>
          <w:rFonts w:ascii="宋体" w:hAnsi="宋体" w:cs="宋体"/>
          <w:b/>
          <w:spacing w:val="6"/>
          <w:sz w:val="32"/>
          <w:szCs w:val="32"/>
        </w:rPr>
      </w:pPr>
    </w:p>
    <w:p w14:paraId="2DBFBF95">
      <w:pPr>
        <w:autoSpaceDE w:val="0"/>
        <w:autoSpaceDN w:val="0"/>
        <w:jc w:val="center"/>
        <w:rPr>
          <w:rFonts w:ascii="宋体" w:hAnsi="宋体" w:cs="宋体"/>
          <w:b/>
          <w:spacing w:val="6"/>
          <w:sz w:val="32"/>
          <w:szCs w:val="32"/>
        </w:rPr>
      </w:pPr>
    </w:p>
    <w:p w14:paraId="1C27780A">
      <w:pPr>
        <w:autoSpaceDE w:val="0"/>
        <w:autoSpaceDN w:val="0"/>
        <w:jc w:val="center"/>
        <w:rPr>
          <w:rFonts w:ascii="宋体" w:hAnsi="宋体" w:cs="宋体"/>
          <w:b/>
          <w:spacing w:val="6"/>
          <w:sz w:val="32"/>
          <w:szCs w:val="32"/>
        </w:rPr>
      </w:pPr>
    </w:p>
    <w:p w14:paraId="656D30F1">
      <w:pPr>
        <w:autoSpaceDE w:val="0"/>
        <w:autoSpaceDN w:val="0"/>
        <w:jc w:val="center"/>
        <w:rPr>
          <w:rFonts w:ascii="宋体" w:hAnsi="宋体" w:cs="宋体"/>
          <w:b/>
          <w:spacing w:val="6"/>
          <w:sz w:val="32"/>
          <w:szCs w:val="32"/>
        </w:rPr>
      </w:pPr>
    </w:p>
    <w:p w14:paraId="497C1507">
      <w:pPr>
        <w:autoSpaceDE w:val="0"/>
        <w:autoSpaceDN w:val="0"/>
        <w:jc w:val="center"/>
        <w:rPr>
          <w:rFonts w:ascii="宋体" w:hAnsi="宋体" w:cs="宋体"/>
          <w:b/>
          <w:spacing w:val="6"/>
          <w:sz w:val="32"/>
          <w:szCs w:val="32"/>
        </w:rPr>
      </w:pPr>
    </w:p>
    <w:p w14:paraId="389AB7EB">
      <w:pPr>
        <w:autoSpaceDE w:val="0"/>
        <w:autoSpaceDN w:val="0"/>
        <w:jc w:val="center"/>
        <w:rPr>
          <w:rFonts w:ascii="宋体" w:hAnsi="宋体" w:cs="宋体"/>
          <w:b/>
          <w:spacing w:val="6"/>
          <w:sz w:val="32"/>
          <w:szCs w:val="32"/>
        </w:rPr>
      </w:pPr>
    </w:p>
    <w:p w14:paraId="77894DFE">
      <w:pPr>
        <w:autoSpaceDE w:val="0"/>
        <w:autoSpaceDN w:val="0"/>
        <w:jc w:val="center"/>
        <w:rPr>
          <w:rFonts w:ascii="宋体" w:hAnsi="宋体" w:cs="宋体"/>
          <w:b/>
          <w:spacing w:val="6"/>
          <w:sz w:val="32"/>
          <w:szCs w:val="32"/>
        </w:rPr>
      </w:pPr>
    </w:p>
    <w:p w14:paraId="4C9BFF62">
      <w:pPr>
        <w:autoSpaceDE w:val="0"/>
        <w:autoSpaceDN w:val="0"/>
        <w:jc w:val="center"/>
        <w:rPr>
          <w:rFonts w:ascii="宋体" w:hAnsi="宋体" w:cs="宋体"/>
          <w:b/>
          <w:spacing w:val="6"/>
          <w:sz w:val="32"/>
          <w:szCs w:val="32"/>
        </w:rPr>
      </w:pPr>
    </w:p>
    <w:p w14:paraId="2CFB593C">
      <w:pPr>
        <w:autoSpaceDE w:val="0"/>
        <w:autoSpaceDN w:val="0"/>
        <w:jc w:val="center"/>
        <w:rPr>
          <w:rFonts w:ascii="宋体" w:hAnsi="宋体" w:cs="宋体"/>
          <w:b/>
          <w:spacing w:val="6"/>
          <w:sz w:val="32"/>
          <w:szCs w:val="32"/>
        </w:rPr>
      </w:pPr>
    </w:p>
    <w:p w14:paraId="537173C1">
      <w:pPr>
        <w:autoSpaceDE w:val="0"/>
        <w:autoSpaceDN w:val="0"/>
        <w:jc w:val="center"/>
        <w:rPr>
          <w:rFonts w:ascii="宋体" w:hAnsi="宋体" w:cs="宋体"/>
          <w:b/>
          <w:spacing w:val="6"/>
          <w:sz w:val="32"/>
          <w:szCs w:val="32"/>
        </w:rPr>
      </w:pPr>
    </w:p>
    <w:p w14:paraId="7E1622F3">
      <w:pPr>
        <w:autoSpaceDE w:val="0"/>
        <w:autoSpaceDN w:val="0"/>
        <w:jc w:val="center"/>
        <w:rPr>
          <w:rFonts w:ascii="宋体" w:hAnsi="宋体" w:cs="宋体"/>
          <w:b/>
          <w:spacing w:val="6"/>
          <w:sz w:val="32"/>
          <w:szCs w:val="32"/>
        </w:rPr>
      </w:pPr>
    </w:p>
    <w:p w14:paraId="294427C1">
      <w:pPr>
        <w:autoSpaceDE w:val="0"/>
        <w:autoSpaceDN w:val="0"/>
        <w:jc w:val="center"/>
        <w:rPr>
          <w:rFonts w:ascii="宋体" w:hAnsi="宋体" w:cs="宋体"/>
          <w:b/>
          <w:spacing w:val="6"/>
          <w:sz w:val="32"/>
          <w:szCs w:val="32"/>
        </w:rPr>
      </w:pPr>
    </w:p>
    <w:p w14:paraId="2CA4D9EA">
      <w:pPr>
        <w:autoSpaceDE w:val="0"/>
        <w:autoSpaceDN w:val="0"/>
        <w:jc w:val="center"/>
        <w:rPr>
          <w:rFonts w:ascii="宋体" w:hAnsi="宋体" w:cs="宋体"/>
          <w:b/>
          <w:spacing w:val="6"/>
          <w:sz w:val="32"/>
          <w:szCs w:val="32"/>
        </w:rPr>
      </w:pPr>
    </w:p>
    <w:p w14:paraId="5A5712D9">
      <w:pPr>
        <w:autoSpaceDE w:val="0"/>
        <w:autoSpaceDN w:val="0"/>
        <w:jc w:val="center"/>
        <w:rPr>
          <w:rFonts w:ascii="宋体" w:hAnsi="宋体" w:cs="宋体"/>
          <w:b/>
          <w:spacing w:val="6"/>
          <w:sz w:val="32"/>
          <w:szCs w:val="32"/>
        </w:rPr>
      </w:pPr>
    </w:p>
    <w:p w14:paraId="383E6B70">
      <w:pPr>
        <w:autoSpaceDE w:val="0"/>
        <w:autoSpaceDN w:val="0"/>
        <w:jc w:val="center"/>
        <w:rPr>
          <w:rFonts w:ascii="宋体" w:hAnsi="宋体" w:cs="宋体"/>
          <w:b/>
          <w:spacing w:val="6"/>
          <w:sz w:val="32"/>
          <w:szCs w:val="32"/>
        </w:rPr>
      </w:pPr>
    </w:p>
    <w:p w14:paraId="253B7AA9">
      <w:pPr>
        <w:autoSpaceDE w:val="0"/>
        <w:autoSpaceDN w:val="0"/>
        <w:jc w:val="center"/>
        <w:rPr>
          <w:rFonts w:ascii="宋体" w:hAnsi="宋体" w:cs="宋体"/>
          <w:b/>
          <w:spacing w:val="6"/>
          <w:sz w:val="32"/>
          <w:szCs w:val="32"/>
        </w:rPr>
      </w:pPr>
    </w:p>
    <w:p w14:paraId="67322F57">
      <w:pPr>
        <w:autoSpaceDE w:val="0"/>
        <w:autoSpaceDN w:val="0"/>
        <w:jc w:val="center"/>
        <w:rPr>
          <w:rFonts w:ascii="宋体" w:hAnsi="宋体" w:cs="宋体"/>
          <w:b/>
          <w:spacing w:val="6"/>
          <w:sz w:val="32"/>
          <w:szCs w:val="32"/>
        </w:rPr>
      </w:pPr>
    </w:p>
    <w:p w14:paraId="68320B12">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42CDFFF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D7CF29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D1D218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FC45B3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5EDD4EB">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DF0817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38CD7D95">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E3780A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9"/>
    </w:p>
    <w:p w14:paraId="479C205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DF37872">
      <w:pPr>
        <w:snapToGrid w:val="0"/>
        <w:spacing w:line="360" w:lineRule="auto"/>
        <w:ind w:firstLine="576"/>
        <w:rPr>
          <w:rFonts w:ascii="宋体" w:hAnsi="宋体" w:cs="宋体"/>
          <w:u w:val="single"/>
        </w:rPr>
      </w:pPr>
      <w:r>
        <w:rPr>
          <w:rFonts w:hint="eastAsia" w:ascii="宋体" w:hAnsi="宋体" w:cs="宋体"/>
          <w:u w:val="single"/>
        </w:rPr>
        <w:t xml:space="preserve">                                                                                  </w:t>
      </w:r>
    </w:p>
    <w:p w14:paraId="69A72E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016BED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F6C6D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D22B960">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FD5F96B">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FAEA74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13FF21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2E3313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52501ED">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5D7A94A7">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B16556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BD3800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AB1DE08">
      <w:pPr>
        <w:spacing w:line="360" w:lineRule="auto"/>
        <w:ind w:right="420"/>
        <w:rPr>
          <w:rFonts w:ascii="宋体" w:hAnsi="宋体" w:cs="宋体"/>
          <w:sz w:val="24"/>
        </w:rPr>
      </w:pPr>
      <w:r>
        <w:rPr>
          <w:rFonts w:hint="eastAsia" w:ascii="宋体" w:hAnsi="宋体" w:cs="宋体"/>
          <w:sz w:val="24"/>
        </w:rPr>
        <w:t>注：按本格式和要求提供。</w:t>
      </w:r>
    </w:p>
    <w:p w14:paraId="61F02C45">
      <w:pPr>
        <w:autoSpaceDE w:val="0"/>
        <w:autoSpaceDN w:val="0"/>
        <w:jc w:val="center"/>
        <w:rPr>
          <w:rFonts w:ascii="宋体" w:hAnsi="宋体" w:cs="宋体"/>
          <w:b/>
          <w:spacing w:val="6"/>
          <w:sz w:val="32"/>
          <w:szCs w:val="32"/>
        </w:rPr>
      </w:pPr>
    </w:p>
    <w:p w14:paraId="43138466">
      <w:pPr>
        <w:autoSpaceDE w:val="0"/>
        <w:autoSpaceDN w:val="0"/>
        <w:jc w:val="center"/>
        <w:rPr>
          <w:rFonts w:ascii="宋体" w:hAnsi="宋体" w:cs="宋体"/>
          <w:b/>
          <w:spacing w:val="6"/>
          <w:sz w:val="32"/>
          <w:szCs w:val="32"/>
        </w:rPr>
      </w:pPr>
    </w:p>
    <w:p w14:paraId="14308DAB">
      <w:pPr>
        <w:autoSpaceDE w:val="0"/>
        <w:autoSpaceDN w:val="0"/>
        <w:jc w:val="center"/>
        <w:rPr>
          <w:rFonts w:ascii="宋体" w:hAnsi="宋体" w:cs="宋体"/>
          <w:b/>
          <w:spacing w:val="6"/>
          <w:sz w:val="32"/>
          <w:szCs w:val="32"/>
        </w:rPr>
      </w:pPr>
    </w:p>
    <w:p w14:paraId="058EFB4E">
      <w:pPr>
        <w:autoSpaceDE w:val="0"/>
        <w:autoSpaceDN w:val="0"/>
        <w:jc w:val="center"/>
        <w:rPr>
          <w:rFonts w:ascii="宋体" w:hAnsi="宋体" w:cs="宋体"/>
          <w:b/>
          <w:spacing w:val="6"/>
          <w:sz w:val="32"/>
          <w:szCs w:val="32"/>
        </w:rPr>
      </w:pPr>
    </w:p>
    <w:p w14:paraId="4F4F8D96">
      <w:pPr>
        <w:autoSpaceDE w:val="0"/>
        <w:autoSpaceDN w:val="0"/>
        <w:jc w:val="center"/>
        <w:rPr>
          <w:rFonts w:ascii="宋体" w:hAnsi="宋体" w:cs="宋体"/>
          <w:b/>
          <w:spacing w:val="6"/>
          <w:sz w:val="32"/>
          <w:szCs w:val="32"/>
        </w:rPr>
      </w:pPr>
    </w:p>
    <w:p w14:paraId="43B2DCFE">
      <w:pPr>
        <w:autoSpaceDE w:val="0"/>
        <w:autoSpaceDN w:val="0"/>
        <w:jc w:val="center"/>
        <w:rPr>
          <w:rFonts w:ascii="宋体" w:hAnsi="宋体" w:cs="宋体"/>
          <w:b/>
          <w:spacing w:val="6"/>
          <w:sz w:val="32"/>
          <w:szCs w:val="32"/>
        </w:rPr>
      </w:pPr>
    </w:p>
    <w:p w14:paraId="425CA7BA">
      <w:pPr>
        <w:autoSpaceDE w:val="0"/>
        <w:autoSpaceDN w:val="0"/>
        <w:jc w:val="center"/>
        <w:rPr>
          <w:rFonts w:ascii="宋体" w:hAnsi="宋体" w:cs="宋体"/>
          <w:b/>
          <w:spacing w:val="6"/>
          <w:sz w:val="32"/>
          <w:szCs w:val="32"/>
        </w:rPr>
      </w:pPr>
    </w:p>
    <w:p w14:paraId="0BB9CC09">
      <w:pPr>
        <w:autoSpaceDE w:val="0"/>
        <w:autoSpaceDN w:val="0"/>
        <w:jc w:val="center"/>
        <w:rPr>
          <w:rFonts w:ascii="宋体" w:hAnsi="宋体" w:cs="宋体"/>
          <w:b/>
          <w:spacing w:val="6"/>
          <w:sz w:val="32"/>
          <w:szCs w:val="32"/>
        </w:rPr>
      </w:pPr>
    </w:p>
    <w:p w14:paraId="5E041CAC">
      <w:pPr>
        <w:autoSpaceDE w:val="0"/>
        <w:autoSpaceDN w:val="0"/>
        <w:jc w:val="center"/>
        <w:rPr>
          <w:rFonts w:ascii="宋体" w:hAnsi="宋体" w:cs="宋体"/>
          <w:b/>
          <w:spacing w:val="6"/>
          <w:sz w:val="32"/>
          <w:szCs w:val="32"/>
        </w:rPr>
      </w:pPr>
    </w:p>
    <w:p w14:paraId="393B9EC1">
      <w:pPr>
        <w:autoSpaceDE w:val="0"/>
        <w:autoSpaceDN w:val="0"/>
        <w:jc w:val="center"/>
        <w:rPr>
          <w:rFonts w:ascii="宋体" w:hAnsi="宋体" w:cs="宋体"/>
          <w:b/>
          <w:spacing w:val="6"/>
          <w:sz w:val="32"/>
          <w:szCs w:val="32"/>
        </w:rPr>
      </w:pPr>
    </w:p>
    <w:p w14:paraId="493AB410">
      <w:pPr>
        <w:autoSpaceDE w:val="0"/>
        <w:autoSpaceDN w:val="0"/>
        <w:jc w:val="center"/>
        <w:rPr>
          <w:rFonts w:ascii="宋体" w:hAnsi="宋体" w:cs="宋体"/>
          <w:b/>
          <w:spacing w:val="6"/>
          <w:sz w:val="32"/>
          <w:szCs w:val="32"/>
        </w:rPr>
      </w:pPr>
    </w:p>
    <w:p w14:paraId="790F3C7B">
      <w:pPr>
        <w:autoSpaceDE w:val="0"/>
        <w:autoSpaceDN w:val="0"/>
        <w:jc w:val="center"/>
        <w:rPr>
          <w:rFonts w:ascii="宋体" w:hAnsi="宋体" w:cs="宋体"/>
          <w:b/>
          <w:spacing w:val="6"/>
          <w:sz w:val="32"/>
          <w:szCs w:val="32"/>
        </w:rPr>
      </w:pPr>
    </w:p>
    <w:p w14:paraId="0A561691">
      <w:pPr>
        <w:autoSpaceDE w:val="0"/>
        <w:autoSpaceDN w:val="0"/>
        <w:jc w:val="center"/>
        <w:rPr>
          <w:rFonts w:ascii="宋体" w:hAnsi="宋体" w:cs="宋体"/>
          <w:b/>
          <w:spacing w:val="6"/>
          <w:sz w:val="32"/>
          <w:szCs w:val="32"/>
        </w:rPr>
      </w:pPr>
    </w:p>
    <w:p w14:paraId="39C444B6">
      <w:pPr>
        <w:autoSpaceDE w:val="0"/>
        <w:autoSpaceDN w:val="0"/>
        <w:jc w:val="center"/>
        <w:rPr>
          <w:rFonts w:ascii="宋体" w:hAnsi="宋体" w:cs="宋体"/>
          <w:b/>
          <w:spacing w:val="6"/>
          <w:sz w:val="32"/>
          <w:szCs w:val="32"/>
        </w:rPr>
      </w:pPr>
    </w:p>
    <w:p w14:paraId="31C1D3D3">
      <w:pPr>
        <w:autoSpaceDE w:val="0"/>
        <w:autoSpaceDN w:val="0"/>
        <w:jc w:val="center"/>
        <w:rPr>
          <w:rFonts w:ascii="宋体" w:hAnsi="宋体" w:cs="宋体"/>
          <w:b/>
          <w:spacing w:val="6"/>
          <w:sz w:val="32"/>
          <w:szCs w:val="32"/>
        </w:rPr>
      </w:pPr>
    </w:p>
    <w:p w14:paraId="299578BA">
      <w:pPr>
        <w:autoSpaceDE w:val="0"/>
        <w:autoSpaceDN w:val="0"/>
        <w:jc w:val="center"/>
        <w:rPr>
          <w:rFonts w:ascii="宋体" w:hAnsi="宋体" w:cs="宋体"/>
          <w:b/>
          <w:spacing w:val="6"/>
          <w:sz w:val="32"/>
          <w:szCs w:val="32"/>
        </w:rPr>
      </w:pPr>
    </w:p>
    <w:p w14:paraId="10C6C051">
      <w:pPr>
        <w:autoSpaceDE w:val="0"/>
        <w:autoSpaceDN w:val="0"/>
        <w:jc w:val="center"/>
        <w:rPr>
          <w:rFonts w:ascii="宋体" w:hAnsi="宋体" w:cs="宋体"/>
          <w:b/>
          <w:spacing w:val="6"/>
          <w:sz w:val="32"/>
          <w:szCs w:val="32"/>
        </w:rPr>
      </w:pPr>
    </w:p>
    <w:p w14:paraId="0E5324FF">
      <w:pPr>
        <w:autoSpaceDE w:val="0"/>
        <w:autoSpaceDN w:val="0"/>
        <w:jc w:val="center"/>
        <w:rPr>
          <w:rFonts w:ascii="宋体" w:hAnsi="宋体" w:cs="宋体"/>
          <w:b/>
          <w:spacing w:val="6"/>
          <w:sz w:val="32"/>
          <w:szCs w:val="32"/>
        </w:rPr>
      </w:pPr>
    </w:p>
    <w:p w14:paraId="07F36A5F">
      <w:pPr>
        <w:autoSpaceDE w:val="0"/>
        <w:autoSpaceDN w:val="0"/>
        <w:jc w:val="center"/>
        <w:rPr>
          <w:rFonts w:ascii="宋体" w:hAnsi="宋体" w:cs="宋体"/>
          <w:b/>
          <w:spacing w:val="6"/>
          <w:sz w:val="32"/>
          <w:szCs w:val="32"/>
        </w:rPr>
      </w:pPr>
    </w:p>
    <w:p w14:paraId="62FA63A8">
      <w:pPr>
        <w:autoSpaceDE w:val="0"/>
        <w:autoSpaceDN w:val="0"/>
        <w:jc w:val="center"/>
        <w:rPr>
          <w:rFonts w:ascii="宋体" w:hAnsi="宋体" w:cs="宋体"/>
          <w:b/>
          <w:spacing w:val="6"/>
          <w:sz w:val="32"/>
          <w:szCs w:val="32"/>
        </w:rPr>
      </w:pPr>
    </w:p>
    <w:p w14:paraId="7D856A3A">
      <w:pPr>
        <w:autoSpaceDE w:val="0"/>
        <w:autoSpaceDN w:val="0"/>
        <w:jc w:val="center"/>
        <w:rPr>
          <w:rFonts w:ascii="宋体" w:hAnsi="宋体" w:cs="宋体"/>
          <w:b/>
          <w:spacing w:val="6"/>
          <w:sz w:val="32"/>
          <w:szCs w:val="32"/>
        </w:rPr>
      </w:pPr>
    </w:p>
    <w:p w14:paraId="30AD1877">
      <w:pPr>
        <w:autoSpaceDE w:val="0"/>
        <w:autoSpaceDN w:val="0"/>
        <w:jc w:val="center"/>
        <w:rPr>
          <w:rFonts w:ascii="宋体" w:hAnsi="宋体" w:cs="宋体"/>
          <w:b/>
          <w:spacing w:val="6"/>
          <w:sz w:val="32"/>
          <w:szCs w:val="32"/>
        </w:rPr>
      </w:pPr>
    </w:p>
    <w:p w14:paraId="5577A30D">
      <w:pPr>
        <w:autoSpaceDE w:val="0"/>
        <w:autoSpaceDN w:val="0"/>
        <w:jc w:val="center"/>
        <w:rPr>
          <w:rFonts w:ascii="宋体" w:hAnsi="宋体" w:cs="宋体"/>
          <w:b/>
          <w:spacing w:val="6"/>
          <w:sz w:val="32"/>
          <w:szCs w:val="32"/>
        </w:rPr>
      </w:pPr>
    </w:p>
    <w:p w14:paraId="594227DF">
      <w:pPr>
        <w:autoSpaceDE w:val="0"/>
        <w:autoSpaceDN w:val="0"/>
        <w:jc w:val="center"/>
        <w:rPr>
          <w:rFonts w:ascii="宋体" w:hAnsi="宋体" w:cs="宋体"/>
          <w:b/>
          <w:spacing w:val="6"/>
          <w:sz w:val="32"/>
          <w:szCs w:val="32"/>
        </w:rPr>
      </w:pPr>
    </w:p>
    <w:p w14:paraId="6CBE8D84">
      <w:pPr>
        <w:autoSpaceDE w:val="0"/>
        <w:autoSpaceDN w:val="0"/>
        <w:jc w:val="center"/>
        <w:rPr>
          <w:rFonts w:ascii="宋体" w:hAnsi="宋体" w:cs="宋体"/>
          <w:b/>
          <w:spacing w:val="6"/>
          <w:sz w:val="32"/>
          <w:szCs w:val="32"/>
        </w:rPr>
      </w:pPr>
    </w:p>
    <w:p w14:paraId="74A934C7">
      <w:pPr>
        <w:autoSpaceDE w:val="0"/>
        <w:autoSpaceDN w:val="0"/>
        <w:jc w:val="center"/>
        <w:rPr>
          <w:rFonts w:ascii="宋体" w:hAnsi="宋体" w:cs="宋体"/>
          <w:b/>
          <w:spacing w:val="6"/>
          <w:sz w:val="32"/>
          <w:szCs w:val="32"/>
        </w:rPr>
      </w:pPr>
    </w:p>
    <w:p w14:paraId="591A7D6B">
      <w:pPr>
        <w:autoSpaceDE w:val="0"/>
        <w:autoSpaceDN w:val="0"/>
        <w:jc w:val="center"/>
        <w:rPr>
          <w:rFonts w:ascii="宋体" w:hAnsi="宋体" w:cs="宋体"/>
          <w:b/>
          <w:spacing w:val="6"/>
          <w:sz w:val="32"/>
          <w:szCs w:val="32"/>
        </w:rPr>
      </w:pPr>
    </w:p>
    <w:p w14:paraId="0C3CE984">
      <w:pPr>
        <w:autoSpaceDE w:val="0"/>
        <w:autoSpaceDN w:val="0"/>
        <w:jc w:val="center"/>
        <w:rPr>
          <w:rFonts w:ascii="宋体" w:hAnsi="宋体" w:cs="宋体"/>
          <w:b/>
          <w:spacing w:val="6"/>
          <w:sz w:val="32"/>
          <w:szCs w:val="32"/>
        </w:rPr>
      </w:pPr>
    </w:p>
    <w:p w14:paraId="35709B83">
      <w:pPr>
        <w:widowControl/>
        <w:adjustRightInd/>
        <w:jc w:val="left"/>
        <w:rPr>
          <w:rFonts w:ascii="宋体" w:hAnsi="宋体" w:cs="宋体"/>
          <w:b/>
          <w:kern w:val="0"/>
          <w:sz w:val="32"/>
          <w:szCs w:val="32"/>
        </w:rPr>
      </w:pPr>
      <w:r>
        <w:rPr>
          <w:rFonts w:ascii="宋体" w:hAnsi="宋体" w:cs="宋体"/>
          <w:b/>
          <w:kern w:val="0"/>
          <w:sz w:val="32"/>
          <w:szCs w:val="32"/>
        </w:rPr>
        <w:br w:type="page"/>
      </w:r>
    </w:p>
    <w:p w14:paraId="66928729">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09B3E419">
      <w:pPr>
        <w:spacing w:line="360" w:lineRule="auto"/>
        <w:jc w:val="center"/>
        <w:rPr>
          <w:rFonts w:ascii="宋体" w:hAnsi="宋体" w:cs="宋体"/>
          <w:sz w:val="24"/>
          <w:u w:val="single"/>
        </w:rPr>
      </w:pPr>
    </w:p>
    <w:p w14:paraId="4BEEE5B4">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3BBDD60F">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199A4E74">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1960D43">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DEBAD32">
      <w:pPr>
        <w:spacing w:line="360" w:lineRule="auto"/>
        <w:ind w:firstLine="480" w:firstLineChars="200"/>
        <w:rPr>
          <w:rFonts w:ascii="宋体" w:hAnsi="宋体" w:cs="宋体"/>
          <w:sz w:val="24"/>
        </w:rPr>
      </w:pPr>
      <w:r>
        <w:rPr>
          <w:rFonts w:hint="eastAsia" w:ascii="宋体" w:hAnsi="宋体" w:cs="宋体"/>
          <w:sz w:val="24"/>
        </w:rPr>
        <w:t>……</w:t>
      </w:r>
    </w:p>
    <w:p w14:paraId="3314A16F">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DAB25DA">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DC2A38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5154FFD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6C79283">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399CC5B9">
      <w:pPr>
        <w:spacing w:line="360" w:lineRule="auto"/>
        <w:ind w:right="420" w:firstLine="480" w:firstLineChars="200"/>
        <w:rPr>
          <w:rFonts w:ascii="宋体" w:hAnsi="宋体" w:cs="宋体"/>
          <w:sz w:val="24"/>
        </w:rPr>
      </w:pPr>
      <w:r>
        <w:rPr>
          <w:rFonts w:hint="eastAsia" w:ascii="宋体" w:hAnsi="宋体" w:cs="宋体"/>
          <w:sz w:val="24"/>
        </w:rPr>
        <w:t>注：</w:t>
      </w:r>
    </w:p>
    <w:p w14:paraId="13B5CEFA">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97A2EE7">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8DB7F5">
      <w:pPr>
        <w:spacing w:line="360" w:lineRule="auto"/>
        <w:jc w:val="left"/>
        <w:rPr>
          <w:rFonts w:hint="eastAsia" w:ascii="宋体" w:hAnsi="宋体" w:cs="宋体"/>
          <w:b/>
          <w:sz w:val="32"/>
          <w:szCs w:val="32"/>
          <w:lang w:eastAsia="zh-CN"/>
        </w:rPr>
      </w:pPr>
    </w:p>
    <w:p w14:paraId="7DB4F9F0">
      <w:pPr>
        <w:spacing w:line="360" w:lineRule="auto"/>
        <w:jc w:val="left"/>
        <w:rPr>
          <w:rFonts w:hint="eastAsia" w:ascii="宋体" w:hAnsi="宋体" w:eastAsia="宋体" w:cs="宋体"/>
          <w:b/>
          <w:sz w:val="32"/>
          <w:szCs w:val="32"/>
          <w:highlight w:val="none"/>
          <w:lang w:eastAsia="zh-CN"/>
        </w:rPr>
      </w:pPr>
      <w:r>
        <w:rPr>
          <w:rFonts w:hint="eastAsia" w:ascii="宋体" w:hAnsi="宋体" w:cs="宋体"/>
          <w:b/>
          <w:sz w:val="32"/>
          <w:szCs w:val="32"/>
          <w:highlight w:val="none"/>
          <w:lang w:eastAsia="zh-CN"/>
        </w:rPr>
        <w:t>标的及所属行业：</w:t>
      </w:r>
    </w:p>
    <w:tbl>
      <w:tblPr>
        <w:tblStyle w:val="63"/>
        <w:tblW w:w="9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4"/>
        <w:gridCol w:w="5326"/>
        <w:gridCol w:w="2616"/>
      </w:tblGrid>
      <w:tr w14:paraId="259CE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7EB6AF73">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5945C4E4">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标的</w:t>
            </w:r>
            <w:r>
              <w:rPr>
                <w:rFonts w:hint="eastAsia" w:ascii="宋体" w:hAnsi="宋体" w:cs="宋体"/>
                <w:b/>
                <w:bCs/>
                <w:i w:val="0"/>
                <w:iCs w:val="0"/>
                <w:color w:val="000000"/>
                <w:kern w:val="0"/>
                <w:sz w:val="24"/>
                <w:szCs w:val="24"/>
                <w:u w:val="none"/>
                <w:lang w:val="en-US" w:eastAsia="zh-CN" w:bidi="ar"/>
              </w:rPr>
              <w:t>名称</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4C627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所属行业</w:t>
            </w:r>
          </w:p>
        </w:tc>
      </w:tr>
      <w:tr w14:paraId="627D0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5AB68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2F137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回转式机械格栅</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7A5C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41ADC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47822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64C6A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潜水提升泵</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948C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0D2CF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144FC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07573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污泥回流泵</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2159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5D958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3E0DC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61BDB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潜水搅拌机</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BE337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5648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6993A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5BDB6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液位控制器</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8835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1EB3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6A30D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79AF5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电磁流量计</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24A0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1F323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39026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28E83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鼓风机</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A102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2A4AF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412E3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6608B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微孔曝气器</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FF77F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1CC38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1C32A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4860E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生物填料</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D383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112D3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734AB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74B87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填料支架</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A889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3087A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0E584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490F6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布水装置</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C41D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785AB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638EF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5D06D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二沉池导流筒</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6E6D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242EB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3F9B7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6EF93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次氯酸钠投加装置</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5FB4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7A9C0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1E171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1F595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在线余氯控制系统</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A6EF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1A2F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10E95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40BC0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生物滤池废气处理装置</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10DC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4704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2E5F8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62B43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风机排气管道及支架</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EFF9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71CE1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775DB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1988F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系统管道管件及阀门</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42C6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6881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0AE0B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739FB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系统电缆及线管</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4697A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3F077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35C4DF5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19</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01E6E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电气控制系统</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77ED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7BB69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4CB586E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5C8F5E5B">
            <w:pPr>
              <w:pStyle w:val="626"/>
              <w:jc w:val="center"/>
              <w:rPr>
                <w:rFonts w:hint="eastAsia" w:ascii="Times New Roman" w:hAnsi="Times New Roman" w:eastAsia="宋体" w:cs="Times New Roman"/>
                <w:kern w:val="2"/>
                <w:sz w:val="24"/>
                <w:lang w:val="en-US" w:eastAsia="zh-CN" w:bidi="ar-SA"/>
              </w:rPr>
            </w:pPr>
            <w:r>
              <w:rPr>
                <w:rFonts w:hint="eastAsia"/>
              </w:rPr>
              <w:t>明渠流量计</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26C1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11B2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77E915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5F502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巴歇尔槽</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E7C2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bl>
    <w:p w14:paraId="11CB1FCC">
      <w:pPr>
        <w:jc w:val="both"/>
        <w:rPr>
          <w:rFonts w:hint="eastAsia" w:ascii="宋体" w:hAnsi="宋体" w:cs="宋体"/>
          <w:b/>
          <w:kern w:val="0"/>
          <w:sz w:val="44"/>
          <w:szCs w:val="44"/>
        </w:rPr>
      </w:pPr>
    </w:p>
    <w:p w14:paraId="13253B88">
      <w:pPr>
        <w:jc w:val="both"/>
        <w:rPr>
          <w:rFonts w:hint="eastAsia" w:ascii="宋体" w:hAnsi="宋体" w:cs="宋体"/>
          <w:b/>
          <w:kern w:val="0"/>
          <w:sz w:val="44"/>
          <w:szCs w:val="44"/>
        </w:rPr>
      </w:pPr>
    </w:p>
    <w:p w14:paraId="6E8E6097">
      <w:pPr>
        <w:jc w:val="both"/>
        <w:rPr>
          <w:rFonts w:hint="eastAsia" w:ascii="宋体" w:hAnsi="宋体" w:cs="宋体"/>
          <w:b/>
          <w:kern w:val="0"/>
          <w:sz w:val="44"/>
          <w:szCs w:val="44"/>
        </w:rPr>
      </w:pPr>
    </w:p>
    <w:p w14:paraId="16B715D7">
      <w:pPr>
        <w:jc w:val="both"/>
        <w:rPr>
          <w:rFonts w:hint="eastAsia" w:ascii="宋体" w:hAnsi="宋体" w:cs="宋体"/>
          <w:b/>
          <w:kern w:val="0"/>
          <w:sz w:val="44"/>
          <w:szCs w:val="44"/>
        </w:rPr>
      </w:pPr>
    </w:p>
    <w:p w14:paraId="6BD3961E">
      <w:pPr>
        <w:jc w:val="both"/>
        <w:rPr>
          <w:rFonts w:hint="eastAsia"/>
        </w:rPr>
      </w:pPr>
      <w:r>
        <w:rPr>
          <w:rFonts w:hint="eastAsia" w:ascii="宋体" w:hAnsi="宋体" w:cs="宋体"/>
          <w:b/>
          <w:kern w:val="0"/>
          <w:sz w:val="44"/>
          <w:szCs w:val="44"/>
        </w:rPr>
        <w:t>附件</w:t>
      </w:r>
      <w:r>
        <w:rPr>
          <w:rFonts w:hint="eastAsia" w:ascii="宋体" w:hAnsi="宋体" w:cs="宋体"/>
          <w:b/>
          <w:kern w:val="0"/>
          <w:sz w:val="44"/>
          <w:szCs w:val="44"/>
          <w:lang w:val="en-US" w:eastAsia="zh-CN"/>
        </w:rPr>
        <w:t>8</w:t>
      </w:r>
      <w:r>
        <w:rPr>
          <w:rFonts w:hint="eastAsia" w:ascii="宋体" w:hAnsi="宋体" w:cs="宋体"/>
          <w:b/>
          <w:kern w:val="0"/>
          <w:sz w:val="44"/>
          <w:szCs w:val="44"/>
        </w:rPr>
        <w:t>：中小企业划型标准</w:t>
      </w:r>
    </w:p>
    <w:p w14:paraId="45021C53">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5641C45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3332BAD1">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555A19AA">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09FD14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5CE76CF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51C0F9B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81FAB6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33BB41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433F92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A177D4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926CA3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A5DCB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164FBF1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06B304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73E86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6FD2AC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316251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FA86DC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205552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B7E29D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6F62672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54037FE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6123CD5F">
      <w:pPr>
        <w:pStyle w:val="61"/>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6E556A66">
      <w:pPr>
        <w:spacing w:line="360" w:lineRule="auto"/>
        <w:jc w:val="both"/>
        <w:rPr>
          <w:rFonts w:ascii="宋体" w:hAnsi="宋体" w:cs="宋体"/>
          <w:b/>
          <w:sz w:val="32"/>
          <w:szCs w:val="32"/>
        </w:rPr>
      </w:pPr>
    </w:p>
    <w:p w14:paraId="43645064">
      <w:pPr>
        <w:rPr>
          <w:rFonts w:hint="eastAsia" w:ascii="宋体" w:hAnsi="宋体" w:eastAsia="宋体" w:cs="仿宋_GB2312"/>
          <w:b/>
          <w:sz w:val="32"/>
          <w:szCs w:val="32"/>
          <w:highlight w:val="none"/>
        </w:rPr>
      </w:pPr>
      <w:r>
        <w:rPr>
          <w:rFonts w:hint="eastAsia" w:ascii="宋体" w:hAnsi="宋体" w:eastAsia="宋体" w:cs="仿宋_GB2312"/>
          <w:b/>
          <w:sz w:val="32"/>
          <w:szCs w:val="32"/>
          <w:highlight w:val="none"/>
        </w:rPr>
        <w:br w:type="page"/>
      </w:r>
    </w:p>
    <w:p w14:paraId="62CE8623">
      <w:pPr>
        <w:rPr>
          <w:b/>
          <w:sz w:val="24"/>
          <w:szCs w:val="24"/>
          <w:highlight w:val="none"/>
        </w:rPr>
      </w:pPr>
      <w:r>
        <w:rPr>
          <w:rFonts w:hint="eastAsia" w:ascii="宋体" w:hAnsi="宋体" w:eastAsia="宋体" w:cs="仿宋_GB2312"/>
          <w:b/>
          <w:sz w:val="32"/>
          <w:szCs w:val="32"/>
          <w:highlight w:val="none"/>
        </w:rPr>
        <w:t>附件</w:t>
      </w:r>
      <w:r>
        <w:rPr>
          <w:rFonts w:hint="eastAsia" w:ascii="宋体" w:hAnsi="宋体" w:eastAsia="宋体" w:cs="仿宋_GB2312"/>
          <w:b/>
          <w:sz w:val="32"/>
          <w:szCs w:val="32"/>
          <w:highlight w:val="none"/>
          <w:lang w:val="en-US" w:eastAsia="zh-CN"/>
        </w:rPr>
        <w:t>9</w:t>
      </w:r>
      <w:r>
        <w:rPr>
          <w:rFonts w:hint="eastAsia" w:ascii="宋体" w:hAnsi="宋体" w:eastAsia="宋体" w:cs="仿宋_GB2312"/>
          <w:b/>
          <w:sz w:val="32"/>
          <w:szCs w:val="32"/>
          <w:highlight w:val="none"/>
        </w:rPr>
        <w:t>：</w:t>
      </w:r>
    </w:p>
    <w:p w14:paraId="6F68F86B">
      <w:pPr>
        <w:spacing w:before="62"/>
        <w:ind w:left="2" w:right="101"/>
        <w:jc w:val="center"/>
        <w:rPr>
          <w:b/>
          <w:sz w:val="28"/>
          <w:highlight w:val="none"/>
        </w:rPr>
      </w:pPr>
      <w:r>
        <w:rPr>
          <w:b/>
          <w:sz w:val="28"/>
          <w:highlight w:val="none"/>
        </w:rPr>
        <w:t>政府采购活动现场确认声明书</w:t>
      </w:r>
    </w:p>
    <w:p w14:paraId="79FC4AE6">
      <w:pPr>
        <w:pStyle w:val="24"/>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浙江天平投资咨询有限公司</w:t>
      </w:r>
      <w:r>
        <w:rPr>
          <w:rFonts w:hint="eastAsia" w:ascii="宋体" w:hAnsi="宋体" w:eastAsia="宋体" w:cs="宋体"/>
          <w:sz w:val="24"/>
          <w:szCs w:val="24"/>
          <w:highlight w:val="none"/>
        </w:rPr>
        <w:t>：</w:t>
      </w:r>
    </w:p>
    <w:p w14:paraId="2056AF00">
      <w:pPr>
        <w:pStyle w:val="24"/>
        <w:tabs>
          <w:tab w:val="left" w:pos="3783"/>
          <w:tab w:val="left" w:pos="6276"/>
          <w:tab w:val="left" w:pos="8729"/>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本</w:t>
      </w:r>
      <w:r>
        <w:rPr>
          <w:rFonts w:hint="eastAsia" w:ascii="宋体" w:hAnsi="宋体" w:eastAsia="宋体" w:cs="宋体"/>
          <w:spacing w:val="11"/>
          <w:sz w:val="24"/>
          <w:szCs w:val="24"/>
          <w:highlight w:val="none"/>
        </w:rPr>
        <w:t>人</w:t>
      </w:r>
      <w:r>
        <w:rPr>
          <w:rFonts w:hint="eastAsia" w:ascii="宋体" w:hAnsi="宋体" w:eastAsia="宋体" w:cs="宋体"/>
          <w:spacing w:val="14"/>
          <w:sz w:val="24"/>
          <w:szCs w:val="24"/>
          <w:highlight w:val="none"/>
        </w:rPr>
        <w:t>经</w:t>
      </w:r>
      <w:r>
        <w:rPr>
          <w:rFonts w:hint="eastAsia" w:ascii="宋体" w:hAnsi="宋体" w:eastAsia="宋体" w:cs="宋体"/>
          <w:spacing w:val="11"/>
          <w:sz w:val="24"/>
          <w:szCs w:val="24"/>
          <w:highlight w:val="none"/>
        </w:rPr>
        <w:t>由</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单</w:t>
      </w:r>
      <w:r>
        <w:rPr>
          <w:rFonts w:hint="eastAsia" w:ascii="宋体" w:hAnsi="宋体" w:eastAsia="宋体" w:cs="宋体"/>
          <w:spacing w:val="14"/>
          <w:sz w:val="24"/>
          <w:szCs w:val="24"/>
          <w:highlight w:val="none"/>
          <w:u w:val="single"/>
        </w:rPr>
        <w:t>位）</w:t>
      </w:r>
      <w:r>
        <w:rPr>
          <w:rFonts w:hint="eastAsia" w:ascii="宋体" w:hAnsi="宋体" w:eastAsia="宋体" w:cs="宋体"/>
          <w:spacing w:val="14"/>
          <w:sz w:val="24"/>
          <w:szCs w:val="24"/>
          <w:highlight w:val="none"/>
        </w:rPr>
        <w:t>负</w:t>
      </w:r>
      <w:r>
        <w:rPr>
          <w:rFonts w:hint="eastAsia" w:ascii="宋体" w:hAnsi="宋体" w:eastAsia="宋体" w:cs="宋体"/>
          <w:spacing w:val="11"/>
          <w:sz w:val="24"/>
          <w:szCs w:val="24"/>
          <w:highlight w:val="none"/>
        </w:rPr>
        <w:t>责人</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姓</w:t>
      </w:r>
      <w:r>
        <w:rPr>
          <w:rFonts w:hint="eastAsia" w:ascii="宋体" w:hAnsi="宋体" w:eastAsia="宋体" w:cs="宋体"/>
          <w:spacing w:val="14"/>
          <w:sz w:val="24"/>
          <w:szCs w:val="24"/>
          <w:highlight w:val="none"/>
          <w:u w:val="single"/>
        </w:rPr>
        <w:t>名</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rPr>
        <w:t>合</w:t>
      </w:r>
      <w:r>
        <w:rPr>
          <w:rFonts w:hint="eastAsia" w:ascii="宋体" w:hAnsi="宋体" w:eastAsia="宋体" w:cs="宋体"/>
          <w:spacing w:val="11"/>
          <w:sz w:val="24"/>
          <w:szCs w:val="24"/>
          <w:highlight w:val="none"/>
        </w:rPr>
        <w:t>法</w:t>
      </w:r>
      <w:r>
        <w:rPr>
          <w:rFonts w:hint="eastAsia" w:ascii="宋体" w:hAnsi="宋体" w:eastAsia="宋体" w:cs="宋体"/>
          <w:spacing w:val="14"/>
          <w:sz w:val="24"/>
          <w:szCs w:val="24"/>
          <w:highlight w:val="none"/>
        </w:rPr>
        <w:t>授</w:t>
      </w:r>
      <w:r>
        <w:rPr>
          <w:rFonts w:hint="eastAsia" w:ascii="宋体" w:hAnsi="宋体" w:eastAsia="宋体" w:cs="宋体"/>
          <w:spacing w:val="11"/>
          <w:sz w:val="24"/>
          <w:szCs w:val="24"/>
          <w:highlight w:val="none"/>
        </w:rPr>
        <w:t>权</w:t>
      </w:r>
      <w:r>
        <w:rPr>
          <w:rFonts w:hint="eastAsia" w:ascii="宋体" w:hAnsi="宋体" w:eastAsia="宋体" w:cs="宋体"/>
          <w:spacing w:val="14"/>
          <w:sz w:val="24"/>
          <w:szCs w:val="24"/>
          <w:highlight w:val="none"/>
        </w:rPr>
        <w:t>参</w:t>
      </w:r>
      <w:r>
        <w:rPr>
          <w:rFonts w:hint="eastAsia" w:ascii="宋体" w:hAnsi="宋体" w:eastAsia="宋体" w:cs="宋体"/>
          <w:spacing w:val="11"/>
          <w:sz w:val="24"/>
          <w:szCs w:val="24"/>
          <w:highlight w:val="none"/>
        </w:rPr>
        <w:t>加</w:t>
      </w:r>
      <w:r>
        <w:rPr>
          <w:rFonts w:hint="eastAsia" w:ascii="宋体" w:hAnsi="宋体" w:eastAsia="宋体" w:cs="宋体"/>
          <w:spacing w:val="5"/>
          <w:sz w:val="24"/>
          <w:szCs w:val="24"/>
          <w:highlight w:val="none"/>
          <w:u w:val="single"/>
        </w:rPr>
        <w:t xml:space="preserve"> </w:t>
      </w:r>
      <w:r>
        <w:rPr>
          <w:rFonts w:hint="eastAsia" w:hAnsi="宋体" w:cs="宋体"/>
          <w:spacing w:val="5"/>
          <w:sz w:val="24"/>
          <w:szCs w:val="24"/>
          <w:highlight w:val="none"/>
          <w:u w:val="single"/>
          <w:lang w:eastAsia="zh-CN"/>
        </w:rPr>
        <w:t>桐庐县第二人民医院迁建项目污水处理系统采购项目</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u w:val="single"/>
        </w:rPr>
        <w:t>编号</w:t>
      </w:r>
      <w:r>
        <w:rPr>
          <w:rFonts w:hint="eastAsia" w:ascii="宋体" w:hAnsi="宋体" w:eastAsia="宋体" w:cs="宋体"/>
          <w:sz w:val="24"/>
          <w:szCs w:val="24"/>
          <w:highlight w:val="none"/>
          <w:u w:val="single"/>
        </w:rPr>
        <w:t>：</w:t>
      </w:r>
      <w:r>
        <w:rPr>
          <w:rFonts w:hint="eastAsia" w:hAnsi="宋体" w:cs="宋体"/>
          <w:sz w:val="24"/>
          <w:szCs w:val="24"/>
          <w:highlight w:val="none"/>
          <w:u w:val="single"/>
          <w:lang w:eastAsia="zh-CN"/>
        </w:rPr>
        <w:t>ZJTP-2024TLZFCG-06</w:t>
      </w:r>
      <w:r>
        <w:rPr>
          <w:rFonts w:hint="eastAsia" w:ascii="宋体" w:hAnsi="宋体" w:eastAsia="宋体" w:cs="宋体"/>
          <w:spacing w:val="-17"/>
          <w:sz w:val="24"/>
          <w:szCs w:val="24"/>
          <w:highlight w:val="none"/>
          <w:u w:val="single"/>
        </w:rPr>
        <w:t xml:space="preserve">） </w:t>
      </w:r>
      <w:r>
        <w:rPr>
          <w:rFonts w:hint="eastAsia" w:ascii="宋体" w:hAnsi="宋体" w:eastAsia="宋体" w:cs="宋体"/>
          <w:spacing w:val="14"/>
          <w:sz w:val="24"/>
          <w:szCs w:val="24"/>
          <w:highlight w:val="none"/>
        </w:rPr>
        <w:t>政</w:t>
      </w:r>
      <w:r>
        <w:rPr>
          <w:rFonts w:hint="eastAsia" w:ascii="宋体" w:hAnsi="宋体" w:eastAsia="宋体" w:cs="宋体"/>
          <w:spacing w:val="16"/>
          <w:sz w:val="24"/>
          <w:szCs w:val="24"/>
          <w:highlight w:val="none"/>
        </w:rPr>
        <w:t>府</w:t>
      </w:r>
      <w:r>
        <w:rPr>
          <w:rFonts w:hint="eastAsia" w:ascii="宋体" w:hAnsi="宋体" w:eastAsia="宋体" w:cs="宋体"/>
          <w:spacing w:val="14"/>
          <w:sz w:val="24"/>
          <w:szCs w:val="24"/>
          <w:highlight w:val="none"/>
        </w:rPr>
        <w:t>采购活</w:t>
      </w:r>
      <w:r>
        <w:rPr>
          <w:rFonts w:hint="eastAsia" w:ascii="宋体" w:hAnsi="宋体" w:eastAsia="宋体" w:cs="宋体"/>
          <w:spacing w:val="16"/>
          <w:sz w:val="24"/>
          <w:szCs w:val="24"/>
          <w:highlight w:val="none"/>
        </w:rPr>
        <w:t>动</w:t>
      </w:r>
      <w:r>
        <w:rPr>
          <w:rFonts w:hint="eastAsia" w:ascii="宋体" w:hAnsi="宋体" w:eastAsia="宋体" w:cs="宋体"/>
          <w:spacing w:val="14"/>
          <w:sz w:val="24"/>
          <w:szCs w:val="24"/>
          <w:highlight w:val="none"/>
        </w:rPr>
        <w:t>，经</w:t>
      </w:r>
      <w:r>
        <w:rPr>
          <w:rFonts w:hint="eastAsia" w:ascii="宋体" w:hAnsi="宋体" w:eastAsia="宋体" w:cs="宋体"/>
          <w:spacing w:val="16"/>
          <w:sz w:val="24"/>
          <w:szCs w:val="24"/>
          <w:highlight w:val="none"/>
        </w:rPr>
        <w:t>与</w:t>
      </w:r>
      <w:r>
        <w:rPr>
          <w:rFonts w:hint="eastAsia" w:ascii="宋体" w:hAnsi="宋体" w:eastAsia="宋体" w:cs="宋体"/>
          <w:spacing w:val="14"/>
          <w:sz w:val="24"/>
          <w:szCs w:val="24"/>
          <w:highlight w:val="none"/>
        </w:rPr>
        <w:t>本单位</w:t>
      </w:r>
      <w:r>
        <w:rPr>
          <w:rFonts w:hint="eastAsia" w:ascii="宋体" w:hAnsi="宋体" w:eastAsia="宋体" w:cs="宋体"/>
          <w:spacing w:val="16"/>
          <w:sz w:val="24"/>
          <w:szCs w:val="24"/>
          <w:highlight w:val="none"/>
        </w:rPr>
        <w:t>法</w:t>
      </w:r>
      <w:r>
        <w:rPr>
          <w:rFonts w:hint="eastAsia" w:ascii="宋体" w:hAnsi="宋体" w:eastAsia="宋体" w:cs="宋体"/>
          <w:spacing w:val="14"/>
          <w:sz w:val="24"/>
          <w:szCs w:val="24"/>
          <w:highlight w:val="none"/>
        </w:rPr>
        <w:t>人代</w:t>
      </w:r>
      <w:r>
        <w:rPr>
          <w:rFonts w:hint="eastAsia" w:ascii="宋体" w:hAnsi="宋体" w:eastAsia="宋体" w:cs="宋体"/>
          <w:spacing w:val="16"/>
          <w:sz w:val="24"/>
          <w:szCs w:val="24"/>
          <w:highlight w:val="none"/>
        </w:rPr>
        <w:t>表</w:t>
      </w:r>
      <w:r>
        <w:rPr>
          <w:rFonts w:hint="eastAsia" w:ascii="宋体" w:hAnsi="宋体" w:eastAsia="宋体" w:cs="宋体"/>
          <w:spacing w:val="14"/>
          <w:sz w:val="24"/>
          <w:szCs w:val="24"/>
          <w:highlight w:val="none"/>
        </w:rPr>
        <w:t>（负责</w:t>
      </w:r>
      <w:r>
        <w:rPr>
          <w:rFonts w:hint="eastAsia" w:ascii="宋体" w:hAnsi="宋体" w:eastAsia="宋体" w:cs="宋体"/>
          <w:spacing w:val="16"/>
          <w:sz w:val="24"/>
          <w:szCs w:val="24"/>
          <w:highlight w:val="none"/>
        </w:rPr>
        <w:t>人</w:t>
      </w:r>
      <w:r>
        <w:rPr>
          <w:rFonts w:hint="eastAsia" w:ascii="宋体" w:hAnsi="宋体" w:eastAsia="宋体" w:cs="宋体"/>
          <w:spacing w:val="14"/>
          <w:sz w:val="24"/>
          <w:szCs w:val="24"/>
          <w:highlight w:val="none"/>
        </w:rPr>
        <w:t>）联</w:t>
      </w:r>
      <w:r>
        <w:rPr>
          <w:rFonts w:hint="eastAsia" w:ascii="宋体" w:hAnsi="宋体" w:eastAsia="宋体" w:cs="宋体"/>
          <w:spacing w:val="16"/>
          <w:sz w:val="24"/>
          <w:szCs w:val="24"/>
          <w:highlight w:val="none"/>
        </w:rPr>
        <w:t>系</w:t>
      </w:r>
      <w:r>
        <w:rPr>
          <w:rFonts w:hint="eastAsia" w:ascii="宋体" w:hAnsi="宋体" w:eastAsia="宋体" w:cs="宋体"/>
          <w:spacing w:val="14"/>
          <w:sz w:val="24"/>
          <w:szCs w:val="24"/>
          <w:highlight w:val="none"/>
        </w:rPr>
        <w:t>确认</w:t>
      </w:r>
      <w:r>
        <w:rPr>
          <w:rFonts w:hint="eastAsia" w:ascii="宋体" w:hAnsi="宋体" w:eastAsia="宋体" w:cs="宋体"/>
          <w:spacing w:val="16"/>
          <w:sz w:val="24"/>
          <w:szCs w:val="24"/>
          <w:highlight w:val="none"/>
        </w:rPr>
        <w:t>，</w:t>
      </w:r>
      <w:r>
        <w:rPr>
          <w:rFonts w:hint="eastAsia" w:ascii="宋体" w:hAnsi="宋体" w:eastAsia="宋体" w:cs="宋体"/>
          <w:spacing w:val="14"/>
          <w:sz w:val="24"/>
          <w:szCs w:val="24"/>
          <w:highlight w:val="none"/>
        </w:rPr>
        <w:t>现就有</w:t>
      </w:r>
      <w:r>
        <w:rPr>
          <w:rFonts w:hint="eastAsia" w:ascii="宋体" w:hAnsi="宋体" w:eastAsia="宋体" w:cs="宋体"/>
          <w:spacing w:val="16"/>
          <w:sz w:val="24"/>
          <w:szCs w:val="24"/>
          <w:highlight w:val="none"/>
        </w:rPr>
        <w:t>关</w:t>
      </w:r>
      <w:r>
        <w:rPr>
          <w:rFonts w:hint="eastAsia" w:ascii="宋体" w:hAnsi="宋体" w:eastAsia="宋体" w:cs="宋体"/>
          <w:spacing w:val="14"/>
          <w:sz w:val="24"/>
          <w:szCs w:val="24"/>
          <w:highlight w:val="none"/>
        </w:rPr>
        <w:t>公平</w:t>
      </w:r>
      <w:r>
        <w:rPr>
          <w:rFonts w:hint="eastAsia" w:ascii="宋体" w:hAnsi="宋体" w:eastAsia="宋体" w:cs="宋体"/>
          <w:spacing w:val="16"/>
          <w:sz w:val="24"/>
          <w:szCs w:val="24"/>
          <w:highlight w:val="none"/>
        </w:rPr>
        <w:t>竞</w:t>
      </w:r>
      <w:r>
        <w:rPr>
          <w:rFonts w:hint="eastAsia" w:ascii="宋体" w:hAnsi="宋体" w:eastAsia="宋体" w:cs="宋体"/>
          <w:spacing w:val="14"/>
          <w:sz w:val="24"/>
          <w:szCs w:val="24"/>
          <w:highlight w:val="none"/>
        </w:rPr>
        <w:t>争事项</w:t>
      </w:r>
      <w:r>
        <w:rPr>
          <w:rFonts w:hint="eastAsia" w:ascii="宋体" w:hAnsi="宋体" w:eastAsia="宋体" w:cs="宋体"/>
          <w:spacing w:val="16"/>
          <w:sz w:val="24"/>
          <w:szCs w:val="24"/>
          <w:highlight w:val="none"/>
        </w:rPr>
        <w:t>郑</w:t>
      </w:r>
      <w:r>
        <w:rPr>
          <w:rFonts w:hint="eastAsia" w:ascii="宋体" w:hAnsi="宋体" w:eastAsia="宋体" w:cs="宋体"/>
          <w:spacing w:val="14"/>
          <w:sz w:val="24"/>
          <w:szCs w:val="24"/>
          <w:highlight w:val="none"/>
        </w:rPr>
        <w:t>重</w:t>
      </w:r>
      <w:r>
        <w:rPr>
          <w:rFonts w:hint="eastAsia" w:ascii="宋体" w:hAnsi="宋体" w:eastAsia="宋体" w:cs="宋体"/>
          <w:sz w:val="24"/>
          <w:szCs w:val="24"/>
          <w:highlight w:val="none"/>
        </w:rPr>
        <w:t>声</w:t>
      </w:r>
      <w:r>
        <w:rPr>
          <w:rFonts w:hint="eastAsia" w:ascii="宋体" w:hAnsi="宋体" w:eastAsia="宋体" w:cs="宋体"/>
          <w:spacing w:val="11"/>
          <w:sz w:val="24"/>
          <w:szCs w:val="24"/>
          <w:highlight w:val="none"/>
        </w:rPr>
        <w:t>明</w:t>
      </w:r>
      <w:r>
        <w:rPr>
          <w:rFonts w:hint="eastAsia" w:ascii="宋体" w:hAnsi="宋体" w:eastAsia="宋体" w:cs="宋体"/>
          <w:spacing w:val="14"/>
          <w:sz w:val="24"/>
          <w:szCs w:val="24"/>
          <w:highlight w:val="none"/>
        </w:rPr>
        <w:t>如</w:t>
      </w:r>
      <w:r>
        <w:rPr>
          <w:rFonts w:hint="eastAsia" w:ascii="宋体" w:hAnsi="宋体" w:eastAsia="宋体" w:cs="宋体"/>
          <w:spacing w:val="11"/>
          <w:sz w:val="24"/>
          <w:szCs w:val="24"/>
          <w:highlight w:val="none"/>
        </w:rPr>
        <w:t>下</w:t>
      </w:r>
      <w:r>
        <w:rPr>
          <w:rFonts w:hint="eastAsia" w:ascii="宋体" w:hAnsi="宋体" w:eastAsia="宋体" w:cs="宋体"/>
          <w:sz w:val="24"/>
          <w:szCs w:val="24"/>
          <w:highlight w:val="none"/>
        </w:rPr>
        <w:t>：</w:t>
      </w:r>
    </w:p>
    <w:p w14:paraId="3487D11F">
      <w:pPr>
        <w:pStyle w:val="24"/>
        <w:tabs>
          <w:tab w:val="left" w:pos="1987"/>
          <w:tab w:val="left" w:pos="3876"/>
          <w:tab w:val="left" w:pos="7750"/>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一、本单位与采购人之间</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□不存在利害关系</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 xml:space="preserve">： </w:t>
      </w:r>
      <w:r>
        <w:rPr>
          <w:rFonts w:hint="eastAsia" w:ascii="宋体" w:hAnsi="宋体" w:eastAsia="宋体" w:cs="宋体"/>
          <w:sz w:val="24"/>
          <w:szCs w:val="24"/>
          <w:highlight w:val="none"/>
        </w:rPr>
        <w:t>A.投资关系B.行政隶属关系</w:t>
      </w:r>
      <w:r>
        <w:rPr>
          <w:rFonts w:hint="eastAsia" w:ascii="宋体" w:hAnsi="宋体" w:eastAsia="宋体" w:cs="宋体"/>
          <w:sz w:val="24"/>
          <w:szCs w:val="24"/>
          <w:highlight w:val="none"/>
        </w:rPr>
        <w:tab/>
      </w:r>
      <w:r>
        <w:rPr>
          <w:rFonts w:hint="eastAsia" w:ascii="宋体" w:hAnsi="宋体" w:eastAsia="宋体" w:cs="宋体"/>
          <w:sz w:val="24"/>
          <w:szCs w:val="24"/>
          <w:highlight w:val="none"/>
        </w:rPr>
        <w:t>C.业务指导关系</w:t>
      </w:r>
    </w:p>
    <w:p w14:paraId="2B624371">
      <w:pPr>
        <w:pStyle w:val="24"/>
        <w:tabs>
          <w:tab w:val="left" w:pos="7761"/>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D.其他可能影响采购公正的利害关系</w:t>
      </w:r>
      <w:r>
        <w:rPr>
          <w:rFonts w:hint="eastAsia" w:ascii="宋体" w:hAnsi="宋体" w:eastAsia="宋体" w:cs="宋体"/>
          <w:sz w:val="24"/>
          <w:szCs w:val="24"/>
          <w:highlight w:val="none"/>
          <w:u w:val="single"/>
        </w:rPr>
        <w:t>（如有，请如实说明）</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p>
    <w:p w14:paraId="3F9166ED">
      <w:pPr>
        <w:pStyle w:val="24"/>
        <w:tabs>
          <w:tab w:val="left" w:pos="4097"/>
          <w:tab w:val="left" w:pos="8717"/>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二</w:t>
      </w:r>
      <w:r>
        <w:rPr>
          <w:rFonts w:hint="eastAsia" w:ascii="宋体" w:hAnsi="宋体" w:eastAsia="宋体" w:cs="宋体"/>
          <w:sz w:val="24"/>
          <w:szCs w:val="24"/>
          <w:highlight w:val="none"/>
        </w:rPr>
        <w:t>、现已清楚知道参加本项目采购活动的其他所有供应商名称</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rPr>
        <w:t>本单位</w:t>
      </w:r>
      <w:r>
        <w:rPr>
          <w:rFonts w:hint="eastAsia" w:ascii="宋体" w:hAnsi="宋体" w:eastAsia="宋体" w:cs="宋体"/>
          <w:spacing w:val="-10"/>
          <w:sz w:val="24"/>
          <w:szCs w:val="24"/>
          <w:highlight w:val="none"/>
        </w:rPr>
        <w:t xml:space="preserve"> </w:t>
      </w:r>
      <w:r>
        <w:rPr>
          <w:rFonts w:hint="eastAsia" w:ascii="宋体" w:hAnsi="宋体" w:eastAsia="宋体" w:cs="宋体"/>
          <w:sz w:val="24"/>
          <w:szCs w:val="24"/>
          <w:highlight w:val="none"/>
        </w:rPr>
        <w:t>□与其他所有供应商之间均不存在利害关系</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□与</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之间存在下列利害关系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w:t>
      </w:r>
    </w:p>
    <w:p w14:paraId="474F4D76">
      <w:pPr>
        <w:pStyle w:val="24"/>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A.法定代表人或负责人或实际控制人是同一人 B.法定代表人或负责人或实际控制人是夫妻关系</w:t>
      </w:r>
    </w:p>
    <w:p w14:paraId="087B30E6">
      <w:pPr>
        <w:pStyle w:val="257"/>
        <w:numPr>
          <w:ilvl w:val="0"/>
          <w:numId w:val="1"/>
        </w:numPr>
        <w:tabs>
          <w:tab w:val="left" w:pos="728"/>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法定代表人或负责人或实际控制人是直系血亲关系</w:t>
      </w:r>
    </w:p>
    <w:p w14:paraId="6EEF820E">
      <w:pPr>
        <w:pStyle w:val="24"/>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法定代表人或负责人或实际控制人存在三代以内旁系血亲关系 E.法定代表人或负责人或实际控制人存在近姻亲关系</w:t>
      </w:r>
    </w:p>
    <w:p w14:paraId="0B2427CA">
      <w:pPr>
        <w:pStyle w:val="24"/>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F.法定代表人或负责人或实际控制人存在股份控制或实际控制关系  G.存在共同直接或间接投资设立子公司、联营企业和合营企业情况</w:t>
      </w:r>
    </w:p>
    <w:p w14:paraId="77CF6B1D">
      <w:pPr>
        <w:pStyle w:val="24"/>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H.存在分级代理或代销关系、同一生产制造商关系、管理关系、重要业务（占主营业务收入  50%以上）或重要财务往来关系（如融资）等其他实质性控制关系</w:t>
      </w:r>
    </w:p>
    <w:p w14:paraId="60E9C713">
      <w:pPr>
        <w:pStyle w:val="257"/>
        <w:numPr>
          <w:ilvl w:val="0"/>
          <w:numId w:val="2"/>
        </w:numPr>
        <w:tabs>
          <w:tab w:val="left" w:pos="834"/>
          <w:tab w:val="left" w:pos="5662"/>
        </w:tabs>
        <w:spacing w:line="360" w:lineRule="auto"/>
        <w:ind w:left="0" w:firstLine="480" w:firstLineChars="200"/>
        <w:rPr>
          <w:rFonts w:hint="eastAsia" w:ascii="宋体" w:hAnsi="宋体" w:eastAsia="宋体" w:cs="宋体"/>
          <w:sz w:val="24"/>
          <w:szCs w:val="24"/>
          <w:highlight w:val="none"/>
        </w:rPr>
      </w:pPr>
      <w:bookmarkStart w:id="560" w:name="_Toc14109"/>
      <w:bookmarkStart w:id="561" w:name="_Toc28545"/>
      <w:r>
        <w:rPr>
          <w:rFonts w:hint="eastAsia" w:ascii="宋体" w:hAnsi="宋体" w:eastAsia="宋体" w:cs="宋体"/>
          <w:sz w:val="24"/>
          <w:szCs w:val="24"/>
          <w:highlight w:val="none"/>
        </w:rPr>
        <w:t>其他利害关系情况</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bookmarkEnd w:id="560"/>
      <w:bookmarkEnd w:id="561"/>
      <w:r>
        <w:rPr>
          <w:rFonts w:hint="eastAsia" w:ascii="宋体" w:hAnsi="宋体" w:eastAsia="宋体" w:cs="宋体"/>
          <w:sz w:val="24"/>
          <w:szCs w:val="24"/>
          <w:highlight w:val="none"/>
        </w:rPr>
        <w:t xml:space="preserve">  </w:t>
      </w:r>
    </w:p>
    <w:p w14:paraId="14F29CFC">
      <w:pPr>
        <w:pStyle w:val="24"/>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三、现已清楚知道并严格遵守政府采购法律法规和现场纪律。</w:t>
      </w:r>
    </w:p>
    <w:p w14:paraId="16CC370F">
      <w:pPr>
        <w:pStyle w:val="24"/>
        <w:tabs>
          <w:tab w:val="left" w:pos="3720"/>
          <w:tab w:val="left" w:pos="8415"/>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pacing w:val="4"/>
          <w:sz w:val="24"/>
          <w:szCs w:val="24"/>
          <w:highlight w:val="none"/>
        </w:rPr>
        <w:t>我</w:t>
      </w:r>
      <w:r>
        <w:rPr>
          <w:rFonts w:hint="eastAsia" w:ascii="宋体" w:hAnsi="宋体" w:eastAsia="宋体" w:cs="宋体"/>
          <w:sz w:val="24"/>
          <w:szCs w:val="24"/>
          <w:highlight w:val="none"/>
        </w:rPr>
        <w:t>发</w:t>
      </w:r>
      <w:r>
        <w:rPr>
          <w:rFonts w:hint="eastAsia" w:ascii="宋体" w:hAnsi="宋体" w:eastAsia="宋体" w:cs="宋体"/>
          <w:spacing w:val="4"/>
          <w:sz w:val="24"/>
          <w:szCs w:val="24"/>
          <w:highlight w:val="none"/>
        </w:rPr>
        <w:t>现</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single"/>
        </w:rPr>
        <w:tab/>
      </w:r>
      <w:r>
        <w:rPr>
          <w:rFonts w:hint="eastAsia" w:ascii="宋体" w:hAnsi="宋体" w:eastAsia="宋体" w:cs="宋体"/>
          <w:spacing w:val="4"/>
          <w:sz w:val="24"/>
          <w:szCs w:val="24"/>
          <w:highlight w:val="none"/>
        </w:rPr>
        <w:t>供</w:t>
      </w:r>
      <w:r>
        <w:rPr>
          <w:rFonts w:hint="eastAsia" w:ascii="宋体" w:hAnsi="宋体" w:eastAsia="宋体" w:cs="宋体"/>
          <w:sz w:val="24"/>
          <w:szCs w:val="24"/>
          <w:highlight w:val="none"/>
        </w:rPr>
        <w:t>应</w:t>
      </w:r>
      <w:r>
        <w:rPr>
          <w:rFonts w:hint="eastAsia" w:ascii="宋体" w:hAnsi="宋体" w:eastAsia="宋体" w:cs="宋体"/>
          <w:spacing w:val="4"/>
          <w:sz w:val="24"/>
          <w:szCs w:val="24"/>
          <w:highlight w:val="none"/>
        </w:rPr>
        <w:t>商之</w:t>
      </w:r>
      <w:r>
        <w:rPr>
          <w:rFonts w:hint="eastAsia" w:ascii="宋体" w:hAnsi="宋体" w:eastAsia="宋体" w:cs="宋体"/>
          <w:sz w:val="24"/>
          <w:szCs w:val="24"/>
          <w:highlight w:val="none"/>
        </w:rPr>
        <w:t>间</w:t>
      </w:r>
      <w:r>
        <w:rPr>
          <w:rFonts w:hint="eastAsia" w:ascii="宋体" w:hAnsi="宋体" w:eastAsia="宋体" w:cs="宋体"/>
          <w:spacing w:val="4"/>
          <w:sz w:val="24"/>
          <w:szCs w:val="24"/>
          <w:highlight w:val="none"/>
        </w:rPr>
        <w:t>存在或</w:t>
      </w:r>
      <w:r>
        <w:rPr>
          <w:rFonts w:hint="eastAsia" w:ascii="宋体" w:hAnsi="宋体" w:eastAsia="宋体" w:cs="宋体"/>
          <w:sz w:val="24"/>
          <w:szCs w:val="24"/>
          <w:highlight w:val="none"/>
        </w:rPr>
        <w:t>可</w:t>
      </w:r>
      <w:r>
        <w:rPr>
          <w:rFonts w:hint="eastAsia" w:ascii="宋体" w:hAnsi="宋体" w:eastAsia="宋体" w:cs="宋体"/>
          <w:spacing w:val="4"/>
          <w:sz w:val="24"/>
          <w:szCs w:val="24"/>
          <w:highlight w:val="none"/>
        </w:rPr>
        <w:t>能存</w:t>
      </w:r>
      <w:r>
        <w:rPr>
          <w:rFonts w:hint="eastAsia" w:ascii="宋体" w:hAnsi="宋体" w:eastAsia="宋体" w:cs="宋体"/>
          <w:sz w:val="24"/>
          <w:szCs w:val="24"/>
          <w:highlight w:val="none"/>
        </w:rPr>
        <w:t>在</w:t>
      </w:r>
      <w:r>
        <w:rPr>
          <w:rFonts w:hint="eastAsia" w:ascii="宋体" w:hAnsi="宋体" w:eastAsia="宋体" w:cs="宋体"/>
          <w:spacing w:val="4"/>
          <w:sz w:val="24"/>
          <w:szCs w:val="24"/>
          <w:highlight w:val="none"/>
        </w:rPr>
        <w:t>上述</w:t>
      </w:r>
      <w:r>
        <w:rPr>
          <w:rFonts w:hint="eastAsia" w:ascii="宋体" w:hAnsi="宋体" w:eastAsia="宋体" w:cs="宋体"/>
          <w:sz w:val="24"/>
          <w:szCs w:val="24"/>
          <w:highlight w:val="none"/>
        </w:rPr>
        <w:t>第</w:t>
      </w:r>
      <w:r>
        <w:rPr>
          <w:rFonts w:hint="eastAsia" w:ascii="宋体" w:hAnsi="宋体" w:eastAsia="宋体" w:cs="宋体"/>
          <w:spacing w:val="4"/>
          <w:sz w:val="24"/>
          <w:szCs w:val="24"/>
          <w:highlight w:val="none"/>
        </w:rPr>
        <w:t>二条</w:t>
      </w:r>
      <w:r>
        <w:rPr>
          <w:rFonts w:hint="eastAsia" w:ascii="宋体" w:hAnsi="宋体" w:eastAsia="宋体" w:cs="宋体"/>
          <w:sz w:val="24"/>
          <w:szCs w:val="24"/>
          <w:highlight w:val="none"/>
        </w:rPr>
        <w:t>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4"/>
          <w:sz w:val="24"/>
          <w:szCs w:val="24"/>
          <w:highlight w:val="none"/>
        </w:rPr>
        <w:t>项</w:t>
      </w:r>
      <w:r>
        <w:rPr>
          <w:rFonts w:hint="eastAsia" w:ascii="宋体" w:hAnsi="宋体" w:eastAsia="宋体" w:cs="宋体"/>
          <w:spacing w:val="-17"/>
          <w:sz w:val="24"/>
          <w:szCs w:val="24"/>
          <w:highlight w:val="none"/>
        </w:rPr>
        <w:t>利</w:t>
      </w:r>
      <w:r>
        <w:rPr>
          <w:rFonts w:hint="eastAsia" w:ascii="宋体" w:hAnsi="宋体" w:eastAsia="宋体" w:cs="宋体"/>
          <w:sz w:val="24"/>
          <w:szCs w:val="24"/>
          <w:highlight w:val="none"/>
        </w:rPr>
        <w:t>害关系。</w:t>
      </w:r>
    </w:p>
    <w:p w14:paraId="4B104B8F">
      <w:pPr>
        <w:pStyle w:val="24"/>
        <w:spacing w:line="360" w:lineRule="auto"/>
        <w:ind w:left="0" w:firstLine="480" w:firstLineChars="200"/>
        <w:jc w:val="center"/>
        <w:rPr>
          <w:rFonts w:hint="eastAsia" w:ascii="宋体" w:hAnsi="宋体" w:eastAsia="宋体" w:cs="宋体"/>
          <w:sz w:val="24"/>
          <w:szCs w:val="24"/>
          <w:highlight w:val="none"/>
        </w:rPr>
      </w:pPr>
      <w:bookmarkStart w:id="562" w:name="_Toc4325"/>
      <w:bookmarkStart w:id="563" w:name="_Toc4052"/>
      <w:r>
        <w:rPr>
          <w:rFonts w:hint="eastAsia" w:ascii="宋体" w:hAnsi="宋体" w:eastAsia="宋体" w:cs="宋体"/>
          <w:sz w:val="24"/>
          <w:szCs w:val="24"/>
          <w:highlight w:val="none"/>
        </w:rPr>
        <w:t>（供应商代表签名）</w:t>
      </w:r>
      <w:bookmarkEnd w:id="562"/>
      <w:bookmarkEnd w:id="563"/>
    </w:p>
    <w:p w14:paraId="0E4439F5">
      <w:pPr>
        <w:pStyle w:val="24"/>
        <w:tabs>
          <w:tab w:val="left" w:pos="419"/>
          <w:tab w:val="left" w:pos="839"/>
        </w:tabs>
        <w:spacing w:line="360" w:lineRule="auto"/>
        <w:ind w:left="0"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rPr>
        <w:tab/>
      </w:r>
      <w:r>
        <w:rPr>
          <w:rFonts w:hint="eastAsia" w:ascii="宋体" w:hAnsi="宋体" w:eastAsia="宋体" w:cs="宋体"/>
          <w:w w:val="95"/>
          <w:sz w:val="24"/>
          <w:szCs w:val="24"/>
          <w:highlight w:val="none"/>
        </w:rPr>
        <w:t>日</w:t>
      </w:r>
    </w:p>
    <w:p w14:paraId="0400252A">
      <w:pPr>
        <w:pStyle w:val="24"/>
        <w:spacing w:line="360" w:lineRule="auto"/>
        <w:rPr>
          <w:rFonts w:hint="eastAsia" w:ascii="宋体" w:hAnsi="宋体" w:eastAsia="宋体" w:cs="宋体"/>
          <w:sz w:val="24"/>
          <w:szCs w:val="24"/>
          <w:highlight w:val="none"/>
        </w:rPr>
      </w:pPr>
    </w:p>
    <w:p w14:paraId="34ACAB6E">
      <w:pPr>
        <w:pStyle w:val="24"/>
        <w:spacing w:line="360" w:lineRule="auto"/>
      </w:pPr>
      <w:r>
        <w:rPr>
          <w:rFonts w:hint="eastAsia" w:ascii="宋体" w:hAnsi="宋体" w:eastAsia="宋体" w:cs="宋体"/>
          <w:sz w:val="24"/>
          <w:szCs w:val="24"/>
          <w:highlight w:val="none"/>
        </w:rPr>
        <w:t>注意：开标</w:t>
      </w:r>
      <w:r>
        <w:rPr>
          <w:rFonts w:hint="eastAsia" w:ascii="宋体" w:hAnsi="宋体" w:eastAsia="宋体" w:cs="宋体"/>
          <w:sz w:val="24"/>
          <w:szCs w:val="24"/>
          <w:highlight w:val="none"/>
          <w:lang w:val="en-US" w:eastAsia="zh-CN"/>
        </w:rPr>
        <w:t>(解密完成)</w:t>
      </w:r>
      <w:r>
        <w:rPr>
          <w:rFonts w:hint="eastAsia" w:ascii="宋体" w:hAnsi="宋体" w:eastAsia="宋体" w:cs="宋体"/>
          <w:sz w:val="24"/>
          <w:szCs w:val="24"/>
          <w:highlight w:val="none"/>
        </w:rPr>
        <w:t>后请各供应商将本确认书填写完毕，扫描件发送至</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"mailto:laoyaomm@126.com"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lang w:val="en-US" w:eastAsia="zh-CN"/>
        </w:rPr>
        <w:t>354986236</w:t>
      </w:r>
      <w:r>
        <w:rPr>
          <w:rFonts w:hint="eastAsia" w:ascii="宋体" w:hAnsi="宋体" w:eastAsia="宋体" w:cs="宋体"/>
          <w:b/>
          <w:bCs/>
          <w:sz w:val="24"/>
          <w:szCs w:val="24"/>
          <w:highlight w:val="none"/>
        </w:rPr>
        <w:t>@qq.com</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t>。</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8C76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8ABE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754C">
    <w:pPr>
      <w:pStyle w:val="40"/>
      <w:framePr w:wrap="around" w:vAnchor="text" w:hAnchor="margin" w:xAlign="right" w:y="1"/>
      <w:rPr>
        <w:rStyle w:val="73"/>
      </w:rPr>
    </w:pPr>
    <w:r>
      <w:fldChar w:fldCharType="begin"/>
    </w:r>
    <w:r>
      <w:rPr>
        <w:rStyle w:val="73"/>
      </w:rPr>
      <w:instrText xml:space="preserve">PAGE  </w:instrText>
    </w:r>
    <w:r>
      <w:fldChar w:fldCharType="end"/>
    </w:r>
  </w:p>
  <w:p w14:paraId="3B155EA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1A9E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4" w:name="_Toc131845147"/>
    <w:bookmarkStart w:id="565" w:name="_Toc164085800"/>
    <w:bookmarkStart w:id="566" w:name="_Toc91899912"/>
    <w:bookmarkStart w:id="567" w:name="_Toc36110187"/>
    <w:r>
      <w:rPr>
        <w:rFonts w:hint="eastAsia" w:ascii="仿宋_GB2312" w:eastAsia="仿宋_GB2312"/>
        <w:kern w:val="0"/>
        <w:szCs w:val="21"/>
      </w:rPr>
      <w:t xml:space="preserve"> 页</w:t>
    </w:r>
    <w:bookmarkEnd w:id="564"/>
    <w:bookmarkEnd w:id="565"/>
    <w:bookmarkEnd w:id="566"/>
    <w:bookmarkEnd w:id="5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CCFA0">
    <w:pPr>
      <w:pStyle w:val="40"/>
      <w:framePr w:wrap="around" w:vAnchor="text" w:hAnchor="margin" w:xAlign="right" w:y="1"/>
      <w:rPr>
        <w:rStyle w:val="73"/>
      </w:rPr>
    </w:pPr>
    <w:r>
      <w:fldChar w:fldCharType="begin"/>
    </w:r>
    <w:r>
      <w:rPr>
        <w:rStyle w:val="73"/>
      </w:rPr>
      <w:instrText xml:space="preserve">PAGE  </w:instrText>
    </w:r>
    <w:r>
      <w:fldChar w:fldCharType="end"/>
    </w:r>
  </w:p>
  <w:p w14:paraId="2EEFEEE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1F4A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59E9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A92AB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E714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C6B600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F42C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F46517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C3DB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6503A3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4690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37C117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0093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E9A2CB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FADA8">
    <w:pPr>
      <w:pStyle w:val="41"/>
      <w:pBdr>
        <w:bottom w:val="single" w:color="auto" w:sz="6" w:space="4"/>
      </w:pBdr>
      <w:jc w:val="right"/>
    </w:pPr>
    <w:r>
      <w:t></w:t>
    </w:r>
    <w:r>
      <w:rPr>
        <w:rFonts w:hint="eastAsia"/>
      </w:rPr>
      <w:t xml:space="preserve">             </w:t>
    </w:r>
    <w:r>
      <w:t>杭州市政府采购公开招标文件</w:t>
    </w:r>
  </w:p>
  <w:p w14:paraId="4E13462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320D0">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CBF2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43BD1">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0DDF7">
    <w:pPr>
      <w:pStyle w:val="41"/>
    </w:pPr>
    <w:r>
      <w:t></w:t>
    </w:r>
    <w:r>
      <w:rPr>
        <w:rFonts w:hint="eastAsia"/>
      </w:rPr>
      <w:t xml:space="preserve">         </w:t>
    </w:r>
  </w:p>
  <w:p w14:paraId="76555F6F">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621DD">
    <w:pPr>
      <w:pStyle w:val="41"/>
      <w:rPr>
        <w:rFonts w:ascii="仿宋_GB2312" w:eastAsia="仿宋_GB2312"/>
        <w:b/>
        <w:i/>
        <w:u w:val="single"/>
      </w:rPr>
    </w:pPr>
    <w:r>
      <w:t></w:t>
    </w:r>
    <w:r>
      <w:rPr>
        <w:rFonts w:hint="eastAsia"/>
      </w:rPr>
      <w:t xml:space="preserve">                                                </w:t>
    </w:r>
    <w:r>
      <w:t xml:space="preserve"> 杭州市政府采购公开招标文件</w:t>
    </w:r>
  </w:p>
  <w:p w14:paraId="3A1F290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0D16C">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02DB7">
    <w:pPr>
      <w:pStyle w:val="41"/>
      <w:jc w:val="right"/>
      <w:rPr>
        <w:rFonts w:ascii="仿宋_GB2312" w:eastAsia="仿宋_GB2312"/>
        <w:b/>
        <w:i/>
        <w:u w:val="single"/>
      </w:rPr>
    </w:pPr>
    <w:r>
      <w:rPr>
        <w:rFonts w:hint="eastAsia"/>
      </w:rPr>
      <w:t xml:space="preserve">                                  </w:t>
    </w:r>
    <w:r>
      <w:t>杭州市政府采购公开招标文件</w:t>
    </w:r>
  </w:p>
  <w:p w14:paraId="611281A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29E2B">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CDF7A">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3"/>
      <w:numFmt w:val="upperLetter"/>
      <w:lvlText w:val="%1."/>
      <w:lvlJc w:val="left"/>
      <w:pPr>
        <w:ind w:left="728"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552" w:hanging="212"/>
      </w:pPr>
      <w:rPr>
        <w:rFonts w:hint="default"/>
        <w:lang w:val="zh-CN" w:eastAsia="zh-CN" w:bidi="zh-CN"/>
      </w:rPr>
    </w:lvl>
    <w:lvl w:ilvl="2" w:tentative="0">
      <w:start w:val="0"/>
      <w:numFmt w:val="bullet"/>
      <w:lvlText w:val="•"/>
      <w:lvlJc w:val="left"/>
      <w:pPr>
        <w:ind w:left="2385" w:hanging="212"/>
      </w:pPr>
      <w:rPr>
        <w:rFonts w:hint="default"/>
        <w:lang w:val="zh-CN" w:eastAsia="zh-CN" w:bidi="zh-CN"/>
      </w:rPr>
    </w:lvl>
    <w:lvl w:ilvl="3" w:tentative="0">
      <w:start w:val="0"/>
      <w:numFmt w:val="bullet"/>
      <w:lvlText w:val="•"/>
      <w:lvlJc w:val="left"/>
      <w:pPr>
        <w:ind w:left="3217" w:hanging="212"/>
      </w:pPr>
      <w:rPr>
        <w:rFonts w:hint="default"/>
        <w:lang w:val="zh-CN" w:eastAsia="zh-CN" w:bidi="zh-CN"/>
      </w:rPr>
    </w:lvl>
    <w:lvl w:ilvl="4" w:tentative="0">
      <w:start w:val="0"/>
      <w:numFmt w:val="bullet"/>
      <w:lvlText w:val="•"/>
      <w:lvlJc w:val="left"/>
      <w:pPr>
        <w:ind w:left="4050" w:hanging="212"/>
      </w:pPr>
      <w:rPr>
        <w:rFonts w:hint="default"/>
        <w:lang w:val="zh-CN" w:eastAsia="zh-CN" w:bidi="zh-CN"/>
      </w:rPr>
    </w:lvl>
    <w:lvl w:ilvl="5" w:tentative="0">
      <w:start w:val="0"/>
      <w:numFmt w:val="bullet"/>
      <w:lvlText w:val="•"/>
      <w:lvlJc w:val="left"/>
      <w:pPr>
        <w:ind w:left="4883" w:hanging="212"/>
      </w:pPr>
      <w:rPr>
        <w:rFonts w:hint="default"/>
        <w:lang w:val="zh-CN" w:eastAsia="zh-CN" w:bidi="zh-CN"/>
      </w:rPr>
    </w:lvl>
    <w:lvl w:ilvl="6" w:tentative="0">
      <w:start w:val="0"/>
      <w:numFmt w:val="bullet"/>
      <w:lvlText w:val="•"/>
      <w:lvlJc w:val="left"/>
      <w:pPr>
        <w:ind w:left="5715" w:hanging="212"/>
      </w:pPr>
      <w:rPr>
        <w:rFonts w:hint="default"/>
        <w:lang w:val="zh-CN" w:eastAsia="zh-CN" w:bidi="zh-CN"/>
      </w:rPr>
    </w:lvl>
    <w:lvl w:ilvl="7" w:tentative="0">
      <w:start w:val="0"/>
      <w:numFmt w:val="bullet"/>
      <w:lvlText w:val="•"/>
      <w:lvlJc w:val="left"/>
      <w:pPr>
        <w:ind w:left="6548" w:hanging="212"/>
      </w:pPr>
      <w:rPr>
        <w:rFonts w:hint="default"/>
        <w:lang w:val="zh-CN" w:eastAsia="zh-CN" w:bidi="zh-CN"/>
      </w:rPr>
    </w:lvl>
    <w:lvl w:ilvl="8" w:tentative="0">
      <w:start w:val="0"/>
      <w:numFmt w:val="bullet"/>
      <w:lvlText w:val="•"/>
      <w:lvlJc w:val="left"/>
      <w:pPr>
        <w:ind w:left="7380" w:hanging="212"/>
      </w:pPr>
      <w:rPr>
        <w:rFonts w:hint="default"/>
        <w:lang w:val="zh-CN" w:eastAsia="zh-CN" w:bidi="zh-CN"/>
      </w:rPr>
    </w:lvl>
  </w:abstractNum>
  <w:abstractNum w:abstractNumId="1">
    <w:nsid w:val="BCECA0B4"/>
    <w:multiLevelType w:val="multilevel"/>
    <w:tmpl w:val="BCECA0B4"/>
    <w:lvl w:ilvl="0" w:tentative="0">
      <w:start w:val="1"/>
      <w:numFmt w:val="upperRoman"/>
      <w:lvlText w:val="%1."/>
      <w:lvlJc w:val="left"/>
      <w:pPr>
        <w:ind w:left="50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500" w:hanging="212"/>
      </w:pPr>
      <w:rPr>
        <w:rFonts w:hint="default"/>
        <w:lang w:val="zh-CN" w:eastAsia="zh-CN" w:bidi="zh-CN"/>
      </w:rPr>
    </w:lvl>
    <w:lvl w:ilvl="2" w:tentative="0">
      <w:start w:val="0"/>
      <w:numFmt w:val="bullet"/>
      <w:lvlText w:val="•"/>
      <w:lvlJc w:val="left"/>
      <w:pPr>
        <w:ind w:left="1449" w:hanging="212"/>
      </w:pPr>
      <w:rPr>
        <w:rFonts w:hint="default"/>
        <w:lang w:val="zh-CN" w:eastAsia="zh-CN" w:bidi="zh-CN"/>
      </w:rPr>
    </w:lvl>
    <w:lvl w:ilvl="3" w:tentative="0">
      <w:start w:val="0"/>
      <w:numFmt w:val="bullet"/>
      <w:lvlText w:val="•"/>
      <w:lvlJc w:val="left"/>
      <w:pPr>
        <w:ind w:left="2399" w:hanging="212"/>
      </w:pPr>
      <w:rPr>
        <w:rFonts w:hint="default"/>
        <w:lang w:val="zh-CN" w:eastAsia="zh-CN" w:bidi="zh-CN"/>
      </w:rPr>
    </w:lvl>
    <w:lvl w:ilvl="4" w:tentative="0">
      <w:start w:val="0"/>
      <w:numFmt w:val="bullet"/>
      <w:lvlText w:val="•"/>
      <w:lvlJc w:val="left"/>
      <w:pPr>
        <w:ind w:left="3348" w:hanging="212"/>
      </w:pPr>
      <w:rPr>
        <w:rFonts w:hint="default"/>
        <w:lang w:val="zh-CN" w:eastAsia="zh-CN" w:bidi="zh-CN"/>
      </w:rPr>
    </w:lvl>
    <w:lvl w:ilvl="5" w:tentative="0">
      <w:start w:val="0"/>
      <w:numFmt w:val="bullet"/>
      <w:lvlText w:val="•"/>
      <w:lvlJc w:val="left"/>
      <w:pPr>
        <w:ind w:left="4298" w:hanging="212"/>
      </w:pPr>
      <w:rPr>
        <w:rFonts w:hint="default"/>
        <w:lang w:val="zh-CN" w:eastAsia="zh-CN" w:bidi="zh-CN"/>
      </w:rPr>
    </w:lvl>
    <w:lvl w:ilvl="6" w:tentative="0">
      <w:start w:val="0"/>
      <w:numFmt w:val="bullet"/>
      <w:lvlText w:val="•"/>
      <w:lvlJc w:val="left"/>
      <w:pPr>
        <w:ind w:left="5247" w:hanging="212"/>
      </w:pPr>
      <w:rPr>
        <w:rFonts w:hint="default"/>
        <w:lang w:val="zh-CN" w:eastAsia="zh-CN" w:bidi="zh-CN"/>
      </w:rPr>
    </w:lvl>
    <w:lvl w:ilvl="7" w:tentative="0">
      <w:start w:val="0"/>
      <w:numFmt w:val="bullet"/>
      <w:lvlText w:val="•"/>
      <w:lvlJc w:val="left"/>
      <w:pPr>
        <w:ind w:left="6197" w:hanging="212"/>
      </w:pPr>
      <w:rPr>
        <w:rFonts w:hint="default"/>
        <w:lang w:val="zh-CN" w:eastAsia="zh-CN" w:bidi="zh-CN"/>
      </w:rPr>
    </w:lvl>
    <w:lvl w:ilvl="8" w:tentative="0">
      <w:start w:val="0"/>
      <w:numFmt w:val="bullet"/>
      <w:lvlText w:val="•"/>
      <w:lvlJc w:val="left"/>
      <w:pPr>
        <w:ind w:left="7146" w:hanging="21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YWE4YmU2NjEyMzIyZTc2NDZmOTM0N2VlOGJkYWEifQ=="/>
    <w:docVar w:name="KSO_WPS_MARK_KEY" w:val="ac79508f-e3c0-4d09-be7e-3b7c9a9b3d5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0F7DD9"/>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DE0"/>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635C55"/>
    <w:rsid w:val="019F7441"/>
    <w:rsid w:val="01B37585"/>
    <w:rsid w:val="01D55165"/>
    <w:rsid w:val="01DF6BF8"/>
    <w:rsid w:val="01EC2C57"/>
    <w:rsid w:val="02513CF5"/>
    <w:rsid w:val="025F0711"/>
    <w:rsid w:val="026B2E25"/>
    <w:rsid w:val="0281653D"/>
    <w:rsid w:val="02824D4D"/>
    <w:rsid w:val="02DC4B10"/>
    <w:rsid w:val="02DD76CE"/>
    <w:rsid w:val="02F36323"/>
    <w:rsid w:val="02F5619C"/>
    <w:rsid w:val="0326446A"/>
    <w:rsid w:val="032D5555"/>
    <w:rsid w:val="036634D2"/>
    <w:rsid w:val="03DD35E4"/>
    <w:rsid w:val="04076900"/>
    <w:rsid w:val="041A5A3B"/>
    <w:rsid w:val="042311BA"/>
    <w:rsid w:val="042B157A"/>
    <w:rsid w:val="042B4D0C"/>
    <w:rsid w:val="048F763B"/>
    <w:rsid w:val="049F330E"/>
    <w:rsid w:val="04AA775C"/>
    <w:rsid w:val="04AF1889"/>
    <w:rsid w:val="04F66F48"/>
    <w:rsid w:val="05251E14"/>
    <w:rsid w:val="056245CD"/>
    <w:rsid w:val="05A16594"/>
    <w:rsid w:val="05A7762D"/>
    <w:rsid w:val="05FA1573"/>
    <w:rsid w:val="060E5941"/>
    <w:rsid w:val="06110FAF"/>
    <w:rsid w:val="06287F77"/>
    <w:rsid w:val="06493CA7"/>
    <w:rsid w:val="065A6178"/>
    <w:rsid w:val="066F1CF3"/>
    <w:rsid w:val="06930BB8"/>
    <w:rsid w:val="069A3897"/>
    <w:rsid w:val="06E77E55"/>
    <w:rsid w:val="07245D42"/>
    <w:rsid w:val="07264C62"/>
    <w:rsid w:val="0779354C"/>
    <w:rsid w:val="078576EA"/>
    <w:rsid w:val="08061376"/>
    <w:rsid w:val="08452D77"/>
    <w:rsid w:val="085D7BF2"/>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44626"/>
    <w:rsid w:val="0A3E7710"/>
    <w:rsid w:val="0A5B7E63"/>
    <w:rsid w:val="0AA374A5"/>
    <w:rsid w:val="0AAB7649"/>
    <w:rsid w:val="0ABC5606"/>
    <w:rsid w:val="0B027085"/>
    <w:rsid w:val="0B0C10FF"/>
    <w:rsid w:val="0B30404E"/>
    <w:rsid w:val="0B4144C2"/>
    <w:rsid w:val="0B4C6C14"/>
    <w:rsid w:val="0B547599"/>
    <w:rsid w:val="0B631A88"/>
    <w:rsid w:val="0B683D45"/>
    <w:rsid w:val="0B7F3F11"/>
    <w:rsid w:val="0B884417"/>
    <w:rsid w:val="0BC371BC"/>
    <w:rsid w:val="0BF6188C"/>
    <w:rsid w:val="0BF73C91"/>
    <w:rsid w:val="0C170175"/>
    <w:rsid w:val="0C571A41"/>
    <w:rsid w:val="0C5C1171"/>
    <w:rsid w:val="0C5E1CBC"/>
    <w:rsid w:val="0C615B50"/>
    <w:rsid w:val="0C8445DA"/>
    <w:rsid w:val="0C87121B"/>
    <w:rsid w:val="0CBA7053"/>
    <w:rsid w:val="0CC007F7"/>
    <w:rsid w:val="0CC617AC"/>
    <w:rsid w:val="0CE618DF"/>
    <w:rsid w:val="0CFE707A"/>
    <w:rsid w:val="0D063BDA"/>
    <w:rsid w:val="0D08375F"/>
    <w:rsid w:val="0D184CFB"/>
    <w:rsid w:val="0D3362BB"/>
    <w:rsid w:val="0D4A7419"/>
    <w:rsid w:val="0D827401"/>
    <w:rsid w:val="0D84094E"/>
    <w:rsid w:val="0D8A00E9"/>
    <w:rsid w:val="0D8D589E"/>
    <w:rsid w:val="0DA01C73"/>
    <w:rsid w:val="0DD63300"/>
    <w:rsid w:val="0DF50604"/>
    <w:rsid w:val="0DF702FE"/>
    <w:rsid w:val="0E060E51"/>
    <w:rsid w:val="0E5604B2"/>
    <w:rsid w:val="0E6C3219"/>
    <w:rsid w:val="0E6D5D79"/>
    <w:rsid w:val="0E9D0089"/>
    <w:rsid w:val="0EB803EE"/>
    <w:rsid w:val="0EF94D4B"/>
    <w:rsid w:val="0F1B7B63"/>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D6E81"/>
    <w:rsid w:val="10C26171"/>
    <w:rsid w:val="10F33360"/>
    <w:rsid w:val="10FC16EA"/>
    <w:rsid w:val="110F1D40"/>
    <w:rsid w:val="11266F33"/>
    <w:rsid w:val="118963A1"/>
    <w:rsid w:val="11AC66C2"/>
    <w:rsid w:val="11C6522A"/>
    <w:rsid w:val="11CC0D25"/>
    <w:rsid w:val="11E104CC"/>
    <w:rsid w:val="11E20309"/>
    <w:rsid w:val="12255233"/>
    <w:rsid w:val="12530213"/>
    <w:rsid w:val="127723A9"/>
    <w:rsid w:val="12862074"/>
    <w:rsid w:val="12883966"/>
    <w:rsid w:val="129E45B4"/>
    <w:rsid w:val="12D81596"/>
    <w:rsid w:val="13072A44"/>
    <w:rsid w:val="13427DB4"/>
    <w:rsid w:val="135F4BE2"/>
    <w:rsid w:val="139B1A0A"/>
    <w:rsid w:val="139D25C7"/>
    <w:rsid w:val="13BC5DB8"/>
    <w:rsid w:val="13BF3CE4"/>
    <w:rsid w:val="140E5EE8"/>
    <w:rsid w:val="141008D8"/>
    <w:rsid w:val="14125FE6"/>
    <w:rsid w:val="14234512"/>
    <w:rsid w:val="1448691D"/>
    <w:rsid w:val="146D271E"/>
    <w:rsid w:val="14937010"/>
    <w:rsid w:val="14982588"/>
    <w:rsid w:val="149A5AD9"/>
    <w:rsid w:val="14A7619D"/>
    <w:rsid w:val="150536C3"/>
    <w:rsid w:val="150C1963"/>
    <w:rsid w:val="151447A0"/>
    <w:rsid w:val="154A6454"/>
    <w:rsid w:val="15762120"/>
    <w:rsid w:val="15DF21A9"/>
    <w:rsid w:val="168171F8"/>
    <w:rsid w:val="16856BDE"/>
    <w:rsid w:val="16A8729C"/>
    <w:rsid w:val="16B33777"/>
    <w:rsid w:val="16BC70A7"/>
    <w:rsid w:val="16C6339E"/>
    <w:rsid w:val="172F2D79"/>
    <w:rsid w:val="17557BEF"/>
    <w:rsid w:val="177B6836"/>
    <w:rsid w:val="17A601DE"/>
    <w:rsid w:val="17D349C1"/>
    <w:rsid w:val="18244F26"/>
    <w:rsid w:val="1830729E"/>
    <w:rsid w:val="18470459"/>
    <w:rsid w:val="1870062C"/>
    <w:rsid w:val="18817102"/>
    <w:rsid w:val="18830A15"/>
    <w:rsid w:val="18852B28"/>
    <w:rsid w:val="188B5321"/>
    <w:rsid w:val="19145D4E"/>
    <w:rsid w:val="19595E57"/>
    <w:rsid w:val="19643F78"/>
    <w:rsid w:val="19932372"/>
    <w:rsid w:val="19A20DD5"/>
    <w:rsid w:val="19AE03F1"/>
    <w:rsid w:val="19F5075E"/>
    <w:rsid w:val="1A071A03"/>
    <w:rsid w:val="1A1E2B1B"/>
    <w:rsid w:val="1A1F16AE"/>
    <w:rsid w:val="1A3B5C77"/>
    <w:rsid w:val="1A984BAD"/>
    <w:rsid w:val="1AB8220E"/>
    <w:rsid w:val="1ACF330A"/>
    <w:rsid w:val="1AE4166C"/>
    <w:rsid w:val="1AF06CFB"/>
    <w:rsid w:val="1AF11B8D"/>
    <w:rsid w:val="1AF520D1"/>
    <w:rsid w:val="1B11359C"/>
    <w:rsid w:val="1B2A271F"/>
    <w:rsid w:val="1B341FF3"/>
    <w:rsid w:val="1B530544"/>
    <w:rsid w:val="1B6A5885"/>
    <w:rsid w:val="1B713184"/>
    <w:rsid w:val="1BA209CF"/>
    <w:rsid w:val="1BB4777D"/>
    <w:rsid w:val="1BBC5E3E"/>
    <w:rsid w:val="1BCE322D"/>
    <w:rsid w:val="1BD568B4"/>
    <w:rsid w:val="1BD75AB8"/>
    <w:rsid w:val="1C0459C2"/>
    <w:rsid w:val="1C1B3B4A"/>
    <w:rsid w:val="1C6F14EE"/>
    <w:rsid w:val="1C88086E"/>
    <w:rsid w:val="1D0E5E78"/>
    <w:rsid w:val="1D266CE1"/>
    <w:rsid w:val="1D3963AF"/>
    <w:rsid w:val="1D6A673C"/>
    <w:rsid w:val="1D9247AE"/>
    <w:rsid w:val="1DB567EC"/>
    <w:rsid w:val="1DD304A0"/>
    <w:rsid w:val="1DF51A98"/>
    <w:rsid w:val="1E051CD9"/>
    <w:rsid w:val="1E283CAF"/>
    <w:rsid w:val="1E3D060F"/>
    <w:rsid w:val="1E3F7D2E"/>
    <w:rsid w:val="1E4134E4"/>
    <w:rsid w:val="1E5062B3"/>
    <w:rsid w:val="1E523514"/>
    <w:rsid w:val="1E714A66"/>
    <w:rsid w:val="1E802593"/>
    <w:rsid w:val="1E8B6156"/>
    <w:rsid w:val="1EA703CC"/>
    <w:rsid w:val="1EB7330C"/>
    <w:rsid w:val="1F0A0FF3"/>
    <w:rsid w:val="1F5771FF"/>
    <w:rsid w:val="1FD52574"/>
    <w:rsid w:val="1FE868A9"/>
    <w:rsid w:val="1FF4419A"/>
    <w:rsid w:val="20034907"/>
    <w:rsid w:val="200E5467"/>
    <w:rsid w:val="20173E4B"/>
    <w:rsid w:val="204E48BC"/>
    <w:rsid w:val="206C330F"/>
    <w:rsid w:val="208921B3"/>
    <w:rsid w:val="20973DEB"/>
    <w:rsid w:val="20B26522"/>
    <w:rsid w:val="20B44310"/>
    <w:rsid w:val="210561BF"/>
    <w:rsid w:val="211116EB"/>
    <w:rsid w:val="216133FC"/>
    <w:rsid w:val="21615FAD"/>
    <w:rsid w:val="217360AB"/>
    <w:rsid w:val="21D56769"/>
    <w:rsid w:val="21E52EF3"/>
    <w:rsid w:val="21FB5D7B"/>
    <w:rsid w:val="22015E94"/>
    <w:rsid w:val="220B1C3D"/>
    <w:rsid w:val="221D1D20"/>
    <w:rsid w:val="22334A87"/>
    <w:rsid w:val="229E7CD7"/>
    <w:rsid w:val="22BE6801"/>
    <w:rsid w:val="233500BF"/>
    <w:rsid w:val="23377FF7"/>
    <w:rsid w:val="236B425F"/>
    <w:rsid w:val="23836192"/>
    <w:rsid w:val="23901F29"/>
    <w:rsid w:val="239C0061"/>
    <w:rsid w:val="23B908A4"/>
    <w:rsid w:val="23BA255B"/>
    <w:rsid w:val="23E95BEF"/>
    <w:rsid w:val="23FD0064"/>
    <w:rsid w:val="245375B0"/>
    <w:rsid w:val="24642C0A"/>
    <w:rsid w:val="24675309"/>
    <w:rsid w:val="24B22173"/>
    <w:rsid w:val="24B95AD9"/>
    <w:rsid w:val="24BE24DA"/>
    <w:rsid w:val="24CF5825"/>
    <w:rsid w:val="24D663E6"/>
    <w:rsid w:val="24D77F2B"/>
    <w:rsid w:val="258B00E2"/>
    <w:rsid w:val="25A917A6"/>
    <w:rsid w:val="25BE27CC"/>
    <w:rsid w:val="25F74A5C"/>
    <w:rsid w:val="260B4207"/>
    <w:rsid w:val="2628662C"/>
    <w:rsid w:val="262D45DE"/>
    <w:rsid w:val="2654189E"/>
    <w:rsid w:val="26871DC8"/>
    <w:rsid w:val="268838D8"/>
    <w:rsid w:val="26A53EF9"/>
    <w:rsid w:val="26A94201"/>
    <w:rsid w:val="26AC274F"/>
    <w:rsid w:val="26F849C0"/>
    <w:rsid w:val="27044A29"/>
    <w:rsid w:val="271D34C8"/>
    <w:rsid w:val="274017E0"/>
    <w:rsid w:val="276142BF"/>
    <w:rsid w:val="27783712"/>
    <w:rsid w:val="27907362"/>
    <w:rsid w:val="28181BEB"/>
    <w:rsid w:val="28277120"/>
    <w:rsid w:val="28333E1D"/>
    <w:rsid w:val="28454BD6"/>
    <w:rsid w:val="28455253"/>
    <w:rsid w:val="28551971"/>
    <w:rsid w:val="285B1C53"/>
    <w:rsid w:val="287F6F5C"/>
    <w:rsid w:val="289F7086"/>
    <w:rsid w:val="28AD627E"/>
    <w:rsid w:val="28B05368"/>
    <w:rsid w:val="28C32028"/>
    <w:rsid w:val="28CC490F"/>
    <w:rsid w:val="28DE40AA"/>
    <w:rsid w:val="29345E77"/>
    <w:rsid w:val="294C65AD"/>
    <w:rsid w:val="295B3526"/>
    <w:rsid w:val="29806583"/>
    <w:rsid w:val="298B3C4C"/>
    <w:rsid w:val="2993644D"/>
    <w:rsid w:val="29F26D24"/>
    <w:rsid w:val="2A027E45"/>
    <w:rsid w:val="2A15033F"/>
    <w:rsid w:val="2A1662C1"/>
    <w:rsid w:val="2A1C7367"/>
    <w:rsid w:val="2A2815FA"/>
    <w:rsid w:val="2A6D6092"/>
    <w:rsid w:val="2A7D76B4"/>
    <w:rsid w:val="2B437463"/>
    <w:rsid w:val="2B7807EE"/>
    <w:rsid w:val="2BA271EA"/>
    <w:rsid w:val="2BA50BF7"/>
    <w:rsid w:val="2BBF00EC"/>
    <w:rsid w:val="2BC37CFD"/>
    <w:rsid w:val="2BD5237F"/>
    <w:rsid w:val="2BE536CE"/>
    <w:rsid w:val="2BE758D9"/>
    <w:rsid w:val="2BF346BB"/>
    <w:rsid w:val="2C09049E"/>
    <w:rsid w:val="2C0A653C"/>
    <w:rsid w:val="2C191F85"/>
    <w:rsid w:val="2C8E70F9"/>
    <w:rsid w:val="2C972316"/>
    <w:rsid w:val="2CB76651"/>
    <w:rsid w:val="2CE82D6F"/>
    <w:rsid w:val="2D343236"/>
    <w:rsid w:val="2D403863"/>
    <w:rsid w:val="2D575011"/>
    <w:rsid w:val="2D8615D0"/>
    <w:rsid w:val="2DD15014"/>
    <w:rsid w:val="2DDB55B2"/>
    <w:rsid w:val="2DF72DE4"/>
    <w:rsid w:val="2E0220AF"/>
    <w:rsid w:val="2E130C9C"/>
    <w:rsid w:val="2E4B082A"/>
    <w:rsid w:val="2E5D4E86"/>
    <w:rsid w:val="2E5D790B"/>
    <w:rsid w:val="2E6903FD"/>
    <w:rsid w:val="2E9A3C18"/>
    <w:rsid w:val="2EBB0FEE"/>
    <w:rsid w:val="2EC4404E"/>
    <w:rsid w:val="2EC63002"/>
    <w:rsid w:val="2F0A6B38"/>
    <w:rsid w:val="2F1A79DF"/>
    <w:rsid w:val="2F8C2A34"/>
    <w:rsid w:val="2F946CCB"/>
    <w:rsid w:val="2FD25781"/>
    <w:rsid w:val="2FDC745C"/>
    <w:rsid w:val="2FFD7934"/>
    <w:rsid w:val="306B247C"/>
    <w:rsid w:val="30733ACD"/>
    <w:rsid w:val="3074345E"/>
    <w:rsid w:val="308C3862"/>
    <w:rsid w:val="309379D8"/>
    <w:rsid w:val="30A270F7"/>
    <w:rsid w:val="30C740E4"/>
    <w:rsid w:val="30D04389"/>
    <w:rsid w:val="30DF1478"/>
    <w:rsid w:val="30EC586F"/>
    <w:rsid w:val="319C6071"/>
    <w:rsid w:val="31AC537E"/>
    <w:rsid w:val="31E3679B"/>
    <w:rsid w:val="31E732FD"/>
    <w:rsid w:val="32517576"/>
    <w:rsid w:val="32BE5C2C"/>
    <w:rsid w:val="32FB6478"/>
    <w:rsid w:val="33263B3F"/>
    <w:rsid w:val="336963EB"/>
    <w:rsid w:val="33816EEB"/>
    <w:rsid w:val="33CB74FA"/>
    <w:rsid w:val="33EB55CD"/>
    <w:rsid w:val="33EC4C02"/>
    <w:rsid w:val="340D2360"/>
    <w:rsid w:val="3410665D"/>
    <w:rsid w:val="34211214"/>
    <w:rsid w:val="342E63AB"/>
    <w:rsid w:val="34950E68"/>
    <w:rsid w:val="34986E94"/>
    <w:rsid w:val="34AF62C9"/>
    <w:rsid w:val="34CB4388"/>
    <w:rsid w:val="34FA6E12"/>
    <w:rsid w:val="354D7158"/>
    <w:rsid w:val="35551771"/>
    <w:rsid w:val="358D5588"/>
    <w:rsid w:val="363A3B40"/>
    <w:rsid w:val="365302AE"/>
    <w:rsid w:val="36607A0A"/>
    <w:rsid w:val="366E227C"/>
    <w:rsid w:val="366F2E0D"/>
    <w:rsid w:val="36730100"/>
    <w:rsid w:val="367B6A5C"/>
    <w:rsid w:val="36897DF2"/>
    <w:rsid w:val="36A74ADA"/>
    <w:rsid w:val="36AD60D5"/>
    <w:rsid w:val="36B224F9"/>
    <w:rsid w:val="36D43451"/>
    <w:rsid w:val="36EC0CC9"/>
    <w:rsid w:val="373F410B"/>
    <w:rsid w:val="37896048"/>
    <w:rsid w:val="37A604BE"/>
    <w:rsid w:val="37EE7094"/>
    <w:rsid w:val="38296C89"/>
    <w:rsid w:val="382F62A9"/>
    <w:rsid w:val="383002EB"/>
    <w:rsid w:val="385560F7"/>
    <w:rsid w:val="38586797"/>
    <w:rsid w:val="385D15DF"/>
    <w:rsid w:val="38BC0149"/>
    <w:rsid w:val="38D87D1C"/>
    <w:rsid w:val="3905525C"/>
    <w:rsid w:val="39636459"/>
    <w:rsid w:val="396B7F6C"/>
    <w:rsid w:val="39B417A9"/>
    <w:rsid w:val="39FC5695"/>
    <w:rsid w:val="3A006D8E"/>
    <w:rsid w:val="3A361CA2"/>
    <w:rsid w:val="3A3651E5"/>
    <w:rsid w:val="3A5B0E30"/>
    <w:rsid w:val="3A744481"/>
    <w:rsid w:val="3A8B58B1"/>
    <w:rsid w:val="3A8C7BEF"/>
    <w:rsid w:val="3A906246"/>
    <w:rsid w:val="3AF124DC"/>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23E95"/>
    <w:rsid w:val="3F2F0234"/>
    <w:rsid w:val="3F6363FE"/>
    <w:rsid w:val="3F756B8F"/>
    <w:rsid w:val="3F95482B"/>
    <w:rsid w:val="40021DF0"/>
    <w:rsid w:val="4019356B"/>
    <w:rsid w:val="40592157"/>
    <w:rsid w:val="406E1CAE"/>
    <w:rsid w:val="407A4EAD"/>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B6470"/>
    <w:rsid w:val="434B790E"/>
    <w:rsid w:val="4360274F"/>
    <w:rsid w:val="43977AB6"/>
    <w:rsid w:val="439E3150"/>
    <w:rsid w:val="43A3342B"/>
    <w:rsid w:val="43C77C27"/>
    <w:rsid w:val="43DE09EE"/>
    <w:rsid w:val="43EA1A7C"/>
    <w:rsid w:val="44002FAD"/>
    <w:rsid w:val="449101DD"/>
    <w:rsid w:val="44DE1391"/>
    <w:rsid w:val="44E03147"/>
    <w:rsid w:val="44F56827"/>
    <w:rsid w:val="451B225C"/>
    <w:rsid w:val="452410C9"/>
    <w:rsid w:val="45317DFB"/>
    <w:rsid w:val="456D3CE4"/>
    <w:rsid w:val="4579042C"/>
    <w:rsid w:val="457F0571"/>
    <w:rsid w:val="45851176"/>
    <w:rsid w:val="459534C4"/>
    <w:rsid w:val="45BE5A4B"/>
    <w:rsid w:val="45C078CD"/>
    <w:rsid w:val="45C63B94"/>
    <w:rsid w:val="460E7DA5"/>
    <w:rsid w:val="46422483"/>
    <w:rsid w:val="4659254A"/>
    <w:rsid w:val="465B0637"/>
    <w:rsid w:val="465E3F0D"/>
    <w:rsid w:val="466A16E6"/>
    <w:rsid w:val="46893F2B"/>
    <w:rsid w:val="46C4686E"/>
    <w:rsid w:val="46F16025"/>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82AE4"/>
    <w:rsid w:val="495F5B3E"/>
    <w:rsid w:val="496F77D7"/>
    <w:rsid w:val="497654FD"/>
    <w:rsid w:val="49B64211"/>
    <w:rsid w:val="49F6167F"/>
    <w:rsid w:val="4A064FA0"/>
    <w:rsid w:val="4A0D70A7"/>
    <w:rsid w:val="4A16615C"/>
    <w:rsid w:val="4A3026E9"/>
    <w:rsid w:val="4A3E412A"/>
    <w:rsid w:val="4A4424D7"/>
    <w:rsid w:val="4A902D26"/>
    <w:rsid w:val="4AB82D0F"/>
    <w:rsid w:val="4AEB7664"/>
    <w:rsid w:val="4AFD0668"/>
    <w:rsid w:val="4AFD7C19"/>
    <w:rsid w:val="4B0567D1"/>
    <w:rsid w:val="4B236AAE"/>
    <w:rsid w:val="4B707271"/>
    <w:rsid w:val="4B9739F7"/>
    <w:rsid w:val="4BA40904"/>
    <w:rsid w:val="4BEE2503"/>
    <w:rsid w:val="4C0E6FBE"/>
    <w:rsid w:val="4C245A30"/>
    <w:rsid w:val="4C685267"/>
    <w:rsid w:val="4CB6685F"/>
    <w:rsid w:val="4CC367FE"/>
    <w:rsid w:val="4CF277D5"/>
    <w:rsid w:val="4D077F3C"/>
    <w:rsid w:val="4D123355"/>
    <w:rsid w:val="4D2A3B31"/>
    <w:rsid w:val="4D312C52"/>
    <w:rsid w:val="4D7B06C9"/>
    <w:rsid w:val="4D905305"/>
    <w:rsid w:val="4D964A72"/>
    <w:rsid w:val="4D9C1254"/>
    <w:rsid w:val="4E4446C6"/>
    <w:rsid w:val="4E5412E9"/>
    <w:rsid w:val="4E793892"/>
    <w:rsid w:val="4E800872"/>
    <w:rsid w:val="4EC569ED"/>
    <w:rsid w:val="4ED50EA1"/>
    <w:rsid w:val="4EEC050C"/>
    <w:rsid w:val="4F104EC3"/>
    <w:rsid w:val="4F47354A"/>
    <w:rsid w:val="4F911C54"/>
    <w:rsid w:val="4FA9473B"/>
    <w:rsid w:val="4FE625E0"/>
    <w:rsid w:val="50142188"/>
    <w:rsid w:val="5021480F"/>
    <w:rsid w:val="50242014"/>
    <w:rsid w:val="50347664"/>
    <w:rsid w:val="50422DAE"/>
    <w:rsid w:val="505645F0"/>
    <w:rsid w:val="50962ECB"/>
    <w:rsid w:val="50A42E38"/>
    <w:rsid w:val="50A4577F"/>
    <w:rsid w:val="50B73D1F"/>
    <w:rsid w:val="50BD5BC9"/>
    <w:rsid w:val="50C11EEE"/>
    <w:rsid w:val="50E97CFC"/>
    <w:rsid w:val="50FA4028"/>
    <w:rsid w:val="510D65B7"/>
    <w:rsid w:val="511157AB"/>
    <w:rsid w:val="5142540C"/>
    <w:rsid w:val="514C2637"/>
    <w:rsid w:val="51627BA7"/>
    <w:rsid w:val="51762C9B"/>
    <w:rsid w:val="518832C8"/>
    <w:rsid w:val="519D3C50"/>
    <w:rsid w:val="51A0432A"/>
    <w:rsid w:val="51A430EA"/>
    <w:rsid w:val="51A86090"/>
    <w:rsid w:val="51B7396D"/>
    <w:rsid w:val="52007CE1"/>
    <w:rsid w:val="5209326F"/>
    <w:rsid w:val="522E4CC3"/>
    <w:rsid w:val="5244713B"/>
    <w:rsid w:val="52615633"/>
    <w:rsid w:val="526F4DE4"/>
    <w:rsid w:val="52977FD4"/>
    <w:rsid w:val="52A25790"/>
    <w:rsid w:val="52A96B6F"/>
    <w:rsid w:val="52B45975"/>
    <w:rsid w:val="52D94AA4"/>
    <w:rsid w:val="52EA3A62"/>
    <w:rsid w:val="52F50BB8"/>
    <w:rsid w:val="53097272"/>
    <w:rsid w:val="53335FA1"/>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432AA"/>
    <w:rsid w:val="55DC29B6"/>
    <w:rsid w:val="55DD4241"/>
    <w:rsid w:val="56687697"/>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7D0D92"/>
    <w:rsid w:val="58917D2F"/>
    <w:rsid w:val="5894085C"/>
    <w:rsid w:val="58AE4F0C"/>
    <w:rsid w:val="58B85899"/>
    <w:rsid w:val="58CC68D6"/>
    <w:rsid w:val="58E363A9"/>
    <w:rsid w:val="59134814"/>
    <w:rsid w:val="59166304"/>
    <w:rsid w:val="595E1678"/>
    <w:rsid w:val="596D5BD4"/>
    <w:rsid w:val="597E3DD8"/>
    <w:rsid w:val="598F3D08"/>
    <w:rsid w:val="59F80043"/>
    <w:rsid w:val="5A09252F"/>
    <w:rsid w:val="5A0B2778"/>
    <w:rsid w:val="5A2A7C7B"/>
    <w:rsid w:val="5A3E2560"/>
    <w:rsid w:val="5A5D3B6E"/>
    <w:rsid w:val="5A5D7F0E"/>
    <w:rsid w:val="5A637A76"/>
    <w:rsid w:val="5A6D33BA"/>
    <w:rsid w:val="5A792B1F"/>
    <w:rsid w:val="5A874767"/>
    <w:rsid w:val="5A8D06D7"/>
    <w:rsid w:val="5AA85BE2"/>
    <w:rsid w:val="5AAD6F28"/>
    <w:rsid w:val="5AC71D7A"/>
    <w:rsid w:val="5AD63A24"/>
    <w:rsid w:val="5B2E1A1D"/>
    <w:rsid w:val="5B7135D6"/>
    <w:rsid w:val="5B843A1C"/>
    <w:rsid w:val="5B873E3F"/>
    <w:rsid w:val="5B8B64B6"/>
    <w:rsid w:val="5BC3354F"/>
    <w:rsid w:val="5C02690E"/>
    <w:rsid w:val="5C196DA7"/>
    <w:rsid w:val="5C2A048C"/>
    <w:rsid w:val="5C80234E"/>
    <w:rsid w:val="5C8A680C"/>
    <w:rsid w:val="5CED4057"/>
    <w:rsid w:val="5D0C4701"/>
    <w:rsid w:val="5D0F0395"/>
    <w:rsid w:val="5D221076"/>
    <w:rsid w:val="5D397964"/>
    <w:rsid w:val="5D5A391C"/>
    <w:rsid w:val="5D5F10C0"/>
    <w:rsid w:val="5D891B7B"/>
    <w:rsid w:val="5DAD38EE"/>
    <w:rsid w:val="5E006862"/>
    <w:rsid w:val="5E0207B9"/>
    <w:rsid w:val="5E1834A1"/>
    <w:rsid w:val="5E261785"/>
    <w:rsid w:val="5E27164D"/>
    <w:rsid w:val="5E3C2FCF"/>
    <w:rsid w:val="5E4A7017"/>
    <w:rsid w:val="5E552BBA"/>
    <w:rsid w:val="5E611C10"/>
    <w:rsid w:val="5E7A0F3F"/>
    <w:rsid w:val="5EFC7377"/>
    <w:rsid w:val="5F06174D"/>
    <w:rsid w:val="5F3A3602"/>
    <w:rsid w:val="5F45733B"/>
    <w:rsid w:val="5F6277C6"/>
    <w:rsid w:val="5F697A43"/>
    <w:rsid w:val="5F6D0B1D"/>
    <w:rsid w:val="5F8D0B82"/>
    <w:rsid w:val="5FB87657"/>
    <w:rsid w:val="5FCC5339"/>
    <w:rsid w:val="5FE34A5B"/>
    <w:rsid w:val="5FFE1E36"/>
    <w:rsid w:val="60232584"/>
    <w:rsid w:val="6066073A"/>
    <w:rsid w:val="607330CE"/>
    <w:rsid w:val="60825176"/>
    <w:rsid w:val="609F2AC4"/>
    <w:rsid w:val="60A07FA2"/>
    <w:rsid w:val="60C10BE9"/>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B2F24"/>
    <w:rsid w:val="62EF634C"/>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D5757F"/>
    <w:rsid w:val="653C3090"/>
    <w:rsid w:val="65854376"/>
    <w:rsid w:val="658767BE"/>
    <w:rsid w:val="65892531"/>
    <w:rsid w:val="66195831"/>
    <w:rsid w:val="662E75B1"/>
    <w:rsid w:val="66342C2E"/>
    <w:rsid w:val="663E784C"/>
    <w:rsid w:val="66596D71"/>
    <w:rsid w:val="667F4C31"/>
    <w:rsid w:val="668B6A45"/>
    <w:rsid w:val="66B27F22"/>
    <w:rsid w:val="671668AF"/>
    <w:rsid w:val="672F3F24"/>
    <w:rsid w:val="673E055F"/>
    <w:rsid w:val="67551CE3"/>
    <w:rsid w:val="6793366B"/>
    <w:rsid w:val="67A22552"/>
    <w:rsid w:val="67B22DCC"/>
    <w:rsid w:val="67BE71AA"/>
    <w:rsid w:val="67D90273"/>
    <w:rsid w:val="67DE5875"/>
    <w:rsid w:val="67E02EE9"/>
    <w:rsid w:val="67E55852"/>
    <w:rsid w:val="67EB1AB4"/>
    <w:rsid w:val="67FA1285"/>
    <w:rsid w:val="68551F4F"/>
    <w:rsid w:val="687C10C9"/>
    <w:rsid w:val="687D201F"/>
    <w:rsid w:val="68840C16"/>
    <w:rsid w:val="68876EFB"/>
    <w:rsid w:val="68884654"/>
    <w:rsid w:val="689B6598"/>
    <w:rsid w:val="689F444F"/>
    <w:rsid w:val="68B96DBB"/>
    <w:rsid w:val="68CA2805"/>
    <w:rsid w:val="68E937A3"/>
    <w:rsid w:val="691F0616"/>
    <w:rsid w:val="693E15D3"/>
    <w:rsid w:val="69627681"/>
    <w:rsid w:val="6977531D"/>
    <w:rsid w:val="699F004E"/>
    <w:rsid w:val="69CC2BFF"/>
    <w:rsid w:val="69FD55B8"/>
    <w:rsid w:val="6A0B1C62"/>
    <w:rsid w:val="6A2406C8"/>
    <w:rsid w:val="6ADE0BD1"/>
    <w:rsid w:val="6AE96859"/>
    <w:rsid w:val="6B147746"/>
    <w:rsid w:val="6B24787C"/>
    <w:rsid w:val="6B3A3F04"/>
    <w:rsid w:val="6B414B0E"/>
    <w:rsid w:val="6B573233"/>
    <w:rsid w:val="6B5B6274"/>
    <w:rsid w:val="6B935D53"/>
    <w:rsid w:val="6C0528A2"/>
    <w:rsid w:val="6C196F71"/>
    <w:rsid w:val="6C226FCB"/>
    <w:rsid w:val="6C31226F"/>
    <w:rsid w:val="6C552F0B"/>
    <w:rsid w:val="6C67070F"/>
    <w:rsid w:val="6C8C67B7"/>
    <w:rsid w:val="6C9D744C"/>
    <w:rsid w:val="6CCB7152"/>
    <w:rsid w:val="6D167928"/>
    <w:rsid w:val="6D26299B"/>
    <w:rsid w:val="6D4772EC"/>
    <w:rsid w:val="6D9078AF"/>
    <w:rsid w:val="6DAA3FEF"/>
    <w:rsid w:val="6DC0172B"/>
    <w:rsid w:val="6DCB690C"/>
    <w:rsid w:val="6DD41A5B"/>
    <w:rsid w:val="6DF30F04"/>
    <w:rsid w:val="6DF43C2E"/>
    <w:rsid w:val="6DF51CA3"/>
    <w:rsid w:val="6E8335BD"/>
    <w:rsid w:val="6E8E12EF"/>
    <w:rsid w:val="6E972936"/>
    <w:rsid w:val="6EC16F54"/>
    <w:rsid w:val="6ED12BD3"/>
    <w:rsid w:val="6ED446C5"/>
    <w:rsid w:val="6F2A7D94"/>
    <w:rsid w:val="6F8331F1"/>
    <w:rsid w:val="6FAE1A09"/>
    <w:rsid w:val="6FD75BF8"/>
    <w:rsid w:val="70511770"/>
    <w:rsid w:val="707723D0"/>
    <w:rsid w:val="70F5661B"/>
    <w:rsid w:val="710A7717"/>
    <w:rsid w:val="7133646B"/>
    <w:rsid w:val="71360107"/>
    <w:rsid w:val="713B688E"/>
    <w:rsid w:val="71937000"/>
    <w:rsid w:val="71D43752"/>
    <w:rsid w:val="71EB3852"/>
    <w:rsid w:val="71F1796A"/>
    <w:rsid w:val="72154626"/>
    <w:rsid w:val="72262B5D"/>
    <w:rsid w:val="72283FF7"/>
    <w:rsid w:val="722E7212"/>
    <w:rsid w:val="723A0474"/>
    <w:rsid w:val="725923E4"/>
    <w:rsid w:val="72864BF7"/>
    <w:rsid w:val="729023FC"/>
    <w:rsid w:val="72BC71CF"/>
    <w:rsid w:val="73073770"/>
    <w:rsid w:val="73C0646E"/>
    <w:rsid w:val="742222F5"/>
    <w:rsid w:val="74476126"/>
    <w:rsid w:val="744F75DB"/>
    <w:rsid w:val="74706664"/>
    <w:rsid w:val="747F3682"/>
    <w:rsid w:val="748745CC"/>
    <w:rsid w:val="749C4185"/>
    <w:rsid w:val="75067759"/>
    <w:rsid w:val="752E6DCD"/>
    <w:rsid w:val="753C30FF"/>
    <w:rsid w:val="7551380D"/>
    <w:rsid w:val="75600BE5"/>
    <w:rsid w:val="7564475C"/>
    <w:rsid w:val="7583797F"/>
    <w:rsid w:val="75B33A72"/>
    <w:rsid w:val="75D20F1D"/>
    <w:rsid w:val="75DA2C18"/>
    <w:rsid w:val="75F54412"/>
    <w:rsid w:val="761D08E0"/>
    <w:rsid w:val="765D347C"/>
    <w:rsid w:val="76640BD5"/>
    <w:rsid w:val="76826699"/>
    <w:rsid w:val="768B0D8B"/>
    <w:rsid w:val="76C87133"/>
    <w:rsid w:val="76CD08D5"/>
    <w:rsid w:val="76DB4B92"/>
    <w:rsid w:val="77052AA4"/>
    <w:rsid w:val="77136511"/>
    <w:rsid w:val="77340A39"/>
    <w:rsid w:val="77351FD0"/>
    <w:rsid w:val="77472422"/>
    <w:rsid w:val="775C1463"/>
    <w:rsid w:val="777F31F2"/>
    <w:rsid w:val="779E42D6"/>
    <w:rsid w:val="77D1700D"/>
    <w:rsid w:val="77EC0499"/>
    <w:rsid w:val="77EC04CC"/>
    <w:rsid w:val="77F5068A"/>
    <w:rsid w:val="78010C48"/>
    <w:rsid w:val="78775729"/>
    <w:rsid w:val="787A30F6"/>
    <w:rsid w:val="787F3806"/>
    <w:rsid w:val="78A42DB0"/>
    <w:rsid w:val="78A656AB"/>
    <w:rsid w:val="78B2245C"/>
    <w:rsid w:val="78E172CC"/>
    <w:rsid w:val="78EA1D1F"/>
    <w:rsid w:val="7904172F"/>
    <w:rsid w:val="790F7E27"/>
    <w:rsid w:val="792A231A"/>
    <w:rsid w:val="79316829"/>
    <w:rsid w:val="797E66A9"/>
    <w:rsid w:val="798518A4"/>
    <w:rsid w:val="79A97383"/>
    <w:rsid w:val="79DE7881"/>
    <w:rsid w:val="79E27E8B"/>
    <w:rsid w:val="79F850CE"/>
    <w:rsid w:val="79FD443C"/>
    <w:rsid w:val="7A1D1975"/>
    <w:rsid w:val="7A3E5150"/>
    <w:rsid w:val="7A4670D6"/>
    <w:rsid w:val="7A534B63"/>
    <w:rsid w:val="7A615382"/>
    <w:rsid w:val="7A67303B"/>
    <w:rsid w:val="7AAB1D04"/>
    <w:rsid w:val="7ABA4368"/>
    <w:rsid w:val="7AD05746"/>
    <w:rsid w:val="7AEE2C05"/>
    <w:rsid w:val="7B257FFD"/>
    <w:rsid w:val="7B343476"/>
    <w:rsid w:val="7B463490"/>
    <w:rsid w:val="7B5A2978"/>
    <w:rsid w:val="7B5A7E4C"/>
    <w:rsid w:val="7B667AF9"/>
    <w:rsid w:val="7B7468F8"/>
    <w:rsid w:val="7BEE0103"/>
    <w:rsid w:val="7C0A0FE4"/>
    <w:rsid w:val="7C254906"/>
    <w:rsid w:val="7C5179AD"/>
    <w:rsid w:val="7C590818"/>
    <w:rsid w:val="7C7C10F6"/>
    <w:rsid w:val="7C853BEA"/>
    <w:rsid w:val="7C881368"/>
    <w:rsid w:val="7CE27788"/>
    <w:rsid w:val="7CF54406"/>
    <w:rsid w:val="7D0C32F1"/>
    <w:rsid w:val="7D0F408D"/>
    <w:rsid w:val="7D4540B8"/>
    <w:rsid w:val="7D491C6C"/>
    <w:rsid w:val="7D4D5E56"/>
    <w:rsid w:val="7D5429C0"/>
    <w:rsid w:val="7D6E6D43"/>
    <w:rsid w:val="7DB57A34"/>
    <w:rsid w:val="7DBF0CBB"/>
    <w:rsid w:val="7DE60973"/>
    <w:rsid w:val="7DEF0916"/>
    <w:rsid w:val="7E1E5218"/>
    <w:rsid w:val="7E43114E"/>
    <w:rsid w:val="7E6B033E"/>
    <w:rsid w:val="7E933D3D"/>
    <w:rsid w:val="7E9A4E1F"/>
    <w:rsid w:val="7EA7723A"/>
    <w:rsid w:val="7EF56FBB"/>
    <w:rsid w:val="7F0768EB"/>
    <w:rsid w:val="7F143BEC"/>
    <w:rsid w:val="7F5F6DDC"/>
    <w:rsid w:val="7F715AF2"/>
    <w:rsid w:val="7F886E69"/>
    <w:rsid w:val="7F8E5B5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5"/>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 Spacing"/>
    <w:basedOn w:val="1"/>
    <w:link w:val="931"/>
    <w:qFormat/>
    <w:uiPriority w:val="99"/>
    <w:rPr>
      <w:szCs w:val="22"/>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basedOn w:val="1"/>
    <w:next w:val="1"/>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20"/>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basedOn w:val="70"/>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basedOn w:val="70"/>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next w:val="234"/>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basedOn w:val="70"/>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5"/>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font101"/>
    <w:basedOn w:val="70"/>
    <w:qFormat/>
    <w:uiPriority w:val="0"/>
    <w:rPr>
      <w:rFonts w:hint="eastAsia" w:ascii="楷体" w:hAnsi="楷体" w:eastAsia="楷体" w:cs="楷体"/>
      <w:b/>
      <w:bCs/>
      <w:color w:val="000000"/>
      <w:sz w:val="24"/>
      <w:szCs w:val="24"/>
      <w:u w:val="none"/>
    </w:rPr>
  </w:style>
  <w:style w:type="paragraph" w:customStyle="1" w:styleId="964">
    <w:name w:val="正文_0"/>
    <w:basedOn w:val="965"/>
    <w:qFormat/>
    <w:uiPriority w:val="0"/>
    <w:rPr>
      <w:rFonts w:ascii="Times New Roman" w:hAnsi="Times New Roman"/>
      <w:szCs w:val="21"/>
    </w:rPr>
  </w:style>
  <w:style w:type="paragraph" w:customStyle="1" w:styleId="965">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101</Pages>
  <Words>53762</Words>
  <Characters>57886</Characters>
  <Lines>1</Lines>
  <Paragraphs>1</Paragraphs>
  <TotalTime>2</TotalTime>
  <ScaleCrop>false</ScaleCrop>
  <LinksUpToDate>false</LinksUpToDate>
  <CharactersWithSpaces>63230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Fly</cp:lastModifiedBy>
  <cp:lastPrinted>2024-06-06T02:20:00Z</cp:lastPrinted>
  <dcterms:modified xsi:type="dcterms:W3CDTF">2024-08-29T07:23:52Z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12D50A1A2AF746B294F3A3BADFDECF23_13</vt:lpwstr>
  </property>
</Properties>
</file>