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hint="eastAsia" w:ascii="宋体" w:hAnsi="宋体" w:eastAsia="宋体" w:cs="宋体"/>
          <w:b/>
          <w:color w:val="auto"/>
          <w:sz w:val="24"/>
          <w:highlight w:val="none"/>
        </w:rPr>
      </w:pPr>
    </w:p>
    <w:p w14:paraId="0A5C5A0D">
      <w:pPr>
        <w:spacing w:line="360" w:lineRule="auto"/>
        <w:jc w:val="center"/>
        <w:rPr>
          <w:rFonts w:hint="eastAsia" w:ascii="宋体" w:hAnsi="宋体" w:eastAsia="宋体" w:cs="宋体"/>
          <w:b/>
          <w:color w:val="auto"/>
          <w:sz w:val="24"/>
          <w:highlight w:val="none"/>
        </w:rPr>
      </w:pPr>
    </w:p>
    <w:p w14:paraId="0F01F23D">
      <w:pPr>
        <w:adjustRightInd/>
        <w:spacing w:line="360" w:lineRule="auto"/>
        <w:jc w:val="center"/>
        <w:rPr>
          <w:rFonts w:hint="eastAsia" w:ascii="宋体" w:hAnsi="宋体" w:eastAsia="宋体" w:cs="宋体"/>
          <w:b/>
          <w:color w:val="auto"/>
          <w:sz w:val="36"/>
          <w:szCs w:val="36"/>
          <w:highlight w:val="none"/>
          <w:lang w:val="en-US" w:eastAsia="zh-CN"/>
        </w:rPr>
      </w:pPr>
      <w:r>
        <w:rPr>
          <w:rFonts w:hint="eastAsia" w:ascii="宋体" w:hAnsi="宋体" w:cs="宋体"/>
          <w:b/>
          <w:color w:val="auto"/>
          <w:sz w:val="36"/>
          <w:szCs w:val="36"/>
          <w:highlight w:val="none"/>
          <w:lang w:val="en-US" w:eastAsia="zh-CN"/>
        </w:rPr>
        <w:t>2025年96110接线处置项目</w:t>
      </w:r>
    </w:p>
    <w:p w14:paraId="2D21FA52">
      <w:pPr>
        <w:pStyle w:val="79"/>
        <w:rPr>
          <w:rFonts w:hint="eastAsia" w:ascii="宋体" w:hAnsi="宋体" w:eastAsia="宋体" w:cs="宋体"/>
          <w:b/>
          <w:color w:val="auto"/>
          <w:sz w:val="36"/>
          <w:szCs w:val="36"/>
          <w:highlight w:val="none"/>
          <w:lang w:val="en-US" w:eastAsia="zh-CN"/>
        </w:rPr>
      </w:pPr>
    </w:p>
    <w:p w14:paraId="584B50ED">
      <w:pPr>
        <w:pStyle w:val="79"/>
        <w:rPr>
          <w:rFonts w:hint="eastAsia" w:ascii="宋体" w:hAnsi="宋体" w:eastAsia="宋体" w:cs="宋体"/>
          <w:b/>
          <w:color w:val="auto"/>
          <w:sz w:val="36"/>
          <w:szCs w:val="36"/>
          <w:highlight w:val="none"/>
          <w:lang w:val="en-US" w:eastAsia="zh-CN"/>
        </w:rPr>
      </w:pPr>
    </w:p>
    <w:p w14:paraId="1AC59923">
      <w:pPr>
        <w:pStyle w:val="79"/>
        <w:rPr>
          <w:rFonts w:hint="eastAsia" w:ascii="宋体" w:hAnsi="宋体" w:eastAsia="宋体" w:cs="宋体"/>
          <w:b/>
          <w:color w:val="auto"/>
          <w:sz w:val="36"/>
          <w:szCs w:val="36"/>
          <w:highlight w:val="none"/>
          <w:lang w:val="en-US" w:eastAsia="zh-CN"/>
        </w:rPr>
      </w:pPr>
    </w:p>
    <w:p w14:paraId="2624E31A">
      <w:pPr>
        <w:pStyle w:val="79"/>
        <w:rPr>
          <w:rFonts w:hint="eastAsia" w:ascii="宋体" w:hAnsi="宋体" w:eastAsia="宋体" w:cs="宋体"/>
          <w:b/>
          <w:color w:val="auto"/>
          <w:sz w:val="36"/>
          <w:szCs w:val="36"/>
          <w:highlight w:val="none"/>
          <w:lang w:val="en-US" w:eastAsia="zh-CN"/>
        </w:rPr>
      </w:pPr>
    </w:p>
    <w:p w14:paraId="4BB213BE">
      <w:pPr>
        <w:pStyle w:val="79"/>
        <w:rPr>
          <w:rFonts w:hint="eastAsia" w:ascii="宋体" w:hAnsi="宋体" w:eastAsia="宋体" w:cs="宋体"/>
          <w:b/>
          <w:color w:val="auto"/>
          <w:sz w:val="36"/>
          <w:szCs w:val="36"/>
          <w:highlight w:val="none"/>
          <w:lang w:val="en-US" w:eastAsia="zh-CN"/>
        </w:rPr>
      </w:pPr>
    </w:p>
    <w:p w14:paraId="7F808CB1">
      <w:pPr>
        <w:adjustRightInd/>
        <w:spacing w:line="360" w:lineRule="auto"/>
        <w:jc w:val="center"/>
        <w:rPr>
          <w:rFonts w:hint="eastAsia" w:ascii="宋体" w:hAnsi="宋体" w:eastAsia="宋体" w:cs="宋体"/>
          <w:b/>
          <w:bCs/>
          <w:color w:val="auto"/>
          <w:sz w:val="48"/>
          <w:szCs w:val="48"/>
          <w:highlight w:val="none"/>
        </w:rPr>
      </w:pPr>
      <w:r>
        <w:rPr>
          <w:rFonts w:hint="eastAsia" w:ascii="宋体" w:hAnsi="宋体" w:eastAsia="宋体" w:cs="宋体"/>
          <w:b/>
          <w:bCs/>
          <w:color w:val="auto"/>
          <w:sz w:val="48"/>
          <w:szCs w:val="48"/>
          <w:highlight w:val="none"/>
        </w:rPr>
        <w:t xml:space="preserve">招标文件 </w:t>
      </w:r>
    </w:p>
    <w:p w14:paraId="2C8D9204">
      <w:pPr>
        <w:adjustRightInd/>
        <w:spacing w:line="360" w:lineRule="auto"/>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 xml:space="preserve"> （电子招投标）</w:t>
      </w:r>
    </w:p>
    <w:p w14:paraId="2C604F52">
      <w:pPr>
        <w:snapToGrid w:val="0"/>
        <w:spacing w:line="360" w:lineRule="auto"/>
        <w:jc w:val="center"/>
        <w:rPr>
          <w:rFonts w:hint="eastAsia" w:ascii="宋体" w:hAnsi="宋体" w:eastAsia="宋体" w:cs="宋体"/>
          <w:color w:val="auto"/>
          <w:sz w:val="30"/>
          <w:szCs w:val="30"/>
          <w:highlight w:val="none"/>
        </w:rPr>
      </w:pPr>
    </w:p>
    <w:p w14:paraId="1F4C79A8">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val="en-US" w:eastAsia="zh-CN"/>
        </w:rPr>
        <w:t>ZJHY-ZCFW-20250317</w:t>
      </w:r>
    </w:p>
    <w:p w14:paraId="5BBD926D">
      <w:pPr>
        <w:adjustRightInd/>
        <w:spacing w:line="360" w:lineRule="auto"/>
        <w:rPr>
          <w:rFonts w:hint="eastAsia" w:ascii="宋体" w:hAnsi="宋体" w:eastAsia="宋体" w:cs="宋体"/>
          <w:color w:val="auto"/>
          <w:sz w:val="28"/>
          <w:szCs w:val="20"/>
          <w:highlight w:val="none"/>
        </w:rPr>
      </w:pPr>
    </w:p>
    <w:p w14:paraId="5649A9C9">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5BC8996A">
      <w:pPr>
        <w:spacing w:line="360" w:lineRule="auto"/>
        <w:jc w:val="center"/>
        <w:rPr>
          <w:rFonts w:hint="eastAsia" w:ascii="宋体" w:hAnsi="宋体" w:eastAsia="宋体" w:cs="宋体"/>
          <w:b/>
          <w:color w:val="auto"/>
          <w:sz w:val="44"/>
          <w:szCs w:val="44"/>
          <w:highlight w:val="none"/>
        </w:rPr>
      </w:pPr>
    </w:p>
    <w:p w14:paraId="6854E374">
      <w:pPr>
        <w:spacing w:line="360" w:lineRule="auto"/>
        <w:jc w:val="center"/>
        <w:rPr>
          <w:rFonts w:hint="eastAsia" w:ascii="宋体" w:hAnsi="宋体" w:eastAsia="宋体" w:cs="宋体"/>
          <w:color w:val="auto"/>
          <w:sz w:val="24"/>
          <w:highlight w:val="none"/>
        </w:rPr>
      </w:pPr>
    </w:p>
    <w:p w14:paraId="46C38D6F">
      <w:pPr>
        <w:spacing w:line="360" w:lineRule="auto"/>
        <w:jc w:val="center"/>
        <w:rPr>
          <w:rFonts w:hint="eastAsia" w:ascii="宋体" w:hAnsi="宋体" w:eastAsia="宋体" w:cs="宋体"/>
          <w:color w:val="auto"/>
          <w:sz w:val="24"/>
          <w:highlight w:val="none"/>
        </w:rPr>
      </w:pPr>
    </w:p>
    <w:p w14:paraId="72941B48">
      <w:pPr>
        <w:spacing w:line="360" w:lineRule="auto"/>
        <w:rPr>
          <w:rFonts w:hint="eastAsia" w:ascii="宋体" w:hAnsi="宋体" w:eastAsia="宋体" w:cs="宋体"/>
          <w:color w:val="auto"/>
          <w:sz w:val="32"/>
          <w:szCs w:val="32"/>
          <w:highlight w:val="none"/>
        </w:rPr>
      </w:pPr>
    </w:p>
    <w:p w14:paraId="61D3772C">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采购人：</w:t>
      </w:r>
      <w:r>
        <w:rPr>
          <w:rFonts w:hint="eastAsia" w:ascii="宋体" w:hAnsi="宋体" w:cs="宋体"/>
          <w:color w:val="auto"/>
          <w:sz w:val="32"/>
          <w:szCs w:val="32"/>
          <w:highlight w:val="none"/>
          <w:lang w:eastAsia="zh-CN"/>
        </w:rPr>
        <w:t>杭州市公安局余杭区分局</w:t>
      </w:r>
      <w:r>
        <w:rPr>
          <w:rFonts w:hint="eastAsia" w:ascii="宋体" w:hAnsi="宋体" w:eastAsia="宋体" w:cs="宋体"/>
          <w:color w:val="auto"/>
          <w:sz w:val="32"/>
          <w:szCs w:val="32"/>
          <w:highlight w:val="none"/>
        </w:rPr>
        <w:t xml:space="preserve"> </w:t>
      </w:r>
    </w:p>
    <w:p w14:paraId="7C92E6AE">
      <w:pPr>
        <w:snapToGrid w:val="0"/>
        <w:spacing w:line="360" w:lineRule="auto"/>
        <w:jc w:val="center"/>
        <w:rPr>
          <w:rFonts w:hint="eastAsia" w:ascii="宋体" w:hAnsi="宋体" w:eastAsia="宋体" w:cs="宋体"/>
          <w:bCs/>
          <w:color w:val="auto"/>
          <w:sz w:val="32"/>
          <w:szCs w:val="32"/>
          <w:highlight w:val="none"/>
          <w:lang w:val="en-US" w:eastAsia="zh-CN"/>
        </w:rPr>
      </w:pPr>
      <w:r>
        <w:rPr>
          <w:rFonts w:hint="eastAsia" w:ascii="宋体" w:hAnsi="宋体" w:eastAsia="宋体" w:cs="宋体"/>
          <w:bCs/>
          <w:color w:val="auto"/>
          <w:sz w:val="32"/>
          <w:szCs w:val="32"/>
          <w:highlight w:val="none"/>
        </w:rPr>
        <w:t>采购代理机构：</w:t>
      </w:r>
      <w:r>
        <w:rPr>
          <w:rFonts w:hint="eastAsia" w:ascii="宋体" w:hAnsi="宋体" w:eastAsia="宋体" w:cs="宋体"/>
          <w:bCs/>
          <w:color w:val="auto"/>
          <w:sz w:val="32"/>
          <w:szCs w:val="32"/>
          <w:highlight w:val="none"/>
          <w:lang w:val="en-US" w:eastAsia="zh-CN"/>
        </w:rPr>
        <w:t>浙江和源项目管理有限公司</w:t>
      </w:r>
    </w:p>
    <w:p w14:paraId="59BEA590">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eastAsia="宋体" w:cs="宋体"/>
          <w:bCs/>
          <w:color w:val="auto"/>
          <w:sz w:val="32"/>
          <w:szCs w:val="32"/>
          <w:highlight w:val="none"/>
          <w:lang w:val="en-US" w:eastAsia="zh-CN"/>
        </w:rPr>
        <w:t>五</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eastAsia="宋体" w:cs="宋体"/>
          <w:bCs/>
          <w:color w:val="auto"/>
          <w:sz w:val="32"/>
          <w:szCs w:val="32"/>
          <w:highlight w:val="none"/>
        </w:rPr>
        <w:t>月</w:t>
      </w:r>
    </w:p>
    <w:p w14:paraId="0875FCC9">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19A67650">
      <w:pPr>
        <w:pStyle w:val="637"/>
        <w:rPr>
          <w:rFonts w:hint="eastAsia" w:ascii="宋体" w:hAnsi="宋体" w:eastAsia="宋体" w:cs="宋体"/>
          <w:color w:val="auto"/>
          <w:highlight w:val="none"/>
        </w:rPr>
      </w:pPr>
    </w:p>
    <w:p w14:paraId="6FA1B737">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486412B2">
      <w:pPr>
        <w:spacing w:line="360" w:lineRule="auto"/>
        <w:rPr>
          <w:rFonts w:hint="eastAsia" w:ascii="宋体" w:hAnsi="宋体" w:eastAsia="宋体" w:cs="宋体"/>
          <w:color w:val="auto"/>
          <w:sz w:val="32"/>
          <w:szCs w:val="32"/>
          <w:highlight w:val="none"/>
        </w:rPr>
      </w:pPr>
    </w:p>
    <w:p w14:paraId="1D3A535C">
      <w:pPr>
        <w:spacing w:line="360" w:lineRule="auto"/>
        <w:rPr>
          <w:rFonts w:hint="eastAsia" w:ascii="宋体" w:hAnsi="宋体" w:eastAsia="宋体" w:cs="宋体"/>
          <w:color w:val="auto"/>
          <w:sz w:val="32"/>
          <w:szCs w:val="32"/>
          <w:highlight w:val="none"/>
        </w:rPr>
      </w:pPr>
    </w:p>
    <w:p w14:paraId="7BE113A9">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2E973D9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22203D1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66EF074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7309CF1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1F6815E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11AB8175">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hint="eastAsia" w:ascii="宋体" w:hAnsi="宋体" w:eastAsia="宋体" w:cs="宋体"/>
          <w:color w:val="auto"/>
          <w:sz w:val="24"/>
          <w:highlight w:val="none"/>
        </w:rPr>
      </w:pPr>
    </w:p>
    <w:p w14:paraId="4B655421">
      <w:pPr>
        <w:spacing w:line="360" w:lineRule="auto"/>
        <w:ind w:firstLine="549" w:firstLineChars="229"/>
        <w:rPr>
          <w:rFonts w:hint="eastAsia" w:ascii="宋体" w:hAnsi="宋体" w:eastAsia="宋体" w:cs="宋体"/>
          <w:color w:val="auto"/>
          <w:sz w:val="24"/>
          <w:highlight w:val="none"/>
        </w:rPr>
      </w:pPr>
    </w:p>
    <w:p w14:paraId="0737F2FF">
      <w:pPr>
        <w:spacing w:line="360" w:lineRule="auto"/>
        <w:ind w:firstLine="549" w:firstLineChars="229"/>
        <w:rPr>
          <w:rFonts w:hint="eastAsia" w:ascii="宋体" w:hAnsi="宋体" w:eastAsia="宋体" w:cs="宋体"/>
          <w:color w:val="auto"/>
          <w:sz w:val="24"/>
          <w:highlight w:val="none"/>
        </w:rPr>
      </w:pPr>
    </w:p>
    <w:p w14:paraId="0D24148D">
      <w:pPr>
        <w:spacing w:line="360" w:lineRule="auto"/>
        <w:ind w:firstLine="549" w:firstLineChars="229"/>
        <w:rPr>
          <w:rFonts w:hint="eastAsia" w:ascii="宋体" w:hAnsi="宋体" w:eastAsia="宋体" w:cs="宋体"/>
          <w:color w:val="auto"/>
          <w:sz w:val="24"/>
          <w:highlight w:val="none"/>
        </w:rPr>
      </w:pPr>
    </w:p>
    <w:p w14:paraId="78FDDF64">
      <w:pPr>
        <w:spacing w:line="360" w:lineRule="auto"/>
        <w:ind w:firstLine="549" w:firstLineChars="229"/>
        <w:rPr>
          <w:rFonts w:hint="eastAsia" w:ascii="宋体" w:hAnsi="宋体" w:eastAsia="宋体" w:cs="宋体"/>
          <w:color w:val="auto"/>
          <w:sz w:val="24"/>
          <w:highlight w:val="none"/>
        </w:rPr>
      </w:pPr>
    </w:p>
    <w:p w14:paraId="0A915DB0">
      <w:pPr>
        <w:spacing w:line="360" w:lineRule="auto"/>
        <w:ind w:firstLine="549" w:firstLineChars="229"/>
        <w:rPr>
          <w:rFonts w:hint="eastAsia" w:ascii="宋体" w:hAnsi="宋体" w:eastAsia="宋体" w:cs="宋体"/>
          <w:color w:val="auto"/>
          <w:sz w:val="24"/>
          <w:highlight w:val="none"/>
        </w:rPr>
      </w:pPr>
    </w:p>
    <w:p w14:paraId="0B435453">
      <w:pPr>
        <w:spacing w:line="360" w:lineRule="auto"/>
        <w:ind w:firstLine="549" w:firstLineChars="229"/>
        <w:rPr>
          <w:rFonts w:hint="eastAsia" w:ascii="宋体" w:hAnsi="宋体" w:eastAsia="宋体" w:cs="宋体"/>
          <w:color w:val="auto"/>
          <w:sz w:val="24"/>
          <w:highlight w:val="none"/>
        </w:rPr>
      </w:pPr>
    </w:p>
    <w:p w14:paraId="283CD491">
      <w:pPr>
        <w:spacing w:line="360" w:lineRule="auto"/>
        <w:ind w:firstLine="549" w:firstLineChars="229"/>
        <w:rPr>
          <w:rFonts w:hint="eastAsia" w:ascii="宋体" w:hAnsi="宋体" w:eastAsia="宋体" w:cs="宋体"/>
          <w:color w:val="auto"/>
          <w:sz w:val="24"/>
          <w:highlight w:val="none"/>
        </w:rPr>
      </w:pPr>
    </w:p>
    <w:p w14:paraId="6721B4C0">
      <w:pPr>
        <w:spacing w:line="360" w:lineRule="auto"/>
        <w:ind w:firstLine="549" w:firstLineChars="229"/>
        <w:rPr>
          <w:rFonts w:hint="eastAsia" w:ascii="宋体" w:hAnsi="宋体" w:eastAsia="宋体" w:cs="宋体"/>
          <w:color w:val="auto"/>
          <w:sz w:val="24"/>
          <w:highlight w:val="none"/>
        </w:rPr>
      </w:pPr>
    </w:p>
    <w:p w14:paraId="578FE1E8">
      <w:pPr>
        <w:spacing w:line="360" w:lineRule="auto"/>
        <w:ind w:firstLine="549" w:firstLineChars="229"/>
        <w:rPr>
          <w:rFonts w:hint="eastAsia" w:ascii="宋体" w:hAnsi="宋体" w:eastAsia="宋体" w:cs="宋体"/>
          <w:color w:val="auto"/>
          <w:sz w:val="24"/>
          <w:highlight w:val="none"/>
        </w:rPr>
      </w:pPr>
    </w:p>
    <w:p w14:paraId="38BD0AC8">
      <w:pPr>
        <w:spacing w:line="360" w:lineRule="auto"/>
        <w:ind w:firstLine="549" w:firstLineChars="229"/>
        <w:rPr>
          <w:rFonts w:hint="eastAsia" w:ascii="宋体" w:hAnsi="宋体" w:eastAsia="宋体" w:cs="宋体"/>
          <w:color w:val="auto"/>
          <w:sz w:val="24"/>
          <w:highlight w:val="none"/>
        </w:rPr>
      </w:pPr>
    </w:p>
    <w:p w14:paraId="0D0F25D2">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bookmarkStart w:id="525" w:name="_GoBack"/>
      <w:bookmarkEnd w:id="525"/>
    </w:p>
    <w:p w14:paraId="26C42557">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77733431">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u w:val="single"/>
          <w:lang w:val="en-US" w:eastAsia="zh-CN"/>
        </w:rPr>
        <w:t>2025年96110接线处置项目</w:t>
      </w:r>
      <w:r>
        <w:rPr>
          <w:rFonts w:hint="eastAsia" w:ascii="宋体" w:hAnsi="宋体" w:eastAsia="宋体" w:cs="宋体"/>
          <w:color w:val="auto"/>
          <w:sz w:val="21"/>
          <w:szCs w:val="21"/>
          <w:highlight w:val="none"/>
        </w:rPr>
        <w:t>招标项目的潜在投标人应在政采云平台（</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"https://www.zcygov.cn/）获取（下载）招标文件，并于202%20年%20月%20日%20点%20分00秒" </w:instrText>
      </w:r>
      <w:r>
        <w:rPr>
          <w:rFonts w:hint="eastAsia" w:ascii="宋体" w:hAnsi="宋体" w:eastAsia="宋体" w:cs="宋体"/>
          <w:color w:val="auto"/>
          <w:sz w:val="21"/>
          <w:szCs w:val="21"/>
          <w:highlight w:val="none"/>
        </w:rPr>
        <w:fldChar w:fldCharType="separate"/>
      </w:r>
      <w:r>
        <w:rPr>
          <w:rStyle w:val="76"/>
          <w:rFonts w:hint="eastAsia" w:ascii="宋体" w:hAnsi="宋体" w:eastAsia="宋体" w:cs="宋体"/>
          <w:snapToGrid/>
          <w:color w:val="auto"/>
          <w:kern w:val="2"/>
          <w:sz w:val="21"/>
          <w:szCs w:val="21"/>
          <w:highlight w:val="none"/>
        </w:rPr>
        <w:t>https://www.zcygov.cn/）获取（下载）招标文件，并于</w:t>
      </w:r>
      <w:r>
        <w:rPr>
          <w:rStyle w:val="76"/>
          <w:rFonts w:hint="eastAsia" w:ascii="宋体" w:hAnsi="宋体" w:eastAsia="宋体" w:cs="宋体"/>
          <w:snapToGrid/>
          <w:color w:val="auto"/>
          <w:kern w:val="2"/>
          <w:sz w:val="21"/>
          <w:szCs w:val="21"/>
          <w:highlight w:val="none"/>
        </w:rPr>
        <w:t>202</w:t>
      </w:r>
      <w:r>
        <w:rPr>
          <w:rStyle w:val="76"/>
          <w:rFonts w:hint="eastAsia" w:ascii="宋体" w:hAnsi="宋体" w:eastAsia="宋体" w:cs="宋体"/>
          <w:snapToGrid/>
          <w:color w:val="auto"/>
          <w:kern w:val="2"/>
          <w:sz w:val="21"/>
          <w:szCs w:val="21"/>
          <w:highlight w:val="none"/>
          <w:lang w:val="en-US" w:eastAsia="zh-CN"/>
        </w:rPr>
        <w:t>5</w:t>
      </w:r>
      <w:r>
        <w:rPr>
          <w:rStyle w:val="76"/>
          <w:rFonts w:hint="eastAsia" w:ascii="宋体" w:hAnsi="宋体" w:eastAsia="宋体" w:cs="宋体"/>
          <w:snapToGrid/>
          <w:color w:val="auto"/>
          <w:kern w:val="2"/>
          <w:sz w:val="21"/>
          <w:szCs w:val="21"/>
          <w:highlight w:val="none"/>
        </w:rPr>
        <w:t>年</w:t>
      </w:r>
      <w:r>
        <w:rPr>
          <w:rStyle w:val="76"/>
          <w:rFonts w:hint="eastAsia" w:ascii="宋体" w:hAnsi="宋体" w:cs="宋体"/>
          <w:snapToGrid/>
          <w:color w:val="auto"/>
          <w:kern w:val="2"/>
          <w:sz w:val="21"/>
          <w:szCs w:val="21"/>
          <w:highlight w:val="none"/>
          <w:lang w:val="en-US" w:eastAsia="zh-CN"/>
        </w:rPr>
        <w:t>4</w:t>
      </w:r>
      <w:r>
        <w:rPr>
          <w:rStyle w:val="76"/>
          <w:rFonts w:hint="eastAsia" w:ascii="宋体" w:hAnsi="宋体" w:eastAsia="宋体" w:cs="宋体"/>
          <w:snapToGrid/>
          <w:color w:val="auto"/>
          <w:kern w:val="2"/>
          <w:sz w:val="21"/>
          <w:szCs w:val="21"/>
          <w:highlight w:val="none"/>
        </w:rPr>
        <w:t>月</w:t>
      </w:r>
      <w:r>
        <w:rPr>
          <w:rStyle w:val="76"/>
          <w:rFonts w:hint="eastAsia" w:ascii="宋体" w:hAnsi="宋体" w:cs="宋体"/>
          <w:snapToGrid/>
          <w:color w:val="auto"/>
          <w:kern w:val="2"/>
          <w:sz w:val="21"/>
          <w:szCs w:val="21"/>
          <w:highlight w:val="none"/>
          <w:lang w:val="en-US" w:eastAsia="zh-CN"/>
        </w:rPr>
        <w:t>22</w:t>
      </w:r>
      <w:r>
        <w:rPr>
          <w:rStyle w:val="76"/>
          <w:rFonts w:hint="eastAsia" w:ascii="宋体" w:hAnsi="宋体" w:eastAsia="宋体" w:cs="宋体"/>
          <w:snapToGrid/>
          <w:color w:val="auto"/>
          <w:kern w:val="2"/>
          <w:sz w:val="21"/>
          <w:szCs w:val="21"/>
          <w:highlight w:val="none"/>
        </w:rPr>
        <w:t>日</w:t>
      </w:r>
      <w:r>
        <w:rPr>
          <w:rStyle w:val="76"/>
          <w:rFonts w:hint="eastAsia" w:ascii="宋体" w:hAnsi="宋体" w:cs="宋体"/>
          <w:snapToGrid/>
          <w:color w:val="auto"/>
          <w:kern w:val="2"/>
          <w:sz w:val="21"/>
          <w:szCs w:val="21"/>
          <w:highlight w:val="none"/>
          <w:lang w:val="en-US" w:eastAsia="zh-CN"/>
        </w:rPr>
        <w:t>14</w:t>
      </w:r>
      <w:r>
        <w:rPr>
          <w:rStyle w:val="76"/>
          <w:rFonts w:hint="eastAsia" w:ascii="宋体" w:hAnsi="宋体" w:eastAsia="宋体" w:cs="宋体"/>
          <w:snapToGrid/>
          <w:color w:val="auto"/>
          <w:kern w:val="2"/>
          <w:sz w:val="21"/>
          <w:szCs w:val="21"/>
          <w:highlight w:val="none"/>
        </w:rPr>
        <w:t>点</w:t>
      </w:r>
      <w:r>
        <w:rPr>
          <w:rStyle w:val="76"/>
          <w:rFonts w:hint="eastAsia" w:ascii="宋体" w:hAnsi="宋体" w:cs="宋体"/>
          <w:snapToGrid/>
          <w:color w:val="auto"/>
          <w:kern w:val="2"/>
          <w:sz w:val="21"/>
          <w:szCs w:val="21"/>
          <w:highlight w:val="none"/>
          <w:lang w:val="en-US" w:eastAsia="zh-CN"/>
        </w:rPr>
        <w:t xml:space="preserve">00 </w:t>
      </w:r>
      <w:r>
        <w:rPr>
          <w:rStyle w:val="76"/>
          <w:rFonts w:hint="eastAsia" w:ascii="宋体" w:hAnsi="宋体" w:eastAsia="宋体" w:cs="宋体"/>
          <w:snapToGrid/>
          <w:color w:val="auto"/>
          <w:kern w:val="2"/>
          <w:sz w:val="21"/>
          <w:szCs w:val="21"/>
          <w:highlight w:val="none"/>
        </w:rPr>
        <w:t>分</w:t>
      </w:r>
      <w:r>
        <w:rPr>
          <w:rStyle w:val="76"/>
          <w:rFonts w:hint="eastAsia" w:ascii="宋体" w:hAnsi="宋体" w:eastAsia="宋体" w:cs="宋体"/>
          <w:bCs/>
          <w:snapToGrid/>
          <w:color w:val="auto"/>
          <w:kern w:val="2"/>
          <w:sz w:val="21"/>
          <w:szCs w:val="21"/>
          <w:highlight w:val="none"/>
        </w:rPr>
        <w:t>00秒</w:t>
      </w:r>
      <w:r>
        <w:rPr>
          <w:rStyle w:val="76"/>
          <w:rFonts w:hint="eastAsia" w:ascii="宋体" w:hAnsi="宋体" w:eastAsia="宋体" w:cs="宋体"/>
          <w:bCs/>
          <w:snapToGrid/>
          <w:color w:val="auto"/>
          <w:kern w:val="2"/>
          <w:sz w:val="21"/>
          <w:szCs w:val="21"/>
          <w:highlight w:val="none"/>
        </w:rPr>
        <w:fldChar w:fldCharType="end"/>
      </w:r>
      <w:r>
        <w:rPr>
          <w:rFonts w:hint="eastAsia" w:ascii="宋体" w:hAnsi="宋体" w:eastAsia="宋体" w:cs="宋体"/>
          <w:bCs/>
          <w:color w:val="auto"/>
          <w:sz w:val="21"/>
          <w:szCs w:val="21"/>
          <w:highlight w:val="none"/>
        </w:rPr>
        <w:t>（北京时间）前</w:t>
      </w:r>
      <w:r>
        <w:rPr>
          <w:rFonts w:hint="eastAsia" w:ascii="宋体" w:hAnsi="宋体" w:eastAsia="宋体" w:cs="宋体"/>
          <w:color w:val="auto"/>
          <w:sz w:val="21"/>
          <w:szCs w:val="21"/>
          <w:highlight w:val="none"/>
        </w:rPr>
        <w:t>递交（上传）投标文件。</w:t>
      </w:r>
    </w:p>
    <w:p w14:paraId="3FCC9302">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一、项目基本情况                                            </w:t>
      </w:r>
    </w:p>
    <w:p w14:paraId="18D06308">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default" w:ascii="宋体" w:hAnsi="宋体" w:eastAsia="宋体" w:cs="宋体"/>
          <w:b/>
          <w:color w:val="auto"/>
          <w:sz w:val="21"/>
          <w:szCs w:val="21"/>
          <w:highlight w:val="none"/>
          <w:lang w:val="en-US"/>
        </w:rPr>
      </w:pPr>
      <w:r>
        <w:rPr>
          <w:rFonts w:hint="eastAsia" w:ascii="宋体" w:hAnsi="宋体" w:eastAsia="宋体" w:cs="宋体"/>
          <w:b/>
          <w:color w:val="auto"/>
          <w:sz w:val="21"/>
          <w:szCs w:val="21"/>
          <w:highlight w:val="none"/>
        </w:rPr>
        <w:t>项目编号：</w:t>
      </w:r>
      <w:r>
        <w:rPr>
          <w:rFonts w:hint="eastAsia" w:ascii="宋体" w:hAnsi="宋体" w:eastAsia="宋体" w:cs="宋体"/>
          <w:b/>
          <w:bCs/>
          <w:color w:val="auto"/>
          <w:sz w:val="21"/>
          <w:szCs w:val="21"/>
          <w:highlight w:val="none"/>
          <w:lang w:val="en-US" w:eastAsia="zh-CN"/>
        </w:rPr>
        <w:t>ZJHY-ZCFW-20250317</w:t>
      </w:r>
    </w:p>
    <w:p w14:paraId="0312DF7F">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项目名称：</w:t>
      </w:r>
      <w:r>
        <w:rPr>
          <w:rFonts w:hint="eastAsia" w:ascii="宋体" w:hAnsi="宋体" w:cs="宋体"/>
          <w:b/>
          <w:bCs/>
          <w:color w:val="auto"/>
          <w:sz w:val="21"/>
          <w:szCs w:val="21"/>
          <w:highlight w:val="none"/>
          <w:lang w:val="en-US" w:eastAsia="zh-CN"/>
        </w:rPr>
        <w:t>2025年96110接线处置项目</w:t>
      </w:r>
    </w:p>
    <w:p w14:paraId="1C6D4CAA">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b/>
          <w:color w:val="auto"/>
          <w:sz w:val="21"/>
          <w:szCs w:val="21"/>
          <w:highlight w:val="none"/>
        </w:rPr>
        <w:t xml:space="preserve"> 预算金额（元）：</w:t>
      </w:r>
      <w:r>
        <w:rPr>
          <w:rFonts w:hint="eastAsia" w:ascii="宋体" w:hAnsi="宋体" w:cs="宋体"/>
          <w:b/>
          <w:color w:val="auto"/>
          <w:sz w:val="21"/>
          <w:szCs w:val="21"/>
          <w:highlight w:val="none"/>
          <w:lang w:val="en-US" w:eastAsia="zh-CN"/>
        </w:rPr>
        <w:t>120</w:t>
      </w:r>
      <w:r>
        <w:rPr>
          <w:rFonts w:hint="eastAsia" w:ascii="宋体" w:hAnsi="宋体" w:eastAsia="宋体" w:cs="宋体"/>
          <w:b/>
          <w:color w:val="auto"/>
          <w:sz w:val="21"/>
          <w:szCs w:val="21"/>
          <w:highlight w:val="none"/>
          <w:lang w:val="en-US" w:eastAsia="zh-CN"/>
        </w:rPr>
        <w:t>0000</w:t>
      </w:r>
      <w:r>
        <w:rPr>
          <w:rFonts w:hint="eastAsia" w:ascii="宋体" w:hAnsi="宋体" w:eastAsia="宋体" w:cs="宋体"/>
          <w:color w:val="auto"/>
          <w:sz w:val="21"/>
          <w:szCs w:val="21"/>
          <w:highlight w:val="none"/>
        </w:rPr>
        <w:t xml:space="preserve"> </w:t>
      </w:r>
    </w:p>
    <w:p w14:paraId="524783DF">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最高限价（元）：</w:t>
      </w:r>
      <w:r>
        <w:rPr>
          <w:rFonts w:hint="eastAsia" w:ascii="宋体" w:hAnsi="宋体" w:cs="宋体"/>
          <w:b/>
          <w:color w:val="auto"/>
          <w:sz w:val="21"/>
          <w:szCs w:val="21"/>
          <w:highlight w:val="none"/>
          <w:lang w:val="en-US" w:eastAsia="zh-CN"/>
        </w:rPr>
        <w:t>120</w:t>
      </w:r>
      <w:r>
        <w:rPr>
          <w:rFonts w:hint="eastAsia" w:ascii="宋体" w:hAnsi="宋体" w:eastAsia="宋体" w:cs="宋体"/>
          <w:b/>
          <w:color w:val="auto"/>
          <w:sz w:val="21"/>
          <w:szCs w:val="21"/>
          <w:highlight w:val="none"/>
          <w:lang w:val="en-US" w:eastAsia="zh-CN"/>
        </w:rPr>
        <w:t>0000</w:t>
      </w:r>
    </w:p>
    <w:p w14:paraId="35AC457C">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color w:val="auto"/>
          <w:sz w:val="21"/>
          <w:szCs w:val="21"/>
          <w:highlight w:val="none"/>
        </w:rPr>
        <w:t>采购需求：</w:t>
      </w:r>
      <w:r>
        <w:rPr>
          <w:rFonts w:hint="eastAsia" w:ascii="宋体" w:hAnsi="宋体" w:cs="宋体"/>
          <w:b/>
          <w:bCs/>
          <w:color w:val="auto"/>
          <w:sz w:val="21"/>
          <w:szCs w:val="21"/>
          <w:highlight w:val="none"/>
          <w:lang w:val="en-US" w:eastAsia="zh-CN"/>
        </w:rPr>
        <w:t>2025年96110接线处置项目</w:t>
      </w:r>
    </w:p>
    <w:p w14:paraId="5EC04B11">
      <w:pPr>
        <w:pStyle w:val="7"/>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snapToGrid/>
          <w:color w:val="auto"/>
          <w:kern w:val="2"/>
          <w:sz w:val="21"/>
          <w:szCs w:val="21"/>
          <w:highlight w:val="none"/>
        </w:rPr>
      </w:pPr>
      <w:r>
        <w:rPr>
          <w:rFonts w:hint="eastAsia" w:ascii="宋体" w:hAnsi="宋体" w:eastAsia="宋体" w:cs="宋体"/>
          <w:color w:val="auto"/>
          <w:sz w:val="21"/>
          <w:szCs w:val="21"/>
          <w:highlight w:val="none"/>
        </w:rPr>
        <w:t>简要规格描述或项目基本概况介绍、用途</w:t>
      </w:r>
      <w:r>
        <w:rPr>
          <w:rFonts w:hint="eastAsia" w:ascii="宋体" w:hAnsi="宋体" w:eastAsia="宋体" w:cs="宋体"/>
          <w:bCs/>
          <w:color w:val="auto"/>
          <w:kern w:val="2"/>
          <w:sz w:val="21"/>
          <w:szCs w:val="21"/>
          <w:highlight w:val="none"/>
        </w:rPr>
        <w:t>：</w:t>
      </w:r>
      <w:r>
        <w:rPr>
          <w:rFonts w:hint="eastAsia" w:hAnsi="宋体" w:cs="宋体"/>
          <w:b/>
          <w:bCs/>
          <w:color w:val="auto"/>
          <w:sz w:val="21"/>
          <w:szCs w:val="21"/>
          <w:highlight w:val="none"/>
          <w:lang w:val="en-US" w:eastAsia="zh-CN"/>
        </w:rPr>
        <w:t>2025年96110接线处置项目</w:t>
      </w:r>
      <w:r>
        <w:rPr>
          <w:rFonts w:hint="eastAsia" w:ascii="宋体" w:hAnsi="宋体" w:eastAsia="宋体" w:cs="宋体"/>
          <w:bCs/>
          <w:snapToGrid/>
          <w:color w:val="auto"/>
          <w:kern w:val="2"/>
          <w:sz w:val="21"/>
          <w:szCs w:val="21"/>
          <w:highlight w:val="none"/>
        </w:rPr>
        <w:t>主要内容：为杭州市公安局余杭区分局96110电话，提供7×24小时不间断客服专线接听及报警处理服务</w:t>
      </w:r>
      <w:r>
        <w:rPr>
          <w:rFonts w:hint="eastAsia" w:ascii="宋体" w:hAnsi="宋体" w:eastAsia="宋体" w:cs="宋体"/>
          <w:snapToGrid/>
          <w:color w:val="auto"/>
          <w:kern w:val="2"/>
          <w:sz w:val="21"/>
          <w:szCs w:val="21"/>
          <w:highlight w:val="none"/>
        </w:rPr>
        <w:t>。具体以招标文件第三部分采购需求为准，供应商可点击本公告下方“浏览采购文件”查看采购需求。</w:t>
      </w:r>
    </w:p>
    <w:p w14:paraId="62CBCC8E">
      <w:pPr>
        <w:pStyle w:val="7"/>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bCs/>
          <w:snapToGrid/>
          <w:color w:val="auto"/>
          <w:kern w:val="2"/>
          <w:sz w:val="21"/>
          <w:szCs w:val="21"/>
          <w:highlight w:val="none"/>
        </w:rPr>
      </w:pPr>
      <w:r>
        <w:rPr>
          <w:rFonts w:hint="eastAsia" w:ascii="宋体" w:hAnsi="宋体" w:eastAsia="宋体" w:cs="宋体"/>
          <w:color w:val="auto"/>
          <w:sz w:val="21"/>
          <w:szCs w:val="21"/>
          <w:highlight w:val="none"/>
        </w:rPr>
        <w:t>备注：</w:t>
      </w:r>
    </w:p>
    <w:p w14:paraId="0CF83623">
      <w:pPr>
        <w:pStyle w:val="131"/>
        <w:keepNext w:val="0"/>
        <w:keepLines w:val="0"/>
        <w:pageBreakBefore w:val="0"/>
        <w:kinsoku/>
        <w:wordWrap/>
        <w:overflowPunct/>
        <w:topLinePunct w:val="0"/>
        <w:autoSpaceDE/>
        <w:autoSpaceDN/>
        <w:bidi w:val="0"/>
        <w:adjustRightInd w:val="0"/>
        <w:snapToGrid w:val="0"/>
        <w:spacing w:before="0" w:line="360" w:lineRule="auto"/>
        <w:ind w:firstLine="482"/>
        <w:textAlignment w:val="auto"/>
        <w:outlineLvl w:val="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合同履约期限：</w:t>
      </w:r>
      <w:r>
        <w:rPr>
          <w:rFonts w:hint="eastAsia" w:ascii="宋体" w:hAnsi="宋体"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个月。</w:t>
      </w:r>
      <w:r>
        <w:rPr>
          <w:rFonts w:hint="eastAsia" w:ascii="宋体" w:hAnsi="宋体" w:eastAsia="宋体" w:cs="宋体"/>
          <w:color w:val="auto"/>
          <w:sz w:val="21"/>
          <w:szCs w:val="21"/>
          <w:highlight w:val="none"/>
        </w:rPr>
        <w:t xml:space="preserve"> </w:t>
      </w:r>
    </w:p>
    <w:p w14:paraId="07281B02">
      <w:pPr>
        <w:pStyle w:val="7"/>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本项目接受联合体投标：</w:t>
      </w:r>
      <w:r>
        <w:rPr>
          <w:rFonts w:hint="eastAsia" w:ascii="宋体" w:hAnsi="宋体" w:eastAsia="宋体" w:cs="宋体"/>
          <w:color w:val="auto"/>
          <w:kern w:val="0"/>
          <w:sz w:val="21"/>
          <w:szCs w:val="21"/>
          <w:highlight w:val="none"/>
        </w:rPr>
        <w:t xml:space="preserve"> </w:t>
      </w:r>
      <w:sdt>
        <w:sdtPr>
          <w:rPr>
            <w:rFonts w:hint="eastAsia" w:ascii="宋体" w:hAnsi="宋体" w:eastAsia="宋体" w:cs="宋体"/>
            <w:color w:val="auto"/>
            <w:kern w:val="0"/>
            <w:sz w:val="21"/>
            <w:szCs w:val="21"/>
            <w:highlight w:val="none"/>
          </w:rPr>
          <w:id w:val="-1"/>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F0FE"/>
          </w:r>
        </w:sdtContent>
      </w:sdt>
      <w:r>
        <w:rPr>
          <w:rFonts w:hint="eastAsia" w:ascii="宋体" w:hAnsi="宋体" w:eastAsia="宋体" w:cs="宋体"/>
          <w:b/>
          <w:color w:val="auto"/>
          <w:sz w:val="21"/>
          <w:szCs w:val="21"/>
          <w:highlight w:val="none"/>
        </w:rPr>
        <w:t>是；</w:t>
      </w:r>
      <w:sdt>
        <w:sdtPr>
          <w:rPr>
            <w:rFonts w:hint="eastAsia" w:ascii="宋体" w:hAnsi="宋体" w:eastAsia="宋体" w:cs="宋体"/>
            <w:color w:val="auto"/>
            <w:kern w:val="0"/>
            <w:sz w:val="21"/>
            <w:szCs w:val="21"/>
            <w:highlight w:val="none"/>
          </w:rPr>
          <w:id w:val="747548208"/>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b/>
          <w:color w:val="auto"/>
          <w:sz w:val="21"/>
          <w:szCs w:val="21"/>
          <w:highlight w:val="none"/>
        </w:rPr>
        <w:t>否</w:t>
      </w:r>
      <w:r>
        <w:rPr>
          <w:rFonts w:hint="eastAsia" w:ascii="宋体" w:hAnsi="宋体" w:eastAsia="宋体" w:cs="宋体"/>
          <w:color w:val="auto"/>
          <w:kern w:val="0"/>
          <w:sz w:val="21"/>
          <w:szCs w:val="21"/>
          <w:highlight w:val="none"/>
        </w:rPr>
        <w:t>。</w:t>
      </w:r>
    </w:p>
    <w:p w14:paraId="08B50DBF">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二、申请人的资格要求：</w:t>
      </w:r>
    </w:p>
    <w:p w14:paraId="5FDBAFE8">
      <w:pPr>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 xml:space="preserve">    2.</w:t>
      </w:r>
      <w:r>
        <w:rPr>
          <w:rFonts w:hint="eastAsia" w:ascii="宋体" w:hAnsi="宋体" w:eastAsia="宋体" w:cs="宋体"/>
          <w:color w:val="auto"/>
          <w:sz w:val="21"/>
          <w:szCs w:val="21"/>
          <w:highlight w:val="none"/>
        </w:rPr>
        <w:t xml:space="preserve"> </w:t>
      </w:r>
      <w:r>
        <w:rPr>
          <w:rFonts w:hint="eastAsia" w:ascii="宋体" w:hAnsi="宋体" w:eastAsia="宋体" w:cs="宋体"/>
          <w:snapToGrid w:val="0"/>
          <w:color w:val="auto"/>
          <w:kern w:val="28"/>
          <w:sz w:val="21"/>
          <w:szCs w:val="21"/>
          <w:highlight w:val="none"/>
        </w:rPr>
        <w:t>以联合体形式投标的，提供联合协议(本项目不接受联合体投标或者投标人不以联合体形式投标的，则不需要提供) ；</w:t>
      </w:r>
    </w:p>
    <w:p w14:paraId="1F9DEC0D">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3.落实政府采购政策需满足的资格要求：</w:t>
      </w:r>
    </w:p>
    <w:p w14:paraId="7269F9B4">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sz w:val="21"/>
          <w:szCs w:val="21"/>
          <w:highlight w:val="none"/>
        </w:rPr>
        <w:t>无</w:t>
      </w:r>
      <w:r>
        <w:rPr>
          <w:rFonts w:hint="eastAsia" w:ascii="宋体" w:hAnsi="宋体" w:eastAsia="宋体" w:cs="宋体"/>
          <w:snapToGrid w:val="0"/>
          <w:color w:val="auto"/>
          <w:kern w:val="28"/>
          <w:sz w:val="21"/>
          <w:szCs w:val="21"/>
          <w:highlight w:val="none"/>
        </w:rPr>
        <w:t>（注：不得限制大中型企业与小微企业组成联合体参与投标）；</w:t>
      </w:r>
    </w:p>
    <w:p w14:paraId="7D88538E">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597832300"/>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Wingdings" w:hAnsi="Wingdings" w:eastAsia="宋体" w:cs="宋体"/>
              <w:color w:val="auto"/>
              <w:kern w:val="0"/>
              <w:sz w:val="21"/>
              <w:szCs w:val="21"/>
              <w:highlight w:val="none"/>
              <w:lang w:val="en-US" w:eastAsia="zh-CN" w:bidi="ar-SA"/>
            </w:rPr>
            <w:t>þ</w:t>
          </w:r>
        </w:sdtContent>
      </w:sdt>
      <w:r>
        <w:rPr>
          <w:rFonts w:hint="eastAsia" w:ascii="宋体" w:hAnsi="宋体" w:eastAsia="宋体" w:cs="宋体"/>
          <w:color w:val="auto"/>
          <w:kern w:val="0"/>
          <w:sz w:val="21"/>
          <w:szCs w:val="21"/>
          <w:highlight w:val="none"/>
        </w:rPr>
        <w:t>专</w:t>
      </w:r>
      <w:r>
        <w:rPr>
          <w:rFonts w:hint="eastAsia" w:ascii="宋体" w:hAnsi="宋体" w:eastAsia="宋体" w:cs="宋体"/>
          <w:color w:val="auto"/>
          <w:sz w:val="21"/>
          <w:szCs w:val="21"/>
          <w:highlight w:val="none"/>
        </w:rPr>
        <w:t>门面向中小企业</w:t>
      </w:r>
    </w:p>
    <w:p w14:paraId="1253AD27">
      <w:pPr>
        <w:keepNext w:val="0"/>
        <w:keepLines w:val="0"/>
        <w:pageBreakBefore w:val="0"/>
        <w:kinsoku/>
        <w:wordWrap/>
        <w:overflowPunct/>
        <w:topLinePunct w:val="0"/>
        <w:autoSpaceDE/>
        <w:autoSpaceDN/>
        <w:bidi w:val="0"/>
        <w:adjustRightInd w:val="0"/>
        <w:snapToGrid w:val="0"/>
        <w:spacing w:line="360" w:lineRule="auto"/>
        <w:ind w:firstLine="785" w:firstLineChars="374"/>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414455266"/>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Wingdings" w:hAnsi="Wingdings" w:eastAsia="宋体" w:cs="宋体"/>
              <w:color w:val="auto"/>
              <w:kern w:val="0"/>
              <w:sz w:val="21"/>
              <w:szCs w:val="21"/>
              <w:highlight w:val="none"/>
              <w:lang w:val="en-US" w:eastAsia="zh-CN" w:bidi="ar-SA"/>
            </w:rPr>
            <w:t>þ</w:t>
          </w:r>
        </w:sdtContent>
      </w:sdt>
      <w:r>
        <w:rPr>
          <w:rFonts w:hint="eastAsia" w:ascii="宋体" w:hAnsi="宋体" w:eastAsia="宋体" w:cs="宋体"/>
          <w:color w:val="auto"/>
          <w:sz w:val="21"/>
          <w:szCs w:val="21"/>
          <w:highlight w:val="none"/>
        </w:rPr>
        <w:t>服务全部由符合政策要求的中小企业承接，提供中小企业声明函；</w:t>
      </w:r>
    </w:p>
    <w:p w14:paraId="2FD4197A">
      <w:pPr>
        <w:keepNext w:val="0"/>
        <w:keepLines w:val="0"/>
        <w:pageBreakBefore w:val="0"/>
        <w:kinsoku/>
        <w:wordWrap/>
        <w:overflowPunct/>
        <w:topLinePunct w:val="0"/>
        <w:autoSpaceDE/>
        <w:autoSpaceDN/>
        <w:bidi w:val="0"/>
        <w:adjustRightInd w:val="0"/>
        <w:snapToGrid w:val="0"/>
        <w:spacing w:line="360" w:lineRule="auto"/>
        <w:ind w:firstLine="785" w:firstLineChars="374"/>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420027464"/>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MS Gothic" w:hAnsi="MS Gothic" w:eastAsia="宋体" w:cs="宋体"/>
              <w:color w:val="auto"/>
              <w:kern w:val="0"/>
              <w:sz w:val="21"/>
              <w:szCs w:val="21"/>
              <w:highlight w:val="none"/>
              <w:lang w:val="en-US" w:eastAsia="zh-CN" w:bidi="ar-SA"/>
            </w:rPr>
            <w:t>☐</w:t>
          </w:r>
        </w:sdtContent>
      </w:sdt>
      <w:r>
        <w:rPr>
          <w:rFonts w:hint="eastAsia" w:ascii="宋体" w:hAnsi="宋体" w:eastAsia="宋体" w:cs="宋体"/>
          <w:color w:val="auto"/>
          <w:sz w:val="21"/>
          <w:szCs w:val="21"/>
          <w:highlight w:val="none"/>
        </w:rPr>
        <w:t>服务全部由符合政策要求的小微企业承接，提供中小企业声明函；</w:t>
      </w:r>
    </w:p>
    <w:p w14:paraId="58C41DE8">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294765341"/>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sz w:val="21"/>
          <w:szCs w:val="21"/>
          <w:highlight w:val="none"/>
        </w:rPr>
        <w:t>要求以联合体形式参加，提供联合协议和中小企业声明函，联合协议中中小企业合同金额应当达到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%，其中小微企业合同金额应当达到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pacing w:val="8"/>
          <w:kern w:val="0"/>
          <w:sz w:val="21"/>
          <w:szCs w:val="21"/>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1"/>
          <w:szCs w:val="21"/>
          <w:highlight w:val="none"/>
        </w:rPr>
        <w:t>；</w:t>
      </w:r>
    </w:p>
    <w:p w14:paraId="17804FE0">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sz w:val="21"/>
          <w:szCs w:val="21"/>
          <w:highlight w:val="none"/>
        </w:rPr>
        <w:t>要求合同分包，提供分包意向协议和中小企业声明函，分包意向协议中中小企业合同金额应当达到达到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，其中小微企业合同金额应当达到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w:t>
      </w:r>
      <w:r>
        <w:rPr>
          <w:rFonts w:hint="eastAsia" w:ascii="宋体" w:hAnsi="宋体" w:eastAsia="宋体" w:cs="宋体"/>
          <w:color w:val="auto"/>
          <w:spacing w:val="8"/>
          <w:kern w:val="0"/>
          <w:sz w:val="21"/>
          <w:szCs w:val="21"/>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1"/>
          <w:szCs w:val="21"/>
          <w:highlight w:val="none"/>
        </w:rPr>
        <w:t>；</w:t>
      </w:r>
    </w:p>
    <w:p w14:paraId="54F80419">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4.本项目的特定资格要求：</w:t>
      </w:r>
      <w:sdt>
        <w:sdtPr>
          <w:rPr>
            <w:rFonts w:hint="eastAsia" w:ascii="宋体" w:hAnsi="宋体" w:eastAsia="宋体" w:cs="宋体"/>
            <w:color w:val="auto"/>
            <w:kern w:val="0"/>
            <w:sz w:val="21"/>
            <w:szCs w:val="21"/>
            <w:highlight w:val="none"/>
          </w:rPr>
          <w:id w:val="147466463"/>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lang w:val="en-US" w:eastAsia="zh-CN" w:bidi="ar-SA"/>
            </w:rPr>
            <w:t>þ</w:t>
          </w:r>
        </w:sdtContent>
      </w:sdt>
      <w:r>
        <w:rPr>
          <w:rFonts w:hint="eastAsia" w:ascii="宋体" w:hAnsi="宋体" w:eastAsia="宋体" w:cs="宋体"/>
          <w:color w:val="auto"/>
          <w:kern w:val="0"/>
          <w:sz w:val="21"/>
          <w:szCs w:val="21"/>
          <w:highlight w:val="none"/>
          <w:lang w:val="en-US" w:eastAsia="zh-CN"/>
        </w:rPr>
        <w:t>无。</w:t>
      </w:r>
    </w:p>
    <w:p w14:paraId="2D0DBA15">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三、获取招标文件 </w:t>
      </w:r>
    </w:p>
    <w:p w14:paraId="086F1345">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时间：</w:t>
      </w:r>
      <w:r>
        <w:rPr>
          <w:rFonts w:hint="eastAsia" w:ascii="宋体" w:hAnsi="宋体" w:eastAsia="宋体" w:cs="宋体"/>
          <w:color w:val="auto"/>
          <w:sz w:val="21"/>
          <w:szCs w:val="21"/>
          <w:highlight w:val="none"/>
        </w:rPr>
        <w:t>/至</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22</w:t>
      </w:r>
      <w:r>
        <w:rPr>
          <w:rFonts w:hint="eastAsia" w:ascii="宋体" w:hAnsi="宋体" w:eastAsia="宋体" w:cs="宋体"/>
          <w:color w:val="auto"/>
          <w:sz w:val="21"/>
          <w:szCs w:val="21"/>
          <w:highlight w:val="none"/>
          <w:u w:val="single"/>
        </w:rPr>
        <w:t>日</w:t>
      </w:r>
      <w:r>
        <w:rPr>
          <w:rFonts w:hint="eastAsia" w:ascii="宋体" w:hAnsi="宋体" w:eastAsia="宋体" w:cs="宋体"/>
          <w:color w:val="auto"/>
          <w:sz w:val="21"/>
          <w:szCs w:val="21"/>
          <w:highlight w:val="none"/>
        </w:rPr>
        <w:t>，每天上午00:00至12:00 ，下午12:00至23:59（北京时间，线上获取法定节假日均可，线下获取文件法定节假日除外）</w:t>
      </w:r>
    </w:p>
    <w:p w14:paraId="0DC67309">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地点（网址）：</w:t>
      </w:r>
      <w:r>
        <w:rPr>
          <w:rFonts w:hint="eastAsia" w:ascii="宋体" w:hAnsi="宋体" w:eastAsia="宋体" w:cs="宋体"/>
          <w:color w:val="auto"/>
          <w:sz w:val="21"/>
          <w:szCs w:val="21"/>
          <w:highlight w:val="none"/>
        </w:rPr>
        <w:t xml:space="preserve">政采云平台（https://www.zcygov.cn/） </w:t>
      </w:r>
    </w:p>
    <w:p w14:paraId="34D5C0F8">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方式：</w:t>
      </w:r>
      <w:r>
        <w:rPr>
          <w:rFonts w:hint="eastAsia" w:ascii="宋体" w:hAnsi="宋体" w:eastAsia="宋体" w:cs="宋体"/>
          <w:color w:val="auto"/>
          <w:sz w:val="21"/>
          <w:szCs w:val="21"/>
          <w:highlight w:val="none"/>
        </w:rPr>
        <w:t xml:space="preserve">供应商登录政采云平台https://www.zcygov.cn/在线申请获取采购文件（进入“项目采购”应用，在获取采购文件菜单中选择项目，申请获取采购文件）。 </w:t>
      </w:r>
    </w:p>
    <w:p w14:paraId="634F2D62">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售价（元）：</w:t>
      </w:r>
      <w:r>
        <w:rPr>
          <w:rFonts w:hint="eastAsia" w:ascii="宋体" w:hAnsi="宋体" w:eastAsia="宋体" w:cs="宋体"/>
          <w:color w:val="auto"/>
          <w:sz w:val="21"/>
          <w:szCs w:val="21"/>
          <w:highlight w:val="none"/>
        </w:rPr>
        <w:t xml:space="preserve">0 </w:t>
      </w:r>
      <w:r>
        <w:rPr>
          <w:rFonts w:hint="eastAsia" w:ascii="宋体" w:hAnsi="宋体" w:eastAsia="宋体" w:cs="宋体"/>
          <w:color w:val="auto"/>
          <w:sz w:val="21"/>
          <w:szCs w:val="21"/>
          <w:highlight w:val="none"/>
        </w:rPr>
        <w:tab/>
      </w:r>
    </w:p>
    <w:p w14:paraId="7F44D63D">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四、提交投标文件截止时间、开标时间和地点</w:t>
      </w:r>
    </w:p>
    <w:p w14:paraId="7FA20757">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提交投标文件截止时间：</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4</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22</w:t>
      </w:r>
      <w:r>
        <w:rPr>
          <w:rFonts w:hint="eastAsia" w:ascii="宋体" w:hAnsi="宋体" w:eastAsia="宋体" w:cs="宋体"/>
          <w:color w:val="auto"/>
          <w:sz w:val="21"/>
          <w:szCs w:val="21"/>
          <w:highlight w:val="none"/>
          <w:u w:val="single"/>
        </w:rPr>
        <w:t>日</w:t>
      </w:r>
      <w:r>
        <w:rPr>
          <w:rFonts w:hint="eastAsia" w:ascii="宋体" w:hAnsi="宋体" w:cs="宋体"/>
          <w:color w:val="auto"/>
          <w:sz w:val="21"/>
          <w:szCs w:val="21"/>
          <w:highlight w:val="none"/>
          <w:u w:val="single"/>
          <w:lang w:val="en-US" w:eastAsia="zh-CN"/>
        </w:rPr>
        <w:t>14</w:t>
      </w:r>
      <w:r>
        <w:rPr>
          <w:rFonts w:hint="eastAsia" w:ascii="宋体" w:hAnsi="宋体" w:eastAsia="宋体" w:cs="宋体"/>
          <w:color w:val="auto"/>
          <w:sz w:val="21"/>
          <w:szCs w:val="21"/>
          <w:highlight w:val="none"/>
          <w:u w:val="single"/>
        </w:rPr>
        <w:t>点</w:t>
      </w:r>
      <w:r>
        <w:rPr>
          <w:rFonts w:hint="eastAsia" w:ascii="宋体" w:hAnsi="宋体" w:cs="宋体"/>
          <w:color w:val="auto"/>
          <w:sz w:val="21"/>
          <w:szCs w:val="21"/>
          <w:highlight w:val="none"/>
          <w:u w:val="single"/>
          <w:lang w:val="en-US" w:eastAsia="zh-CN"/>
        </w:rPr>
        <w:t>00</w:t>
      </w:r>
      <w:r>
        <w:rPr>
          <w:rFonts w:hint="eastAsia" w:ascii="宋体" w:hAnsi="宋体" w:eastAsia="宋体" w:cs="宋体"/>
          <w:color w:val="auto"/>
          <w:sz w:val="21"/>
          <w:szCs w:val="21"/>
          <w:highlight w:val="none"/>
          <w:u w:val="single"/>
        </w:rPr>
        <w:t>分00秒</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color w:val="auto"/>
          <w:sz w:val="21"/>
          <w:szCs w:val="21"/>
          <w:highlight w:val="none"/>
        </w:rPr>
        <w:t>（北京时间）</w:t>
      </w:r>
    </w:p>
    <w:p w14:paraId="3790463E">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投标地点（网址）：</w:t>
      </w:r>
      <w:r>
        <w:rPr>
          <w:rFonts w:hint="eastAsia" w:ascii="宋体" w:hAnsi="宋体" w:eastAsia="宋体" w:cs="宋体"/>
          <w:color w:val="auto"/>
          <w:sz w:val="21"/>
          <w:szCs w:val="21"/>
          <w:highlight w:val="none"/>
        </w:rPr>
        <w:t xml:space="preserve">政采云平台（https://www.zcygov.cn/） </w:t>
      </w:r>
    </w:p>
    <w:p w14:paraId="2B5D577C">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Cs/>
          <w:color w:val="auto"/>
          <w:sz w:val="21"/>
          <w:szCs w:val="21"/>
          <w:highlight w:val="none"/>
          <w:u w:val="single"/>
        </w:rPr>
      </w:pPr>
      <w:r>
        <w:rPr>
          <w:rFonts w:hint="eastAsia" w:ascii="宋体" w:hAnsi="宋体" w:eastAsia="宋体" w:cs="宋体"/>
          <w:b/>
          <w:color w:val="auto"/>
          <w:sz w:val="21"/>
          <w:szCs w:val="21"/>
          <w:highlight w:val="none"/>
        </w:rPr>
        <w:t>开标时间：</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 xml:space="preserve">4 </w:t>
      </w:r>
      <w:r>
        <w:rPr>
          <w:rFonts w:hint="eastAsia" w:ascii="宋体" w:hAnsi="宋体" w:eastAsia="宋体" w:cs="宋体"/>
          <w:color w:val="auto"/>
          <w:sz w:val="21"/>
          <w:szCs w:val="21"/>
          <w:highlight w:val="none"/>
          <w:u w:val="single"/>
        </w:rPr>
        <w:t>月</w:t>
      </w:r>
      <w:r>
        <w:rPr>
          <w:rFonts w:hint="eastAsia" w:ascii="宋体" w:hAnsi="宋体" w:cs="宋体"/>
          <w:color w:val="auto"/>
          <w:sz w:val="21"/>
          <w:szCs w:val="21"/>
          <w:highlight w:val="none"/>
          <w:u w:val="single"/>
          <w:lang w:val="en-US" w:eastAsia="zh-CN"/>
        </w:rPr>
        <w:t>22</w:t>
      </w:r>
      <w:r>
        <w:rPr>
          <w:rFonts w:hint="eastAsia" w:ascii="宋体" w:hAnsi="宋体" w:eastAsia="宋体" w:cs="宋体"/>
          <w:color w:val="auto"/>
          <w:sz w:val="21"/>
          <w:szCs w:val="21"/>
          <w:highlight w:val="none"/>
          <w:u w:val="single"/>
        </w:rPr>
        <w:t>日</w:t>
      </w:r>
      <w:r>
        <w:rPr>
          <w:rFonts w:hint="eastAsia" w:ascii="宋体" w:hAnsi="宋体" w:cs="宋体"/>
          <w:color w:val="auto"/>
          <w:sz w:val="21"/>
          <w:szCs w:val="21"/>
          <w:highlight w:val="none"/>
          <w:u w:val="single"/>
          <w:lang w:val="en-US" w:eastAsia="zh-CN"/>
        </w:rPr>
        <w:t xml:space="preserve">14 </w:t>
      </w:r>
      <w:r>
        <w:rPr>
          <w:rFonts w:hint="eastAsia" w:ascii="宋体" w:hAnsi="宋体" w:eastAsia="宋体" w:cs="宋体"/>
          <w:color w:val="auto"/>
          <w:sz w:val="21"/>
          <w:szCs w:val="21"/>
          <w:highlight w:val="none"/>
          <w:u w:val="single"/>
        </w:rPr>
        <w:t>点</w:t>
      </w:r>
      <w:r>
        <w:rPr>
          <w:rFonts w:hint="eastAsia" w:ascii="宋体" w:hAnsi="宋体" w:cs="宋体"/>
          <w:color w:val="auto"/>
          <w:sz w:val="21"/>
          <w:szCs w:val="21"/>
          <w:highlight w:val="none"/>
          <w:u w:val="single"/>
          <w:lang w:val="en-US" w:eastAsia="zh-CN"/>
        </w:rPr>
        <w:t xml:space="preserve">00 </w:t>
      </w:r>
      <w:r>
        <w:rPr>
          <w:rFonts w:hint="eastAsia" w:ascii="宋体" w:hAnsi="宋体" w:eastAsia="宋体" w:cs="宋体"/>
          <w:color w:val="auto"/>
          <w:sz w:val="21"/>
          <w:szCs w:val="21"/>
          <w:highlight w:val="none"/>
          <w:u w:val="single"/>
        </w:rPr>
        <w:t>分00秒</w:t>
      </w:r>
    </w:p>
    <w:p w14:paraId="0784271B">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开标地点（网址）：</w:t>
      </w:r>
      <w:r>
        <w:rPr>
          <w:rFonts w:hint="eastAsia" w:ascii="宋体" w:hAnsi="宋体" w:eastAsia="宋体" w:cs="宋体"/>
          <w:color w:val="auto"/>
          <w:sz w:val="21"/>
          <w:szCs w:val="21"/>
          <w:highlight w:val="none"/>
        </w:rPr>
        <w:t>政采云平台（https://www.zcygov.cn/）</w:t>
      </w:r>
    </w:p>
    <w:p w14:paraId="54B8770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五、公告期限 </w:t>
      </w:r>
    </w:p>
    <w:p w14:paraId="4EE03612">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自本公告发布之日起5个工作日。</w:t>
      </w:r>
    </w:p>
    <w:p w14:paraId="5C8F6F1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六、其他补充事宜</w:t>
      </w:r>
    </w:p>
    <w:p w14:paraId="02C1E3D3">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54F1F46">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七、对本次采购提出询问、质疑、投诉，请按以下方式联系</w:t>
      </w:r>
    </w:p>
    <w:p w14:paraId="6F836614">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1.采购人信息</w:t>
      </w:r>
    </w:p>
    <w:p w14:paraId="07705D81">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color w:val="auto"/>
          <w:sz w:val="21"/>
          <w:szCs w:val="21"/>
          <w:highlight w:val="none"/>
        </w:rPr>
        <w:t>名称：</w:t>
      </w:r>
      <w:r>
        <w:rPr>
          <w:rFonts w:hint="eastAsia" w:ascii="宋体" w:hAnsi="宋体" w:cs="宋体"/>
          <w:color w:val="auto"/>
          <w:sz w:val="21"/>
          <w:szCs w:val="21"/>
          <w:highlight w:val="none"/>
          <w:lang w:val="en-US" w:eastAsia="zh-CN"/>
        </w:rPr>
        <w:t>杭</w:t>
      </w:r>
      <w:r>
        <w:rPr>
          <w:rFonts w:hint="eastAsia" w:ascii="宋体" w:hAnsi="宋体" w:eastAsia="宋体" w:cs="宋体"/>
          <w:i w:val="0"/>
          <w:iCs w:val="0"/>
          <w:caps w:val="0"/>
          <w:color w:val="auto"/>
          <w:spacing w:val="0"/>
          <w:sz w:val="21"/>
          <w:szCs w:val="21"/>
          <w:highlight w:val="none"/>
          <w:lang w:val="en-US" w:eastAsia="zh-CN"/>
        </w:rPr>
        <w:t>州市公安局余杭区分局</w:t>
      </w:r>
    </w:p>
    <w:p w14:paraId="74F4EFA7">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地址：</w:t>
      </w:r>
      <w:r>
        <w:rPr>
          <w:rFonts w:hint="default" w:ascii="宋体" w:hAnsi="宋体" w:eastAsia="宋体" w:cs="宋体"/>
          <w:i w:val="0"/>
          <w:iCs w:val="0"/>
          <w:caps w:val="0"/>
          <w:color w:val="auto"/>
          <w:spacing w:val="0"/>
          <w:sz w:val="21"/>
          <w:szCs w:val="21"/>
          <w:highlight w:val="none"/>
          <w:lang w:val="en-US" w:eastAsia="zh-CN"/>
        </w:rPr>
        <w:t>杭州市余杭区五常街道书径弄18号</w:t>
      </w:r>
    </w:p>
    <w:p w14:paraId="792D7FA6">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i w:val="0"/>
          <w:iCs w:val="0"/>
          <w:caps w:val="0"/>
          <w:color w:val="auto"/>
          <w:spacing w:val="0"/>
          <w:sz w:val="21"/>
          <w:szCs w:val="21"/>
          <w:highlight w:val="none"/>
          <w:lang w:val="en-US" w:eastAsia="zh-CN"/>
        </w:rPr>
      </w:pPr>
      <w:r>
        <w:rPr>
          <w:rFonts w:hint="eastAsia" w:ascii="宋体" w:hAnsi="宋体" w:eastAsia="宋体" w:cs="宋体"/>
          <w:i w:val="0"/>
          <w:iCs w:val="0"/>
          <w:caps w:val="0"/>
          <w:color w:val="auto"/>
          <w:spacing w:val="0"/>
          <w:sz w:val="21"/>
          <w:szCs w:val="21"/>
          <w:highlight w:val="none"/>
          <w:lang w:val="en-US" w:eastAsia="zh-CN"/>
        </w:rPr>
        <w:t>传真： /</w:t>
      </w:r>
    </w:p>
    <w:p w14:paraId="368163F7">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lang w:val="en-US" w:eastAsia="zh-CN"/>
        </w:rPr>
        <w:t>项目联系人（</w:t>
      </w:r>
      <w:r>
        <w:rPr>
          <w:rFonts w:hint="eastAsia" w:ascii="宋体" w:hAnsi="宋体" w:eastAsia="宋体" w:cs="宋体"/>
          <w:color w:val="auto"/>
          <w:sz w:val="21"/>
          <w:szCs w:val="21"/>
          <w:highlight w:val="none"/>
        </w:rPr>
        <w:t>询问）：</w:t>
      </w:r>
      <w:r>
        <w:rPr>
          <w:rFonts w:hint="eastAsia" w:ascii="宋体" w:hAnsi="宋体" w:cs="宋体"/>
          <w:i w:val="0"/>
          <w:iCs w:val="0"/>
          <w:caps w:val="0"/>
          <w:color w:val="auto"/>
          <w:spacing w:val="0"/>
          <w:sz w:val="21"/>
          <w:szCs w:val="21"/>
          <w:highlight w:val="none"/>
          <w:lang w:val="en-US" w:eastAsia="zh-CN"/>
        </w:rPr>
        <w:t>何先</w:t>
      </w:r>
      <w:r>
        <w:rPr>
          <w:rFonts w:hint="eastAsia" w:ascii="宋体" w:hAnsi="宋体" w:eastAsia="宋体" w:cs="宋体"/>
          <w:color w:val="auto"/>
          <w:sz w:val="21"/>
          <w:szCs w:val="21"/>
          <w:highlight w:val="none"/>
          <w:lang w:val="en-US" w:eastAsia="zh-CN"/>
        </w:rPr>
        <w:t>生</w:t>
      </w:r>
      <w:r>
        <w:rPr>
          <w:rFonts w:hint="eastAsia" w:ascii="宋体" w:hAnsi="宋体" w:eastAsia="宋体" w:cs="宋体"/>
          <w:color w:val="auto"/>
          <w:sz w:val="21"/>
          <w:szCs w:val="21"/>
          <w:highlight w:val="none"/>
        </w:rPr>
        <w:t xml:space="preserve"> </w:t>
      </w:r>
    </w:p>
    <w:p w14:paraId="3C84B51A">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项目联系方式（询问）：17858619159</w:t>
      </w:r>
    </w:p>
    <w:p w14:paraId="4F864789">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质疑联系人：</w:t>
      </w:r>
      <w:r>
        <w:rPr>
          <w:rFonts w:hint="eastAsia" w:ascii="宋体" w:hAnsi="宋体" w:eastAsia="宋体" w:cs="宋体"/>
          <w:color w:val="auto"/>
          <w:sz w:val="21"/>
          <w:szCs w:val="21"/>
          <w:highlight w:val="none"/>
          <w:lang w:val="en-US" w:eastAsia="zh-CN"/>
        </w:rPr>
        <w:t>蔡先生</w:t>
      </w:r>
    </w:p>
    <w:p w14:paraId="77A097E0">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质疑联系方式：13516820518</w:t>
      </w:r>
    </w:p>
    <w:p w14:paraId="4A6470C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2.采购代理机构信息            </w:t>
      </w:r>
    </w:p>
    <w:p w14:paraId="044FCB2A">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名称：浙江和源项目管理有限公司            </w:t>
      </w:r>
    </w:p>
    <w:p w14:paraId="05AD952C">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地址：杭州市上城区秋涛北路332号佰富时代中心3幢16楼             </w:t>
      </w:r>
    </w:p>
    <w:p w14:paraId="2C577DDB">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传真：/             </w:t>
      </w:r>
    </w:p>
    <w:p w14:paraId="649FD1D3">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项目联系人（询问）：</w:t>
      </w:r>
      <w:r>
        <w:rPr>
          <w:rFonts w:hint="eastAsia" w:ascii="宋体" w:hAnsi="宋体" w:cs="宋体"/>
          <w:color w:val="auto"/>
          <w:sz w:val="21"/>
          <w:szCs w:val="21"/>
          <w:highlight w:val="none"/>
          <w:lang w:val="en-US" w:eastAsia="zh-CN"/>
        </w:rPr>
        <w:t>王博</w:t>
      </w:r>
      <w:r>
        <w:rPr>
          <w:rFonts w:hint="eastAsia" w:ascii="宋体" w:hAnsi="宋体" w:eastAsia="宋体" w:cs="宋体"/>
          <w:color w:val="auto"/>
          <w:sz w:val="21"/>
          <w:szCs w:val="21"/>
          <w:highlight w:val="none"/>
        </w:rPr>
        <w:t xml:space="preserve">           </w:t>
      </w:r>
    </w:p>
    <w:p w14:paraId="4F49914A">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项目联系方式（询问）：</w:t>
      </w:r>
      <w:r>
        <w:rPr>
          <w:rFonts w:hint="eastAsia" w:ascii="宋体" w:hAnsi="宋体" w:cs="宋体"/>
          <w:color w:val="auto"/>
          <w:sz w:val="21"/>
          <w:szCs w:val="21"/>
          <w:highlight w:val="none"/>
          <w:lang w:val="en-US" w:eastAsia="zh-CN"/>
        </w:rPr>
        <w:t>17682339490</w:t>
      </w:r>
    </w:p>
    <w:p w14:paraId="648F8F32">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w:t>
      </w:r>
      <w:r>
        <w:rPr>
          <w:rFonts w:hint="eastAsia" w:ascii="宋体" w:hAnsi="宋体" w:cs="宋体"/>
          <w:color w:val="auto"/>
          <w:sz w:val="21"/>
          <w:szCs w:val="21"/>
          <w:highlight w:val="none"/>
          <w:lang w:val="en-US" w:eastAsia="zh-CN"/>
        </w:rPr>
        <w:t>周方霞</w:t>
      </w:r>
      <w:r>
        <w:rPr>
          <w:rFonts w:hint="eastAsia" w:ascii="宋体" w:hAnsi="宋体" w:eastAsia="宋体" w:cs="宋体"/>
          <w:color w:val="auto"/>
          <w:sz w:val="21"/>
          <w:szCs w:val="21"/>
          <w:highlight w:val="none"/>
        </w:rPr>
        <w:t xml:space="preserve">        </w:t>
      </w:r>
    </w:p>
    <w:p w14:paraId="5571DBC6">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w:t>
      </w:r>
      <w:r>
        <w:rPr>
          <w:rFonts w:hint="eastAsia" w:ascii="宋体" w:hAnsi="宋体" w:eastAsia="宋体" w:cs="宋体"/>
          <w:color w:val="auto"/>
          <w:sz w:val="21"/>
          <w:szCs w:val="21"/>
          <w:highlight w:val="none"/>
          <w:lang w:val="en-US" w:eastAsia="zh-CN"/>
        </w:rPr>
        <w:t>15355039189</w:t>
      </w:r>
      <w:r>
        <w:rPr>
          <w:rFonts w:hint="eastAsia" w:ascii="宋体" w:hAnsi="宋体" w:eastAsia="宋体" w:cs="宋体"/>
          <w:color w:val="auto"/>
          <w:sz w:val="21"/>
          <w:szCs w:val="21"/>
          <w:highlight w:val="none"/>
        </w:rPr>
        <w:t xml:space="preserve">    </w:t>
      </w:r>
    </w:p>
    <w:p w14:paraId="1249FD2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3.同级政府采购监督管理部门</w:t>
      </w:r>
    </w:p>
    <w:p w14:paraId="0B28FC7E">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名称：杭州市</w:t>
      </w:r>
      <w:r>
        <w:rPr>
          <w:rFonts w:hint="eastAsia" w:ascii="宋体" w:hAnsi="宋体" w:cs="宋体"/>
          <w:color w:val="auto"/>
          <w:sz w:val="21"/>
          <w:szCs w:val="21"/>
          <w:highlight w:val="none"/>
          <w:lang w:val="en-US" w:eastAsia="zh-CN"/>
        </w:rPr>
        <w:t>余杭</w:t>
      </w:r>
      <w:r>
        <w:rPr>
          <w:rFonts w:hint="eastAsia" w:ascii="宋体" w:hAnsi="宋体" w:eastAsia="宋体" w:cs="宋体"/>
          <w:color w:val="auto"/>
          <w:sz w:val="21"/>
          <w:szCs w:val="21"/>
          <w:highlight w:val="none"/>
          <w:lang w:val="en-US" w:eastAsia="zh-CN"/>
        </w:rPr>
        <w:t>区</w:t>
      </w:r>
      <w:r>
        <w:rPr>
          <w:rFonts w:hint="eastAsia" w:ascii="宋体" w:hAnsi="宋体" w:eastAsia="宋体" w:cs="宋体"/>
          <w:color w:val="auto"/>
          <w:sz w:val="21"/>
          <w:szCs w:val="21"/>
          <w:highlight w:val="none"/>
        </w:rPr>
        <w:t>财政局、浙江省政府采购行政裁决服务中心（杭州）</w:t>
      </w:r>
    </w:p>
    <w:p w14:paraId="2DAED4C0">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i w:val="0"/>
          <w:caps w:val="0"/>
          <w:color w:val="auto"/>
          <w:spacing w:val="0"/>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i w:val="0"/>
          <w:caps w:val="0"/>
          <w:color w:val="auto"/>
          <w:spacing w:val="0"/>
          <w:sz w:val="21"/>
          <w:szCs w:val="21"/>
          <w:highlight w:val="none"/>
          <w:lang w:eastAsia="zh-CN"/>
        </w:rPr>
        <w:t>杭州市上城区清泰街549号城建综合大楼11楼</w:t>
      </w:r>
      <w:r>
        <w:rPr>
          <w:rFonts w:hint="eastAsia" w:ascii="宋体" w:hAnsi="宋体" w:eastAsia="宋体" w:cs="宋体"/>
          <w:i w:val="0"/>
          <w:caps w:val="0"/>
          <w:color w:val="auto"/>
          <w:spacing w:val="0"/>
          <w:sz w:val="21"/>
          <w:szCs w:val="21"/>
          <w:highlight w:val="none"/>
        </w:rPr>
        <w:t>（快递仅限ems或顺丰）</w:t>
      </w:r>
    </w:p>
    <w:p w14:paraId="3557A2F5">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 /</w:t>
      </w:r>
    </w:p>
    <w:p w14:paraId="73CA2416">
      <w:pPr>
        <w:keepNext w:val="0"/>
        <w:keepLines w:val="0"/>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联系人：朱女士、王女士</w:t>
      </w:r>
    </w:p>
    <w:p w14:paraId="48CB56A5">
      <w:pPr>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监督投诉电话：0571-8</w:t>
      </w:r>
      <w:r>
        <w:rPr>
          <w:rFonts w:hint="eastAsia" w:ascii="宋体" w:hAnsi="宋体" w:eastAsia="宋体" w:cs="宋体"/>
          <w:color w:val="auto"/>
          <w:sz w:val="21"/>
          <w:szCs w:val="21"/>
          <w:highlight w:val="none"/>
          <w:lang w:val="en-US" w:eastAsia="zh-CN"/>
        </w:rPr>
        <w:t>7227671,0571-87800218</w:t>
      </w:r>
    </w:p>
    <w:p w14:paraId="421A9656">
      <w:pPr>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政策咨询电话：</w:t>
      </w:r>
      <w:r>
        <w:rPr>
          <w:rFonts w:hint="eastAsia" w:ascii="宋体" w:hAnsi="宋体" w:eastAsia="宋体" w:cs="宋体"/>
          <w:color w:val="auto"/>
          <w:sz w:val="21"/>
          <w:szCs w:val="21"/>
          <w:highlight w:val="none"/>
          <w:lang w:eastAsia="zh-CN"/>
        </w:rPr>
        <w:t>沈先生、陈先生</w:t>
      </w:r>
      <w:r>
        <w:rPr>
          <w:rFonts w:hint="eastAsia" w:ascii="宋体" w:hAnsi="宋体" w:eastAsia="宋体" w:cs="宋体"/>
          <w:color w:val="auto"/>
          <w:sz w:val="21"/>
          <w:szCs w:val="21"/>
          <w:highlight w:val="none"/>
          <w:lang w:val="en-US" w:eastAsia="zh-CN"/>
        </w:rPr>
        <w:t>，0571-89580457、0571-89580460 政府采购监管部门工作人员</w:t>
      </w:r>
    </w:p>
    <w:p w14:paraId="0BA22B16">
      <w:pPr>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若对项目采购电子交易系统操作有疑问，可登录政采云（https://www.zcygov.cn/），点击右侧咨询小采，获取采小蜜智能服务管家帮助，或拨打政采云服务热线95763获取热线服务帮助。</w:t>
      </w:r>
    </w:p>
    <w:p w14:paraId="7DCC92EC">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CA问题联系电话（人工）：汇信CA 400-888-4636；天谷CA 400-087-8198。</w:t>
      </w:r>
    </w:p>
    <w:p w14:paraId="579A3491">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4753FAE8">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2"/>
        <w:tblW w:w="4996"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81"/>
        <w:gridCol w:w="2010"/>
        <w:gridCol w:w="6656"/>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5" w:hRule="atLeast"/>
          <w:tblHeader/>
        </w:trPr>
        <w:tc>
          <w:tcPr>
            <w:tcW w:w="364" w:type="pct"/>
            <w:tcBorders>
              <w:top w:val="single" w:color="auto" w:sz="4" w:space="0"/>
              <w:left w:val="single" w:color="auto" w:sz="4" w:space="0"/>
              <w:bottom w:val="single" w:color="auto" w:sz="4" w:space="0"/>
              <w:right w:val="single" w:color="auto" w:sz="4" w:space="0"/>
            </w:tcBorders>
          </w:tcPr>
          <w:p w14:paraId="37CF1AE6">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075" w:type="pct"/>
            <w:tcBorders>
              <w:top w:val="single" w:color="000000" w:sz="8" w:space="0"/>
              <w:left w:val="single" w:color="auto" w:sz="4" w:space="0"/>
              <w:bottom w:val="single" w:color="000000" w:sz="8" w:space="0"/>
              <w:right w:val="single" w:color="000000" w:sz="8" w:space="0"/>
            </w:tcBorders>
            <w:vAlign w:val="center"/>
          </w:tcPr>
          <w:p w14:paraId="3BF79A52">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事项</w:t>
            </w:r>
          </w:p>
        </w:tc>
        <w:tc>
          <w:tcPr>
            <w:tcW w:w="3559" w:type="pct"/>
            <w:tcBorders>
              <w:top w:val="single" w:color="000000" w:sz="8" w:space="0"/>
              <w:left w:val="single" w:color="000000" w:sz="2" w:space="0"/>
              <w:bottom w:val="single" w:color="000000" w:sz="8" w:space="0"/>
              <w:right w:val="single" w:color="000000" w:sz="8" w:space="0"/>
            </w:tcBorders>
            <w:vAlign w:val="center"/>
          </w:tcPr>
          <w:p w14:paraId="023DC294">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3" w:hRule="atLeast"/>
          <w:tblHeader/>
        </w:trPr>
        <w:tc>
          <w:tcPr>
            <w:tcW w:w="364" w:type="pct"/>
            <w:tcBorders>
              <w:top w:val="single" w:color="auto" w:sz="4" w:space="0"/>
              <w:left w:val="single" w:color="auto" w:sz="4" w:space="0"/>
              <w:bottom w:val="single" w:color="auto" w:sz="4" w:space="0"/>
              <w:right w:val="single" w:color="auto" w:sz="4" w:space="0"/>
            </w:tcBorders>
            <w:vAlign w:val="center"/>
          </w:tcPr>
          <w:p w14:paraId="6308F356">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75" w:type="pct"/>
            <w:tcBorders>
              <w:top w:val="single" w:color="000000" w:sz="8" w:space="0"/>
              <w:left w:val="single" w:color="auto" w:sz="4" w:space="0"/>
              <w:bottom w:val="single" w:color="000000" w:sz="8" w:space="0"/>
              <w:right w:val="single" w:color="000000" w:sz="8" w:space="0"/>
            </w:tcBorders>
            <w:vAlign w:val="center"/>
          </w:tcPr>
          <w:p w14:paraId="04E4AB13">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项目属性</w:t>
            </w:r>
          </w:p>
        </w:tc>
        <w:tc>
          <w:tcPr>
            <w:tcW w:w="3559" w:type="pct"/>
            <w:tcBorders>
              <w:top w:val="single" w:color="000000" w:sz="8" w:space="0"/>
              <w:left w:val="single" w:color="000000" w:sz="2" w:space="0"/>
              <w:bottom w:val="single" w:color="000000" w:sz="8" w:space="0"/>
              <w:right w:val="single" w:color="000000" w:sz="8" w:space="0"/>
            </w:tcBorders>
            <w:vAlign w:val="center"/>
          </w:tcPr>
          <w:p w14:paraId="5EEA470E">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364" w:type="pct"/>
            <w:tcBorders>
              <w:top w:val="single" w:color="auto" w:sz="4" w:space="0"/>
              <w:left w:val="single" w:color="auto" w:sz="4" w:space="0"/>
              <w:bottom w:val="single" w:color="auto" w:sz="4" w:space="0"/>
              <w:right w:val="single" w:color="auto" w:sz="4" w:space="0"/>
            </w:tcBorders>
            <w:vAlign w:val="center"/>
          </w:tcPr>
          <w:p w14:paraId="241F26CA">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75" w:type="pct"/>
            <w:tcBorders>
              <w:top w:val="single" w:color="000000" w:sz="8" w:space="0"/>
              <w:left w:val="single" w:color="auto" w:sz="4" w:space="0"/>
              <w:bottom w:val="single" w:color="000000" w:sz="8" w:space="0"/>
              <w:right w:val="single" w:color="000000" w:sz="8" w:space="0"/>
            </w:tcBorders>
            <w:vAlign w:val="center"/>
          </w:tcPr>
          <w:p w14:paraId="56AA107A">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采购标的及其对应的中小企业划分标准所属行业</w:t>
            </w:r>
          </w:p>
        </w:tc>
        <w:tc>
          <w:tcPr>
            <w:tcW w:w="3559" w:type="pct"/>
            <w:tcBorders>
              <w:top w:val="single" w:color="000000" w:sz="8" w:space="0"/>
              <w:left w:val="single" w:color="000000" w:sz="2" w:space="0"/>
              <w:bottom w:val="single" w:color="000000" w:sz="8" w:space="0"/>
              <w:right w:val="single" w:color="000000" w:sz="8" w:space="0"/>
            </w:tcBorders>
            <w:vAlign w:val="center"/>
          </w:tcPr>
          <w:p w14:paraId="29380E4B">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（1）标的：</w:t>
            </w:r>
            <w:r>
              <w:rPr>
                <w:rFonts w:hint="eastAsia" w:ascii="宋体" w:hAnsi="宋体" w:cs="宋体"/>
                <w:color w:val="auto"/>
                <w:kern w:val="0"/>
                <w:sz w:val="21"/>
                <w:szCs w:val="21"/>
                <w:highlight w:val="none"/>
                <w:u w:val="single"/>
                <w:lang w:eastAsia="zh-CN"/>
              </w:rPr>
              <w:t>2025年96110接线处置项目</w:t>
            </w:r>
            <w:r>
              <w:rPr>
                <w:rFonts w:hint="eastAsia" w:ascii="宋体" w:hAnsi="宋体" w:eastAsia="宋体" w:cs="宋体"/>
                <w:color w:val="auto"/>
                <w:kern w:val="0"/>
                <w:sz w:val="21"/>
                <w:szCs w:val="21"/>
                <w:highlight w:val="none"/>
              </w:rPr>
              <w:t>，属于</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rPr>
              <w:t>租赁和商务服务业</w:t>
            </w:r>
            <w:r>
              <w:rPr>
                <w:rFonts w:hint="eastAsia" w:ascii="宋体" w:hAnsi="宋体" w:cs="宋体"/>
                <w:b/>
                <w:bCs/>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rPr>
              <w:t>；</w:t>
            </w:r>
          </w:p>
          <w:p w14:paraId="27019300">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lang w:val="en-US"/>
              </w:rPr>
            </w:pPr>
            <w:r>
              <w:rPr>
                <w:rFonts w:hint="eastAsia" w:ascii="宋体" w:hAnsi="宋体" w:eastAsia="宋体" w:cs="宋体"/>
                <w:b w:val="0"/>
                <w:bCs w:val="0"/>
                <w:color w:val="auto"/>
                <w:kern w:val="0"/>
                <w:sz w:val="21"/>
                <w:szCs w:val="21"/>
                <w:highlight w:val="none"/>
                <w:lang w:val="en-US" w:eastAsia="zh-CN" w:bidi="ar-SA"/>
              </w:rPr>
              <w:t>根据《关于印发中小企业划型标准规定的通知》（工信部联企业〔2011〕300号）第四条规定：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3" w:hRule="atLeast"/>
          <w:tblHeader/>
        </w:trPr>
        <w:tc>
          <w:tcPr>
            <w:tcW w:w="364" w:type="pct"/>
            <w:tcBorders>
              <w:top w:val="single" w:color="auto" w:sz="4" w:space="0"/>
              <w:left w:val="single" w:color="auto" w:sz="4" w:space="0"/>
              <w:bottom w:val="single" w:color="auto" w:sz="4" w:space="0"/>
              <w:right w:val="single" w:color="auto" w:sz="4" w:space="0"/>
            </w:tcBorders>
            <w:vAlign w:val="center"/>
          </w:tcPr>
          <w:p w14:paraId="73FFBC63">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075" w:type="pct"/>
            <w:tcBorders>
              <w:top w:val="single" w:color="000000" w:sz="8" w:space="0"/>
              <w:left w:val="single" w:color="auto" w:sz="4" w:space="0"/>
              <w:bottom w:val="single" w:color="000000" w:sz="8" w:space="0"/>
              <w:right w:val="single" w:color="000000" w:sz="8" w:space="0"/>
            </w:tcBorders>
            <w:vAlign w:val="center"/>
          </w:tcPr>
          <w:p w14:paraId="586A7D26">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是否允许采购进口产品</w:t>
            </w:r>
          </w:p>
        </w:tc>
        <w:tc>
          <w:tcPr>
            <w:tcW w:w="3559" w:type="pct"/>
            <w:tcBorders>
              <w:top w:val="single" w:color="000000" w:sz="8" w:space="0"/>
              <w:left w:val="single" w:color="000000" w:sz="2" w:space="0"/>
              <w:bottom w:val="single" w:color="000000" w:sz="8" w:space="0"/>
              <w:right w:val="single" w:color="000000" w:sz="8" w:space="0"/>
            </w:tcBorders>
            <w:vAlign w:val="center"/>
          </w:tcPr>
          <w:p w14:paraId="58D6E171">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sdt>
              <w:sdtPr>
                <w:rPr>
                  <w:rFonts w:hint="eastAsia" w:ascii="宋体" w:hAnsi="宋体" w:eastAsia="宋体" w:cs="宋体"/>
                  <w:color w:val="auto"/>
                  <w:kern w:val="0"/>
                  <w:sz w:val="21"/>
                  <w:szCs w:val="21"/>
                  <w:highlight w:val="none"/>
                </w:rPr>
                <w:id w:val="29253019"/>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F0FE"/>
                </w:r>
              </w:sdtContent>
            </w:sdt>
            <w:r>
              <w:rPr>
                <w:rFonts w:hint="eastAsia" w:ascii="宋体" w:hAnsi="宋体" w:eastAsia="宋体" w:cs="宋体"/>
                <w:color w:val="auto"/>
                <w:kern w:val="0"/>
                <w:sz w:val="21"/>
                <w:szCs w:val="21"/>
                <w:highlight w:val="none"/>
              </w:rPr>
              <w:t>本项目不允许采购进口产品。</w:t>
            </w:r>
          </w:p>
          <w:p w14:paraId="59CFD0C2">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450696967"/>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可以就</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2" w:hRule="atLeast"/>
          <w:tblHeader/>
        </w:trPr>
        <w:tc>
          <w:tcPr>
            <w:tcW w:w="364" w:type="pct"/>
            <w:tcBorders>
              <w:top w:val="single" w:color="auto" w:sz="4" w:space="0"/>
              <w:left w:val="single" w:color="auto" w:sz="4" w:space="0"/>
              <w:bottom w:val="single" w:color="auto" w:sz="4" w:space="0"/>
              <w:right w:val="single" w:color="auto" w:sz="4" w:space="0"/>
            </w:tcBorders>
            <w:vAlign w:val="center"/>
          </w:tcPr>
          <w:p w14:paraId="7D9677AA">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075" w:type="pct"/>
            <w:tcBorders>
              <w:top w:val="single" w:color="000000" w:sz="8" w:space="0"/>
              <w:left w:val="single" w:color="auto" w:sz="4" w:space="0"/>
              <w:bottom w:val="single" w:color="000000" w:sz="8" w:space="0"/>
              <w:right w:val="single" w:color="000000" w:sz="8" w:space="0"/>
            </w:tcBorders>
            <w:vAlign w:val="center"/>
          </w:tcPr>
          <w:p w14:paraId="079E4312">
            <w:pPr>
              <w:keepNext w:val="0"/>
              <w:keepLines w:val="0"/>
              <w:pageBreakBefore w:val="0"/>
              <w:kinsoku/>
              <w:wordWrap/>
              <w:overflowPunct/>
              <w:topLinePunct w:val="0"/>
              <w:bidi w:val="0"/>
              <w:adjustRightInd w:val="0"/>
              <w:snapToGrid w:val="0"/>
              <w:spacing w:line="360" w:lineRule="auto"/>
              <w:ind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分包</w:t>
            </w:r>
          </w:p>
        </w:tc>
        <w:tc>
          <w:tcPr>
            <w:tcW w:w="3559" w:type="pct"/>
            <w:tcBorders>
              <w:top w:val="single" w:color="000000" w:sz="8" w:space="0"/>
              <w:left w:val="single" w:color="000000" w:sz="2" w:space="0"/>
              <w:bottom w:val="single" w:color="000000" w:sz="8" w:space="0"/>
              <w:right w:val="single" w:color="000000" w:sz="8" w:space="0"/>
            </w:tcBorders>
            <w:vAlign w:val="center"/>
          </w:tcPr>
          <w:p w14:paraId="41E565FF">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lang w:eastAsia="zh-CN"/>
              </w:rPr>
            </w:pPr>
            <w:sdt>
              <w:sdtPr>
                <w:rPr>
                  <w:rFonts w:hint="eastAsia" w:ascii="宋体" w:hAnsi="宋体" w:eastAsia="宋体" w:cs="宋体"/>
                  <w:color w:val="auto"/>
                  <w:kern w:val="0"/>
                  <w:sz w:val="21"/>
                  <w:szCs w:val="21"/>
                  <w:highlight w:val="none"/>
                </w:rPr>
                <w:id w:val="546541237"/>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Wingdings" w:hAnsi="Wingdings" w:eastAsia="宋体" w:cs="宋体"/>
                    <w:color w:val="auto"/>
                    <w:kern w:val="0"/>
                    <w:sz w:val="21"/>
                    <w:szCs w:val="21"/>
                    <w:highlight w:val="none"/>
                    <w:lang w:val="en-US" w:eastAsia="zh-CN" w:bidi="ar-SA"/>
                  </w:rPr>
                  <w:t>þ</w:t>
                </w:r>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同意将非主体、非关键性的</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工作分包</w:t>
            </w:r>
            <w:r>
              <w:rPr>
                <w:rFonts w:hint="eastAsia" w:ascii="宋体" w:hAnsi="宋体" w:cs="宋体"/>
                <w:color w:val="auto"/>
                <w:sz w:val="21"/>
                <w:szCs w:val="21"/>
                <w:highlight w:val="none"/>
                <w:lang w:eastAsia="zh-CN"/>
              </w:rPr>
              <w:t>。</w:t>
            </w:r>
          </w:p>
          <w:p w14:paraId="2FE069BD">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681655650"/>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 xml:space="preserve"> B</w:t>
            </w:r>
            <w:r>
              <w:rPr>
                <w:rFonts w:hint="eastAsia" w:ascii="宋体" w:hAnsi="宋体" w:eastAsia="宋体" w:cs="宋体"/>
                <w:color w:val="auto"/>
                <w:sz w:val="21"/>
                <w:szCs w:val="21"/>
                <w:highlight w:val="none"/>
              </w:rPr>
              <w:t>不同意分包。</w:t>
            </w:r>
          </w:p>
          <w:p w14:paraId="75748277">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11" w:hRule="atLeast"/>
          <w:tblHeader/>
        </w:trPr>
        <w:tc>
          <w:tcPr>
            <w:tcW w:w="364" w:type="pct"/>
            <w:tcBorders>
              <w:top w:val="single" w:color="auto" w:sz="4" w:space="0"/>
              <w:left w:val="single" w:color="auto" w:sz="4" w:space="0"/>
              <w:bottom w:val="single" w:color="auto" w:sz="4" w:space="0"/>
              <w:right w:val="single" w:color="auto" w:sz="4" w:space="0"/>
            </w:tcBorders>
            <w:vAlign w:val="center"/>
          </w:tcPr>
          <w:p w14:paraId="4E3B3BFA">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075" w:type="pct"/>
            <w:tcBorders>
              <w:top w:val="single" w:color="000000" w:sz="8" w:space="0"/>
              <w:left w:val="single" w:color="auto" w:sz="4" w:space="0"/>
              <w:bottom w:val="single" w:color="000000" w:sz="8" w:space="0"/>
              <w:right w:val="single" w:color="000000" w:sz="8" w:space="0"/>
            </w:tcBorders>
            <w:vAlign w:val="center"/>
          </w:tcPr>
          <w:p w14:paraId="2F59C2C2">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开标前答疑会或现场考察</w:t>
            </w:r>
          </w:p>
        </w:tc>
        <w:tc>
          <w:tcPr>
            <w:tcW w:w="3559" w:type="pct"/>
            <w:tcBorders>
              <w:top w:val="single" w:color="000000" w:sz="8" w:space="0"/>
              <w:left w:val="single" w:color="000000" w:sz="2" w:space="0"/>
              <w:bottom w:val="single" w:color="000000" w:sz="8" w:space="0"/>
              <w:right w:val="single" w:color="000000" w:sz="8" w:space="0"/>
            </w:tcBorders>
            <w:vAlign w:val="center"/>
          </w:tcPr>
          <w:p w14:paraId="607723BC">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186549752"/>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Wingdings" w:hAnsi="Wingdings" w:eastAsia="宋体" w:cs="宋体"/>
                    <w:color w:val="auto"/>
                    <w:kern w:val="0"/>
                    <w:sz w:val="21"/>
                    <w:szCs w:val="21"/>
                    <w:highlight w:val="none"/>
                    <w:lang w:val="en-US" w:eastAsia="zh-CN" w:bidi="ar-SA"/>
                  </w:rPr>
                  <w:t>þ</w:t>
                </w:r>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不组织。</w:t>
            </w:r>
          </w:p>
          <w:p w14:paraId="6C03CD1E">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388999054"/>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B组织，</w:t>
            </w:r>
            <w:r>
              <w:rPr>
                <w:rFonts w:hint="eastAsia" w:ascii="宋体" w:hAnsi="宋体" w:eastAsia="宋体" w:cs="宋体"/>
                <w:color w:val="auto"/>
                <w:sz w:val="21"/>
                <w:szCs w:val="21"/>
                <w:highlight w:val="none"/>
              </w:rPr>
              <w:t>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，联系方式：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18E5266">
            <w:pPr>
              <w:pStyle w:val="79"/>
              <w:keepNext w:val="0"/>
              <w:keepLines w:val="0"/>
              <w:pageBreakBefore w:val="0"/>
              <w:kinsoku/>
              <w:wordWrap/>
              <w:overflowPunct/>
              <w:topLinePunct w:val="0"/>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SA"/>
              </w:rPr>
              <w:t>☐C不统一组织，供应商在获取采购文件后，自行至项目现场考察。地点： ，联系人： ，联系方式： 。</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364" w:type="pct"/>
            <w:tcBorders>
              <w:top w:val="single" w:color="auto" w:sz="4" w:space="0"/>
              <w:left w:val="single" w:color="auto" w:sz="4" w:space="0"/>
              <w:bottom w:val="single" w:color="auto" w:sz="4" w:space="0"/>
              <w:right w:val="single" w:color="auto" w:sz="4" w:space="0"/>
            </w:tcBorders>
            <w:vAlign w:val="center"/>
          </w:tcPr>
          <w:p w14:paraId="39258284">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075" w:type="pct"/>
            <w:tcBorders>
              <w:top w:val="single" w:color="000000" w:sz="8" w:space="0"/>
              <w:left w:val="single" w:color="auto" w:sz="4" w:space="0"/>
              <w:bottom w:val="single" w:color="000000" w:sz="8" w:space="0"/>
              <w:right w:val="single" w:color="000000" w:sz="8" w:space="0"/>
            </w:tcBorders>
            <w:vAlign w:val="center"/>
          </w:tcPr>
          <w:p w14:paraId="34F96D8E">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样品提供</w:t>
            </w:r>
          </w:p>
        </w:tc>
        <w:tc>
          <w:tcPr>
            <w:tcW w:w="3559" w:type="pct"/>
            <w:tcBorders>
              <w:top w:val="single" w:color="000000" w:sz="8" w:space="0"/>
              <w:left w:val="single" w:color="000000" w:sz="2" w:space="0"/>
              <w:bottom w:val="single" w:color="000000" w:sz="8" w:space="0"/>
              <w:right w:val="single" w:color="000000" w:sz="8" w:space="0"/>
            </w:tcBorders>
            <w:vAlign w:val="center"/>
          </w:tcPr>
          <w:p w14:paraId="29A19C74">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986282337"/>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Wingdings" w:hAnsi="Wingdings" w:eastAsia="宋体" w:cs="宋体"/>
                    <w:color w:val="auto"/>
                    <w:kern w:val="0"/>
                    <w:sz w:val="21"/>
                    <w:szCs w:val="21"/>
                    <w:highlight w:val="none"/>
                    <w:lang w:val="en-US" w:eastAsia="zh-CN" w:bidi="ar-SA"/>
                  </w:rPr>
                  <w:t>þ</w:t>
                </w:r>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不要求提供。</w:t>
            </w:r>
          </w:p>
          <w:p w14:paraId="5E0D3FFD">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sdt>
              <w:sdtPr>
                <w:rPr>
                  <w:rFonts w:hint="eastAsia" w:ascii="宋体" w:hAnsi="宋体" w:eastAsia="宋体" w:cs="宋体"/>
                  <w:color w:val="auto"/>
                  <w:kern w:val="0"/>
                  <w:sz w:val="21"/>
                  <w:szCs w:val="21"/>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B要求提供，</w:t>
            </w:r>
          </w:p>
          <w:p w14:paraId="49DE0ED2">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snapToGrid w:val="0"/>
                <w:color w:val="auto"/>
                <w:kern w:val="28"/>
                <w:sz w:val="21"/>
                <w:szCs w:val="21"/>
                <w:highlight w:val="none"/>
              </w:rPr>
              <w:t>样品：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1DE88776">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snapToGrid w:val="0"/>
                <w:color w:val="auto"/>
                <w:kern w:val="28"/>
                <w:sz w:val="21"/>
                <w:szCs w:val="21"/>
                <w:highlight w:val="none"/>
              </w:rPr>
              <w:t>样品制作的标准和要求：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2AE00BAE">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（3）样品的评审方法以及评审标准</w:t>
            </w:r>
            <w:r>
              <w:rPr>
                <w:rFonts w:hint="eastAsia" w:ascii="宋体" w:hAnsi="宋体" w:eastAsia="宋体" w:cs="宋体"/>
                <w:snapToGrid w:val="0"/>
                <w:color w:val="auto"/>
                <w:kern w:val="28"/>
                <w:sz w:val="21"/>
                <w:szCs w:val="21"/>
                <w:highlight w:val="none"/>
              </w:rPr>
              <w:t>：详见</w:t>
            </w:r>
            <w:r>
              <w:rPr>
                <w:rFonts w:hint="eastAsia" w:ascii="宋体" w:hAnsi="宋体" w:eastAsia="宋体" w:cs="宋体"/>
                <w:color w:val="auto"/>
                <w:sz w:val="21"/>
                <w:szCs w:val="21"/>
                <w:highlight w:val="none"/>
                <w:u w:val="single"/>
              </w:rPr>
              <w:t>评标办法</w:t>
            </w:r>
            <w:r>
              <w:rPr>
                <w:rFonts w:hint="eastAsia" w:ascii="宋体" w:hAnsi="宋体" w:eastAsia="宋体" w:cs="宋体"/>
                <w:color w:val="auto"/>
                <w:kern w:val="0"/>
                <w:sz w:val="21"/>
                <w:szCs w:val="21"/>
                <w:highlight w:val="none"/>
              </w:rPr>
              <w:t>；</w:t>
            </w:r>
          </w:p>
          <w:p w14:paraId="3216AAEE">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（4）是否需要随样品提交检测报告：</w:t>
            </w:r>
            <w:sdt>
              <w:sdtPr>
                <w:rPr>
                  <w:rFonts w:hint="eastAsia" w:ascii="宋体" w:hAnsi="宋体" w:eastAsia="宋体" w:cs="宋体"/>
                  <w:color w:val="auto"/>
                  <w:kern w:val="0"/>
                  <w:sz w:val="21"/>
                  <w:szCs w:val="21"/>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否；</w:t>
            </w:r>
            <w:sdt>
              <w:sdtPr>
                <w:rPr>
                  <w:rFonts w:hint="eastAsia" w:ascii="宋体" w:hAnsi="宋体" w:eastAsia="宋体" w:cs="宋体"/>
                  <w:color w:val="auto"/>
                  <w:kern w:val="0"/>
                  <w:sz w:val="21"/>
                  <w:szCs w:val="21"/>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是，检测机构的要求</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；检测内容</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756F4883">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（5）提供样品的时间：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；地点：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；联系人</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kern w:val="28"/>
                <w:sz w:val="21"/>
                <w:szCs w:val="21"/>
                <w:highlight w:val="none"/>
              </w:rPr>
              <w:t>联系电话：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。请投标人在上述时间内提供样品并按规定位置安装完毕。超过截止时间的，采购人或采购代理机构将不予接收，并将清场并封闭样品现场。</w:t>
            </w:r>
          </w:p>
          <w:p w14:paraId="0A11BDBA">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(6)采购活动结束后，对于未中标人提供的样品，采购人、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将通知未中标人在规定的时间内取回，逾期未取回的，采购人、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不负保管义务；对于中标人提供的样品，采购人将进行保管、封存，并作为履约验收的参考。</w:t>
            </w:r>
          </w:p>
          <w:p w14:paraId="78AD61E6">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364" w:type="pct"/>
            <w:tcBorders>
              <w:top w:val="single" w:color="auto" w:sz="4" w:space="0"/>
              <w:left w:val="single" w:color="auto" w:sz="4" w:space="0"/>
              <w:bottom w:val="single" w:color="auto" w:sz="4" w:space="0"/>
              <w:right w:val="single" w:color="auto" w:sz="4" w:space="0"/>
            </w:tcBorders>
            <w:vAlign w:val="center"/>
          </w:tcPr>
          <w:p w14:paraId="32C2B9F7">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075" w:type="pct"/>
            <w:tcBorders>
              <w:top w:val="single" w:color="000000" w:sz="8" w:space="0"/>
              <w:left w:val="single" w:color="auto" w:sz="4" w:space="0"/>
              <w:bottom w:val="single" w:color="000000" w:sz="8" w:space="0"/>
              <w:right w:val="single" w:color="000000" w:sz="8" w:space="0"/>
            </w:tcBorders>
            <w:vAlign w:val="center"/>
          </w:tcPr>
          <w:p w14:paraId="4CE53DDF">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Cs/>
                <w:color w:val="auto"/>
                <w:sz w:val="21"/>
                <w:szCs w:val="21"/>
                <w:highlight w:val="none"/>
              </w:rPr>
            </w:pPr>
            <w:r>
              <w:rPr>
                <w:rFonts w:hint="eastAsia" w:ascii="宋体" w:hAnsi="宋体" w:eastAsia="宋体" w:cs="宋体"/>
                <w:b/>
                <w:color w:val="auto"/>
                <w:sz w:val="21"/>
                <w:szCs w:val="21"/>
                <w:highlight w:val="none"/>
              </w:rPr>
              <w:t>方案讲解演示</w:t>
            </w:r>
          </w:p>
        </w:tc>
        <w:tc>
          <w:tcPr>
            <w:tcW w:w="3559" w:type="pct"/>
            <w:tcBorders>
              <w:top w:val="single" w:color="000000" w:sz="8" w:space="0"/>
              <w:left w:val="single" w:color="000000" w:sz="2" w:space="0"/>
              <w:bottom w:val="single" w:color="000000" w:sz="8" w:space="0"/>
              <w:right w:val="single" w:color="000000" w:sz="8" w:space="0"/>
            </w:tcBorders>
            <w:vAlign w:val="center"/>
          </w:tcPr>
          <w:p w14:paraId="150BEE83">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914107133"/>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Wingdings" w:hAnsi="Wingdings" w:eastAsia="宋体" w:cs="宋体"/>
                    <w:color w:val="auto"/>
                    <w:kern w:val="0"/>
                    <w:sz w:val="21"/>
                    <w:szCs w:val="21"/>
                    <w:highlight w:val="none"/>
                    <w:lang w:val="en-US" w:eastAsia="zh-CN" w:bidi="ar-SA"/>
                  </w:rPr>
                  <w:t>þ</w:t>
                </w:r>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不组织。</w:t>
            </w:r>
          </w:p>
          <w:p w14:paraId="65A64D05">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sdt>
              <w:sdtPr>
                <w:rPr>
                  <w:rFonts w:hint="eastAsia" w:ascii="宋体" w:hAnsi="宋体" w:eastAsia="宋体" w:cs="宋体"/>
                  <w:color w:val="auto"/>
                  <w:kern w:val="0"/>
                  <w:sz w:val="21"/>
                  <w:szCs w:val="21"/>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B组织。</w:t>
            </w:r>
          </w:p>
          <w:p w14:paraId="012FD386">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（1）在评标时安排每个投标人进行方案讲解演示。每个投标人时间不超过</w:t>
            </w:r>
            <w:r>
              <w:rPr>
                <w:rFonts w:hint="eastAsia" w:ascii="宋体" w:hAnsi="宋体" w:eastAsia="宋体" w:cs="宋体"/>
                <w:color w:val="auto"/>
                <w:kern w:val="0"/>
                <w:sz w:val="21"/>
                <w:szCs w:val="21"/>
                <w:highlight w:val="none"/>
                <w:u w:val="single"/>
              </w:rPr>
              <w:t>20</w:t>
            </w:r>
            <w:r>
              <w:rPr>
                <w:rFonts w:hint="eastAsia" w:ascii="宋体" w:hAnsi="宋体" w:eastAsia="宋体" w:cs="宋体"/>
                <w:color w:val="auto"/>
                <w:kern w:val="0"/>
                <w:sz w:val="21"/>
                <w:szCs w:val="21"/>
                <w:highlight w:val="none"/>
                <w:u w:val="single"/>
                <w:lang w:eastAsia="zh-CN"/>
              </w:rPr>
              <w:t>（</w:t>
            </w:r>
            <w:r>
              <w:rPr>
                <w:rFonts w:hint="eastAsia" w:ascii="宋体" w:hAnsi="宋体" w:eastAsia="宋体" w:cs="宋体"/>
                <w:color w:val="auto"/>
                <w:kern w:val="0"/>
                <w:sz w:val="21"/>
                <w:szCs w:val="21"/>
                <w:highlight w:val="none"/>
                <w:u w:val="single"/>
                <w:lang w:val="en-US" w:eastAsia="zh-CN"/>
              </w:rPr>
              <w:t>编制时可根据项目情况进行调整</w:t>
            </w:r>
            <w:r>
              <w:rPr>
                <w:rFonts w:hint="eastAsia" w:ascii="宋体" w:hAnsi="宋体" w:eastAsia="宋体" w:cs="宋体"/>
                <w:color w:val="auto"/>
                <w:kern w:val="0"/>
                <w:sz w:val="21"/>
                <w:szCs w:val="21"/>
                <w:highlight w:val="none"/>
                <w:u w:val="single"/>
                <w:lang w:eastAsia="zh-CN"/>
              </w:rPr>
              <w:t>）</w:t>
            </w:r>
            <w:r>
              <w:rPr>
                <w:rFonts w:hint="eastAsia" w:ascii="宋体" w:hAnsi="宋体" w:eastAsia="宋体" w:cs="宋体"/>
                <w:color w:val="auto"/>
                <w:kern w:val="0"/>
                <w:sz w:val="21"/>
                <w:szCs w:val="21"/>
                <w:highlight w:val="none"/>
              </w:rPr>
              <w:t>分钟，讲解次序以投标文件解密时间先后次序为准，讲解演示人员不超过</w:t>
            </w:r>
            <w:r>
              <w:rPr>
                <w:rFonts w:hint="eastAsia" w:ascii="宋体" w:hAnsi="宋体" w:eastAsia="宋体" w:cs="宋体"/>
                <w:color w:val="auto"/>
                <w:kern w:val="0"/>
                <w:sz w:val="21"/>
                <w:szCs w:val="21"/>
                <w:highlight w:val="none"/>
                <w:u w:val="single"/>
              </w:rPr>
              <w:t>3</w:t>
            </w:r>
            <w:r>
              <w:rPr>
                <w:rFonts w:hint="eastAsia" w:ascii="宋体" w:hAnsi="宋体" w:eastAsia="宋体" w:cs="宋体"/>
                <w:color w:val="auto"/>
                <w:kern w:val="0"/>
                <w:sz w:val="21"/>
                <w:szCs w:val="21"/>
                <w:highlight w:val="none"/>
                <w:u w:val="single"/>
                <w:lang w:eastAsia="zh-CN"/>
              </w:rPr>
              <w:t>（</w:t>
            </w:r>
            <w:r>
              <w:rPr>
                <w:rFonts w:hint="eastAsia" w:ascii="宋体" w:hAnsi="宋体" w:eastAsia="宋体" w:cs="宋体"/>
                <w:color w:val="auto"/>
                <w:kern w:val="0"/>
                <w:sz w:val="21"/>
                <w:szCs w:val="21"/>
                <w:highlight w:val="none"/>
                <w:u w:val="single"/>
                <w:lang w:val="en-US" w:eastAsia="zh-CN"/>
              </w:rPr>
              <w:t>编制时可根据项目情况进行调整</w:t>
            </w:r>
            <w:r>
              <w:rPr>
                <w:rFonts w:hint="eastAsia" w:ascii="宋体" w:hAnsi="宋体" w:eastAsia="宋体" w:cs="宋体"/>
                <w:color w:val="auto"/>
                <w:kern w:val="0"/>
                <w:sz w:val="21"/>
                <w:szCs w:val="21"/>
                <w:highlight w:val="none"/>
                <w:u w:val="single"/>
                <w:lang w:eastAsia="zh-CN"/>
              </w:rPr>
              <w:t>）</w:t>
            </w:r>
            <w:r>
              <w:rPr>
                <w:rFonts w:hint="eastAsia" w:ascii="宋体" w:hAnsi="宋体" w:eastAsia="宋体" w:cs="宋体"/>
                <w:color w:val="auto"/>
                <w:kern w:val="0"/>
                <w:sz w:val="21"/>
                <w:szCs w:val="21"/>
                <w:highlight w:val="none"/>
              </w:rPr>
              <w:t>人。讲解演示结束后按要求解答评标委员会提问。</w:t>
            </w:r>
          </w:p>
          <w:p w14:paraId="0CAC8707">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（2）方案讲解演示可选择以下其中一种方式：</w:t>
            </w:r>
          </w:p>
          <w:p w14:paraId="6EEF9621">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方式一：政采云平台在线讲解演示。政采云平台在线讲解需投标人根据政采云平台操作要求做好准备工作，提前完善软硬件配置环境。</w:t>
            </w:r>
          </w:p>
          <w:p w14:paraId="76B6E23D">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方式二：交易中心现场讲解演示。现场讲解地点为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，讲解演示所用电脑等设备由投标人自备。现场讲解演示人员进场时提供讲解人员名单（加盖公章或授权代表签名）及身份证明，否则不得讲解演示。</w:t>
            </w:r>
          </w:p>
          <w:p w14:paraId="552D1C2A">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color w:val="auto"/>
                <w:kern w:val="0"/>
                <w:sz w:val="21"/>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364" w:type="pct"/>
            <w:vMerge w:val="restart"/>
            <w:tcBorders>
              <w:top w:val="single" w:color="auto" w:sz="4" w:space="0"/>
              <w:left w:val="single" w:color="auto" w:sz="4" w:space="0"/>
              <w:right w:val="single" w:color="auto" w:sz="4" w:space="0"/>
            </w:tcBorders>
            <w:vAlign w:val="center"/>
          </w:tcPr>
          <w:p w14:paraId="40B1E496">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075" w:type="pct"/>
            <w:vMerge w:val="restart"/>
            <w:tcBorders>
              <w:top w:val="single" w:color="000000" w:sz="8" w:space="0"/>
              <w:left w:val="single" w:color="auto" w:sz="4" w:space="0"/>
              <w:right w:val="single" w:color="000000" w:sz="8" w:space="0"/>
            </w:tcBorders>
            <w:vAlign w:val="center"/>
          </w:tcPr>
          <w:p w14:paraId="4DDDB98A">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投标人应当提供的资格、资信证明文件</w:t>
            </w:r>
          </w:p>
        </w:tc>
        <w:tc>
          <w:tcPr>
            <w:tcW w:w="3559" w:type="pct"/>
            <w:tcBorders>
              <w:top w:val="single" w:color="000000" w:sz="8" w:space="0"/>
              <w:left w:val="single" w:color="000000" w:sz="2" w:space="0"/>
              <w:bottom w:val="single" w:color="auto" w:sz="4" w:space="0"/>
              <w:right w:val="single" w:color="000000" w:sz="8" w:space="0"/>
            </w:tcBorders>
            <w:vAlign w:val="center"/>
          </w:tcPr>
          <w:p w14:paraId="31715BE8">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（1）资格证明文件：见招标文件第二部分11.1。</w:t>
            </w:r>
          </w:p>
          <w:p w14:paraId="64058F87">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snapToGrid w:val="0"/>
                <w:color w:val="auto"/>
                <w:kern w:val="0"/>
                <w:sz w:val="21"/>
                <w:szCs w:val="21"/>
                <w:highlight w:val="none"/>
              </w:rPr>
            </w:pPr>
            <w:r>
              <w:rPr>
                <w:rFonts w:hint="eastAsia" w:ascii="宋体" w:hAnsi="宋体" w:eastAsia="宋体" w:cs="宋体"/>
                <w:color w:val="auto"/>
                <w:kern w:val="0"/>
                <w:sz w:val="21"/>
                <w:szCs w:val="21"/>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6" w:hRule="atLeast"/>
          <w:tblHeader/>
        </w:trPr>
        <w:tc>
          <w:tcPr>
            <w:tcW w:w="364" w:type="pct"/>
            <w:vMerge w:val="continue"/>
            <w:tcBorders>
              <w:left w:val="single" w:color="auto" w:sz="4" w:space="0"/>
              <w:bottom w:val="single" w:color="auto" w:sz="4" w:space="0"/>
              <w:right w:val="single" w:color="auto" w:sz="4" w:space="0"/>
            </w:tcBorders>
            <w:vAlign w:val="center"/>
          </w:tcPr>
          <w:p w14:paraId="5C7A07D6">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p>
        </w:tc>
        <w:tc>
          <w:tcPr>
            <w:tcW w:w="1075" w:type="pct"/>
            <w:vMerge w:val="continue"/>
            <w:tcBorders>
              <w:left w:val="single" w:color="auto" w:sz="4" w:space="0"/>
              <w:bottom w:val="single" w:color="000000" w:sz="8" w:space="0"/>
              <w:right w:val="single" w:color="000000" w:sz="8" w:space="0"/>
            </w:tcBorders>
            <w:vAlign w:val="center"/>
          </w:tcPr>
          <w:p w14:paraId="4590D7B1">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p>
        </w:tc>
        <w:tc>
          <w:tcPr>
            <w:tcW w:w="3559" w:type="pct"/>
            <w:tcBorders>
              <w:top w:val="single" w:color="auto" w:sz="4" w:space="0"/>
              <w:left w:val="single" w:color="000000" w:sz="2" w:space="0"/>
              <w:bottom w:val="single" w:color="000000" w:sz="8" w:space="0"/>
              <w:right w:val="single" w:color="000000" w:sz="8" w:space="0"/>
            </w:tcBorders>
            <w:vAlign w:val="center"/>
          </w:tcPr>
          <w:p w14:paraId="2A08AE2E">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364" w:type="pct"/>
            <w:tcBorders>
              <w:top w:val="single" w:color="auto" w:sz="4" w:space="0"/>
              <w:left w:val="single" w:color="000000" w:sz="8" w:space="0"/>
              <w:bottom w:val="single" w:color="auto" w:sz="4" w:space="0"/>
              <w:right w:val="single" w:color="000000" w:sz="2" w:space="0"/>
            </w:tcBorders>
            <w:vAlign w:val="center"/>
          </w:tcPr>
          <w:p w14:paraId="6F751B8C">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1075" w:type="pct"/>
            <w:tcBorders>
              <w:top w:val="single" w:color="000000" w:sz="8" w:space="0"/>
              <w:left w:val="single" w:color="000000" w:sz="2" w:space="0"/>
              <w:bottom w:val="single" w:color="000000" w:sz="8" w:space="0"/>
              <w:right w:val="single" w:color="000000" w:sz="8" w:space="0"/>
            </w:tcBorders>
            <w:vAlign w:val="center"/>
          </w:tcPr>
          <w:p w14:paraId="6A8F3422">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节能产品、环境标志产品</w:t>
            </w:r>
          </w:p>
        </w:tc>
        <w:tc>
          <w:tcPr>
            <w:tcW w:w="3559" w:type="pct"/>
            <w:tcBorders>
              <w:top w:val="single" w:color="000000" w:sz="8" w:space="0"/>
              <w:left w:val="single" w:color="000000" w:sz="2" w:space="0"/>
              <w:bottom w:val="single" w:color="000000" w:sz="8" w:space="0"/>
              <w:right w:val="single" w:color="000000" w:sz="8" w:space="0"/>
            </w:tcBorders>
            <w:vAlign w:val="center"/>
          </w:tcPr>
          <w:p w14:paraId="079EFCC3">
            <w:pPr>
              <w:pStyle w:val="79"/>
              <w:keepNext w:val="0"/>
              <w:keepLines w:val="0"/>
              <w:pageBreakBefore w:val="0"/>
              <w:kinsoku/>
              <w:wordWrap/>
              <w:overflowPunct/>
              <w:topLinePunct w:val="0"/>
              <w:bidi w:val="0"/>
              <w:adjustRightInd w:val="0"/>
              <w:snapToGrid w:val="0"/>
              <w:spacing w:line="360" w:lineRule="auto"/>
              <w:ind w:firstLine="0" w:firstLineChars="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keepNext w:val="0"/>
              <w:keepLines w:val="0"/>
              <w:pageBreakBefore w:val="0"/>
              <w:kinsoku/>
              <w:wordWrap/>
              <w:overflowPunct/>
              <w:topLinePunct w:val="0"/>
              <w:bidi w:val="0"/>
              <w:adjustRightInd w:val="0"/>
              <w:snapToGrid w:val="0"/>
              <w:spacing w:line="360" w:lineRule="auto"/>
              <w:jc w:val="both"/>
              <w:textAlignment w:val="auto"/>
              <w:rPr>
                <w:rFonts w:hint="eastAsia" w:ascii="宋体" w:hAnsi="宋体" w:eastAsia="宋体" w:cs="宋体"/>
                <w:color w:val="auto"/>
                <w:kern w:val="2"/>
                <w:sz w:val="21"/>
                <w:szCs w:val="21"/>
                <w:highlight w:val="none"/>
                <w:lang w:val="en-US" w:eastAsia="zh-CN" w:bidi="ar-SA"/>
              </w:rPr>
            </w:pPr>
            <w:sdt>
              <w:sdtPr>
                <w:rPr>
                  <w:rFonts w:hint="eastAsia" w:ascii="宋体" w:hAnsi="宋体" w:eastAsia="宋体" w:cs="宋体"/>
                  <w:color w:val="auto"/>
                  <w:kern w:val="2"/>
                  <w:sz w:val="21"/>
                  <w:szCs w:val="21"/>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1"/>
                  <w:szCs w:val="21"/>
                  <w:highlight w:val="none"/>
                  <w:lang w:val="en-US" w:eastAsia="zh-CN" w:bidi="ar-SA"/>
                </w:rPr>
              </w:sdtEndPr>
              <w:sdtContent>
                <w:r>
                  <w:rPr>
                    <w:rFonts w:hint="eastAsia" w:ascii="宋体" w:hAnsi="宋体" w:eastAsia="宋体" w:cs="宋体"/>
                    <w:color w:val="auto"/>
                    <w:kern w:val="2"/>
                    <w:sz w:val="21"/>
                    <w:szCs w:val="21"/>
                    <w:highlight w:val="none"/>
                    <w:lang w:val="en-US" w:eastAsia="zh-CN" w:bidi="ar-SA"/>
                  </w:rPr>
                  <w:t>☐</w:t>
                </w:r>
              </w:sdtContent>
            </w:sdt>
            <w:r>
              <w:rPr>
                <w:rFonts w:hint="eastAsia" w:ascii="宋体" w:hAnsi="宋体" w:eastAsia="宋体" w:cs="宋体"/>
                <w:color w:val="auto"/>
                <w:kern w:val="2"/>
                <w:sz w:val="21"/>
                <w:szCs w:val="21"/>
                <w:highlight w:val="none"/>
                <w:lang w:val="en-US" w:eastAsia="zh-CN" w:bidi="ar-SA"/>
              </w:rPr>
              <w:t xml:space="preserve">强制采购。产品：    </w:t>
            </w:r>
          </w:p>
          <w:p w14:paraId="3002CF9E">
            <w:pPr>
              <w:pStyle w:val="79"/>
              <w:keepNext w:val="0"/>
              <w:keepLines w:val="0"/>
              <w:pageBreakBefore w:val="0"/>
              <w:kinsoku/>
              <w:wordWrap/>
              <w:overflowPunct/>
              <w:topLinePunct w:val="0"/>
              <w:bidi w:val="0"/>
              <w:adjustRightInd w:val="0"/>
              <w:snapToGrid w:val="0"/>
              <w:spacing w:line="360"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□优先采购节能产品。产品：   </w:t>
            </w:r>
          </w:p>
          <w:p w14:paraId="76782679">
            <w:pPr>
              <w:pStyle w:val="79"/>
              <w:keepNext w:val="0"/>
              <w:keepLines w:val="0"/>
              <w:pageBreakBefore w:val="0"/>
              <w:kinsoku/>
              <w:wordWrap/>
              <w:overflowPunct/>
              <w:topLinePunct w:val="0"/>
              <w:bidi w:val="0"/>
              <w:adjustRightInd w:val="0"/>
              <w:snapToGrid w:val="0"/>
              <w:spacing w:line="360"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□优先采购环保产品。产品：    </w:t>
            </w:r>
          </w:p>
          <w:p w14:paraId="36C9C289">
            <w:pPr>
              <w:pStyle w:val="79"/>
              <w:keepNext w:val="0"/>
              <w:keepLines w:val="0"/>
              <w:pageBreakBefore w:val="0"/>
              <w:kinsoku/>
              <w:wordWrap/>
              <w:overflowPunct/>
              <w:topLinePunct w:val="0"/>
              <w:bidi w:val="0"/>
              <w:adjustRightInd w:val="0"/>
              <w:snapToGrid w:val="0"/>
              <w:spacing w:line="36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364" w:type="pct"/>
            <w:tcBorders>
              <w:top w:val="single" w:color="auto" w:sz="4" w:space="0"/>
              <w:left w:val="single" w:color="000000" w:sz="8" w:space="0"/>
              <w:bottom w:val="single" w:color="auto" w:sz="4" w:space="0"/>
              <w:right w:val="single" w:color="000000" w:sz="2" w:space="0"/>
            </w:tcBorders>
            <w:vAlign w:val="center"/>
          </w:tcPr>
          <w:p w14:paraId="65ED4C9E">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075" w:type="pct"/>
            <w:tcBorders>
              <w:top w:val="single" w:color="000000" w:sz="8" w:space="0"/>
              <w:left w:val="single" w:color="000000" w:sz="2" w:space="0"/>
              <w:bottom w:val="single" w:color="000000" w:sz="8" w:space="0"/>
              <w:right w:val="single" w:color="000000" w:sz="8" w:space="0"/>
            </w:tcBorders>
            <w:vAlign w:val="center"/>
          </w:tcPr>
          <w:p w14:paraId="00383485">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报价要求</w:t>
            </w:r>
          </w:p>
        </w:tc>
        <w:tc>
          <w:tcPr>
            <w:tcW w:w="3559" w:type="pct"/>
            <w:tcBorders>
              <w:top w:val="single" w:color="000000" w:sz="8" w:space="0"/>
              <w:left w:val="single" w:color="000000" w:sz="2" w:space="0"/>
              <w:bottom w:val="single" w:color="000000" w:sz="8" w:space="0"/>
              <w:right w:val="single" w:color="000000" w:sz="8" w:space="0"/>
            </w:tcBorders>
            <w:vAlign w:val="center"/>
          </w:tcPr>
          <w:p w14:paraId="6C0E6760">
            <w:pPr>
              <w:keepNext w:val="0"/>
              <w:keepLines w:val="0"/>
              <w:pageBreakBefore w:val="0"/>
              <w:kinsoku/>
              <w:wordWrap/>
              <w:overflowPunct/>
              <w:topLinePunct w:val="0"/>
              <w:bidi w:val="0"/>
              <w:adjustRightInd w:val="0"/>
              <w:snapToGrid w:val="0"/>
              <w:spacing w:line="360" w:lineRule="auto"/>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color w:val="auto"/>
                <w:kern w:val="0"/>
                <w:sz w:val="21"/>
                <w:szCs w:val="21"/>
                <w:highlight w:val="none"/>
                <w:lang w:val="zh-CN"/>
              </w:rPr>
              <w:t>有关本项目实施所需的所有费用（含税费）均计入报价。</w:t>
            </w:r>
            <w:r>
              <w:rPr>
                <w:rFonts w:hint="eastAsia" w:ascii="宋体" w:hAnsi="宋体" w:eastAsia="宋体" w:cs="宋体"/>
                <w:b/>
                <w:bCs/>
                <w:color w:val="auto"/>
                <w:kern w:val="0"/>
                <w:sz w:val="21"/>
                <w:szCs w:val="21"/>
                <w:highlight w:val="none"/>
                <w:lang w:val="zh-CN"/>
              </w:rPr>
              <w:t>投标文件</w:t>
            </w:r>
            <w:r>
              <w:rPr>
                <w:rFonts w:hint="eastAsia" w:ascii="宋体" w:hAnsi="宋体" w:eastAsia="宋体" w:cs="宋体"/>
                <w:b/>
                <w:bCs/>
                <w:color w:val="auto"/>
                <w:sz w:val="21"/>
                <w:szCs w:val="21"/>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1"/>
                <w:szCs w:val="21"/>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1"/>
                <w:szCs w:val="21"/>
                <w:highlight w:val="none"/>
                <w:lang w:val="zh-CN"/>
              </w:rPr>
              <w:t>提醒：验收时检测费用由采购人承担，不包含在投标总价中。</w:t>
            </w:r>
          </w:p>
          <w:p w14:paraId="107CE792">
            <w:pPr>
              <w:keepNext w:val="0"/>
              <w:keepLines w:val="0"/>
              <w:pageBreakBefore w:val="0"/>
              <w:kinsoku/>
              <w:wordWrap/>
              <w:overflowPunct/>
              <w:topLinePunct w:val="0"/>
              <w:bidi w:val="0"/>
              <w:adjustRightInd w:val="0"/>
              <w:snapToGrid w:val="0"/>
              <w:spacing w:line="360" w:lineRule="auto"/>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投标报价出现下列情形的，投标无效：</w:t>
            </w:r>
          </w:p>
          <w:p w14:paraId="05A1A0FA">
            <w:pPr>
              <w:keepNext w:val="0"/>
              <w:keepLines w:val="0"/>
              <w:pageBreakBefore w:val="0"/>
              <w:kinsoku/>
              <w:wordWrap/>
              <w:overflowPunct/>
              <w:topLinePunct w:val="0"/>
              <w:bidi w:val="0"/>
              <w:adjustRightInd w:val="0"/>
              <w:snapToGrid w:val="0"/>
              <w:spacing w:line="360" w:lineRule="auto"/>
              <w:ind w:firstLine="211" w:firstLineChars="100"/>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投标文件出现不是唯一的、有选择性投标报价的；</w:t>
            </w:r>
          </w:p>
          <w:p w14:paraId="04968A37">
            <w:pPr>
              <w:keepNext w:val="0"/>
              <w:keepLines w:val="0"/>
              <w:pageBreakBefore w:val="0"/>
              <w:kinsoku/>
              <w:wordWrap/>
              <w:overflowPunct/>
              <w:topLinePunct w:val="0"/>
              <w:bidi w:val="0"/>
              <w:adjustRightInd w:val="0"/>
              <w:snapToGrid w:val="0"/>
              <w:spacing w:line="360" w:lineRule="auto"/>
              <w:ind w:firstLine="211" w:firstLineChars="10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b/>
                <w:color w:val="auto"/>
                <w:kern w:val="0"/>
                <w:sz w:val="21"/>
                <w:szCs w:val="21"/>
                <w:highlight w:val="none"/>
                <w:lang w:val="zh-CN"/>
              </w:rPr>
              <w:t>投标报价超过招标文件中规定的预算金额或者最高限价的;</w:t>
            </w:r>
          </w:p>
          <w:p w14:paraId="02250257">
            <w:pPr>
              <w:keepNext w:val="0"/>
              <w:keepLines w:val="0"/>
              <w:pageBreakBefore w:val="0"/>
              <w:kinsoku/>
              <w:wordWrap/>
              <w:overflowPunct/>
              <w:topLinePunct w:val="0"/>
              <w:bidi w:val="0"/>
              <w:adjustRightInd w:val="0"/>
              <w:snapToGrid w:val="0"/>
              <w:spacing w:line="360" w:lineRule="auto"/>
              <w:ind w:firstLine="211" w:firstLineChars="1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1"/>
                <w:szCs w:val="21"/>
                <w:highlight w:val="none"/>
              </w:rPr>
              <w:t>;</w:t>
            </w:r>
          </w:p>
          <w:p w14:paraId="5289611D">
            <w:pPr>
              <w:keepNext w:val="0"/>
              <w:keepLines w:val="0"/>
              <w:pageBreakBefore w:val="0"/>
              <w:kinsoku/>
              <w:wordWrap/>
              <w:overflowPunct/>
              <w:topLinePunct w:val="0"/>
              <w:bidi w:val="0"/>
              <w:adjustRightInd w:val="0"/>
              <w:snapToGrid w:val="0"/>
              <w:spacing w:line="360" w:lineRule="auto"/>
              <w:ind w:firstLine="211" w:firstLineChars="100"/>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投标人对根据修正原则修正后的报价不确认的</w:t>
            </w:r>
            <w:r>
              <w:rPr>
                <w:rFonts w:hint="eastAsia" w:ascii="宋体" w:hAnsi="宋体" w:eastAsia="宋体" w:cs="宋体"/>
                <w:b/>
                <w:color w:val="auto"/>
                <w:sz w:val="21"/>
                <w:szCs w:val="21"/>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63" w:hRule="atLeast"/>
          <w:tblHeader/>
        </w:trPr>
        <w:tc>
          <w:tcPr>
            <w:tcW w:w="364" w:type="pct"/>
            <w:tcBorders>
              <w:top w:val="single" w:color="auto" w:sz="4" w:space="0"/>
              <w:left w:val="single" w:color="000000" w:sz="8" w:space="0"/>
              <w:right w:val="single" w:color="000000" w:sz="2" w:space="0"/>
            </w:tcBorders>
            <w:vAlign w:val="center"/>
          </w:tcPr>
          <w:p w14:paraId="508204F4">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1075" w:type="pct"/>
            <w:tcBorders>
              <w:top w:val="single" w:color="000000" w:sz="8" w:space="0"/>
              <w:left w:val="single" w:color="000000" w:sz="2" w:space="0"/>
              <w:right w:val="single" w:color="000000" w:sz="8" w:space="0"/>
            </w:tcBorders>
            <w:vAlign w:val="center"/>
          </w:tcPr>
          <w:p w14:paraId="3D8BAA3D">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中小企业信用融资</w:t>
            </w:r>
          </w:p>
        </w:tc>
        <w:tc>
          <w:tcPr>
            <w:tcW w:w="3559" w:type="pct"/>
            <w:tcBorders>
              <w:top w:val="single" w:color="000000" w:sz="8" w:space="0"/>
              <w:left w:val="single" w:color="000000" w:sz="2" w:space="0"/>
              <w:right w:val="single" w:color="000000" w:sz="8" w:space="0"/>
            </w:tcBorders>
            <w:vAlign w:val="center"/>
          </w:tcPr>
          <w:p w14:paraId="204574E8">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snapToGrid w:val="0"/>
                <w:color w:val="auto"/>
                <w:kern w:val="28"/>
                <w:sz w:val="21"/>
                <w:szCs w:val="21"/>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07" w:hRule="atLeast"/>
          <w:tblHeader/>
        </w:trPr>
        <w:tc>
          <w:tcPr>
            <w:tcW w:w="364" w:type="pct"/>
            <w:tcBorders>
              <w:top w:val="single" w:color="auto" w:sz="4" w:space="0"/>
              <w:left w:val="single" w:color="000000" w:sz="8" w:space="0"/>
              <w:bottom w:val="single" w:color="auto" w:sz="4" w:space="0"/>
              <w:right w:val="single" w:color="000000" w:sz="2" w:space="0"/>
            </w:tcBorders>
            <w:vAlign w:val="center"/>
          </w:tcPr>
          <w:p w14:paraId="03E67B04">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w:t>
            </w:r>
          </w:p>
        </w:tc>
        <w:tc>
          <w:tcPr>
            <w:tcW w:w="1075" w:type="pct"/>
            <w:tcBorders>
              <w:top w:val="single" w:color="000000" w:sz="8" w:space="0"/>
              <w:left w:val="single" w:color="000000" w:sz="2" w:space="0"/>
              <w:bottom w:val="single" w:color="000000" w:sz="8" w:space="0"/>
              <w:right w:val="single" w:color="000000" w:sz="8" w:space="0"/>
            </w:tcBorders>
            <w:vAlign w:val="center"/>
          </w:tcPr>
          <w:p w14:paraId="4002ED00">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备份投标文件送达地点和签收人员 </w:t>
            </w:r>
          </w:p>
        </w:tc>
        <w:tc>
          <w:tcPr>
            <w:tcW w:w="3559" w:type="pct"/>
            <w:tcBorders>
              <w:top w:val="single" w:color="000000" w:sz="8" w:space="0"/>
              <w:left w:val="single" w:color="000000" w:sz="2" w:space="0"/>
              <w:bottom w:val="single" w:color="000000" w:sz="8" w:space="0"/>
              <w:right w:val="single" w:color="000000" w:sz="8" w:space="0"/>
            </w:tcBorders>
            <w:vAlign w:val="center"/>
          </w:tcPr>
          <w:p w14:paraId="1C4D0354">
            <w:pPr>
              <w:pStyle w:val="33"/>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color w:val="auto"/>
                <w:kern w:val="28"/>
                <w:sz w:val="21"/>
                <w:szCs w:val="21"/>
                <w:highlight w:val="none"/>
              </w:rPr>
            </w:pPr>
            <w:r>
              <w:rPr>
                <w:rFonts w:hint="eastAsia" w:ascii="宋体" w:hAnsi="宋体" w:eastAsia="宋体" w:cs="宋体"/>
                <w:color w:val="auto"/>
                <w:kern w:val="28"/>
                <w:sz w:val="21"/>
                <w:szCs w:val="21"/>
                <w:highlight w:val="none"/>
              </w:rPr>
              <w:t>备份投标文件送达地点：</w:t>
            </w:r>
            <w:r>
              <w:rPr>
                <w:rFonts w:hint="eastAsia" w:ascii="宋体" w:hAnsi="宋体" w:eastAsia="宋体" w:cs="宋体"/>
                <w:color w:val="auto"/>
                <w:sz w:val="21"/>
                <w:szCs w:val="21"/>
                <w:highlight w:val="none"/>
                <w:u w:val="single"/>
              </w:rPr>
              <w:t xml:space="preserve"> 杭州市秋涛北路332号佰富时代3幢1603室 </w:t>
            </w:r>
            <w:r>
              <w:rPr>
                <w:rFonts w:hint="eastAsia" w:ascii="宋体" w:hAnsi="宋体" w:eastAsia="宋体" w:cs="宋体"/>
                <w:color w:val="auto"/>
                <w:kern w:val="28"/>
                <w:sz w:val="21"/>
                <w:szCs w:val="21"/>
                <w:highlight w:val="none"/>
              </w:rPr>
              <w:t>；备份投标文件签收人员联系电话：</w:t>
            </w:r>
            <w:r>
              <w:rPr>
                <w:rFonts w:hint="eastAsia" w:ascii="宋体" w:hAnsi="宋体" w:eastAsia="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周方霞，15355039189</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b/>
                <w:color w:val="auto"/>
                <w:sz w:val="21"/>
                <w:szCs w:val="21"/>
                <w:highlight w:val="none"/>
              </w:rPr>
              <w:t>采购人、</w:t>
            </w:r>
            <w:r>
              <w:rPr>
                <w:rFonts w:hint="eastAsia" w:ascii="宋体" w:hAnsi="宋体" w:eastAsia="宋体" w:cs="宋体"/>
                <w:b/>
                <w:color w:val="auto"/>
                <w:sz w:val="21"/>
                <w:szCs w:val="21"/>
                <w:highlight w:val="none"/>
                <w:lang w:eastAsia="zh-CN"/>
              </w:rPr>
              <w:t>采购代理机构</w:t>
            </w:r>
            <w:r>
              <w:rPr>
                <w:rFonts w:hint="eastAsia" w:ascii="宋体" w:hAnsi="宋体" w:eastAsia="宋体" w:cs="宋体"/>
                <w:b/>
                <w:color w:val="auto"/>
                <w:sz w:val="21"/>
                <w:szCs w:val="21"/>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364" w:type="pct"/>
            <w:vMerge w:val="restart"/>
            <w:tcBorders>
              <w:top w:val="single" w:color="auto" w:sz="4" w:space="0"/>
              <w:left w:val="single" w:color="000000" w:sz="8" w:space="0"/>
              <w:right w:val="single" w:color="000000" w:sz="2" w:space="0"/>
            </w:tcBorders>
            <w:vAlign w:val="center"/>
          </w:tcPr>
          <w:p w14:paraId="26667A43">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w:t>
            </w:r>
          </w:p>
        </w:tc>
        <w:tc>
          <w:tcPr>
            <w:tcW w:w="1075" w:type="pct"/>
            <w:vMerge w:val="restart"/>
            <w:tcBorders>
              <w:top w:val="single" w:color="000000" w:sz="8" w:space="0"/>
              <w:left w:val="single" w:color="000000" w:sz="2" w:space="0"/>
              <w:right w:val="single" w:color="000000" w:sz="8" w:space="0"/>
            </w:tcBorders>
            <w:vAlign w:val="center"/>
          </w:tcPr>
          <w:p w14:paraId="251E7FA4">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特别说明</w:t>
            </w:r>
          </w:p>
        </w:tc>
        <w:tc>
          <w:tcPr>
            <w:tcW w:w="3559" w:type="pct"/>
            <w:tcBorders>
              <w:top w:val="single" w:color="000000" w:sz="8" w:space="0"/>
              <w:left w:val="single" w:color="000000" w:sz="2" w:space="0"/>
              <w:bottom w:val="single" w:color="000000" w:sz="8" w:space="0"/>
              <w:right w:val="single" w:color="000000" w:sz="8" w:space="0"/>
            </w:tcBorders>
            <w:vAlign w:val="center"/>
          </w:tcPr>
          <w:p w14:paraId="087E5F2E">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364" w:type="pct"/>
            <w:vMerge w:val="continue"/>
            <w:tcBorders>
              <w:left w:val="single" w:color="000000" w:sz="8" w:space="0"/>
              <w:right w:val="single" w:color="000000" w:sz="2" w:space="0"/>
            </w:tcBorders>
            <w:vAlign w:val="center"/>
          </w:tcPr>
          <w:p w14:paraId="7FF9857B">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rPr>
            </w:pPr>
          </w:p>
        </w:tc>
        <w:tc>
          <w:tcPr>
            <w:tcW w:w="1075" w:type="pct"/>
            <w:vMerge w:val="continue"/>
            <w:tcBorders>
              <w:left w:val="single" w:color="000000" w:sz="2" w:space="0"/>
              <w:right w:val="single" w:color="000000" w:sz="8" w:space="0"/>
            </w:tcBorders>
            <w:vAlign w:val="center"/>
          </w:tcPr>
          <w:p w14:paraId="500B23DB">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rPr>
            </w:pPr>
          </w:p>
        </w:tc>
        <w:tc>
          <w:tcPr>
            <w:tcW w:w="3559" w:type="pct"/>
            <w:tcBorders>
              <w:top w:val="single" w:color="000000" w:sz="8" w:space="0"/>
              <w:left w:val="single" w:color="000000" w:sz="2" w:space="0"/>
              <w:bottom w:val="single" w:color="000000" w:sz="8" w:space="0"/>
              <w:right w:val="single" w:color="000000" w:sz="8" w:space="0"/>
            </w:tcBorders>
            <w:vAlign w:val="center"/>
          </w:tcPr>
          <w:p w14:paraId="1456170E">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snapToGrid w:val="0"/>
                <w:color w:val="auto"/>
                <w:kern w:val="28"/>
                <w:sz w:val="21"/>
                <w:szCs w:val="21"/>
                <w:highlight w:val="none"/>
              </w:rPr>
            </w:pPr>
            <w:sdt>
              <w:sdtPr>
                <w:rPr>
                  <w:rFonts w:hint="eastAsia" w:ascii="宋体" w:hAnsi="宋体" w:eastAsia="宋体" w:cs="宋体"/>
                  <w:color w:val="auto"/>
                  <w:kern w:val="0"/>
                  <w:sz w:val="21"/>
                  <w:szCs w:val="21"/>
                  <w:highlight w:val="none"/>
                </w:rPr>
                <w:id w:val="621138027"/>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snapToGrid w:val="0"/>
                <w:color w:val="auto"/>
                <w:kern w:val="28"/>
                <w:sz w:val="21"/>
                <w:szCs w:val="21"/>
                <w:highlight w:val="none"/>
              </w:rPr>
              <w:t>联合体投标的，联合体各方均需按招标文件第四部分评标标准要求提供资信证明文件，否则视为不符合相关要求。</w:t>
            </w:r>
          </w:p>
          <w:p w14:paraId="273E0D79">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snapToGrid w:val="0"/>
                <w:color w:val="auto"/>
                <w:kern w:val="28"/>
                <w:sz w:val="21"/>
                <w:szCs w:val="21"/>
                <w:highlight w:val="none"/>
              </w:rPr>
            </w:pPr>
            <w:sdt>
              <w:sdtPr>
                <w:rPr>
                  <w:rFonts w:hint="eastAsia" w:ascii="宋体" w:hAnsi="宋体" w:eastAsia="宋体" w:cs="宋体"/>
                  <w:color w:val="auto"/>
                  <w:kern w:val="0"/>
                  <w:sz w:val="21"/>
                  <w:szCs w:val="21"/>
                  <w:highlight w:val="none"/>
                </w:rPr>
                <w:id w:val="18299227"/>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F0FE"/>
                </w:r>
              </w:sdtContent>
            </w:sdt>
            <w:r>
              <w:rPr>
                <w:rFonts w:hint="eastAsia" w:ascii="宋体" w:hAnsi="宋体" w:eastAsia="宋体" w:cs="宋体"/>
                <w:snapToGrid w:val="0"/>
                <w:color w:val="auto"/>
                <w:kern w:val="28"/>
                <w:sz w:val="21"/>
                <w:szCs w:val="21"/>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364" w:type="pct"/>
            <w:tcBorders>
              <w:top w:val="single" w:color="auto" w:sz="4" w:space="0"/>
              <w:left w:val="single" w:color="auto" w:sz="4" w:space="0"/>
              <w:bottom w:val="single" w:color="auto" w:sz="4" w:space="0"/>
              <w:right w:val="single" w:color="000000" w:sz="2" w:space="0"/>
            </w:tcBorders>
            <w:vAlign w:val="center"/>
          </w:tcPr>
          <w:p w14:paraId="67AD759D">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1075" w:type="pct"/>
            <w:tcBorders>
              <w:top w:val="single" w:color="auto" w:sz="4" w:space="0"/>
              <w:left w:val="single" w:color="000000" w:sz="2" w:space="0"/>
              <w:bottom w:val="single" w:color="auto" w:sz="4" w:space="0"/>
              <w:right w:val="single" w:color="000000" w:sz="8" w:space="0"/>
            </w:tcBorders>
            <w:vAlign w:val="center"/>
          </w:tcPr>
          <w:p w14:paraId="7BF9C4C7">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 w:eastAsia="zh-CN"/>
              </w:rPr>
              <w:t>中标候选人数量</w:t>
            </w:r>
          </w:p>
        </w:tc>
        <w:tc>
          <w:tcPr>
            <w:tcW w:w="3559" w:type="pct"/>
            <w:tcBorders>
              <w:top w:val="single" w:color="auto" w:sz="4" w:space="0"/>
              <w:left w:val="single" w:color="000000" w:sz="2" w:space="0"/>
              <w:bottom w:val="single" w:color="000000" w:sz="8" w:space="0"/>
              <w:right w:val="single" w:color="auto" w:sz="4" w:space="0"/>
            </w:tcBorders>
            <w:vAlign w:val="center"/>
          </w:tcPr>
          <w:p w14:paraId="6F49CF1D">
            <w:pPr>
              <w:pStyle w:val="3"/>
              <w:rPr>
                <w:rFonts w:hint="eastAsia"/>
                <w:color w:val="auto"/>
                <w:lang w:val="en" w:eastAsia="zh-CN"/>
              </w:rPr>
            </w:pPr>
            <w:r>
              <w:rPr>
                <w:rFonts w:hint="eastAsia" w:ascii="宋体" w:hAnsi="宋体" w:eastAsia="宋体" w:cs="宋体"/>
                <w:color w:val="auto"/>
                <w:kern w:val="0"/>
                <w:sz w:val="21"/>
                <w:szCs w:val="21"/>
                <w:highlight w:val="none"/>
                <w:lang w:val="en" w:eastAsia="zh-CN"/>
              </w:rPr>
              <w:t>本项目推荐的中标候选人数量：</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u w:val="single"/>
                <w:lang w:val="en-US" w:eastAsia="zh-CN"/>
              </w:rPr>
              <w:t>1个</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364" w:type="pct"/>
            <w:tcBorders>
              <w:top w:val="single" w:color="auto" w:sz="4" w:space="0"/>
              <w:left w:val="single" w:color="auto" w:sz="4" w:space="0"/>
              <w:bottom w:val="single" w:color="auto" w:sz="4" w:space="0"/>
              <w:right w:val="single" w:color="000000" w:sz="2" w:space="0"/>
            </w:tcBorders>
            <w:vAlign w:val="center"/>
          </w:tcPr>
          <w:p w14:paraId="7D09EDAD">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w:t>
            </w:r>
          </w:p>
        </w:tc>
        <w:tc>
          <w:tcPr>
            <w:tcW w:w="1075" w:type="pct"/>
            <w:tcBorders>
              <w:top w:val="single" w:color="auto" w:sz="4" w:space="0"/>
              <w:left w:val="single" w:color="000000" w:sz="2" w:space="0"/>
              <w:bottom w:val="single" w:color="auto" w:sz="4" w:space="0"/>
              <w:right w:val="single" w:color="auto" w:sz="4" w:space="0"/>
            </w:tcBorders>
            <w:vAlign w:val="center"/>
          </w:tcPr>
          <w:p w14:paraId="61E57FAC">
            <w:pPr>
              <w:keepNext w:val="0"/>
              <w:keepLines w:val="0"/>
              <w:pageBreakBefore w:val="0"/>
              <w:kinsoku/>
              <w:wordWrap/>
              <w:overflowPunct/>
              <w:topLinePunct w:val="0"/>
              <w:bidi w:val="0"/>
              <w:adjustRightInd w:val="0"/>
              <w:snapToGrid w:val="0"/>
              <w:spacing w:line="360" w:lineRule="auto"/>
              <w:jc w:val="center"/>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 w:eastAsia="zh-CN"/>
              </w:rPr>
              <w:t>代理费用收取方式及标准</w:t>
            </w:r>
          </w:p>
        </w:tc>
        <w:tc>
          <w:tcPr>
            <w:tcW w:w="3559" w:type="pct"/>
            <w:tcBorders>
              <w:top w:val="single" w:color="000000" w:sz="8" w:space="0"/>
              <w:left w:val="single" w:color="auto" w:sz="4" w:space="0"/>
              <w:bottom w:val="single" w:color="000000" w:sz="8" w:space="0"/>
              <w:right w:val="single" w:color="auto" w:sz="4" w:space="0"/>
            </w:tcBorders>
            <w:vAlign w:val="center"/>
          </w:tcPr>
          <w:p w14:paraId="3CEEE1C3">
            <w:pPr>
              <w:pageBreakBefore w:val="0"/>
              <w:widowControl w:val="0"/>
              <w:kinsoku/>
              <w:wordWrap/>
              <w:overflowPunct/>
              <w:topLinePunct w:val="0"/>
              <w:autoSpaceDE/>
              <w:autoSpaceDN/>
              <w:bidi w:val="0"/>
              <w:adjustRightInd w:val="0"/>
              <w:snapToGrid w:val="0"/>
              <w:spacing w:line="360" w:lineRule="auto"/>
              <w:ind w:left="0"/>
              <w:textAlignment w:val="auto"/>
              <w:rPr>
                <w:rFonts w:hint="eastAsia" w:ascii="宋体" w:hAnsi="宋体" w:eastAsia="宋体" w:cs="宋体"/>
                <w:color w:val="auto"/>
                <w:kern w:val="0"/>
                <w:sz w:val="21"/>
                <w:szCs w:val="21"/>
                <w:highlight w:val="none"/>
                <w:lang w:val="en" w:eastAsia="zh-CN"/>
              </w:rPr>
            </w:pPr>
            <w:r>
              <w:rPr>
                <w:rFonts w:hint="eastAsia" w:ascii="宋体" w:hAnsi="宋体" w:eastAsia="宋体" w:cs="宋体"/>
                <w:b/>
                <w:snapToGrid w:val="0"/>
                <w:color w:val="auto"/>
                <w:kern w:val="28"/>
                <w:sz w:val="21"/>
                <w:szCs w:val="21"/>
                <w:highlight w:val="none"/>
              </w:rPr>
              <w:t>中标人在领取中标通知书时需向招标代理机构支付中标服务费，费用包含在总报价中，不单独列项报价。代理服务费按差额定率累进法计算，以中标金额为基数，中标金额100万元（含）以下费率1.5%，中标金额100万元-500万元（含）费率0.8%。</w:t>
            </w:r>
          </w:p>
        </w:tc>
      </w:tr>
      <w:tr w14:paraId="53D7F8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364" w:type="pct"/>
            <w:tcBorders>
              <w:top w:val="single" w:color="auto" w:sz="4" w:space="0"/>
              <w:left w:val="single" w:color="auto" w:sz="4" w:space="0"/>
              <w:bottom w:val="single" w:color="auto" w:sz="4" w:space="0"/>
              <w:right w:val="single" w:color="000000" w:sz="2" w:space="0"/>
            </w:tcBorders>
            <w:vAlign w:val="center"/>
          </w:tcPr>
          <w:p w14:paraId="166CDC9A">
            <w:pPr>
              <w:keepNext w:val="0"/>
              <w:keepLines w:val="0"/>
              <w:pageBreakBefore w:val="0"/>
              <w:kinsoku/>
              <w:wordWrap/>
              <w:overflowPunct/>
              <w:topLinePunct w:val="0"/>
              <w:bidi w:val="0"/>
              <w:adjustRightInd w:val="0"/>
              <w:snapToGrid w:val="0"/>
              <w:spacing w:line="360" w:lineRule="auto"/>
              <w:jc w:val="center"/>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16</w:t>
            </w:r>
          </w:p>
        </w:tc>
        <w:tc>
          <w:tcPr>
            <w:tcW w:w="1075" w:type="pct"/>
            <w:tcBorders>
              <w:top w:val="single" w:color="auto" w:sz="4" w:space="0"/>
              <w:left w:val="single" w:color="000000" w:sz="2" w:space="0"/>
              <w:bottom w:val="single" w:color="auto" w:sz="4" w:space="0"/>
              <w:right w:val="single" w:color="auto" w:sz="4" w:space="0"/>
            </w:tcBorders>
            <w:shd w:val="clear" w:color="auto" w:fill="auto"/>
            <w:vAlign w:val="center"/>
          </w:tcPr>
          <w:p w14:paraId="791F5E17">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outlineLvl w:val="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snapToGrid w:val="0"/>
                <w:color w:val="auto"/>
                <w:kern w:val="28"/>
                <w:sz w:val="21"/>
                <w:szCs w:val="21"/>
                <w:highlight w:val="none"/>
              </w:rPr>
              <w:t>纸质投标文件</w:t>
            </w:r>
          </w:p>
        </w:tc>
        <w:tc>
          <w:tcPr>
            <w:tcW w:w="3559" w:type="pct"/>
            <w:tcBorders>
              <w:top w:val="single" w:color="000000" w:sz="8" w:space="0"/>
              <w:left w:val="single" w:color="auto" w:sz="4" w:space="0"/>
              <w:bottom w:val="single" w:color="auto" w:sz="4" w:space="0"/>
              <w:right w:val="single" w:color="auto" w:sz="4" w:space="0"/>
            </w:tcBorders>
            <w:shd w:val="clear" w:color="auto" w:fill="auto"/>
            <w:vAlign w:val="center"/>
          </w:tcPr>
          <w:p w14:paraId="1CA5A857">
            <w:pPr>
              <w:pageBreakBefore w:val="0"/>
              <w:widowControl w:val="0"/>
              <w:kinsoku/>
              <w:wordWrap/>
              <w:overflowPunct/>
              <w:topLinePunct w:val="0"/>
              <w:autoSpaceDE/>
              <w:autoSpaceDN/>
              <w:bidi w:val="0"/>
              <w:adjustRightInd w:val="0"/>
              <w:snapToGrid w:val="0"/>
              <w:spacing w:line="360" w:lineRule="auto"/>
              <w:ind w:left="0" w:leftChars="0"/>
              <w:textAlignment w:val="auto"/>
              <w:outlineLvl w:val="0"/>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snapToGrid w:val="0"/>
                <w:color w:val="auto"/>
                <w:kern w:val="28"/>
                <w:sz w:val="21"/>
                <w:szCs w:val="21"/>
                <w:highlight w:val="none"/>
              </w:rPr>
              <w:t>中标单位需在领取中标通知书时，提供本项目纸质投标文件（“资格文件”、“报价文件”和“商务技术文件”）三份（正本一份，副本二份）并提供电子投标文件。</w:t>
            </w:r>
          </w:p>
        </w:tc>
      </w:tr>
    </w:tbl>
    <w:p w14:paraId="408450FD">
      <w:pPr>
        <w:snapToGrid w:val="0"/>
        <w:spacing w:line="360" w:lineRule="auto"/>
        <w:jc w:val="center"/>
        <w:rPr>
          <w:rFonts w:hint="eastAsia" w:ascii="宋体" w:hAnsi="宋体" w:eastAsia="宋体" w:cs="宋体"/>
          <w:b/>
          <w:color w:val="auto"/>
          <w:sz w:val="32"/>
          <w:szCs w:val="20"/>
          <w:highlight w:val="none"/>
        </w:rPr>
      </w:pPr>
    </w:p>
    <w:bookmarkEnd w:id="10"/>
    <w:p w14:paraId="1892A289">
      <w:pPr>
        <w:rPr>
          <w:rFonts w:hint="eastAsia" w:ascii="宋体" w:hAnsi="宋体" w:eastAsia="宋体" w:cs="宋体"/>
          <w:b/>
          <w:color w:val="auto"/>
          <w:sz w:val="32"/>
          <w:szCs w:val="20"/>
          <w:highlight w:val="none"/>
        </w:rPr>
      </w:pPr>
      <w:bookmarkStart w:id="11" w:name="第三部分"/>
      <w:bookmarkStart w:id="12" w:name="_Toc164416483"/>
      <w:r>
        <w:rPr>
          <w:rFonts w:hint="eastAsia" w:ascii="宋体" w:hAnsi="宋体" w:eastAsia="宋体" w:cs="宋体"/>
          <w:b/>
          <w:color w:val="auto"/>
          <w:sz w:val="32"/>
          <w:szCs w:val="20"/>
          <w:highlight w:val="none"/>
        </w:rPr>
        <w:br w:type="page"/>
      </w:r>
    </w:p>
    <w:p w14:paraId="75264CA2">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56B79E12">
      <w:pPr>
        <w:pageBreakBefore w:val="0"/>
        <w:kinsoku/>
        <w:wordWrap/>
        <w:overflowPunct/>
        <w:topLinePunct w:val="0"/>
        <w:bidi w:val="0"/>
        <w:adjustRightInd w:val="0"/>
        <w:snapToGrid w:val="0"/>
        <w:spacing w:beforeAutospacing="0" w:line="360" w:lineRule="auto"/>
        <w:ind w:left="0" w:leftChars="0" w:firstLine="422" w:firstLineChars="200"/>
        <w:jc w:val="left"/>
        <w:textAlignment w:val="auto"/>
        <w:outlineLvl w:val="1"/>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 适用范围</w:t>
      </w:r>
    </w:p>
    <w:p w14:paraId="0B2D25F0">
      <w:pPr>
        <w:pageBreakBefore w:val="0"/>
        <w:kinsoku/>
        <w:wordWrap/>
        <w:overflowPunct/>
        <w:topLinePunct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本招标文件适用于该项目的招标、投标、开标、资格审查及信用信息查询、评标、定标、合同、验收等行为（法律、法规另有规定的，从其规定）。</w:t>
      </w:r>
    </w:p>
    <w:p w14:paraId="1874DAD6">
      <w:pPr>
        <w:pageBreakBefore w:val="0"/>
        <w:kinsoku/>
        <w:wordWrap/>
        <w:overflowPunct/>
        <w:topLinePunct w:val="0"/>
        <w:bidi w:val="0"/>
        <w:adjustRightInd w:val="0"/>
        <w:snapToGrid w:val="0"/>
        <w:spacing w:beforeAutospacing="0" w:line="360" w:lineRule="auto"/>
        <w:ind w:left="0" w:leftChars="0" w:firstLine="422" w:firstLineChars="200"/>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2.定义</w:t>
      </w:r>
    </w:p>
    <w:p w14:paraId="452AA165">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 “采购人”系指招标公告中载明的本项目的采购人。</w:t>
      </w:r>
    </w:p>
    <w:p w14:paraId="07D0D80E">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 “</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”系指招标公告中载明的本项目的</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w:t>
      </w:r>
    </w:p>
    <w:p w14:paraId="7719B6B0">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 “投标人”系指是指响应招标、参加投标竞争的法人、其他组织或者自然人。</w:t>
      </w:r>
    </w:p>
    <w:p w14:paraId="25340D5A">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 “负责人”系指法人企业的法定负责人，或其他组织为法律、行政法规规定代表单位行使职权的主要负责人，或自然人本人。</w:t>
      </w:r>
    </w:p>
    <w:p w14:paraId="0F6878F5">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2.6“电子交易平台”</w:t>
      </w:r>
      <w:r>
        <w:rPr>
          <w:rFonts w:hint="eastAsia" w:ascii="宋体" w:hAnsi="宋体" w:eastAsia="宋体" w:cs="宋体"/>
          <w:color w:val="auto"/>
          <w:sz w:val="21"/>
          <w:szCs w:val="21"/>
          <w:highlight w:val="none"/>
          <w:lang w:val="en-US" w:eastAsia="zh-CN"/>
        </w:rPr>
        <w:t>系</w:t>
      </w:r>
      <w:r>
        <w:rPr>
          <w:rFonts w:hint="eastAsia" w:ascii="宋体" w:hAnsi="宋体" w:eastAsia="宋体" w:cs="宋体"/>
          <w:color w:val="auto"/>
          <w:sz w:val="21"/>
          <w:szCs w:val="21"/>
          <w:highlight w:val="none"/>
        </w:rPr>
        <w:t>指本项目政府采购活动所依托的政府采购云平台（https://www.zcygov.cn/）。</w:t>
      </w:r>
    </w:p>
    <w:p w14:paraId="512A4CF7">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2.7 “▲” 系指实质性要求条款，“</w:t>
      </w:r>
      <w:sdt>
        <w:sdtPr>
          <w:rPr>
            <w:rFonts w:hint="eastAsia" w:ascii="宋体" w:hAnsi="宋体" w:eastAsia="宋体" w:cs="宋体"/>
            <w:color w:val="auto"/>
            <w:kern w:val="0"/>
            <w:sz w:val="21"/>
            <w:szCs w:val="21"/>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sz w:val="21"/>
          <w:szCs w:val="21"/>
          <w:highlight w:val="none"/>
        </w:rPr>
        <w:t>” 系指适用本项目的要求，“</w:t>
      </w:r>
      <w:sdt>
        <w:sdtPr>
          <w:rPr>
            <w:rFonts w:hint="eastAsia" w:ascii="宋体" w:hAnsi="宋体" w:eastAsia="宋体" w:cs="宋体"/>
            <w:color w:val="auto"/>
            <w:kern w:val="0"/>
            <w:sz w:val="21"/>
            <w:szCs w:val="21"/>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sz w:val="21"/>
          <w:szCs w:val="21"/>
          <w:highlight w:val="none"/>
        </w:rPr>
        <w:t>” 系指不适用本项目的要求。</w:t>
      </w:r>
    </w:p>
    <w:p w14:paraId="79F2398D">
      <w:pPr>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w:t>
      </w:r>
      <w:r>
        <w:rPr>
          <w:rFonts w:hint="eastAsia" w:ascii="宋体" w:hAnsi="宋体" w:eastAsia="宋体" w:cs="宋体"/>
          <w:color w:val="auto"/>
          <w:sz w:val="21"/>
          <w:szCs w:val="21"/>
          <w:highlight w:val="none"/>
        </w:rPr>
        <w:t xml:space="preserve"> </w:t>
      </w:r>
      <w:r>
        <w:rPr>
          <w:rFonts w:hint="eastAsia" w:ascii="宋体" w:hAnsi="宋体" w:eastAsia="宋体" w:cs="宋体"/>
          <w:b/>
          <w:color w:val="auto"/>
          <w:sz w:val="21"/>
          <w:szCs w:val="21"/>
          <w:highlight w:val="none"/>
        </w:rPr>
        <w:t>采购项目需要落实的政府采购政策</w:t>
      </w:r>
    </w:p>
    <w:p w14:paraId="174331AF">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不会对其加以限制，仍将按照公平竞争原则实施采购）；</w:t>
      </w:r>
      <w:r>
        <w:rPr>
          <w:rFonts w:hint="eastAsia" w:ascii="宋体" w:hAnsi="宋体" w:eastAsia="宋体" w:cs="宋体"/>
          <w:color w:val="auto"/>
          <w:kern w:val="0"/>
          <w:sz w:val="21"/>
          <w:szCs w:val="21"/>
          <w:highlight w:val="none"/>
        </w:rPr>
        <w:t>优先采购向我国企业转让技术、与我国企业签订消化吸收再创新方案的供应商的进口产品</w:t>
      </w:r>
      <w:r>
        <w:rPr>
          <w:rFonts w:hint="eastAsia" w:ascii="宋体" w:hAnsi="宋体" w:eastAsia="宋体" w:cs="宋体"/>
          <w:color w:val="auto"/>
          <w:sz w:val="21"/>
          <w:szCs w:val="21"/>
          <w:highlight w:val="none"/>
        </w:rPr>
        <w:t>。</w:t>
      </w:r>
    </w:p>
    <w:p w14:paraId="134CA64D">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 支持绿色发展</w:t>
      </w:r>
    </w:p>
    <w:p w14:paraId="29B8521C">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1"/>
          <w:szCs w:val="21"/>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3.2.2 修缮、装修类项目采购建材的，采购人应将绿色建筑和绿色建材性能、指标等作为实质性条件纳入招标文件和合同。</w:t>
      </w:r>
    </w:p>
    <w:p w14:paraId="358A0BF3">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3.3支持中小企业发展</w:t>
      </w:r>
    </w:p>
    <w:p w14:paraId="4D267C76">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符合中小企业划分标准的个体工商户，在政府采购活动中视同中小企业。</w:t>
      </w:r>
    </w:p>
    <w:p w14:paraId="45D5B39E">
      <w:pPr>
        <w:pageBreakBefore w:val="0"/>
        <w:widowControl/>
        <w:kinsoku/>
        <w:wordWrap/>
        <w:overflowPunct/>
        <w:topLinePunct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bCs/>
          <w:color w:val="auto"/>
          <w:sz w:val="21"/>
          <w:szCs w:val="21"/>
          <w:highlight w:val="none"/>
        </w:rPr>
        <w:t>3.3.2</w:t>
      </w:r>
      <w:r>
        <w:rPr>
          <w:rFonts w:hint="eastAsia" w:ascii="宋体" w:hAnsi="宋体" w:eastAsia="宋体" w:cs="宋体"/>
          <w:color w:val="auto"/>
          <w:kern w:val="0"/>
          <w:sz w:val="21"/>
          <w:szCs w:val="21"/>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pageBreakBefore w:val="0"/>
        <w:widowControl/>
        <w:kinsoku/>
        <w:wordWrap/>
        <w:overflowPunct/>
        <w:topLinePunct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以联合体形式参加政府采购活动，联合体各方均为中小企业的，联合体视同中小企业。其中，联合体各方均为小微企业的，联合体视同小微企业。</w:t>
      </w:r>
    </w:p>
    <w:p w14:paraId="46AAD417">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1556AA13">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3.3.4符合《关于促进残疾人就业政府采购政策的通知》（财库〔2017〕141号）规定的条件并提供《残疾人福利性单位声明函》（附件1）的残疾人福利性单位视同小型、微型企业；</w:t>
      </w:r>
    </w:p>
    <w:p w14:paraId="7862C9C2">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3.3.6</w:t>
      </w:r>
      <w:r>
        <w:rPr>
          <w:rFonts w:hint="eastAsia" w:ascii="宋体" w:hAnsi="宋体" w:eastAsia="宋体" w:cs="宋体"/>
          <w:color w:val="auto"/>
          <w:sz w:val="21"/>
          <w:szCs w:val="21"/>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eastAsia="宋体" w:cs="宋体"/>
          <w:color w:val="auto"/>
          <w:sz w:val="21"/>
          <w:szCs w:val="21"/>
          <w:highlight w:val="none"/>
        </w:rPr>
        <w:t>。</w:t>
      </w:r>
    </w:p>
    <w:p w14:paraId="0CE37296">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3.3.7中小企业享受扶持政策获得政府采购合同的，小微企业不得将合同分包给大中型企业，中型企业不得将合同分包给大型企业。</w:t>
      </w:r>
    </w:p>
    <w:p w14:paraId="57C7E74F">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w:t>
      </w:r>
      <w:r>
        <w:rPr>
          <w:rFonts w:hint="eastAsia" w:ascii="宋体" w:hAnsi="宋体" w:eastAsia="宋体" w:cs="宋体"/>
          <w:bCs/>
          <w:color w:val="auto"/>
          <w:sz w:val="21"/>
          <w:szCs w:val="21"/>
          <w:highlight w:val="none"/>
        </w:rPr>
        <w:t>支持创新发展</w:t>
      </w:r>
    </w:p>
    <w:p w14:paraId="42DB1002">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3.4.1 </w:t>
      </w:r>
      <w:r>
        <w:rPr>
          <w:rFonts w:hint="eastAsia" w:ascii="宋体" w:hAnsi="宋体" w:eastAsia="宋体" w:cs="宋体"/>
          <w:color w:val="auto"/>
          <w:sz w:val="21"/>
          <w:szCs w:val="21"/>
          <w:highlight w:val="none"/>
          <w:lang w:eastAsia="zh-CN"/>
        </w:rPr>
        <w:t>首台套、“制造精品”、“专精特新”等创新产品按规定享受政府采购支持政策</w:t>
      </w:r>
      <w:r>
        <w:rPr>
          <w:rFonts w:hint="eastAsia" w:ascii="宋体" w:hAnsi="宋体" w:eastAsia="宋体" w:cs="宋体"/>
          <w:color w:val="auto"/>
          <w:sz w:val="21"/>
          <w:szCs w:val="21"/>
          <w:highlight w:val="none"/>
        </w:rPr>
        <w:t>。</w:t>
      </w:r>
    </w:p>
    <w:p w14:paraId="3663ABCB">
      <w:pPr>
        <w:pStyle w:val="5"/>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u w:val="none"/>
        </w:rPr>
      </w:pPr>
      <w:r>
        <w:rPr>
          <w:rFonts w:hint="eastAsia" w:ascii="宋体" w:hAnsi="宋体" w:eastAsia="宋体" w:cs="宋体"/>
          <w:b w:val="0"/>
          <w:bCs w:val="0"/>
          <w:color w:val="auto"/>
          <w:sz w:val="21"/>
          <w:szCs w:val="21"/>
          <w:highlight w:val="none"/>
          <w:u w:val="none"/>
          <w:lang w:val="en-US"/>
        </w:rPr>
        <w:t>3.4.</w:t>
      </w:r>
      <w:r>
        <w:rPr>
          <w:rFonts w:hint="eastAsia" w:ascii="宋体" w:hAnsi="宋体" w:eastAsia="宋体" w:cs="宋体"/>
          <w:b w:val="0"/>
          <w:bCs w:val="0"/>
          <w:color w:val="auto"/>
          <w:sz w:val="21"/>
          <w:szCs w:val="21"/>
          <w:highlight w:val="none"/>
          <w:u w:val="none"/>
          <w:lang w:val="en-US" w:eastAsia="zh-CN"/>
        </w:rPr>
        <w:t>2</w:t>
      </w:r>
      <w:r>
        <w:rPr>
          <w:rFonts w:hint="eastAsia" w:ascii="宋体" w:hAnsi="宋体" w:eastAsia="宋体" w:cs="宋体"/>
          <w:b w:val="0"/>
          <w:bCs w:val="0"/>
          <w:color w:val="auto"/>
          <w:sz w:val="21"/>
          <w:szCs w:val="21"/>
          <w:highlight w:val="none"/>
          <w:u w:val="none"/>
          <w:lang w:val="en-US"/>
        </w:rPr>
        <w:t xml:space="preserve"> </w:t>
      </w:r>
      <w:r>
        <w:rPr>
          <w:rFonts w:hint="eastAsia" w:ascii="宋体" w:hAnsi="宋体" w:eastAsia="宋体" w:cs="宋体"/>
          <w:b w:val="0"/>
          <w:bCs w:val="0"/>
          <w:color w:val="auto"/>
          <w:sz w:val="21"/>
          <w:szCs w:val="21"/>
          <w:highlight w:val="none"/>
          <w:u w:val="none"/>
          <w:lang w:val="en-US" w:eastAsia="zh-CN"/>
        </w:rPr>
        <w:t>采购人应当贯彻落实知识产权保护相关法律法规，</w:t>
      </w:r>
      <w:r>
        <w:rPr>
          <w:rFonts w:hint="eastAsia" w:ascii="宋体" w:hAnsi="宋体" w:eastAsia="宋体" w:cs="宋体"/>
          <w:b w:val="0"/>
          <w:bCs w:val="0"/>
          <w:color w:val="auto"/>
          <w:sz w:val="21"/>
          <w:szCs w:val="21"/>
          <w:highlight w:val="none"/>
          <w:u w:val="none"/>
          <w:lang w:val="en-US"/>
        </w:rPr>
        <w:t>应当采购使用正版软件。</w:t>
      </w:r>
    </w:p>
    <w:p w14:paraId="3097E857">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3.5平等对待内外资企业和符合条件的破产重整企业</w:t>
      </w:r>
    </w:p>
    <w:p w14:paraId="3EE38953">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平等对待内外资企业和符合条件的破产重整企业，切实保障企业公平竞争，平等维护企业的合法利益。</w:t>
      </w:r>
      <w:r>
        <w:rPr>
          <w:rFonts w:hint="eastAsia" w:ascii="宋体" w:hAnsi="宋体" w:eastAsia="宋体" w:cs="宋体"/>
          <w:color w:val="auto"/>
          <w:sz w:val="21"/>
          <w:szCs w:val="21"/>
          <w:highlight w:val="none"/>
        </w:rPr>
        <w:cr/>
      </w:r>
      <w:r>
        <w:rPr>
          <w:rFonts w:hint="eastAsia" w:ascii="宋体" w:hAnsi="宋体" w:eastAsia="宋体" w:cs="宋体"/>
          <w:b/>
          <w:color w:val="auto"/>
          <w:sz w:val="21"/>
          <w:szCs w:val="21"/>
          <w:highlight w:val="none"/>
        </w:rPr>
        <w:t>4. 询问、质疑、投诉、补偿救济</w:t>
      </w:r>
    </w:p>
    <w:p w14:paraId="6F1AE62F">
      <w:pPr>
        <w:pageBreakBefore w:val="0"/>
        <w:kinsoku/>
        <w:wordWrap/>
        <w:overflowPunct/>
        <w:topLinePunct w:val="0"/>
        <w:autoSpaceDE w:val="0"/>
        <w:autoSpaceDN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pageBreakBefore w:val="0"/>
        <w:kinsoku/>
        <w:wordWrap/>
        <w:overflowPunct/>
        <w:topLinePunct w:val="0"/>
        <w:autoSpaceDE w:val="0"/>
        <w:autoSpaceDN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4.2供应商询问</w:t>
      </w:r>
    </w:p>
    <w:p w14:paraId="6ACB7464">
      <w:pPr>
        <w:pageBreakBefore w:val="0"/>
        <w:kinsoku/>
        <w:wordWrap/>
        <w:overflowPunct/>
        <w:topLinePunct w:val="0"/>
        <w:autoSpaceDE w:val="0"/>
        <w:autoSpaceDN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pageBreakBefore w:val="0"/>
        <w:kinsoku/>
        <w:wordWrap/>
        <w:overflowPunct/>
        <w:topLinePunct w:val="0"/>
        <w:autoSpaceDE w:val="0"/>
        <w:autoSpaceDN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4.3供应商质疑</w:t>
      </w:r>
    </w:p>
    <w:p w14:paraId="053F4E11">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zh-CN"/>
        </w:rPr>
        <w:t>4.3</w:t>
      </w:r>
      <w:r>
        <w:rPr>
          <w:rFonts w:hint="eastAsia" w:ascii="宋体" w:hAnsi="宋体" w:eastAsia="宋体" w:cs="宋体"/>
          <w:color w:val="auto"/>
          <w:sz w:val="21"/>
          <w:szCs w:val="21"/>
          <w:highlight w:val="none"/>
        </w:rPr>
        <w:t>.1提出质疑的供应商应当是参与所质疑项目采购活动的供应商。潜在供应商已依法获取其可质疑的招标文件的，可以对该文件提出质疑。</w:t>
      </w:r>
    </w:p>
    <w:p w14:paraId="4DB81FF4">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zh-CN"/>
        </w:rPr>
        <w:t>4.3</w:t>
      </w:r>
      <w:r>
        <w:rPr>
          <w:rFonts w:hint="eastAsia" w:ascii="宋体" w:hAnsi="宋体" w:eastAsia="宋体" w:cs="宋体"/>
          <w:color w:val="auto"/>
          <w:sz w:val="21"/>
          <w:szCs w:val="21"/>
          <w:highlight w:val="none"/>
        </w:rPr>
        <w:t>.2供应商认为招标文件、采购过程和中标结果使自己的权益受到损害的，可以在知道或者应知其权益受到损害之日起七个工作日内，以书面形式向采购人或者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提出质疑，否则，采购人或者</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不予受理：</w:t>
      </w:r>
    </w:p>
    <w:p w14:paraId="6521B6BF">
      <w:pPr>
        <w:pStyle w:val="7"/>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snapToGrid/>
          <w:color w:val="auto"/>
          <w:kern w:val="2"/>
          <w:sz w:val="21"/>
          <w:szCs w:val="21"/>
          <w:highlight w:val="none"/>
        </w:rPr>
      </w:pPr>
      <w:r>
        <w:rPr>
          <w:rFonts w:hint="eastAsia" w:ascii="宋体" w:hAnsi="宋体" w:eastAsia="宋体" w:cs="宋体"/>
          <w:snapToGrid/>
          <w:color w:val="auto"/>
          <w:kern w:val="2"/>
          <w:sz w:val="21"/>
          <w:szCs w:val="21"/>
          <w:highlight w:val="none"/>
        </w:rPr>
        <w:t>4.3.2.1对招标文件提出质疑的，质疑期限为供应商获得招标文件之日或者招标文件公告期限届满之日起计算。</w:t>
      </w:r>
    </w:p>
    <w:p w14:paraId="593C149A">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4.3.2.2对采购过程提出质疑的，质疑期限为各采购程序环节结束之日起计算。4.3.2.3对采购结果提出质疑的，质疑期限自采购结果公告期限届满之日起计算。</w:t>
      </w:r>
    </w:p>
    <w:p w14:paraId="34CBB85F">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4.3.3</w:t>
      </w:r>
      <w:r>
        <w:rPr>
          <w:rFonts w:hint="eastAsia" w:ascii="宋体" w:hAnsi="宋体" w:eastAsia="宋体" w:cs="宋体"/>
          <w:color w:val="auto"/>
          <w:sz w:val="21"/>
          <w:szCs w:val="21"/>
          <w:highlight w:val="none"/>
        </w:rPr>
        <w:t>供应商提出质疑应当提交质疑函和必要的证明材料。质疑函应当包括下列内容：</w:t>
      </w:r>
    </w:p>
    <w:p w14:paraId="0C727DD6">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4.3.3.1供应商的姓名或者名称、地址、邮编、联系人及联系电话；</w:t>
      </w:r>
    </w:p>
    <w:p w14:paraId="3E3EAF25">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4.3.3.2质疑项目的名称、编号；</w:t>
      </w:r>
    </w:p>
    <w:p w14:paraId="2486A27E">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4.3.3.3具体、明确的质疑事项和与质疑事项相关的请求；</w:t>
      </w:r>
    </w:p>
    <w:p w14:paraId="4D239430">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4.3.3.4事实依据；</w:t>
      </w:r>
    </w:p>
    <w:p w14:paraId="6C90EC9C">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4.3.3.5必要的法律依据；</w:t>
      </w:r>
    </w:p>
    <w:p w14:paraId="5D64CD02">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4.3.3.6提出质疑的日期。</w:t>
      </w:r>
    </w:p>
    <w:p w14:paraId="35E9E5F8">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质疑函范本及制作说明详见附件2。</w:t>
      </w:r>
    </w:p>
    <w:p w14:paraId="13D330D2">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4.3.4对同一采购程序环节的质疑，供应商须在法定质疑期内一次性提出。</w:t>
      </w:r>
    </w:p>
    <w:p w14:paraId="6BAEB4ED">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4.3</w:t>
      </w:r>
      <w:r>
        <w:rPr>
          <w:rFonts w:hint="eastAsia" w:ascii="宋体" w:hAnsi="宋体" w:eastAsia="宋体" w:cs="宋体"/>
          <w:color w:val="auto"/>
          <w:sz w:val="21"/>
          <w:szCs w:val="21"/>
          <w:highlight w:val="none"/>
        </w:rPr>
        <w:t>.5采购人或者</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在质疑回复后5个工作日内，在浙江政府采购网的“其他公告”栏目公开质疑答复，答复内容应当完整。质疑函作为附件上传。</w:t>
      </w:r>
    </w:p>
    <w:p w14:paraId="63F18984">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4.3</w:t>
      </w:r>
      <w:r>
        <w:rPr>
          <w:rFonts w:hint="eastAsia" w:ascii="宋体" w:hAnsi="宋体" w:eastAsia="宋体" w:cs="宋体"/>
          <w:color w:val="auto"/>
          <w:sz w:val="21"/>
          <w:szCs w:val="21"/>
          <w:highlight w:val="none"/>
        </w:rPr>
        <w:t>.6询问或者质疑事项可能影响采购结果的，采购人应当暂停签订合同，已经签订合同的，应当中止履行合同。</w:t>
      </w:r>
    </w:p>
    <w:p w14:paraId="2680FC7B">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4.4供应商投诉</w:t>
      </w:r>
    </w:p>
    <w:p w14:paraId="3B98A2A9">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4.4.1质疑供应商对采购人、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的答复不满意或者采购人、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未在规定的时间内作出答复的，可以在答复期满后十五个工作日内向同级政府采购监督管理部门提出投诉。</w:t>
      </w:r>
    </w:p>
    <w:p w14:paraId="0B604195">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w:t>
      </w:r>
      <w:r>
        <w:rPr>
          <w:rFonts w:hint="eastAsia" w:ascii="宋体" w:hAnsi="宋体" w:eastAsia="宋体" w:cs="宋体"/>
          <w:color w:val="auto"/>
          <w:sz w:val="21"/>
          <w:szCs w:val="21"/>
          <w:highlight w:val="none"/>
          <w:lang w:val="zh-CN"/>
        </w:rPr>
        <w:t>2</w:t>
      </w:r>
      <w:r>
        <w:rPr>
          <w:rFonts w:hint="eastAsia" w:ascii="宋体" w:hAnsi="宋体" w:eastAsia="宋体" w:cs="宋体"/>
          <w:color w:val="auto"/>
          <w:sz w:val="21"/>
          <w:szCs w:val="21"/>
          <w:highlight w:val="none"/>
        </w:rPr>
        <w:t>供应商投诉的事项不得超出已质疑事项的范围，基于质疑答复内容提出的投诉事项除外。</w:t>
      </w:r>
    </w:p>
    <w:p w14:paraId="245CA2ED">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4.4.3供应商投诉应当有明确的请求和必要的证明材料。</w:t>
      </w:r>
    </w:p>
    <w:p w14:paraId="65D7F310">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4.4.4以联合体形式参加政府采购活动的，其投诉应当由组成联合体的所有供应商共同提出。</w:t>
      </w:r>
    </w:p>
    <w:p w14:paraId="700A975D">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4.4.5根据政府采购行政裁决省市区三级联动试点工作安排，杭州市本级</w:t>
      </w:r>
      <w:r>
        <w:rPr>
          <w:rFonts w:hint="eastAsia" w:ascii="宋体" w:hAnsi="宋体" w:eastAsia="宋体" w:cs="宋体"/>
          <w:color w:val="auto"/>
          <w:sz w:val="21"/>
          <w:szCs w:val="21"/>
          <w:highlight w:val="none"/>
          <w:lang w:eastAsia="zh-CN"/>
        </w:rPr>
        <w:t>及各区、县（市）</w:t>
      </w:r>
      <w:r>
        <w:rPr>
          <w:rFonts w:hint="eastAsia" w:ascii="宋体" w:hAnsi="宋体" w:eastAsia="宋体" w:cs="宋体"/>
          <w:color w:val="auto"/>
          <w:sz w:val="21"/>
          <w:szCs w:val="21"/>
          <w:highlight w:val="none"/>
        </w:rPr>
        <w:t>政府采购项目投诉材料可寄送至浙江省政府采购行政裁决服务中心（杭州），地址：</w:t>
      </w:r>
      <w:r>
        <w:rPr>
          <w:rFonts w:hint="eastAsia" w:ascii="宋体" w:hAnsi="宋体" w:eastAsia="宋体" w:cs="宋体"/>
          <w:i w:val="0"/>
          <w:caps w:val="0"/>
          <w:color w:val="auto"/>
          <w:spacing w:val="0"/>
          <w:sz w:val="21"/>
          <w:szCs w:val="21"/>
          <w:highlight w:val="none"/>
          <w:lang w:eastAsia="zh-CN"/>
        </w:rPr>
        <w:t>杭州市上城区清泰街549号城建综合大楼11楼</w:t>
      </w:r>
      <w:r>
        <w:rPr>
          <w:rFonts w:hint="eastAsia" w:ascii="宋体" w:hAnsi="宋体" w:eastAsia="宋体" w:cs="宋体"/>
          <w:i w:val="0"/>
          <w:caps w:val="0"/>
          <w:color w:val="auto"/>
          <w:spacing w:val="0"/>
          <w:sz w:val="21"/>
          <w:szCs w:val="21"/>
          <w:highlight w:val="none"/>
        </w:rPr>
        <w:t>（快递仅限ems或顺丰）</w:t>
      </w:r>
      <w:r>
        <w:rPr>
          <w:rFonts w:hint="eastAsia" w:ascii="宋体" w:hAnsi="宋体" w:eastAsia="宋体" w:cs="宋体"/>
          <w:i w:val="0"/>
          <w:caps w:val="0"/>
          <w:color w:val="auto"/>
          <w:spacing w:val="0"/>
          <w:sz w:val="21"/>
          <w:szCs w:val="21"/>
          <w:highlight w:val="none"/>
          <w:lang w:eastAsia="zh-CN"/>
        </w:rPr>
        <w:t>，</w:t>
      </w:r>
      <w:r>
        <w:rPr>
          <w:rFonts w:hint="eastAsia" w:ascii="宋体" w:hAnsi="宋体" w:eastAsia="宋体" w:cs="宋体"/>
          <w:color w:val="auto"/>
          <w:sz w:val="21"/>
          <w:szCs w:val="21"/>
          <w:highlight w:val="none"/>
        </w:rPr>
        <w:t>收件人：朱女士、王女士，电话：0571-</w:t>
      </w:r>
      <w:r>
        <w:rPr>
          <w:rFonts w:hint="eastAsia" w:ascii="宋体" w:hAnsi="宋体" w:eastAsia="宋体" w:cs="宋体"/>
          <w:i w:val="0"/>
          <w:caps w:val="0"/>
          <w:color w:val="auto"/>
          <w:spacing w:val="0"/>
          <w:sz w:val="21"/>
          <w:szCs w:val="21"/>
          <w:highlight w:val="none"/>
        </w:rPr>
        <w:t>8</w:t>
      </w:r>
      <w:r>
        <w:rPr>
          <w:rFonts w:hint="eastAsia" w:ascii="宋体" w:hAnsi="宋体" w:eastAsia="宋体" w:cs="宋体"/>
          <w:i w:val="0"/>
          <w:caps w:val="0"/>
          <w:color w:val="auto"/>
          <w:spacing w:val="0"/>
          <w:sz w:val="21"/>
          <w:szCs w:val="21"/>
          <w:highlight w:val="none"/>
          <w:lang w:val="en-US" w:eastAsia="zh-CN"/>
        </w:rPr>
        <w:t>7227671,0571-87800218</w:t>
      </w:r>
      <w:r>
        <w:rPr>
          <w:rFonts w:hint="eastAsia" w:ascii="宋体" w:hAnsi="宋体" w:eastAsia="宋体" w:cs="宋体"/>
          <w:color w:val="auto"/>
          <w:sz w:val="21"/>
          <w:szCs w:val="21"/>
          <w:highlight w:val="none"/>
        </w:rPr>
        <w:t>。</w:t>
      </w:r>
    </w:p>
    <w:p w14:paraId="712FF852">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4.5 补偿救济</w:t>
      </w:r>
    </w:p>
    <w:p w14:paraId="54AEF823">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采购人因政策变化、规划调整而不履行政府采购合同的，供应商可依据《杭州市涉企补偿救济实施办法（试行）》向采购人提起补偿申请。</w:t>
      </w:r>
    </w:p>
    <w:p w14:paraId="00B71198">
      <w:pPr>
        <w:pStyle w:val="890"/>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投诉书范本及制作说明详见附件3。</w:t>
      </w:r>
    </w:p>
    <w:p w14:paraId="60847ABF">
      <w:pPr>
        <w:pageBreakBefore w:val="0"/>
        <w:kinsoku/>
        <w:wordWrap/>
        <w:overflowPunct/>
        <w:topLinePunct w:val="0"/>
        <w:bidi w:val="0"/>
        <w:adjustRightInd w:val="0"/>
        <w:snapToGrid w:val="0"/>
        <w:spacing w:beforeAutospacing="0" w:line="360" w:lineRule="auto"/>
        <w:ind w:left="0" w:leftChars="0" w:firstLine="422" w:firstLineChars="200"/>
        <w:jc w:val="center"/>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      二、招标文件的构成、澄清、修改</w:t>
      </w:r>
    </w:p>
    <w:p w14:paraId="4B83C9F8">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5．招标文件的构成</w:t>
      </w:r>
    </w:p>
    <w:p w14:paraId="743FBF41">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 招标文件包括下列文件及附件：</w:t>
      </w:r>
    </w:p>
    <w:p w14:paraId="448832F7">
      <w:pPr>
        <w:pStyle w:val="33"/>
        <w:pageBreakBefore w:val="0"/>
        <w:tabs>
          <w:tab w:val="left" w:pos="84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5.1.1招标公告；</w:t>
      </w:r>
    </w:p>
    <w:p w14:paraId="40208193">
      <w:pPr>
        <w:pStyle w:val="33"/>
        <w:pageBreakBefore w:val="0"/>
        <w:tabs>
          <w:tab w:val="left" w:pos="84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5.1.2投标人须知；</w:t>
      </w:r>
    </w:p>
    <w:p w14:paraId="3DECB49D">
      <w:pPr>
        <w:pStyle w:val="33"/>
        <w:pageBreakBefore w:val="0"/>
        <w:tabs>
          <w:tab w:val="left" w:pos="84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5.1.3采购需求；</w:t>
      </w:r>
    </w:p>
    <w:p w14:paraId="7B107D15">
      <w:pPr>
        <w:pStyle w:val="33"/>
        <w:pageBreakBefore w:val="0"/>
        <w:tabs>
          <w:tab w:val="left" w:pos="84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5.1.4评标办法；</w:t>
      </w:r>
    </w:p>
    <w:p w14:paraId="7FEA5162">
      <w:pPr>
        <w:pStyle w:val="33"/>
        <w:pageBreakBefore w:val="0"/>
        <w:tabs>
          <w:tab w:val="left" w:pos="84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5.1.5拟签订的合同文本；</w:t>
      </w:r>
    </w:p>
    <w:p w14:paraId="4C8291B4">
      <w:pPr>
        <w:pStyle w:val="33"/>
        <w:pageBreakBefore w:val="0"/>
        <w:tabs>
          <w:tab w:val="left" w:pos="84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5.1.6应提交的有关格式范例。</w:t>
      </w:r>
    </w:p>
    <w:p w14:paraId="196C0DD2">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5.2与本项目有关的</w:t>
      </w:r>
      <w:r>
        <w:rPr>
          <w:rFonts w:hint="eastAsia" w:ascii="宋体" w:hAnsi="宋体" w:eastAsia="宋体" w:cs="宋体"/>
          <w:bCs/>
          <w:color w:val="auto"/>
          <w:sz w:val="21"/>
          <w:szCs w:val="21"/>
          <w:highlight w:val="none"/>
        </w:rPr>
        <w:t>澄清或者修改的内容为招标文件的组成部分</w:t>
      </w:r>
      <w:r>
        <w:rPr>
          <w:rFonts w:hint="eastAsia" w:ascii="宋体" w:hAnsi="宋体" w:eastAsia="宋体" w:cs="宋体"/>
          <w:color w:val="auto"/>
          <w:sz w:val="21"/>
          <w:szCs w:val="21"/>
          <w:highlight w:val="none"/>
        </w:rPr>
        <w:t>。</w:t>
      </w:r>
    </w:p>
    <w:p w14:paraId="3455F096">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6. 招标文件的澄清、修改</w:t>
      </w:r>
    </w:p>
    <w:p w14:paraId="6177C236">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6.1已获取招标文件的潜在投标人，若有问题需要澄清，应于投标截止时间前，以书面形式向</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提出。</w:t>
      </w:r>
    </w:p>
    <w:p w14:paraId="5BB4D946">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 xml:space="preserve">6.2 </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r>
        <w:rPr>
          <w:rFonts w:hint="eastAsia" w:ascii="宋体" w:hAnsi="宋体" w:eastAsia="宋体" w:cs="宋体"/>
          <w:color w:val="auto"/>
          <w:sz w:val="21"/>
          <w:szCs w:val="21"/>
          <w:highlight w:val="none"/>
          <w:lang w:val="en-US"/>
        </w:rPr>
        <w:t xml:space="preserve">    </w:t>
      </w:r>
    </w:p>
    <w:p w14:paraId="53A42102">
      <w:pPr>
        <w:pageBreakBefore w:val="0"/>
        <w:kinsoku/>
        <w:wordWrap/>
        <w:overflowPunct/>
        <w:topLinePunct w:val="0"/>
        <w:bidi w:val="0"/>
        <w:adjustRightInd w:val="0"/>
        <w:snapToGrid w:val="0"/>
        <w:spacing w:beforeAutospacing="0" w:line="360" w:lineRule="auto"/>
        <w:ind w:left="0" w:leftChars="0" w:firstLine="422" w:firstLineChars="200"/>
        <w:jc w:val="center"/>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三、投标</w:t>
      </w:r>
    </w:p>
    <w:p w14:paraId="11640B7F">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7. 招标文件的获取</w:t>
      </w:r>
    </w:p>
    <w:p w14:paraId="1FE5694F">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详见招标公告中获取招标文件的时间期限、地点、方式及招标文件售价。</w:t>
      </w:r>
    </w:p>
    <w:p w14:paraId="67BCB54C">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8.开标前答疑会或现场考察</w:t>
      </w:r>
    </w:p>
    <w:p w14:paraId="04728D9E">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采购人组织潜在投标人现场考察或者召开开标前答疑会的，潜在投标人按第二部分投标人须知前附表的规定参加现场考察或者开标前答疑会。</w:t>
      </w:r>
    </w:p>
    <w:p w14:paraId="10177369">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kern w:val="28"/>
          <w:sz w:val="21"/>
          <w:szCs w:val="21"/>
          <w:highlight w:val="none"/>
        </w:rPr>
        <w:t>9.投标保证金</w:t>
      </w:r>
    </w:p>
    <w:p w14:paraId="617BD70F">
      <w:pPr>
        <w:pStyle w:val="7"/>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本项目不需缴纳投标保证金。</w:t>
      </w:r>
    </w:p>
    <w:p w14:paraId="37DA2D84">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10. 投标文件的语言</w:t>
      </w:r>
    </w:p>
    <w:p w14:paraId="39107709">
      <w:pPr>
        <w:pageBreakBefore w:val="0"/>
        <w:kinsoku/>
        <w:wordWrap/>
        <w:overflowPunct/>
        <w:topLinePunct w:val="0"/>
        <w:autoSpaceDE w:val="0"/>
        <w:autoSpaceDN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投标文件及投标人与采购有关的来往通知、函件和文件均应使用中文。</w:t>
      </w:r>
    </w:p>
    <w:p w14:paraId="699A92E7">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11. 投标文件的组成</w:t>
      </w:r>
    </w:p>
    <w:p w14:paraId="693E5C2C">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w:t>
      </w:r>
      <w:r>
        <w:rPr>
          <w:rFonts w:hint="eastAsia" w:ascii="宋体" w:hAnsi="宋体" w:eastAsia="宋体" w:cs="宋体"/>
          <w:b/>
          <w:color w:val="auto"/>
          <w:sz w:val="21"/>
          <w:szCs w:val="21"/>
          <w:highlight w:val="none"/>
        </w:rPr>
        <w:t>资格文件</w:t>
      </w:r>
      <w:r>
        <w:rPr>
          <w:rFonts w:hint="eastAsia" w:ascii="宋体" w:hAnsi="宋体" w:eastAsia="宋体" w:cs="宋体"/>
          <w:color w:val="auto"/>
          <w:sz w:val="21"/>
          <w:szCs w:val="21"/>
          <w:highlight w:val="none"/>
        </w:rPr>
        <w:t>：</w:t>
      </w:r>
    </w:p>
    <w:p w14:paraId="5B3DB473">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11.1.1符合参加政府采购活动应当具备的一般条件的承诺函；</w:t>
      </w:r>
    </w:p>
    <w:p w14:paraId="03F8D474">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11.1.2</w:t>
      </w:r>
      <w:r>
        <w:rPr>
          <w:rFonts w:hint="eastAsia" w:ascii="宋体" w:hAnsi="宋体" w:eastAsia="宋体" w:cs="宋体"/>
          <w:snapToGrid w:val="0"/>
          <w:color w:val="auto"/>
          <w:kern w:val="28"/>
          <w:sz w:val="21"/>
          <w:szCs w:val="21"/>
          <w:highlight w:val="none"/>
        </w:rPr>
        <w:t>联合协议（如果有)；</w:t>
      </w:r>
    </w:p>
    <w:p w14:paraId="208560EE">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11.1.3落实政府采购政策需满足的资格要求</w:t>
      </w:r>
      <w:r>
        <w:rPr>
          <w:rFonts w:hint="eastAsia" w:ascii="宋体" w:hAnsi="宋体" w:eastAsia="宋体" w:cs="宋体"/>
          <w:snapToGrid w:val="0"/>
          <w:color w:val="auto"/>
          <w:kern w:val="28"/>
          <w:sz w:val="21"/>
          <w:szCs w:val="21"/>
          <w:highlight w:val="none"/>
        </w:rPr>
        <w:t>（如果有)</w:t>
      </w:r>
      <w:r>
        <w:rPr>
          <w:rFonts w:hint="eastAsia" w:ascii="宋体" w:hAnsi="宋体" w:eastAsia="宋体" w:cs="宋体"/>
          <w:color w:val="auto"/>
          <w:sz w:val="21"/>
          <w:szCs w:val="21"/>
          <w:highlight w:val="none"/>
        </w:rPr>
        <w:t>；</w:t>
      </w:r>
    </w:p>
    <w:p w14:paraId="09013B61">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11.1.4本项目的特定资格要求</w:t>
      </w:r>
      <w:r>
        <w:rPr>
          <w:rFonts w:hint="eastAsia" w:ascii="宋体" w:hAnsi="宋体" w:eastAsia="宋体" w:cs="宋体"/>
          <w:snapToGrid w:val="0"/>
          <w:color w:val="auto"/>
          <w:kern w:val="28"/>
          <w:sz w:val="21"/>
          <w:szCs w:val="21"/>
          <w:highlight w:val="none"/>
        </w:rPr>
        <w:t>（如果有)</w:t>
      </w:r>
      <w:r>
        <w:rPr>
          <w:rFonts w:hint="eastAsia" w:ascii="宋体" w:hAnsi="宋体" w:eastAsia="宋体" w:cs="宋体"/>
          <w:color w:val="auto"/>
          <w:sz w:val="21"/>
          <w:szCs w:val="21"/>
          <w:highlight w:val="none"/>
        </w:rPr>
        <w:t>。</w:t>
      </w:r>
    </w:p>
    <w:p w14:paraId="6AD56734">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11.</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zh-CN"/>
        </w:rPr>
        <w:t xml:space="preserve">  </w:t>
      </w:r>
      <w:r>
        <w:rPr>
          <w:rFonts w:hint="eastAsia" w:ascii="宋体" w:hAnsi="宋体" w:eastAsia="宋体" w:cs="宋体"/>
          <w:color w:val="auto"/>
          <w:sz w:val="21"/>
          <w:szCs w:val="21"/>
          <w:highlight w:val="none"/>
        </w:rPr>
        <w:t>商务技术</w:t>
      </w:r>
      <w:r>
        <w:rPr>
          <w:rFonts w:hint="eastAsia" w:ascii="宋体" w:hAnsi="宋体" w:eastAsia="宋体" w:cs="宋体"/>
          <w:color w:val="auto"/>
          <w:sz w:val="21"/>
          <w:szCs w:val="21"/>
          <w:highlight w:val="none"/>
          <w:lang w:val="zh-CN"/>
        </w:rPr>
        <w:t>文件：</w:t>
      </w:r>
    </w:p>
    <w:p w14:paraId="3A185A56">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11.2.1投标函；</w:t>
      </w:r>
      <w:r>
        <w:rPr>
          <w:rFonts w:hint="eastAsia" w:ascii="宋体" w:hAnsi="宋体" w:eastAsia="宋体" w:cs="宋体"/>
          <w:color w:val="auto"/>
          <w:sz w:val="21"/>
          <w:szCs w:val="21"/>
          <w:highlight w:val="none"/>
          <w:lang w:val="zh-CN"/>
        </w:rPr>
        <w:t xml:space="preserve"> </w:t>
      </w:r>
    </w:p>
    <w:p w14:paraId="0B74C807">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11.2.2授权委托书或法定代表人（单位负责人、自然人本人）身份证明；</w:t>
      </w:r>
    </w:p>
    <w:p w14:paraId="279A3063">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11.2.3分包意向协议</w:t>
      </w:r>
      <w:r>
        <w:rPr>
          <w:rFonts w:hint="eastAsia" w:ascii="宋体" w:hAnsi="宋体" w:eastAsia="宋体" w:cs="宋体"/>
          <w:snapToGrid w:val="0"/>
          <w:color w:val="auto"/>
          <w:kern w:val="28"/>
          <w:sz w:val="21"/>
          <w:szCs w:val="21"/>
          <w:highlight w:val="none"/>
        </w:rPr>
        <w:t>（如果有)</w:t>
      </w:r>
      <w:r>
        <w:rPr>
          <w:rFonts w:hint="eastAsia" w:ascii="宋体" w:hAnsi="宋体" w:eastAsia="宋体" w:cs="宋体"/>
          <w:color w:val="auto"/>
          <w:sz w:val="21"/>
          <w:szCs w:val="21"/>
          <w:highlight w:val="none"/>
        </w:rPr>
        <w:t>；</w:t>
      </w:r>
    </w:p>
    <w:p w14:paraId="13E7F7DE">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11.2.4符合性审查资料；</w:t>
      </w:r>
    </w:p>
    <w:p w14:paraId="5DDBD846">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11.2.5评标标准相应的商务技术资料；</w:t>
      </w:r>
    </w:p>
    <w:p w14:paraId="3B9291F1">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11.2.6投标标的清单；</w:t>
      </w:r>
    </w:p>
    <w:p w14:paraId="21A42F8C">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11.2.7商务技术偏离表；</w:t>
      </w:r>
    </w:p>
    <w:p w14:paraId="75AAD2E4">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11.</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zh-CN"/>
        </w:rPr>
        <w:t>政府采购供应商廉洁自律承诺书；</w:t>
      </w:r>
    </w:p>
    <w:p w14:paraId="737ABAA2">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u w:val="single"/>
          <w:lang w:val="zh-CN"/>
        </w:rPr>
      </w:pPr>
      <w:r>
        <w:rPr>
          <w:rFonts w:hint="eastAsia" w:ascii="宋体" w:hAnsi="宋体" w:eastAsia="宋体" w:cs="宋体"/>
          <w:color w:val="auto"/>
          <w:kern w:val="0"/>
          <w:sz w:val="21"/>
          <w:szCs w:val="21"/>
          <w:highlight w:val="none"/>
          <w:lang w:val="zh-CN"/>
        </w:rPr>
        <w:t>11.</w:t>
      </w:r>
      <w:r>
        <w:rPr>
          <w:rFonts w:hint="eastAsia" w:ascii="宋体" w:hAnsi="宋体" w:eastAsia="宋体" w:cs="宋体"/>
          <w:color w:val="auto"/>
          <w:kern w:val="0"/>
          <w:sz w:val="21"/>
          <w:szCs w:val="21"/>
          <w:highlight w:val="none"/>
        </w:rPr>
        <w:t>3</w:t>
      </w:r>
      <w:r>
        <w:rPr>
          <w:rFonts w:hint="eastAsia" w:ascii="宋体" w:hAnsi="宋体" w:eastAsia="宋体" w:cs="宋体"/>
          <w:b/>
          <w:color w:val="auto"/>
          <w:sz w:val="21"/>
          <w:szCs w:val="21"/>
          <w:highlight w:val="none"/>
        </w:rPr>
        <w:t>报价文件：</w:t>
      </w:r>
      <w:r>
        <w:rPr>
          <w:rFonts w:hint="eastAsia" w:ascii="宋体" w:hAnsi="宋体" w:eastAsia="宋体" w:cs="宋体"/>
          <w:color w:val="auto"/>
          <w:sz w:val="21"/>
          <w:szCs w:val="21"/>
          <w:highlight w:val="none"/>
        </w:rPr>
        <w:t xml:space="preserve"> </w:t>
      </w:r>
    </w:p>
    <w:p w14:paraId="1C3D93F9">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11.3.1开标一览表（报价表）；</w:t>
      </w:r>
    </w:p>
    <w:p w14:paraId="2BDB0CA6">
      <w:pPr>
        <w:pStyle w:val="5"/>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rPr>
        <w:t>11.3.</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lang w:val="en-US"/>
        </w:rPr>
        <w:t xml:space="preserve"> </w:t>
      </w:r>
      <w:r>
        <w:rPr>
          <w:rFonts w:hint="eastAsia" w:ascii="宋体" w:hAnsi="宋体" w:eastAsia="宋体" w:cs="宋体"/>
          <w:b w:val="0"/>
          <w:bCs w:val="0"/>
          <w:color w:val="auto"/>
          <w:sz w:val="21"/>
          <w:szCs w:val="21"/>
          <w:highlight w:val="none"/>
        </w:rPr>
        <w:t>中小企业声明函。</w:t>
      </w:r>
    </w:p>
    <w:p w14:paraId="1DC36947">
      <w:pPr>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投标文件含有采购人不能接受的附加条件的，投标无效；</w:t>
      </w:r>
    </w:p>
    <w:p w14:paraId="768BB57C">
      <w:pPr>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投标人提供虚假材料投标的，投标无效。</w:t>
      </w:r>
    </w:p>
    <w:p w14:paraId="0F02E42D">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12</w:t>
      </w:r>
      <w:r>
        <w:rPr>
          <w:rFonts w:hint="eastAsia" w:ascii="宋体" w:hAnsi="宋体" w:eastAsia="宋体" w:cs="宋体"/>
          <w:b/>
          <w:color w:val="auto"/>
          <w:kern w:val="0"/>
          <w:sz w:val="21"/>
          <w:szCs w:val="21"/>
          <w:highlight w:val="none"/>
          <w:lang w:val="zh-CN"/>
        </w:rPr>
        <w:t xml:space="preserve">. </w:t>
      </w:r>
      <w:r>
        <w:rPr>
          <w:rFonts w:hint="eastAsia" w:ascii="宋体" w:hAnsi="宋体" w:eastAsia="宋体" w:cs="宋体"/>
          <w:b/>
          <w:color w:val="auto"/>
          <w:sz w:val="21"/>
          <w:szCs w:val="21"/>
          <w:highlight w:val="none"/>
        </w:rPr>
        <w:t>投标文件的编制</w:t>
      </w:r>
    </w:p>
    <w:p w14:paraId="5599684A">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12.3使用“政采云电子交易客户端”需要提前申领CA数字证书，申领流程请自行前往“浙江政府采购网-下载专区-电子交易客户端-CA驱动和申领流程”进行查阅。</w:t>
      </w:r>
    </w:p>
    <w:p w14:paraId="616CD10A">
      <w:pPr>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13.投标文件的签署、盖章</w:t>
      </w:r>
    </w:p>
    <w:p w14:paraId="3B93CB6D">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13.1投标文件按照招标文件第六部分格式要求进行签署、盖章。</w:t>
      </w:r>
      <w:r>
        <w:rPr>
          <w:rFonts w:hint="eastAsia" w:ascii="宋体" w:hAnsi="宋体" w:eastAsia="宋体" w:cs="宋体"/>
          <w:b/>
          <w:color w:val="auto"/>
          <w:sz w:val="21"/>
          <w:szCs w:val="21"/>
          <w:highlight w:val="none"/>
        </w:rPr>
        <w:t>▲投标人的投标文件未按照招标文件要求签署、盖章的，其投标无效</w:t>
      </w:r>
      <w:r>
        <w:rPr>
          <w:rFonts w:hint="eastAsia" w:ascii="宋体" w:hAnsi="宋体" w:eastAsia="宋体" w:cs="宋体"/>
          <w:color w:val="auto"/>
          <w:sz w:val="21"/>
          <w:szCs w:val="21"/>
          <w:highlight w:val="none"/>
        </w:rPr>
        <w:t>。</w:t>
      </w:r>
    </w:p>
    <w:p w14:paraId="286B4080">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13.3招标文件对投标文件签署、盖章的要求适用于电子签名。</w:t>
      </w:r>
    </w:p>
    <w:p w14:paraId="348BCF79">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14. 投标文件的提交、补充、修改、撤回</w:t>
      </w:r>
    </w:p>
    <w:p w14:paraId="45BCDF5B">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14.3采购人、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可以视情况延长投标文件提交的截止时间。在上述情况下，</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与投标人以前在投标截止期方面的全部权利、责任和义务，将适用于延长至新的投标截止期。</w:t>
      </w:r>
    </w:p>
    <w:p w14:paraId="1CFFFBD8">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15.备份投标文件</w:t>
      </w:r>
    </w:p>
    <w:p w14:paraId="42A04E0C">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1"/>
          <w:szCs w:val="21"/>
          <w:highlight w:val="none"/>
        </w:rPr>
        <w:t>但采购人、</w:t>
      </w:r>
      <w:r>
        <w:rPr>
          <w:rFonts w:hint="eastAsia" w:ascii="宋体" w:hAnsi="宋体" w:eastAsia="宋体" w:cs="宋体"/>
          <w:b/>
          <w:color w:val="auto"/>
          <w:sz w:val="21"/>
          <w:szCs w:val="21"/>
          <w:highlight w:val="none"/>
          <w:lang w:eastAsia="zh-CN"/>
        </w:rPr>
        <w:t>采购代理机构</w:t>
      </w:r>
      <w:r>
        <w:rPr>
          <w:rFonts w:hint="eastAsia" w:ascii="宋体" w:hAnsi="宋体" w:eastAsia="宋体" w:cs="宋体"/>
          <w:b/>
          <w:color w:val="auto"/>
          <w:sz w:val="21"/>
          <w:szCs w:val="21"/>
          <w:highlight w:val="none"/>
        </w:rPr>
        <w:t>不强制或变相强制投标人提交备份投标文件。</w:t>
      </w:r>
    </w:p>
    <w:p w14:paraId="45B22E94">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15.2备份投标文件须在“政采云投标客户端”制作生成，并储存在DVD光盘</w:t>
      </w:r>
      <w:r>
        <w:rPr>
          <w:rFonts w:hint="eastAsia" w:ascii="宋体" w:hAnsi="宋体" w:eastAsia="宋体" w:cs="宋体"/>
          <w:color w:val="auto"/>
          <w:sz w:val="21"/>
          <w:szCs w:val="21"/>
          <w:highlight w:val="none"/>
          <w:lang w:val="en-US" w:eastAsia="zh-CN"/>
        </w:rPr>
        <w:t>等存储介质</w:t>
      </w:r>
      <w:r>
        <w:rPr>
          <w:rFonts w:hint="eastAsia" w:ascii="宋体" w:hAnsi="宋体" w:eastAsia="宋体" w:cs="宋体"/>
          <w:color w:val="auto"/>
          <w:sz w:val="21"/>
          <w:szCs w:val="21"/>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1"/>
          <w:szCs w:val="21"/>
          <w:highlight w:val="none"/>
        </w:rPr>
        <w:t>不符合上述制作、存储、密封规定的备份投标文件将被视为无效或者被拒绝接收。</w:t>
      </w:r>
    </w:p>
    <w:p w14:paraId="17435F7A">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15.3直接提交备份投标文件的，投标人应于投标截止时间前在招标公告中载明的开标地点将备份投标文件提交给</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将拒绝接受逾期送达的备份投标文件。</w:t>
      </w:r>
    </w:p>
    <w:p w14:paraId="343F0A03">
      <w:pPr>
        <w:pStyle w:val="33"/>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1"/>
          <w:szCs w:val="21"/>
          <w:highlight w:val="none"/>
        </w:rPr>
        <w:t>招标文件第二部分投标人须知前附表规定的备份投标文件送达地点；</w:t>
      </w:r>
      <w:r>
        <w:rPr>
          <w:rFonts w:hint="eastAsia" w:ascii="宋体" w:hAnsi="宋体" w:eastAsia="宋体" w:cs="宋体"/>
          <w:color w:val="auto"/>
          <w:sz w:val="21"/>
          <w:szCs w:val="21"/>
          <w:highlight w:val="none"/>
        </w:rPr>
        <w:t>送达时间以签收人签收时间为准。</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将拒绝接受逾期送达的备份投标文件。邮寄过程中，电子备份投标文件发生泄露、遗失、损坏或延期送达等情况的，由投标人自行负责。</w:t>
      </w:r>
    </w:p>
    <w:p w14:paraId="251A884F">
      <w:pPr>
        <w:pStyle w:val="33"/>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15.5投标人仅提交备份投标文件，未在电子交易平台传输递交投标文件的，投标无效。</w:t>
      </w:r>
    </w:p>
    <w:p w14:paraId="6DB60A0B">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16.投标文件的无效处理</w:t>
      </w:r>
    </w:p>
    <w:p w14:paraId="074E5FFB">
      <w:pPr>
        <w:pStyle w:val="25"/>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有招标文件第四部分4.2规定的情形之一的，投标无效：</w:t>
      </w:r>
    </w:p>
    <w:p w14:paraId="77669CCC">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17.投标有效期</w:t>
      </w:r>
    </w:p>
    <w:p w14:paraId="4E78CE15">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17.1投标有效期为从提交投标文件的截止之日起90天。▲</w:t>
      </w:r>
      <w:r>
        <w:rPr>
          <w:rFonts w:hint="eastAsia" w:ascii="宋体" w:hAnsi="宋体" w:eastAsia="宋体" w:cs="宋体"/>
          <w:b/>
          <w:color w:val="auto"/>
          <w:sz w:val="21"/>
          <w:szCs w:val="21"/>
          <w:highlight w:val="none"/>
        </w:rPr>
        <w:t>投标人的投标文件中承诺的投标有效期少于招标文件中载明的投标有效期的，投标无效。</w:t>
      </w:r>
    </w:p>
    <w:p w14:paraId="159A5936">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17.2投标文件合格投递后，自投标截止日期起，在投标有效期内有效。</w:t>
      </w:r>
    </w:p>
    <w:p w14:paraId="2B060547">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17.3在原定投标有效期满之前，如果出现特殊情况，</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可以以书面形式通知投标人延长投标有效期。投标人同意延长的，不得要求或被允许修改其投标文件，投标人拒绝延长的，其投标无效。</w:t>
      </w:r>
    </w:p>
    <w:p w14:paraId="25870E80">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四、开标、资格审查与信用信息查询</w:t>
      </w:r>
    </w:p>
    <w:p w14:paraId="1D3F69FE">
      <w:pPr>
        <w:pStyle w:val="557"/>
        <w:pageBreakBefore w:val="0"/>
        <w:kinsoku/>
        <w:wordWrap/>
        <w:overflowPunct/>
        <w:topLinePunct w:val="0"/>
        <w:bidi w:val="0"/>
        <w:adjustRightInd w:val="0"/>
        <w:snapToGrid w:val="0"/>
        <w:spacing w:before="0" w:beforeAutospacing="0" w:line="360" w:lineRule="auto"/>
        <w:ind w:left="0" w:leftChars="0" w:firstLine="422"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18.开标</w:t>
      </w:r>
      <w:r>
        <w:rPr>
          <w:rFonts w:hint="eastAsia" w:ascii="宋体" w:hAnsi="宋体" w:eastAsia="宋体" w:cs="宋体"/>
          <w:color w:val="auto"/>
          <w:sz w:val="21"/>
          <w:szCs w:val="21"/>
          <w:highlight w:val="none"/>
        </w:rPr>
        <w:t xml:space="preserve"> </w:t>
      </w:r>
    </w:p>
    <w:p w14:paraId="6B6042C8">
      <w:pPr>
        <w:pStyle w:val="557"/>
        <w:pageBreakBefore w:val="0"/>
        <w:kinsoku/>
        <w:wordWrap/>
        <w:overflowPunct/>
        <w:topLinePunct w:val="0"/>
        <w:bidi w:val="0"/>
        <w:adjustRightInd w:val="0"/>
        <w:snapToGrid w:val="0"/>
        <w:spacing w:before="0" w:before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18.1</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按照招标文件规定的时间通过电子交易平台组织开标，所有投标人均应当准时在线参加。投标人不足3家的，不得开标。</w:t>
      </w:r>
    </w:p>
    <w:p w14:paraId="75EC8592">
      <w:pPr>
        <w:pStyle w:val="557"/>
        <w:pageBreakBefore w:val="0"/>
        <w:kinsoku/>
        <w:wordWrap/>
        <w:overflowPunct/>
        <w:topLinePunct w:val="0"/>
        <w:bidi w:val="0"/>
        <w:adjustRightInd w:val="0"/>
        <w:snapToGrid w:val="0"/>
        <w:spacing w:before="0" w:beforeAutospacing="0" w:line="360" w:lineRule="auto"/>
        <w:ind w:left="0" w:leftChars="0" w:firstLine="420" w:firstLineChars="200"/>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18.2开标时，电子交易平台按开标时间自动提取所有投标文件。</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依托电子交易平台发起开始解密指令，投标人按照平台提示和招标文件的规定在半小时内完成在线解密。</w:t>
      </w:r>
    </w:p>
    <w:p w14:paraId="2E1B55E9">
      <w:pPr>
        <w:pStyle w:val="557"/>
        <w:pageBreakBefore w:val="0"/>
        <w:kinsoku/>
        <w:wordWrap/>
        <w:overflowPunct/>
        <w:topLinePunct w:val="0"/>
        <w:bidi w:val="0"/>
        <w:adjustRightInd w:val="0"/>
        <w:snapToGrid w:val="0"/>
        <w:spacing w:before="0" w:beforeAutospacing="0" w:line="360" w:lineRule="auto"/>
        <w:ind w:left="0" w:leftChars="0" w:firstLine="420" w:firstLineChars="200"/>
        <w:contextualSpacing/>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　18.3</w:t>
      </w:r>
      <w:r>
        <w:rPr>
          <w:rFonts w:hint="eastAsia" w:ascii="宋体" w:hAnsi="宋体" w:eastAsia="宋体" w:cs="宋体"/>
          <w:b/>
          <w:color w:val="auto"/>
          <w:sz w:val="21"/>
          <w:szCs w:val="21"/>
          <w:highlight w:val="none"/>
        </w:rPr>
        <w:t>投标文件未按时解密，投标人提供了备份投标文件的，以备份投标文件作为依据，否则视为投标文件撤回。投标文件已按时解密的，备份投标文件自动失效。</w:t>
      </w:r>
    </w:p>
    <w:p w14:paraId="7CBE3002">
      <w:pPr>
        <w:pageBreakBefore w:val="0"/>
        <w:widowControl/>
        <w:kinsoku/>
        <w:wordWrap/>
        <w:overflowPunct/>
        <w:topLinePunct w:val="0"/>
        <w:bidi w:val="0"/>
        <w:adjustRightInd w:val="0"/>
        <w:snapToGrid w:val="0"/>
        <w:spacing w:beforeAutospacing="0" w:line="360" w:lineRule="auto"/>
        <w:ind w:left="0" w:leftChars="0" w:firstLine="422" w:firstLineChars="200"/>
        <w:jc w:val="lef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19、资格审查</w:t>
      </w:r>
    </w:p>
    <w:p w14:paraId="50230669">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19.</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sz w:val="21"/>
          <w:szCs w:val="21"/>
          <w:highlight w:val="none"/>
        </w:rPr>
        <w:t>采购人或</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依据法律法规和招标文件的规定，对投标人的资格进行审查。</w:t>
      </w:r>
    </w:p>
    <w:p w14:paraId="7ECDA655">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19.</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投标人未按照招标文件要求提供与</w:t>
      </w:r>
      <w:r>
        <w:rPr>
          <w:rFonts w:hint="eastAsia" w:ascii="宋体" w:hAnsi="宋体" w:eastAsia="宋体" w:cs="宋体"/>
          <w:color w:val="auto"/>
          <w:sz w:val="21"/>
          <w:szCs w:val="21"/>
          <w:highlight w:val="none"/>
        </w:rPr>
        <w:t>资格条件相应的</w:t>
      </w:r>
      <w:r>
        <w:rPr>
          <w:rFonts w:hint="eastAsia" w:ascii="宋体" w:hAnsi="宋体" w:eastAsia="宋体" w:cs="宋体"/>
          <w:color w:val="auto"/>
          <w:kern w:val="0"/>
          <w:sz w:val="21"/>
          <w:szCs w:val="21"/>
          <w:highlight w:val="none"/>
        </w:rPr>
        <w:t>有效资格证明材料的，视为</w:t>
      </w:r>
      <w:r>
        <w:rPr>
          <w:rFonts w:hint="eastAsia" w:ascii="宋体" w:hAnsi="宋体" w:eastAsia="宋体" w:cs="宋体"/>
          <w:color w:val="auto"/>
          <w:sz w:val="21"/>
          <w:szCs w:val="21"/>
          <w:highlight w:val="none"/>
        </w:rPr>
        <w:t>投标人不具备招标文件中规定的资格要求，其投标无效。</w:t>
      </w:r>
    </w:p>
    <w:p w14:paraId="58AA200A">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19.</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对未通过资格审查的投标人，采购人或</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告知其未通过的原因。</w:t>
      </w:r>
    </w:p>
    <w:p w14:paraId="3869969E">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19.</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合格投标人不足3家的，不再评标。</w:t>
      </w:r>
    </w:p>
    <w:p w14:paraId="56CCE8D2">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20、信用信息查询</w:t>
      </w:r>
    </w:p>
    <w:p w14:paraId="385E7C5D">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20.1信用信息查询渠道及截止时间：</w:t>
      </w:r>
      <w:r>
        <w:rPr>
          <w:rFonts w:hint="eastAsia" w:ascii="宋体" w:hAnsi="宋体" w:eastAsia="宋体" w:cs="宋体"/>
          <w:color w:val="auto"/>
          <w:kern w:val="0"/>
          <w:sz w:val="21"/>
          <w:szCs w:val="21"/>
          <w:highlight w:val="none"/>
          <w:lang w:eastAsia="zh-CN"/>
        </w:rPr>
        <w:t>采购代理机构</w:t>
      </w:r>
      <w:r>
        <w:rPr>
          <w:rFonts w:hint="eastAsia" w:ascii="宋体" w:hAnsi="宋体" w:eastAsia="宋体" w:cs="宋体"/>
          <w:color w:val="auto"/>
          <w:kern w:val="0"/>
          <w:sz w:val="21"/>
          <w:szCs w:val="21"/>
          <w:highlight w:val="none"/>
        </w:rPr>
        <w:t>将在资格审查时通过“信用中国”网站(www.creditchina.gov.cn)、中国政府采购网(www.ccgp.gov.cn)渠道查询投标人接受资格时的信用记录。</w:t>
      </w:r>
    </w:p>
    <w:p w14:paraId="1F25F72F">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20.2信用信息查询记录和证据留存的具体方式：现场查询的投标人的信用记录、查询结果经确认后将与采购文件一起存档。</w:t>
      </w:r>
    </w:p>
    <w:p w14:paraId="5987AE4E">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20.3信用信息的使用规则：经查询列入失信被执行人名单、重大税收违法案件当事人名单、政府采购严重违法失信行为记录名单的投标人将被拒绝参与政府采购活动。</w:t>
      </w:r>
    </w:p>
    <w:p w14:paraId="018D73C6">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sz w:val="21"/>
          <w:szCs w:val="21"/>
          <w:highlight w:val="none"/>
        </w:rPr>
        <w:t>。</w:t>
      </w:r>
    </w:p>
    <w:p w14:paraId="46D47E96">
      <w:pPr>
        <w:pageBreakBefore w:val="0"/>
        <w:kinsoku/>
        <w:wordWrap/>
        <w:overflowPunct/>
        <w:topLinePunct w:val="0"/>
        <w:bidi w:val="0"/>
        <w:adjustRightInd w:val="0"/>
        <w:snapToGrid w:val="0"/>
        <w:spacing w:beforeAutospacing="0" w:line="360" w:lineRule="auto"/>
        <w:ind w:left="0" w:leftChars="0" w:firstLine="422" w:firstLineChars="200"/>
        <w:jc w:val="center"/>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五、评标</w:t>
      </w:r>
    </w:p>
    <w:p w14:paraId="0DC5F1C0">
      <w:pPr>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bookmarkStart w:id="13" w:name="_Toc91899903"/>
      <w:r>
        <w:rPr>
          <w:rFonts w:hint="eastAsia" w:ascii="宋体" w:hAnsi="宋体" w:eastAsia="宋体" w:cs="宋体"/>
          <w:b/>
          <w:color w:val="auto"/>
          <w:sz w:val="21"/>
          <w:szCs w:val="21"/>
          <w:highlight w:val="none"/>
        </w:rPr>
        <w:t>21.</w:t>
      </w:r>
      <w:r>
        <w:rPr>
          <w:rFonts w:hint="eastAsia" w:ascii="宋体" w:hAnsi="宋体" w:eastAsia="宋体" w:cs="宋体"/>
          <w:color w:val="auto"/>
          <w:sz w:val="21"/>
          <w:szCs w:val="21"/>
          <w:highlight w:val="none"/>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1"/>
          <w:szCs w:val="21"/>
          <w:highlight w:val="none"/>
        </w:rPr>
        <w:t>详见招标文件第四部分评标办法。</w:t>
      </w:r>
    </w:p>
    <w:p w14:paraId="53E6E205">
      <w:pPr>
        <w:pageBreakBefore w:val="0"/>
        <w:kinsoku/>
        <w:wordWrap/>
        <w:overflowPunct/>
        <w:topLinePunct w:val="0"/>
        <w:bidi w:val="0"/>
        <w:adjustRightInd w:val="0"/>
        <w:snapToGrid w:val="0"/>
        <w:spacing w:beforeAutospacing="0" w:line="360" w:lineRule="auto"/>
        <w:ind w:left="0" w:leftChars="0" w:firstLine="422" w:firstLineChars="200"/>
        <w:jc w:val="center"/>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六、定 标</w:t>
      </w:r>
    </w:p>
    <w:p w14:paraId="1F2C2BB3">
      <w:pPr>
        <w:pStyle w:val="25"/>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22. 确定中标供应商</w:t>
      </w:r>
    </w:p>
    <w:p w14:paraId="724C3DA6">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eastAsia="宋体" w:cs="宋体"/>
          <w:color w:val="auto"/>
          <w:sz w:val="21"/>
          <w:szCs w:val="21"/>
          <w:highlight w:val="none"/>
          <w:lang w:val="en-US" w:eastAsia="zh-CN"/>
        </w:rPr>
        <w:t>鼓励</w:t>
      </w:r>
      <w:r>
        <w:rPr>
          <w:rFonts w:hint="eastAsia" w:ascii="宋体" w:hAnsi="宋体" w:eastAsia="宋体" w:cs="宋体"/>
          <w:color w:val="auto"/>
          <w:sz w:val="21"/>
          <w:szCs w:val="21"/>
          <w:highlight w:val="none"/>
        </w:rPr>
        <w:t>在收到评审报告当天</w:t>
      </w:r>
      <w:r>
        <w:rPr>
          <w:rFonts w:hint="eastAsia" w:ascii="宋体" w:hAnsi="宋体" w:eastAsia="宋体" w:cs="宋体"/>
          <w:color w:val="auto"/>
          <w:sz w:val="21"/>
          <w:szCs w:val="21"/>
          <w:highlight w:val="none"/>
          <w:lang w:val="en-US" w:eastAsia="zh-CN"/>
        </w:rPr>
        <w:t>在线</w:t>
      </w:r>
      <w:r>
        <w:rPr>
          <w:rFonts w:hint="eastAsia" w:ascii="宋体" w:hAnsi="宋体" w:eastAsia="宋体" w:cs="宋体"/>
          <w:color w:val="auto"/>
          <w:sz w:val="21"/>
          <w:szCs w:val="21"/>
          <w:highlight w:val="none"/>
        </w:rPr>
        <w:t>确定中标或者成交供应商。中标、成交通知书和中标、成交结果公告应当在规定时间内同时发出。</w:t>
      </w:r>
    </w:p>
    <w:p w14:paraId="5FA0F692">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23. 中标通知与中标结果公告</w:t>
      </w:r>
    </w:p>
    <w:p w14:paraId="76E71B64">
      <w:pPr>
        <w:pageBreakBefore w:val="0"/>
        <w:widowControl/>
        <w:shd w:val="clear" w:color="auto" w:fill="FFFFFF"/>
        <w:kinsoku/>
        <w:wordWrap/>
        <w:overflowPunct/>
        <w:topLinePunct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23.1自中标人确定之日起2个工作日内，</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通过电子交易平台向中标人发出中标通知书，同时编制发布采购结果公告。</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也可以以纸质形式进行中标通知。</w:t>
      </w:r>
    </w:p>
    <w:p w14:paraId="681D7DB4">
      <w:pPr>
        <w:pageBreakBefore w:val="0"/>
        <w:widowControl/>
        <w:shd w:val="clear" w:color="auto" w:fill="FFFFFF"/>
        <w:kinsoku/>
        <w:wordWrap/>
        <w:overflowPunct/>
        <w:topLinePunct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23.2中标结果公告内容包括采购人及其委托的</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eastAsia="宋体" w:cs="宋体"/>
          <w:color w:val="auto"/>
          <w:sz w:val="21"/>
          <w:szCs w:val="21"/>
          <w:highlight w:val="none"/>
        </w:rPr>
        <w:t>资格审查情况、评审专家抽取规则、符合性审查情况、</w:t>
      </w:r>
      <w:bookmarkEnd w:id="14"/>
      <w:r>
        <w:rPr>
          <w:rFonts w:hint="eastAsia" w:ascii="宋体" w:hAnsi="宋体" w:eastAsia="宋体" w:cs="宋体"/>
          <w:color w:val="auto"/>
          <w:sz w:val="21"/>
          <w:szCs w:val="21"/>
          <w:highlight w:val="none"/>
        </w:rPr>
        <w:t>未中标情况说明、中标公告期限以及评审专家名单、评分汇总及明细。</w:t>
      </w:r>
    </w:p>
    <w:p w14:paraId="63BD62E0">
      <w:pPr>
        <w:pageBreakBefore w:val="0"/>
        <w:widowControl/>
        <w:shd w:val="clear" w:color="auto" w:fill="FFFFFF"/>
        <w:kinsoku/>
        <w:wordWrap/>
        <w:overflowPunct/>
        <w:topLinePunct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23.3公告期限为1个工作日。</w:t>
      </w:r>
    </w:p>
    <w:p w14:paraId="618C358E">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 xml:space="preserve">23.4 </w:t>
      </w:r>
      <w:r>
        <w:rPr>
          <w:rFonts w:hint="eastAsia" w:ascii="宋体" w:hAnsi="宋体" w:eastAsia="宋体" w:cs="宋体"/>
          <w:b w:val="0"/>
          <w:bCs/>
          <w:color w:val="auto"/>
          <w:sz w:val="21"/>
          <w:szCs w:val="21"/>
          <w:highlight w:val="none"/>
        </w:rPr>
        <w:t>由于</w:t>
      </w:r>
      <w:r>
        <w:rPr>
          <w:rFonts w:hint="eastAsia" w:ascii="宋体" w:hAnsi="宋体" w:eastAsia="宋体" w:cs="宋体"/>
          <w:bCs/>
          <w:color w:val="auto"/>
          <w:sz w:val="21"/>
          <w:szCs w:val="21"/>
          <w:highlight w:val="none"/>
        </w:rPr>
        <w:t>中标、成交供应商原因导致重新采购的，应当承担支付代理费和专家评审费等费用在内的赔偿责任。</w:t>
      </w:r>
    </w:p>
    <w:p w14:paraId="0F58D648">
      <w:pPr>
        <w:pageBreakBefore w:val="0"/>
        <w:kinsoku/>
        <w:wordWrap/>
        <w:overflowPunct/>
        <w:topLinePunct w:val="0"/>
        <w:bidi w:val="0"/>
        <w:adjustRightInd w:val="0"/>
        <w:snapToGrid w:val="0"/>
        <w:spacing w:beforeAutospacing="0" w:line="360" w:lineRule="auto"/>
        <w:ind w:left="0" w:leftChars="0" w:firstLine="422" w:firstLineChars="20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七、合同授予</w:t>
      </w:r>
    </w:p>
    <w:p w14:paraId="3BB7C477">
      <w:pPr>
        <w:pStyle w:val="25"/>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24. </w:t>
      </w:r>
      <w:r>
        <w:rPr>
          <w:rFonts w:hint="eastAsia" w:ascii="宋体" w:hAnsi="宋体" w:eastAsia="宋体" w:cs="宋体"/>
          <w:color w:val="auto"/>
          <w:sz w:val="21"/>
          <w:szCs w:val="21"/>
          <w:highlight w:val="none"/>
        </w:rPr>
        <w:t>合同主要条款详见第五部分拟签订的合同文本。</w:t>
      </w:r>
    </w:p>
    <w:p w14:paraId="216AA38D">
      <w:pPr>
        <w:pStyle w:val="25"/>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25. 合同的签订</w:t>
      </w:r>
    </w:p>
    <w:p w14:paraId="6670DD70">
      <w:pPr>
        <w:pageBreakBefore w:val="0"/>
        <w:widowControl/>
        <w:shd w:val="clear" w:color="auto" w:fill="FFFFFF"/>
        <w:kinsoku/>
        <w:wordWrap/>
        <w:overflowPunct/>
        <w:topLinePunct w:val="0"/>
        <w:bidi w:val="0"/>
        <w:adjustRightInd w:val="0"/>
        <w:snapToGrid w:val="0"/>
        <w:spacing w:beforeAutospacing="0" w:line="360" w:lineRule="auto"/>
        <w:ind w:left="0" w:leftChars="0"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25.1</w:t>
      </w:r>
      <w:r>
        <w:rPr>
          <w:rFonts w:hint="eastAsia" w:ascii="宋体" w:hAnsi="宋体" w:eastAsia="宋体" w:cs="宋体"/>
          <w:color w:val="auto"/>
          <w:kern w:val="0"/>
          <w:sz w:val="21"/>
          <w:szCs w:val="21"/>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25.3如签订合同并生效后，供应商无故拒绝或延期，除按照合同条款处理外，列入不良行为记录一次，并给予通报。</w:t>
      </w:r>
    </w:p>
    <w:p w14:paraId="6FE73C7B">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25.5采购合同由采购人与中标供应商根据招标文件、投标文件等内容通过政府采购电子交易平台在线签订，自动备案。</w:t>
      </w:r>
    </w:p>
    <w:p w14:paraId="686FF9F0">
      <w:pPr>
        <w:pStyle w:val="25"/>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26. 履约保证金</w:t>
      </w:r>
    </w:p>
    <w:p w14:paraId="5155207B">
      <w:pPr>
        <w:pageBreakBefore w:val="0"/>
        <w:tabs>
          <w:tab w:val="left" w:pos="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1"/>
          <w:szCs w:val="21"/>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4068AD04">
      <w:pPr>
        <w:pStyle w:val="5"/>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val="0"/>
          <w:bCs w:val="0"/>
          <w:snapToGrid w:val="0"/>
          <w:color w:val="auto"/>
          <w:kern w:val="28"/>
          <w:sz w:val="21"/>
          <w:szCs w:val="21"/>
          <w:highlight w:val="none"/>
        </w:rPr>
      </w:pPr>
      <w:r>
        <w:rPr>
          <w:rFonts w:hint="eastAsia" w:ascii="宋体" w:hAnsi="宋体" w:eastAsia="宋体" w:cs="宋体"/>
          <w:b w:val="0"/>
          <w:bCs w:val="0"/>
          <w:snapToGrid w:val="0"/>
          <w:color w:val="auto"/>
          <w:kern w:val="28"/>
          <w:sz w:val="21"/>
          <w:szCs w:val="21"/>
          <w:highlight w:val="none"/>
        </w:rPr>
        <w:t>供应商</w:t>
      </w:r>
      <w:r>
        <w:rPr>
          <w:rFonts w:hint="eastAsia" w:ascii="宋体" w:hAnsi="宋体" w:eastAsia="宋体" w:cs="宋体"/>
          <w:b w:val="0"/>
          <w:bCs w:val="0"/>
          <w:snapToGrid w:val="0"/>
          <w:color w:val="auto"/>
          <w:kern w:val="28"/>
          <w:sz w:val="21"/>
          <w:szCs w:val="21"/>
          <w:highlight w:val="none"/>
          <w:lang w:val="en-US"/>
        </w:rPr>
        <w:t>可</w:t>
      </w:r>
      <w:r>
        <w:rPr>
          <w:rFonts w:hint="eastAsia" w:ascii="宋体" w:hAnsi="宋体" w:eastAsia="宋体" w:cs="宋体"/>
          <w:b w:val="0"/>
          <w:bCs w:val="0"/>
          <w:snapToGrid w:val="0"/>
          <w:color w:val="auto"/>
          <w:kern w:val="28"/>
          <w:sz w:val="21"/>
          <w:szCs w:val="21"/>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1"/>
          <w:szCs w:val="21"/>
          <w:highlight w:val="none"/>
          <w:lang w:val="en-US" w:eastAsia="zh-CN"/>
        </w:rPr>
        <w:t>95763</w:t>
      </w:r>
      <w:r>
        <w:rPr>
          <w:rFonts w:hint="eastAsia" w:ascii="宋体" w:hAnsi="宋体" w:eastAsia="宋体" w:cs="宋体"/>
          <w:b w:val="0"/>
          <w:bCs w:val="0"/>
          <w:snapToGrid w:val="0"/>
          <w:color w:val="auto"/>
          <w:kern w:val="28"/>
          <w:sz w:val="21"/>
          <w:szCs w:val="21"/>
          <w:highlight w:val="none"/>
        </w:rPr>
        <w:t>。</w:t>
      </w:r>
    </w:p>
    <w:p w14:paraId="3C939F7B">
      <w:pPr>
        <w:pStyle w:val="5"/>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en-US"/>
        </w:rPr>
        <w:t>27.预付款</w:t>
      </w:r>
    </w:p>
    <w:p w14:paraId="02CAFB67">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color w:val="auto"/>
          <w:sz w:val="21"/>
          <w:szCs w:val="21"/>
          <w:highlight w:val="none"/>
          <w:lang w:val="en-US" w:eastAsia="zh-CN"/>
        </w:rPr>
        <w:t>95763</w:t>
      </w:r>
      <w:r>
        <w:rPr>
          <w:rFonts w:hint="eastAsia" w:ascii="宋体" w:hAnsi="宋体" w:eastAsia="宋体" w:cs="宋体"/>
          <w:color w:val="auto"/>
          <w:sz w:val="21"/>
          <w:szCs w:val="21"/>
          <w:highlight w:val="none"/>
        </w:rPr>
        <w:t>。</w:t>
      </w:r>
    </w:p>
    <w:p w14:paraId="3E18607F">
      <w:pPr>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sz w:val="21"/>
          <w:szCs w:val="21"/>
          <w:highlight w:val="none"/>
        </w:rPr>
      </w:pPr>
    </w:p>
    <w:p w14:paraId="6CF853D2">
      <w:pPr>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p>
    <w:p w14:paraId="3C901466">
      <w:pPr>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八、电子交易活动的中止</w:t>
      </w:r>
    </w:p>
    <w:p w14:paraId="26658814">
      <w:pPr>
        <w:pStyle w:val="131"/>
        <w:pageBreakBefore w:val="0"/>
        <w:kinsoku/>
        <w:wordWrap/>
        <w:overflowPunct/>
        <w:topLinePunct w:val="0"/>
        <w:bidi w:val="0"/>
        <w:adjustRightInd w:val="0"/>
        <w:snapToGrid w:val="0"/>
        <w:spacing w:before="0" w:beforeAutospacing="0" w:line="360" w:lineRule="auto"/>
        <w:ind w:left="0" w:leftChars="0"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28</w:t>
      </w:r>
      <w:r>
        <w:rPr>
          <w:rFonts w:hint="eastAsia" w:ascii="宋体" w:hAnsi="宋体" w:eastAsia="宋体" w:cs="宋体"/>
          <w:b/>
          <w:color w:val="auto"/>
          <w:sz w:val="21"/>
          <w:szCs w:val="21"/>
          <w:highlight w:val="none"/>
        </w:rPr>
        <w:t>. 电子交易活动的中止。</w:t>
      </w:r>
      <w:r>
        <w:rPr>
          <w:rFonts w:hint="eastAsia" w:ascii="宋体" w:hAnsi="宋体" w:eastAsia="宋体" w:cs="宋体"/>
          <w:color w:val="auto"/>
          <w:sz w:val="21"/>
          <w:szCs w:val="21"/>
          <w:highlight w:val="none"/>
        </w:rPr>
        <w:t>采购过程中出现以下情形，导致电子交易平台无法正常运行，或者无法保证电子交易的公平、公正和安全时，</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可中止电子交易活动：</w:t>
      </w:r>
    </w:p>
    <w:p w14:paraId="1B73C079">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28.1电子交易平台发生故障而无法登录访问的； </w:t>
      </w:r>
    </w:p>
    <w:p w14:paraId="3E46E7D4">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28.2电子交易平台应用或数据库出现错误，不能进行正常操作的；</w:t>
      </w:r>
    </w:p>
    <w:p w14:paraId="47FAC8CC">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28.3电子交易平台发现严重安全漏洞，有潜在泄密危险的；</w:t>
      </w:r>
    </w:p>
    <w:p w14:paraId="5FD1FB31">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28.4病毒发作导致不能进行正常操作的； </w:t>
      </w:r>
    </w:p>
    <w:p w14:paraId="0C80746A">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28.5其他无法保证电子交易的公平、公正和安全的情况。</w:t>
      </w:r>
    </w:p>
    <w:p w14:paraId="3F4F139C">
      <w:pPr>
        <w:pStyle w:val="131"/>
        <w:pageBreakBefore w:val="0"/>
        <w:kinsoku/>
        <w:wordWrap/>
        <w:overflowPunct/>
        <w:topLinePunct w:val="0"/>
        <w:bidi w:val="0"/>
        <w:adjustRightInd w:val="0"/>
        <w:snapToGrid w:val="0"/>
        <w:spacing w:before="0" w:before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52757CD">
      <w:pPr>
        <w:pageBreakBefore w:val="0"/>
        <w:kinsoku/>
        <w:wordWrap/>
        <w:overflowPunct/>
        <w:topLinePunct w:val="0"/>
        <w:bidi w:val="0"/>
        <w:adjustRightInd w:val="0"/>
        <w:snapToGrid w:val="0"/>
        <w:spacing w:beforeAutospacing="0" w:line="360" w:lineRule="auto"/>
        <w:ind w:left="0" w:leftChars="0" w:firstLine="422" w:firstLineChars="20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九、验收</w:t>
      </w:r>
    </w:p>
    <w:p w14:paraId="3E32013D">
      <w:pPr>
        <w:pStyle w:val="25"/>
        <w:pageBreakBefore w:val="0"/>
        <w:kinsoku/>
        <w:wordWrap/>
        <w:overflowPunct/>
        <w:topLinePunct w:val="0"/>
        <w:bidi w:val="0"/>
        <w:adjustRightInd w:val="0"/>
        <w:snapToGrid w:val="0"/>
        <w:spacing w:beforeAutospacing="0"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30.验收</w:t>
      </w:r>
    </w:p>
    <w:p w14:paraId="76A3AA3B">
      <w:pPr>
        <w:pageBreakBefore w:val="0"/>
        <w:tabs>
          <w:tab w:val="left" w:pos="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pageBreakBefore w:val="0"/>
        <w:tabs>
          <w:tab w:val="left" w:pos="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30.2采购人可以邀请参加本项目的其他投标人或者第三方机构参与验收。参与验收的投标人或者第三方机构的意见作为验收书的参考资料一并存档。</w:t>
      </w:r>
    </w:p>
    <w:p w14:paraId="1658F911">
      <w:pPr>
        <w:pageBreakBefore w:val="0"/>
        <w:tabs>
          <w:tab w:val="left" w:pos="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pageBreakBefore w:val="0"/>
        <w:tabs>
          <w:tab w:val="left" w:pos="0"/>
        </w:tabs>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5"/>
        <w:pageBreakBefore w:val="0"/>
        <w:kinsoku/>
        <w:wordWrap/>
        <w:overflowPunct/>
        <w:topLinePunct w:val="0"/>
        <w:bidi w:val="0"/>
        <w:adjustRightInd w:val="0"/>
        <w:snapToGrid w:val="0"/>
        <w:spacing w:beforeAutospacing="0" w:line="360" w:lineRule="auto"/>
        <w:ind w:left="0" w:leftChars="0" w:firstLine="420" w:firstLineChars="200"/>
        <w:textAlignment w:val="auto"/>
        <w:rPr>
          <w:rFonts w:hint="eastAsia" w:ascii="宋体" w:hAnsi="宋体" w:eastAsia="宋体" w:cs="宋体"/>
          <w:b w:val="0"/>
          <w:bCs w:val="0"/>
          <w:color w:val="auto"/>
          <w:kern w:val="0"/>
          <w:sz w:val="21"/>
          <w:szCs w:val="21"/>
          <w:highlight w:val="none"/>
          <w:lang w:val="en-US"/>
        </w:rPr>
      </w:pPr>
      <w:r>
        <w:rPr>
          <w:rFonts w:hint="eastAsia" w:ascii="宋体" w:hAnsi="宋体" w:eastAsia="宋体" w:cs="宋体"/>
          <w:b w:val="0"/>
          <w:bCs w:val="0"/>
          <w:color w:val="auto"/>
          <w:kern w:val="0"/>
          <w:sz w:val="21"/>
          <w:szCs w:val="21"/>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1"/>
          <w:szCs w:val="21"/>
          <w:highlight w:val="none"/>
          <w:lang w:val="en-US" w:eastAsia="zh-CN"/>
        </w:rPr>
        <w:t>合同管理</w:t>
      </w:r>
      <w:r>
        <w:rPr>
          <w:rFonts w:hint="eastAsia" w:ascii="宋体" w:hAnsi="宋体" w:eastAsia="宋体" w:cs="宋体"/>
          <w:b w:val="0"/>
          <w:bCs w:val="0"/>
          <w:color w:val="auto"/>
          <w:kern w:val="0"/>
          <w:sz w:val="21"/>
          <w:szCs w:val="21"/>
          <w:highlight w:val="none"/>
          <w:lang w:val="en-US"/>
        </w:rPr>
        <w:t>-支付管理。对于供应商提起在线支付申请的，采购</w:t>
      </w:r>
      <w:r>
        <w:rPr>
          <w:rFonts w:hint="eastAsia" w:ascii="宋体" w:hAnsi="宋体" w:eastAsia="宋体" w:cs="宋体"/>
          <w:b w:val="0"/>
          <w:bCs w:val="0"/>
          <w:color w:val="auto"/>
          <w:kern w:val="0"/>
          <w:sz w:val="21"/>
          <w:szCs w:val="21"/>
          <w:highlight w:val="none"/>
          <w:lang w:val="en-US" w:eastAsia="zh-CN"/>
        </w:rPr>
        <w:t>人</w:t>
      </w:r>
      <w:r>
        <w:rPr>
          <w:rFonts w:hint="eastAsia" w:ascii="宋体" w:hAnsi="宋体" w:eastAsia="宋体" w:cs="宋体"/>
          <w:b w:val="0"/>
          <w:bCs w:val="0"/>
          <w:color w:val="auto"/>
          <w:kern w:val="0"/>
          <w:sz w:val="21"/>
          <w:szCs w:val="21"/>
          <w:highlight w:val="none"/>
          <w:lang w:val="en-US"/>
        </w:rPr>
        <w:t>应当</w:t>
      </w:r>
      <w:r>
        <w:rPr>
          <w:rFonts w:hint="eastAsia" w:ascii="宋体" w:hAnsi="宋体" w:eastAsia="宋体" w:cs="宋体"/>
          <w:b w:val="0"/>
          <w:bCs w:val="0"/>
          <w:color w:val="auto"/>
          <w:kern w:val="0"/>
          <w:sz w:val="21"/>
          <w:szCs w:val="21"/>
          <w:highlight w:val="none"/>
          <w:lang w:val="en-US" w:eastAsia="zh-CN"/>
        </w:rPr>
        <w:t>按规定</w:t>
      </w:r>
      <w:r>
        <w:rPr>
          <w:rFonts w:hint="eastAsia" w:ascii="宋体" w:hAnsi="宋体" w:eastAsia="宋体" w:cs="宋体"/>
          <w:b w:val="0"/>
          <w:bCs w:val="0"/>
          <w:color w:val="auto"/>
          <w:kern w:val="0"/>
          <w:sz w:val="21"/>
          <w:szCs w:val="21"/>
          <w:highlight w:val="none"/>
          <w:lang w:val="en-US"/>
        </w:rPr>
        <w:t>做好审核并完成支付。</w:t>
      </w:r>
    </w:p>
    <w:p w14:paraId="411DFA42">
      <w:pPr>
        <w:pStyle w:val="80"/>
        <w:rPr>
          <w:rFonts w:hint="eastAsia" w:ascii="宋体" w:hAnsi="宋体" w:eastAsia="宋体" w:cs="宋体"/>
          <w:color w:val="auto"/>
          <w:highlight w:val="none"/>
        </w:rPr>
      </w:pPr>
    </w:p>
    <w:bookmarkEnd w:id="13"/>
    <w:p w14:paraId="0322E2E6">
      <w:pPr>
        <w:tabs>
          <w:tab w:val="left" w:pos="0"/>
        </w:tabs>
        <w:spacing w:line="360" w:lineRule="auto"/>
        <w:ind w:firstLine="480"/>
        <w:rPr>
          <w:rFonts w:hint="eastAsia" w:ascii="宋体" w:hAnsi="宋体" w:eastAsia="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361" w:right="1304" w:bottom="1361" w:left="1304" w:header="851" w:footer="992" w:gutter="0"/>
          <w:cols w:space="720" w:num="1"/>
          <w:titlePg/>
          <w:docGrid w:linePitch="312" w:charSpace="0"/>
        </w:sectPr>
      </w:pPr>
      <w:bookmarkStart w:id="15" w:name="_Hlt74729768"/>
      <w:bookmarkEnd w:id="15"/>
      <w:bookmarkStart w:id="16" w:name="_Hlt75236011"/>
      <w:bookmarkEnd w:id="16"/>
      <w:bookmarkStart w:id="17" w:name="_Hlt74707468"/>
      <w:bookmarkEnd w:id="17"/>
      <w:bookmarkStart w:id="18" w:name="_Hlt68072998"/>
      <w:bookmarkEnd w:id="18"/>
      <w:bookmarkStart w:id="19" w:name="_Hlt68072990"/>
      <w:bookmarkEnd w:id="19"/>
      <w:bookmarkStart w:id="20" w:name="_Hlt68057669"/>
      <w:bookmarkEnd w:id="20"/>
      <w:bookmarkStart w:id="21" w:name="_Hlt74730295"/>
      <w:bookmarkEnd w:id="21"/>
      <w:bookmarkStart w:id="22" w:name="_Hlt75236101"/>
      <w:bookmarkEnd w:id="22"/>
      <w:bookmarkStart w:id="23" w:name="_Hlt68073093"/>
      <w:bookmarkEnd w:id="23"/>
      <w:bookmarkStart w:id="24" w:name="_Hlt68403820"/>
      <w:bookmarkEnd w:id="24"/>
      <w:bookmarkStart w:id="25" w:name="_Hlt75236290"/>
      <w:bookmarkEnd w:id="25"/>
      <w:bookmarkStart w:id="26" w:name="_Hlt74714665"/>
      <w:bookmarkEnd w:id="26"/>
    </w:p>
    <w:bookmarkEnd w:id="11"/>
    <w:bookmarkEnd w:id="12"/>
    <w:p w14:paraId="5EB35967">
      <w:pPr>
        <w:spacing w:line="360" w:lineRule="auto"/>
        <w:jc w:val="center"/>
        <w:outlineLvl w:val="0"/>
        <w:rPr>
          <w:rFonts w:hint="eastAsia" w:ascii="宋体" w:hAnsi="宋体" w:eastAsia="宋体" w:cs="宋体"/>
          <w:b/>
          <w:color w:val="auto"/>
          <w:sz w:val="36"/>
          <w:szCs w:val="36"/>
          <w:highlight w:val="none"/>
        </w:rPr>
      </w:pPr>
      <w:bookmarkStart w:id="27" w:name="第四部分"/>
      <w:r>
        <w:rPr>
          <w:rFonts w:hint="eastAsia" w:ascii="宋体" w:hAnsi="宋体" w:eastAsia="宋体" w:cs="宋体"/>
          <w:b/>
          <w:color w:val="auto"/>
          <w:sz w:val="36"/>
          <w:szCs w:val="36"/>
          <w:highlight w:val="none"/>
        </w:rPr>
        <w:t>第三部分   采购需求</w:t>
      </w:r>
    </w:p>
    <w:p w14:paraId="0EC61462">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bCs/>
          <w:color w:val="auto"/>
        </w:rPr>
      </w:pPr>
      <w:r>
        <w:rPr>
          <w:rFonts w:hint="eastAsia" w:ascii="宋体" w:hAnsi="宋体" w:eastAsia="宋体" w:cs="宋体"/>
          <w:b/>
          <w:bCs/>
          <w:color w:val="auto"/>
        </w:rPr>
        <w:t>一、项目内容</w:t>
      </w:r>
    </w:p>
    <w:p w14:paraId="6C2F02F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根据采购人要求，负责杭州市公安局余杭区分局7×24小时“96110”预警劝阻专线接听处置工作。预算总金额：120万元（即合同项下付款总额不超过120万元），人员配置共12名（含项目负责人），其中男性和女性各6名。服务期为12个月，具体以合同时间为准。工作地点为杭州市公安局余杭区分局。</w:t>
      </w:r>
    </w:p>
    <w:p w14:paraId="60C8ABA8">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bCs/>
          <w:color w:val="auto"/>
        </w:rPr>
      </w:pPr>
      <w:r>
        <w:rPr>
          <w:rFonts w:hint="eastAsia" w:ascii="宋体" w:hAnsi="宋体" w:eastAsia="宋体" w:cs="宋体"/>
          <w:b/>
          <w:bCs/>
          <w:color w:val="auto"/>
        </w:rPr>
        <w:t>二、服务要求</w:t>
      </w:r>
    </w:p>
    <w:p w14:paraId="0E615FC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（一）服务范围</w:t>
      </w:r>
    </w:p>
    <w:p w14:paraId="237CD55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1、为杭州市公安局余杭区分局96110电话，提供7×24小时不间断客服专线接听及报警处理服务。</w:t>
      </w:r>
    </w:p>
    <w:p w14:paraId="1477BA1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2、每日四班制，每班人员不得少于3人，由投标人自行安排轮岗班次及各班次时间。工作期间不得擅离工作岗位，接听率为100%。</w:t>
      </w:r>
    </w:p>
    <w:p w14:paraId="700BF9B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3、电话预警过程中发现事主有被骗可能但不听劝阻的，或无法取得联系的，及时向值班民警汇报；遇到事主已被骗的，引导事主拨打110报案，同时向值班民警汇报。</w:t>
      </w:r>
    </w:p>
    <w:p w14:paraId="0BC448F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4、对群众的咨询或举报，耐心进行解答并通过相关系统进行反馈处理。</w:t>
      </w:r>
    </w:p>
    <w:p w14:paraId="098101F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5、完成采购人安排的其他工作。</w:t>
      </w:r>
    </w:p>
    <w:p w14:paraId="6C253EE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（二）人员要求</w:t>
      </w:r>
    </w:p>
    <w:p w14:paraId="5478217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1、具有中华人民共和国国籍，年满18周岁以上，</w:t>
      </w:r>
      <w:r>
        <w:rPr>
          <w:rFonts w:hint="eastAsia" w:ascii="宋体" w:hAnsi="宋体" w:cs="宋体"/>
          <w:color w:val="auto"/>
          <w:lang w:val="en-US" w:eastAsia="zh-CN"/>
        </w:rPr>
        <w:t>45</w:t>
      </w:r>
      <w:r>
        <w:rPr>
          <w:rFonts w:hint="eastAsia" w:ascii="宋体" w:hAnsi="宋体" w:eastAsia="宋体" w:cs="宋体"/>
          <w:color w:val="auto"/>
        </w:rPr>
        <w:t>周岁</w:t>
      </w:r>
      <w:r>
        <w:rPr>
          <w:rFonts w:hint="eastAsia" w:ascii="宋体" w:hAnsi="宋体" w:cs="宋体"/>
          <w:color w:val="auto"/>
          <w:lang w:val="en-US" w:eastAsia="zh-CN"/>
        </w:rPr>
        <w:t>及</w:t>
      </w:r>
      <w:r>
        <w:rPr>
          <w:rFonts w:hint="eastAsia" w:ascii="宋体" w:hAnsi="宋体" w:eastAsia="宋体" w:cs="宋体"/>
          <w:color w:val="auto"/>
        </w:rPr>
        <w:t>以下（19</w:t>
      </w:r>
      <w:r>
        <w:rPr>
          <w:rFonts w:hint="eastAsia" w:ascii="宋体" w:hAnsi="宋体" w:cs="宋体"/>
          <w:color w:val="auto"/>
          <w:lang w:val="en-US" w:eastAsia="zh-CN"/>
        </w:rPr>
        <w:t>80</w:t>
      </w:r>
      <w:r>
        <w:rPr>
          <w:rFonts w:hint="eastAsia" w:ascii="宋体" w:hAnsi="宋体" w:eastAsia="宋体" w:cs="宋体"/>
          <w:color w:val="auto"/>
        </w:rPr>
        <w:t>年3月1日后出生）</w:t>
      </w:r>
      <w:r>
        <w:rPr>
          <w:rFonts w:hint="eastAsia" w:ascii="宋体" w:hAnsi="宋体" w:eastAsia="宋体" w:cs="宋体"/>
          <w:color w:val="auto"/>
        </w:rPr>
        <w:t>；</w:t>
      </w:r>
    </w:p>
    <w:p w14:paraId="56CE226B">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2、拥护中国共产党领导，拥护中华人民共和国宪法，遵守国家法律法规，品行端正，工作责任心强，有良好的团队意识和吃苦耐劳的精神，</w:t>
      </w:r>
      <w:r>
        <w:rPr>
          <w:rFonts w:hint="eastAsia" w:ascii="宋体" w:hAnsi="宋体" w:eastAsia="宋体" w:cs="宋体"/>
          <w:color w:val="auto"/>
        </w:rPr>
        <w:t>无</w:t>
      </w:r>
      <w:r>
        <w:rPr>
          <w:rFonts w:hint="eastAsia" w:ascii="宋体" w:hAnsi="宋体" w:cs="宋体"/>
          <w:color w:val="auto"/>
          <w:lang w:val="en-US" w:eastAsia="zh-CN"/>
        </w:rPr>
        <w:t>不良行为记录</w:t>
      </w:r>
      <w:r>
        <w:rPr>
          <w:rFonts w:hint="eastAsia" w:ascii="宋体" w:hAnsi="宋体" w:eastAsia="宋体" w:cs="宋体"/>
          <w:color w:val="auto"/>
        </w:rPr>
        <w:t>。</w:t>
      </w:r>
    </w:p>
    <w:p w14:paraId="5E5744C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default" w:ascii="宋体" w:hAnsi="宋体" w:eastAsia="宋体" w:cs="宋体"/>
          <w:color w:val="auto"/>
          <w:lang w:val="en-US" w:eastAsia="zh-CN"/>
        </w:rPr>
      </w:pPr>
      <w:r>
        <w:rPr>
          <w:rFonts w:hint="eastAsia" w:ascii="宋体" w:hAnsi="宋体" w:cs="宋体"/>
          <w:color w:val="auto"/>
          <w:lang w:val="en-US" w:eastAsia="zh-CN"/>
        </w:rPr>
        <w:t>3、拟派项目负责人，从事相关工作，负责本项目人员的培训、督察及日常工作管理指导，确保队员建设的完整和规范化。</w:t>
      </w:r>
    </w:p>
    <w:p w14:paraId="43BCE79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cs="宋体"/>
          <w:color w:val="auto"/>
          <w:lang w:val="en-US" w:eastAsia="zh-CN"/>
        </w:rPr>
        <w:t>4</w:t>
      </w:r>
      <w:r>
        <w:rPr>
          <w:rFonts w:hint="eastAsia" w:ascii="宋体" w:hAnsi="宋体" w:eastAsia="宋体" w:cs="宋体"/>
          <w:color w:val="auto"/>
        </w:rPr>
        <w:t>、户籍不限；</w:t>
      </w:r>
    </w:p>
    <w:p w14:paraId="723B963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cs="宋体"/>
          <w:color w:val="auto"/>
          <w:lang w:val="en-US" w:eastAsia="zh-CN"/>
        </w:rPr>
        <w:t>5</w:t>
      </w:r>
      <w:r>
        <w:rPr>
          <w:rFonts w:hint="eastAsia" w:ascii="宋体" w:hAnsi="宋体" w:eastAsia="宋体" w:cs="宋体"/>
          <w:color w:val="auto"/>
        </w:rPr>
        <w:t>、有保密意识，非工作需要不对外透露工作中接触到的公民个人信息以及公安机关其他内部信息。</w:t>
      </w:r>
    </w:p>
    <w:p w14:paraId="0C164FB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cs="宋体"/>
          <w:color w:val="auto"/>
          <w:lang w:val="en-US" w:eastAsia="zh-CN"/>
        </w:rPr>
        <w:t>6</w:t>
      </w:r>
      <w:r>
        <w:rPr>
          <w:rFonts w:hint="eastAsia" w:ascii="宋体" w:hAnsi="宋体" w:eastAsia="宋体" w:cs="宋体"/>
          <w:color w:val="auto"/>
        </w:rPr>
        <w:t>、要求大专及以上学历和履行岗位职责所需的工作能力，有较强的语言沟通表达能力和文字归纳、输入能力，按照要求做好工作记录并录入相关系统，做到数据准确。</w:t>
      </w:r>
    </w:p>
    <w:p w14:paraId="1F85C6D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cs="宋体"/>
          <w:color w:val="auto"/>
          <w:lang w:val="en-US" w:eastAsia="zh-CN"/>
        </w:rPr>
        <w:t>7</w:t>
      </w:r>
      <w:r>
        <w:rPr>
          <w:rFonts w:hint="eastAsia" w:ascii="宋体" w:hAnsi="宋体" w:eastAsia="宋体" w:cs="宋体"/>
          <w:color w:val="auto"/>
        </w:rPr>
        <w:t>、下列人员，其学历可以放宽至高中（中专）：</w:t>
      </w:r>
    </w:p>
    <w:p w14:paraId="423C888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（1）烈士遗属，因公牺牲的军人、人民警察、辅警的遗属，病故军人遗属；</w:t>
      </w:r>
    </w:p>
    <w:p w14:paraId="457508A9">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（2）退役军人；</w:t>
      </w:r>
    </w:p>
    <w:p w14:paraId="2887D0E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（3）国家综合性消防救援队伍转退的救援人员；</w:t>
      </w:r>
    </w:p>
    <w:p w14:paraId="69DE22B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（4）见义勇为人员；</w:t>
      </w:r>
    </w:p>
    <w:p w14:paraId="5A84960F">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（5）国家和省规定的其他人员。</w:t>
      </w:r>
    </w:p>
    <w:p w14:paraId="141CD339">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（三）基本要求</w:t>
      </w:r>
    </w:p>
    <w:p w14:paraId="32E0B23F">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1、根据实际工作需要，采购人有权在符合《中华人民共和国劳动法》规定的前提下对工作时间和人员安排做机动调整</w:t>
      </w:r>
    </w:p>
    <w:p w14:paraId="63F1C34D">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2、遇特殊情况导致在岗人员无法到位的，投标人应立即调派不低于原标准的人员补充力量，确保采购人工作不受影响，并对人员换岗交接工作负责。</w:t>
      </w:r>
    </w:p>
    <w:p w14:paraId="6B496CD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3、投标人须保证工作人员劳动时间符合《中华人民共和国劳动法》规定，否则由此造成的劳动纠纷由投标人全权负责，如因此造成采购人损失的，投标人还须承担相应全部赔偿责任。</w:t>
      </w:r>
    </w:p>
    <w:p w14:paraId="714ADBE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4、未经采购人同意，不得进行人员换岗。</w:t>
      </w:r>
    </w:p>
    <w:p w14:paraId="03CE3C1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5、服务所需硬件设备（IP话机和PC机等）、专线网络环境、办公场地、水电费及相关安全设备均由采购人提供。</w:t>
      </w:r>
    </w:p>
    <w:p w14:paraId="24A3B22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（四）考核规定</w:t>
      </w:r>
    </w:p>
    <w:p w14:paraId="19F69DE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1、考核内容及标准由采购人制定，考核内容包括但不限于服务质量、任务完成质量（反馈数量、及时率、劝阻成功率）、投诉量、日常管理等。若投标人处理不及时、处理不妥当等引发报警人向上级单位或监管部门投诉，或造成招标人社会影响、声誉损失的，需进行扣罚。</w:t>
      </w:r>
    </w:p>
    <w:p w14:paraId="65B1015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2、上岗人员一经发现有违纪违法行为或有其他不符合从事预警劝阻工作要求的，投标人接到通知后一个工作日内派遣符合要求且不低于原标准的替补人员上岗，并对人员换岗交接工作负责。</w:t>
      </w:r>
    </w:p>
    <w:p w14:paraId="2E16518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3、公安局内部其他要求以及中标投标人的规定。</w:t>
      </w:r>
    </w:p>
    <w:p w14:paraId="0C93ED1E">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（五）其他要求</w:t>
      </w:r>
    </w:p>
    <w:p w14:paraId="7B140F44">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1、对于因投标人人员或设备原因影响采购人工作的，要求投标人接到采购人通知后至少须在1小时内响应、24小时内妥善处理问题。</w:t>
      </w:r>
    </w:p>
    <w:p w14:paraId="1DC9B18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2、参加过本项目工作的服务人员，在合同服务结束后，如采购人需要问询或了解情况，投标人须保证予以积极配合。</w:t>
      </w:r>
    </w:p>
    <w:p w14:paraId="45E36957">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三、商务要求</w:t>
      </w:r>
    </w:p>
    <w:p w14:paraId="00678E2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（一）报价要求：</w:t>
      </w:r>
    </w:p>
    <w:p w14:paraId="45E175A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投标人报价为正确地完全履行采购内容及要求的价格体现，包括但不限于设备费、人员工资、奖金、福利、服装、培训费、各种社会保险费、人员食宿费、餐饮补贴、工龄补贴、夜班补贴费、体检费、管理费、投标人对此项目的运营费、税费、利润等完成合同所需的一切本身和不可或缺的所有工作开支、政策性文件规定及合同包含的所有风险、责任等各项全部费用。投标投标人应根据采购人提供的采购文件及相关技术资料，以及本项目实际情况和自身的综合实力，投标报价。采购文件未列明，而投标人认为必需的费用也需列入报价。</w:t>
      </w:r>
    </w:p>
    <w:p w14:paraId="367B045F">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（二）付款方式</w:t>
      </w:r>
    </w:p>
    <w:p w14:paraId="1E972E1A">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签订合同后支付合同总价的40%，合同执行至第六个月支付合同总价的</w:t>
      </w:r>
      <w:r>
        <w:rPr>
          <w:rFonts w:hint="eastAsia" w:ascii="宋体" w:hAnsi="宋体" w:cs="宋体"/>
          <w:color w:val="auto"/>
          <w:lang w:val="en-US" w:eastAsia="zh-CN"/>
        </w:rPr>
        <w:t>3</w:t>
      </w:r>
      <w:r>
        <w:rPr>
          <w:rFonts w:hint="eastAsia" w:ascii="宋体" w:hAnsi="宋体" w:eastAsia="宋体" w:cs="宋体"/>
          <w:color w:val="auto"/>
        </w:rPr>
        <w:t>0%，合同执行至第十二个月并验收通过后支付合同总价</w:t>
      </w:r>
      <w:r>
        <w:rPr>
          <w:rFonts w:hint="eastAsia" w:ascii="宋体" w:hAnsi="宋体" w:cs="宋体"/>
          <w:color w:val="auto"/>
          <w:lang w:val="en-US" w:eastAsia="zh-CN"/>
        </w:rPr>
        <w:t>3</w:t>
      </w:r>
      <w:r>
        <w:rPr>
          <w:rFonts w:hint="eastAsia" w:ascii="宋体" w:hAnsi="宋体" w:eastAsia="宋体" w:cs="宋体"/>
          <w:color w:val="auto"/>
        </w:rPr>
        <w:t>0%的尾款。</w:t>
      </w:r>
    </w:p>
    <w:p w14:paraId="5DF3D9CC">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（三）履约保证金</w:t>
      </w:r>
    </w:p>
    <w:p w14:paraId="33B0A8B0">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合同签订7个工作日内向采购人缴纳合同总价1%的履约担保，以保函形式提交。如以保函等非现金形式提供（须为见索即付的独立保函），担保期限从合同生效之日起至合同服务期满后15个工作日。</w:t>
      </w:r>
      <w:r>
        <w:rPr>
          <w:rFonts w:hint="eastAsia" w:ascii="宋体" w:hAnsi="宋体" w:eastAsia="宋体" w:cs="宋体"/>
          <w:color w:val="auto"/>
        </w:rPr>
        <w:t>中标投标人因违约或其他原因导致履约金被没收后应在自没收之日起15天内补足。</w:t>
      </w:r>
    </w:p>
    <w:p w14:paraId="1826F0A8">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四、保密、信息安全、版权等方面的要求</w:t>
      </w:r>
    </w:p>
    <w:p w14:paraId="65911FFD">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r>
        <w:rPr>
          <w:rFonts w:hint="eastAsia" w:ascii="宋体" w:hAnsi="宋体" w:eastAsia="宋体" w:cs="宋体"/>
          <w:color w:val="auto"/>
        </w:rPr>
        <w:t>采购人对外宣传与采购人的合作及相关事项、使用采购人的名称及标识均应经采购人书面同意，否则，采购人有权解除合同，如造成采购人损失，投标人应予赔偿。</w:t>
      </w:r>
    </w:p>
    <w:p w14:paraId="11F8A0A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s="宋体"/>
          <w:color w:val="auto"/>
        </w:rPr>
      </w:pPr>
    </w:p>
    <w:p w14:paraId="48D3400A">
      <w:pPr>
        <w:spacing w:line="360" w:lineRule="auto"/>
        <w:rPr>
          <w:rFonts w:hint="eastAsia" w:ascii="宋体" w:hAnsi="宋体" w:eastAsia="宋体" w:cs="宋体"/>
          <w:color w:val="auto"/>
          <w:sz w:val="24"/>
          <w:highlight w:val="none"/>
        </w:rPr>
      </w:pPr>
    </w:p>
    <w:p w14:paraId="78FEAA71">
      <w:pPr>
        <w:widowControl/>
        <w:ind w:firstLine="720" w:firstLineChars="300"/>
        <w:jc w:val="left"/>
        <w:rPr>
          <w:rFonts w:hint="eastAsia" w:ascii="宋体" w:hAnsi="宋体" w:eastAsia="宋体" w:cs="宋体"/>
          <w:bCs/>
          <w:color w:val="auto"/>
          <w:sz w:val="24"/>
          <w:highlight w:val="none"/>
        </w:rPr>
      </w:pPr>
    </w:p>
    <w:p w14:paraId="6D636660">
      <w:pPr>
        <w:rPr>
          <w:rFonts w:hint="eastAsia" w:ascii="宋体" w:hAnsi="宋体" w:eastAsia="宋体" w:cs="宋体"/>
          <w:snapToGrid w:val="0"/>
          <w:color w:val="auto"/>
          <w:kern w:val="0"/>
          <w:sz w:val="24"/>
          <w:highlight w:val="none"/>
        </w:rPr>
      </w:pPr>
    </w:p>
    <w:p w14:paraId="7D18B210">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36"/>
          <w:szCs w:val="36"/>
          <w:highlight w:val="none"/>
        </w:rPr>
        <w:t xml:space="preserve">第四部分   </w:t>
      </w:r>
      <w:bookmarkStart w:id="28" w:name="_Toc184308046"/>
      <w:bookmarkEnd w:id="28"/>
      <w:bookmarkStart w:id="29" w:name="_Toc184312074"/>
      <w:bookmarkEnd w:id="29"/>
      <w:bookmarkStart w:id="30" w:name="_Toc184312114"/>
      <w:bookmarkEnd w:id="30"/>
      <w:bookmarkStart w:id="31" w:name="_Toc184312079"/>
      <w:bookmarkEnd w:id="31"/>
      <w:bookmarkStart w:id="32" w:name="_Toc184308076"/>
      <w:bookmarkEnd w:id="32"/>
      <w:bookmarkStart w:id="33" w:name="_Toc184308068"/>
      <w:bookmarkEnd w:id="33"/>
      <w:bookmarkStart w:id="34" w:name="_Toc184310326"/>
      <w:bookmarkEnd w:id="34"/>
      <w:bookmarkStart w:id="35" w:name="_Toc184310315"/>
      <w:bookmarkEnd w:id="35"/>
      <w:bookmarkStart w:id="36" w:name="_Toc184313309"/>
      <w:bookmarkEnd w:id="36"/>
      <w:bookmarkStart w:id="37" w:name="_Toc184313250"/>
      <w:bookmarkEnd w:id="37"/>
      <w:bookmarkStart w:id="38" w:name="_Toc184314474"/>
      <w:bookmarkEnd w:id="38"/>
      <w:bookmarkStart w:id="39" w:name="_Toc184312084"/>
      <w:bookmarkEnd w:id="39"/>
      <w:bookmarkStart w:id="40" w:name="_Toc184314480"/>
      <w:bookmarkEnd w:id="40"/>
      <w:bookmarkStart w:id="41" w:name="_Toc184313265"/>
      <w:bookmarkEnd w:id="41"/>
      <w:bookmarkStart w:id="42" w:name="_Toc184308108"/>
      <w:bookmarkEnd w:id="42"/>
      <w:bookmarkStart w:id="43" w:name="_Toc184312109"/>
      <w:bookmarkEnd w:id="43"/>
      <w:bookmarkStart w:id="44" w:name="_Toc184310275"/>
      <w:bookmarkEnd w:id="44"/>
      <w:bookmarkStart w:id="45" w:name="_Toc184314462"/>
      <w:bookmarkEnd w:id="45"/>
      <w:bookmarkStart w:id="46" w:name="_Toc184313284"/>
      <w:bookmarkEnd w:id="46"/>
      <w:bookmarkStart w:id="47" w:name="_Toc184314452"/>
      <w:bookmarkEnd w:id="47"/>
      <w:bookmarkStart w:id="48" w:name="_Toc184314446"/>
      <w:bookmarkEnd w:id="48"/>
      <w:bookmarkStart w:id="49" w:name="_Toc184312113"/>
      <w:bookmarkEnd w:id="49"/>
      <w:bookmarkStart w:id="50" w:name="_Toc184313271"/>
      <w:bookmarkEnd w:id="50"/>
      <w:bookmarkStart w:id="51" w:name="_Toc184312122"/>
      <w:bookmarkEnd w:id="51"/>
      <w:bookmarkStart w:id="52" w:name="_Toc184310314"/>
      <w:bookmarkEnd w:id="52"/>
      <w:bookmarkStart w:id="53" w:name="_Toc184310303"/>
      <w:bookmarkEnd w:id="53"/>
      <w:bookmarkStart w:id="54" w:name="_Toc184308055"/>
      <w:bookmarkEnd w:id="54"/>
      <w:bookmarkStart w:id="55" w:name="_Toc184312118"/>
      <w:bookmarkEnd w:id="55"/>
      <w:bookmarkStart w:id="56" w:name="_Toc184314412"/>
      <w:bookmarkEnd w:id="56"/>
      <w:bookmarkStart w:id="57" w:name="_Toc184314444"/>
      <w:bookmarkEnd w:id="57"/>
      <w:bookmarkStart w:id="58" w:name="_Toc184310283"/>
      <w:bookmarkEnd w:id="58"/>
      <w:bookmarkStart w:id="59" w:name="_Toc184308042"/>
      <w:bookmarkEnd w:id="59"/>
      <w:bookmarkStart w:id="60" w:name="_Toc184314449"/>
      <w:bookmarkEnd w:id="60"/>
      <w:bookmarkStart w:id="61" w:name="_Toc184310329"/>
      <w:bookmarkEnd w:id="61"/>
      <w:bookmarkStart w:id="62" w:name="_Toc184313252"/>
      <w:bookmarkEnd w:id="62"/>
      <w:bookmarkStart w:id="63" w:name="_Toc184308090"/>
      <w:bookmarkEnd w:id="63"/>
      <w:bookmarkStart w:id="64" w:name="_Toc184312130"/>
      <w:bookmarkEnd w:id="64"/>
      <w:bookmarkStart w:id="65" w:name="_Toc184312100"/>
      <w:bookmarkEnd w:id="65"/>
      <w:bookmarkStart w:id="66" w:name="_Toc184312085"/>
      <w:bookmarkEnd w:id="66"/>
      <w:bookmarkStart w:id="67" w:name="_Toc184310335"/>
      <w:bookmarkEnd w:id="67"/>
      <w:bookmarkStart w:id="68" w:name="_Toc184313307"/>
      <w:bookmarkEnd w:id="68"/>
      <w:bookmarkStart w:id="69" w:name="_Toc184312117"/>
      <w:bookmarkEnd w:id="69"/>
      <w:bookmarkStart w:id="70" w:name="_Toc184312087"/>
      <w:bookmarkEnd w:id="70"/>
      <w:bookmarkStart w:id="71" w:name="_Toc184308088"/>
      <w:bookmarkEnd w:id="71"/>
      <w:bookmarkStart w:id="72" w:name="_Toc184313247"/>
      <w:bookmarkEnd w:id="72"/>
      <w:bookmarkStart w:id="73" w:name="_Toc184310342"/>
      <w:bookmarkEnd w:id="73"/>
      <w:bookmarkStart w:id="74" w:name="_Toc184312134"/>
      <w:bookmarkEnd w:id="74"/>
      <w:bookmarkStart w:id="75" w:name="_Toc184310291"/>
      <w:bookmarkEnd w:id="75"/>
      <w:bookmarkStart w:id="76" w:name="_Toc184308056"/>
      <w:bookmarkEnd w:id="76"/>
      <w:bookmarkStart w:id="77" w:name="_Toc184313282"/>
      <w:bookmarkEnd w:id="77"/>
      <w:bookmarkStart w:id="78" w:name="_Toc184308065"/>
      <w:bookmarkEnd w:id="78"/>
      <w:bookmarkStart w:id="79" w:name="_Toc184310327"/>
      <w:bookmarkEnd w:id="79"/>
      <w:bookmarkStart w:id="80" w:name="_Toc184310304"/>
      <w:bookmarkEnd w:id="80"/>
      <w:bookmarkStart w:id="81" w:name="_Toc184314410"/>
      <w:bookmarkEnd w:id="81"/>
      <w:bookmarkStart w:id="82" w:name="_Toc184308049"/>
      <w:bookmarkEnd w:id="82"/>
      <w:bookmarkStart w:id="83" w:name="_Toc184314466"/>
      <w:bookmarkEnd w:id="83"/>
      <w:bookmarkStart w:id="84" w:name="_Toc184308107"/>
      <w:bookmarkEnd w:id="84"/>
      <w:bookmarkStart w:id="85" w:name="_Toc184308062"/>
      <w:bookmarkEnd w:id="85"/>
      <w:bookmarkStart w:id="86" w:name="_Toc184314460"/>
      <w:bookmarkEnd w:id="86"/>
      <w:bookmarkStart w:id="87" w:name="_Toc184314448"/>
      <w:bookmarkEnd w:id="87"/>
      <w:bookmarkStart w:id="88" w:name="_Toc184313286"/>
      <w:bookmarkEnd w:id="88"/>
      <w:bookmarkStart w:id="89" w:name="_Toc184314431"/>
      <w:bookmarkEnd w:id="89"/>
      <w:bookmarkStart w:id="90" w:name="_Toc184313308"/>
      <w:bookmarkEnd w:id="90"/>
      <w:bookmarkStart w:id="91" w:name="_Toc184314426"/>
      <w:bookmarkEnd w:id="91"/>
      <w:bookmarkStart w:id="92" w:name="_Toc184308101"/>
      <w:bookmarkEnd w:id="92"/>
      <w:bookmarkStart w:id="93" w:name="_Toc184308105"/>
      <w:bookmarkEnd w:id="93"/>
      <w:bookmarkStart w:id="94" w:name="_Toc184312128"/>
      <w:bookmarkEnd w:id="94"/>
      <w:bookmarkStart w:id="95" w:name="_Toc184314421"/>
      <w:bookmarkEnd w:id="95"/>
      <w:bookmarkStart w:id="96" w:name="_Toc184310302"/>
      <w:bookmarkEnd w:id="96"/>
      <w:bookmarkStart w:id="97" w:name="_Toc184312111"/>
      <w:bookmarkEnd w:id="97"/>
      <w:bookmarkStart w:id="98" w:name="_Toc184308089"/>
      <w:bookmarkEnd w:id="98"/>
      <w:bookmarkStart w:id="99" w:name="_Toc184314479"/>
      <w:bookmarkEnd w:id="99"/>
      <w:bookmarkStart w:id="100" w:name="_Toc184313243"/>
      <w:bookmarkEnd w:id="100"/>
      <w:bookmarkStart w:id="101" w:name="_Toc184314472"/>
      <w:bookmarkEnd w:id="101"/>
      <w:bookmarkStart w:id="102" w:name="_Toc184313283"/>
      <w:bookmarkEnd w:id="102"/>
      <w:bookmarkStart w:id="103" w:name="_Toc184314441"/>
      <w:bookmarkEnd w:id="103"/>
      <w:bookmarkStart w:id="104" w:name="_Toc184310328"/>
      <w:bookmarkEnd w:id="104"/>
      <w:bookmarkStart w:id="105" w:name="_Toc184310289"/>
      <w:bookmarkEnd w:id="105"/>
      <w:bookmarkStart w:id="106" w:name="_Toc184313253"/>
      <w:bookmarkEnd w:id="106"/>
      <w:bookmarkStart w:id="107" w:name="_Toc184314432"/>
      <w:bookmarkEnd w:id="107"/>
      <w:bookmarkStart w:id="108" w:name="_Toc184312124"/>
      <w:bookmarkEnd w:id="108"/>
      <w:bookmarkStart w:id="109" w:name="_Toc184312080"/>
      <w:bookmarkEnd w:id="109"/>
      <w:bookmarkStart w:id="110" w:name="_Toc184312089"/>
      <w:bookmarkEnd w:id="110"/>
      <w:bookmarkStart w:id="111" w:name="_Toc184310317"/>
      <w:bookmarkEnd w:id="111"/>
      <w:bookmarkStart w:id="112" w:name="_Toc184310280"/>
      <w:bookmarkEnd w:id="112"/>
      <w:bookmarkStart w:id="113" w:name="_Toc184308083"/>
      <w:bookmarkEnd w:id="113"/>
      <w:bookmarkStart w:id="114" w:name="_Toc184308052"/>
      <w:bookmarkEnd w:id="114"/>
      <w:bookmarkStart w:id="115" w:name="_Toc184312092"/>
      <w:bookmarkEnd w:id="115"/>
      <w:bookmarkStart w:id="116" w:name="_Toc184310298"/>
      <w:bookmarkEnd w:id="116"/>
      <w:bookmarkStart w:id="117" w:name="_Toc184312132"/>
      <w:bookmarkEnd w:id="117"/>
      <w:bookmarkStart w:id="118" w:name="_Toc184312139"/>
      <w:bookmarkEnd w:id="118"/>
      <w:bookmarkStart w:id="119" w:name="_Toc184308037"/>
      <w:bookmarkEnd w:id="119"/>
      <w:bookmarkStart w:id="120" w:name="_Toc184308047"/>
      <w:bookmarkEnd w:id="120"/>
      <w:bookmarkStart w:id="121" w:name="_Toc184314461"/>
      <w:bookmarkEnd w:id="121"/>
      <w:bookmarkStart w:id="122" w:name="_Toc184314477"/>
      <w:bookmarkEnd w:id="122"/>
      <w:bookmarkStart w:id="123" w:name="_Toc184313258"/>
      <w:bookmarkEnd w:id="123"/>
      <w:bookmarkStart w:id="124" w:name="_Toc184312071"/>
      <w:bookmarkEnd w:id="124"/>
      <w:bookmarkStart w:id="125" w:name="_Toc184313304"/>
      <w:bookmarkEnd w:id="125"/>
      <w:bookmarkStart w:id="126" w:name="_Toc184312116"/>
      <w:bookmarkEnd w:id="126"/>
      <w:bookmarkStart w:id="127" w:name="_Toc184314413"/>
      <w:bookmarkEnd w:id="127"/>
      <w:bookmarkStart w:id="128" w:name="_Toc184308066"/>
      <w:bookmarkEnd w:id="128"/>
      <w:bookmarkStart w:id="129" w:name="_Toc184313277"/>
      <w:bookmarkEnd w:id="129"/>
      <w:bookmarkStart w:id="130" w:name="_Toc184313289"/>
      <w:bookmarkEnd w:id="130"/>
      <w:bookmarkStart w:id="131" w:name="_Toc184314416"/>
      <w:bookmarkEnd w:id="131"/>
      <w:bookmarkStart w:id="132" w:name="_Toc184314414"/>
      <w:bookmarkEnd w:id="132"/>
      <w:bookmarkStart w:id="133" w:name="_Toc184310338"/>
      <w:bookmarkEnd w:id="133"/>
      <w:bookmarkStart w:id="134" w:name="_Toc184308050"/>
      <w:bookmarkEnd w:id="134"/>
      <w:bookmarkStart w:id="135" w:name="_Toc184314435"/>
      <w:bookmarkEnd w:id="135"/>
      <w:bookmarkStart w:id="136" w:name="_Toc184310305"/>
      <w:bookmarkEnd w:id="136"/>
      <w:bookmarkStart w:id="137" w:name="_Toc184310299"/>
      <w:bookmarkEnd w:id="137"/>
      <w:bookmarkStart w:id="138" w:name="_Toc184310316"/>
      <w:bookmarkEnd w:id="138"/>
      <w:bookmarkStart w:id="139" w:name="_Toc184312135"/>
      <w:bookmarkEnd w:id="139"/>
      <w:bookmarkStart w:id="140" w:name="_Toc184310297"/>
      <w:bookmarkEnd w:id="140"/>
      <w:bookmarkStart w:id="141" w:name="_Toc184310336"/>
      <w:bookmarkEnd w:id="141"/>
      <w:bookmarkStart w:id="142" w:name="_Toc184308043"/>
      <w:bookmarkEnd w:id="142"/>
      <w:bookmarkStart w:id="143" w:name="_Toc184308100"/>
      <w:bookmarkEnd w:id="143"/>
      <w:bookmarkStart w:id="144" w:name="_Toc184310339"/>
      <w:bookmarkEnd w:id="144"/>
      <w:bookmarkStart w:id="145" w:name="_Toc184312133"/>
      <w:bookmarkEnd w:id="145"/>
      <w:bookmarkStart w:id="146" w:name="_Toc184313263"/>
      <w:bookmarkEnd w:id="146"/>
      <w:bookmarkStart w:id="147" w:name="_Toc184312120"/>
      <w:bookmarkEnd w:id="147"/>
      <w:bookmarkStart w:id="148" w:name="_Toc184314442"/>
      <w:bookmarkEnd w:id="148"/>
      <w:bookmarkStart w:id="149" w:name="_Toc184310277"/>
      <w:bookmarkEnd w:id="149"/>
      <w:bookmarkStart w:id="150" w:name="_Toc184313254"/>
      <w:bookmarkEnd w:id="150"/>
      <w:bookmarkStart w:id="151" w:name="_Toc184313241"/>
      <w:bookmarkEnd w:id="151"/>
      <w:bookmarkStart w:id="152" w:name="_Toc184313240"/>
      <w:bookmarkEnd w:id="152"/>
      <w:bookmarkStart w:id="153" w:name="_Toc184312136"/>
      <w:bookmarkEnd w:id="153"/>
      <w:bookmarkStart w:id="154" w:name="_Toc184313255"/>
      <w:bookmarkEnd w:id="154"/>
      <w:bookmarkStart w:id="155" w:name="_Toc184314418"/>
      <w:bookmarkEnd w:id="155"/>
      <w:bookmarkStart w:id="156" w:name="_Toc184308038"/>
      <w:bookmarkEnd w:id="156"/>
      <w:bookmarkStart w:id="157" w:name="_Toc184314465"/>
      <w:bookmarkEnd w:id="157"/>
      <w:bookmarkStart w:id="158" w:name="_Toc184308063"/>
      <w:bookmarkEnd w:id="158"/>
      <w:bookmarkStart w:id="159" w:name="_Toc184310325"/>
      <w:bookmarkEnd w:id="159"/>
      <w:bookmarkStart w:id="160" w:name="_Toc184314450"/>
      <w:bookmarkEnd w:id="160"/>
      <w:bookmarkStart w:id="161" w:name="_Toc184312068"/>
      <w:bookmarkEnd w:id="161"/>
      <w:bookmarkStart w:id="162" w:name="_Toc184314457"/>
      <w:bookmarkEnd w:id="162"/>
      <w:bookmarkStart w:id="163" w:name="_Toc184312073"/>
      <w:bookmarkEnd w:id="163"/>
      <w:bookmarkStart w:id="164" w:name="_Toc184314443"/>
      <w:bookmarkEnd w:id="164"/>
      <w:bookmarkStart w:id="165" w:name="_Toc184313298"/>
      <w:bookmarkEnd w:id="165"/>
      <w:bookmarkStart w:id="166" w:name="_Toc184308093"/>
      <w:bookmarkEnd w:id="166"/>
      <w:bookmarkStart w:id="167" w:name="_Toc184310318"/>
      <w:bookmarkEnd w:id="167"/>
      <w:bookmarkStart w:id="168" w:name="_Toc184310333"/>
      <w:bookmarkEnd w:id="168"/>
      <w:bookmarkStart w:id="169" w:name="_Toc184314464"/>
      <w:bookmarkEnd w:id="169"/>
      <w:bookmarkStart w:id="170" w:name="_Toc184308091"/>
      <w:bookmarkEnd w:id="170"/>
      <w:bookmarkStart w:id="171" w:name="_Toc184310340"/>
      <w:bookmarkEnd w:id="171"/>
      <w:bookmarkStart w:id="172" w:name="_Toc184313301"/>
      <w:bookmarkEnd w:id="172"/>
      <w:bookmarkStart w:id="173" w:name="_Toc184310285"/>
      <w:bookmarkEnd w:id="173"/>
      <w:bookmarkStart w:id="174" w:name="_Toc184312127"/>
      <w:bookmarkEnd w:id="174"/>
      <w:bookmarkStart w:id="175" w:name="_Toc184308051"/>
      <w:bookmarkEnd w:id="175"/>
      <w:bookmarkStart w:id="176" w:name="_Toc184312077"/>
      <w:bookmarkEnd w:id="176"/>
      <w:bookmarkStart w:id="177" w:name="_Toc184314438"/>
      <w:bookmarkEnd w:id="177"/>
      <w:bookmarkStart w:id="178" w:name="_Toc184313295"/>
      <w:bookmarkEnd w:id="178"/>
      <w:bookmarkStart w:id="179" w:name="_Toc184313288"/>
      <w:bookmarkEnd w:id="179"/>
      <w:bookmarkStart w:id="180" w:name="_Toc184312119"/>
      <w:bookmarkEnd w:id="180"/>
      <w:bookmarkStart w:id="181" w:name="_Toc184314439"/>
      <w:bookmarkEnd w:id="181"/>
      <w:bookmarkStart w:id="182" w:name="_Toc184310273"/>
      <w:bookmarkEnd w:id="182"/>
      <w:bookmarkStart w:id="183" w:name="_Toc184308036"/>
      <w:bookmarkEnd w:id="183"/>
      <w:bookmarkStart w:id="184" w:name="_Toc184308059"/>
      <w:bookmarkEnd w:id="184"/>
      <w:bookmarkStart w:id="185" w:name="_Toc184312123"/>
      <w:bookmarkEnd w:id="185"/>
      <w:bookmarkStart w:id="186" w:name="_Toc184312108"/>
      <w:bookmarkEnd w:id="186"/>
      <w:bookmarkStart w:id="187" w:name="_Toc184308103"/>
      <w:bookmarkEnd w:id="187"/>
      <w:bookmarkStart w:id="188" w:name="_Toc184312102"/>
      <w:bookmarkEnd w:id="188"/>
      <w:bookmarkStart w:id="189" w:name="_Toc184314419"/>
      <w:bookmarkEnd w:id="189"/>
      <w:bookmarkStart w:id="190" w:name="_Toc184314468"/>
      <w:bookmarkEnd w:id="190"/>
      <w:bookmarkStart w:id="191" w:name="_Toc184308079"/>
      <w:bookmarkEnd w:id="191"/>
      <w:bookmarkStart w:id="192" w:name="_Toc184313294"/>
      <w:bookmarkEnd w:id="192"/>
      <w:bookmarkStart w:id="193" w:name="_Toc184313275"/>
      <w:bookmarkEnd w:id="193"/>
      <w:bookmarkStart w:id="194" w:name="_Toc184308102"/>
      <w:bookmarkEnd w:id="194"/>
      <w:bookmarkStart w:id="195" w:name="_Toc184308071"/>
      <w:bookmarkEnd w:id="195"/>
      <w:bookmarkStart w:id="196" w:name="_Toc184312099"/>
      <w:bookmarkEnd w:id="196"/>
      <w:bookmarkStart w:id="197" w:name="_Toc184310309"/>
      <w:bookmarkEnd w:id="197"/>
      <w:bookmarkStart w:id="198" w:name="_Toc184310295"/>
      <w:bookmarkEnd w:id="198"/>
      <w:bookmarkStart w:id="199" w:name="_Toc184314476"/>
      <w:bookmarkEnd w:id="199"/>
      <w:bookmarkStart w:id="200" w:name="_Toc184313261"/>
      <w:bookmarkEnd w:id="200"/>
      <w:bookmarkStart w:id="201" w:name="_Toc184313257"/>
      <w:bookmarkEnd w:id="201"/>
      <w:bookmarkStart w:id="202" w:name="_Toc184312107"/>
      <w:bookmarkEnd w:id="202"/>
      <w:bookmarkStart w:id="203" w:name="_Toc184312131"/>
      <w:bookmarkEnd w:id="203"/>
      <w:bookmarkStart w:id="204" w:name="_Toc184310301"/>
      <w:bookmarkEnd w:id="204"/>
      <w:bookmarkStart w:id="205" w:name="_Toc184308073"/>
      <w:bookmarkEnd w:id="205"/>
      <w:bookmarkStart w:id="206" w:name="_Toc184314430"/>
      <w:bookmarkEnd w:id="206"/>
      <w:bookmarkStart w:id="207" w:name="_Toc184312098"/>
      <w:bookmarkEnd w:id="207"/>
      <w:bookmarkStart w:id="208" w:name="_Toc184314425"/>
      <w:bookmarkEnd w:id="208"/>
      <w:bookmarkStart w:id="209" w:name="_Toc184310312"/>
      <w:bookmarkEnd w:id="209"/>
      <w:bookmarkStart w:id="210" w:name="_Toc184312070"/>
      <w:bookmarkEnd w:id="210"/>
      <w:bookmarkStart w:id="211" w:name="_Toc184313281"/>
      <w:bookmarkEnd w:id="211"/>
      <w:bookmarkStart w:id="212" w:name="_Toc184308054"/>
      <w:bookmarkEnd w:id="212"/>
      <w:bookmarkStart w:id="213" w:name="_Toc184312112"/>
      <w:bookmarkEnd w:id="213"/>
      <w:bookmarkStart w:id="214" w:name="_Toc184310300"/>
      <w:bookmarkEnd w:id="214"/>
      <w:bookmarkStart w:id="215" w:name="_Toc184314467"/>
      <w:bookmarkEnd w:id="215"/>
      <w:bookmarkStart w:id="216" w:name="_Toc184312094"/>
      <w:bookmarkEnd w:id="216"/>
      <w:bookmarkStart w:id="217" w:name="_Toc184314458"/>
      <w:bookmarkEnd w:id="217"/>
      <w:bookmarkStart w:id="218" w:name="_Toc184313244"/>
      <w:bookmarkEnd w:id="218"/>
      <w:bookmarkStart w:id="219" w:name="_Toc184310321"/>
      <w:bookmarkEnd w:id="219"/>
      <w:bookmarkStart w:id="220" w:name="_Toc184313291"/>
      <w:bookmarkEnd w:id="220"/>
      <w:bookmarkStart w:id="221" w:name="_Toc184310332"/>
      <w:bookmarkEnd w:id="221"/>
      <w:bookmarkStart w:id="222" w:name="_Toc184312086"/>
      <w:bookmarkEnd w:id="222"/>
      <w:bookmarkStart w:id="223" w:name="_Toc184312125"/>
      <w:bookmarkEnd w:id="223"/>
      <w:bookmarkStart w:id="224" w:name="_Toc184308086"/>
      <w:bookmarkEnd w:id="224"/>
      <w:bookmarkStart w:id="225" w:name="_Toc184312138"/>
      <w:bookmarkEnd w:id="225"/>
      <w:bookmarkStart w:id="226" w:name="_Toc184314429"/>
      <w:bookmarkEnd w:id="226"/>
      <w:bookmarkStart w:id="227" w:name="_Toc184313300"/>
      <w:bookmarkEnd w:id="227"/>
      <w:bookmarkStart w:id="228" w:name="_Toc184312090"/>
      <w:bookmarkEnd w:id="228"/>
      <w:bookmarkStart w:id="229" w:name="_Toc184314454"/>
      <w:bookmarkEnd w:id="229"/>
      <w:bookmarkStart w:id="230" w:name="_Toc184308081"/>
      <w:bookmarkEnd w:id="230"/>
      <w:bookmarkStart w:id="231" w:name="_Toc184310294"/>
      <w:bookmarkEnd w:id="231"/>
      <w:bookmarkStart w:id="232" w:name="_Toc184313266"/>
      <w:bookmarkEnd w:id="232"/>
      <w:bookmarkStart w:id="233" w:name="_Toc184313296"/>
      <w:bookmarkEnd w:id="233"/>
      <w:bookmarkStart w:id="234" w:name="_Toc184314411"/>
      <w:bookmarkEnd w:id="234"/>
      <w:bookmarkStart w:id="235" w:name="_Toc184308095"/>
      <w:bookmarkEnd w:id="235"/>
      <w:bookmarkStart w:id="236" w:name="_Toc184312096"/>
      <w:bookmarkEnd w:id="236"/>
      <w:bookmarkStart w:id="237" w:name="_Toc184313290"/>
      <w:bookmarkEnd w:id="237"/>
      <w:bookmarkStart w:id="238" w:name="_Toc184308096"/>
      <w:bookmarkEnd w:id="238"/>
      <w:bookmarkStart w:id="239" w:name="_Toc184308082"/>
      <w:bookmarkEnd w:id="239"/>
      <w:bookmarkStart w:id="240" w:name="_Toc184310306"/>
      <w:bookmarkEnd w:id="240"/>
      <w:bookmarkStart w:id="241" w:name="_Toc184313302"/>
      <w:bookmarkEnd w:id="241"/>
      <w:bookmarkStart w:id="242" w:name="_Toc184313259"/>
      <w:bookmarkEnd w:id="242"/>
      <w:bookmarkStart w:id="243" w:name="_Toc184310322"/>
      <w:bookmarkEnd w:id="243"/>
      <w:bookmarkStart w:id="244" w:name="_Toc184310276"/>
      <w:bookmarkEnd w:id="244"/>
      <w:bookmarkStart w:id="245" w:name="_Toc184310274"/>
      <w:bookmarkEnd w:id="245"/>
      <w:bookmarkStart w:id="246" w:name="_Toc184308077"/>
      <w:bookmarkEnd w:id="246"/>
      <w:bookmarkStart w:id="247" w:name="_Toc184314423"/>
      <w:bookmarkEnd w:id="247"/>
      <w:bookmarkStart w:id="248" w:name="_Toc184308097"/>
      <w:bookmarkEnd w:id="248"/>
      <w:bookmarkStart w:id="249" w:name="_Toc184312104"/>
      <w:bookmarkEnd w:id="249"/>
      <w:bookmarkStart w:id="250" w:name="_Toc184308106"/>
      <w:bookmarkEnd w:id="250"/>
      <w:bookmarkStart w:id="251" w:name="_Toc184313280"/>
      <w:bookmarkEnd w:id="251"/>
      <w:bookmarkStart w:id="252" w:name="_Toc184313260"/>
      <w:bookmarkEnd w:id="252"/>
      <w:bookmarkStart w:id="253" w:name="_Toc184312067"/>
      <w:bookmarkEnd w:id="253"/>
      <w:bookmarkStart w:id="254" w:name="_Toc184310284"/>
      <w:bookmarkEnd w:id="254"/>
      <w:bookmarkStart w:id="255" w:name="_Toc184313242"/>
      <w:bookmarkEnd w:id="255"/>
      <w:bookmarkStart w:id="256" w:name="_Toc184310308"/>
      <w:bookmarkEnd w:id="256"/>
      <w:bookmarkStart w:id="257" w:name="_Toc184314420"/>
      <w:bookmarkEnd w:id="257"/>
      <w:bookmarkStart w:id="258" w:name="_Toc184308044"/>
      <w:bookmarkEnd w:id="258"/>
      <w:bookmarkStart w:id="259" w:name="_Toc184313268"/>
      <w:bookmarkEnd w:id="259"/>
      <w:bookmarkStart w:id="260" w:name="_Toc184308092"/>
      <w:bookmarkEnd w:id="260"/>
      <w:bookmarkStart w:id="261" w:name="_Toc184308072"/>
      <w:bookmarkEnd w:id="261"/>
      <w:bookmarkStart w:id="262" w:name="_Toc184312081"/>
      <w:bookmarkEnd w:id="262"/>
      <w:bookmarkStart w:id="263" w:name="_Toc184310288"/>
      <w:bookmarkEnd w:id="263"/>
      <w:bookmarkStart w:id="264" w:name="_Toc184314463"/>
      <w:bookmarkEnd w:id="264"/>
      <w:bookmarkStart w:id="265" w:name="_Toc184312072"/>
      <w:bookmarkEnd w:id="265"/>
      <w:bookmarkStart w:id="266" w:name="_Toc184313238"/>
      <w:bookmarkEnd w:id="266"/>
      <w:bookmarkStart w:id="267" w:name="_Toc184313239"/>
      <w:bookmarkEnd w:id="267"/>
      <w:bookmarkStart w:id="268" w:name="_Toc184314456"/>
      <w:bookmarkEnd w:id="268"/>
      <w:bookmarkStart w:id="269" w:name="_Toc184313256"/>
      <w:bookmarkEnd w:id="269"/>
      <w:bookmarkStart w:id="270" w:name="_Toc184308067"/>
      <w:bookmarkEnd w:id="270"/>
      <w:bookmarkStart w:id="271" w:name="_Toc184313306"/>
      <w:bookmarkEnd w:id="271"/>
      <w:bookmarkStart w:id="272" w:name="_Toc184314481"/>
      <w:bookmarkEnd w:id="272"/>
      <w:bookmarkStart w:id="273" w:name="_Toc184308085"/>
      <w:bookmarkEnd w:id="273"/>
      <w:bookmarkStart w:id="274" w:name="_Toc184312126"/>
      <w:bookmarkEnd w:id="274"/>
      <w:bookmarkStart w:id="275" w:name="_Toc184312091"/>
      <w:bookmarkEnd w:id="275"/>
      <w:bookmarkStart w:id="276" w:name="_Toc184310313"/>
      <w:bookmarkEnd w:id="276"/>
      <w:bookmarkStart w:id="277" w:name="_Toc184314482"/>
      <w:bookmarkEnd w:id="277"/>
      <w:bookmarkStart w:id="278" w:name="_Toc184312115"/>
      <w:bookmarkEnd w:id="278"/>
      <w:bookmarkStart w:id="279" w:name="_Toc184312097"/>
      <w:bookmarkEnd w:id="279"/>
      <w:bookmarkStart w:id="280" w:name="_Toc184313270"/>
      <w:bookmarkEnd w:id="280"/>
      <w:bookmarkStart w:id="281" w:name="_Toc184314451"/>
      <w:bookmarkEnd w:id="281"/>
      <w:bookmarkStart w:id="282" w:name="_Toc184308060"/>
      <w:bookmarkEnd w:id="282"/>
      <w:bookmarkStart w:id="283" w:name="_Toc184310307"/>
      <w:bookmarkEnd w:id="283"/>
      <w:bookmarkStart w:id="284" w:name="_Toc184314447"/>
      <w:bookmarkEnd w:id="284"/>
      <w:bookmarkStart w:id="285" w:name="_Toc184313305"/>
      <w:bookmarkEnd w:id="285"/>
      <w:bookmarkStart w:id="286" w:name="_Toc184313297"/>
      <w:bookmarkEnd w:id="286"/>
      <w:bookmarkStart w:id="287" w:name="_Toc184313303"/>
      <w:bookmarkEnd w:id="287"/>
      <w:bookmarkStart w:id="288" w:name="_Toc184313285"/>
      <w:bookmarkEnd w:id="288"/>
      <w:bookmarkStart w:id="289" w:name="_Toc184312093"/>
      <w:bookmarkEnd w:id="289"/>
      <w:bookmarkStart w:id="290" w:name="_Toc184308061"/>
      <w:bookmarkEnd w:id="290"/>
      <w:bookmarkStart w:id="291" w:name="_Toc184314478"/>
      <w:bookmarkEnd w:id="291"/>
      <w:bookmarkStart w:id="292" w:name="_Toc184308053"/>
      <w:bookmarkEnd w:id="292"/>
      <w:bookmarkStart w:id="293" w:name="_Toc184310343"/>
      <w:bookmarkEnd w:id="293"/>
      <w:bookmarkStart w:id="294" w:name="_Toc184314437"/>
      <w:bookmarkEnd w:id="294"/>
      <w:bookmarkStart w:id="295" w:name="_Toc184308057"/>
      <w:bookmarkEnd w:id="295"/>
      <w:bookmarkStart w:id="296" w:name="_Toc184310320"/>
      <w:bookmarkEnd w:id="296"/>
      <w:bookmarkStart w:id="297" w:name="_Toc184308084"/>
      <w:bookmarkEnd w:id="297"/>
      <w:bookmarkStart w:id="298" w:name="_Toc184312129"/>
      <w:bookmarkEnd w:id="298"/>
      <w:bookmarkStart w:id="299" w:name="_Toc184308098"/>
      <w:bookmarkEnd w:id="299"/>
      <w:bookmarkStart w:id="300" w:name="_Toc184310330"/>
      <w:bookmarkEnd w:id="300"/>
      <w:bookmarkStart w:id="301" w:name="_Toc184313272"/>
      <w:bookmarkEnd w:id="301"/>
      <w:bookmarkStart w:id="302" w:name="_Toc184313292"/>
      <w:bookmarkEnd w:id="302"/>
      <w:bookmarkStart w:id="303" w:name="_Toc184313264"/>
      <w:bookmarkEnd w:id="303"/>
      <w:bookmarkStart w:id="304" w:name="_Toc184313267"/>
      <w:bookmarkEnd w:id="304"/>
      <w:bookmarkStart w:id="305" w:name="_Toc184313273"/>
      <w:bookmarkEnd w:id="305"/>
      <w:bookmarkStart w:id="306" w:name="_Toc184312078"/>
      <w:bookmarkEnd w:id="306"/>
      <w:bookmarkStart w:id="307" w:name="_Toc184314440"/>
      <w:bookmarkEnd w:id="307"/>
      <w:bookmarkStart w:id="308" w:name="_Toc184308075"/>
      <w:bookmarkEnd w:id="308"/>
      <w:bookmarkStart w:id="309" w:name="_Toc184310334"/>
      <w:bookmarkEnd w:id="309"/>
      <w:bookmarkStart w:id="310" w:name="_Toc184308094"/>
      <w:bookmarkEnd w:id="310"/>
      <w:bookmarkStart w:id="311" w:name="_Toc184314424"/>
      <w:bookmarkEnd w:id="311"/>
      <w:bookmarkStart w:id="312" w:name="_Toc184312082"/>
      <w:bookmarkEnd w:id="312"/>
      <w:bookmarkStart w:id="313" w:name="_Toc184312121"/>
      <w:bookmarkEnd w:id="313"/>
      <w:bookmarkStart w:id="314" w:name="_Toc184312095"/>
      <w:bookmarkEnd w:id="314"/>
      <w:bookmarkStart w:id="315" w:name="_Toc184314445"/>
      <w:bookmarkEnd w:id="315"/>
      <w:bookmarkStart w:id="316" w:name="_Toc184312105"/>
      <w:bookmarkEnd w:id="316"/>
      <w:bookmarkStart w:id="317" w:name="_Toc184310286"/>
      <w:bookmarkEnd w:id="317"/>
      <w:bookmarkStart w:id="318" w:name="_Toc184313262"/>
      <w:bookmarkEnd w:id="318"/>
      <w:bookmarkStart w:id="319" w:name="_Toc184308040"/>
      <w:bookmarkEnd w:id="319"/>
      <w:bookmarkStart w:id="320" w:name="_Toc184313248"/>
      <w:bookmarkEnd w:id="320"/>
      <w:bookmarkStart w:id="321" w:name="_Toc184314434"/>
      <w:bookmarkEnd w:id="321"/>
      <w:bookmarkStart w:id="322" w:name="_Toc184314417"/>
      <w:bookmarkEnd w:id="322"/>
      <w:bookmarkStart w:id="323" w:name="_Toc184310296"/>
      <w:bookmarkEnd w:id="323"/>
      <w:bookmarkStart w:id="324" w:name="_Toc184314459"/>
      <w:bookmarkEnd w:id="324"/>
      <w:bookmarkStart w:id="325" w:name="_Toc184308069"/>
      <w:bookmarkEnd w:id="325"/>
      <w:bookmarkStart w:id="326" w:name="_Toc184314453"/>
      <w:bookmarkEnd w:id="326"/>
      <w:bookmarkStart w:id="327" w:name="_Toc184313299"/>
      <w:bookmarkEnd w:id="327"/>
      <w:bookmarkStart w:id="328" w:name="_Toc184313249"/>
      <w:bookmarkEnd w:id="328"/>
      <w:bookmarkStart w:id="329" w:name="_Toc184314422"/>
      <w:bookmarkEnd w:id="329"/>
      <w:bookmarkStart w:id="330" w:name="_Toc184310287"/>
      <w:bookmarkEnd w:id="330"/>
      <w:bookmarkStart w:id="331" w:name="_Toc184308087"/>
      <w:bookmarkEnd w:id="331"/>
      <w:bookmarkStart w:id="332" w:name="_Toc184312083"/>
      <w:bookmarkEnd w:id="332"/>
      <w:bookmarkStart w:id="333" w:name="_Toc184314415"/>
      <w:bookmarkEnd w:id="333"/>
      <w:bookmarkStart w:id="334" w:name="_Toc184314469"/>
      <w:bookmarkEnd w:id="334"/>
      <w:bookmarkStart w:id="335" w:name="_Toc184308064"/>
      <w:bookmarkEnd w:id="335"/>
      <w:bookmarkStart w:id="336" w:name="_Toc184308080"/>
      <w:bookmarkEnd w:id="336"/>
      <w:bookmarkStart w:id="337" w:name="_Toc184310281"/>
      <w:bookmarkEnd w:id="337"/>
      <w:bookmarkStart w:id="338" w:name="_Toc184308039"/>
      <w:bookmarkEnd w:id="338"/>
      <w:bookmarkStart w:id="339" w:name="_Toc184313274"/>
      <w:bookmarkEnd w:id="339"/>
      <w:bookmarkStart w:id="340" w:name="_Toc184313245"/>
      <w:bookmarkEnd w:id="340"/>
      <w:bookmarkStart w:id="341" w:name="_Toc184310323"/>
      <w:bookmarkEnd w:id="341"/>
      <w:bookmarkStart w:id="342" w:name="_Toc184313276"/>
      <w:bookmarkEnd w:id="342"/>
      <w:bookmarkStart w:id="343" w:name="_Toc184313269"/>
      <w:bookmarkEnd w:id="343"/>
      <w:bookmarkStart w:id="344" w:name="_Toc184312103"/>
      <w:bookmarkEnd w:id="344"/>
      <w:bookmarkStart w:id="345" w:name="_Toc184314455"/>
      <w:bookmarkEnd w:id="345"/>
      <w:bookmarkStart w:id="346" w:name="_Toc184310319"/>
      <w:bookmarkEnd w:id="346"/>
      <w:bookmarkStart w:id="347" w:name="_Toc184313279"/>
      <w:bookmarkEnd w:id="347"/>
      <w:bookmarkStart w:id="348" w:name="_Toc184314436"/>
      <w:bookmarkEnd w:id="348"/>
      <w:bookmarkStart w:id="349" w:name="_Toc184308045"/>
      <w:bookmarkEnd w:id="349"/>
      <w:bookmarkStart w:id="350" w:name="_Toc184310324"/>
      <w:bookmarkEnd w:id="350"/>
      <w:bookmarkStart w:id="351" w:name="_Toc184310279"/>
      <w:bookmarkEnd w:id="351"/>
      <w:bookmarkStart w:id="352" w:name="_Toc184312106"/>
      <w:bookmarkEnd w:id="352"/>
      <w:bookmarkStart w:id="353" w:name="_Toc184310337"/>
      <w:bookmarkEnd w:id="353"/>
      <w:bookmarkStart w:id="354" w:name="_Toc184314427"/>
      <w:bookmarkEnd w:id="354"/>
      <w:bookmarkStart w:id="355" w:name="_Toc184308074"/>
      <w:bookmarkEnd w:id="355"/>
      <w:bookmarkStart w:id="356" w:name="_Toc184313310"/>
      <w:bookmarkEnd w:id="356"/>
      <w:bookmarkStart w:id="357" w:name="_Toc184310311"/>
      <w:bookmarkEnd w:id="357"/>
      <w:bookmarkStart w:id="358" w:name="_Toc184312137"/>
      <w:bookmarkEnd w:id="358"/>
      <w:bookmarkStart w:id="359" w:name="_Toc184313287"/>
      <w:bookmarkEnd w:id="359"/>
      <w:bookmarkStart w:id="360" w:name="_Toc184314470"/>
      <w:bookmarkEnd w:id="360"/>
      <w:bookmarkStart w:id="361" w:name="_Toc184312075"/>
      <w:bookmarkEnd w:id="361"/>
      <w:bookmarkStart w:id="362" w:name="_Toc184310278"/>
      <w:bookmarkEnd w:id="362"/>
      <w:bookmarkStart w:id="363" w:name="_Toc184308104"/>
      <w:bookmarkEnd w:id="363"/>
      <w:bookmarkStart w:id="364" w:name="_Toc184312101"/>
      <w:bookmarkEnd w:id="364"/>
      <w:bookmarkStart w:id="365" w:name="_Toc184310282"/>
      <w:bookmarkEnd w:id="365"/>
      <w:bookmarkStart w:id="366" w:name="_Toc184314471"/>
      <w:bookmarkEnd w:id="366"/>
      <w:bookmarkStart w:id="367" w:name="_Toc184310272"/>
      <w:bookmarkEnd w:id="367"/>
      <w:bookmarkStart w:id="368" w:name="_Toc184308041"/>
      <w:bookmarkEnd w:id="368"/>
      <w:bookmarkStart w:id="369" w:name="_Toc184308099"/>
      <w:bookmarkEnd w:id="369"/>
      <w:bookmarkStart w:id="370" w:name="_Toc184314433"/>
      <w:bookmarkEnd w:id="370"/>
      <w:bookmarkStart w:id="371" w:name="_Toc184314473"/>
      <w:bookmarkEnd w:id="371"/>
      <w:bookmarkStart w:id="372" w:name="_Toc184312069"/>
      <w:bookmarkEnd w:id="372"/>
      <w:bookmarkStart w:id="373" w:name="_Toc184312076"/>
      <w:bookmarkEnd w:id="373"/>
      <w:bookmarkStart w:id="374" w:name="_Toc184308048"/>
      <w:bookmarkEnd w:id="374"/>
      <w:bookmarkStart w:id="375" w:name="_Toc184313278"/>
      <w:bookmarkEnd w:id="375"/>
      <w:bookmarkStart w:id="376" w:name="_Toc184312110"/>
      <w:bookmarkEnd w:id="376"/>
      <w:bookmarkStart w:id="377" w:name="_Toc184312088"/>
      <w:bookmarkEnd w:id="377"/>
      <w:bookmarkStart w:id="378" w:name="_Toc184314428"/>
      <w:bookmarkEnd w:id="378"/>
      <w:bookmarkStart w:id="379" w:name="_Toc184308058"/>
      <w:bookmarkEnd w:id="379"/>
      <w:bookmarkStart w:id="380" w:name="_Toc184310331"/>
      <w:bookmarkEnd w:id="380"/>
      <w:bookmarkStart w:id="381" w:name="_Toc184313251"/>
      <w:bookmarkEnd w:id="381"/>
      <w:bookmarkStart w:id="382" w:name="_Toc184310310"/>
      <w:bookmarkEnd w:id="382"/>
      <w:bookmarkStart w:id="383" w:name="_Toc184314475"/>
      <w:bookmarkEnd w:id="383"/>
      <w:bookmarkStart w:id="384" w:name="_Toc184313293"/>
      <w:bookmarkEnd w:id="384"/>
      <w:bookmarkStart w:id="385" w:name="_Toc184310292"/>
      <w:bookmarkEnd w:id="385"/>
      <w:bookmarkStart w:id="386" w:name="_Toc184308078"/>
      <w:bookmarkEnd w:id="386"/>
      <w:bookmarkStart w:id="387" w:name="_Toc184310293"/>
      <w:bookmarkEnd w:id="387"/>
      <w:bookmarkStart w:id="388" w:name="_Toc184310290"/>
      <w:bookmarkEnd w:id="388"/>
      <w:bookmarkStart w:id="389" w:name="_Toc184308070"/>
      <w:bookmarkEnd w:id="389"/>
      <w:bookmarkStart w:id="390" w:name="_Toc184310344"/>
      <w:bookmarkEnd w:id="390"/>
      <w:bookmarkStart w:id="391" w:name="_Toc184310341"/>
      <w:bookmarkEnd w:id="391"/>
      <w:bookmarkStart w:id="392" w:name="_Toc184313246"/>
      <w:bookmarkEnd w:id="392"/>
      <w:r>
        <w:rPr>
          <w:rFonts w:hint="eastAsia" w:ascii="宋体" w:hAnsi="宋体" w:eastAsia="宋体" w:cs="宋体"/>
          <w:b/>
          <w:color w:val="auto"/>
          <w:sz w:val="36"/>
          <w:szCs w:val="36"/>
          <w:highlight w:val="none"/>
        </w:rPr>
        <w:t>评标办法</w:t>
      </w:r>
    </w:p>
    <w:p w14:paraId="38468B90">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3"/>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5563"/>
        <w:gridCol w:w="573"/>
        <w:gridCol w:w="855"/>
        <w:gridCol w:w="1687"/>
      </w:tblGrid>
      <w:tr w14:paraId="78315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vAlign w:val="center"/>
          </w:tcPr>
          <w:p w14:paraId="10C7BF13">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2961" w:type="pct"/>
            <w:vAlign w:val="center"/>
          </w:tcPr>
          <w:p w14:paraId="7623FBD6">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评标标准</w:t>
            </w:r>
          </w:p>
        </w:tc>
        <w:tc>
          <w:tcPr>
            <w:tcW w:w="305" w:type="pct"/>
            <w:vAlign w:val="center"/>
          </w:tcPr>
          <w:p w14:paraId="449D912F">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权重</w:t>
            </w:r>
          </w:p>
        </w:tc>
        <w:tc>
          <w:tcPr>
            <w:tcW w:w="455" w:type="pct"/>
            <w:vAlign w:val="center"/>
          </w:tcPr>
          <w:p w14:paraId="18E86A03">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主观分/客观分属性</w:t>
            </w:r>
          </w:p>
        </w:tc>
        <w:tc>
          <w:tcPr>
            <w:tcW w:w="898" w:type="pct"/>
          </w:tcPr>
          <w:p w14:paraId="5537C6F9">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投标文件中评标标准相应的商务技术资料目录*</w:t>
            </w:r>
          </w:p>
        </w:tc>
      </w:tr>
      <w:tr w14:paraId="0F6C4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2" w:hRule="atLeast"/>
        </w:trPr>
        <w:tc>
          <w:tcPr>
            <w:tcW w:w="380" w:type="pct"/>
            <w:shd w:val="clear" w:color="auto" w:fill="auto"/>
            <w:vAlign w:val="center"/>
          </w:tcPr>
          <w:p w14:paraId="592E7F6B">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rPr>
              <w:t>1</w:t>
            </w:r>
          </w:p>
        </w:tc>
        <w:tc>
          <w:tcPr>
            <w:tcW w:w="2961" w:type="pct"/>
            <w:shd w:val="clear" w:color="auto" w:fill="auto"/>
            <w:vAlign w:val="center"/>
          </w:tcPr>
          <w:p w14:paraId="746C2D14">
            <w:pPr>
              <w:widowControl w:val="0"/>
              <w:wordWrap/>
              <w:adjustRightInd w:val="0"/>
              <w:snapToGrid w:val="0"/>
              <w:spacing w:line="360" w:lineRule="auto"/>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2022年1月1日以来（以合同签署日期或中标通知书落款日期为准），投标人具有类似项目业绩，每提供一个得0.5分，最高得</w:t>
            </w:r>
            <w:r>
              <w:rPr>
                <w:rFonts w:hint="eastAsia" w:ascii="宋体" w:hAnsi="宋体" w:cs="宋体"/>
                <w:bCs/>
                <w:color w:val="auto"/>
                <w:kern w:val="0"/>
                <w:sz w:val="21"/>
                <w:szCs w:val="21"/>
                <w:highlight w:val="none"/>
                <w:lang w:val="en-US" w:eastAsia="zh-CN"/>
              </w:rPr>
              <w:t>1</w:t>
            </w:r>
            <w:r>
              <w:rPr>
                <w:rFonts w:hint="eastAsia" w:ascii="宋体" w:hAnsi="宋体" w:eastAsia="宋体" w:cs="宋体"/>
                <w:bCs/>
                <w:color w:val="auto"/>
                <w:kern w:val="0"/>
                <w:sz w:val="21"/>
                <w:szCs w:val="21"/>
                <w:highlight w:val="none"/>
                <w:lang w:val="en-US" w:eastAsia="zh-CN"/>
              </w:rPr>
              <w:t>分。（证明材料：提供合同或中标通知书复印件。）</w:t>
            </w:r>
          </w:p>
        </w:tc>
        <w:tc>
          <w:tcPr>
            <w:tcW w:w="305" w:type="pct"/>
            <w:shd w:val="clear" w:color="auto" w:fill="auto"/>
            <w:vAlign w:val="center"/>
          </w:tcPr>
          <w:p w14:paraId="44F029F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1</w:t>
            </w:r>
          </w:p>
        </w:tc>
        <w:tc>
          <w:tcPr>
            <w:tcW w:w="455" w:type="pct"/>
            <w:shd w:val="clear" w:color="auto" w:fill="auto"/>
            <w:vAlign w:val="center"/>
          </w:tcPr>
          <w:p w14:paraId="6D84B5D4">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客观分</w:t>
            </w:r>
          </w:p>
        </w:tc>
        <w:tc>
          <w:tcPr>
            <w:tcW w:w="898" w:type="pct"/>
            <w:shd w:val="clear" w:color="auto" w:fill="auto"/>
            <w:vAlign w:val="center"/>
          </w:tcPr>
          <w:p w14:paraId="5CA8165F">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3219C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80" w:type="pct"/>
            <w:shd w:val="clear" w:color="auto" w:fill="auto"/>
            <w:vAlign w:val="center"/>
          </w:tcPr>
          <w:p w14:paraId="53A11962">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rPr>
              <w:t>2</w:t>
            </w:r>
          </w:p>
        </w:tc>
        <w:tc>
          <w:tcPr>
            <w:tcW w:w="2961" w:type="pct"/>
            <w:shd w:val="clear" w:color="auto" w:fill="auto"/>
            <w:vAlign w:val="center"/>
          </w:tcPr>
          <w:p w14:paraId="5A3299D8">
            <w:pPr>
              <w:widowControl w:val="0"/>
              <w:wordWrap/>
              <w:adjustRightInd w:val="0"/>
              <w:snapToGrid w:val="0"/>
              <w:spacing w:line="360" w:lineRule="auto"/>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投标人具有有效期内的职业健康安全管理体系认证、质量管理体系认证、环境管理体系认证证书，每个证书得2分，最高得6分。（证明材料：</w:t>
            </w:r>
            <w:r>
              <w:rPr>
                <w:rFonts w:hint="eastAsia" w:ascii="宋体" w:hAnsi="宋体" w:cs="宋体"/>
                <w:i w:val="0"/>
                <w:iCs w:val="0"/>
                <w:color w:val="auto"/>
                <w:kern w:val="0"/>
                <w:sz w:val="21"/>
                <w:szCs w:val="21"/>
                <w:highlight w:val="none"/>
                <w:u w:val="none"/>
                <w:lang w:val="en-US" w:eastAsia="zh-CN" w:bidi="ar-SA"/>
              </w:rPr>
              <w:t>提供证书复印件及</w:t>
            </w:r>
            <w:r>
              <w:rPr>
                <w:rFonts w:hint="eastAsia" w:ascii="宋体" w:hAnsi="宋体" w:eastAsia="宋体" w:cs="宋体"/>
                <w:i w:val="0"/>
                <w:iCs w:val="0"/>
                <w:color w:val="auto"/>
                <w:kern w:val="0"/>
                <w:sz w:val="21"/>
                <w:szCs w:val="21"/>
                <w:highlight w:val="none"/>
                <w:u w:val="none"/>
                <w:lang w:val="en-US" w:eastAsia="zh-CN" w:bidi="ar-SA"/>
              </w:rPr>
              <w:t>全国认证认可信息公共服务平台（http://cx.cnca.cn/）网页截图</w:t>
            </w:r>
            <w:r>
              <w:rPr>
                <w:rFonts w:hint="eastAsia" w:ascii="宋体" w:hAnsi="宋体" w:cs="宋体"/>
                <w:i w:val="0"/>
                <w:iCs w:val="0"/>
                <w:color w:val="auto"/>
                <w:kern w:val="0"/>
                <w:sz w:val="21"/>
                <w:szCs w:val="21"/>
                <w:highlight w:val="none"/>
                <w:u w:val="none"/>
                <w:lang w:val="en-US" w:eastAsia="zh-CN" w:bidi="ar-SA"/>
              </w:rPr>
              <w:t>并</w:t>
            </w:r>
            <w:r>
              <w:rPr>
                <w:rFonts w:hint="eastAsia" w:ascii="宋体" w:hAnsi="宋体" w:eastAsia="宋体" w:cs="宋体"/>
                <w:i w:val="0"/>
                <w:iCs w:val="0"/>
                <w:color w:val="auto"/>
                <w:kern w:val="0"/>
                <w:sz w:val="21"/>
                <w:szCs w:val="21"/>
                <w:highlight w:val="none"/>
                <w:u w:val="none"/>
                <w:lang w:val="en-US" w:eastAsia="zh-CN" w:bidi="ar-SA"/>
              </w:rPr>
              <w:t>加盖公章</w:t>
            </w:r>
            <w:r>
              <w:rPr>
                <w:rFonts w:hint="eastAsia" w:ascii="宋体" w:hAnsi="宋体" w:cs="宋体"/>
                <w:i w:val="0"/>
                <w:iCs w:val="0"/>
                <w:color w:val="auto"/>
                <w:kern w:val="0"/>
                <w:sz w:val="21"/>
                <w:szCs w:val="21"/>
                <w:highlight w:val="none"/>
                <w:u w:val="none"/>
                <w:lang w:val="en-US" w:eastAsia="zh-CN" w:bidi="ar-SA"/>
              </w:rPr>
              <w:t>，证书须处于“有效”状态,不提供、提供不全或不符合要求不得分</w:t>
            </w:r>
            <w:r>
              <w:rPr>
                <w:rFonts w:hint="eastAsia" w:ascii="宋体" w:hAnsi="宋体" w:eastAsia="宋体" w:cs="宋体"/>
                <w:i w:val="0"/>
                <w:iCs w:val="0"/>
                <w:color w:val="auto"/>
                <w:kern w:val="0"/>
                <w:sz w:val="21"/>
                <w:szCs w:val="21"/>
                <w:highlight w:val="none"/>
                <w:u w:val="none"/>
                <w:lang w:val="en-US" w:eastAsia="zh-CN" w:bidi="ar-SA"/>
              </w:rPr>
              <w:t>。</w:t>
            </w:r>
            <w:r>
              <w:rPr>
                <w:rFonts w:hint="eastAsia" w:ascii="宋体" w:hAnsi="宋体" w:eastAsia="宋体" w:cs="宋体"/>
                <w:bCs/>
                <w:color w:val="auto"/>
                <w:kern w:val="0"/>
                <w:sz w:val="21"/>
                <w:szCs w:val="21"/>
                <w:highlight w:val="none"/>
                <w:lang w:val="en-US" w:eastAsia="zh-CN"/>
              </w:rPr>
              <w:t>）</w:t>
            </w:r>
          </w:p>
        </w:tc>
        <w:tc>
          <w:tcPr>
            <w:tcW w:w="305" w:type="pct"/>
            <w:shd w:val="clear" w:color="auto" w:fill="auto"/>
            <w:vAlign w:val="center"/>
          </w:tcPr>
          <w:p w14:paraId="6B4E7B09">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6</w:t>
            </w:r>
          </w:p>
        </w:tc>
        <w:tc>
          <w:tcPr>
            <w:tcW w:w="455" w:type="pct"/>
            <w:shd w:val="clear" w:color="auto" w:fill="auto"/>
            <w:vAlign w:val="center"/>
          </w:tcPr>
          <w:p w14:paraId="5880941B">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客观分</w:t>
            </w:r>
          </w:p>
        </w:tc>
        <w:tc>
          <w:tcPr>
            <w:tcW w:w="898" w:type="pct"/>
            <w:shd w:val="clear" w:color="auto" w:fill="auto"/>
            <w:vAlign w:val="center"/>
          </w:tcPr>
          <w:p w14:paraId="3B1C620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2F5AD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52C11B1B">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rPr>
            </w:pPr>
            <w:r>
              <w:rPr>
                <w:rFonts w:hint="eastAsia" w:ascii="宋体" w:hAnsi="宋体" w:cs="宋体"/>
                <w:i w:val="0"/>
                <w:iCs w:val="0"/>
                <w:color w:val="auto"/>
                <w:kern w:val="0"/>
                <w:sz w:val="21"/>
                <w:szCs w:val="21"/>
                <w:highlight w:val="none"/>
                <w:u w:val="none"/>
                <w:lang w:val="en-US" w:eastAsia="zh-CN"/>
              </w:rPr>
              <w:t>3</w:t>
            </w:r>
          </w:p>
        </w:tc>
        <w:tc>
          <w:tcPr>
            <w:tcW w:w="2961" w:type="pct"/>
            <w:shd w:val="clear" w:color="auto" w:fill="auto"/>
            <w:vAlign w:val="center"/>
          </w:tcPr>
          <w:p w14:paraId="62A6B76F">
            <w:pPr>
              <w:widowControl w:val="0"/>
              <w:wordWrap/>
              <w:adjustRightInd w:val="0"/>
              <w:snapToGrid w:val="0"/>
              <w:spacing w:line="360" w:lineRule="auto"/>
              <w:textAlignment w:val="auto"/>
              <w:rPr>
                <w:rFonts w:hint="default" w:ascii="宋体" w:hAnsi="宋体" w:eastAsia="宋体" w:cs="宋体"/>
                <w:bCs/>
                <w:color w:val="auto"/>
                <w:kern w:val="0"/>
                <w:sz w:val="21"/>
                <w:szCs w:val="21"/>
                <w:highlight w:val="none"/>
                <w:lang w:val="en-US" w:eastAsia="zh-CN"/>
              </w:rPr>
            </w:pPr>
            <w:r>
              <w:rPr>
                <w:rFonts w:hint="eastAsia" w:ascii="宋体" w:hAnsi="宋体" w:cs="宋体"/>
                <w:bCs/>
                <w:color w:val="auto"/>
                <w:kern w:val="0"/>
                <w:sz w:val="21"/>
                <w:szCs w:val="21"/>
                <w:highlight w:val="none"/>
                <w:lang w:val="en-US" w:eastAsia="zh-CN"/>
              </w:rPr>
              <w:t>投标人拟派项目负责人：①具有大专学历的得1.5分，本科学历及以上的得3分，最高得3分；②从事相关工作1年（含）的得1.5分，从事相关工作2年及以上的得3分，最高得3分。本项最高得6分。</w:t>
            </w:r>
            <w:r>
              <w:rPr>
                <w:rFonts w:hint="eastAsia" w:ascii="宋体" w:hAnsi="宋体" w:eastAsia="宋体" w:cs="宋体"/>
                <w:bCs/>
                <w:color w:val="auto"/>
                <w:kern w:val="0"/>
                <w:sz w:val="21"/>
                <w:szCs w:val="21"/>
                <w:highlight w:val="none"/>
                <w:lang w:val="en-US" w:eastAsia="zh-CN"/>
              </w:rPr>
              <w:t>（证明材料：</w:t>
            </w:r>
            <w:r>
              <w:rPr>
                <w:rFonts w:hint="eastAsia" w:ascii="宋体" w:hAnsi="宋体" w:cs="宋体"/>
                <w:bCs/>
                <w:color w:val="auto"/>
                <w:kern w:val="0"/>
                <w:sz w:val="21"/>
                <w:szCs w:val="21"/>
                <w:highlight w:val="none"/>
                <w:lang w:val="en-US" w:eastAsia="zh-CN"/>
              </w:rPr>
              <w:t>①提供证书复印件和投标人为其距投标截止时间3个月内任意一个月的社保缴纳证明，否则不得分。②提供服务合同，需体现项目负责人名字，若无法体现的需提供业主盖章的证明材料。</w:t>
            </w:r>
            <w:r>
              <w:rPr>
                <w:rFonts w:hint="eastAsia" w:ascii="宋体" w:hAnsi="宋体" w:eastAsia="宋体" w:cs="宋体"/>
                <w:bCs/>
                <w:color w:val="auto"/>
                <w:kern w:val="0"/>
                <w:sz w:val="21"/>
                <w:szCs w:val="21"/>
                <w:highlight w:val="none"/>
                <w:lang w:val="en-US" w:eastAsia="zh-CN"/>
              </w:rPr>
              <w:t>）</w:t>
            </w:r>
          </w:p>
        </w:tc>
        <w:tc>
          <w:tcPr>
            <w:tcW w:w="305" w:type="pct"/>
            <w:shd w:val="clear" w:color="auto" w:fill="auto"/>
            <w:vAlign w:val="center"/>
          </w:tcPr>
          <w:p w14:paraId="1D9A070C">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6</w:t>
            </w:r>
          </w:p>
        </w:tc>
        <w:tc>
          <w:tcPr>
            <w:tcW w:w="455" w:type="pct"/>
            <w:shd w:val="clear" w:color="auto" w:fill="auto"/>
            <w:vAlign w:val="center"/>
          </w:tcPr>
          <w:p w14:paraId="2D7BAD6D">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客观分</w:t>
            </w:r>
          </w:p>
        </w:tc>
        <w:tc>
          <w:tcPr>
            <w:tcW w:w="898" w:type="pct"/>
            <w:shd w:val="clear" w:color="auto" w:fill="auto"/>
            <w:vAlign w:val="center"/>
          </w:tcPr>
          <w:p w14:paraId="4454E47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30DA2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4F92D535">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rPr>
              <w:t>4</w:t>
            </w:r>
          </w:p>
        </w:tc>
        <w:tc>
          <w:tcPr>
            <w:tcW w:w="2961" w:type="pct"/>
            <w:shd w:val="clear" w:color="auto" w:fill="auto"/>
            <w:vAlign w:val="center"/>
          </w:tcPr>
          <w:p w14:paraId="5D2A35F2">
            <w:pPr>
              <w:widowControl w:val="0"/>
              <w:wordWrap/>
              <w:adjustRightInd w:val="0"/>
              <w:snapToGrid w:val="0"/>
              <w:spacing w:line="360" w:lineRule="auto"/>
              <w:textAlignment w:val="auto"/>
              <w:rPr>
                <w:rFonts w:hint="default"/>
                <w:color w:val="auto"/>
                <w:lang w:val="en-US" w:eastAsia="zh-CN"/>
              </w:rPr>
            </w:pPr>
            <w:r>
              <w:rPr>
                <w:rFonts w:hint="eastAsia" w:ascii="宋体" w:hAnsi="宋体" w:cs="宋体"/>
                <w:bCs/>
                <w:color w:val="auto"/>
                <w:kern w:val="0"/>
                <w:sz w:val="21"/>
                <w:szCs w:val="21"/>
                <w:highlight w:val="none"/>
                <w:lang w:val="en-US" w:eastAsia="zh-CN"/>
              </w:rPr>
              <w:t>投标人拟派项目团队人员，具有</w:t>
            </w:r>
            <w:r>
              <w:rPr>
                <w:rFonts w:hint="eastAsia" w:ascii="宋体" w:hAnsi="宋体" w:eastAsia="宋体" w:cs="宋体"/>
                <w:color w:val="auto"/>
                <w:kern w:val="0"/>
                <w:sz w:val="21"/>
                <w:szCs w:val="21"/>
                <w:highlight w:val="none"/>
                <w:lang w:val="en-US" w:eastAsia="zh-CN" w:bidi="ar-SA"/>
              </w:rPr>
              <w:t>普通话水平测试二级乙等证书的得2分</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具有普通话水平测试二级甲等（含）及以上证书的</w:t>
            </w:r>
            <w:r>
              <w:rPr>
                <w:rFonts w:hint="eastAsia" w:ascii="宋体" w:hAnsi="宋体" w:cs="宋体"/>
                <w:color w:val="auto"/>
                <w:kern w:val="0"/>
                <w:sz w:val="21"/>
                <w:szCs w:val="21"/>
                <w:highlight w:val="none"/>
                <w:lang w:val="en-US" w:eastAsia="zh-CN" w:bidi="ar-SA"/>
              </w:rPr>
              <w:t>4分，本项最高得4分。</w:t>
            </w:r>
            <w:r>
              <w:rPr>
                <w:rFonts w:hint="eastAsia" w:hAnsi="宋体" w:cs="宋体"/>
                <w:color w:val="auto"/>
                <w:kern w:val="0"/>
                <w:sz w:val="21"/>
                <w:szCs w:val="21"/>
                <w:highlight w:val="none"/>
                <w:lang w:val="en-US" w:eastAsia="zh-CN" w:bidi="ar-SA"/>
              </w:rPr>
              <w:t>（证明材料：提供证书复印件</w:t>
            </w:r>
            <w:r>
              <w:rPr>
                <w:rFonts w:hint="eastAsia" w:ascii="宋体" w:hAnsi="宋体" w:cs="宋体"/>
                <w:bCs/>
                <w:color w:val="auto"/>
                <w:kern w:val="0"/>
                <w:sz w:val="21"/>
                <w:szCs w:val="21"/>
                <w:highlight w:val="none"/>
                <w:lang w:val="en-US" w:eastAsia="zh-CN"/>
              </w:rPr>
              <w:t>和投标人为其距投标截止时间3个月内任意一个月的社保缴纳证明，否则不得分。</w:t>
            </w:r>
            <w:r>
              <w:rPr>
                <w:rFonts w:hint="eastAsia" w:hAnsi="宋体" w:cs="宋体"/>
                <w:color w:val="auto"/>
                <w:kern w:val="0"/>
                <w:sz w:val="21"/>
                <w:szCs w:val="21"/>
                <w:highlight w:val="none"/>
                <w:lang w:val="en-US" w:eastAsia="zh-CN" w:bidi="ar-SA"/>
              </w:rPr>
              <w:t>）</w:t>
            </w:r>
          </w:p>
        </w:tc>
        <w:tc>
          <w:tcPr>
            <w:tcW w:w="305" w:type="pct"/>
            <w:shd w:val="clear" w:color="auto" w:fill="auto"/>
            <w:vAlign w:val="center"/>
          </w:tcPr>
          <w:p w14:paraId="29059A69">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4</w:t>
            </w:r>
          </w:p>
        </w:tc>
        <w:tc>
          <w:tcPr>
            <w:tcW w:w="455" w:type="pct"/>
            <w:shd w:val="clear" w:color="auto" w:fill="auto"/>
            <w:vAlign w:val="center"/>
          </w:tcPr>
          <w:p w14:paraId="0C9AF9D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客观分</w:t>
            </w:r>
          </w:p>
        </w:tc>
        <w:tc>
          <w:tcPr>
            <w:tcW w:w="898" w:type="pct"/>
            <w:shd w:val="clear" w:color="auto" w:fill="auto"/>
            <w:vAlign w:val="center"/>
          </w:tcPr>
          <w:p w14:paraId="0814515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71783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6CB05D76">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rPr>
              <w:t>5</w:t>
            </w:r>
          </w:p>
        </w:tc>
        <w:tc>
          <w:tcPr>
            <w:tcW w:w="2961" w:type="pct"/>
            <w:shd w:val="clear" w:color="auto" w:fill="auto"/>
            <w:vAlign w:val="center"/>
          </w:tcPr>
          <w:p w14:paraId="1E3089C3">
            <w:pPr>
              <w:widowControl w:val="0"/>
              <w:wordWrap/>
              <w:adjustRightInd w:val="0"/>
              <w:snapToGrid w:val="0"/>
              <w:spacing w:line="360" w:lineRule="auto"/>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针对“第三部分 采购需求”内容，每负偏离一项扣2分，扣完为止。</w:t>
            </w:r>
          </w:p>
        </w:tc>
        <w:tc>
          <w:tcPr>
            <w:tcW w:w="305" w:type="pct"/>
            <w:shd w:val="clear" w:color="auto" w:fill="auto"/>
            <w:vAlign w:val="center"/>
          </w:tcPr>
          <w:p w14:paraId="56C6DBEA">
            <w:pPr>
              <w:widowControl w:val="0"/>
              <w:wordWrap/>
              <w:adjustRightInd w:val="0"/>
              <w:snapToGrid w:val="0"/>
              <w:spacing w:line="360" w:lineRule="auto"/>
              <w:jc w:val="center"/>
              <w:textAlignment w:val="auto"/>
              <w:rPr>
                <w:rFonts w:hint="default"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1</w:t>
            </w:r>
            <w:r>
              <w:rPr>
                <w:rFonts w:hint="eastAsia" w:ascii="宋体" w:hAnsi="宋体" w:cs="宋体"/>
                <w:bCs/>
                <w:color w:val="auto"/>
                <w:kern w:val="0"/>
                <w:sz w:val="21"/>
                <w:szCs w:val="21"/>
                <w:highlight w:val="none"/>
                <w:lang w:val="en-US" w:eastAsia="zh-CN"/>
              </w:rPr>
              <w:t>2</w:t>
            </w:r>
          </w:p>
        </w:tc>
        <w:tc>
          <w:tcPr>
            <w:tcW w:w="455" w:type="pct"/>
            <w:shd w:val="clear" w:color="auto" w:fill="auto"/>
            <w:vAlign w:val="center"/>
          </w:tcPr>
          <w:p w14:paraId="2A525969">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客观分</w:t>
            </w:r>
          </w:p>
        </w:tc>
        <w:tc>
          <w:tcPr>
            <w:tcW w:w="898" w:type="pct"/>
            <w:shd w:val="clear" w:color="auto" w:fill="auto"/>
            <w:vAlign w:val="center"/>
          </w:tcPr>
          <w:p w14:paraId="79221676">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5D045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07E66B3C">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rPr>
              <w:t>6</w:t>
            </w:r>
          </w:p>
        </w:tc>
        <w:tc>
          <w:tcPr>
            <w:tcW w:w="2961" w:type="pct"/>
            <w:shd w:val="clear" w:color="auto" w:fill="auto"/>
            <w:vAlign w:val="center"/>
          </w:tcPr>
          <w:p w14:paraId="6664C8A2">
            <w:pPr>
              <w:widowControl w:val="0"/>
              <w:wordWrap/>
              <w:adjustRightInd w:val="0"/>
              <w:snapToGrid w:val="0"/>
              <w:spacing w:line="360" w:lineRule="auto"/>
              <w:textAlignment w:val="auto"/>
              <w:rPr>
                <w:rFonts w:hint="default"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投标人对本项目背景、项目需求分析，根据了解程度、全面、详细、透彻进行评审，评审分值为5分或4分或3分或2分或1分或0分。</w:t>
            </w:r>
          </w:p>
        </w:tc>
        <w:tc>
          <w:tcPr>
            <w:tcW w:w="305" w:type="pct"/>
            <w:shd w:val="clear" w:color="auto" w:fill="auto"/>
            <w:vAlign w:val="center"/>
          </w:tcPr>
          <w:p w14:paraId="4C42D1EE">
            <w:pPr>
              <w:widowControl w:val="0"/>
              <w:wordWrap/>
              <w:adjustRightInd w:val="0"/>
              <w:snapToGrid w:val="0"/>
              <w:spacing w:line="360" w:lineRule="auto"/>
              <w:jc w:val="center"/>
              <w:textAlignment w:val="auto"/>
              <w:rPr>
                <w:rFonts w:hint="default"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5</w:t>
            </w:r>
          </w:p>
        </w:tc>
        <w:tc>
          <w:tcPr>
            <w:tcW w:w="455" w:type="pct"/>
            <w:shd w:val="clear" w:color="auto" w:fill="auto"/>
            <w:vAlign w:val="center"/>
          </w:tcPr>
          <w:p w14:paraId="76B2CF5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5CE383B6">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7831D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7509086F">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rPr>
              <w:t>7</w:t>
            </w:r>
          </w:p>
        </w:tc>
        <w:tc>
          <w:tcPr>
            <w:tcW w:w="2961" w:type="pct"/>
            <w:shd w:val="clear" w:color="auto" w:fill="auto"/>
            <w:vAlign w:val="center"/>
          </w:tcPr>
          <w:p w14:paraId="1BA6C47B">
            <w:pPr>
              <w:widowControl w:val="0"/>
              <w:wordWrap/>
              <w:adjustRightInd w:val="0"/>
              <w:snapToGrid w:val="0"/>
              <w:spacing w:line="360" w:lineRule="auto"/>
              <w:textAlignment w:val="auto"/>
              <w:rPr>
                <w:rFonts w:hint="default" w:cs="Times New Roman"/>
                <w:color w:val="auto"/>
                <w:kern w:val="2"/>
                <w:sz w:val="21"/>
                <w:szCs w:val="24"/>
                <w:highlight w:val="none"/>
                <w:lang w:val="en-US" w:eastAsia="zh-CN" w:bidi="ar-SA"/>
              </w:rPr>
            </w:pPr>
            <w:r>
              <w:rPr>
                <w:rFonts w:hint="eastAsia" w:cs="Times New Roman"/>
                <w:color w:val="auto"/>
                <w:kern w:val="2"/>
                <w:sz w:val="21"/>
                <w:szCs w:val="24"/>
                <w:highlight w:val="none"/>
                <w:lang w:val="en-US" w:eastAsia="zh-CN" w:bidi="ar-SA"/>
              </w:rPr>
              <w:t>投标人运营管理方案、</w:t>
            </w:r>
            <w:r>
              <w:rPr>
                <w:rFonts w:hint="eastAsia" w:ascii="宋体" w:hAnsi="宋体" w:eastAsia="宋体" w:cs="宋体"/>
                <w:color w:val="auto"/>
                <w:sz w:val="21"/>
                <w:szCs w:val="21"/>
                <w:highlight w:val="none"/>
                <w:lang w:val="en-US" w:eastAsia="zh-CN"/>
              </w:rPr>
              <w:t>后台技术专家支撑、对客户投诉后的处理措施</w:t>
            </w:r>
            <w:r>
              <w:rPr>
                <w:rFonts w:hint="eastAsia" w:cs="Times New Roman"/>
                <w:color w:val="auto"/>
                <w:kern w:val="2"/>
                <w:sz w:val="21"/>
                <w:szCs w:val="24"/>
                <w:highlight w:val="none"/>
                <w:lang w:val="en-US" w:eastAsia="zh-CN" w:bidi="ar-SA"/>
              </w:rPr>
              <w:t>，根据方案完善性、合理性、针对性和操作性进行评审，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503B15CB">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2023236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58010EA0">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7CF33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1BE37BD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rPr>
              <w:t>8</w:t>
            </w:r>
          </w:p>
        </w:tc>
        <w:tc>
          <w:tcPr>
            <w:tcW w:w="2961" w:type="pct"/>
            <w:shd w:val="clear" w:color="auto" w:fill="auto"/>
            <w:vAlign w:val="center"/>
          </w:tcPr>
          <w:p w14:paraId="73BB603F">
            <w:pPr>
              <w:widowControl w:val="0"/>
              <w:wordWrap/>
              <w:adjustRightInd w:val="0"/>
              <w:snapToGrid w:val="0"/>
              <w:spacing w:line="360" w:lineRule="auto"/>
              <w:textAlignment w:val="auto"/>
              <w:rPr>
                <w:rFonts w:hint="eastAsia" w:cs="Times New Roman"/>
                <w:color w:val="auto"/>
                <w:kern w:val="2"/>
                <w:sz w:val="21"/>
                <w:szCs w:val="24"/>
                <w:highlight w:val="none"/>
                <w:lang w:val="en-US" w:eastAsia="zh-CN" w:bidi="ar-SA"/>
              </w:rPr>
            </w:pPr>
            <w:r>
              <w:rPr>
                <w:rFonts w:hint="eastAsia" w:ascii="宋体" w:hAnsi="宋体" w:eastAsia="宋体" w:cs="宋体"/>
                <w:color w:val="auto"/>
                <w:kern w:val="0"/>
                <w:sz w:val="21"/>
                <w:szCs w:val="21"/>
                <w:highlight w:val="none"/>
                <w:lang w:val="en-US" w:eastAsia="zh-CN"/>
              </w:rPr>
              <w:t>客服专线接听及报警处理</w:t>
            </w:r>
            <w:r>
              <w:rPr>
                <w:rFonts w:hint="eastAsia" w:ascii="宋体" w:hAnsi="宋体" w:eastAsia="宋体" w:cs="宋体"/>
                <w:color w:val="auto"/>
                <w:kern w:val="0"/>
                <w:sz w:val="21"/>
                <w:szCs w:val="21"/>
                <w:highlight w:val="none"/>
              </w:rPr>
              <w:t>方案</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根据方案</w:t>
            </w:r>
            <w:r>
              <w:rPr>
                <w:rFonts w:hint="eastAsia" w:ascii="宋体" w:hAnsi="宋体" w:eastAsia="宋体" w:cs="宋体"/>
                <w:color w:val="auto"/>
                <w:kern w:val="0"/>
                <w:sz w:val="21"/>
                <w:szCs w:val="21"/>
                <w:highlight w:val="none"/>
              </w:rPr>
              <w:t>保障话务平台7*24小时工作的</w:t>
            </w:r>
            <w:r>
              <w:rPr>
                <w:rFonts w:hint="eastAsia" w:ascii="宋体" w:hAnsi="宋体" w:eastAsia="宋体" w:cs="宋体"/>
                <w:color w:val="auto"/>
                <w:kern w:val="0"/>
                <w:sz w:val="21"/>
                <w:szCs w:val="21"/>
                <w:highlight w:val="none"/>
                <w:lang w:val="en-US" w:eastAsia="zh-CN"/>
              </w:rPr>
              <w:t>专业性</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高效</w:t>
            </w:r>
            <w:r>
              <w:rPr>
                <w:rFonts w:hint="eastAsia" w:ascii="宋体" w:hAnsi="宋体" w:eastAsia="宋体" w:cs="宋体"/>
                <w:color w:val="auto"/>
                <w:kern w:val="0"/>
                <w:sz w:val="21"/>
                <w:szCs w:val="21"/>
                <w:highlight w:val="none"/>
              </w:rPr>
              <w:t>性</w:t>
            </w:r>
            <w:r>
              <w:rPr>
                <w:rFonts w:hint="eastAsia" w:ascii="宋体" w:hAnsi="宋体" w:eastAsia="宋体" w:cs="宋体"/>
                <w:color w:val="auto"/>
                <w:kern w:val="0"/>
                <w:sz w:val="21"/>
                <w:szCs w:val="21"/>
                <w:highlight w:val="none"/>
                <w:lang w:val="en-US" w:eastAsia="zh-CN"/>
              </w:rPr>
              <w:t>实操性</w:t>
            </w:r>
            <w:r>
              <w:rPr>
                <w:rFonts w:hint="eastAsia" w:ascii="宋体" w:hAnsi="宋体" w:eastAsia="宋体" w:cs="宋体"/>
                <w:color w:val="auto"/>
                <w:kern w:val="0"/>
                <w:sz w:val="21"/>
                <w:szCs w:val="21"/>
                <w:highlight w:val="none"/>
              </w:rPr>
              <w:t>进行</w:t>
            </w:r>
            <w:r>
              <w:rPr>
                <w:rFonts w:hint="eastAsia" w:cs="Times New Roman"/>
                <w:color w:val="auto"/>
                <w:kern w:val="2"/>
                <w:sz w:val="21"/>
                <w:szCs w:val="24"/>
                <w:highlight w:val="none"/>
                <w:lang w:val="en-US" w:eastAsia="zh-CN" w:bidi="ar-SA"/>
              </w:rPr>
              <w:t>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28DAF937">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05136D92">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2759BC95">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48CBC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13FD5A9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9</w:t>
            </w:r>
          </w:p>
        </w:tc>
        <w:tc>
          <w:tcPr>
            <w:tcW w:w="2961" w:type="pct"/>
            <w:shd w:val="clear" w:color="auto" w:fill="auto"/>
            <w:vAlign w:val="center"/>
          </w:tcPr>
          <w:p w14:paraId="7F4D6E8F">
            <w:pPr>
              <w:widowControl w:val="0"/>
              <w:wordWrap/>
              <w:adjustRightInd w:val="0"/>
              <w:snapToGrid w:val="0"/>
              <w:spacing w:line="360" w:lineRule="auto"/>
              <w:textAlignment w:val="auto"/>
              <w:rPr>
                <w:rFonts w:hint="eastAsia" w:cs="Times New Roman"/>
                <w:color w:val="auto"/>
                <w:kern w:val="2"/>
                <w:sz w:val="21"/>
                <w:szCs w:val="24"/>
                <w:highlight w:val="none"/>
                <w:lang w:val="en-US" w:eastAsia="zh-CN" w:bidi="ar-SA"/>
              </w:rPr>
            </w:pPr>
            <w:r>
              <w:rPr>
                <w:rFonts w:hint="eastAsia" w:ascii="宋体" w:hAnsi="宋体" w:eastAsia="宋体" w:cs="宋体"/>
                <w:color w:val="auto"/>
                <w:kern w:val="0"/>
                <w:sz w:val="21"/>
                <w:szCs w:val="21"/>
                <w:highlight w:val="none"/>
              </w:rPr>
              <w:t>故障处理及应急预案：根据应对突发状况的应急举措、故障处理、响应时间、人员</w:t>
            </w:r>
            <w:r>
              <w:rPr>
                <w:rFonts w:hint="eastAsia" w:ascii="宋体" w:hAnsi="宋体" w:cs="宋体"/>
                <w:color w:val="auto"/>
                <w:kern w:val="0"/>
                <w:sz w:val="21"/>
                <w:szCs w:val="21"/>
                <w:highlight w:val="none"/>
                <w:lang w:val="en-US" w:eastAsia="zh-CN"/>
              </w:rPr>
              <w:t>及替补力量（或另配机动人员）</w:t>
            </w:r>
            <w:r>
              <w:rPr>
                <w:rFonts w:hint="eastAsia" w:ascii="宋体" w:hAnsi="宋体" w:eastAsia="宋体" w:cs="宋体"/>
                <w:color w:val="auto"/>
                <w:kern w:val="0"/>
                <w:sz w:val="21"/>
                <w:szCs w:val="21"/>
                <w:highlight w:val="none"/>
              </w:rPr>
              <w:t>、后续处理方法等内容进行</w:t>
            </w:r>
            <w:r>
              <w:rPr>
                <w:rFonts w:hint="eastAsia" w:cs="Times New Roman"/>
                <w:color w:val="auto"/>
                <w:kern w:val="2"/>
                <w:sz w:val="21"/>
                <w:szCs w:val="24"/>
                <w:highlight w:val="none"/>
                <w:lang w:val="en-US" w:eastAsia="zh-CN" w:bidi="ar-SA"/>
              </w:rPr>
              <w:t>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45BE9A9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0D532C9C">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02707535">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69DCE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2CDBA49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10</w:t>
            </w:r>
          </w:p>
        </w:tc>
        <w:tc>
          <w:tcPr>
            <w:tcW w:w="2961" w:type="pct"/>
            <w:shd w:val="clear" w:color="auto" w:fill="auto"/>
            <w:vAlign w:val="top"/>
          </w:tcPr>
          <w:p w14:paraId="4745A57C">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color w:val="auto"/>
                <w:sz w:val="21"/>
                <w:szCs w:val="21"/>
                <w:highlight w:val="none"/>
                <w:lang w:val="en-US" w:eastAsia="zh-CN"/>
              </w:rPr>
              <w:t>投标人针对本项目服务过程中的重点</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难点分析，提供相应的方案和应对措施，根据分析全面、到位且能提出创新性见解的，应对方案、措施针对性、可操作性进行评审，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4459E6FA">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296771B9">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41DD2059">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549C8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3ACFB769">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11</w:t>
            </w:r>
          </w:p>
        </w:tc>
        <w:tc>
          <w:tcPr>
            <w:tcW w:w="2961" w:type="pct"/>
            <w:shd w:val="clear" w:color="auto" w:fill="auto"/>
            <w:vAlign w:val="center"/>
          </w:tcPr>
          <w:p w14:paraId="238789C7">
            <w:pPr>
              <w:widowControl w:val="0"/>
              <w:wordWrap/>
              <w:adjustRightInd w:val="0"/>
              <w:snapToGrid w:val="0"/>
              <w:spacing w:line="360" w:lineRule="auto"/>
              <w:textAlignment w:val="auto"/>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根据项目团队人员</w:t>
            </w:r>
            <w:r>
              <w:rPr>
                <w:rFonts w:hint="eastAsia" w:ascii="宋体" w:hAnsi="宋体" w:cs="宋体"/>
                <w:bCs/>
                <w:color w:val="auto"/>
                <w:kern w:val="0"/>
                <w:sz w:val="21"/>
                <w:szCs w:val="21"/>
                <w:highlight w:val="none"/>
                <w:lang w:val="en-US" w:eastAsia="zh-CN"/>
              </w:rPr>
              <w:t>（项目负责人除外）</w:t>
            </w:r>
            <w:r>
              <w:rPr>
                <w:rFonts w:hint="eastAsia" w:ascii="宋体" w:hAnsi="宋体" w:cs="宋体"/>
                <w:bCs/>
                <w:color w:val="auto"/>
                <w:sz w:val="24"/>
                <w:highlight w:val="none"/>
              </w:rPr>
              <w:t>配</w:t>
            </w:r>
            <w:r>
              <w:rPr>
                <w:rFonts w:hint="eastAsia" w:ascii="宋体" w:hAnsi="宋体" w:eastAsia="宋体" w:cs="宋体"/>
                <w:bCs/>
                <w:color w:val="auto"/>
                <w:kern w:val="0"/>
                <w:sz w:val="21"/>
                <w:szCs w:val="21"/>
                <w:highlight w:val="none"/>
                <w:lang w:val="en-US" w:eastAsia="zh-CN"/>
              </w:rPr>
              <w:t>备总体情况，投标人在投标时需提供详细的岗位人员配备方案，包括服务人员的①配备数量、②工作岗位、③排班时间，方案具有合理性、可操作性进行评审，评审分值为5分或4分或3分或2分或1分或0分。</w:t>
            </w:r>
          </w:p>
        </w:tc>
        <w:tc>
          <w:tcPr>
            <w:tcW w:w="305" w:type="pct"/>
            <w:shd w:val="clear" w:color="auto" w:fill="auto"/>
            <w:vAlign w:val="center"/>
          </w:tcPr>
          <w:p w14:paraId="3E789052">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31E12D68">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7946392F">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59A4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71068928">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12</w:t>
            </w:r>
          </w:p>
        </w:tc>
        <w:tc>
          <w:tcPr>
            <w:tcW w:w="2961" w:type="pct"/>
            <w:shd w:val="clear" w:color="auto" w:fill="auto"/>
            <w:vAlign w:val="top"/>
          </w:tcPr>
          <w:p w14:paraId="7DF7AC40">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color w:val="auto"/>
                <w:sz w:val="21"/>
                <w:szCs w:val="21"/>
                <w:highlight w:val="none"/>
                <w:lang w:val="en-US" w:eastAsia="zh-CN"/>
              </w:rPr>
              <w:t>投标人的人员管理方案包括但不限于服务人员岗位晋升、人员的绩效考核及薪酬保障方案（薪酬保障包含工资、年终奖金、社会保险、冷饮费、补贴、加班费、法定节假日加班费等、薪酬保障方案中勿出现投标总报价）等方面，根据方案阐述详细、工作方法、内容完整性进行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003D6BF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5D6B986A">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61D90FD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02A25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38CF89DB">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13</w:t>
            </w:r>
          </w:p>
        </w:tc>
        <w:tc>
          <w:tcPr>
            <w:tcW w:w="2961" w:type="pct"/>
            <w:shd w:val="clear" w:color="auto" w:fill="auto"/>
            <w:vAlign w:val="top"/>
          </w:tcPr>
          <w:p w14:paraId="5EEBBFA1">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eastAsia="宋体" w:cs="宋体"/>
                <w:color w:val="auto"/>
                <w:sz w:val="21"/>
                <w:szCs w:val="21"/>
                <w:highlight w:val="none"/>
                <w:lang w:val="en-US" w:eastAsia="zh-CN"/>
              </w:rPr>
              <w:t>投标人制定的岗位责任制度、客户服务制度</w:t>
            </w:r>
            <w:r>
              <w:rPr>
                <w:rFonts w:hint="eastAsia" w:ascii="宋体" w:hAnsi="宋体" w:cs="宋体"/>
                <w:color w:val="auto"/>
                <w:sz w:val="21"/>
                <w:szCs w:val="21"/>
                <w:highlight w:val="none"/>
                <w:lang w:val="en-US" w:eastAsia="zh-CN"/>
              </w:rPr>
              <w:t>，根据制度</w:t>
            </w:r>
            <w:r>
              <w:rPr>
                <w:rFonts w:hint="eastAsia" w:ascii="宋体" w:hAnsi="宋体" w:eastAsia="宋体" w:cs="宋体"/>
                <w:color w:val="auto"/>
                <w:sz w:val="21"/>
                <w:szCs w:val="21"/>
                <w:highlight w:val="none"/>
                <w:lang w:val="en-US" w:eastAsia="zh-CN"/>
              </w:rPr>
              <w:t>制度健全、针对性及操作性进行评审，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7EC3F90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1115F240">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5F988DFA">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50CAC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37FACFA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14</w:t>
            </w:r>
          </w:p>
        </w:tc>
        <w:tc>
          <w:tcPr>
            <w:tcW w:w="2961" w:type="pct"/>
            <w:shd w:val="clear" w:color="auto" w:fill="auto"/>
            <w:vAlign w:val="top"/>
          </w:tcPr>
          <w:p w14:paraId="11202784">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投标人提供的保证团队人员稳定驻场的相关措施</w:t>
            </w:r>
            <w:r>
              <w:rPr>
                <w:rFonts w:hint="eastAsia" w:ascii="宋体" w:hAnsi="宋体" w:cs="宋体"/>
                <w:color w:val="auto"/>
                <w:sz w:val="21"/>
                <w:szCs w:val="21"/>
                <w:highlight w:val="none"/>
                <w:lang w:val="en-US" w:eastAsia="zh-CN"/>
              </w:rPr>
              <w:t>，根据</w:t>
            </w:r>
            <w:r>
              <w:rPr>
                <w:rFonts w:hint="eastAsia" w:ascii="宋体" w:hAnsi="宋体" w:eastAsia="宋体" w:cs="宋体"/>
                <w:color w:val="auto"/>
                <w:sz w:val="21"/>
                <w:szCs w:val="21"/>
                <w:highlight w:val="none"/>
                <w:lang w:val="en-US" w:eastAsia="zh-CN"/>
              </w:rPr>
              <w:t>相关措施内容全面详细、针对性进行评审，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57CD8A26">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5B34BE12">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5E402A96">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6F70A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73190BDE">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15</w:t>
            </w:r>
          </w:p>
        </w:tc>
        <w:tc>
          <w:tcPr>
            <w:tcW w:w="2961" w:type="pct"/>
            <w:shd w:val="clear" w:color="auto" w:fill="auto"/>
            <w:vAlign w:val="top"/>
          </w:tcPr>
          <w:p w14:paraId="5724BC01">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投标人的培训管理方案，</w:t>
            </w:r>
            <w:r>
              <w:rPr>
                <w:rFonts w:hint="eastAsia" w:ascii="宋体" w:hAnsi="宋体" w:eastAsia="宋体" w:cs="宋体"/>
                <w:color w:val="auto"/>
                <w:sz w:val="21"/>
                <w:szCs w:val="21"/>
                <w:highlight w:val="none"/>
                <w:lang w:val="en-US" w:eastAsia="zh-CN"/>
              </w:rPr>
              <w:t>方案包括但不限于培训计划设计、话务技能和业务技能培训，从具体方案、管理制度、考核办法，培训形式等进行评审，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0425908D">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5</w:t>
            </w:r>
          </w:p>
        </w:tc>
        <w:tc>
          <w:tcPr>
            <w:tcW w:w="455" w:type="pct"/>
            <w:shd w:val="clear" w:color="auto" w:fill="auto"/>
            <w:vAlign w:val="center"/>
          </w:tcPr>
          <w:p w14:paraId="4283EEB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5A8E38EF">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22340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28E27960">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16</w:t>
            </w:r>
          </w:p>
        </w:tc>
        <w:tc>
          <w:tcPr>
            <w:tcW w:w="2961" w:type="pct"/>
            <w:shd w:val="clear" w:color="auto" w:fill="auto"/>
            <w:vAlign w:val="top"/>
          </w:tcPr>
          <w:p w14:paraId="3EC750BF">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color w:val="auto"/>
                <w:sz w:val="21"/>
                <w:szCs w:val="21"/>
                <w:highlight w:val="none"/>
                <w:lang w:val="en-US" w:eastAsia="zh-CN"/>
              </w:rPr>
              <w:t>投标人的用户信息保密制度、实名制管理规范方案，根据制度、方案的完善程度、全面性、严密程度、合理性、操作性进行评审，</w:t>
            </w:r>
            <w:r>
              <w:rPr>
                <w:rFonts w:hint="eastAsia" w:ascii="宋体" w:hAnsi="宋体" w:eastAsia="宋体" w:cs="宋体"/>
                <w:color w:val="auto"/>
                <w:sz w:val="21"/>
                <w:szCs w:val="21"/>
                <w:highlight w:val="none"/>
                <w:lang w:val="en-US" w:eastAsia="zh-CN"/>
              </w:rPr>
              <w:t>评审分值为5分或4分或3分或2分或1分或0分</w:t>
            </w:r>
            <w:r>
              <w:rPr>
                <w:rFonts w:hint="eastAsia" w:ascii="宋体" w:hAnsi="宋体" w:cs="宋体"/>
                <w:color w:val="auto"/>
                <w:sz w:val="21"/>
                <w:szCs w:val="21"/>
                <w:highlight w:val="none"/>
                <w:lang w:val="en-US" w:eastAsia="zh-CN"/>
              </w:rPr>
              <w:t>。</w:t>
            </w:r>
          </w:p>
        </w:tc>
        <w:tc>
          <w:tcPr>
            <w:tcW w:w="305" w:type="pct"/>
            <w:shd w:val="clear" w:color="auto" w:fill="auto"/>
            <w:vAlign w:val="center"/>
          </w:tcPr>
          <w:p w14:paraId="1BA5A931">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5</w:t>
            </w:r>
          </w:p>
        </w:tc>
        <w:tc>
          <w:tcPr>
            <w:tcW w:w="455" w:type="pct"/>
            <w:shd w:val="clear" w:color="auto" w:fill="auto"/>
            <w:vAlign w:val="center"/>
          </w:tcPr>
          <w:p w14:paraId="3E8F0B10">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63B4C137">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1D8C9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0F1C33C3">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17</w:t>
            </w:r>
          </w:p>
        </w:tc>
        <w:tc>
          <w:tcPr>
            <w:tcW w:w="2961" w:type="pct"/>
            <w:shd w:val="clear" w:color="auto" w:fill="auto"/>
            <w:vAlign w:val="top"/>
          </w:tcPr>
          <w:p w14:paraId="73098B7B">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项目平稳交接过渡方案，根据方案的可行性、与项目的匹配性进行评审。评审分值为3分或2分或1分或0分。</w:t>
            </w:r>
          </w:p>
        </w:tc>
        <w:tc>
          <w:tcPr>
            <w:tcW w:w="305" w:type="pct"/>
            <w:shd w:val="clear" w:color="auto" w:fill="auto"/>
            <w:vAlign w:val="center"/>
          </w:tcPr>
          <w:p w14:paraId="36DE967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3</w:t>
            </w:r>
          </w:p>
        </w:tc>
        <w:tc>
          <w:tcPr>
            <w:tcW w:w="455" w:type="pct"/>
            <w:shd w:val="clear" w:color="auto" w:fill="auto"/>
            <w:vAlign w:val="center"/>
          </w:tcPr>
          <w:p w14:paraId="6728362B">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1EED1AB7">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3A49F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shd w:val="clear" w:color="auto" w:fill="auto"/>
            <w:vAlign w:val="center"/>
          </w:tcPr>
          <w:p w14:paraId="23F12E6E">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0"/>
                <w:sz w:val="21"/>
                <w:szCs w:val="21"/>
                <w:highlight w:val="none"/>
                <w:u w:val="none"/>
                <w:lang w:val="en-US" w:eastAsia="zh-CN" w:bidi="ar-SA"/>
              </w:rPr>
            </w:pPr>
            <w:r>
              <w:rPr>
                <w:rFonts w:hint="eastAsia" w:ascii="宋体" w:hAnsi="宋体" w:cs="宋体"/>
                <w:i w:val="0"/>
                <w:iCs w:val="0"/>
                <w:color w:val="auto"/>
                <w:kern w:val="0"/>
                <w:sz w:val="21"/>
                <w:szCs w:val="21"/>
                <w:highlight w:val="none"/>
                <w:u w:val="none"/>
                <w:lang w:val="en-US" w:eastAsia="zh-CN" w:bidi="ar-SA"/>
              </w:rPr>
              <w:t>18</w:t>
            </w:r>
          </w:p>
        </w:tc>
        <w:tc>
          <w:tcPr>
            <w:tcW w:w="2961" w:type="pct"/>
            <w:shd w:val="clear" w:color="auto" w:fill="auto"/>
            <w:vAlign w:val="top"/>
          </w:tcPr>
          <w:p w14:paraId="4F14937A">
            <w:pPr>
              <w:keepNext w:val="0"/>
              <w:keepLines w:val="0"/>
              <w:pageBreakBefore w:val="0"/>
              <w:widowControl/>
              <w:kinsoku/>
              <w:wordWrap/>
              <w:overflowPunct/>
              <w:topLinePunct w:val="0"/>
              <w:autoSpaceDE/>
              <w:autoSpaceDN/>
              <w:bidi w:val="0"/>
              <w:adjustRightInd w:val="0"/>
              <w:snapToGrid w:val="0"/>
              <w:spacing w:line="360" w:lineRule="auto"/>
              <w:jc w:val="left"/>
              <w:textAlignment w:val="top"/>
              <w:rPr>
                <w:rFonts w:hint="eastAsia" w:ascii="宋体" w:hAnsi="宋体" w:eastAsia="宋体" w:cs="宋体"/>
                <w:i w:val="0"/>
                <w:iCs w:val="0"/>
                <w:color w:val="auto"/>
                <w:kern w:val="0"/>
                <w:sz w:val="21"/>
                <w:szCs w:val="21"/>
                <w:highlight w:val="none"/>
                <w:u w:val="none"/>
                <w:lang w:val="en-US" w:eastAsia="zh-CN" w:bidi="ar-SA"/>
              </w:rPr>
            </w:pPr>
            <w:r>
              <w:rPr>
                <w:rFonts w:hint="eastAsia" w:ascii="宋体" w:hAnsi="宋体" w:cs="宋体"/>
                <w:color w:val="auto"/>
                <w:sz w:val="21"/>
                <w:szCs w:val="21"/>
                <w:highlight w:val="none"/>
                <w:lang w:val="en-US" w:eastAsia="zh-CN"/>
              </w:rPr>
              <w:t>优化</w:t>
            </w:r>
            <w:r>
              <w:rPr>
                <w:rFonts w:hint="eastAsia" w:ascii="宋体" w:hAnsi="宋体" w:eastAsia="宋体" w:cs="宋体"/>
                <w:color w:val="auto"/>
                <w:sz w:val="21"/>
                <w:szCs w:val="21"/>
                <w:highlight w:val="none"/>
                <w:lang w:val="en-US" w:eastAsia="zh-CN"/>
              </w:rPr>
              <w:t>建议及服务措施：投标人结合本项目特点及实际工作过程中有可能的突发情况，提供合理化建议并提供相应的免费支持服务措施，由评标委员会综合评定其建议和措施的建设性、前瞻性及可行性</w:t>
            </w:r>
            <w:r>
              <w:rPr>
                <w:rFonts w:hint="eastAsia" w:ascii="宋体" w:hAnsi="宋体" w:cs="宋体"/>
                <w:color w:val="auto"/>
                <w:sz w:val="21"/>
                <w:szCs w:val="21"/>
                <w:highlight w:val="none"/>
                <w:lang w:val="en-US" w:eastAsia="zh-CN"/>
              </w:rPr>
              <w:t>进行评审</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评审分值为3分或2分或1分或0分。</w:t>
            </w:r>
          </w:p>
        </w:tc>
        <w:tc>
          <w:tcPr>
            <w:tcW w:w="305" w:type="pct"/>
            <w:shd w:val="clear" w:color="auto" w:fill="auto"/>
            <w:vAlign w:val="center"/>
          </w:tcPr>
          <w:p w14:paraId="7E476D2C">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3</w:t>
            </w:r>
          </w:p>
        </w:tc>
        <w:tc>
          <w:tcPr>
            <w:tcW w:w="455" w:type="pct"/>
            <w:shd w:val="clear" w:color="auto" w:fill="auto"/>
            <w:vAlign w:val="center"/>
          </w:tcPr>
          <w:p w14:paraId="5098BFC9">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default" w:ascii="宋体" w:hAnsi="宋体" w:eastAsia="宋体" w:cs="宋体"/>
                <w:i w:val="0"/>
                <w:iCs w:val="0"/>
                <w:color w:val="auto"/>
                <w:kern w:val="2"/>
                <w:sz w:val="21"/>
                <w:szCs w:val="21"/>
                <w:highlight w:val="none"/>
                <w:u w:val="none"/>
                <w:lang w:val="en-US" w:eastAsia="zh-CN" w:bidi="ar-SA"/>
              </w:rPr>
            </w:pPr>
            <w:r>
              <w:rPr>
                <w:rFonts w:hint="eastAsia" w:ascii="宋体" w:hAnsi="宋体" w:cs="宋体"/>
                <w:i w:val="0"/>
                <w:iCs w:val="0"/>
                <w:color w:val="auto"/>
                <w:kern w:val="2"/>
                <w:sz w:val="21"/>
                <w:szCs w:val="21"/>
                <w:highlight w:val="none"/>
                <w:u w:val="none"/>
                <w:lang w:val="en-US" w:eastAsia="zh-CN" w:bidi="ar-SA"/>
              </w:rPr>
              <w:t>主观分</w:t>
            </w:r>
          </w:p>
        </w:tc>
        <w:tc>
          <w:tcPr>
            <w:tcW w:w="898" w:type="pct"/>
            <w:shd w:val="clear" w:color="auto" w:fill="auto"/>
            <w:vAlign w:val="center"/>
          </w:tcPr>
          <w:p w14:paraId="3A345B10">
            <w:pPr>
              <w:keepNext w:val="0"/>
              <w:keepLines w:val="0"/>
              <w:pageBreakBefore w:val="0"/>
              <w:widowControl/>
              <w:kinsoku/>
              <w:wordWrap/>
              <w:overflowPunct/>
              <w:topLinePunct w:val="0"/>
              <w:autoSpaceDE/>
              <w:autoSpaceDN/>
              <w:bidi w:val="0"/>
              <w:adjustRightInd w:val="0"/>
              <w:snapToGrid w:val="0"/>
              <w:spacing w:line="360" w:lineRule="auto"/>
              <w:jc w:val="center"/>
              <w:textAlignment w:val="center"/>
              <w:rPr>
                <w:rFonts w:hint="eastAsia" w:ascii="宋体" w:hAnsi="宋体" w:eastAsia="宋体" w:cs="宋体"/>
                <w:i w:val="0"/>
                <w:iCs w:val="0"/>
                <w:color w:val="auto"/>
                <w:kern w:val="2"/>
                <w:sz w:val="21"/>
                <w:szCs w:val="21"/>
                <w:highlight w:val="none"/>
                <w:u w:val="none"/>
                <w:lang w:val="en-US" w:eastAsia="zh-CN" w:bidi="ar-SA"/>
              </w:rPr>
            </w:pPr>
          </w:p>
        </w:tc>
      </w:tr>
      <w:tr w14:paraId="546D3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vAlign w:val="center"/>
          </w:tcPr>
          <w:p w14:paraId="478FC60E">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189</w:t>
            </w:r>
          </w:p>
        </w:tc>
        <w:tc>
          <w:tcPr>
            <w:tcW w:w="2961" w:type="pct"/>
          </w:tcPr>
          <w:p w14:paraId="2C5BA208">
            <w:pPr>
              <w:keepNext w:val="0"/>
              <w:keepLines w:val="0"/>
              <w:pageBreakBefore w:val="0"/>
              <w:kinsoku/>
              <w:wordWrap/>
              <w:overflowPunct/>
              <w:topLinePunct w:val="0"/>
              <w:autoSpaceDE/>
              <w:autoSpaceDN/>
              <w:bidi w:val="0"/>
              <w:adjustRightInd w:val="0"/>
              <w:snapToGrid w:val="0"/>
              <w:spacing w:line="360" w:lineRule="auto"/>
              <w:textAlignment w:val="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有效投标报价的最低价作为评标基准价，其最低报价为满分；按［投标报价得分=（评标基准价/投标报价）*权重］的计算公式计算。</w:t>
            </w:r>
          </w:p>
          <w:p w14:paraId="2BEC6E39">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评标过程中，不得去掉报价中的最高报价和最低报价。</w:t>
            </w:r>
          </w:p>
          <w:p w14:paraId="4ADC17FE">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firstLine="420"/>
              <w:jc w:val="left"/>
              <w:textAlignment w:val="auto"/>
              <w:rPr>
                <w:rFonts w:hint="eastAsia" w:ascii="宋体" w:hAnsi="宋体" w:eastAsia="宋体" w:cs="宋体"/>
                <w:color w:val="auto"/>
                <w:sz w:val="21"/>
                <w:szCs w:val="21"/>
                <w:highlight w:val="none"/>
              </w:rPr>
            </w:pPr>
            <w:r>
              <w:rPr>
                <w:rFonts w:hint="eastAsia"/>
                <w:i w:val="0"/>
                <w:iCs w:val="0"/>
                <w:color w:val="auto"/>
                <w:highlight w:val="none"/>
                <w:lang w:val="en-US" w:eastAsia="zh-CN"/>
              </w:rPr>
              <w:t>本项目专门面向中小企业。</w:t>
            </w:r>
          </w:p>
        </w:tc>
        <w:tc>
          <w:tcPr>
            <w:tcW w:w="305" w:type="pct"/>
            <w:vAlign w:val="center"/>
          </w:tcPr>
          <w:p w14:paraId="695BA13C">
            <w:pPr>
              <w:keepNext w:val="0"/>
              <w:keepLines w:val="0"/>
              <w:pageBreakBefore w:val="0"/>
              <w:kinsoku/>
              <w:wordWrap/>
              <w:overflowPunct/>
              <w:topLinePunct w:val="0"/>
              <w:autoSpaceDE/>
              <w:autoSpaceDN/>
              <w:bidi w:val="0"/>
              <w:adjustRightInd w:val="0"/>
              <w:snapToGrid w:val="0"/>
              <w:spacing w:line="360" w:lineRule="auto"/>
              <w:jc w:val="center"/>
              <w:textAlignment w:val="auto"/>
              <w:outlineLvl w:val="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455" w:type="pct"/>
            <w:vAlign w:val="center"/>
          </w:tcPr>
          <w:p w14:paraId="7D0AD58D">
            <w:pPr>
              <w:keepNext w:val="0"/>
              <w:keepLines w:val="0"/>
              <w:pageBreakBefore w:val="0"/>
              <w:kinsoku/>
              <w:wordWrap/>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客观分</w:t>
            </w:r>
          </w:p>
        </w:tc>
        <w:tc>
          <w:tcPr>
            <w:tcW w:w="898" w:type="pct"/>
            <w:vAlign w:val="center"/>
          </w:tcPr>
          <w:p w14:paraId="52B5A744">
            <w:pPr>
              <w:keepNext w:val="0"/>
              <w:keepLines w:val="0"/>
              <w:pageBreakBefore w:val="0"/>
              <w:kinsoku/>
              <w:wordWrap/>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bl>
    <w:p w14:paraId="0376C226">
      <w:pPr>
        <w:rPr>
          <w:rFonts w:hint="eastAsia" w:ascii="宋体" w:hAnsi="宋体" w:eastAsia="宋体" w:cs="宋体"/>
          <w:color w:val="auto"/>
          <w:highlight w:val="none"/>
        </w:rPr>
      </w:pPr>
    </w:p>
    <w:p w14:paraId="27407E9A">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shd w:val="clear" w:color="auto" w:fill="FFFFFF"/>
        </w:rPr>
        <w:t> *</w:t>
      </w:r>
      <w:r>
        <w:rPr>
          <w:rFonts w:hint="eastAsia" w:ascii="宋体" w:hAnsi="宋体" w:eastAsia="宋体" w:cs="宋体"/>
          <w:b/>
          <w:color w:val="auto"/>
          <w:sz w:val="21"/>
          <w:szCs w:val="21"/>
          <w:highlight w:val="none"/>
        </w:rPr>
        <w:t>备注：</w:t>
      </w:r>
      <w:r>
        <w:rPr>
          <w:rFonts w:hint="eastAsia" w:ascii="宋体" w:hAnsi="宋体" w:eastAsia="宋体" w:cs="宋体"/>
          <w:color w:val="auto"/>
          <w:sz w:val="21"/>
          <w:szCs w:val="21"/>
          <w:highlight w:val="none"/>
        </w:rPr>
        <w:t>投标人编制投标文件（商务技术文件部分）时，建议按此目录（序号和内容）提供评标标准相应的商务技术资料。 </w:t>
      </w:r>
    </w:p>
    <w:p w14:paraId="3362E634">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一、评标方法</w:t>
      </w:r>
    </w:p>
    <w:p w14:paraId="3FF64587">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1.本项目采用综合评分法。</w:t>
      </w:r>
      <w:r>
        <w:rPr>
          <w:rFonts w:hint="eastAsia" w:ascii="宋体" w:hAnsi="宋体" w:eastAsia="宋体" w:cs="宋体"/>
          <w:color w:val="auto"/>
          <w:kern w:val="0"/>
          <w:sz w:val="21"/>
          <w:szCs w:val="21"/>
          <w:highlight w:val="none"/>
        </w:rPr>
        <w:t>综合评分法，是指投标文件满足招标文件全部实质性要求，且按照评审因素的量化指标评审得分最高的投标人为中标候选人的评标方法。</w:t>
      </w:r>
    </w:p>
    <w:p w14:paraId="16DECDE5">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sz w:val="21"/>
          <w:szCs w:val="21"/>
          <w:highlight w:val="none"/>
        </w:rPr>
        <w:t>二、评标标准</w:t>
      </w:r>
    </w:p>
    <w:p w14:paraId="70896402">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w:t>
      </w:r>
      <w:r>
        <w:rPr>
          <w:rFonts w:hint="eastAsia" w:ascii="宋体" w:hAnsi="宋体" w:eastAsia="宋体" w:cs="宋体"/>
          <w:color w:val="auto"/>
          <w:sz w:val="21"/>
          <w:szCs w:val="21"/>
          <w:highlight w:val="none"/>
        </w:rPr>
        <w:t xml:space="preserve"> </w:t>
      </w:r>
      <w:r>
        <w:rPr>
          <w:rFonts w:hint="eastAsia" w:ascii="宋体" w:hAnsi="宋体" w:eastAsia="宋体" w:cs="宋体"/>
          <w:b/>
          <w:color w:val="auto"/>
          <w:sz w:val="21"/>
          <w:szCs w:val="21"/>
          <w:highlight w:val="none"/>
        </w:rPr>
        <w:t>评标标准：</w:t>
      </w:r>
      <w:r>
        <w:rPr>
          <w:rFonts w:hint="eastAsia" w:ascii="宋体" w:hAnsi="宋体" w:eastAsia="宋体" w:cs="宋体"/>
          <w:color w:val="auto"/>
          <w:kern w:val="0"/>
          <w:sz w:val="21"/>
          <w:szCs w:val="21"/>
          <w:highlight w:val="none"/>
        </w:rPr>
        <w:t>见评标办法前附表。</w:t>
      </w:r>
    </w:p>
    <w:p w14:paraId="72F4DF3D">
      <w:pPr>
        <w:pageBreakBefore w:val="0"/>
        <w:kinsoku/>
        <w:wordWrap/>
        <w:overflowPunct/>
        <w:topLinePunct w:val="0"/>
        <w:autoSpaceDE/>
        <w:autoSpaceDN/>
        <w:bidi w:val="0"/>
        <w:adjustRightInd w:val="0"/>
        <w:snapToGrid w:val="0"/>
        <w:spacing w:line="360" w:lineRule="auto"/>
        <w:ind w:left="0" w:leftChars="0" w:firstLine="422" w:firstLineChars="200"/>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三、评标程序</w:t>
      </w:r>
    </w:p>
    <w:p w14:paraId="67153BC6">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3.1符合性审查。</w:t>
      </w:r>
      <w:r>
        <w:rPr>
          <w:rFonts w:hint="eastAsia" w:ascii="宋体" w:hAnsi="宋体" w:eastAsia="宋体" w:cs="宋体"/>
          <w:color w:val="auto"/>
          <w:kern w:val="0"/>
          <w:sz w:val="21"/>
          <w:szCs w:val="21"/>
          <w:highlight w:val="none"/>
        </w:rPr>
        <w:t>评标委员会应当对符合资格的投标人的投标文件进行符合性审查，以确定其是否满足招标文件的实质性要求。不满足招标文件的实质性要求的，投标无效。</w:t>
      </w:r>
    </w:p>
    <w:p w14:paraId="454B5607">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3.2 比较与评价。</w:t>
      </w:r>
      <w:r>
        <w:rPr>
          <w:rFonts w:hint="eastAsia" w:ascii="宋体" w:hAnsi="宋体" w:eastAsia="宋体" w:cs="宋体"/>
          <w:color w:val="auto"/>
          <w:kern w:val="0"/>
          <w:sz w:val="21"/>
          <w:szCs w:val="21"/>
          <w:highlight w:val="none"/>
        </w:rPr>
        <w:t>评标委员会应当按照招标文件中规定的评标方法和标准，对符合性审查合格的投标文件进行商务和技术评估，综合比较与评价。</w:t>
      </w:r>
    </w:p>
    <w:p w14:paraId="0F9E20F5">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3.3汇总商务技术得分。</w:t>
      </w:r>
      <w:r>
        <w:rPr>
          <w:rFonts w:hint="eastAsia" w:ascii="宋体" w:hAnsi="宋体" w:eastAsia="宋体" w:cs="宋体"/>
          <w:color w:val="auto"/>
          <w:kern w:val="0"/>
          <w:sz w:val="21"/>
          <w:szCs w:val="21"/>
          <w:highlight w:val="none"/>
        </w:rPr>
        <w:t>评标委员会各成员应当独立对每个投标人的商务和技术文件进行评价，并汇总商务技术得分情况。</w:t>
      </w:r>
    </w:p>
    <w:p w14:paraId="71C988A2">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3.4报价评审。</w:t>
      </w:r>
    </w:p>
    <w:p w14:paraId="3131978F">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3.4.1投标文件报价出现前后不一致的，按照下列规定修正：</w:t>
      </w:r>
    </w:p>
    <w:p w14:paraId="49DA3F7B">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3.4.1.1投标文件中开标一览表(报价表)内容与投标文件中相应内容不一致的，以开标一览表(报价表)为准;</w:t>
      </w:r>
    </w:p>
    <w:p w14:paraId="639F5E79">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3.4.1.2大写金额和小写金额不一致的，以大写金额为准;</w:t>
      </w:r>
    </w:p>
    <w:p w14:paraId="785F5427">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3.4.1.3单价金额小数点或者百分比有明显错位的，以开标一览表的总价为准，并修改单价;</w:t>
      </w:r>
    </w:p>
    <w:p w14:paraId="323DAB6B">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3.4.1.4总价金额与按单价汇总金额不一致的，以单价金额计算结果为准。</w:t>
      </w:r>
    </w:p>
    <w:p w14:paraId="1AE627D3">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3.4.2投标文件出现不是唯一的、有选择性投标报价的，投标无效。</w:t>
      </w:r>
    </w:p>
    <w:p w14:paraId="1ADF56ED">
      <w:pPr>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3.4.3投标报价超过招标文件中规定的预算金额或者最高限价的，投标无效。</w:t>
      </w:r>
    </w:p>
    <w:p w14:paraId="28748C96">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pageBreakBefore w:val="0"/>
        <w:kinsoku/>
        <w:wordWrap/>
        <w:overflowPunct/>
        <w:topLinePunct w:val="0"/>
        <w:autoSpaceDE/>
        <w:autoSpaceDN/>
        <w:bidi w:val="0"/>
        <w:adjustRightInd w:val="0"/>
        <w:snapToGrid w:val="0"/>
        <w:spacing w:before="0"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8AAB60">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3.5排序与推荐。</w:t>
      </w:r>
      <w:r>
        <w:rPr>
          <w:rFonts w:hint="eastAsia" w:ascii="宋体" w:hAnsi="宋体" w:eastAsia="宋体" w:cs="宋体"/>
          <w:color w:val="auto"/>
          <w:kern w:val="0"/>
          <w:sz w:val="21"/>
          <w:szCs w:val="21"/>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eastAsia="宋体" w:cs="宋体"/>
          <w:color w:val="auto"/>
          <w:kern w:val="0"/>
          <w:sz w:val="21"/>
          <w:szCs w:val="21"/>
          <w:highlight w:val="none"/>
          <w:lang w:val="en" w:eastAsia="zh-CN"/>
        </w:rPr>
        <w:t>本项目推荐的中标候选人数量：</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cs="宋体"/>
          <w:color w:val="auto"/>
          <w:kern w:val="0"/>
          <w:sz w:val="21"/>
          <w:szCs w:val="21"/>
          <w:highlight w:val="none"/>
          <w:u w:val="single"/>
          <w:lang w:val="en-US" w:eastAsia="zh-CN"/>
        </w:rPr>
        <w:t>1人</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kern w:val="0"/>
          <w:sz w:val="21"/>
          <w:szCs w:val="21"/>
          <w:highlight w:val="none"/>
          <w:lang w:val="en" w:eastAsia="zh-CN"/>
        </w:rPr>
        <w:t>。</w:t>
      </w:r>
    </w:p>
    <w:p w14:paraId="1A32EC83">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b/>
          <w:color w:val="auto"/>
          <w:kern w:val="0"/>
          <w:sz w:val="21"/>
          <w:szCs w:val="21"/>
          <w:highlight w:val="none"/>
        </w:rPr>
      </w:pPr>
      <w:r>
        <w:rPr>
          <w:rFonts w:hint="eastAsia" w:ascii="宋体" w:hAnsi="宋体" w:eastAsia="宋体" w:cs="宋体"/>
          <w:color w:val="auto"/>
          <w:kern w:val="0"/>
          <w:sz w:val="21"/>
          <w:szCs w:val="21"/>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3.6编写评标报告。</w:t>
      </w:r>
      <w:r>
        <w:rPr>
          <w:rFonts w:hint="eastAsia" w:ascii="宋体" w:hAnsi="宋体" w:eastAsia="宋体" w:cs="宋体"/>
          <w:color w:val="auto"/>
          <w:kern w:val="0"/>
          <w:sz w:val="21"/>
          <w:szCs w:val="21"/>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pageBreakBefore w:val="0"/>
        <w:widowControl/>
        <w:shd w:val="clear" w:color="auto" w:fill="FFFFFF"/>
        <w:kinsoku/>
        <w:wordWrap/>
        <w:overflowPunct/>
        <w:topLinePunct w:val="0"/>
        <w:autoSpaceDE/>
        <w:autoSpaceDN/>
        <w:bidi w:val="0"/>
        <w:adjustRightInd w:val="0"/>
        <w:snapToGrid w:val="0"/>
        <w:spacing w:line="360" w:lineRule="auto"/>
        <w:ind w:left="0" w:leftChars="0" w:firstLine="422" w:firstLineChars="200"/>
        <w:jc w:val="left"/>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四、评标中的其他事项</w:t>
      </w:r>
    </w:p>
    <w:p w14:paraId="6CEA2D94">
      <w:pPr>
        <w:pStyle w:val="131"/>
        <w:pageBreakBefore w:val="0"/>
        <w:kinsoku/>
        <w:wordWrap/>
        <w:overflowPunct/>
        <w:topLinePunct w:val="0"/>
        <w:autoSpaceDE/>
        <w:autoSpaceDN/>
        <w:bidi w:val="0"/>
        <w:adjustRightInd w:val="0"/>
        <w:snapToGrid w:val="0"/>
        <w:spacing w:before="0" w:line="360" w:lineRule="auto"/>
        <w:ind w:left="0" w:leftChars="0" w:firstLine="422"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b/>
          <w:color w:val="auto"/>
          <w:kern w:val="0"/>
          <w:sz w:val="21"/>
          <w:szCs w:val="21"/>
          <w:highlight w:val="none"/>
        </w:rPr>
        <w:t>4.1投标人澄清、说明或者补正。</w:t>
      </w:r>
      <w:r>
        <w:rPr>
          <w:rFonts w:hint="eastAsia" w:ascii="宋体" w:hAnsi="宋体" w:eastAsia="宋体" w:cs="宋体"/>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5"/>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4.2投标无效。</w:t>
      </w:r>
      <w:r>
        <w:rPr>
          <w:rFonts w:hint="eastAsia" w:ascii="宋体" w:hAnsi="宋体" w:eastAsia="宋体" w:cs="宋体"/>
          <w:color w:val="auto"/>
          <w:sz w:val="21"/>
          <w:szCs w:val="21"/>
          <w:highlight w:val="none"/>
        </w:rPr>
        <w:t>有下列情形之一的，投标无效：</w:t>
      </w:r>
    </w:p>
    <w:p w14:paraId="513AD5BF">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4.2.1投标人不具备招标文件中规定的资格要求的（投标人未提供有效的资格文件的，视为投标人不具备招标文件中规定的资格要求）；</w:t>
      </w:r>
    </w:p>
    <w:p w14:paraId="3E7459F8">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4.2.2投标文件未按照招标文件要求签署、盖章的；</w:t>
      </w:r>
    </w:p>
    <w:p w14:paraId="5EDF0524">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4.2.4投标文件含有采购人不能接受的附加条件的；</w:t>
      </w:r>
    </w:p>
    <w:p w14:paraId="21FF4B1D">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4.2.5投标文件中承诺的投标有效期少于招标文件中载明的投标有效期的；</w:t>
      </w:r>
    </w:p>
    <w:p w14:paraId="560148EF">
      <w:pPr>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4.2.6投标文件出现不是唯一的、有选择性投标报价的;</w:t>
      </w:r>
    </w:p>
    <w:p w14:paraId="0856FA22">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4.2.7投标报价超过招标文件中规定的预算金额或者最高限价的;</w:t>
      </w:r>
    </w:p>
    <w:p w14:paraId="0B4AA017">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w:t>
      </w:r>
      <w:r>
        <w:rPr>
          <w:rFonts w:hint="eastAsia" w:ascii="宋体" w:hAnsi="宋体" w:eastAsia="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rPr>
        <w:t>投标人对根据修正原则修正后的报价不确认的；</w:t>
      </w:r>
    </w:p>
    <w:p w14:paraId="3AD93D1E">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4.2.</w:t>
      </w:r>
      <w:r>
        <w:rPr>
          <w:rFonts w:hint="eastAsia" w:ascii="宋体" w:hAnsi="宋体" w:eastAsia="宋体" w:cs="宋体"/>
          <w:color w:val="auto"/>
          <w:kern w:val="0"/>
          <w:sz w:val="21"/>
          <w:szCs w:val="21"/>
          <w:highlight w:val="none"/>
          <w:lang w:val="en-US" w:eastAsia="zh-CN"/>
        </w:rPr>
        <w:t>9</w:t>
      </w:r>
      <w:r>
        <w:rPr>
          <w:rFonts w:hint="eastAsia" w:ascii="宋体" w:hAnsi="宋体" w:eastAsia="宋体" w:cs="宋体"/>
          <w:color w:val="auto"/>
          <w:kern w:val="0"/>
          <w:sz w:val="21"/>
          <w:szCs w:val="21"/>
          <w:highlight w:val="none"/>
        </w:rPr>
        <w:t>投标人提供虚假材料投标的；</w:t>
      </w:r>
    </w:p>
    <w:p w14:paraId="48FAF0B8">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4.2.1</w:t>
      </w:r>
      <w:r>
        <w:rPr>
          <w:rFonts w:hint="eastAsia" w:ascii="宋体" w:hAnsi="宋体" w:eastAsia="宋体" w:cs="宋体"/>
          <w:color w:val="auto"/>
          <w:kern w:val="0"/>
          <w:sz w:val="21"/>
          <w:szCs w:val="21"/>
          <w:highlight w:val="none"/>
          <w:lang w:val="en-US" w:eastAsia="zh-CN"/>
        </w:rPr>
        <w:t>0</w:t>
      </w:r>
      <w:r>
        <w:rPr>
          <w:rFonts w:hint="eastAsia" w:ascii="宋体" w:hAnsi="宋体" w:eastAsia="宋体" w:cs="宋体"/>
          <w:color w:val="auto"/>
          <w:kern w:val="0"/>
          <w:sz w:val="21"/>
          <w:szCs w:val="21"/>
          <w:highlight w:val="none"/>
        </w:rPr>
        <w:t>投标人有恶意串通、妨碍其他投标人的竞争行为、损害采购人或者其他投标人的合法权益情形的；</w:t>
      </w:r>
    </w:p>
    <w:p w14:paraId="14A9C99E">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4.2.1</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rPr>
        <w:t>投标人仅提交备份投标文件，未在电子交易平台传输递交投标文件的，投标无效；</w:t>
      </w:r>
    </w:p>
    <w:p w14:paraId="7AA3D7B1">
      <w:pPr>
        <w:pStyle w:val="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b w:val="0"/>
          <w:bCs w:val="0"/>
          <w:color w:val="auto"/>
          <w:kern w:val="0"/>
          <w:sz w:val="21"/>
          <w:szCs w:val="21"/>
          <w:highlight w:val="none"/>
          <w:lang w:val="en-US"/>
        </w:rPr>
      </w:pPr>
      <w:r>
        <w:rPr>
          <w:rFonts w:hint="eastAsia" w:ascii="宋体" w:hAnsi="宋体" w:eastAsia="宋体" w:cs="宋体"/>
          <w:b w:val="0"/>
          <w:bCs w:val="0"/>
          <w:color w:val="auto"/>
          <w:kern w:val="0"/>
          <w:sz w:val="21"/>
          <w:szCs w:val="21"/>
          <w:highlight w:val="none"/>
          <w:lang w:val="en-US"/>
        </w:rPr>
        <w:t>4.2.1</w:t>
      </w:r>
      <w:r>
        <w:rPr>
          <w:rFonts w:hint="eastAsia" w:ascii="宋体" w:hAnsi="宋体" w:eastAsia="宋体" w:cs="宋体"/>
          <w:b w:val="0"/>
          <w:bCs w:val="0"/>
          <w:color w:val="auto"/>
          <w:kern w:val="0"/>
          <w:sz w:val="21"/>
          <w:szCs w:val="21"/>
          <w:highlight w:val="none"/>
          <w:lang w:val="en-US" w:eastAsia="zh-CN"/>
        </w:rPr>
        <w:t>3</w:t>
      </w:r>
      <w:r>
        <w:rPr>
          <w:rFonts w:hint="eastAsia" w:ascii="宋体" w:hAnsi="宋体" w:eastAsia="宋体" w:cs="宋体"/>
          <w:b w:val="0"/>
          <w:bCs w:val="0"/>
          <w:color w:val="auto"/>
          <w:kern w:val="0"/>
          <w:sz w:val="21"/>
          <w:szCs w:val="21"/>
          <w:highlight w:val="none"/>
          <w:lang w:val="en-US"/>
        </w:rPr>
        <w:t xml:space="preserve"> 投标文件不满足招标文件的其它实质性要求的；</w:t>
      </w:r>
    </w:p>
    <w:p w14:paraId="66635920">
      <w:pPr>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4.2.1</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法律、法规、规章（适用本市的）及省级以上规范性文件（适用本市的）规定的其他无效情形。</w:t>
      </w:r>
    </w:p>
    <w:p w14:paraId="3D4A9190">
      <w:pPr>
        <w:pStyle w:val="25"/>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5.废标。</w:t>
      </w:r>
      <w:r>
        <w:rPr>
          <w:rFonts w:hint="eastAsia" w:ascii="宋体" w:hAnsi="宋体" w:eastAsia="宋体" w:cs="宋体"/>
          <w:color w:val="auto"/>
          <w:sz w:val="21"/>
          <w:szCs w:val="21"/>
          <w:highlight w:val="none"/>
        </w:rPr>
        <w:t>根据《中华人民共和国政府采购法》第三十六条之规定，在采购中，出现下列情形之一的，应予废标：</w:t>
      </w:r>
    </w:p>
    <w:p w14:paraId="037FCDD3">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5.1符合专业条件的供应商或者对招标文件作实质响应的供应商不足3家的；</w:t>
      </w:r>
    </w:p>
    <w:p w14:paraId="436BE7F6">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5.2出现影响采购公正的违法、违规行为的；</w:t>
      </w:r>
    </w:p>
    <w:p w14:paraId="3861788E">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5.3投标人的报价均超过了采购预算，采购人不能支付的；</w:t>
      </w:r>
    </w:p>
    <w:p w14:paraId="2C8A1F44">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5.4因重大变故，采购任务取消的。</w:t>
      </w:r>
    </w:p>
    <w:p w14:paraId="0F20D232">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废标后，</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应当将废标理由通知所有投标人。</w:t>
      </w:r>
    </w:p>
    <w:p w14:paraId="728F5DB1">
      <w:pPr>
        <w:pStyle w:val="25"/>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6.修改招标文件，重新组织采购活动。</w:t>
      </w:r>
      <w:r>
        <w:rPr>
          <w:rFonts w:hint="eastAsia" w:ascii="宋体" w:hAnsi="宋体" w:eastAsia="宋体" w:cs="宋体"/>
          <w:color w:val="auto"/>
          <w:sz w:val="21"/>
          <w:szCs w:val="21"/>
          <w:highlight w:val="none"/>
        </w:rPr>
        <w:t>评标委员会发现招标文件存在歧义、重大缺陷导致评标工作无法进行，或者招标文件内容违反国家有关强制性规定的，将停止评标工作，并与采购人、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沟通并作书面记录。采购人、</w:t>
      </w: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确认后，将修改招标文件，重新组织采购活动。</w:t>
      </w:r>
    </w:p>
    <w:p w14:paraId="4F2DA9DA">
      <w:pPr>
        <w:pStyle w:val="25"/>
        <w:pageBreakBefore w:val="0"/>
        <w:kinsoku/>
        <w:wordWrap/>
        <w:overflowPunct/>
        <w:topLinePunct w:val="0"/>
        <w:autoSpaceDE/>
        <w:autoSpaceDN/>
        <w:bidi w:val="0"/>
        <w:adjustRightInd w:val="0"/>
        <w:snapToGrid w:val="0"/>
        <w:spacing w:line="360" w:lineRule="auto"/>
        <w:ind w:left="0" w:leftChars="0"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7.重新开展采购。</w:t>
      </w:r>
      <w:r>
        <w:rPr>
          <w:rFonts w:hint="eastAsia" w:ascii="宋体" w:hAnsi="宋体" w:eastAsia="宋体" w:cs="宋体"/>
          <w:color w:val="auto"/>
          <w:sz w:val="21"/>
          <w:szCs w:val="21"/>
          <w:highlight w:val="none"/>
        </w:rPr>
        <w:t>有政府采购法第七十一条、第七十二条规定的违法行为之一，影响或者可能影响中标结果的，依照下列规定处理：</w:t>
      </w:r>
    </w:p>
    <w:p w14:paraId="62D94D34">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7.1未确定中标供应商的，终止本次政府采购活动，重新开展政府采购活动。</w:t>
      </w:r>
    </w:p>
    <w:p w14:paraId="2169EE18">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7.2已确定中标供应商但尚未签订政府采购合同的，中标结果无效，从合格的中标候选人中另行确定中标供应商；没有合格的中标候选人的，重新开展政府采购活动。</w:t>
      </w:r>
    </w:p>
    <w:p w14:paraId="52BC1C79">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7.3政府采购合同已签订但尚未履行的，撤销合同，从合格的中标候选人中另行确定中标供应商；没有合格的中标候选人的，重新开展政府采购活动。</w:t>
      </w:r>
    </w:p>
    <w:p w14:paraId="0C0B7240">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7.4政府采购合同已经履行，给采购人、供应商造成损失的，由责任人承担赔偿责任。</w:t>
      </w:r>
    </w:p>
    <w:p w14:paraId="194896E4">
      <w:pPr>
        <w:pStyle w:val="25"/>
        <w:pageBreakBefore w:val="0"/>
        <w:kinsoku/>
        <w:wordWrap/>
        <w:overflowPunct/>
        <w:topLinePunct w:val="0"/>
        <w:autoSpaceDE/>
        <w:autoSpaceDN/>
        <w:bidi w:val="0"/>
        <w:adjustRightInd w:val="0"/>
        <w:snapToGrid w:val="0"/>
        <w:spacing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5"/>
        <w:snapToGrid w:val="0"/>
        <w:spacing w:line="360" w:lineRule="auto"/>
        <w:ind w:firstLine="0" w:firstLineChars="0"/>
        <w:rPr>
          <w:rFonts w:hint="eastAsia" w:ascii="宋体" w:hAnsi="宋体" w:eastAsia="宋体" w:cs="宋体"/>
          <w:color w:val="auto"/>
          <w:highlight w:val="none"/>
        </w:rPr>
      </w:pPr>
    </w:p>
    <w:bookmarkEnd w:id="27"/>
    <w:p w14:paraId="5F8611A8">
      <w:pPr>
        <w:spacing w:line="360" w:lineRule="auto"/>
        <w:ind w:left="720" w:leftChars="343" w:firstLine="1084" w:firstLineChars="300"/>
        <w:outlineLvl w:val="0"/>
        <w:rPr>
          <w:rFonts w:hint="eastAsia" w:ascii="宋体" w:hAnsi="宋体" w:eastAsia="宋体" w:cs="宋体"/>
          <w:b/>
          <w:color w:val="auto"/>
          <w:sz w:val="36"/>
          <w:szCs w:val="36"/>
          <w:highlight w:val="none"/>
        </w:rPr>
      </w:pPr>
      <w:bookmarkStart w:id="393" w:name="第五部分"/>
      <w:bookmarkStart w:id="394" w:name="_Toc86217003"/>
      <w:r>
        <w:rPr>
          <w:rFonts w:hint="eastAsia" w:ascii="宋体" w:hAnsi="宋体" w:eastAsia="宋体" w:cs="宋体"/>
          <w:b/>
          <w:color w:val="auto"/>
          <w:sz w:val="36"/>
          <w:szCs w:val="36"/>
          <w:highlight w:val="none"/>
        </w:rPr>
        <w:t xml:space="preserve"> </w:t>
      </w:r>
    </w:p>
    <w:p w14:paraId="2CC431D9">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027BB869">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6D191506">
      <w:pPr>
        <w:spacing w:line="360" w:lineRule="auto"/>
        <w:ind w:left="720" w:leftChars="343" w:firstLine="1084" w:firstLineChars="300"/>
        <w:outlineLvl w:val="0"/>
        <w:rPr>
          <w:rFonts w:hint="eastAsia" w:ascii="宋体" w:hAnsi="宋体" w:eastAsia="宋体" w:cs="宋体"/>
          <w:b/>
          <w:color w:val="auto"/>
          <w:sz w:val="36"/>
          <w:szCs w:val="36"/>
          <w:highlight w:val="none"/>
        </w:rPr>
      </w:pPr>
    </w:p>
    <w:p w14:paraId="1100B8C1">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3CEA968D">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3816F2F6">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570272BE">
      <w:pPr>
        <w:spacing w:line="480" w:lineRule="auto"/>
        <w:jc w:val="center"/>
        <w:rPr>
          <w:rFonts w:hint="eastAsia" w:ascii="宋体" w:hAnsi="宋体" w:eastAsia="宋体" w:cs="宋体"/>
          <w:b/>
          <w:color w:val="auto"/>
          <w:sz w:val="28"/>
          <w:szCs w:val="28"/>
          <w:highlight w:val="none"/>
        </w:rPr>
      </w:pPr>
    </w:p>
    <w:p w14:paraId="4C9E886F">
      <w:pPr>
        <w:spacing w:line="480" w:lineRule="auto"/>
        <w:jc w:val="center"/>
        <w:rPr>
          <w:rFonts w:hint="eastAsia" w:ascii="宋体" w:hAnsi="宋体" w:eastAsia="宋体" w:cs="宋体"/>
          <w:b/>
          <w:color w:val="auto"/>
          <w:sz w:val="24"/>
          <w:highlight w:val="none"/>
        </w:rPr>
      </w:pPr>
    </w:p>
    <w:p w14:paraId="6A210C03">
      <w:pPr>
        <w:spacing w:line="480" w:lineRule="auto"/>
        <w:jc w:val="center"/>
        <w:rPr>
          <w:rFonts w:hint="eastAsia" w:ascii="宋体" w:hAnsi="宋体" w:eastAsia="宋体" w:cs="宋体"/>
          <w:b/>
          <w:color w:val="auto"/>
          <w:sz w:val="24"/>
          <w:highlight w:val="none"/>
        </w:rPr>
      </w:pPr>
    </w:p>
    <w:p w14:paraId="391DF66D">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14:paraId="511C89FD">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14:paraId="4419379D">
      <w:pPr>
        <w:pStyle w:val="702"/>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111642AA">
      <w:pPr>
        <w:spacing w:before="120" w:line="22" w:lineRule="atLeast"/>
        <w:rPr>
          <w:rFonts w:hint="eastAsia" w:ascii="宋体" w:hAnsi="宋体" w:eastAsia="宋体" w:cs="宋体"/>
          <w:color w:val="auto"/>
          <w:sz w:val="24"/>
          <w:highlight w:val="none"/>
        </w:rPr>
      </w:pPr>
    </w:p>
    <w:p w14:paraId="4EB107E0">
      <w:pPr>
        <w:pStyle w:val="5"/>
        <w:rPr>
          <w:rFonts w:hint="eastAsia" w:ascii="宋体" w:hAnsi="宋体" w:eastAsia="宋体" w:cs="宋体"/>
          <w:color w:val="auto"/>
          <w:highlight w:val="none"/>
        </w:rPr>
      </w:pPr>
    </w:p>
    <w:p w14:paraId="52C5A054">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6B902B2C">
      <w:pPr>
        <w:pStyle w:val="599"/>
        <w:spacing w:before="120" w:line="22" w:lineRule="atLeast"/>
        <w:rPr>
          <w:rFonts w:hint="eastAsia" w:ascii="宋体" w:hAnsi="宋体" w:eastAsia="宋体" w:cs="宋体"/>
          <w:color w:val="auto"/>
          <w:szCs w:val="24"/>
          <w:highlight w:val="none"/>
        </w:rPr>
      </w:pPr>
    </w:p>
    <w:p w14:paraId="5912128F">
      <w:pPr>
        <w:pStyle w:val="599"/>
        <w:spacing w:before="120" w:line="22" w:lineRule="atLeast"/>
        <w:rPr>
          <w:rFonts w:hint="eastAsia" w:ascii="宋体" w:hAnsi="宋体" w:eastAsia="宋体" w:cs="宋体"/>
          <w:color w:val="auto"/>
          <w:szCs w:val="24"/>
          <w:highlight w:val="none"/>
        </w:rPr>
      </w:pPr>
    </w:p>
    <w:p w14:paraId="5FE0C9E3">
      <w:pPr>
        <w:rPr>
          <w:rFonts w:hint="eastAsia" w:ascii="宋体" w:hAnsi="宋体" w:eastAsia="宋体" w:cs="宋体"/>
          <w:color w:val="auto"/>
          <w:sz w:val="24"/>
          <w:highlight w:val="none"/>
        </w:rPr>
      </w:pPr>
    </w:p>
    <w:p w14:paraId="47A9008A">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0D3D1846">
      <w:pPr>
        <w:spacing w:before="120" w:line="22" w:lineRule="atLeast"/>
        <w:rPr>
          <w:rFonts w:hint="eastAsia" w:ascii="宋体" w:hAnsi="宋体" w:eastAsia="宋体" w:cs="宋体"/>
          <w:color w:val="auto"/>
          <w:sz w:val="24"/>
          <w:highlight w:val="none"/>
        </w:rPr>
      </w:pPr>
    </w:p>
    <w:p w14:paraId="4F902F54">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15CA71C9">
      <w:pPr>
        <w:spacing w:before="120" w:line="22" w:lineRule="atLeast"/>
        <w:rPr>
          <w:rFonts w:hint="eastAsia" w:ascii="宋体" w:hAnsi="宋体" w:eastAsia="宋体" w:cs="宋体"/>
          <w:color w:val="auto"/>
          <w:sz w:val="24"/>
          <w:highlight w:val="none"/>
        </w:rPr>
      </w:pPr>
    </w:p>
    <w:p w14:paraId="14015310">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70C1208B">
      <w:pPr>
        <w:spacing w:before="120" w:line="22" w:lineRule="atLeast"/>
        <w:rPr>
          <w:rFonts w:hint="eastAsia" w:ascii="宋体" w:hAnsi="宋体" w:eastAsia="宋体" w:cs="宋体"/>
          <w:color w:val="auto"/>
          <w:sz w:val="24"/>
          <w:highlight w:val="none"/>
        </w:rPr>
      </w:pPr>
    </w:p>
    <w:p w14:paraId="3A8D1F64">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74A97AD9">
      <w:pPr>
        <w:widowControl/>
        <w:jc w:val="left"/>
        <w:rPr>
          <w:rFonts w:hint="eastAsia" w:ascii="宋体" w:hAnsi="宋体" w:eastAsia="宋体" w:cs="宋体"/>
          <w:color w:val="auto"/>
          <w:kern w:val="0"/>
          <w:sz w:val="24"/>
          <w:highlight w:val="none"/>
        </w:rPr>
        <w:sectPr>
          <w:headerReference r:id="rId8" w:type="default"/>
          <w:footerReference r:id="rId9" w:type="default"/>
          <w:pgSz w:w="11907" w:h="16840"/>
          <w:pgMar w:top="1361" w:right="1361" w:bottom="1361" w:left="1361" w:header="851" w:footer="851" w:gutter="0"/>
          <w:cols w:space="720" w:num="1"/>
        </w:sectPr>
      </w:pPr>
    </w:p>
    <w:p w14:paraId="719C4F9E">
      <w:pPr>
        <w:rPr>
          <w:rFonts w:hint="eastAsia" w:ascii="宋体" w:hAnsi="宋体" w:eastAsia="宋体" w:cs="宋体"/>
          <w:b/>
          <w:color w:val="auto"/>
          <w:sz w:val="24"/>
          <w:highlight w:val="none"/>
        </w:rPr>
      </w:pPr>
    </w:p>
    <w:p w14:paraId="373A4F3E">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年</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日</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杭州市公安局余杭区分局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以</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公开招标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对</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2025年96110接线处置项目</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进行了采购。经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评审小组</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评定，</w:t>
      </w:r>
      <w:r>
        <w:rPr>
          <w:rFonts w:hint="eastAsia" w:ascii="宋体" w:hAnsi="宋体" w:eastAsia="宋体" w:cs="宋体"/>
          <w:color w:val="auto"/>
          <w:sz w:val="21"/>
          <w:szCs w:val="21"/>
          <w:highlight w:val="none"/>
          <w:u w:val="single"/>
        </w:rPr>
        <w:t xml:space="preserve">   （中标或者成交供应商名称） </w:t>
      </w:r>
      <w:r>
        <w:rPr>
          <w:rFonts w:hint="eastAsia" w:ascii="宋体" w:hAnsi="宋体" w:eastAsia="宋体" w:cs="宋体"/>
          <w:color w:val="auto"/>
          <w:sz w:val="21"/>
          <w:szCs w:val="21"/>
          <w:highlight w:val="none"/>
        </w:rPr>
        <w:t>为该项目中标或者成交供应商。现于中标或者成交通知书发出之日起10个工作日内，按照采购文件确定的事项签订本合同。</w:t>
      </w:r>
    </w:p>
    <w:p w14:paraId="5AE034AE">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杭州市公安局余杭区分局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lang w:val="zh-CN"/>
        </w:rPr>
        <w:t>(以下简称：甲方)和</w:t>
      </w:r>
      <w:r>
        <w:rPr>
          <w:rFonts w:hint="eastAsia" w:ascii="宋体" w:hAnsi="宋体" w:eastAsia="宋体" w:cs="宋体"/>
          <w:color w:val="auto"/>
          <w:sz w:val="21"/>
          <w:szCs w:val="21"/>
          <w:highlight w:val="none"/>
          <w:u w:val="single"/>
        </w:rPr>
        <w:t xml:space="preserve">   （中或者成交标供应商名称）   </w:t>
      </w:r>
      <w:r>
        <w:rPr>
          <w:rFonts w:hint="eastAsia" w:ascii="宋体" w:hAnsi="宋体" w:eastAsia="宋体" w:cs="宋体"/>
          <w:color w:val="auto"/>
          <w:sz w:val="21"/>
          <w:szCs w:val="21"/>
          <w:highlight w:val="none"/>
          <w:lang w:val="zh-CN"/>
        </w:rPr>
        <w:t>(以下简称：乙方)协商一致，约定以下合同</w:t>
      </w:r>
      <w:r>
        <w:rPr>
          <w:rFonts w:hint="eastAsia" w:ascii="宋体" w:hAnsi="宋体" w:eastAsia="宋体" w:cs="宋体"/>
          <w:color w:val="auto"/>
          <w:sz w:val="21"/>
          <w:szCs w:val="21"/>
          <w:highlight w:val="none"/>
        </w:rPr>
        <w:t>条款，以兹共同遵守、全面履行。</w:t>
      </w:r>
    </w:p>
    <w:p w14:paraId="2D7CF604">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color w:val="auto"/>
          <w:sz w:val="21"/>
          <w:szCs w:val="21"/>
          <w:highlight w:val="none"/>
        </w:rPr>
      </w:pPr>
      <w:bookmarkStart w:id="395" w:name="_Toc20421"/>
      <w:bookmarkStart w:id="396" w:name="_Toc28855"/>
      <w:bookmarkStart w:id="397" w:name="_Toc22967"/>
      <w:bookmarkStart w:id="398" w:name="_Toc15367"/>
      <w:bookmarkStart w:id="399" w:name="_Toc19273"/>
      <w:r>
        <w:rPr>
          <w:rFonts w:hint="eastAsia" w:ascii="宋体" w:hAnsi="宋体" w:eastAsia="宋体" w:cs="宋体"/>
          <w:b/>
          <w:color w:val="auto"/>
          <w:sz w:val="21"/>
          <w:szCs w:val="21"/>
          <w:highlight w:val="none"/>
        </w:rPr>
        <w:t>1.1 合同组成部分</w:t>
      </w:r>
      <w:bookmarkEnd w:id="395"/>
      <w:bookmarkEnd w:id="396"/>
      <w:bookmarkEnd w:id="397"/>
      <w:bookmarkEnd w:id="398"/>
      <w:bookmarkEnd w:id="399"/>
    </w:p>
    <w:p w14:paraId="6E230AF6">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EFB1298">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 本合同及其补充合同、变更协议；</w:t>
      </w:r>
    </w:p>
    <w:p w14:paraId="31BCDC0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 中标或者成交通知书；</w:t>
      </w:r>
    </w:p>
    <w:p w14:paraId="2E4325C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 投标或者响应文件（含澄清或者说明文件）；</w:t>
      </w:r>
    </w:p>
    <w:p w14:paraId="6C3D4026">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 采购文件（含澄清或者修改文件）；</w:t>
      </w:r>
    </w:p>
    <w:p w14:paraId="57578C1C">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1.1.5 其他相关采购文件。</w:t>
      </w:r>
    </w:p>
    <w:p w14:paraId="3FF5EF7A">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00" w:name="_Toc18585"/>
      <w:bookmarkStart w:id="401" w:name="_Toc6311"/>
      <w:bookmarkStart w:id="402" w:name="_Toc22185"/>
      <w:bookmarkStart w:id="403" w:name="_Toc6773"/>
      <w:bookmarkStart w:id="404" w:name="_Toc2918"/>
      <w:r>
        <w:rPr>
          <w:rFonts w:hint="eastAsia" w:ascii="宋体" w:hAnsi="宋体" w:eastAsia="宋体" w:cs="宋体"/>
          <w:b/>
          <w:color w:val="auto"/>
          <w:sz w:val="21"/>
          <w:szCs w:val="21"/>
          <w:highlight w:val="none"/>
        </w:rPr>
        <w:t>1.2 标的</w:t>
      </w:r>
      <w:bookmarkEnd w:id="400"/>
      <w:bookmarkEnd w:id="401"/>
      <w:bookmarkEnd w:id="402"/>
      <w:bookmarkEnd w:id="403"/>
      <w:bookmarkEnd w:id="404"/>
    </w:p>
    <w:p w14:paraId="3F9B3BD0">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1.2.1 服务内容：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D0C9AEC">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1.2.2 服务标准：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792A5E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1.2.3 技术保障：</w:t>
      </w:r>
      <w:r>
        <w:rPr>
          <w:rFonts w:hint="eastAsia" w:ascii="宋体" w:hAnsi="宋体" w:eastAsia="宋体" w:cs="宋体"/>
          <w:color w:val="auto"/>
          <w:sz w:val="21"/>
          <w:szCs w:val="21"/>
          <w:highlight w:val="none"/>
          <w:u w:val="single"/>
        </w:rPr>
        <w:t>　　　　　　　　　                      　      ；</w:t>
      </w:r>
    </w:p>
    <w:p w14:paraId="07B7E028">
      <w:pPr>
        <w:pageBreakBefore w:val="0"/>
        <w:kinsoku/>
        <w:wordWrap/>
        <w:overflowPunct/>
        <w:topLinePunct w:val="0"/>
        <w:bidi w:val="0"/>
        <w:adjustRightInd w:val="0"/>
        <w:snapToGrid w:val="0"/>
        <w:spacing w:line="360" w:lineRule="auto"/>
        <w:ind w:left="0" w:leftChars="0" w:right="0" w:rightChars="0"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 服务人员组成：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A8AC0A8">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1.2.5合同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（是/否）涉及货物。若涉及货物的，则：</w:t>
      </w:r>
    </w:p>
    <w:p w14:paraId="66B9EE94">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bookmarkStart w:id="405" w:name="_Toc21124"/>
      <w:bookmarkStart w:id="406" w:name="_Toc13918"/>
      <w:bookmarkStart w:id="407" w:name="_Toc5635"/>
      <w:bookmarkStart w:id="408" w:name="_Toc4929"/>
      <w:bookmarkStart w:id="409" w:name="_Toc1386"/>
      <w:r>
        <w:rPr>
          <w:rFonts w:hint="eastAsia" w:ascii="宋体" w:hAnsi="宋体" w:eastAsia="宋体" w:cs="宋体"/>
          <w:color w:val="auto"/>
          <w:sz w:val="21"/>
          <w:szCs w:val="21"/>
          <w:highlight w:val="none"/>
        </w:rPr>
        <w:t>1.2.5.1 货物名称、品牌、规格型号、花色：</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FF58981">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1.2.5.2 货物数量：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771E3BCD">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1.2.5.3 货物质量：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148EEA2">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1.3 价款</w:t>
      </w:r>
      <w:bookmarkEnd w:id="405"/>
      <w:bookmarkEnd w:id="406"/>
      <w:bookmarkEnd w:id="407"/>
      <w:bookmarkEnd w:id="408"/>
      <w:bookmarkEnd w:id="409"/>
    </w:p>
    <w:p w14:paraId="5E12A313">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本项目采用以下第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1.3.1</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条款规定的计价方式计价。</w:t>
      </w:r>
    </w:p>
    <w:p w14:paraId="307DA224">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1.3.1总价合同，本合同总价（含税）为：￥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元人民币）。</w:t>
      </w:r>
    </w:p>
    <w:p w14:paraId="6FA1F8C6">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eastAsia="zh-Hans"/>
        </w:rPr>
      </w:pPr>
      <w:r>
        <w:rPr>
          <w:rFonts w:hint="eastAsia" w:ascii="宋体" w:hAnsi="宋体" w:eastAsia="宋体" w:cs="宋体"/>
          <w:color w:val="auto"/>
          <w:sz w:val="21"/>
          <w:szCs w:val="21"/>
          <w:highlight w:val="none"/>
          <w:lang w:val="en-US" w:eastAsia="zh-Hans"/>
        </w:rPr>
        <w:t>该价格包含乙方为实施本合同全部</w:t>
      </w:r>
      <w:r>
        <w:rPr>
          <w:rFonts w:hint="eastAsia" w:ascii="宋体" w:hAnsi="宋体" w:eastAsia="宋体" w:cs="宋体"/>
          <w:b w:val="0"/>
          <w:bCs w:val="0"/>
          <w:color w:val="auto"/>
          <w:sz w:val="21"/>
          <w:szCs w:val="21"/>
          <w:highlight w:val="none"/>
          <w:lang w:eastAsia="zh-Hans"/>
        </w:rPr>
        <w:t>数字城管信息采集服务</w:t>
      </w:r>
      <w:r>
        <w:rPr>
          <w:rFonts w:hint="eastAsia" w:ascii="宋体" w:hAnsi="宋体" w:eastAsia="宋体" w:cs="宋体"/>
          <w:color w:val="auto"/>
          <w:sz w:val="21"/>
          <w:szCs w:val="21"/>
          <w:highlight w:val="none"/>
          <w:lang w:val="en-US" w:eastAsia="zh-Hans"/>
        </w:rPr>
        <w:t>工作所需的包括但不限于人工费</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设备费</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税费等全部费用</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除本合同另有约定外</w:t>
      </w:r>
      <w:r>
        <w:rPr>
          <w:rFonts w:hint="eastAsia" w:ascii="宋体" w:hAnsi="宋体" w:eastAsia="宋体" w:cs="宋体"/>
          <w:color w:val="auto"/>
          <w:sz w:val="21"/>
          <w:szCs w:val="21"/>
          <w:highlight w:val="none"/>
          <w:lang w:eastAsia="zh-Hans"/>
        </w:rPr>
        <w:t>，</w:t>
      </w:r>
      <w:r>
        <w:rPr>
          <w:rFonts w:hint="eastAsia" w:ascii="宋体" w:hAnsi="宋体" w:eastAsia="宋体" w:cs="宋体"/>
          <w:color w:val="auto"/>
          <w:sz w:val="21"/>
          <w:szCs w:val="21"/>
          <w:highlight w:val="none"/>
          <w:lang w:val="en-US" w:eastAsia="zh-Hans"/>
        </w:rPr>
        <w:t>甲方不再支付其他任何费用</w:t>
      </w:r>
      <w:r>
        <w:rPr>
          <w:rFonts w:hint="eastAsia" w:ascii="宋体" w:hAnsi="宋体" w:eastAsia="宋体" w:cs="宋体"/>
          <w:color w:val="auto"/>
          <w:sz w:val="21"/>
          <w:szCs w:val="21"/>
          <w:highlight w:val="none"/>
          <w:lang w:eastAsia="zh-Hans"/>
        </w:rPr>
        <w:t>。</w:t>
      </w:r>
    </w:p>
    <w:p w14:paraId="755EDA3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分项价格：</w:t>
      </w:r>
    </w:p>
    <w:tbl>
      <w:tblPr>
        <w:tblStyle w:val="62"/>
        <w:tblW w:w="98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1"/>
        <w:gridCol w:w="4687"/>
        <w:gridCol w:w="3514"/>
      </w:tblGrid>
      <w:tr w14:paraId="16F97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51" w:type="dxa"/>
            <w:vAlign w:val="center"/>
          </w:tcPr>
          <w:p w14:paraId="5B11B292">
            <w:pPr>
              <w:pStyle w:val="320"/>
              <w:pageBreakBefore w:val="0"/>
              <w:kinsoku/>
              <w:wordWrap/>
              <w:overflowPunct/>
              <w:topLinePunct w:val="0"/>
              <w:bidi w:val="0"/>
              <w:adjustRightInd w:val="0"/>
              <w:snapToGrid w:val="0"/>
              <w:spacing w:line="360" w:lineRule="auto"/>
              <w:ind w:left="0" w:leftChars="0"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4687" w:type="dxa"/>
            <w:vAlign w:val="center"/>
          </w:tcPr>
          <w:p w14:paraId="38404BD3">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分项名称</w:t>
            </w:r>
          </w:p>
        </w:tc>
        <w:tc>
          <w:tcPr>
            <w:tcW w:w="3514" w:type="dxa"/>
            <w:vAlign w:val="center"/>
          </w:tcPr>
          <w:p w14:paraId="413D5CA0">
            <w:pPr>
              <w:pStyle w:val="320"/>
              <w:pageBreakBefore w:val="0"/>
              <w:kinsoku/>
              <w:wordWrap/>
              <w:overflowPunct/>
              <w:topLinePunct w:val="0"/>
              <w:bidi w:val="0"/>
              <w:adjustRightInd w:val="0"/>
              <w:snapToGrid w:val="0"/>
              <w:spacing w:line="360" w:lineRule="auto"/>
              <w:ind w:left="0" w:leftChars="0" w:right="0" w:right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分项价格</w:t>
            </w:r>
          </w:p>
        </w:tc>
      </w:tr>
      <w:tr w14:paraId="07B4D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51" w:type="dxa"/>
            <w:vAlign w:val="center"/>
          </w:tcPr>
          <w:p w14:paraId="58B9B9B8">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4687" w:type="dxa"/>
            <w:vAlign w:val="center"/>
          </w:tcPr>
          <w:p w14:paraId="5BC0D357">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3514" w:type="dxa"/>
            <w:vAlign w:val="center"/>
          </w:tcPr>
          <w:p w14:paraId="4AD0D3C6">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r>
      <w:tr w14:paraId="58662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51" w:type="dxa"/>
            <w:vAlign w:val="center"/>
          </w:tcPr>
          <w:p w14:paraId="742AC6C5">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4687" w:type="dxa"/>
            <w:vAlign w:val="center"/>
          </w:tcPr>
          <w:p w14:paraId="6EDAEE36">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3514" w:type="dxa"/>
            <w:vAlign w:val="center"/>
          </w:tcPr>
          <w:p w14:paraId="1FD9723D">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r>
      <w:tr w14:paraId="42ACF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51" w:type="dxa"/>
            <w:vAlign w:val="center"/>
          </w:tcPr>
          <w:p w14:paraId="253BEADE">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4687" w:type="dxa"/>
            <w:vAlign w:val="center"/>
          </w:tcPr>
          <w:p w14:paraId="6BA39731">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3514" w:type="dxa"/>
            <w:vAlign w:val="center"/>
          </w:tcPr>
          <w:p w14:paraId="62152DF5">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r>
      <w:tr w14:paraId="74FED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51" w:type="dxa"/>
            <w:vAlign w:val="center"/>
          </w:tcPr>
          <w:p w14:paraId="53018AD7">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4687" w:type="dxa"/>
            <w:vAlign w:val="center"/>
          </w:tcPr>
          <w:p w14:paraId="5765CA20">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c>
          <w:tcPr>
            <w:tcW w:w="3514" w:type="dxa"/>
            <w:vAlign w:val="center"/>
          </w:tcPr>
          <w:p w14:paraId="1D34810C">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r>
      <w:tr w14:paraId="71B10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338" w:type="dxa"/>
            <w:gridSpan w:val="2"/>
            <w:vAlign w:val="center"/>
          </w:tcPr>
          <w:p w14:paraId="4C755091">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总价</w:t>
            </w:r>
          </w:p>
        </w:tc>
        <w:tc>
          <w:tcPr>
            <w:tcW w:w="3514" w:type="dxa"/>
            <w:vAlign w:val="center"/>
          </w:tcPr>
          <w:p w14:paraId="58761DA4">
            <w:pPr>
              <w:pStyle w:val="320"/>
              <w:pageBreakBefore w:val="0"/>
              <w:kinsoku/>
              <w:wordWrap/>
              <w:overflowPunct/>
              <w:topLinePunct w:val="0"/>
              <w:bidi w:val="0"/>
              <w:adjustRightInd w:val="0"/>
              <w:snapToGrid w:val="0"/>
              <w:spacing w:line="360" w:lineRule="auto"/>
              <w:ind w:left="0" w:leftChars="0" w:right="0" w:rightChars="0" w:firstLine="200"/>
              <w:jc w:val="center"/>
              <w:textAlignment w:val="auto"/>
              <w:rPr>
                <w:rFonts w:hint="eastAsia" w:ascii="宋体" w:hAnsi="宋体" w:eastAsia="宋体" w:cs="宋体"/>
                <w:color w:val="auto"/>
                <w:sz w:val="21"/>
                <w:szCs w:val="21"/>
                <w:highlight w:val="none"/>
              </w:rPr>
            </w:pPr>
          </w:p>
        </w:tc>
      </w:tr>
    </w:tbl>
    <w:p w14:paraId="4139620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bookmarkStart w:id="410" w:name="_Toc26916"/>
      <w:bookmarkStart w:id="411" w:name="_Toc3654"/>
      <w:bookmarkStart w:id="412" w:name="_Toc30506"/>
      <w:bookmarkStart w:id="413" w:name="_Toc14993"/>
      <w:bookmarkStart w:id="414" w:name="_Toc30158"/>
      <w:r>
        <w:rPr>
          <w:rFonts w:hint="eastAsia" w:ascii="宋体" w:hAnsi="宋体" w:eastAsia="宋体" w:cs="宋体"/>
          <w:bCs/>
          <w:color w:val="auto"/>
          <w:sz w:val="21"/>
          <w:szCs w:val="21"/>
          <w:highlight w:val="none"/>
        </w:rPr>
        <w:t>1.3.2单价合同，本合同单价（含税）标准为：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Cs/>
          <w:color w:val="auto"/>
          <w:sz w:val="21"/>
          <w:szCs w:val="21"/>
          <w:highlight w:val="none"/>
          <w:u w:val="single"/>
          <w:lang w:val="en-US" w:eastAsia="zh-CN"/>
        </w:rPr>
        <w:t>/</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color w:val="auto"/>
          <w:sz w:val="21"/>
          <w:szCs w:val="21"/>
          <w:highlight w:val="none"/>
        </w:rPr>
        <w:t>。服务工作量的计量方式为：</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bCs/>
          <w:color w:val="auto"/>
          <w:sz w:val="21"/>
          <w:szCs w:val="21"/>
          <w:highlight w:val="none"/>
          <w:u w:val="single"/>
        </w:rPr>
        <w:t xml:space="preserve">     </w:t>
      </w:r>
      <w:r>
        <w:rPr>
          <w:rFonts w:hint="eastAsia" w:ascii="宋体" w:hAnsi="宋体" w:eastAsia="宋体" w:cs="宋体"/>
          <w:color w:val="auto"/>
          <w:sz w:val="21"/>
          <w:szCs w:val="21"/>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元人民币）。</w:t>
      </w:r>
    </w:p>
    <w:p w14:paraId="32651BEC">
      <w:pPr>
        <w:pStyle w:val="5"/>
        <w:pageBreakBefore w:val="0"/>
        <w:kinsoku/>
        <w:wordWrap/>
        <w:overflowPunct/>
        <w:topLinePunct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 xml:space="preserve">    </w:t>
      </w:r>
      <w:r>
        <w:rPr>
          <w:rFonts w:hint="eastAsia" w:ascii="宋体" w:hAnsi="宋体" w:eastAsia="宋体" w:cs="宋体"/>
          <w:b w:val="0"/>
          <w:bCs w:val="0"/>
          <w:color w:val="auto"/>
          <w:sz w:val="21"/>
          <w:szCs w:val="21"/>
          <w:highlight w:val="none"/>
          <w:lang w:val="en-US"/>
        </w:rPr>
        <w:t>1.3.3其他计价方式：</w:t>
      </w:r>
      <w:r>
        <w:rPr>
          <w:rFonts w:hint="eastAsia" w:ascii="宋体" w:hAnsi="宋体" w:eastAsia="宋体" w:cs="宋体"/>
          <w:b w:val="0"/>
          <w:bCs w:val="0"/>
          <w:color w:val="auto"/>
          <w:sz w:val="21"/>
          <w:szCs w:val="21"/>
          <w:highlight w:val="none"/>
          <w:u w:val="single"/>
          <w:lang w:val="en-US"/>
        </w:rPr>
        <w:t xml:space="preserve">       </w:t>
      </w:r>
      <w:r>
        <w:rPr>
          <w:rFonts w:hint="eastAsia" w:ascii="宋体" w:hAnsi="宋体" w:eastAsia="宋体" w:cs="宋体"/>
          <w:b w:val="0"/>
          <w:bCs w:val="0"/>
          <w:color w:val="auto"/>
          <w:sz w:val="21"/>
          <w:szCs w:val="21"/>
          <w:highlight w:val="none"/>
          <w:u w:val="single"/>
          <w:lang w:val="en-US" w:eastAsia="zh-CN"/>
        </w:rPr>
        <w:t>/</w:t>
      </w:r>
      <w:r>
        <w:rPr>
          <w:rFonts w:hint="eastAsia" w:ascii="宋体" w:hAnsi="宋体" w:eastAsia="宋体" w:cs="宋体"/>
          <w:b w:val="0"/>
          <w:bCs w:val="0"/>
          <w:color w:val="auto"/>
          <w:sz w:val="21"/>
          <w:szCs w:val="21"/>
          <w:highlight w:val="none"/>
          <w:u w:val="single"/>
          <w:lang w:val="en-US"/>
        </w:rPr>
        <w:t xml:space="preserve">            </w:t>
      </w:r>
      <w:r>
        <w:rPr>
          <w:rFonts w:hint="eastAsia" w:ascii="宋体" w:hAnsi="宋体" w:eastAsia="宋体" w:cs="宋体"/>
          <w:b w:val="0"/>
          <w:bCs w:val="0"/>
          <w:color w:val="auto"/>
          <w:sz w:val="21"/>
          <w:szCs w:val="21"/>
          <w:highlight w:val="none"/>
        </w:rPr>
        <w:t>。</w:t>
      </w:r>
    </w:p>
    <w:bookmarkEnd w:id="410"/>
    <w:bookmarkEnd w:id="411"/>
    <w:bookmarkEnd w:id="412"/>
    <w:bookmarkEnd w:id="413"/>
    <w:bookmarkEnd w:id="414"/>
    <w:p w14:paraId="2ED5594A">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b/>
          <w:color w:val="auto"/>
          <w:sz w:val="21"/>
          <w:szCs w:val="21"/>
          <w:highlight w:val="none"/>
          <w:lang w:eastAsia="zh-CN"/>
        </w:rPr>
      </w:pPr>
      <w:bookmarkStart w:id="415" w:name="_Toc1814"/>
      <w:bookmarkStart w:id="416" w:name="_Toc10340"/>
      <w:bookmarkStart w:id="417" w:name="_Toc22618"/>
      <w:bookmarkStart w:id="418" w:name="_Toc3625"/>
      <w:bookmarkStart w:id="419" w:name="_Toc8772"/>
      <w:bookmarkStart w:id="420" w:name="_Toc4760"/>
      <w:bookmarkStart w:id="421" w:name="_Toc31421"/>
      <w:bookmarkStart w:id="422" w:name="_Toc11108"/>
      <w:r>
        <w:rPr>
          <w:rFonts w:hint="eastAsia" w:ascii="宋体" w:hAnsi="宋体" w:eastAsia="宋体" w:cs="宋体"/>
          <w:b/>
          <w:color w:val="auto"/>
          <w:sz w:val="21"/>
          <w:szCs w:val="21"/>
          <w:highlight w:val="none"/>
        </w:rPr>
        <w:t>1.4履约保证金</w:t>
      </w:r>
    </w:p>
    <w:p w14:paraId="3E586AE5">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是</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（是/否）需要支付履约保证金。若需要支付履约保证金的，则：</w:t>
      </w:r>
    </w:p>
    <w:p w14:paraId="1910CBC7">
      <w:pPr>
        <w:pageBreakBefore w:val="0"/>
        <w:kinsoku/>
        <w:wordWrap/>
        <w:overflowPunct/>
        <w:topLinePunct w:val="0"/>
        <w:bidi w:val="0"/>
        <w:adjustRightInd w:val="0"/>
        <w:snapToGrid w:val="0"/>
        <w:spacing w:line="360" w:lineRule="auto"/>
        <w:ind w:left="0" w:leftChars="0" w:right="0" w:rightChars="0" w:firstLine="420" w:firstLineChars="200"/>
        <w:textAlignment w:val="auto"/>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1.4.1履约保证金的比例为合同金额的</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lang w:val="en-US" w:eastAsia="zh-CN"/>
        </w:rPr>
        <w:t>1</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5369A7A4">
      <w:pPr>
        <w:pageBreakBefore w:val="0"/>
        <w:kinsoku/>
        <w:wordWrap/>
        <w:overflowPunct/>
        <w:topLinePunct w:val="0"/>
        <w:bidi w:val="0"/>
        <w:adjustRightInd w:val="0"/>
        <w:snapToGrid w:val="0"/>
        <w:spacing w:line="360" w:lineRule="auto"/>
        <w:ind w:left="0" w:leftChars="0" w:right="0" w:rightChars="0" w:firstLine="420" w:firstLineChars="200"/>
        <w:textAlignment w:val="auto"/>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1.4.2履约保证金支付方式详见</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7355D8C0">
      <w:pPr>
        <w:pStyle w:val="5"/>
        <w:pageBreakBefore w:val="0"/>
        <w:tabs>
          <w:tab w:val="left" w:pos="0"/>
        </w:tabs>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rPr>
      </w:pPr>
      <w:r>
        <w:rPr>
          <w:rFonts w:hint="eastAsia" w:ascii="宋体" w:hAnsi="宋体" w:eastAsia="宋体" w:cs="宋体"/>
          <w:b w:val="0"/>
          <w:bCs w:val="0"/>
          <w:color w:val="auto"/>
          <w:kern w:val="0"/>
          <w:sz w:val="21"/>
          <w:szCs w:val="21"/>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4D642E5">
      <w:pPr>
        <w:pageBreakBefore w:val="0"/>
        <w:kinsoku/>
        <w:wordWrap/>
        <w:overflowPunct/>
        <w:topLinePunct w:val="0"/>
        <w:bidi w:val="0"/>
        <w:adjustRightInd w:val="0"/>
        <w:snapToGrid w:val="0"/>
        <w:spacing w:line="360" w:lineRule="auto"/>
        <w:ind w:left="0" w:leftChars="0" w:right="0" w:rightChars="0" w:firstLine="420" w:firstLineChars="200"/>
        <w:textAlignment w:val="auto"/>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1.4.4甲方在项目验收结束后及时退还履约保证金。甲方在项目通过验收之日起</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lang w:val="en-US" w:eastAsia="zh-CN"/>
        </w:rPr>
        <w:t>30</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个工作日内将</w:t>
      </w:r>
      <w:r>
        <w:rPr>
          <w:rFonts w:hint="eastAsia" w:ascii="宋体" w:hAnsi="宋体" w:cs="宋体"/>
          <w:color w:val="auto"/>
          <w:kern w:val="0"/>
          <w:sz w:val="21"/>
          <w:szCs w:val="21"/>
          <w:highlight w:val="none"/>
          <w:lang w:val="en-US" w:eastAsia="zh-CN"/>
        </w:rPr>
        <w:t>以银行保函形式缴纳的</w:t>
      </w:r>
      <w:r>
        <w:rPr>
          <w:rFonts w:hint="eastAsia" w:ascii="宋体" w:hAnsi="宋体" w:eastAsia="宋体" w:cs="宋体"/>
          <w:color w:val="auto"/>
          <w:kern w:val="0"/>
          <w:sz w:val="21"/>
          <w:szCs w:val="21"/>
          <w:highlight w:val="none"/>
        </w:rPr>
        <w:t>履约保证金退还乙方，逾期退还的，乙方可要求甲方支付违约金，违约金按每迟延退还一日的应退还而未退还金额的</w:t>
      </w:r>
      <w:r>
        <w:rPr>
          <w:rFonts w:hint="eastAsia" w:ascii="宋体" w:hAnsi="宋体" w:eastAsia="宋体" w:cs="宋体"/>
          <w:color w:val="auto"/>
          <w:kern w:val="0"/>
          <w:sz w:val="21"/>
          <w:szCs w:val="21"/>
          <w:highlight w:val="none"/>
          <w:u w:val="single"/>
        </w:rPr>
        <w:t xml:space="preserve">  0.05  </w:t>
      </w:r>
      <w:r>
        <w:rPr>
          <w:rFonts w:hint="eastAsia" w:ascii="宋体" w:hAnsi="宋体" w:eastAsia="宋体" w:cs="宋体"/>
          <w:color w:val="auto"/>
          <w:kern w:val="0"/>
          <w:sz w:val="21"/>
          <w:szCs w:val="21"/>
          <w:highlight w:val="none"/>
        </w:rPr>
        <w:t>%计算，最高限额为本合同履约保证金的</w:t>
      </w:r>
      <w:r>
        <w:rPr>
          <w:rFonts w:hint="eastAsia" w:ascii="宋体" w:hAnsi="宋体" w:eastAsia="宋体" w:cs="宋体"/>
          <w:color w:val="auto"/>
          <w:kern w:val="0"/>
          <w:sz w:val="21"/>
          <w:szCs w:val="21"/>
          <w:highlight w:val="none"/>
          <w:u w:val="single"/>
        </w:rPr>
        <w:t xml:space="preserve">  20  </w:t>
      </w:r>
      <w:r>
        <w:rPr>
          <w:rFonts w:hint="eastAsia" w:ascii="宋体" w:hAnsi="宋体" w:eastAsia="宋体" w:cs="宋体"/>
          <w:color w:val="auto"/>
          <w:kern w:val="0"/>
          <w:sz w:val="21"/>
          <w:szCs w:val="21"/>
          <w:highlight w:val="none"/>
        </w:rPr>
        <w:t xml:space="preserve"> %。</w:t>
      </w:r>
    </w:p>
    <w:p w14:paraId="442986BE">
      <w:pPr>
        <w:pageBreakBefore w:val="0"/>
        <w:kinsoku/>
        <w:wordWrap/>
        <w:overflowPunct/>
        <w:topLinePunct w:val="0"/>
        <w:bidi w:val="0"/>
        <w:adjustRightInd w:val="0"/>
        <w:snapToGrid w:val="0"/>
        <w:spacing w:line="360" w:lineRule="auto"/>
        <w:ind w:left="0" w:leftChars="0" w:right="0" w:rightChars="0" w:firstLine="420" w:firstLineChars="200"/>
        <w:textAlignment w:val="auto"/>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1.4.5因乙方违反本合同约定导致甲方扣除相应履约保证金的，乙方应当在甲方通知乙方扣除履约保证金之日起7日内将扣除部分补足，否则甲方有权自逾期之日起要求乙方按照应补足未补足部分金额的【</w:t>
      </w:r>
      <w:r>
        <w:rPr>
          <w:rFonts w:hint="eastAsia" w:ascii="宋体" w:hAnsi="宋体" w:cs="宋体"/>
          <w:color w:val="auto"/>
          <w:kern w:val="0"/>
          <w:sz w:val="21"/>
          <w:szCs w:val="21"/>
          <w:highlight w:val="none"/>
          <w:lang w:val="en-US" w:eastAsia="zh-CN"/>
        </w:rPr>
        <w:t>0.05</w:t>
      </w:r>
      <w:r>
        <w:rPr>
          <w:rFonts w:hint="eastAsia" w:ascii="宋体" w:hAnsi="宋体" w:eastAsia="宋体" w:cs="宋体"/>
          <w:color w:val="auto"/>
          <w:kern w:val="0"/>
          <w:sz w:val="21"/>
          <w:szCs w:val="21"/>
          <w:highlight w:val="none"/>
          <w:lang w:val="en-US" w:eastAsia="zh-CN"/>
        </w:rPr>
        <w:t>】%/日支付滞纳金。</w:t>
      </w:r>
    </w:p>
    <w:p w14:paraId="70A36661">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1.5</w:t>
      </w:r>
      <w:bookmarkEnd w:id="415"/>
      <w:bookmarkEnd w:id="416"/>
      <w:bookmarkEnd w:id="417"/>
      <w:r>
        <w:rPr>
          <w:rFonts w:hint="eastAsia" w:ascii="宋体" w:hAnsi="宋体" w:eastAsia="宋体" w:cs="宋体"/>
          <w:b/>
          <w:color w:val="auto"/>
          <w:sz w:val="21"/>
          <w:szCs w:val="21"/>
          <w:highlight w:val="none"/>
        </w:rPr>
        <w:t>预付款</w:t>
      </w:r>
    </w:p>
    <w:p w14:paraId="6F5A93C4">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是</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（是/否）需要支付预付款。若需要支付预付款的，则：</w:t>
      </w:r>
    </w:p>
    <w:p w14:paraId="41B127A0">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1.5.1预付款比例、支付方式、时间详见</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778EC1BC">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1.5.2预付款的扣回方式详见</w:t>
      </w:r>
      <w:r>
        <w:rPr>
          <w:rFonts w:hint="eastAsia" w:ascii="宋体" w:hAnsi="宋体" w:eastAsia="宋体" w:cs="宋体"/>
          <w:color w:val="auto"/>
          <w:sz w:val="21"/>
          <w:szCs w:val="21"/>
          <w:highlight w:val="none"/>
          <w:u w:val="single"/>
        </w:rPr>
        <w:t xml:space="preserve">    </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6FCCCC03">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1.5.3预付款的担保措施详见</w:t>
      </w:r>
      <w:r>
        <w:rPr>
          <w:rFonts w:hint="eastAsia" w:ascii="宋体" w:hAnsi="宋体" w:eastAsia="宋体" w:cs="宋体"/>
          <w:color w:val="auto"/>
          <w:sz w:val="21"/>
          <w:szCs w:val="21"/>
          <w:highlight w:val="none"/>
          <w:u w:val="single"/>
        </w:rPr>
        <w:t xml:space="preserve"> </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5E7640E6">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1.6资金支付</w:t>
      </w:r>
    </w:p>
    <w:p w14:paraId="0D53C349">
      <w:pPr>
        <w:pStyle w:val="961"/>
        <w:pageBreakBefore w:val="0"/>
        <w:kinsoku/>
        <w:wordWrap/>
        <w:overflowPunct/>
        <w:topLinePunct w:val="0"/>
        <w:bidi w:val="0"/>
        <w:adjustRightInd w:val="0"/>
        <w:snapToGrid w:val="0"/>
        <w:spacing w:before="0" w:beforeAutospacing="0" w:after="0" w:afterAutospacing="0" w:line="360" w:lineRule="auto"/>
        <w:ind w:left="0" w:leftChars="0" w:right="0" w:rightChars="0" w:firstLine="48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1.6.1甲方应严格履行合同，及时组织验收，验收合格后及时将合同款支付完毕。对于满足合同约定支付条件的，甲方自收到</w:t>
      </w:r>
      <w:r>
        <w:rPr>
          <w:rFonts w:hint="eastAsia" w:ascii="宋体" w:hAnsi="宋体" w:eastAsia="宋体" w:cs="宋体"/>
          <w:color w:val="auto"/>
          <w:sz w:val="21"/>
          <w:szCs w:val="21"/>
          <w:highlight w:val="none"/>
          <w:lang w:val="en-US" w:eastAsia="zh-CN"/>
        </w:rPr>
        <w:t>正规等额</w:t>
      </w:r>
      <w:r>
        <w:rPr>
          <w:rFonts w:hint="eastAsia" w:ascii="宋体" w:hAnsi="宋体" w:eastAsia="宋体" w:cs="宋体"/>
          <w:color w:val="auto"/>
          <w:sz w:val="21"/>
          <w:szCs w:val="21"/>
          <w:highlight w:val="none"/>
        </w:rPr>
        <w:t>发票</w:t>
      </w:r>
      <w:r>
        <w:rPr>
          <w:rFonts w:hint="eastAsia" w:ascii="宋体" w:hAnsi="宋体" w:eastAsia="宋体" w:cs="宋体"/>
          <w:color w:val="auto"/>
          <w:sz w:val="21"/>
          <w:szCs w:val="21"/>
          <w:highlight w:val="none"/>
          <w:lang w:val="en-US" w:eastAsia="zh-CN"/>
        </w:rPr>
        <w:t>后，根据财政支付流程进行支付</w:t>
      </w:r>
      <w:r>
        <w:rPr>
          <w:rFonts w:hint="eastAsia" w:ascii="宋体" w:hAnsi="宋体" w:eastAsia="宋体" w:cs="宋体"/>
          <w:color w:val="auto"/>
          <w:sz w:val="21"/>
          <w:szCs w:val="21"/>
          <w:highlight w:val="none"/>
        </w:rPr>
        <w:t>。</w:t>
      </w:r>
    </w:p>
    <w:p w14:paraId="322262E9">
      <w:pPr>
        <w:pageBreakBefore w:val="0"/>
        <w:kinsoku/>
        <w:wordWrap/>
        <w:overflowPunct/>
        <w:topLinePunct w:val="0"/>
        <w:bidi w:val="0"/>
        <w:adjustRightInd w:val="0"/>
        <w:snapToGrid w:val="0"/>
        <w:spacing w:line="360" w:lineRule="auto"/>
        <w:ind w:left="0" w:leftChars="0" w:right="0" w:rightChars="0" w:firstLine="420" w:firstLineChars="200"/>
        <w:textAlignment w:val="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1.6.2资金支付的方式、时间和条件详见</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5B04B4A6">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1.7 履行期限、地点和方式</w:t>
      </w:r>
      <w:bookmarkEnd w:id="418"/>
      <w:bookmarkEnd w:id="419"/>
      <w:bookmarkEnd w:id="420"/>
      <w:bookmarkEnd w:id="421"/>
      <w:bookmarkEnd w:id="422"/>
    </w:p>
    <w:p w14:paraId="1F34D173">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1.7.1 服务交付（实施）的时间（期限）：</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104F0783">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 服务交付（实施）的地点（地域范围）：</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270EA2A3">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 服务交付（实施）的方式：</w:t>
      </w:r>
      <w:r>
        <w:rPr>
          <w:rFonts w:hint="eastAsia" w:ascii="宋体" w:hAnsi="宋体" w:eastAsia="宋体" w:cs="宋体"/>
          <w:color w:val="auto"/>
          <w:sz w:val="21"/>
          <w:szCs w:val="21"/>
          <w:highlight w:val="none"/>
          <w:u w:val="single"/>
        </w:rPr>
        <w:t>根据本合同、招标文件及甲方要求实施服务</w:t>
      </w:r>
      <w:r>
        <w:rPr>
          <w:rFonts w:hint="eastAsia" w:ascii="宋体" w:hAnsi="宋体" w:eastAsia="宋体" w:cs="宋体"/>
          <w:color w:val="auto"/>
          <w:sz w:val="21"/>
          <w:szCs w:val="21"/>
          <w:highlight w:val="none"/>
        </w:rPr>
        <w:t>。</w:t>
      </w:r>
    </w:p>
    <w:p w14:paraId="2C2934C7">
      <w:pPr>
        <w:pageBreakBefore w:val="0"/>
        <w:kinsoku/>
        <w:wordWrap/>
        <w:overflowPunct/>
        <w:topLinePunct w:val="0"/>
        <w:bidi w:val="0"/>
        <w:adjustRightInd w:val="0"/>
        <w:snapToGrid w:val="0"/>
        <w:spacing w:line="360" w:lineRule="auto"/>
        <w:ind w:left="0" w:leftChars="0" w:right="0" w:rightChars="0" w:firstLine="420" w:firstLineChars="200"/>
        <w:textAlignment w:val="auto"/>
        <w:outlineLvl w:val="0"/>
        <w:rPr>
          <w:rFonts w:hint="eastAsia" w:ascii="宋体" w:hAnsi="宋体" w:eastAsia="宋体" w:cs="宋体"/>
          <w:bCs/>
          <w:color w:val="auto"/>
          <w:sz w:val="21"/>
          <w:szCs w:val="21"/>
          <w:highlight w:val="none"/>
        </w:rPr>
      </w:pPr>
      <w:bookmarkStart w:id="423" w:name="_Toc2375"/>
      <w:bookmarkStart w:id="424" w:name="_Toc5698"/>
      <w:bookmarkStart w:id="425" w:name="_Toc3079"/>
      <w:bookmarkStart w:id="426" w:name="_Toc24662"/>
      <w:bookmarkStart w:id="427" w:name="_Toc8586"/>
      <w:r>
        <w:rPr>
          <w:rFonts w:hint="eastAsia" w:ascii="宋体" w:hAnsi="宋体" w:eastAsia="宋体" w:cs="宋体"/>
          <w:bCs/>
          <w:color w:val="auto"/>
          <w:sz w:val="21"/>
          <w:szCs w:val="21"/>
          <w:highlight w:val="none"/>
        </w:rPr>
        <w:t>1.7.4若服务涉及货物的，则货物的：</w:t>
      </w:r>
    </w:p>
    <w:p w14:paraId="0FD2CB8F">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1.7.4.1 交付期限：详见</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6DAE7C5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1.7.4.2 交付地点：</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7F5B19AA">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1.7.4.3 交付方式：</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34FD8E4D">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color w:val="auto"/>
          <w:sz w:val="21"/>
          <w:szCs w:val="21"/>
          <w:highlight w:val="none"/>
          <w:u w:val="single"/>
        </w:rPr>
      </w:pPr>
      <w:r>
        <w:rPr>
          <w:rFonts w:hint="eastAsia" w:ascii="宋体" w:hAnsi="宋体" w:eastAsia="宋体" w:cs="宋体"/>
          <w:b/>
          <w:color w:val="auto"/>
          <w:sz w:val="21"/>
          <w:szCs w:val="21"/>
          <w:highlight w:val="none"/>
        </w:rPr>
        <w:t>1.8违约责任</w:t>
      </w:r>
      <w:bookmarkEnd w:id="423"/>
      <w:bookmarkEnd w:id="424"/>
      <w:bookmarkEnd w:id="425"/>
      <w:bookmarkEnd w:id="426"/>
      <w:bookmarkEnd w:id="427"/>
    </w:p>
    <w:p w14:paraId="465F6746">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1"/>
          <w:szCs w:val="21"/>
          <w:highlight w:val="none"/>
          <w:u w:val="single"/>
        </w:rPr>
        <w:t xml:space="preserve">0.05 </w:t>
      </w:r>
      <w:r>
        <w:rPr>
          <w:rFonts w:hint="eastAsia" w:ascii="宋体" w:hAnsi="宋体" w:eastAsia="宋体" w:cs="宋体"/>
          <w:color w:val="auto"/>
          <w:sz w:val="21"/>
          <w:szCs w:val="21"/>
          <w:highlight w:val="none"/>
        </w:rPr>
        <w:t>%计算</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迟延履行超过【</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rPr>
        <w:t>】日的，甲方有权在要求乙方支付违约金的同时，书面通知乙方解除本合同，并要求乙方另行支付年度合同额【</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rPr>
        <w:t>】%的违约金，违约金不足以弥补甲方损失的，乙方应当就不足部分继续赔偿；</w:t>
      </w:r>
    </w:p>
    <w:p w14:paraId="01A805AA">
      <w:pPr>
        <w:pStyle w:val="5"/>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b w:val="0"/>
          <w:bCs w:val="0"/>
          <w:color w:val="auto"/>
          <w:sz w:val="21"/>
          <w:szCs w:val="21"/>
          <w:highlight w:val="none"/>
          <w:lang w:val="en-US"/>
        </w:rPr>
      </w:pPr>
      <w:r>
        <w:rPr>
          <w:rFonts w:hint="eastAsia" w:ascii="宋体" w:hAnsi="宋体" w:eastAsia="宋体" w:cs="宋体"/>
          <w:b w:val="0"/>
          <w:bCs w:val="0"/>
          <w:color w:val="auto"/>
          <w:sz w:val="21"/>
          <w:szCs w:val="21"/>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1"/>
          <w:szCs w:val="21"/>
          <w:highlight w:val="none"/>
          <w:u w:val="single"/>
          <w:lang w:val="en-US"/>
        </w:rPr>
        <w:t xml:space="preserve">  0.0</w:t>
      </w:r>
      <w:r>
        <w:rPr>
          <w:rFonts w:hint="eastAsia" w:ascii="宋体" w:hAnsi="宋体" w:eastAsia="宋体" w:cs="宋体"/>
          <w:b w:val="0"/>
          <w:bCs w:val="0"/>
          <w:color w:val="auto"/>
          <w:sz w:val="21"/>
          <w:szCs w:val="21"/>
          <w:highlight w:val="none"/>
          <w:lang w:val="en-US"/>
        </w:rPr>
        <w:t xml:space="preserve">5（可根据情况修改） </w:t>
      </w:r>
      <w:r>
        <w:rPr>
          <w:rFonts w:hint="eastAsia" w:ascii="宋体" w:hAnsi="宋体" w:eastAsia="宋体" w:cs="宋体"/>
          <w:b w:val="0"/>
          <w:bCs w:val="0"/>
          <w:color w:val="auto"/>
          <w:sz w:val="21"/>
          <w:szCs w:val="21"/>
          <w:highlight w:val="none"/>
          <w:u w:val="single"/>
          <w:lang w:val="en-US"/>
        </w:rPr>
        <w:t xml:space="preserve">  </w:t>
      </w:r>
      <w:r>
        <w:rPr>
          <w:rFonts w:hint="eastAsia" w:ascii="宋体" w:hAnsi="宋体" w:eastAsia="宋体" w:cs="宋体"/>
          <w:b w:val="0"/>
          <w:bCs w:val="0"/>
          <w:color w:val="auto"/>
          <w:sz w:val="21"/>
          <w:szCs w:val="21"/>
          <w:highlight w:val="none"/>
          <w:lang w:val="en-US"/>
        </w:rPr>
        <w:t>%计算，最高限额为本合同总价的</w:t>
      </w:r>
      <w:r>
        <w:rPr>
          <w:rFonts w:hint="eastAsia" w:ascii="宋体" w:hAnsi="宋体" w:eastAsia="宋体" w:cs="宋体"/>
          <w:b w:val="0"/>
          <w:bCs w:val="0"/>
          <w:color w:val="auto"/>
          <w:sz w:val="21"/>
          <w:szCs w:val="21"/>
          <w:highlight w:val="none"/>
          <w:u w:val="single"/>
          <w:lang w:val="en-US"/>
        </w:rPr>
        <w:t xml:space="preserve">  20  </w:t>
      </w:r>
      <w:r>
        <w:rPr>
          <w:rFonts w:hint="eastAsia" w:ascii="宋体" w:hAnsi="宋体" w:eastAsia="宋体" w:cs="宋体"/>
          <w:b w:val="0"/>
          <w:bCs w:val="0"/>
          <w:color w:val="auto"/>
          <w:sz w:val="21"/>
          <w:szCs w:val="21"/>
          <w:highlight w:val="none"/>
          <w:lang w:val="en-US"/>
        </w:rPr>
        <w:t>%；迟延交付货物的违约金计算数额达到前述最高限额之日起，甲方有权在要求乙方支付违约金的同时，书面通知乙方解除本合同；</w:t>
      </w:r>
    </w:p>
    <w:p w14:paraId="30534EAC">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1"/>
          <w:szCs w:val="21"/>
          <w:highlight w:val="none"/>
          <w:u w:val="single"/>
        </w:rPr>
        <w:t xml:space="preserve">   0.05   </w:t>
      </w:r>
      <w:r>
        <w:rPr>
          <w:rFonts w:hint="eastAsia" w:ascii="宋体" w:hAnsi="宋体" w:eastAsia="宋体" w:cs="宋体"/>
          <w:color w:val="auto"/>
          <w:sz w:val="21"/>
          <w:szCs w:val="21"/>
          <w:highlight w:val="none"/>
        </w:rPr>
        <w:t>%计算，最高限额为本合同总价的</w:t>
      </w:r>
      <w:r>
        <w:rPr>
          <w:rFonts w:hint="eastAsia" w:ascii="宋体" w:hAnsi="宋体" w:eastAsia="宋体" w:cs="宋体"/>
          <w:color w:val="auto"/>
          <w:sz w:val="21"/>
          <w:szCs w:val="21"/>
          <w:highlight w:val="none"/>
          <w:u w:val="single"/>
        </w:rPr>
        <w:t xml:space="preserve">   20</w:t>
      </w:r>
      <w:r>
        <w:rPr>
          <w:rFonts w:hint="eastAsia" w:ascii="宋体" w:hAnsi="宋体" w:eastAsia="宋体" w:cs="宋体"/>
          <w:color w:val="auto"/>
          <w:kern w:val="0"/>
          <w:sz w:val="21"/>
          <w:szCs w:val="21"/>
          <w:highlight w:val="none"/>
          <w:u w:val="single"/>
        </w:rPr>
        <w:t>（可根据情况修改）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%；迟延付款的违约金计算数额达到前述最高限额之日起，乙方有权在要求甲方支付违约金的同时，书面通知甲方解除本合同；</w:t>
      </w:r>
    </w:p>
    <w:p w14:paraId="4F323FED">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bookmarkStart w:id="428" w:name="_Toc18683"/>
      <w:bookmarkStart w:id="429" w:name="_Toc26807"/>
      <w:bookmarkStart w:id="430" w:name="_Toc32454"/>
      <w:bookmarkStart w:id="431" w:name="_Toc9497"/>
      <w:bookmarkStart w:id="432" w:name="_Toc30329"/>
      <w:r>
        <w:rPr>
          <w:rFonts w:hint="eastAsia" w:ascii="宋体" w:hAnsi="宋体" w:eastAsia="宋体" w:cs="宋体"/>
          <w:color w:val="auto"/>
          <w:sz w:val="21"/>
          <w:szCs w:val="21"/>
          <w:highlight w:val="none"/>
        </w:rPr>
        <w:t>1.8.4 除不可抗力外，任何一方未能履行本合同约定的其他主要义务</w:t>
      </w:r>
      <w:r>
        <w:rPr>
          <w:rFonts w:hint="eastAsia" w:ascii="宋体" w:hAnsi="宋体" w:cs="宋体"/>
          <w:color w:val="auto"/>
          <w:sz w:val="21"/>
          <w:szCs w:val="21"/>
          <w:highlight w:val="none"/>
          <w:lang w:val="en-US" w:eastAsia="zh-CN"/>
        </w:rPr>
        <w:t>或履行义务不符合要求的</w:t>
      </w:r>
      <w:r>
        <w:rPr>
          <w:rFonts w:hint="eastAsia" w:ascii="宋体" w:hAnsi="宋体" w:eastAsia="宋体" w:cs="宋体"/>
          <w:color w:val="auto"/>
          <w:sz w:val="21"/>
          <w:szCs w:val="21"/>
          <w:highlight w:val="none"/>
        </w:rPr>
        <w:t>，经催告后在合理期限内仍未履行</w:t>
      </w:r>
      <w:r>
        <w:rPr>
          <w:rFonts w:hint="eastAsia" w:ascii="宋体" w:hAnsi="宋体" w:cs="宋体"/>
          <w:color w:val="auto"/>
          <w:sz w:val="21"/>
          <w:szCs w:val="21"/>
          <w:highlight w:val="none"/>
          <w:lang w:val="en-US" w:eastAsia="zh-CN"/>
        </w:rPr>
        <w:t>或整改</w:t>
      </w:r>
      <w:r>
        <w:rPr>
          <w:rFonts w:hint="eastAsia" w:ascii="宋体" w:hAnsi="宋体" w:eastAsia="宋体" w:cs="宋体"/>
          <w:color w:val="auto"/>
          <w:sz w:val="21"/>
          <w:szCs w:val="21"/>
          <w:highlight w:val="none"/>
        </w:rPr>
        <w:t>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3521264">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1.8.5 除前述约定外，任何一方未能履行本合同约定的义务</w:t>
      </w:r>
      <w:r>
        <w:rPr>
          <w:rFonts w:hint="eastAsia" w:ascii="宋体" w:hAnsi="宋体" w:cs="宋体"/>
          <w:color w:val="auto"/>
          <w:sz w:val="21"/>
          <w:szCs w:val="21"/>
          <w:highlight w:val="none"/>
          <w:lang w:val="en-US" w:eastAsia="zh-CN"/>
        </w:rPr>
        <w:t>或履行义务不符合要求的</w:t>
      </w:r>
      <w:r>
        <w:rPr>
          <w:rFonts w:hint="eastAsia" w:ascii="宋体" w:hAnsi="宋体" w:eastAsia="宋体" w:cs="宋体"/>
          <w:color w:val="auto"/>
          <w:sz w:val="21"/>
          <w:szCs w:val="21"/>
          <w:highlight w:val="none"/>
        </w:rPr>
        <w:t>，对方当事人均有权要求继续履行、采取补救措施或者赔偿损失等，且对方当事人行使的任何权利救济方式均不视为其放弃了其他法定或者约定的权利救济方式；</w:t>
      </w:r>
    </w:p>
    <w:p w14:paraId="5F11580B">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797583AC">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1.8.7违约责任</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另有约定的，从其约定。</w:t>
      </w:r>
    </w:p>
    <w:bookmarkEnd w:id="428"/>
    <w:bookmarkEnd w:id="429"/>
    <w:bookmarkEnd w:id="430"/>
    <w:bookmarkEnd w:id="431"/>
    <w:bookmarkEnd w:id="432"/>
    <w:p w14:paraId="25D9C441">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33" w:name="_Toc16021"/>
      <w:bookmarkStart w:id="434" w:name="_Toc15583"/>
      <w:bookmarkStart w:id="435" w:name="_Toc28375"/>
      <w:r>
        <w:rPr>
          <w:rFonts w:hint="eastAsia" w:ascii="宋体" w:hAnsi="宋体" w:eastAsia="宋体" w:cs="宋体"/>
          <w:b/>
          <w:color w:val="auto"/>
          <w:sz w:val="21"/>
          <w:szCs w:val="21"/>
          <w:highlight w:val="none"/>
        </w:rPr>
        <w:t>1.9合同争议的解决</w:t>
      </w:r>
      <w:bookmarkEnd w:id="433"/>
      <w:bookmarkEnd w:id="434"/>
      <w:bookmarkEnd w:id="435"/>
    </w:p>
    <w:p w14:paraId="2FBE836B">
      <w:pPr>
        <w:pageBreakBefore w:val="0"/>
        <w:kinsoku/>
        <w:wordWrap/>
        <w:overflowPunct/>
        <w:topLinePunct w:val="0"/>
        <w:bidi w:val="0"/>
        <w:adjustRightInd w:val="0"/>
        <w:snapToGrid w:val="0"/>
        <w:spacing w:line="360" w:lineRule="auto"/>
        <w:ind w:left="0" w:leftChars="0" w:right="0" w:rightChars="0"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b/>
          <w:i/>
          <w:color w:val="auto"/>
          <w:sz w:val="21"/>
          <w:szCs w:val="21"/>
          <w:highlight w:val="none"/>
          <w:u w:val="single"/>
          <w:lang w:val="en-US" w:eastAsia="zh-CN"/>
        </w:rPr>
        <w:t>1.9.2</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条款规定的方式解决：</w:t>
      </w:r>
    </w:p>
    <w:p w14:paraId="4D7A4BDF">
      <w:pPr>
        <w:pageBreakBefore w:val="0"/>
        <w:kinsoku/>
        <w:wordWrap/>
        <w:overflowPunct/>
        <w:topLinePunct w:val="0"/>
        <w:bidi w:val="0"/>
        <w:adjustRightInd w:val="0"/>
        <w:snapToGrid w:val="0"/>
        <w:spacing w:line="360" w:lineRule="auto"/>
        <w:ind w:left="0" w:leftChars="0" w:right="0" w:rightChars="0" w:firstLine="525" w:firstLineChars="2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1.9.1 将争议提交</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仲裁委员会依申请仲裁时其现行有效的仲裁规则裁决；</w:t>
      </w:r>
    </w:p>
    <w:p w14:paraId="4EC562BB">
      <w:pPr>
        <w:pageBreakBefore w:val="0"/>
        <w:kinsoku/>
        <w:wordWrap/>
        <w:overflowPunct/>
        <w:topLinePunct w:val="0"/>
        <w:bidi w:val="0"/>
        <w:adjustRightInd w:val="0"/>
        <w:snapToGrid w:val="0"/>
        <w:spacing w:line="360" w:lineRule="auto"/>
        <w:ind w:left="0" w:leftChars="0" w:right="0" w:rightChars="0" w:firstLine="525" w:firstLineChars="25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1.9.2 向</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人民法院起诉。</w:t>
      </w:r>
    </w:p>
    <w:p w14:paraId="7F912D0E">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36" w:name="_Toc7245"/>
      <w:bookmarkStart w:id="437" w:name="_Toc11173"/>
      <w:bookmarkStart w:id="438" w:name="_Toc15322"/>
      <w:r>
        <w:rPr>
          <w:rFonts w:hint="eastAsia" w:ascii="宋体" w:hAnsi="宋体" w:eastAsia="宋体" w:cs="宋体"/>
          <w:b/>
          <w:color w:val="auto"/>
          <w:sz w:val="21"/>
          <w:szCs w:val="21"/>
          <w:highlight w:val="none"/>
        </w:rPr>
        <w:t>2.0 合同生效</w:t>
      </w:r>
      <w:bookmarkEnd w:id="436"/>
      <w:bookmarkEnd w:id="437"/>
      <w:bookmarkEnd w:id="438"/>
    </w:p>
    <w:p w14:paraId="43BACF83">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本合同自双方</w:t>
      </w:r>
      <w:r>
        <w:rPr>
          <w:rFonts w:hint="eastAsia" w:ascii="宋体" w:hAnsi="宋体" w:eastAsia="宋体" w:cs="宋体"/>
          <w:color w:val="auto"/>
          <w:sz w:val="21"/>
          <w:szCs w:val="21"/>
          <w:highlight w:val="none"/>
          <w:lang w:val="en-US" w:eastAsia="zh-CN"/>
        </w:rPr>
        <w:t>法定代表人或授权代表签字或者加盖单位公章</w:t>
      </w:r>
      <w:r>
        <w:rPr>
          <w:rFonts w:hint="eastAsia" w:ascii="宋体" w:hAnsi="宋体" w:eastAsia="宋体" w:cs="宋体"/>
          <w:color w:val="auto"/>
          <w:sz w:val="21"/>
          <w:szCs w:val="21"/>
          <w:highlight w:val="none"/>
        </w:rPr>
        <w:t>时生效。</w:t>
      </w:r>
    </w:p>
    <w:p w14:paraId="25843FCF">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p>
    <w:p w14:paraId="31745C1B">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b/>
          <w:color w:val="auto"/>
          <w:sz w:val="21"/>
          <w:szCs w:val="21"/>
          <w:highlight w:val="none"/>
          <w:lang w:val="zh-CN"/>
        </w:rPr>
        <w:t>甲方（</w:t>
      </w:r>
      <w:r>
        <w:rPr>
          <w:rFonts w:hint="eastAsia" w:ascii="宋体" w:hAnsi="宋体" w:eastAsia="宋体" w:cs="宋体"/>
          <w:b/>
          <w:color w:val="auto"/>
          <w:sz w:val="21"/>
          <w:szCs w:val="21"/>
          <w:highlight w:val="none"/>
          <w:lang w:val="en-US" w:eastAsia="zh-CN"/>
        </w:rPr>
        <w:t>盖章</w:t>
      </w:r>
      <w:r>
        <w:rPr>
          <w:rFonts w:hint="eastAsia" w:ascii="宋体" w:hAnsi="宋体" w:eastAsia="宋体" w:cs="宋体"/>
          <w:b/>
          <w:color w:val="auto"/>
          <w:sz w:val="21"/>
          <w:szCs w:val="21"/>
          <w:highlight w:val="none"/>
          <w:lang w:val="zh-CN"/>
        </w:rPr>
        <w:t>）</w:t>
      </w:r>
      <w:r>
        <w:rPr>
          <w:rFonts w:hint="eastAsia" w:ascii="宋体" w:hAnsi="宋体" w:eastAsia="宋体" w:cs="宋体"/>
          <w:color w:val="auto"/>
          <w:sz w:val="21"/>
          <w:szCs w:val="21"/>
          <w:highlight w:val="none"/>
          <w:lang w:val="zh-CN"/>
        </w:rPr>
        <w:t xml:space="preserve">：                             </w:t>
      </w:r>
      <w:r>
        <w:rPr>
          <w:rFonts w:hint="eastAsia" w:ascii="宋体" w:hAnsi="宋体" w:eastAsia="宋体" w:cs="宋体"/>
          <w:b/>
          <w:color w:val="auto"/>
          <w:sz w:val="21"/>
          <w:szCs w:val="21"/>
          <w:highlight w:val="none"/>
          <w:lang w:val="zh-CN"/>
        </w:rPr>
        <w:t xml:space="preserve">      乙方（</w:t>
      </w:r>
      <w:r>
        <w:rPr>
          <w:rFonts w:hint="eastAsia" w:ascii="宋体" w:hAnsi="宋体" w:eastAsia="宋体" w:cs="宋体"/>
          <w:b/>
          <w:color w:val="auto"/>
          <w:sz w:val="21"/>
          <w:szCs w:val="21"/>
          <w:highlight w:val="none"/>
          <w:lang w:val="en-US" w:eastAsia="zh-CN"/>
        </w:rPr>
        <w:t>盖章</w:t>
      </w:r>
      <w:r>
        <w:rPr>
          <w:rFonts w:hint="eastAsia" w:ascii="宋体" w:hAnsi="宋体" w:eastAsia="宋体" w:cs="宋体"/>
          <w:b/>
          <w:color w:val="auto"/>
          <w:sz w:val="21"/>
          <w:szCs w:val="21"/>
          <w:highlight w:val="none"/>
          <w:lang w:val="zh-CN"/>
        </w:rPr>
        <w:t>）</w:t>
      </w:r>
      <w:r>
        <w:rPr>
          <w:rFonts w:hint="eastAsia" w:ascii="宋体" w:hAnsi="宋体" w:eastAsia="宋体" w:cs="宋体"/>
          <w:color w:val="auto"/>
          <w:sz w:val="21"/>
          <w:szCs w:val="21"/>
          <w:highlight w:val="none"/>
          <w:lang w:val="zh-CN"/>
        </w:rPr>
        <w:t>：</w:t>
      </w:r>
    </w:p>
    <w:p w14:paraId="2090F8D2">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统一社会信用代码：                        统一社会信用代码或身份证号码：</w:t>
      </w:r>
    </w:p>
    <w:p w14:paraId="27DA009C">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p>
    <w:p w14:paraId="5DD78F88">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住所：                                   住所：</w:t>
      </w:r>
    </w:p>
    <w:p w14:paraId="7E2F5E3B">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法定代表人或                             法定代表人或</w:t>
      </w:r>
    </w:p>
    <w:p w14:paraId="5474E56E">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授权代表（签字</w:t>
      </w:r>
      <w:r>
        <w:rPr>
          <w:rFonts w:hint="eastAsia" w:ascii="宋体" w:hAnsi="宋体" w:eastAsia="宋体" w:cs="宋体"/>
          <w:color w:val="auto"/>
          <w:sz w:val="21"/>
          <w:szCs w:val="21"/>
          <w:highlight w:val="none"/>
          <w:lang w:val="en-US" w:eastAsia="zh-CN"/>
        </w:rPr>
        <w:t>或盖章</w:t>
      </w:r>
      <w:r>
        <w:rPr>
          <w:rFonts w:hint="eastAsia" w:ascii="宋体" w:hAnsi="宋体" w:eastAsia="宋体" w:cs="宋体"/>
          <w:color w:val="auto"/>
          <w:sz w:val="21"/>
          <w:szCs w:val="21"/>
          <w:highlight w:val="none"/>
          <w:lang w:val="zh-CN"/>
        </w:rPr>
        <w:t>）：                       授权代表（签字</w:t>
      </w:r>
      <w:r>
        <w:rPr>
          <w:rFonts w:hint="eastAsia" w:ascii="宋体" w:hAnsi="宋体" w:eastAsia="宋体" w:cs="宋体"/>
          <w:color w:val="auto"/>
          <w:sz w:val="21"/>
          <w:szCs w:val="21"/>
          <w:highlight w:val="none"/>
          <w:lang w:val="en-US" w:eastAsia="zh-CN"/>
        </w:rPr>
        <w:t>或盖章</w:t>
      </w:r>
      <w:r>
        <w:rPr>
          <w:rFonts w:hint="eastAsia" w:ascii="宋体" w:hAnsi="宋体" w:eastAsia="宋体" w:cs="宋体"/>
          <w:color w:val="auto"/>
          <w:sz w:val="21"/>
          <w:szCs w:val="21"/>
          <w:highlight w:val="none"/>
          <w:lang w:val="zh-CN"/>
        </w:rPr>
        <w:t xml:space="preserve">）: </w:t>
      </w:r>
    </w:p>
    <w:p w14:paraId="196E87A2">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联系人：                                 联系人：</w:t>
      </w:r>
    </w:p>
    <w:p w14:paraId="0CFAB392">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约定送达地址：                           约定送达地址：</w:t>
      </w:r>
    </w:p>
    <w:p w14:paraId="07A0F973">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邮政编码：                               邮政编码：</w:t>
      </w:r>
    </w:p>
    <w:p w14:paraId="7D1CECA1">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 xml:space="preserve">电话:                                    电话: </w:t>
      </w:r>
    </w:p>
    <w:p w14:paraId="192242A5">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传真:                                    传真:</w:t>
      </w:r>
    </w:p>
    <w:p w14:paraId="5124DD9A">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电子邮箱：                               电子邮箱：</w:t>
      </w:r>
    </w:p>
    <w:p w14:paraId="4602730C">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开户银行：                               开户银行： </w:t>
      </w:r>
    </w:p>
    <w:p w14:paraId="1CEB1AA8">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开户名称：                               开户名称： </w:t>
      </w:r>
    </w:p>
    <w:p w14:paraId="51A3343F">
      <w:pPr>
        <w:pageBreakBefore w:val="0"/>
        <w:kinsoku/>
        <w:wordWrap/>
        <w:overflowPunct/>
        <w:topLinePunct w:val="0"/>
        <w:autoSpaceDE w:val="0"/>
        <w:autoSpaceDN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开户账号：</w:t>
      </w:r>
      <w:r>
        <w:rPr>
          <w:rFonts w:hint="eastAsia" w:ascii="宋体" w:hAnsi="宋体" w:eastAsia="宋体" w:cs="宋体"/>
          <w:color w:val="auto"/>
          <w:sz w:val="21"/>
          <w:szCs w:val="21"/>
          <w:highlight w:val="none"/>
          <w:lang w:val="zh-CN"/>
        </w:rPr>
        <w:t xml:space="preserve">                               </w:t>
      </w:r>
      <w:r>
        <w:rPr>
          <w:rFonts w:hint="eastAsia" w:ascii="宋体" w:hAnsi="宋体" w:eastAsia="宋体" w:cs="宋体"/>
          <w:color w:val="auto"/>
          <w:sz w:val="21"/>
          <w:szCs w:val="21"/>
          <w:highlight w:val="none"/>
        </w:rPr>
        <w:t>开户账号：</w:t>
      </w:r>
    </w:p>
    <w:p w14:paraId="4B0D640B">
      <w:pPr>
        <w:pageBreakBefore w:val="0"/>
        <w:widowControl/>
        <w:kinsoku/>
        <w:wordWrap/>
        <w:overflowPunct/>
        <w:topLinePunct w:val="0"/>
        <w:bidi w:val="0"/>
        <w:adjustRightInd w:val="0"/>
        <w:snapToGrid w:val="0"/>
        <w:spacing w:line="360" w:lineRule="auto"/>
        <w:ind w:left="0" w:leftChars="0" w:right="0" w:rightChars="0"/>
        <w:jc w:val="left"/>
        <w:textAlignment w:val="auto"/>
        <w:rPr>
          <w:rFonts w:hint="eastAsia" w:ascii="宋体" w:hAnsi="宋体" w:eastAsia="宋体" w:cs="宋体"/>
          <w:b/>
          <w:color w:val="auto"/>
          <w:sz w:val="21"/>
          <w:szCs w:val="21"/>
          <w:highlight w:val="none"/>
        </w:rPr>
      </w:pPr>
    </w:p>
    <w:p w14:paraId="591ABD03">
      <w:pPr>
        <w:pageBreakBefore w:val="0"/>
        <w:widowControl/>
        <w:kinsoku/>
        <w:wordWrap/>
        <w:overflowPunct/>
        <w:topLinePunct w:val="0"/>
        <w:bidi w:val="0"/>
        <w:adjustRightInd w:val="0"/>
        <w:snapToGrid w:val="0"/>
        <w:spacing w:line="360" w:lineRule="auto"/>
        <w:ind w:left="0" w:leftChars="0" w:right="0" w:right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63AB0F30">
      <w:pPr>
        <w:pageBreakBefore w:val="0"/>
        <w:kinsoku/>
        <w:wordWrap/>
        <w:overflowPunct/>
        <w:topLinePunct w:val="0"/>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rPr>
      </w:pPr>
      <w:bookmarkStart w:id="439" w:name="_Toc326765771"/>
      <w:bookmarkStart w:id="440" w:name="_Toc328381300"/>
      <w:bookmarkStart w:id="441" w:name="_Toc868"/>
      <w:bookmarkStart w:id="442" w:name="_Toc350327365"/>
      <w:bookmarkStart w:id="443" w:name="_Toc339872468"/>
      <w:bookmarkStart w:id="444" w:name="_Toc349721554"/>
      <w:r>
        <w:rPr>
          <w:rFonts w:hint="eastAsia" w:ascii="宋体" w:hAnsi="宋体" w:eastAsia="宋体" w:cs="宋体"/>
          <w:b/>
          <w:bCs/>
          <w:color w:val="auto"/>
          <w:sz w:val="21"/>
          <w:szCs w:val="21"/>
          <w:highlight w:val="none"/>
        </w:rPr>
        <w:t xml:space="preserve"> 此仅为合同书样本，中标单位需根据实际情况和采购人签订相应的合同！</w:t>
      </w:r>
      <w:bookmarkEnd w:id="439"/>
      <w:bookmarkEnd w:id="440"/>
      <w:bookmarkEnd w:id="441"/>
      <w:bookmarkEnd w:id="442"/>
      <w:bookmarkEnd w:id="443"/>
      <w:bookmarkEnd w:id="444"/>
    </w:p>
    <w:p w14:paraId="566CFD7C">
      <w:pPr>
        <w:pageBreakBefore w:val="0"/>
        <w:kinsoku/>
        <w:wordWrap/>
        <w:overflowPunct/>
        <w:topLinePunct w:val="0"/>
        <w:bidi w:val="0"/>
        <w:adjustRightInd w:val="0"/>
        <w:snapToGrid w:val="0"/>
        <w:spacing w:line="360" w:lineRule="auto"/>
        <w:ind w:left="0" w:leftChars="0" w:right="0" w:rightChars="0"/>
        <w:textAlignment w:val="auto"/>
        <w:rPr>
          <w:rFonts w:hint="eastAsia" w:ascii="宋体" w:hAnsi="宋体" w:eastAsia="宋体" w:cs="宋体"/>
          <w:b/>
          <w:bCs/>
          <w:color w:val="auto"/>
          <w:sz w:val="21"/>
          <w:szCs w:val="21"/>
          <w:highlight w:val="none"/>
        </w:rPr>
      </w:pPr>
    </w:p>
    <w:p w14:paraId="16C143D7">
      <w:pPr>
        <w:pageBreakBefore w:val="0"/>
        <w:kinsoku/>
        <w:wordWrap/>
        <w:overflowPunct/>
        <w:topLinePunct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p>
    <w:p w14:paraId="1F7C14CB">
      <w:pPr>
        <w:pageBreakBefore w:val="0"/>
        <w:kinsoku/>
        <w:wordWrap/>
        <w:overflowPunct/>
        <w:topLinePunct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p>
    <w:p w14:paraId="4A05CA3F">
      <w:pPr>
        <w:pageBreakBefore w:val="0"/>
        <w:kinsoku/>
        <w:wordWrap/>
        <w:overflowPunct/>
        <w:topLinePunct w:val="0"/>
        <w:bidi w:val="0"/>
        <w:adjustRightInd w:val="0"/>
        <w:snapToGrid w:val="0"/>
        <w:spacing w:line="360" w:lineRule="auto"/>
        <w:ind w:left="0" w:leftChars="0" w:right="0" w:rightChars="0"/>
        <w:textAlignment w:val="auto"/>
        <w:rPr>
          <w:rFonts w:hint="eastAsia" w:ascii="宋体" w:hAnsi="宋体" w:eastAsia="宋体" w:cs="宋体"/>
          <w:color w:val="auto"/>
          <w:sz w:val="21"/>
          <w:szCs w:val="21"/>
          <w:highlight w:val="none"/>
        </w:rPr>
      </w:pPr>
    </w:p>
    <w:p w14:paraId="497675EF">
      <w:pP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br w:type="page"/>
      </w:r>
    </w:p>
    <w:p w14:paraId="6534CE06">
      <w:pPr>
        <w:pStyle w:val="702"/>
        <w:pageBreakBefore w:val="0"/>
        <w:kinsoku/>
        <w:wordWrap/>
        <w:overflowPunct/>
        <w:topLinePunct w:val="0"/>
        <w:bidi w:val="0"/>
        <w:adjustRightInd w:val="0"/>
        <w:snapToGrid w:val="0"/>
        <w:spacing w:after="0" w:line="360" w:lineRule="auto"/>
        <w:ind w:left="0" w:leftChars="0" w:right="0" w:rightChars="0" w:firstLine="482"/>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第二部分 合同一般条款</w:t>
      </w:r>
    </w:p>
    <w:p w14:paraId="49811127">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45" w:name="_Toc14021"/>
      <w:bookmarkStart w:id="446" w:name="_Toc31297"/>
      <w:bookmarkStart w:id="447" w:name="_Toc25079"/>
      <w:bookmarkStart w:id="448" w:name="_Toc19680"/>
      <w:bookmarkStart w:id="449" w:name="_Toc5228"/>
      <w:r>
        <w:rPr>
          <w:rFonts w:hint="eastAsia" w:ascii="宋体" w:hAnsi="宋体" w:eastAsia="宋体" w:cs="宋体"/>
          <w:b/>
          <w:color w:val="auto"/>
          <w:sz w:val="21"/>
          <w:szCs w:val="21"/>
          <w:highlight w:val="none"/>
        </w:rPr>
        <w:t>2.1 定义</w:t>
      </w:r>
      <w:bookmarkEnd w:id="445"/>
      <w:bookmarkEnd w:id="446"/>
      <w:bookmarkEnd w:id="447"/>
      <w:bookmarkEnd w:id="448"/>
      <w:bookmarkEnd w:id="449"/>
    </w:p>
    <w:p w14:paraId="2EB4867F">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本合同中的下列词语应按以下内容进行解释：</w:t>
      </w:r>
    </w:p>
    <w:p w14:paraId="57DC99BC">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 “合同”系指采购人和中标或成交供应商签订的载明双方当事人所达成的协议，并包括所有的附件、附录和构成合同的其他文件。</w:t>
      </w:r>
    </w:p>
    <w:p w14:paraId="1FC023D8">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 “合同价”系指根据合同约定，中标或成交供应商在完全履行合同义务后，采购人应支付给中标或成交供应商的价格。</w:t>
      </w:r>
    </w:p>
    <w:p w14:paraId="0B37878B">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 “服务”系指中标或成交供应商根据合同约定应向采购人履行的除货物和工程以外的其他政府采购对象，包括采购人自身需要的服务和向社会公众提供的公共服务。</w:t>
      </w:r>
    </w:p>
    <w:p w14:paraId="07957C82">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2.1.4 “甲方”系指与中标或成交供应商签署合同的采购人；采购人委托采购代理机构代表其与乙方签订合同的，采购人的授权委托书作为合同附件。</w:t>
      </w:r>
    </w:p>
    <w:p w14:paraId="69C06562">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D596C40">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2.1.6 “现场”系指合同约定提供服务的地点。</w:t>
      </w:r>
    </w:p>
    <w:p w14:paraId="0DAB0904">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50" w:name="_Toc31402"/>
      <w:bookmarkStart w:id="451" w:name="_Toc3769"/>
      <w:bookmarkStart w:id="452" w:name="_Toc16752"/>
      <w:bookmarkStart w:id="453" w:name="_Toc19539"/>
      <w:bookmarkStart w:id="454" w:name="_Toc23289"/>
      <w:r>
        <w:rPr>
          <w:rFonts w:hint="eastAsia" w:ascii="宋体" w:hAnsi="宋体" w:eastAsia="宋体" w:cs="宋体"/>
          <w:b/>
          <w:color w:val="auto"/>
          <w:sz w:val="21"/>
          <w:szCs w:val="21"/>
          <w:highlight w:val="none"/>
        </w:rPr>
        <w:t>2.2 技术规范</w:t>
      </w:r>
      <w:bookmarkEnd w:id="450"/>
      <w:bookmarkEnd w:id="451"/>
      <w:bookmarkEnd w:id="452"/>
      <w:bookmarkEnd w:id="453"/>
      <w:bookmarkEnd w:id="454"/>
    </w:p>
    <w:p w14:paraId="6A1895D1">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ADC37B8">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55" w:name="_Toc9161"/>
      <w:bookmarkStart w:id="456" w:name="_Toc27945"/>
      <w:bookmarkStart w:id="457" w:name="_Toc4133"/>
      <w:bookmarkStart w:id="458" w:name="_Toc12412"/>
      <w:bookmarkStart w:id="459" w:name="_Toc13673"/>
      <w:r>
        <w:rPr>
          <w:rFonts w:hint="eastAsia" w:ascii="宋体" w:hAnsi="宋体" w:eastAsia="宋体" w:cs="宋体"/>
          <w:b/>
          <w:color w:val="auto"/>
          <w:sz w:val="21"/>
          <w:szCs w:val="21"/>
          <w:highlight w:val="none"/>
        </w:rPr>
        <w:t>2.3 知识产权</w:t>
      </w:r>
      <w:bookmarkEnd w:id="455"/>
      <w:bookmarkEnd w:id="456"/>
      <w:bookmarkEnd w:id="457"/>
      <w:bookmarkEnd w:id="458"/>
      <w:bookmarkEnd w:id="459"/>
    </w:p>
    <w:p w14:paraId="66148810">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02B776A">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 合同涉及技术成果的归属和收益的分成办法的，详见</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01963B92">
      <w:pPr>
        <w:pageBreakBefore w:val="0"/>
        <w:kinsoku/>
        <w:wordWrap/>
        <w:overflowPunct/>
        <w:topLinePunct w:val="0"/>
        <w:bidi w:val="0"/>
        <w:adjustRightInd w:val="0"/>
        <w:snapToGrid w:val="0"/>
        <w:spacing w:line="360" w:lineRule="auto"/>
        <w:ind w:left="0" w:leftChars="0" w:right="0" w:righ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2.4 履约检查和问题反馈</w:t>
      </w:r>
    </w:p>
    <w:p w14:paraId="52E08D9F">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17523C31">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 合同履行期间，甲方有权将履行过程中出现的问题反馈给乙方，双方当事人应以书面形式约定需要完善和改进的内容。</w:t>
      </w:r>
    </w:p>
    <w:p w14:paraId="1FD670E1">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60" w:name="_Toc26555"/>
      <w:bookmarkStart w:id="461" w:name="_Toc22011"/>
      <w:bookmarkStart w:id="462" w:name="_Toc31233"/>
      <w:bookmarkStart w:id="463" w:name="_Toc15447"/>
      <w:bookmarkStart w:id="464" w:name="_Toc32670"/>
      <w:r>
        <w:rPr>
          <w:rFonts w:hint="eastAsia" w:ascii="宋体" w:hAnsi="宋体" w:eastAsia="宋体" w:cs="宋体"/>
          <w:b/>
          <w:color w:val="auto"/>
          <w:sz w:val="21"/>
          <w:szCs w:val="21"/>
          <w:highlight w:val="none"/>
        </w:rPr>
        <w:t>2.5 结算方式和付款条件</w:t>
      </w:r>
      <w:bookmarkEnd w:id="460"/>
      <w:bookmarkEnd w:id="461"/>
      <w:bookmarkEnd w:id="462"/>
      <w:bookmarkEnd w:id="463"/>
      <w:bookmarkEnd w:id="464"/>
    </w:p>
    <w:p w14:paraId="6B88E8F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w:t>
      </w:r>
    </w:p>
    <w:p w14:paraId="0567885A">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65" w:name="_Toc13154"/>
      <w:bookmarkStart w:id="466" w:name="_Toc18990"/>
      <w:bookmarkStart w:id="467" w:name="_Toc16163"/>
      <w:bookmarkStart w:id="468" w:name="_Toc30507"/>
      <w:bookmarkStart w:id="469" w:name="_Toc13467"/>
      <w:r>
        <w:rPr>
          <w:rFonts w:hint="eastAsia" w:ascii="宋体" w:hAnsi="宋体" w:eastAsia="宋体" w:cs="宋体"/>
          <w:b/>
          <w:color w:val="auto"/>
          <w:sz w:val="21"/>
          <w:szCs w:val="21"/>
          <w:highlight w:val="none"/>
        </w:rPr>
        <w:t>2.6 技术资料和保密义务</w:t>
      </w:r>
      <w:bookmarkEnd w:id="465"/>
      <w:bookmarkEnd w:id="466"/>
      <w:bookmarkEnd w:id="467"/>
      <w:bookmarkEnd w:id="468"/>
      <w:bookmarkEnd w:id="469"/>
    </w:p>
    <w:p w14:paraId="6A07B711">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2.6.1 乙方有权依据合同约定和项目需要，向甲方了解有关情况，调阅有关资料等，甲方应予积极配合；</w:t>
      </w:r>
    </w:p>
    <w:p w14:paraId="7B9EEA76">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2.6.2 乙方有义务妥善保管和保护由甲方提供的前款信息和资料等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对在项目</w:t>
      </w:r>
      <w:r>
        <w:rPr>
          <w:rFonts w:hint="eastAsia" w:ascii="宋体" w:hAnsi="宋体" w:eastAsia="宋体" w:cs="宋体"/>
          <w:color w:val="auto"/>
          <w:sz w:val="21"/>
          <w:szCs w:val="21"/>
          <w:highlight w:val="none"/>
          <w:lang w:val="en-US" w:eastAsia="zh-CN"/>
        </w:rPr>
        <w:t>实施</w:t>
      </w:r>
      <w:r>
        <w:rPr>
          <w:rFonts w:hint="eastAsia" w:ascii="宋体" w:hAnsi="宋体" w:eastAsia="宋体" w:cs="宋体"/>
          <w:color w:val="auto"/>
          <w:sz w:val="21"/>
          <w:szCs w:val="21"/>
          <w:highlight w:val="none"/>
        </w:rPr>
        <w:t>期间所获得的甲方的情报和资料有保密义务，泄漏秘密应承担的责任。不论本合同是否变更、解除、终止，本条款均有效；</w:t>
      </w:r>
    </w:p>
    <w:p w14:paraId="6D73DA6F">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078DD98">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70" w:name="_Toc19069"/>
      <w:r>
        <w:rPr>
          <w:rFonts w:hint="eastAsia" w:ascii="宋体" w:hAnsi="宋体" w:eastAsia="宋体" w:cs="宋体"/>
          <w:b/>
          <w:color w:val="auto"/>
          <w:sz w:val="21"/>
          <w:szCs w:val="21"/>
          <w:highlight w:val="none"/>
        </w:rPr>
        <w:t>2.7 质量保证</w:t>
      </w:r>
      <w:bookmarkEnd w:id="470"/>
    </w:p>
    <w:p w14:paraId="132C5F46">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2.7.1 乙方应建立和完善履行合同的内部质量保证体系，并提供相关内部规章制度给甲方，以便甲方进行监督检查；</w:t>
      </w:r>
    </w:p>
    <w:p w14:paraId="5788764F">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2.7.2 乙方应保证履行合同的人员数量和素质、软件和硬件设备的配置、场地、环境和设施等满足全面履行合同的要求，并应接受甲方的监督检查。</w:t>
      </w:r>
    </w:p>
    <w:p w14:paraId="33082203">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71" w:name="_Toc22267"/>
      <w:r>
        <w:rPr>
          <w:rFonts w:hint="eastAsia" w:ascii="宋体" w:hAnsi="宋体" w:eastAsia="宋体" w:cs="宋体"/>
          <w:b/>
          <w:color w:val="auto"/>
          <w:sz w:val="21"/>
          <w:szCs w:val="21"/>
          <w:highlight w:val="none"/>
        </w:rPr>
        <w:t>2.8 延迟履行</w:t>
      </w:r>
      <w:bookmarkEnd w:id="471"/>
    </w:p>
    <w:p w14:paraId="630FF8F5">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DCDBAF8">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72" w:name="_Toc10611"/>
      <w:r>
        <w:rPr>
          <w:rFonts w:hint="eastAsia" w:ascii="宋体" w:hAnsi="宋体" w:eastAsia="宋体" w:cs="宋体"/>
          <w:b/>
          <w:color w:val="auto"/>
          <w:sz w:val="21"/>
          <w:szCs w:val="21"/>
          <w:highlight w:val="none"/>
        </w:rPr>
        <w:t>2.9 合同变更</w:t>
      </w:r>
      <w:bookmarkEnd w:id="472"/>
    </w:p>
    <w:p w14:paraId="52B28470">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合同继续履行将损害国家利益和社会公共利益的，双方当事人应当以书面形式变更合同。有过错的一方应当承担赔偿责任，双方当事人都有过错的，各自承担相应的责任。</w:t>
      </w:r>
    </w:p>
    <w:p w14:paraId="44549D08">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73" w:name="_Toc10663"/>
      <w:bookmarkStart w:id="474" w:name="_Toc21830"/>
      <w:bookmarkStart w:id="475" w:name="_Toc26689"/>
      <w:bookmarkStart w:id="476" w:name="_Toc23368"/>
      <w:bookmarkStart w:id="477" w:name="_Toc42"/>
      <w:r>
        <w:rPr>
          <w:rFonts w:hint="eastAsia" w:ascii="宋体" w:hAnsi="宋体" w:eastAsia="宋体" w:cs="宋体"/>
          <w:b/>
          <w:color w:val="auto"/>
          <w:sz w:val="21"/>
          <w:szCs w:val="21"/>
          <w:highlight w:val="none"/>
        </w:rPr>
        <w:t>2.10 合同转让和分包</w:t>
      </w:r>
      <w:bookmarkEnd w:id="473"/>
      <w:bookmarkEnd w:id="474"/>
      <w:bookmarkEnd w:id="475"/>
      <w:bookmarkEnd w:id="476"/>
      <w:bookmarkEnd w:id="477"/>
    </w:p>
    <w:p w14:paraId="671301F0">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bookmarkStart w:id="478" w:name="_Toc26633"/>
      <w:bookmarkStart w:id="479" w:name="_Toc32494"/>
      <w:bookmarkStart w:id="480" w:name="_Toc25571"/>
      <w:bookmarkStart w:id="481" w:name="_Toc14371"/>
      <w:bookmarkStart w:id="482" w:name="_Toc4720"/>
      <w:r>
        <w:rPr>
          <w:rFonts w:hint="eastAsia" w:ascii="宋体" w:hAnsi="宋体" w:cs="宋体"/>
          <w:color w:val="auto"/>
          <w:sz w:val="21"/>
          <w:szCs w:val="21"/>
          <w:highlight w:val="none"/>
          <w:lang w:val="en-US" w:eastAsia="zh-CN"/>
        </w:rPr>
        <w:t>2.10.1</w:t>
      </w:r>
      <w:r>
        <w:rPr>
          <w:rFonts w:hint="eastAsia" w:ascii="宋体" w:hAnsi="宋体" w:eastAsia="宋体" w:cs="宋体"/>
          <w:color w:val="auto"/>
          <w:sz w:val="21"/>
          <w:szCs w:val="21"/>
          <w:highlight w:val="none"/>
        </w:rPr>
        <w:t>合同的权利义务依法不得转让。</w:t>
      </w:r>
      <w:r>
        <w:rPr>
          <w:rFonts w:hint="eastAsia" w:ascii="宋体" w:hAnsi="宋体" w:eastAsia="宋体" w:cs="宋体"/>
          <w:color w:val="auto"/>
          <w:sz w:val="21"/>
          <w:szCs w:val="21"/>
          <w:highlight w:val="none"/>
          <w:lang w:val="en-US" w:eastAsia="zh-CN"/>
        </w:rPr>
        <w:t>乙方擅自将本合同项目进行转让的，甲方有权立即解除本合同，并要求乙方承担本合同年度预算金额【</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】%的违约金，违约金不足以弥补甲方损失的，乙方应当就不足部分继续赔偿。</w:t>
      </w:r>
    </w:p>
    <w:p w14:paraId="20BCDB0C">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2.10.2分包：经甲方</w:t>
      </w:r>
      <w:r>
        <w:rPr>
          <w:rFonts w:hint="eastAsia" w:ascii="宋体" w:hAnsi="宋体" w:cs="宋体"/>
          <w:color w:val="auto"/>
          <w:sz w:val="21"/>
          <w:szCs w:val="21"/>
          <w:highlight w:val="none"/>
          <w:lang w:val="en-US" w:eastAsia="zh-CN"/>
        </w:rPr>
        <w:t>书面</w:t>
      </w:r>
      <w:r>
        <w:rPr>
          <w:rFonts w:hint="eastAsia" w:ascii="宋体" w:hAnsi="宋体" w:eastAsia="宋体" w:cs="宋体"/>
          <w:color w:val="auto"/>
          <w:sz w:val="21"/>
          <w:szCs w:val="21"/>
          <w:highlight w:val="none"/>
          <w:lang w:val="en-US" w:eastAsia="zh-CN"/>
        </w:rPr>
        <w:t>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r>
        <w:rPr>
          <w:rFonts w:hint="eastAsia" w:ascii="宋体" w:hAnsi="宋体" w:cs="宋体"/>
          <w:color w:val="auto"/>
          <w:sz w:val="21"/>
          <w:szCs w:val="21"/>
          <w:highlight w:val="none"/>
          <w:lang w:val="en-US" w:eastAsia="zh-CN"/>
        </w:rPr>
        <w:t>乙方擅自分包的，或分包给不符合条件的分包人的，甲方有权解除合同，不予支付分包部分服务费，并要求乙方</w:t>
      </w:r>
      <w:r>
        <w:rPr>
          <w:rFonts w:hint="eastAsia" w:ascii="宋体" w:hAnsi="宋体" w:eastAsia="宋体" w:cs="宋体"/>
          <w:color w:val="auto"/>
          <w:sz w:val="21"/>
          <w:szCs w:val="21"/>
          <w:highlight w:val="none"/>
          <w:lang w:val="en-US" w:eastAsia="zh-CN"/>
        </w:rPr>
        <w:t>承担本合同年度预算金额【</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rPr>
        <w:t>】%的违约金，违约金不足以弥补甲方损失的，乙方应当就不足部分继续赔偿。</w:t>
      </w:r>
    </w:p>
    <w:p w14:paraId="44DF2695">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2.11 不可抗力</w:t>
      </w:r>
      <w:bookmarkEnd w:id="478"/>
      <w:bookmarkEnd w:id="479"/>
      <w:bookmarkEnd w:id="480"/>
      <w:bookmarkEnd w:id="481"/>
      <w:bookmarkEnd w:id="482"/>
    </w:p>
    <w:p w14:paraId="796DF327">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2.11.1如果任何一方遭遇法律规定的不可抗力，致使合同履行受阻时，履行合同的期限应予延长，延长的期限应相当于不可抗力所影响的时间；</w:t>
      </w:r>
    </w:p>
    <w:p w14:paraId="51727E2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2.11.2 因不可抗力致使不能实现合同目的的，当事人可以解除合同；</w:t>
      </w:r>
    </w:p>
    <w:p w14:paraId="384FC70F">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2.11.3 因不可抗力致使合同有变更必要的，双方当事人应在</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约定时间内以书面形式变更合同；</w:t>
      </w:r>
    </w:p>
    <w:p w14:paraId="79546CA8">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2.11.4受不可抗力影响的一方在不可抗力发生后，应在</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约定时间内以书面形式通知对方当事人，并在</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约定时间内，将有关部门出具的证明文件送达对方当事人。</w:t>
      </w:r>
    </w:p>
    <w:p w14:paraId="4E8447B1">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83" w:name="_Toc3638"/>
      <w:bookmarkStart w:id="484" w:name="_Toc23854"/>
      <w:bookmarkStart w:id="485" w:name="_Toc24465"/>
      <w:bookmarkStart w:id="486" w:name="_Toc25783"/>
      <w:bookmarkStart w:id="487" w:name="_Toc14115"/>
      <w:r>
        <w:rPr>
          <w:rFonts w:hint="eastAsia" w:ascii="宋体" w:hAnsi="宋体" w:eastAsia="宋体" w:cs="宋体"/>
          <w:b/>
          <w:color w:val="auto"/>
          <w:sz w:val="21"/>
          <w:szCs w:val="21"/>
          <w:highlight w:val="none"/>
        </w:rPr>
        <w:t>2.12 税费</w:t>
      </w:r>
      <w:bookmarkEnd w:id="483"/>
      <w:bookmarkEnd w:id="484"/>
      <w:bookmarkEnd w:id="485"/>
      <w:bookmarkEnd w:id="486"/>
      <w:bookmarkEnd w:id="487"/>
    </w:p>
    <w:p w14:paraId="05B802E8">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与合同有关的一切税费，均按照中华人民共和国法律的相关规定缴纳。</w:t>
      </w:r>
    </w:p>
    <w:p w14:paraId="2A2F7D88">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88" w:name="_Toc7315"/>
      <w:bookmarkStart w:id="489" w:name="_Toc30105"/>
      <w:bookmarkStart w:id="490" w:name="_Toc14814"/>
      <w:bookmarkStart w:id="491" w:name="_Toc26883"/>
      <w:bookmarkStart w:id="492" w:name="_Toc25525"/>
      <w:r>
        <w:rPr>
          <w:rFonts w:hint="eastAsia" w:ascii="宋体" w:hAnsi="宋体" w:eastAsia="宋体" w:cs="宋体"/>
          <w:b/>
          <w:color w:val="auto"/>
          <w:sz w:val="21"/>
          <w:szCs w:val="21"/>
          <w:highlight w:val="none"/>
        </w:rPr>
        <w:t>2.13 乙方破产</w:t>
      </w:r>
      <w:bookmarkEnd w:id="488"/>
      <w:bookmarkEnd w:id="489"/>
      <w:bookmarkEnd w:id="490"/>
      <w:bookmarkEnd w:id="491"/>
      <w:bookmarkEnd w:id="492"/>
    </w:p>
    <w:p w14:paraId="174057C3">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AC15A85">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93" w:name="_Toc2016"/>
      <w:bookmarkStart w:id="494" w:name="_Toc23323"/>
      <w:bookmarkStart w:id="495" w:name="_Toc1123"/>
      <w:r>
        <w:rPr>
          <w:rFonts w:hint="eastAsia" w:ascii="宋体" w:hAnsi="宋体" w:eastAsia="宋体" w:cs="宋体"/>
          <w:b/>
          <w:color w:val="auto"/>
          <w:sz w:val="21"/>
          <w:szCs w:val="21"/>
          <w:highlight w:val="none"/>
        </w:rPr>
        <w:t>2.14 合同中止、终止</w:t>
      </w:r>
      <w:bookmarkEnd w:id="493"/>
      <w:bookmarkEnd w:id="494"/>
      <w:bookmarkEnd w:id="495"/>
    </w:p>
    <w:p w14:paraId="047492EE">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2.14.1 双方当事人不得擅自中止或者终止合同；</w:t>
      </w:r>
    </w:p>
    <w:p w14:paraId="1A510953">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2.14.2合同继续履行将损害国家利益和社会公共利益的，双方当事人应当中止或者终止合同。有过错的一方应当承担赔偿责任，双方当事人都有过错的，各自承担相应的责任。</w:t>
      </w:r>
    </w:p>
    <w:p w14:paraId="5AC2ED89">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96" w:name="_Toc1969"/>
      <w:bookmarkStart w:id="497" w:name="_Toc17363"/>
      <w:bookmarkStart w:id="498" w:name="_Toc14525"/>
      <w:r>
        <w:rPr>
          <w:rFonts w:hint="eastAsia" w:ascii="宋体" w:hAnsi="宋体" w:eastAsia="宋体" w:cs="宋体"/>
          <w:b/>
          <w:color w:val="auto"/>
          <w:sz w:val="21"/>
          <w:szCs w:val="21"/>
          <w:highlight w:val="none"/>
        </w:rPr>
        <w:t>2.15 检验和验收</w:t>
      </w:r>
      <w:bookmarkEnd w:id="496"/>
      <w:bookmarkEnd w:id="497"/>
      <w:bookmarkEnd w:id="498"/>
    </w:p>
    <w:p w14:paraId="596F18CA">
      <w:pPr>
        <w:pageBreakBefore w:val="0"/>
        <w:tabs>
          <w:tab w:val="left" w:pos="360"/>
          <w:tab w:val="left" w:pos="540"/>
          <w:tab w:val="left" w:pos="1080"/>
        </w:tabs>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2.15.1 乙方按照</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的约定，定期提交服务报告，甲方按照</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的约定进行定期验收；</w:t>
      </w:r>
    </w:p>
    <w:p w14:paraId="6B2F7AB5">
      <w:pPr>
        <w:pageBreakBefore w:val="0"/>
        <w:tabs>
          <w:tab w:val="left" w:pos="360"/>
          <w:tab w:val="left" w:pos="540"/>
          <w:tab w:val="left" w:pos="1080"/>
        </w:tabs>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A49A3FA">
      <w:pPr>
        <w:pageBreakBefore w:val="0"/>
        <w:tabs>
          <w:tab w:val="left" w:pos="360"/>
          <w:tab w:val="left" w:pos="540"/>
          <w:tab w:val="left" w:pos="1080"/>
        </w:tabs>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2.15.3 检验和验收标准、程序等具体内容以及前述验收书的效力详见</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i/>
          <w:color w:val="auto"/>
          <w:sz w:val="21"/>
          <w:szCs w:val="21"/>
          <w:highlight w:val="none"/>
        </w:rPr>
        <w:t>。</w:t>
      </w:r>
    </w:p>
    <w:p w14:paraId="5F1C1F62">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499" w:name="_Toc31892"/>
      <w:bookmarkStart w:id="500" w:name="_Toc12666"/>
      <w:bookmarkStart w:id="501" w:name="_Toc2308"/>
      <w:bookmarkStart w:id="502" w:name="_Toc25198"/>
      <w:bookmarkStart w:id="503" w:name="_Toc9808"/>
      <w:r>
        <w:rPr>
          <w:rFonts w:hint="eastAsia" w:ascii="宋体" w:hAnsi="宋体" w:eastAsia="宋体" w:cs="宋体"/>
          <w:b/>
          <w:color w:val="auto"/>
          <w:sz w:val="21"/>
          <w:szCs w:val="21"/>
          <w:highlight w:val="none"/>
        </w:rPr>
        <w:t>2.16 通知和送达</w:t>
      </w:r>
      <w:bookmarkEnd w:id="499"/>
      <w:bookmarkEnd w:id="500"/>
      <w:bookmarkEnd w:id="501"/>
      <w:bookmarkEnd w:id="502"/>
      <w:bookmarkEnd w:id="503"/>
    </w:p>
    <w:p w14:paraId="3137BDEF">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bookmarkStart w:id="504" w:name="_Toc18401"/>
      <w:bookmarkStart w:id="505" w:name="_Toc27674"/>
      <w:r>
        <w:rPr>
          <w:rFonts w:hint="eastAsia" w:ascii="宋体" w:hAnsi="宋体" w:eastAsia="宋体" w:cs="宋体"/>
          <w:color w:val="auto"/>
          <w:sz w:val="21"/>
          <w:szCs w:val="21"/>
          <w:highlight w:val="none"/>
        </w:rPr>
        <w:t>2.17.1任何一方因履行合同而以合同第一部分尾部所列明的传真或电子邮件发出的所有通知、文件、材料，均视为已向对方当事人送达；任何一方变更上述送达方式或者地址的，应于</w:t>
      </w:r>
      <w:r>
        <w:rPr>
          <w:rFonts w:hint="eastAsia" w:ascii="宋体" w:hAnsi="宋体" w:eastAsia="宋体" w:cs="宋体"/>
          <w:color w:val="auto"/>
          <w:sz w:val="21"/>
          <w:szCs w:val="21"/>
          <w:highlight w:val="none"/>
          <w:u w:val="single"/>
        </w:rPr>
        <w:t>3</w:t>
      </w:r>
      <w:r>
        <w:rPr>
          <w:rFonts w:hint="eastAsia" w:ascii="宋体" w:hAnsi="宋体" w:eastAsia="宋体" w:cs="宋体"/>
          <w:color w:val="auto"/>
          <w:sz w:val="21"/>
          <w:szCs w:val="21"/>
          <w:highlight w:val="none"/>
        </w:rPr>
        <w:t>个工作日内书面通知对方当事人，在对方当事人收到有关变更通知之前，变更前的约定送达方式或者地址仍视为有效。</w:t>
      </w:r>
    </w:p>
    <w:p w14:paraId="3B58B7C9">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4"/>
      <w:bookmarkEnd w:id="505"/>
    </w:p>
    <w:p w14:paraId="3B3FFDD2">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506" w:name="_Toc20808"/>
      <w:bookmarkStart w:id="507" w:name="_Toc28906"/>
      <w:bookmarkStart w:id="508" w:name="_Toc12254"/>
      <w:bookmarkStart w:id="509" w:name="_Toc27644"/>
      <w:bookmarkStart w:id="510" w:name="_Toc5063"/>
      <w:r>
        <w:rPr>
          <w:rFonts w:hint="eastAsia" w:ascii="宋体" w:hAnsi="宋体" w:eastAsia="宋体" w:cs="宋体"/>
          <w:b/>
          <w:color w:val="auto"/>
          <w:sz w:val="21"/>
          <w:szCs w:val="21"/>
          <w:highlight w:val="none"/>
        </w:rPr>
        <w:t>2.17 合同使用的文字和适用的法律</w:t>
      </w:r>
      <w:bookmarkEnd w:id="506"/>
      <w:bookmarkEnd w:id="507"/>
      <w:bookmarkEnd w:id="508"/>
      <w:bookmarkEnd w:id="509"/>
      <w:bookmarkEnd w:id="510"/>
    </w:p>
    <w:p w14:paraId="17E12907">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2.17.1 合同使用汉语书就、变更和解释；</w:t>
      </w:r>
    </w:p>
    <w:p w14:paraId="0252820E">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2.17.2 合同适用中华人民共和国法律。</w:t>
      </w:r>
    </w:p>
    <w:p w14:paraId="09FCC90D">
      <w:pPr>
        <w:pageBreakBefore w:val="0"/>
        <w:kinsoku/>
        <w:wordWrap/>
        <w:overflowPunct/>
        <w:topLinePunct w:val="0"/>
        <w:bidi w:val="0"/>
        <w:adjustRightInd w:val="0"/>
        <w:snapToGrid w:val="0"/>
        <w:spacing w:line="360" w:lineRule="auto"/>
        <w:ind w:left="0" w:leftChars="0" w:right="0" w:rightChars="0" w:firstLine="422" w:firstLineChars="200"/>
        <w:textAlignment w:val="auto"/>
        <w:outlineLvl w:val="0"/>
        <w:rPr>
          <w:rFonts w:hint="eastAsia" w:ascii="宋体" w:hAnsi="宋体" w:eastAsia="宋体" w:cs="宋体"/>
          <w:b/>
          <w:color w:val="auto"/>
          <w:sz w:val="21"/>
          <w:szCs w:val="21"/>
          <w:highlight w:val="none"/>
        </w:rPr>
      </w:pPr>
      <w:bookmarkStart w:id="511" w:name="_Toc18540"/>
      <w:bookmarkStart w:id="512" w:name="_Toc4355"/>
      <w:bookmarkStart w:id="513" w:name="_Toc30599"/>
      <w:r>
        <w:rPr>
          <w:rFonts w:hint="eastAsia" w:ascii="宋体" w:hAnsi="宋体" w:eastAsia="宋体" w:cs="宋体"/>
          <w:b/>
          <w:color w:val="auto"/>
          <w:sz w:val="21"/>
          <w:szCs w:val="21"/>
          <w:highlight w:val="none"/>
        </w:rPr>
        <w:t>2.18 计量单位</w:t>
      </w:r>
      <w:bookmarkEnd w:id="511"/>
      <w:bookmarkEnd w:id="512"/>
      <w:bookmarkEnd w:id="513"/>
    </w:p>
    <w:p w14:paraId="49B2540C">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除技术规范中另有规定外,合同的计量单位均使用国家法定计量单位。</w:t>
      </w:r>
    </w:p>
    <w:p w14:paraId="6D9CCABF">
      <w:pPr>
        <w:pageBreakBefore w:val="0"/>
        <w:kinsoku/>
        <w:wordWrap/>
        <w:overflowPunct/>
        <w:topLinePunct w:val="0"/>
        <w:bidi w:val="0"/>
        <w:adjustRightInd w:val="0"/>
        <w:snapToGrid w:val="0"/>
        <w:spacing w:line="360" w:lineRule="auto"/>
        <w:ind w:left="0" w:leftChars="0" w:right="0" w:rightChars="0"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2.19合同份数</w:t>
      </w:r>
    </w:p>
    <w:p w14:paraId="620BC667">
      <w:pPr>
        <w:pageBreakBefore w:val="0"/>
        <w:kinsoku/>
        <w:wordWrap/>
        <w:overflowPunct/>
        <w:topLinePunct w:val="0"/>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1"/>
          <w:szCs w:val="21"/>
          <w:highlight w:val="none"/>
        </w:rPr>
        <w:t>合同份数按</w:t>
      </w:r>
      <w:r>
        <w:rPr>
          <w:rFonts w:hint="eastAsia" w:ascii="宋体" w:hAnsi="宋体" w:eastAsia="宋体" w:cs="宋体"/>
          <w:b/>
          <w:i/>
          <w:color w:val="auto"/>
          <w:sz w:val="21"/>
          <w:szCs w:val="21"/>
          <w:highlight w:val="none"/>
          <w:u w:val="single"/>
        </w:rPr>
        <w:t>合同专用条款</w:t>
      </w:r>
      <w:r>
        <w:rPr>
          <w:rFonts w:hint="eastAsia" w:ascii="宋体" w:hAnsi="宋体" w:eastAsia="宋体" w:cs="宋体"/>
          <w:color w:val="auto"/>
          <w:sz w:val="21"/>
          <w:szCs w:val="21"/>
          <w:highlight w:val="none"/>
        </w:rPr>
        <w:t>规定，每份均具有同等法律效力。</w:t>
      </w:r>
    </w:p>
    <w:p w14:paraId="6A32C0F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jc w:val="center"/>
        <w:textAlignment w:val="auto"/>
        <w:outlineLvl w:val="0"/>
        <w:rPr>
          <w:rFonts w:hint="eastAsia" w:ascii="宋体" w:hAnsi="宋体" w:eastAsia="宋体" w:cs="宋体"/>
          <w:b/>
          <w:color w:val="auto"/>
          <w:sz w:val="21"/>
          <w:szCs w:val="21"/>
          <w:highlight w:val="none"/>
        </w:rPr>
      </w:pPr>
      <w:r>
        <w:rPr>
          <w:rFonts w:hint="eastAsia" w:ascii="宋体" w:hAnsi="宋体" w:eastAsia="宋体" w:cs="宋体"/>
          <w:color w:val="auto"/>
          <w:kern w:val="0"/>
          <w:highlight w:val="none"/>
        </w:rPr>
        <w:br w:type="page"/>
      </w:r>
      <w:bookmarkStart w:id="514" w:name="_Toc331685784"/>
      <w:r>
        <w:rPr>
          <w:rFonts w:hint="eastAsia" w:ascii="宋体" w:hAnsi="宋体" w:eastAsia="宋体" w:cs="宋体"/>
          <w:b/>
          <w:color w:val="auto"/>
          <w:sz w:val="21"/>
          <w:szCs w:val="21"/>
          <w:highlight w:val="none"/>
        </w:rPr>
        <w:t xml:space="preserve"> </w:t>
      </w:r>
      <w:bookmarkEnd w:id="514"/>
      <w:r>
        <w:rPr>
          <w:rFonts w:hint="eastAsia" w:ascii="宋体" w:hAnsi="宋体" w:eastAsia="宋体" w:cs="宋体"/>
          <w:b/>
          <w:color w:val="auto"/>
          <w:sz w:val="21"/>
          <w:szCs w:val="21"/>
          <w:highlight w:val="none"/>
        </w:rPr>
        <w:t>第三部分  合同专用条款</w:t>
      </w:r>
    </w:p>
    <w:p w14:paraId="2FE3D56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7CABAA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236CDA97">
            <w:pPr>
              <w:wordWrap/>
              <w:adjustRightInd w:val="0"/>
              <w:snapToGrid w:val="0"/>
              <w:spacing w:line="360" w:lineRule="auto"/>
              <w:ind w:left="0" w:leftChars="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条款号</w:t>
            </w:r>
          </w:p>
        </w:tc>
        <w:tc>
          <w:tcPr>
            <w:tcW w:w="8275" w:type="dxa"/>
            <w:vAlign w:val="center"/>
          </w:tcPr>
          <w:p w14:paraId="3746FE76">
            <w:pPr>
              <w:wordWrap/>
              <w:adjustRightInd w:val="0"/>
              <w:snapToGrid w:val="0"/>
              <w:spacing w:line="360" w:lineRule="auto"/>
              <w:ind w:left="0" w:leftChars="0" w:right="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约定内容</w:t>
            </w:r>
          </w:p>
        </w:tc>
      </w:tr>
      <w:tr w14:paraId="2694E7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76E4125">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w:t>
            </w:r>
          </w:p>
        </w:tc>
        <w:tc>
          <w:tcPr>
            <w:tcW w:w="8275" w:type="dxa"/>
            <w:vAlign w:val="center"/>
          </w:tcPr>
          <w:p w14:paraId="2DDBA3A4">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19484B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9DF6190">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1.5.1 </w:t>
            </w:r>
          </w:p>
        </w:tc>
        <w:tc>
          <w:tcPr>
            <w:tcW w:w="8275" w:type="dxa"/>
            <w:vAlign w:val="center"/>
          </w:tcPr>
          <w:p w14:paraId="118A5D17">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1FF909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C9B346B">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1.5.2</w:t>
            </w:r>
          </w:p>
        </w:tc>
        <w:tc>
          <w:tcPr>
            <w:tcW w:w="8275" w:type="dxa"/>
            <w:vAlign w:val="center"/>
          </w:tcPr>
          <w:p w14:paraId="55E8D259">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754F00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566239F">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1.5.3 </w:t>
            </w:r>
          </w:p>
        </w:tc>
        <w:tc>
          <w:tcPr>
            <w:tcW w:w="8275" w:type="dxa"/>
            <w:vAlign w:val="center"/>
          </w:tcPr>
          <w:p w14:paraId="3AD50856">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6CB68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778BE96">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1.6.7</w:t>
            </w:r>
          </w:p>
        </w:tc>
        <w:tc>
          <w:tcPr>
            <w:tcW w:w="8275" w:type="dxa"/>
            <w:vAlign w:val="center"/>
          </w:tcPr>
          <w:p w14:paraId="5C346A02">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77207B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D7BBFD9">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w:t>
            </w:r>
          </w:p>
        </w:tc>
        <w:tc>
          <w:tcPr>
            <w:tcW w:w="8275" w:type="dxa"/>
            <w:vAlign w:val="center"/>
          </w:tcPr>
          <w:p w14:paraId="5866E333">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5E3233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682DCE1">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1.7.1</w:t>
            </w:r>
          </w:p>
        </w:tc>
        <w:tc>
          <w:tcPr>
            <w:tcW w:w="8275" w:type="dxa"/>
            <w:vAlign w:val="center"/>
          </w:tcPr>
          <w:p w14:paraId="0127EC04">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5A8EC2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2DD12C0">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w:t>
            </w:r>
          </w:p>
        </w:tc>
        <w:tc>
          <w:tcPr>
            <w:tcW w:w="8275" w:type="dxa"/>
            <w:vAlign w:val="center"/>
          </w:tcPr>
          <w:p w14:paraId="5F063B8A">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5E388E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65B0279">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w:t>
            </w:r>
          </w:p>
        </w:tc>
        <w:tc>
          <w:tcPr>
            <w:tcW w:w="8275" w:type="dxa"/>
            <w:vAlign w:val="center"/>
          </w:tcPr>
          <w:p w14:paraId="6844DCB8">
            <w:pPr>
              <w:wordWrap/>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p>
        </w:tc>
      </w:tr>
      <w:tr w14:paraId="6212A6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0A4D322">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w:t>
            </w:r>
          </w:p>
        </w:tc>
        <w:tc>
          <w:tcPr>
            <w:tcW w:w="8275" w:type="dxa"/>
            <w:vAlign w:val="center"/>
          </w:tcPr>
          <w:p w14:paraId="28C79C54">
            <w:pPr>
              <w:wordWrap/>
              <w:adjustRightInd w:val="0"/>
              <w:snapToGrid w:val="0"/>
              <w:spacing w:line="360" w:lineRule="auto"/>
              <w:ind w:left="0" w:leftChars="0" w:right="0" w:firstLine="420" w:firstLineChars="200"/>
              <w:textAlignment w:val="auto"/>
              <w:rPr>
                <w:rFonts w:hint="eastAsia" w:ascii="宋体" w:hAnsi="宋体" w:eastAsia="宋体" w:cs="宋体"/>
                <w:color w:val="auto"/>
                <w:sz w:val="21"/>
                <w:szCs w:val="21"/>
                <w:highlight w:val="none"/>
              </w:rPr>
            </w:pPr>
          </w:p>
        </w:tc>
      </w:tr>
      <w:tr w14:paraId="2695F3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17009AC">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2.11.3</w:t>
            </w:r>
          </w:p>
        </w:tc>
        <w:tc>
          <w:tcPr>
            <w:tcW w:w="8275" w:type="dxa"/>
            <w:vAlign w:val="center"/>
          </w:tcPr>
          <w:p w14:paraId="160A49A6">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1E171E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top"/>
          </w:tcPr>
          <w:p w14:paraId="15D3F5EA">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2.11.4 </w:t>
            </w:r>
          </w:p>
        </w:tc>
        <w:tc>
          <w:tcPr>
            <w:tcW w:w="8275" w:type="dxa"/>
            <w:vAlign w:val="top"/>
          </w:tcPr>
          <w:p w14:paraId="4B35EC7B">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2E605D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BD55CE7">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2.15.1</w:t>
            </w:r>
          </w:p>
        </w:tc>
        <w:tc>
          <w:tcPr>
            <w:tcW w:w="8275" w:type="dxa"/>
            <w:vAlign w:val="center"/>
          </w:tcPr>
          <w:p w14:paraId="19683A4A">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7215A9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C0F7B6F">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2.15.3</w:t>
            </w:r>
          </w:p>
        </w:tc>
        <w:tc>
          <w:tcPr>
            <w:tcW w:w="8275" w:type="dxa"/>
            <w:vAlign w:val="center"/>
          </w:tcPr>
          <w:p w14:paraId="665B49B8">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06EC05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F1924A6">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2.18.1</w:t>
            </w:r>
          </w:p>
        </w:tc>
        <w:tc>
          <w:tcPr>
            <w:tcW w:w="8275" w:type="dxa"/>
            <w:vAlign w:val="center"/>
          </w:tcPr>
          <w:p w14:paraId="09877A4A">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7B1F50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087DD6B7">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2.18.2</w:t>
            </w:r>
          </w:p>
        </w:tc>
        <w:tc>
          <w:tcPr>
            <w:tcW w:w="8275" w:type="dxa"/>
            <w:vAlign w:val="center"/>
          </w:tcPr>
          <w:p w14:paraId="1DC17A06">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r w14:paraId="30B014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top"/>
          </w:tcPr>
          <w:p w14:paraId="55AC8381">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2.20</w:t>
            </w:r>
          </w:p>
        </w:tc>
        <w:tc>
          <w:tcPr>
            <w:tcW w:w="8275" w:type="dxa"/>
            <w:vAlign w:val="top"/>
          </w:tcPr>
          <w:p w14:paraId="18621260">
            <w:pPr>
              <w:wordWrap/>
              <w:adjustRightInd w:val="0"/>
              <w:snapToGrid w:val="0"/>
              <w:spacing w:line="360" w:lineRule="auto"/>
              <w:ind w:left="0" w:leftChars="0" w:right="0"/>
              <w:textAlignment w:val="auto"/>
              <w:rPr>
                <w:rFonts w:hint="eastAsia" w:ascii="宋体" w:hAnsi="宋体" w:eastAsia="宋体" w:cs="宋体"/>
                <w:color w:val="auto"/>
                <w:sz w:val="21"/>
                <w:szCs w:val="21"/>
                <w:highlight w:val="none"/>
              </w:rPr>
            </w:pPr>
          </w:p>
        </w:tc>
      </w:tr>
    </w:tbl>
    <w:p w14:paraId="1170D949">
      <w:pPr>
        <w:spacing w:line="360" w:lineRule="auto"/>
        <w:ind w:left="-420" w:leftChars="-200" w:right="-420" w:rightChars="-200" w:firstLine="480" w:firstLineChars="200"/>
        <w:rPr>
          <w:rFonts w:hint="eastAsia" w:ascii="宋体" w:hAnsi="宋体" w:eastAsia="宋体" w:cs="宋体"/>
          <w:color w:val="auto"/>
          <w:sz w:val="24"/>
          <w:highlight w:val="none"/>
        </w:rPr>
      </w:pPr>
    </w:p>
    <w:p w14:paraId="36A50606">
      <w:pPr>
        <w:rPr>
          <w:rFonts w:hint="eastAsia" w:ascii="宋体" w:hAnsi="宋体" w:eastAsia="宋体" w:cs="宋体"/>
          <w:b/>
          <w:color w:val="auto"/>
          <w:sz w:val="36"/>
          <w:szCs w:val="20"/>
          <w:highlight w:val="none"/>
        </w:rPr>
      </w:pPr>
    </w:p>
    <w:p w14:paraId="2CBE7E21">
      <w:pPr>
        <w:spacing w:line="360" w:lineRule="auto"/>
        <w:ind w:left="-420" w:leftChars="-200" w:right="-420" w:rightChars="-200" w:firstLine="480" w:firstLineChars="200"/>
        <w:jc w:val="center"/>
        <w:outlineLvl w:val="0"/>
        <w:rPr>
          <w:rFonts w:hint="eastAsia" w:ascii="宋体" w:hAnsi="宋体" w:eastAsia="宋体" w:cs="宋体"/>
          <w:color w:val="auto"/>
          <w:sz w:val="24"/>
          <w:highlight w:val="none"/>
        </w:rPr>
      </w:pPr>
    </w:p>
    <w:p w14:paraId="1C9D7740">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5F30D4DC">
      <w:pPr>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3"/>
      <w:r>
        <w:rPr>
          <w:rFonts w:hint="eastAsia" w:ascii="宋体" w:hAnsi="宋体" w:eastAsia="宋体" w:cs="宋体"/>
          <w:b/>
          <w:color w:val="auto"/>
          <w:sz w:val="36"/>
          <w:szCs w:val="20"/>
          <w:highlight w:val="none"/>
        </w:rPr>
        <w:t xml:space="preserve"> </w:t>
      </w:r>
      <w:bookmarkEnd w:id="394"/>
      <w:r>
        <w:rPr>
          <w:rFonts w:hint="eastAsia" w:ascii="宋体" w:hAnsi="宋体" w:eastAsia="宋体" w:cs="宋体"/>
          <w:b/>
          <w:color w:val="auto"/>
          <w:sz w:val="36"/>
          <w:szCs w:val="20"/>
          <w:highlight w:val="none"/>
        </w:rPr>
        <w:t>应提交的有关格式范例</w:t>
      </w:r>
    </w:p>
    <w:p w14:paraId="5458760F">
      <w:pPr>
        <w:spacing w:line="360" w:lineRule="auto"/>
        <w:jc w:val="center"/>
        <w:outlineLvl w:val="0"/>
        <w:rPr>
          <w:rFonts w:hint="eastAsia" w:ascii="宋体" w:hAnsi="宋体" w:eastAsia="宋体" w:cs="宋体"/>
          <w:b/>
          <w:color w:val="auto"/>
          <w:kern w:val="0"/>
          <w:sz w:val="36"/>
          <w:szCs w:val="36"/>
          <w:highlight w:val="none"/>
        </w:rPr>
      </w:pPr>
    </w:p>
    <w:p w14:paraId="72EBEEFA">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0D0571E5">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187950B4">
      <w:pPr>
        <w:spacing w:line="360" w:lineRule="auto"/>
        <w:jc w:val="center"/>
        <w:outlineLvl w:val="0"/>
        <w:rPr>
          <w:rFonts w:hint="eastAsia" w:ascii="宋体" w:hAnsi="宋体" w:eastAsia="宋体" w:cs="宋体"/>
          <w:b/>
          <w:color w:val="auto"/>
          <w:kern w:val="0"/>
          <w:sz w:val="36"/>
          <w:szCs w:val="36"/>
          <w:highlight w:val="none"/>
        </w:rPr>
      </w:pPr>
    </w:p>
    <w:p w14:paraId="64B2C9C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172B9FDE">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264F99E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573A995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7EB6127A">
      <w:pPr>
        <w:snapToGrid w:val="0"/>
        <w:spacing w:line="360" w:lineRule="auto"/>
        <w:ind w:firstLine="480" w:firstLineChars="200"/>
        <w:rPr>
          <w:rFonts w:hint="eastAsia" w:ascii="宋体" w:hAnsi="宋体" w:eastAsia="宋体" w:cs="宋体"/>
          <w:color w:val="auto"/>
          <w:sz w:val="24"/>
          <w:highlight w:val="none"/>
        </w:rPr>
      </w:pPr>
    </w:p>
    <w:p w14:paraId="5D7C83D8">
      <w:pPr>
        <w:spacing w:line="360" w:lineRule="auto"/>
        <w:ind w:firstLine="480" w:firstLineChars="200"/>
        <w:rPr>
          <w:rFonts w:hint="eastAsia" w:ascii="宋体" w:hAnsi="宋体" w:eastAsia="宋体" w:cs="宋体"/>
          <w:color w:val="auto"/>
          <w:sz w:val="24"/>
          <w:highlight w:val="none"/>
        </w:rPr>
      </w:pPr>
    </w:p>
    <w:p w14:paraId="36B3FF27">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7D94D65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21CA2DB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09E678B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1A2EE76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71E93EB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0E5B82B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4E1C794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53D06016">
      <w:pPr>
        <w:snapToGrid w:val="0"/>
        <w:spacing w:line="360" w:lineRule="auto"/>
        <w:ind w:right="480"/>
        <w:jc w:val="center"/>
        <w:rPr>
          <w:rFonts w:hint="eastAsia" w:ascii="宋体" w:hAnsi="宋体" w:eastAsia="宋体" w:cs="宋体"/>
          <w:b/>
          <w:color w:val="auto"/>
          <w:kern w:val="0"/>
          <w:sz w:val="32"/>
          <w:szCs w:val="32"/>
          <w:highlight w:val="none"/>
        </w:rPr>
      </w:pPr>
    </w:p>
    <w:p w14:paraId="596ABC37">
      <w:pPr>
        <w:snapToGrid w:val="0"/>
        <w:spacing w:line="360" w:lineRule="auto"/>
        <w:ind w:right="480"/>
        <w:jc w:val="center"/>
        <w:rPr>
          <w:rFonts w:hint="eastAsia" w:ascii="宋体" w:hAnsi="宋体" w:eastAsia="宋体" w:cs="宋体"/>
          <w:b/>
          <w:color w:val="auto"/>
          <w:kern w:val="0"/>
          <w:sz w:val="32"/>
          <w:szCs w:val="32"/>
          <w:highlight w:val="none"/>
        </w:rPr>
      </w:pPr>
    </w:p>
    <w:p w14:paraId="25E2531B">
      <w:pPr>
        <w:snapToGrid w:val="0"/>
        <w:spacing w:line="360" w:lineRule="auto"/>
        <w:ind w:right="480"/>
        <w:jc w:val="center"/>
        <w:rPr>
          <w:rFonts w:hint="eastAsia" w:ascii="宋体" w:hAnsi="宋体" w:eastAsia="宋体" w:cs="宋体"/>
          <w:b/>
          <w:color w:val="auto"/>
          <w:kern w:val="0"/>
          <w:sz w:val="32"/>
          <w:szCs w:val="32"/>
          <w:highlight w:val="none"/>
        </w:rPr>
      </w:pPr>
    </w:p>
    <w:p w14:paraId="3D869CA3">
      <w:pPr>
        <w:rPr>
          <w:rFonts w:hint="eastAsia" w:ascii="宋体" w:hAnsi="宋体" w:eastAsia="宋体" w:cs="宋体"/>
          <w:color w:val="auto"/>
          <w:highlight w:val="none"/>
        </w:rPr>
      </w:pPr>
    </w:p>
    <w:p w14:paraId="1165296D">
      <w:pPr>
        <w:snapToGrid w:val="0"/>
        <w:spacing w:line="360" w:lineRule="auto"/>
        <w:ind w:right="480"/>
        <w:jc w:val="center"/>
        <w:rPr>
          <w:rFonts w:hint="eastAsia" w:ascii="宋体" w:hAnsi="宋体" w:eastAsia="宋体" w:cs="宋体"/>
          <w:b/>
          <w:color w:val="auto"/>
          <w:kern w:val="0"/>
          <w:sz w:val="32"/>
          <w:szCs w:val="32"/>
          <w:highlight w:val="none"/>
        </w:rPr>
      </w:pPr>
    </w:p>
    <w:p w14:paraId="1EDB7BF2">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47A0A3F4">
      <w:pPr>
        <w:widowControl/>
        <w:spacing w:line="360" w:lineRule="auto"/>
        <w:ind w:firstLine="643" w:firstLineChars="20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39B4CA7B">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hint="eastAsia" w:ascii="宋体" w:hAnsi="宋体" w:eastAsia="宋体" w:cs="宋体"/>
          <w:b/>
          <w:color w:val="auto"/>
          <w:kern w:val="0"/>
          <w:sz w:val="32"/>
          <w:szCs w:val="32"/>
          <w:highlight w:val="none"/>
        </w:rPr>
      </w:pPr>
    </w:p>
    <w:p w14:paraId="4A04CF9F">
      <w:pPr>
        <w:snapToGrid w:val="0"/>
        <w:spacing w:line="360" w:lineRule="auto"/>
        <w:ind w:right="480"/>
        <w:jc w:val="center"/>
        <w:rPr>
          <w:rFonts w:hint="eastAsia" w:ascii="宋体" w:hAnsi="宋体" w:eastAsia="宋体" w:cs="宋体"/>
          <w:b/>
          <w:color w:val="auto"/>
          <w:kern w:val="0"/>
          <w:sz w:val="32"/>
          <w:szCs w:val="32"/>
          <w:highlight w:val="none"/>
        </w:rPr>
      </w:pPr>
    </w:p>
    <w:p w14:paraId="261B7AD6">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14:paraId="015717A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.专门面向中小企业，服务全部由符合政策要求的中小企业（或小微企业）承接的，提供相应的中小企业声明函（附件7）。 </w:t>
      </w:r>
    </w:p>
    <w:p w14:paraId="1765B399">
      <w:pPr>
        <w:widowControl/>
        <w:spacing w:line="360" w:lineRule="auto"/>
        <w:ind w:firstLine="480"/>
        <w:jc w:val="left"/>
        <w:rPr>
          <w:rFonts w:hint="eastAsia" w:ascii="宋体" w:hAnsi="宋体" w:eastAsia="宋体" w:cs="宋体"/>
          <w:color w:val="auto"/>
          <w:sz w:val="24"/>
          <w:highlight w:val="none"/>
        </w:rPr>
      </w:pPr>
    </w:p>
    <w:p w14:paraId="678AF036">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06ACD379">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hint="eastAsia" w:ascii="宋体" w:hAnsi="宋体" w:eastAsia="宋体" w:cs="宋体"/>
          <w:b/>
          <w:color w:val="auto"/>
          <w:kern w:val="0"/>
          <w:sz w:val="32"/>
          <w:szCs w:val="32"/>
          <w:highlight w:val="none"/>
        </w:rPr>
      </w:pPr>
    </w:p>
    <w:p w14:paraId="4E66AFB9">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14:paraId="348FD9D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56E3344A">
      <w:pPr>
        <w:rPr>
          <w:rFonts w:hint="eastAsia" w:ascii="宋体" w:hAnsi="宋体" w:eastAsia="宋体" w:cs="宋体"/>
          <w:color w:val="auto"/>
          <w:highlight w:val="none"/>
        </w:rPr>
      </w:pPr>
    </w:p>
    <w:p w14:paraId="73907B95">
      <w:pPr>
        <w:widowControl/>
        <w:adjustRightInd/>
        <w:jc w:val="left"/>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3C0B4F94">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3A7CF41B">
      <w:pPr>
        <w:spacing w:line="360" w:lineRule="auto"/>
        <w:jc w:val="center"/>
        <w:outlineLvl w:val="0"/>
        <w:rPr>
          <w:rFonts w:hint="eastAsia" w:ascii="宋体" w:hAnsi="宋体" w:eastAsia="宋体" w:cs="宋体"/>
          <w:b/>
          <w:color w:val="auto"/>
          <w:kern w:val="0"/>
          <w:sz w:val="24"/>
          <w:highlight w:val="none"/>
        </w:rPr>
      </w:pPr>
    </w:p>
    <w:p w14:paraId="64FC89D4">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12DFB595">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69D7F006">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14:paraId="6F6582FD">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4F0A00D1">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14:paraId="7BAD3BDB">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14:paraId="2B50A665">
      <w:pPr>
        <w:snapToGrid w:val="0"/>
        <w:spacing w:line="360" w:lineRule="auto"/>
        <w:jc w:val="center"/>
        <w:rPr>
          <w:rFonts w:hint="eastAsia" w:ascii="宋体" w:hAnsi="宋体" w:eastAsia="宋体" w:cs="宋体"/>
          <w:b/>
          <w:color w:val="auto"/>
          <w:kern w:val="0"/>
          <w:sz w:val="32"/>
          <w:szCs w:val="32"/>
          <w:highlight w:val="none"/>
          <w:lang w:val="zh-CN"/>
        </w:rPr>
      </w:pPr>
    </w:p>
    <w:p w14:paraId="700BCA6D">
      <w:pPr>
        <w:snapToGrid w:val="0"/>
        <w:spacing w:line="360" w:lineRule="auto"/>
        <w:jc w:val="center"/>
        <w:rPr>
          <w:rFonts w:hint="eastAsia" w:ascii="宋体" w:hAnsi="宋体" w:eastAsia="宋体" w:cs="宋体"/>
          <w:b/>
          <w:color w:val="auto"/>
          <w:kern w:val="0"/>
          <w:sz w:val="32"/>
          <w:szCs w:val="32"/>
          <w:highlight w:val="none"/>
          <w:lang w:val="zh-CN"/>
        </w:rPr>
      </w:pPr>
    </w:p>
    <w:p w14:paraId="4CABD69D">
      <w:pPr>
        <w:snapToGrid w:val="0"/>
        <w:spacing w:line="360" w:lineRule="auto"/>
        <w:jc w:val="center"/>
        <w:rPr>
          <w:rFonts w:hint="eastAsia" w:ascii="宋体" w:hAnsi="宋体" w:eastAsia="宋体" w:cs="宋体"/>
          <w:b/>
          <w:color w:val="auto"/>
          <w:kern w:val="0"/>
          <w:sz w:val="32"/>
          <w:szCs w:val="32"/>
          <w:highlight w:val="none"/>
          <w:lang w:val="zh-CN"/>
        </w:rPr>
      </w:pPr>
    </w:p>
    <w:p w14:paraId="69DEAC0D">
      <w:pPr>
        <w:snapToGrid w:val="0"/>
        <w:spacing w:line="360" w:lineRule="auto"/>
        <w:jc w:val="center"/>
        <w:rPr>
          <w:rFonts w:hint="eastAsia" w:ascii="宋体" w:hAnsi="宋体" w:eastAsia="宋体" w:cs="宋体"/>
          <w:b/>
          <w:color w:val="auto"/>
          <w:kern w:val="0"/>
          <w:sz w:val="32"/>
          <w:szCs w:val="32"/>
          <w:highlight w:val="none"/>
          <w:lang w:val="zh-CN"/>
        </w:rPr>
      </w:pPr>
    </w:p>
    <w:p w14:paraId="6EE7BD80">
      <w:pPr>
        <w:snapToGrid w:val="0"/>
        <w:spacing w:line="360" w:lineRule="auto"/>
        <w:jc w:val="center"/>
        <w:rPr>
          <w:rFonts w:hint="eastAsia" w:ascii="宋体" w:hAnsi="宋体" w:eastAsia="宋体" w:cs="宋体"/>
          <w:b/>
          <w:color w:val="auto"/>
          <w:kern w:val="0"/>
          <w:sz w:val="32"/>
          <w:szCs w:val="32"/>
          <w:highlight w:val="none"/>
          <w:lang w:val="zh-CN"/>
        </w:rPr>
      </w:pPr>
    </w:p>
    <w:p w14:paraId="48640FED">
      <w:pPr>
        <w:snapToGrid w:val="0"/>
        <w:spacing w:line="360" w:lineRule="auto"/>
        <w:jc w:val="center"/>
        <w:rPr>
          <w:rFonts w:hint="eastAsia" w:ascii="宋体" w:hAnsi="宋体" w:eastAsia="宋体" w:cs="宋体"/>
          <w:b/>
          <w:color w:val="auto"/>
          <w:kern w:val="0"/>
          <w:sz w:val="32"/>
          <w:szCs w:val="32"/>
          <w:highlight w:val="none"/>
          <w:lang w:val="zh-CN"/>
        </w:rPr>
      </w:pPr>
    </w:p>
    <w:p w14:paraId="7A0083EF">
      <w:pPr>
        <w:snapToGrid w:val="0"/>
        <w:spacing w:line="360" w:lineRule="auto"/>
        <w:jc w:val="center"/>
        <w:rPr>
          <w:rFonts w:hint="eastAsia" w:ascii="宋体" w:hAnsi="宋体" w:eastAsia="宋体" w:cs="宋体"/>
          <w:b/>
          <w:color w:val="auto"/>
          <w:kern w:val="0"/>
          <w:sz w:val="32"/>
          <w:szCs w:val="32"/>
          <w:highlight w:val="none"/>
          <w:lang w:val="zh-CN"/>
        </w:rPr>
      </w:pPr>
    </w:p>
    <w:p w14:paraId="1F5A04FD">
      <w:pPr>
        <w:snapToGrid w:val="0"/>
        <w:spacing w:line="360" w:lineRule="auto"/>
        <w:jc w:val="center"/>
        <w:rPr>
          <w:rFonts w:hint="eastAsia" w:ascii="宋体" w:hAnsi="宋体" w:eastAsia="宋体" w:cs="宋体"/>
          <w:b/>
          <w:color w:val="auto"/>
          <w:kern w:val="0"/>
          <w:sz w:val="32"/>
          <w:szCs w:val="32"/>
          <w:highlight w:val="none"/>
          <w:lang w:val="zh-CN"/>
        </w:rPr>
      </w:pPr>
    </w:p>
    <w:p w14:paraId="301C9372">
      <w:pPr>
        <w:snapToGrid w:val="0"/>
        <w:spacing w:line="360" w:lineRule="auto"/>
        <w:jc w:val="center"/>
        <w:rPr>
          <w:rFonts w:hint="eastAsia" w:ascii="宋体" w:hAnsi="宋体" w:eastAsia="宋体" w:cs="宋体"/>
          <w:b/>
          <w:color w:val="auto"/>
          <w:kern w:val="0"/>
          <w:sz w:val="32"/>
          <w:szCs w:val="32"/>
          <w:highlight w:val="none"/>
          <w:lang w:val="zh-CN"/>
        </w:rPr>
      </w:pPr>
    </w:p>
    <w:p w14:paraId="49FA761E">
      <w:pPr>
        <w:snapToGrid w:val="0"/>
        <w:spacing w:line="360" w:lineRule="auto"/>
        <w:jc w:val="center"/>
        <w:rPr>
          <w:rFonts w:hint="eastAsia" w:ascii="宋体" w:hAnsi="宋体" w:eastAsia="宋体" w:cs="宋体"/>
          <w:b/>
          <w:color w:val="auto"/>
          <w:kern w:val="0"/>
          <w:sz w:val="32"/>
          <w:szCs w:val="32"/>
          <w:highlight w:val="none"/>
          <w:lang w:val="zh-CN"/>
        </w:rPr>
      </w:pPr>
    </w:p>
    <w:p w14:paraId="0CE6BE45">
      <w:pPr>
        <w:snapToGrid w:val="0"/>
        <w:spacing w:line="360" w:lineRule="auto"/>
        <w:jc w:val="center"/>
        <w:rPr>
          <w:rFonts w:hint="eastAsia" w:ascii="宋体" w:hAnsi="宋体" w:eastAsia="宋体" w:cs="宋体"/>
          <w:b/>
          <w:color w:val="auto"/>
          <w:kern w:val="0"/>
          <w:sz w:val="32"/>
          <w:szCs w:val="32"/>
          <w:highlight w:val="none"/>
          <w:lang w:val="zh-CN"/>
        </w:rPr>
      </w:pPr>
    </w:p>
    <w:p w14:paraId="0B232C6D">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3A8940F2">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38F2DFB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3AB3C4C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3E0FDCB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39DD7A5E">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734B9DC9">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48B56DA1">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515" w:name="_Hlk101257010"/>
      <w:r>
        <w:rPr>
          <w:rFonts w:hint="eastAsia" w:ascii="宋体" w:hAnsi="宋体" w:eastAsia="宋体" w:cs="宋体"/>
          <w:color w:val="auto"/>
          <w:sz w:val="24"/>
          <w:highlight w:val="none"/>
        </w:rPr>
        <w:t>（如果有)</w:t>
      </w:r>
      <w:bookmarkEnd w:id="515"/>
      <w:r>
        <w:rPr>
          <w:rFonts w:hint="eastAsia" w:ascii="宋体" w:hAnsi="宋体" w:eastAsia="宋体" w:cs="宋体"/>
          <w:snapToGrid w:val="0"/>
          <w:color w:val="auto"/>
          <w:kern w:val="28"/>
          <w:sz w:val="24"/>
          <w:szCs w:val="20"/>
          <w:highlight w:val="none"/>
        </w:rPr>
        <w:t>；</w:t>
      </w:r>
    </w:p>
    <w:p w14:paraId="2B4EC0CC">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14:paraId="2891C294">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14:paraId="33E6C08F">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5B44AF5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3EB71FB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14:paraId="3ACC02E4">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796B43D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14:paraId="0AC527F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14:paraId="6478F24A">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7C5C4887">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5FBC8E2F">
      <w:pPr>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3197EB3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14:paraId="1ECB695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123A3B99">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EAAA2F7">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62C20BF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625A5284">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3866190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52E17B7">
      <w:pPr>
        <w:snapToGrid w:val="0"/>
        <w:spacing w:line="360" w:lineRule="auto"/>
        <w:jc w:val="center"/>
        <w:rPr>
          <w:rFonts w:hint="eastAsia" w:ascii="宋体" w:hAnsi="宋体" w:eastAsia="宋体" w:cs="宋体"/>
          <w:b/>
          <w:color w:val="auto"/>
          <w:kern w:val="0"/>
          <w:sz w:val="32"/>
          <w:szCs w:val="32"/>
          <w:highlight w:val="none"/>
        </w:rPr>
      </w:pPr>
    </w:p>
    <w:p w14:paraId="742E3BA8">
      <w:pPr>
        <w:snapToGrid w:val="0"/>
        <w:spacing w:line="360" w:lineRule="auto"/>
        <w:rPr>
          <w:rFonts w:hint="eastAsia" w:ascii="宋体" w:hAnsi="宋体" w:eastAsia="宋体" w:cs="宋体"/>
          <w:color w:val="auto"/>
          <w:sz w:val="24"/>
          <w:highlight w:val="none"/>
        </w:rPr>
      </w:pPr>
    </w:p>
    <w:p w14:paraId="2AFDD200">
      <w:pPr>
        <w:jc w:val="both"/>
        <w:rPr>
          <w:rFonts w:hint="eastAsia" w:ascii="宋体" w:hAnsi="宋体" w:eastAsia="宋体" w:cs="宋体"/>
          <w:b/>
          <w:color w:val="auto"/>
          <w:kern w:val="0"/>
          <w:sz w:val="32"/>
          <w:szCs w:val="32"/>
          <w:highlight w:val="none"/>
        </w:rPr>
      </w:pPr>
    </w:p>
    <w:p w14:paraId="2D183AA5">
      <w:pPr>
        <w:jc w:val="center"/>
        <w:rPr>
          <w:rFonts w:hint="eastAsia" w:ascii="宋体" w:hAnsi="宋体" w:eastAsia="宋体" w:cs="宋体"/>
          <w:b/>
          <w:color w:val="auto"/>
          <w:kern w:val="0"/>
          <w:sz w:val="32"/>
          <w:szCs w:val="32"/>
          <w:highlight w:val="none"/>
        </w:rPr>
      </w:pPr>
    </w:p>
    <w:p w14:paraId="5D8BB10A">
      <w:pPr>
        <w:jc w:val="center"/>
        <w:rPr>
          <w:rFonts w:hint="eastAsia" w:ascii="宋体" w:hAnsi="宋体" w:eastAsia="宋体" w:cs="宋体"/>
          <w:b/>
          <w:color w:val="auto"/>
          <w:kern w:val="0"/>
          <w:sz w:val="32"/>
          <w:szCs w:val="32"/>
          <w:highlight w:val="none"/>
        </w:rPr>
      </w:pPr>
    </w:p>
    <w:p w14:paraId="78197527">
      <w:pPr>
        <w:jc w:val="center"/>
        <w:rPr>
          <w:rFonts w:hint="eastAsia" w:ascii="宋体" w:hAnsi="宋体" w:eastAsia="宋体" w:cs="宋体"/>
          <w:b/>
          <w:color w:val="auto"/>
          <w:kern w:val="0"/>
          <w:sz w:val="32"/>
          <w:szCs w:val="32"/>
          <w:highlight w:val="none"/>
        </w:rPr>
      </w:pPr>
    </w:p>
    <w:p w14:paraId="7CBF5A00">
      <w:pPr>
        <w:jc w:val="center"/>
        <w:rPr>
          <w:rFonts w:hint="eastAsia" w:ascii="宋体" w:hAnsi="宋体" w:eastAsia="宋体" w:cs="宋体"/>
          <w:b/>
          <w:color w:val="auto"/>
          <w:kern w:val="0"/>
          <w:sz w:val="32"/>
          <w:szCs w:val="32"/>
          <w:highlight w:val="none"/>
        </w:rPr>
      </w:pPr>
    </w:p>
    <w:p w14:paraId="2221EB27">
      <w:pPr>
        <w:jc w:val="center"/>
        <w:rPr>
          <w:rFonts w:hint="eastAsia" w:ascii="宋体" w:hAnsi="宋体" w:eastAsia="宋体" w:cs="宋体"/>
          <w:b/>
          <w:color w:val="auto"/>
          <w:kern w:val="0"/>
          <w:sz w:val="32"/>
          <w:szCs w:val="32"/>
          <w:highlight w:val="none"/>
        </w:rPr>
      </w:pPr>
    </w:p>
    <w:p w14:paraId="4C1F8EAB">
      <w:pPr>
        <w:jc w:val="center"/>
        <w:rPr>
          <w:rFonts w:hint="eastAsia" w:ascii="宋体" w:hAnsi="宋体" w:eastAsia="宋体" w:cs="宋体"/>
          <w:b/>
          <w:color w:val="auto"/>
          <w:kern w:val="0"/>
          <w:sz w:val="32"/>
          <w:szCs w:val="32"/>
          <w:highlight w:val="none"/>
        </w:rPr>
      </w:pPr>
    </w:p>
    <w:p w14:paraId="1D30A3E4">
      <w:pPr>
        <w:jc w:val="center"/>
        <w:rPr>
          <w:rFonts w:hint="eastAsia" w:ascii="宋体" w:hAnsi="宋体" w:eastAsia="宋体" w:cs="宋体"/>
          <w:b/>
          <w:color w:val="auto"/>
          <w:kern w:val="0"/>
          <w:sz w:val="32"/>
          <w:szCs w:val="32"/>
          <w:highlight w:val="none"/>
        </w:rPr>
      </w:pPr>
    </w:p>
    <w:p w14:paraId="1CD0E6AD">
      <w:pPr>
        <w:jc w:val="center"/>
        <w:rPr>
          <w:rFonts w:hint="eastAsia" w:ascii="宋体" w:hAnsi="宋体" w:eastAsia="宋体" w:cs="宋体"/>
          <w:b/>
          <w:color w:val="auto"/>
          <w:kern w:val="0"/>
          <w:sz w:val="32"/>
          <w:szCs w:val="32"/>
          <w:highlight w:val="none"/>
        </w:rPr>
      </w:pPr>
    </w:p>
    <w:p w14:paraId="25EA4943">
      <w:pPr>
        <w:jc w:val="center"/>
        <w:rPr>
          <w:rFonts w:hint="eastAsia" w:ascii="宋体" w:hAnsi="宋体" w:eastAsia="宋体" w:cs="宋体"/>
          <w:b/>
          <w:color w:val="auto"/>
          <w:kern w:val="0"/>
          <w:sz w:val="32"/>
          <w:szCs w:val="32"/>
          <w:highlight w:val="none"/>
        </w:rPr>
      </w:pPr>
    </w:p>
    <w:p w14:paraId="4435A295">
      <w:pPr>
        <w:jc w:val="center"/>
        <w:rPr>
          <w:rFonts w:hint="eastAsia" w:ascii="宋体" w:hAnsi="宋体" w:eastAsia="宋体" w:cs="宋体"/>
          <w:b/>
          <w:color w:val="auto"/>
          <w:kern w:val="0"/>
          <w:sz w:val="32"/>
          <w:szCs w:val="32"/>
          <w:highlight w:val="none"/>
        </w:rPr>
      </w:pPr>
    </w:p>
    <w:p w14:paraId="09EA2B9B">
      <w:pPr>
        <w:jc w:val="center"/>
        <w:rPr>
          <w:rFonts w:hint="eastAsia" w:ascii="宋体" w:hAnsi="宋体" w:eastAsia="宋体" w:cs="宋体"/>
          <w:b/>
          <w:color w:val="auto"/>
          <w:kern w:val="0"/>
          <w:sz w:val="32"/>
          <w:szCs w:val="32"/>
          <w:highlight w:val="none"/>
        </w:rPr>
      </w:pPr>
    </w:p>
    <w:p w14:paraId="187DA1AB">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11AA68CA">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16D5DB2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0E4092CD">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70D0523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47BB19B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0D3BE53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33312E0A">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1AA9871A">
      <w:pPr>
        <w:snapToGrid w:val="0"/>
        <w:spacing w:line="360" w:lineRule="auto"/>
        <w:rPr>
          <w:rFonts w:hint="eastAsia" w:ascii="宋体" w:hAnsi="宋体" w:eastAsia="宋体" w:cs="宋体"/>
          <w:color w:val="auto"/>
          <w:sz w:val="24"/>
          <w:highlight w:val="none"/>
        </w:rPr>
      </w:pPr>
    </w:p>
    <w:p w14:paraId="51D753C0">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2CC0559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0543E492">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3ECCCDB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12A1662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33C79970">
      <w:pPr>
        <w:jc w:val="center"/>
        <w:rPr>
          <w:rFonts w:hint="eastAsia" w:ascii="宋体" w:hAnsi="宋体" w:eastAsia="宋体" w:cs="宋体"/>
          <w:b/>
          <w:color w:val="auto"/>
          <w:kern w:val="0"/>
          <w:sz w:val="32"/>
          <w:szCs w:val="32"/>
          <w:highlight w:val="none"/>
        </w:rPr>
      </w:pPr>
    </w:p>
    <w:p w14:paraId="0E921CCB">
      <w:pPr>
        <w:rPr>
          <w:rFonts w:hint="eastAsia" w:ascii="宋体" w:hAnsi="宋体" w:eastAsia="宋体" w:cs="宋体"/>
          <w:color w:val="auto"/>
          <w:highlight w:val="none"/>
        </w:rPr>
      </w:pPr>
    </w:p>
    <w:p w14:paraId="5FBFFFF0">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7B8359CD">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40873469">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1640882F">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0CC1280D">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12407765">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746311E0">
            <w:pPr>
              <w:pStyle w:val="149"/>
              <w:adjustRightInd w:val="0"/>
              <w:spacing w:line="360" w:lineRule="auto"/>
              <w:rPr>
                <w:rFonts w:hint="eastAsia" w:ascii="宋体" w:hAnsi="宋体" w:eastAsia="宋体" w:cs="宋体"/>
                <w:bCs/>
                <w:color w:val="auto"/>
                <w:sz w:val="24"/>
                <w:highlight w:val="none"/>
              </w:rPr>
            </w:pPr>
          </w:p>
        </w:tc>
      </w:tr>
    </w:tbl>
    <w:p w14:paraId="7DC55081">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52E22140">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340906C5">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0491D09B">
      <w:pPr>
        <w:jc w:val="center"/>
        <w:rPr>
          <w:rFonts w:hint="eastAsia" w:ascii="宋体" w:hAnsi="宋体" w:eastAsia="宋体" w:cs="宋体"/>
          <w:b/>
          <w:color w:val="auto"/>
          <w:kern w:val="0"/>
          <w:sz w:val="32"/>
          <w:szCs w:val="32"/>
          <w:highlight w:val="none"/>
        </w:rPr>
      </w:pPr>
    </w:p>
    <w:p w14:paraId="0301EFC9">
      <w:pPr>
        <w:jc w:val="center"/>
        <w:rPr>
          <w:rFonts w:hint="eastAsia" w:ascii="宋体" w:hAnsi="宋体" w:eastAsia="宋体" w:cs="宋体"/>
          <w:b/>
          <w:color w:val="auto"/>
          <w:kern w:val="0"/>
          <w:sz w:val="32"/>
          <w:szCs w:val="32"/>
          <w:highlight w:val="none"/>
        </w:rPr>
      </w:pPr>
    </w:p>
    <w:p w14:paraId="141B6848">
      <w:pPr>
        <w:jc w:val="center"/>
        <w:rPr>
          <w:rFonts w:hint="eastAsia" w:ascii="宋体" w:hAnsi="宋体" w:eastAsia="宋体" w:cs="宋体"/>
          <w:b/>
          <w:color w:val="auto"/>
          <w:kern w:val="0"/>
          <w:sz w:val="32"/>
          <w:szCs w:val="32"/>
          <w:highlight w:val="none"/>
        </w:rPr>
      </w:pPr>
    </w:p>
    <w:p w14:paraId="535AF7D7">
      <w:pPr>
        <w:jc w:val="center"/>
        <w:rPr>
          <w:rFonts w:hint="eastAsia" w:ascii="宋体" w:hAnsi="宋体" w:eastAsia="宋体" w:cs="宋体"/>
          <w:b/>
          <w:color w:val="auto"/>
          <w:kern w:val="0"/>
          <w:sz w:val="32"/>
          <w:szCs w:val="32"/>
          <w:highlight w:val="none"/>
        </w:rPr>
      </w:pPr>
    </w:p>
    <w:p w14:paraId="0A4E2064">
      <w:pPr>
        <w:jc w:val="center"/>
        <w:rPr>
          <w:rFonts w:hint="eastAsia" w:ascii="宋体" w:hAnsi="宋体" w:eastAsia="宋体" w:cs="宋体"/>
          <w:b/>
          <w:color w:val="auto"/>
          <w:kern w:val="0"/>
          <w:sz w:val="32"/>
          <w:szCs w:val="32"/>
          <w:highlight w:val="none"/>
        </w:rPr>
      </w:pPr>
    </w:p>
    <w:p w14:paraId="0AF779EA">
      <w:pPr>
        <w:jc w:val="center"/>
        <w:rPr>
          <w:rFonts w:hint="eastAsia" w:ascii="宋体" w:hAnsi="宋体" w:eastAsia="宋体" w:cs="宋体"/>
          <w:b/>
          <w:color w:val="auto"/>
          <w:kern w:val="0"/>
          <w:sz w:val="32"/>
          <w:szCs w:val="32"/>
          <w:highlight w:val="none"/>
        </w:rPr>
      </w:pPr>
    </w:p>
    <w:p w14:paraId="5803F886">
      <w:pPr>
        <w:jc w:val="center"/>
        <w:rPr>
          <w:rFonts w:hint="eastAsia" w:ascii="宋体" w:hAnsi="宋体" w:eastAsia="宋体" w:cs="宋体"/>
          <w:b/>
          <w:color w:val="auto"/>
          <w:kern w:val="0"/>
          <w:sz w:val="32"/>
          <w:szCs w:val="32"/>
          <w:highlight w:val="none"/>
        </w:rPr>
      </w:pPr>
    </w:p>
    <w:p w14:paraId="35CD2C34">
      <w:pPr>
        <w:jc w:val="center"/>
        <w:rPr>
          <w:rFonts w:hint="eastAsia" w:ascii="宋体" w:hAnsi="宋体" w:eastAsia="宋体" w:cs="宋体"/>
          <w:b/>
          <w:color w:val="auto"/>
          <w:kern w:val="0"/>
          <w:sz w:val="32"/>
          <w:szCs w:val="32"/>
          <w:highlight w:val="none"/>
        </w:rPr>
      </w:pPr>
    </w:p>
    <w:p w14:paraId="5DB91F40">
      <w:pPr>
        <w:jc w:val="center"/>
        <w:rPr>
          <w:rFonts w:hint="eastAsia" w:ascii="宋体" w:hAnsi="宋体" w:eastAsia="宋体" w:cs="宋体"/>
          <w:b/>
          <w:color w:val="auto"/>
          <w:kern w:val="0"/>
          <w:sz w:val="32"/>
          <w:szCs w:val="32"/>
          <w:highlight w:val="none"/>
        </w:rPr>
      </w:pPr>
    </w:p>
    <w:p w14:paraId="26A791CB">
      <w:pPr>
        <w:jc w:val="center"/>
        <w:rPr>
          <w:rFonts w:hint="eastAsia" w:ascii="宋体" w:hAnsi="宋体" w:eastAsia="宋体" w:cs="宋体"/>
          <w:b/>
          <w:color w:val="auto"/>
          <w:kern w:val="0"/>
          <w:sz w:val="32"/>
          <w:szCs w:val="32"/>
          <w:highlight w:val="none"/>
        </w:rPr>
      </w:pPr>
    </w:p>
    <w:p w14:paraId="03D2E219">
      <w:pPr>
        <w:snapToGrid w:val="0"/>
        <w:spacing w:line="360" w:lineRule="auto"/>
        <w:ind w:right="480"/>
        <w:rPr>
          <w:rFonts w:hint="eastAsia" w:ascii="宋体" w:hAnsi="宋体" w:eastAsia="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4DF96877">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p w14:paraId="61D607AE">
      <w:pPr>
        <w:snapToGrid w:val="0"/>
        <w:spacing w:line="360" w:lineRule="auto"/>
        <w:rPr>
          <w:rFonts w:hint="eastAsia" w:ascii="宋体" w:hAnsi="宋体" w:eastAsia="宋体" w:cs="宋体"/>
          <w:color w:val="auto"/>
          <w:kern w:val="0"/>
          <w:sz w:val="24"/>
          <w:highlight w:val="none"/>
        </w:rPr>
      </w:pPr>
    </w:p>
    <w:p w14:paraId="29B4F5CA">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69A1ED46">
      <w:pPr>
        <w:jc w:val="center"/>
        <w:rPr>
          <w:rFonts w:hint="eastAsia" w:ascii="宋体" w:hAnsi="宋体" w:eastAsia="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022759A2">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54D84488">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3DCCB3A2">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tcPr>
          <w:p w14:paraId="0F93422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23DD204C">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14:paraId="6473C495">
            <w:pPr>
              <w:rPr>
                <w:rFonts w:hint="eastAsia" w:ascii="宋体" w:hAnsi="宋体" w:eastAsia="宋体" w:cs="宋体"/>
                <w:color w:val="auto"/>
                <w:sz w:val="24"/>
                <w:highlight w:val="none"/>
              </w:rPr>
            </w:pPr>
          </w:p>
          <w:p w14:paraId="2EFD984F">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4D40010C">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tcPr>
          <w:p w14:paraId="69497FC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54FEB1B3">
            <w:pP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tcPr>
          <w:p w14:paraId="418A3ED7">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lang w:val="en-US" w:eastAsia="zh-CN"/>
              </w:rPr>
              <w:t>3</w:t>
            </w:r>
          </w:p>
        </w:tc>
        <w:tc>
          <w:tcPr>
            <w:tcW w:w="4991" w:type="dxa"/>
            <w:vAlign w:val="top"/>
          </w:tcPr>
          <w:p w14:paraId="0816E62A">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宋体" w:hAnsi="宋体" w:eastAsia="宋体" w:cs="宋体"/>
                <w:color w:val="auto"/>
                <w:sz w:val="24"/>
                <w:highlight w:val="none"/>
              </w:rPr>
            </w:pPr>
            <w:r>
              <w:rPr>
                <w:rFonts w:hint="eastAsia" w:ascii="宋体" w:hAnsi="宋体" w:eastAsia="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宋体" w:hAnsi="宋体" w:eastAsia="宋体" w:cs="宋体"/>
                <w:color w:val="auto"/>
                <w:highlight w:val="none"/>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4</w:t>
            </w:r>
          </w:p>
        </w:tc>
        <w:tc>
          <w:tcPr>
            <w:tcW w:w="4991" w:type="dxa"/>
            <w:vAlign w:val="top"/>
          </w:tcPr>
          <w:p w14:paraId="1BD3FA50">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eastAsia="宋体" w:cs="宋体"/>
                <w:b w:val="0"/>
                <w:bCs w:val="0"/>
                <w:color w:val="auto"/>
                <w:sz w:val="24"/>
                <w:highlight w:val="none"/>
                <w:lang w:val="en-US" w:eastAsia="zh-CN"/>
              </w:rPr>
            </w:pPr>
          </w:p>
        </w:tc>
        <w:tc>
          <w:tcPr>
            <w:tcW w:w="1418" w:type="dxa"/>
            <w:vAlign w:val="top"/>
          </w:tcPr>
          <w:p w14:paraId="05C42D45">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eastAsia="宋体" w:cs="宋体"/>
                <w:b w:val="0"/>
                <w:bCs w:val="0"/>
                <w:color w:val="auto"/>
                <w:sz w:val="24"/>
                <w:highlight w:val="none"/>
                <w:lang w:val="en-US" w:eastAsia="zh-CN"/>
              </w:rPr>
            </w:pPr>
            <w:r>
              <w:rPr>
                <w:rFonts w:hint="eastAsia" w:ascii="宋体" w:hAnsi="宋体" w:eastAsia="宋体" w:cs="宋体"/>
                <w:color w:val="auto"/>
                <w:kern w:val="0"/>
                <w:sz w:val="24"/>
                <w:highlight w:val="none"/>
              </w:rPr>
              <w:t>……</w:t>
            </w:r>
          </w:p>
        </w:tc>
        <w:tc>
          <w:tcPr>
            <w:tcW w:w="4991" w:type="dxa"/>
            <w:vAlign w:val="top"/>
          </w:tcPr>
          <w:p w14:paraId="1460D33A">
            <w:pPr>
              <w:spacing w:line="360" w:lineRule="auto"/>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w:t>
            </w:r>
            <w:r>
              <w:rPr>
                <w:rFonts w:hint="eastAsia" w:ascii="宋体" w:hAnsi="宋体" w:eastAsia="宋体" w:cs="宋体"/>
                <w:color w:val="auto"/>
                <w:kern w:val="0"/>
                <w:sz w:val="24"/>
                <w:highlight w:val="none"/>
              </w:rPr>
              <w:t>……</w:t>
            </w:r>
            <w:r>
              <w:rPr>
                <w:rFonts w:hint="eastAsia" w:ascii="宋体" w:hAnsi="宋体" w:eastAsia="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eastAsia="宋体" w:cs="宋体"/>
                <w:b w:val="0"/>
                <w:bCs w:val="0"/>
                <w:color w:val="auto"/>
                <w:sz w:val="24"/>
                <w:highlight w:val="none"/>
                <w:lang w:val="en-US" w:eastAsia="zh-CN"/>
              </w:rPr>
            </w:pPr>
          </w:p>
        </w:tc>
        <w:tc>
          <w:tcPr>
            <w:tcW w:w="1418" w:type="dxa"/>
            <w:vAlign w:val="top"/>
          </w:tcPr>
          <w:p w14:paraId="3228697A">
            <w:pPr>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bl>
    <w:p w14:paraId="71B70E0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hint="eastAsia" w:ascii="宋体" w:hAnsi="宋体" w:eastAsia="宋体" w:cs="宋体"/>
          <w:b/>
          <w:color w:val="auto"/>
          <w:kern w:val="0"/>
          <w:sz w:val="32"/>
          <w:szCs w:val="32"/>
          <w:highlight w:val="none"/>
        </w:rPr>
      </w:pPr>
    </w:p>
    <w:p w14:paraId="0C733880">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3F35CECA">
      <w:pPr>
        <w:jc w:val="center"/>
        <w:rPr>
          <w:rFonts w:hint="eastAsia" w:ascii="宋体" w:hAnsi="宋体" w:eastAsia="宋体" w:cs="宋体"/>
          <w:b/>
          <w:color w:val="auto"/>
          <w:kern w:val="0"/>
          <w:sz w:val="32"/>
          <w:szCs w:val="32"/>
          <w:highlight w:val="none"/>
        </w:rPr>
      </w:pPr>
    </w:p>
    <w:p w14:paraId="07766F4D">
      <w:pPr>
        <w:jc w:val="center"/>
        <w:rPr>
          <w:rFonts w:hint="eastAsia" w:ascii="宋体" w:hAnsi="宋体" w:eastAsia="宋体" w:cs="宋体"/>
          <w:b/>
          <w:color w:val="auto"/>
          <w:kern w:val="0"/>
          <w:sz w:val="32"/>
          <w:szCs w:val="32"/>
          <w:highlight w:val="none"/>
        </w:rPr>
      </w:pPr>
    </w:p>
    <w:p w14:paraId="3690FD43">
      <w:pPr>
        <w:jc w:val="center"/>
        <w:rPr>
          <w:rFonts w:hint="eastAsia" w:ascii="宋体" w:hAnsi="宋体" w:eastAsia="宋体" w:cs="宋体"/>
          <w:b/>
          <w:color w:val="auto"/>
          <w:kern w:val="0"/>
          <w:sz w:val="32"/>
          <w:szCs w:val="32"/>
          <w:highlight w:val="none"/>
        </w:rPr>
      </w:pPr>
    </w:p>
    <w:p w14:paraId="7F1941D4">
      <w:pPr>
        <w:jc w:val="center"/>
        <w:rPr>
          <w:rFonts w:hint="eastAsia" w:ascii="宋体" w:hAnsi="宋体" w:eastAsia="宋体" w:cs="宋体"/>
          <w:b/>
          <w:color w:val="auto"/>
          <w:kern w:val="0"/>
          <w:sz w:val="32"/>
          <w:szCs w:val="32"/>
          <w:highlight w:val="none"/>
        </w:rPr>
      </w:pPr>
    </w:p>
    <w:p w14:paraId="2F2DAB36">
      <w:pPr>
        <w:jc w:val="center"/>
        <w:rPr>
          <w:rFonts w:hint="eastAsia" w:ascii="宋体" w:hAnsi="宋体" w:eastAsia="宋体" w:cs="宋体"/>
          <w:b/>
          <w:color w:val="auto"/>
          <w:kern w:val="0"/>
          <w:sz w:val="32"/>
          <w:szCs w:val="32"/>
          <w:highlight w:val="none"/>
        </w:rPr>
      </w:pPr>
    </w:p>
    <w:p w14:paraId="3835C731">
      <w:pPr>
        <w:jc w:val="center"/>
        <w:rPr>
          <w:rFonts w:hint="eastAsia" w:ascii="宋体" w:hAnsi="宋体" w:eastAsia="宋体" w:cs="宋体"/>
          <w:b/>
          <w:color w:val="auto"/>
          <w:kern w:val="0"/>
          <w:sz w:val="32"/>
          <w:szCs w:val="32"/>
          <w:highlight w:val="none"/>
        </w:rPr>
      </w:pPr>
    </w:p>
    <w:p w14:paraId="7A8F4978">
      <w:pPr>
        <w:jc w:val="center"/>
        <w:rPr>
          <w:rFonts w:hint="eastAsia" w:ascii="宋体" w:hAnsi="宋体" w:eastAsia="宋体" w:cs="宋体"/>
          <w:b/>
          <w:color w:val="auto"/>
          <w:kern w:val="0"/>
          <w:sz w:val="32"/>
          <w:szCs w:val="32"/>
          <w:highlight w:val="none"/>
        </w:rPr>
      </w:pPr>
    </w:p>
    <w:p w14:paraId="3F2497ED">
      <w:pPr>
        <w:pStyle w:val="2"/>
        <w:rPr>
          <w:rFonts w:hint="eastAsia"/>
          <w:color w:val="auto"/>
        </w:rPr>
      </w:pPr>
    </w:p>
    <w:p w14:paraId="20BAE25D">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color w:val="auto"/>
                <w:kern w:val="0"/>
                <w:sz w:val="24"/>
                <w:highlight w:val="none"/>
              </w:rPr>
              <w:t>……</w:t>
            </w:r>
          </w:p>
        </w:tc>
        <w:tc>
          <w:tcPr>
            <w:tcW w:w="5465" w:type="dxa"/>
          </w:tcPr>
          <w:p w14:paraId="0E1A2FB7">
            <w:pPr>
              <w:snapToGrid w:val="0"/>
              <w:spacing w:line="360" w:lineRule="auto"/>
              <w:jc w:val="center"/>
              <w:rPr>
                <w:rFonts w:hint="eastAsia" w:ascii="宋体" w:hAnsi="宋体" w:eastAsia="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bl>
    <w:p w14:paraId="6B42D008">
      <w:pPr>
        <w:pStyle w:val="79"/>
        <w:rPr>
          <w:rFonts w:hint="eastAsia" w:ascii="宋体" w:hAnsi="宋体" w:eastAsia="宋体" w:cs="宋体"/>
          <w:color w:val="auto"/>
          <w:highlight w:val="none"/>
        </w:rPr>
      </w:pPr>
    </w:p>
    <w:p w14:paraId="00E0E54A">
      <w:pPr>
        <w:jc w:val="center"/>
        <w:rPr>
          <w:rFonts w:hint="eastAsia" w:ascii="宋体" w:hAnsi="宋体" w:eastAsia="宋体" w:cs="宋体"/>
          <w:b/>
          <w:color w:val="auto"/>
          <w:kern w:val="0"/>
          <w:sz w:val="32"/>
          <w:szCs w:val="32"/>
          <w:highlight w:val="none"/>
        </w:rPr>
      </w:pPr>
    </w:p>
    <w:p w14:paraId="11A9EEFB">
      <w:pPr>
        <w:jc w:val="center"/>
        <w:rPr>
          <w:rFonts w:hint="eastAsia" w:ascii="宋体" w:hAnsi="宋体" w:eastAsia="宋体" w:cs="宋体"/>
          <w:b/>
          <w:color w:val="auto"/>
          <w:kern w:val="0"/>
          <w:sz w:val="32"/>
          <w:szCs w:val="32"/>
          <w:highlight w:val="none"/>
        </w:rPr>
      </w:pPr>
    </w:p>
    <w:p w14:paraId="679698A4">
      <w:pPr>
        <w:jc w:val="center"/>
        <w:rPr>
          <w:rFonts w:hint="eastAsia" w:ascii="宋体" w:hAnsi="宋体" w:eastAsia="宋体" w:cs="宋体"/>
          <w:b/>
          <w:color w:val="auto"/>
          <w:kern w:val="0"/>
          <w:sz w:val="32"/>
          <w:szCs w:val="32"/>
          <w:highlight w:val="none"/>
        </w:rPr>
      </w:pPr>
    </w:p>
    <w:p w14:paraId="17612F2D">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hint="eastAsia" w:ascii="宋体" w:hAnsi="宋体" w:eastAsia="宋体" w:cs="宋体"/>
                <w:b/>
                <w:color w:val="auto"/>
                <w:sz w:val="24"/>
                <w:highlight w:val="none"/>
              </w:rPr>
            </w:pPr>
          </w:p>
          <w:p w14:paraId="02F51E5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宋体" w:hAnsi="宋体" w:eastAsia="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hint="eastAsia" w:ascii="宋体" w:hAnsi="宋体" w:eastAsia="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hint="eastAsia" w:ascii="宋体" w:hAnsi="宋体" w:eastAsia="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hint="eastAsia" w:ascii="宋体" w:hAnsi="宋体" w:eastAsia="宋体" w:cs="宋体"/>
                <w:color w:val="auto"/>
                <w:sz w:val="24"/>
                <w:highlight w:val="none"/>
              </w:rPr>
            </w:pPr>
          </w:p>
        </w:tc>
      </w:tr>
    </w:tbl>
    <w:p w14:paraId="3FAFDB6A">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33E4EF47">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column"/>
      </w:r>
      <w:r>
        <w:rPr>
          <w:rFonts w:hint="eastAsia" w:ascii="宋体" w:hAnsi="宋体" w:eastAsia="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180" w:type="dxa"/>
          </w:tcPr>
          <w:p w14:paraId="3B426346">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062" w:type="dxa"/>
          </w:tcPr>
          <w:p w14:paraId="0FA21463">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102" w:type="dxa"/>
          </w:tcPr>
          <w:p w14:paraId="6EABD2B7">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180" w:type="dxa"/>
          </w:tcPr>
          <w:p w14:paraId="6B6935F5">
            <w:pPr>
              <w:jc w:val="center"/>
              <w:rPr>
                <w:rFonts w:hint="eastAsia" w:ascii="宋体" w:hAnsi="宋体" w:eastAsia="宋体" w:cs="宋体"/>
                <w:b/>
                <w:color w:val="auto"/>
                <w:kern w:val="0"/>
                <w:sz w:val="32"/>
                <w:szCs w:val="32"/>
                <w:highlight w:val="none"/>
              </w:rPr>
            </w:pPr>
          </w:p>
        </w:tc>
        <w:tc>
          <w:tcPr>
            <w:tcW w:w="3062" w:type="dxa"/>
          </w:tcPr>
          <w:p w14:paraId="5FF76456">
            <w:pPr>
              <w:jc w:val="center"/>
              <w:rPr>
                <w:rFonts w:hint="eastAsia" w:ascii="宋体" w:hAnsi="宋体" w:eastAsia="宋体" w:cs="宋体"/>
                <w:b/>
                <w:color w:val="auto"/>
                <w:kern w:val="0"/>
                <w:sz w:val="32"/>
                <w:szCs w:val="32"/>
                <w:highlight w:val="none"/>
              </w:rPr>
            </w:pPr>
          </w:p>
        </w:tc>
        <w:tc>
          <w:tcPr>
            <w:tcW w:w="1102" w:type="dxa"/>
          </w:tcPr>
          <w:p w14:paraId="277CD6D7">
            <w:pPr>
              <w:jc w:val="center"/>
              <w:rPr>
                <w:rFonts w:hint="eastAsia" w:ascii="宋体" w:hAnsi="宋体" w:eastAsia="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180" w:type="dxa"/>
          </w:tcPr>
          <w:p w14:paraId="3D96D204">
            <w:pPr>
              <w:jc w:val="center"/>
              <w:rPr>
                <w:rFonts w:hint="eastAsia" w:ascii="宋体" w:hAnsi="宋体" w:eastAsia="宋体" w:cs="宋体"/>
                <w:b/>
                <w:color w:val="auto"/>
                <w:kern w:val="0"/>
                <w:sz w:val="32"/>
                <w:szCs w:val="32"/>
                <w:highlight w:val="none"/>
              </w:rPr>
            </w:pPr>
          </w:p>
        </w:tc>
        <w:tc>
          <w:tcPr>
            <w:tcW w:w="3062" w:type="dxa"/>
          </w:tcPr>
          <w:p w14:paraId="0A81AFEB">
            <w:pPr>
              <w:jc w:val="center"/>
              <w:rPr>
                <w:rFonts w:hint="eastAsia" w:ascii="宋体" w:hAnsi="宋体" w:eastAsia="宋体" w:cs="宋体"/>
                <w:b/>
                <w:color w:val="auto"/>
                <w:kern w:val="0"/>
                <w:sz w:val="32"/>
                <w:szCs w:val="32"/>
                <w:highlight w:val="none"/>
              </w:rPr>
            </w:pPr>
          </w:p>
        </w:tc>
        <w:tc>
          <w:tcPr>
            <w:tcW w:w="1102" w:type="dxa"/>
          </w:tcPr>
          <w:p w14:paraId="167149FF">
            <w:pPr>
              <w:jc w:val="center"/>
              <w:rPr>
                <w:rFonts w:hint="eastAsia" w:ascii="宋体" w:hAnsi="宋体" w:eastAsia="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180" w:type="dxa"/>
          </w:tcPr>
          <w:p w14:paraId="0A4801BD">
            <w:pPr>
              <w:jc w:val="center"/>
              <w:rPr>
                <w:rFonts w:hint="eastAsia" w:ascii="宋体" w:hAnsi="宋体" w:eastAsia="宋体" w:cs="宋体"/>
                <w:b/>
                <w:color w:val="auto"/>
                <w:kern w:val="0"/>
                <w:sz w:val="32"/>
                <w:szCs w:val="32"/>
                <w:highlight w:val="none"/>
              </w:rPr>
            </w:pPr>
          </w:p>
        </w:tc>
        <w:tc>
          <w:tcPr>
            <w:tcW w:w="3062" w:type="dxa"/>
          </w:tcPr>
          <w:p w14:paraId="25AE5A44">
            <w:pPr>
              <w:jc w:val="center"/>
              <w:rPr>
                <w:rFonts w:hint="eastAsia" w:ascii="宋体" w:hAnsi="宋体" w:eastAsia="宋体" w:cs="宋体"/>
                <w:b/>
                <w:color w:val="auto"/>
                <w:kern w:val="0"/>
                <w:sz w:val="32"/>
                <w:szCs w:val="32"/>
                <w:highlight w:val="none"/>
              </w:rPr>
            </w:pPr>
          </w:p>
        </w:tc>
        <w:tc>
          <w:tcPr>
            <w:tcW w:w="1102" w:type="dxa"/>
          </w:tcPr>
          <w:p w14:paraId="62B49A7F">
            <w:pPr>
              <w:jc w:val="center"/>
              <w:rPr>
                <w:rFonts w:hint="eastAsia" w:ascii="宋体" w:hAnsi="宋体" w:eastAsia="宋体" w:cs="宋体"/>
                <w:b/>
                <w:color w:val="auto"/>
                <w:kern w:val="0"/>
                <w:sz w:val="32"/>
                <w:szCs w:val="32"/>
                <w:highlight w:val="none"/>
              </w:rPr>
            </w:pPr>
          </w:p>
        </w:tc>
      </w:tr>
    </w:tbl>
    <w:p w14:paraId="64B7359B">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60B2AAAA">
      <w:pPr>
        <w:jc w:val="center"/>
        <w:rPr>
          <w:rFonts w:hint="eastAsia" w:ascii="宋体" w:hAnsi="宋体" w:eastAsia="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hint="eastAsia" w:ascii="宋体" w:hAnsi="宋体" w:eastAsia="宋体" w:cs="宋体"/>
          <w:b/>
          <w:bCs/>
          <w:color w:val="auto"/>
          <w:sz w:val="32"/>
          <w:szCs w:val="32"/>
          <w:highlight w:val="none"/>
        </w:rPr>
      </w:pPr>
    </w:p>
    <w:p w14:paraId="7042B3A7">
      <w:pPr>
        <w:ind w:firstLine="1911" w:firstLineChars="595"/>
        <w:rPr>
          <w:rFonts w:hint="eastAsia" w:ascii="宋体" w:hAnsi="宋体" w:eastAsia="宋体" w:cs="宋体"/>
          <w:b/>
          <w:bCs/>
          <w:color w:val="auto"/>
          <w:sz w:val="32"/>
          <w:szCs w:val="32"/>
          <w:highlight w:val="none"/>
        </w:rPr>
      </w:pPr>
    </w:p>
    <w:p w14:paraId="21094B72">
      <w:pPr>
        <w:ind w:firstLine="1911" w:firstLineChars="595"/>
        <w:rPr>
          <w:rFonts w:hint="eastAsia" w:ascii="宋体" w:hAnsi="宋体" w:eastAsia="宋体" w:cs="宋体"/>
          <w:b/>
          <w:bCs/>
          <w:color w:val="auto"/>
          <w:sz w:val="32"/>
          <w:szCs w:val="32"/>
          <w:highlight w:val="none"/>
        </w:rPr>
      </w:pPr>
    </w:p>
    <w:p w14:paraId="1B6858A7">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7EE6DE81">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2619FD1C">
      <w:pPr>
        <w:snapToGrid w:val="0"/>
        <w:spacing w:line="360" w:lineRule="auto"/>
        <w:rPr>
          <w:rFonts w:hint="eastAsia" w:ascii="宋体" w:hAnsi="宋体" w:eastAsia="宋体" w:cs="宋体"/>
          <w:color w:val="auto"/>
          <w:sz w:val="24"/>
          <w:highlight w:val="none"/>
        </w:rPr>
      </w:pPr>
    </w:p>
    <w:p w14:paraId="796BC50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6C9BAC21">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7B62DA4E">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39195F20">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0CBF0ED">
      <w:pPr>
        <w:autoSpaceDE w:val="0"/>
        <w:autoSpaceDN w:val="0"/>
        <w:spacing w:line="360" w:lineRule="auto"/>
        <w:ind w:left="2"/>
        <w:jc w:val="left"/>
        <w:rPr>
          <w:rFonts w:hint="eastAsia" w:ascii="宋体" w:hAnsi="宋体" w:eastAsia="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20166966">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45F93B45">
      <w:pPr>
        <w:spacing w:line="360" w:lineRule="auto"/>
        <w:jc w:val="center"/>
        <w:rPr>
          <w:rFonts w:hint="eastAsia" w:ascii="宋体" w:hAnsi="宋体" w:eastAsia="宋体" w:cs="宋体"/>
          <w:b/>
          <w:bCs/>
          <w:color w:val="auto"/>
          <w:sz w:val="24"/>
          <w:highlight w:val="none"/>
        </w:rPr>
      </w:pPr>
    </w:p>
    <w:p w14:paraId="05C77EC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2398098">
      <w:pPr>
        <w:spacing w:line="360" w:lineRule="auto"/>
        <w:jc w:val="center"/>
        <w:rPr>
          <w:rFonts w:hint="eastAsia" w:ascii="宋体" w:hAnsi="宋体" w:eastAsia="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160063E8">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02FAB4E6">
      <w:pPr>
        <w:spacing w:line="360" w:lineRule="auto"/>
        <w:jc w:val="center"/>
        <w:outlineLvl w:val="0"/>
        <w:rPr>
          <w:rFonts w:hint="eastAsia" w:ascii="宋体" w:hAnsi="宋体" w:eastAsia="宋体" w:cs="宋体"/>
          <w:b/>
          <w:color w:val="auto"/>
          <w:kern w:val="0"/>
          <w:sz w:val="36"/>
          <w:szCs w:val="36"/>
          <w:highlight w:val="none"/>
        </w:rPr>
      </w:pPr>
    </w:p>
    <w:p w14:paraId="48200F11">
      <w:pPr>
        <w:numPr>
          <w:ilvl w:val="0"/>
          <w:numId w:val="1"/>
        </w:num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开标一览表（报价表）………………………………………………………（页码）</w:t>
      </w:r>
    </w:p>
    <w:p w14:paraId="7AB07CC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）中小企业声明函………………………………………………………………（页码）</w:t>
      </w:r>
    </w:p>
    <w:p w14:paraId="4374C50A">
      <w:pPr>
        <w:pStyle w:val="80"/>
        <w:rPr>
          <w:rFonts w:hint="eastAsia" w:ascii="宋体" w:hAnsi="宋体" w:eastAsia="宋体" w:cs="宋体"/>
          <w:color w:val="auto"/>
          <w:highlight w:val="none"/>
        </w:rPr>
      </w:pPr>
    </w:p>
    <w:p w14:paraId="4DA9F2CD">
      <w:pPr>
        <w:pStyle w:val="80"/>
        <w:rPr>
          <w:rFonts w:hint="eastAsia" w:ascii="宋体" w:hAnsi="宋体" w:eastAsia="宋体" w:cs="宋体"/>
          <w:color w:val="auto"/>
          <w:highlight w:val="none"/>
        </w:rPr>
      </w:pPr>
    </w:p>
    <w:p w14:paraId="0FBB4570">
      <w:pPr>
        <w:snapToGrid w:val="0"/>
        <w:spacing w:line="360" w:lineRule="auto"/>
        <w:ind w:right="480"/>
        <w:jc w:val="center"/>
        <w:rPr>
          <w:rFonts w:hint="eastAsia" w:ascii="宋体" w:hAnsi="宋体" w:eastAsia="宋体" w:cs="宋体"/>
          <w:b/>
          <w:color w:val="auto"/>
          <w:kern w:val="0"/>
          <w:sz w:val="32"/>
          <w:szCs w:val="32"/>
          <w:highlight w:val="none"/>
        </w:rPr>
      </w:pPr>
    </w:p>
    <w:p w14:paraId="5AFFDCF3">
      <w:pPr>
        <w:snapToGrid w:val="0"/>
        <w:spacing w:line="360" w:lineRule="auto"/>
        <w:ind w:right="480"/>
        <w:jc w:val="center"/>
        <w:rPr>
          <w:rFonts w:hint="eastAsia" w:ascii="宋体" w:hAnsi="宋体" w:eastAsia="宋体" w:cs="宋体"/>
          <w:b/>
          <w:color w:val="auto"/>
          <w:kern w:val="0"/>
          <w:sz w:val="32"/>
          <w:szCs w:val="32"/>
          <w:highlight w:val="none"/>
        </w:rPr>
      </w:pPr>
    </w:p>
    <w:p w14:paraId="10A7AAE1">
      <w:pPr>
        <w:snapToGrid w:val="0"/>
        <w:spacing w:line="360" w:lineRule="auto"/>
        <w:ind w:right="480"/>
        <w:jc w:val="center"/>
        <w:rPr>
          <w:rFonts w:hint="eastAsia" w:ascii="宋体" w:hAnsi="宋体" w:eastAsia="宋体" w:cs="宋体"/>
          <w:b/>
          <w:color w:val="auto"/>
          <w:kern w:val="0"/>
          <w:sz w:val="32"/>
          <w:szCs w:val="32"/>
          <w:highlight w:val="none"/>
        </w:rPr>
      </w:pPr>
    </w:p>
    <w:p w14:paraId="3FB0E389">
      <w:pPr>
        <w:snapToGrid w:val="0"/>
        <w:spacing w:line="360" w:lineRule="auto"/>
        <w:ind w:right="480"/>
        <w:jc w:val="center"/>
        <w:rPr>
          <w:rFonts w:hint="eastAsia" w:ascii="宋体" w:hAnsi="宋体" w:eastAsia="宋体" w:cs="宋体"/>
          <w:b/>
          <w:color w:val="auto"/>
          <w:kern w:val="0"/>
          <w:sz w:val="32"/>
          <w:szCs w:val="32"/>
          <w:highlight w:val="none"/>
        </w:rPr>
      </w:pPr>
    </w:p>
    <w:p w14:paraId="115027FA">
      <w:pPr>
        <w:snapToGrid w:val="0"/>
        <w:spacing w:line="360" w:lineRule="auto"/>
        <w:ind w:right="480"/>
        <w:jc w:val="center"/>
        <w:rPr>
          <w:rFonts w:hint="eastAsia" w:ascii="宋体" w:hAnsi="宋体" w:eastAsia="宋体" w:cs="宋体"/>
          <w:b/>
          <w:color w:val="auto"/>
          <w:kern w:val="0"/>
          <w:sz w:val="32"/>
          <w:szCs w:val="32"/>
          <w:highlight w:val="none"/>
        </w:rPr>
      </w:pPr>
    </w:p>
    <w:p w14:paraId="337961BC">
      <w:pPr>
        <w:snapToGrid w:val="0"/>
        <w:spacing w:line="360" w:lineRule="auto"/>
        <w:ind w:right="480"/>
        <w:jc w:val="center"/>
        <w:rPr>
          <w:rFonts w:hint="eastAsia" w:ascii="宋体" w:hAnsi="宋体" w:eastAsia="宋体" w:cs="宋体"/>
          <w:b/>
          <w:color w:val="auto"/>
          <w:kern w:val="0"/>
          <w:sz w:val="32"/>
          <w:szCs w:val="32"/>
          <w:highlight w:val="none"/>
        </w:rPr>
      </w:pPr>
    </w:p>
    <w:p w14:paraId="7141EA06">
      <w:pPr>
        <w:snapToGrid w:val="0"/>
        <w:spacing w:line="360" w:lineRule="auto"/>
        <w:ind w:right="480"/>
        <w:jc w:val="center"/>
        <w:rPr>
          <w:rFonts w:hint="eastAsia" w:ascii="宋体" w:hAnsi="宋体" w:eastAsia="宋体" w:cs="宋体"/>
          <w:b/>
          <w:color w:val="auto"/>
          <w:kern w:val="0"/>
          <w:sz w:val="32"/>
          <w:szCs w:val="32"/>
          <w:highlight w:val="none"/>
        </w:rPr>
      </w:pPr>
    </w:p>
    <w:p w14:paraId="66E8FD50">
      <w:pPr>
        <w:snapToGrid w:val="0"/>
        <w:spacing w:line="360" w:lineRule="auto"/>
        <w:ind w:right="480"/>
        <w:jc w:val="center"/>
        <w:rPr>
          <w:rFonts w:hint="eastAsia" w:ascii="宋体" w:hAnsi="宋体" w:eastAsia="宋体" w:cs="宋体"/>
          <w:b/>
          <w:color w:val="auto"/>
          <w:kern w:val="0"/>
          <w:sz w:val="32"/>
          <w:szCs w:val="32"/>
          <w:highlight w:val="none"/>
        </w:rPr>
      </w:pPr>
    </w:p>
    <w:p w14:paraId="50F160CE">
      <w:pPr>
        <w:snapToGrid w:val="0"/>
        <w:spacing w:line="360" w:lineRule="auto"/>
        <w:ind w:right="480"/>
        <w:jc w:val="center"/>
        <w:rPr>
          <w:rFonts w:hint="eastAsia" w:ascii="宋体" w:hAnsi="宋体" w:eastAsia="宋体" w:cs="宋体"/>
          <w:b/>
          <w:color w:val="auto"/>
          <w:kern w:val="0"/>
          <w:sz w:val="32"/>
          <w:szCs w:val="32"/>
          <w:highlight w:val="none"/>
        </w:rPr>
      </w:pPr>
    </w:p>
    <w:p w14:paraId="4A58B3F0">
      <w:pPr>
        <w:snapToGrid w:val="0"/>
        <w:spacing w:line="360" w:lineRule="auto"/>
        <w:ind w:right="480"/>
        <w:jc w:val="center"/>
        <w:rPr>
          <w:rFonts w:hint="eastAsia" w:ascii="宋体" w:hAnsi="宋体" w:eastAsia="宋体" w:cs="宋体"/>
          <w:b/>
          <w:color w:val="auto"/>
          <w:kern w:val="0"/>
          <w:sz w:val="32"/>
          <w:szCs w:val="32"/>
          <w:highlight w:val="none"/>
        </w:rPr>
      </w:pPr>
    </w:p>
    <w:p w14:paraId="4E57D7EE">
      <w:pPr>
        <w:snapToGrid w:val="0"/>
        <w:spacing w:line="360" w:lineRule="auto"/>
        <w:ind w:right="480"/>
        <w:jc w:val="center"/>
        <w:rPr>
          <w:rFonts w:hint="eastAsia" w:ascii="宋体" w:hAnsi="宋体" w:eastAsia="宋体" w:cs="宋体"/>
          <w:b/>
          <w:color w:val="auto"/>
          <w:kern w:val="0"/>
          <w:sz w:val="32"/>
          <w:szCs w:val="32"/>
          <w:highlight w:val="none"/>
        </w:rPr>
      </w:pPr>
    </w:p>
    <w:p w14:paraId="5FBC9E6B">
      <w:pPr>
        <w:snapToGrid w:val="0"/>
        <w:spacing w:line="360" w:lineRule="auto"/>
        <w:ind w:right="480"/>
        <w:jc w:val="center"/>
        <w:rPr>
          <w:rFonts w:hint="eastAsia" w:ascii="宋体" w:hAnsi="宋体" w:eastAsia="宋体" w:cs="宋体"/>
          <w:b/>
          <w:color w:val="auto"/>
          <w:kern w:val="0"/>
          <w:sz w:val="32"/>
          <w:szCs w:val="32"/>
          <w:highlight w:val="none"/>
        </w:rPr>
      </w:pPr>
    </w:p>
    <w:p w14:paraId="7F821D76">
      <w:pPr>
        <w:snapToGrid w:val="0"/>
        <w:spacing w:line="360" w:lineRule="auto"/>
        <w:ind w:right="480"/>
        <w:jc w:val="center"/>
        <w:rPr>
          <w:rFonts w:hint="eastAsia" w:ascii="宋体" w:hAnsi="宋体" w:eastAsia="宋体" w:cs="宋体"/>
          <w:b/>
          <w:color w:val="auto"/>
          <w:kern w:val="0"/>
          <w:sz w:val="32"/>
          <w:szCs w:val="32"/>
          <w:highlight w:val="none"/>
        </w:rPr>
      </w:pPr>
    </w:p>
    <w:p w14:paraId="242935C1">
      <w:pPr>
        <w:snapToGrid w:val="0"/>
        <w:spacing w:line="360" w:lineRule="auto"/>
        <w:ind w:right="480"/>
        <w:jc w:val="center"/>
        <w:rPr>
          <w:rFonts w:hint="eastAsia" w:ascii="宋体" w:hAnsi="宋体" w:eastAsia="宋体" w:cs="宋体"/>
          <w:b/>
          <w:color w:val="auto"/>
          <w:kern w:val="0"/>
          <w:sz w:val="32"/>
          <w:szCs w:val="32"/>
          <w:highlight w:val="none"/>
        </w:rPr>
      </w:pPr>
    </w:p>
    <w:p w14:paraId="09307FF9">
      <w:pPr>
        <w:snapToGrid w:val="0"/>
        <w:spacing w:line="360" w:lineRule="auto"/>
        <w:ind w:right="480"/>
        <w:jc w:val="center"/>
        <w:rPr>
          <w:rFonts w:hint="eastAsia" w:ascii="宋体" w:hAnsi="宋体" w:eastAsia="宋体" w:cs="宋体"/>
          <w:b/>
          <w:color w:val="auto"/>
          <w:kern w:val="0"/>
          <w:sz w:val="32"/>
          <w:szCs w:val="32"/>
          <w:highlight w:val="none"/>
        </w:rPr>
      </w:pPr>
    </w:p>
    <w:p w14:paraId="76C55F35">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430172B6">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（项目名称）</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（采购编号）】的实施</w:t>
      </w:r>
      <w:r>
        <w:rPr>
          <w:rFonts w:hint="eastAsia" w:ascii="宋体" w:hAnsi="宋体" w:eastAsia="宋体" w:cs="宋体"/>
          <w:color w:val="auto"/>
          <w:kern w:val="0"/>
          <w:sz w:val="24"/>
          <w:highlight w:val="none"/>
          <w:lang w:val="zh-CN"/>
        </w:rPr>
        <w:t>。</w:t>
      </w:r>
    </w:p>
    <w:p w14:paraId="12B5C6DC">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992" w:type="dxa"/>
            <w:vAlign w:val="center"/>
          </w:tcPr>
          <w:p w14:paraId="1F4FA1BE">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68" w:type="dxa"/>
          </w:tcPr>
          <w:p w14:paraId="72C1B10E">
            <w:pPr>
              <w:spacing w:line="360" w:lineRule="auto"/>
              <w:jc w:val="center"/>
              <w:rPr>
                <w:rFonts w:hint="eastAsia" w:ascii="宋体" w:hAnsi="宋体" w:eastAsia="宋体" w:cs="宋体"/>
                <w:b/>
                <w:color w:val="auto"/>
                <w:sz w:val="24"/>
                <w:highlight w:val="none"/>
              </w:rPr>
            </w:pPr>
          </w:p>
          <w:p w14:paraId="38848F9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2410" w:type="dxa"/>
            <w:vAlign w:val="center"/>
          </w:tcPr>
          <w:p w14:paraId="7653DDE9">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268" w:type="dxa"/>
            <w:vAlign w:val="center"/>
          </w:tcPr>
          <w:p w14:paraId="15B12DF6">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2126" w:type="dxa"/>
            <w:vAlign w:val="center"/>
          </w:tcPr>
          <w:p w14:paraId="41336C83">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2127" w:type="dxa"/>
          </w:tcPr>
          <w:p w14:paraId="6EDFF947">
            <w:pPr>
              <w:spacing w:line="360" w:lineRule="auto"/>
              <w:jc w:val="center"/>
              <w:rPr>
                <w:rFonts w:hint="eastAsia" w:ascii="宋体" w:hAnsi="宋体" w:eastAsia="宋体" w:cs="宋体"/>
                <w:b/>
                <w:color w:val="auto"/>
                <w:sz w:val="24"/>
                <w:highlight w:val="none"/>
              </w:rPr>
            </w:pPr>
          </w:p>
          <w:p w14:paraId="5722E16A">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服务人数</w:t>
            </w:r>
          </w:p>
        </w:tc>
        <w:tc>
          <w:tcPr>
            <w:tcW w:w="2126" w:type="dxa"/>
            <w:vAlign w:val="center"/>
          </w:tcPr>
          <w:p w14:paraId="5309C7D3">
            <w:pPr>
              <w:spacing w:line="360" w:lineRule="auto"/>
              <w:jc w:val="center"/>
              <w:rPr>
                <w:rFonts w:hint="eastAsia" w:ascii="宋体" w:hAnsi="宋体" w:eastAsia="宋体" w:cs="宋体"/>
                <w:b/>
                <w:color w:val="auto"/>
                <w:sz w:val="24"/>
                <w:highlight w:val="none"/>
              </w:rPr>
            </w:pPr>
          </w:p>
          <w:p w14:paraId="285DC68C">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3A3951D7">
            <w:pPr>
              <w:spacing w:line="360" w:lineRule="auto"/>
              <w:jc w:val="center"/>
              <w:rPr>
                <w:rFonts w:hint="eastAsia" w:ascii="宋体" w:hAnsi="宋体" w:eastAsia="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992" w:type="dxa"/>
            <w:vAlign w:val="center"/>
          </w:tcPr>
          <w:p w14:paraId="5929EBA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7E6B6B80">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49011045">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07DD5525">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60BB9C9F">
            <w:pPr>
              <w:spacing w:line="360" w:lineRule="auto"/>
              <w:jc w:val="center"/>
              <w:rPr>
                <w:rFonts w:hint="eastAsia" w:ascii="宋体" w:hAnsi="宋体" w:eastAsia="宋体" w:cs="宋体"/>
                <w:color w:val="auto"/>
                <w:sz w:val="24"/>
                <w:highlight w:val="none"/>
              </w:rPr>
            </w:pPr>
          </w:p>
        </w:tc>
        <w:tc>
          <w:tcPr>
            <w:tcW w:w="2127" w:type="dxa"/>
          </w:tcPr>
          <w:p w14:paraId="30C10E6C">
            <w:pPr>
              <w:spacing w:line="360" w:lineRule="auto"/>
              <w:jc w:val="center"/>
              <w:rPr>
                <w:rFonts w:hint="eastAsia" w:ascii="宋体" w:hAnsi="宋体" w:eastAsia="宋体" w:cs="宋体"/>
                <w:color w:val="auto"/>
                <w:sz w:val="24"/>
                <w:highlight w:val="none"/>
              </w:rPr>
            </w:pPr>
          </w:p>
        </w:tc>
        <w:tc>
          <w:tcPr>
            <w:tcW w:w="2126" w:type="dxa"/>
            <w:vAlign w:val="center"/>
          </w:tcPr>
          <w:p w14:paraId="09E11B5D">
            <w:pPr>
              <w:spacing w:line="360" w:lineRule="auto"/>
              <w:jc w:val="center"/>
              <w:rPr>
                <w:rFonts w:hint="eastAsia" w:ascii="宋体" w:hAnsi="宋体" w:eastAsia="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992" w:type="dxa"/>
            <w:vAlign w:val="center"/>
          </w:tcPr>
          <w:p w14:paraId="15316B9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14:paraId="76DA92F8">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7715326D">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29502B17">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645CF258">
            <w:pPr>
              <w:spacing w:line="360" w:lineRule="auto"/>
              <w:jc w:val="center"/>
              <w:rPr>
                <w:rFonts w:hint="eastAsia" w:ascii="宋体" w:hAnsi="宋体" w:eastAsia="宋体" w:cs="宋体"/>
                <w:color w:val="auto"/>
                <w:sz w:val="24"/>
                <w:highlight w:val="none"/>
              </w:rPr>
            </w:pPr>
          </w:p>
        </w:tc>
        <w:tc>
          <w:tcPr>
            <w:tcW w:w="2127" w:type="dxa"/>
          </w:tcPr>
          <w:p w14:paraId="48B749E5">
            <w:pPr>
              <w:spacing w:line="360" w:lineRule="auto"/>
              <w:jc w:val="center"/>
              <w:rPr>
                <w:rFonts w:hint="eastAsia" w:ascii="宋体" w:hAnsi="宋体" w:eastAsia="宋体" w:cs="宋体"/>
                <w:color w:val="auto"/>
                <w:sz w:val="24"/>
                <w:highlight w:val="none"/>
              </w:rPr>
            </w:pPr>
          </w:p>
        </w:tc>
        <w:tc>
          <w:tcPr>
            <w:tcW w:w="2126" w:type="dxa"/>
            <w:vAlign w:val="center"/>
          </w:tcPr>
          <w:p w14:paraId="305D7009">
            <w:pPr>
              <w:spacing w:line="360" w:lineRule="auto"/>
              <w:jc w:val="center"/>
              <w:rPr>
                <w:rFonts w:hint="eastAsia" w:ascii="宋体" w:hAnsi="宋体" w:eastAsia="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992" w:type="dxa"/>
            <w:vAlign w:val="center"/>
          </w:tcPr>
          <w:p w14:paraId="5DE29410">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4A4855F7">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5F6A4004">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091382D4">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468CB7AF">
            <w:pPr>
              <w:spacing w:line="360" w:lineRule="auto"/>
              <w:jc w:val="center"/>
              <w:rPr>
                <w:rFonts w:hint="eastAsia" w:ascii="宋体" w:hAnsi="宋体" w:eastAsia="宋体" w:cs="宋体"/>
                <w:color w:val="auto"/>
                <w:sz w:val="24"/>
                <w:highlight w:val="none"/>
              </w:rPr>
            </w:pPr>
          </w:p>
        </w:tc>
        <w:tc>
          <w:tcPr>
            <w:tcW w:w="2127" w:type="dxa"/>
          </w:tcPr>
          <w:p w14:paraId="6FD9540F">
            <w:pPr>
              <w:spacing w:line="360" w:lineRule="auto"/>
              <w:jc w:val="center"/>
              <w:rPr>
                <w:rFonts w:hint="eastAsia" w:ascii="宋体" w:hAnsi="宋体" w:eastAsia="宋体" w:cs="宋体"/>
                <w:color w:val="auto"/>
                <w:sz w:val="24"/>
                <w:highlight w:val="none"/>
              </w:rPr>
            </w:pPr>
          </w:p>
        </w:tc>
        <w:tc>
          <w:tcPr>
            <w:tcW w:w="2126" w:type="dxa"/>
            <w:vAlign w:val="center"/>
          </w:tcPr>
          <w:p w14:paraId="04869F17">
            <w:pPr>
              <w:spacing w:line="360" w:lineRule="auto"/>
              <w:jc w:val="center"/>
              <w:rPr>
                <w:rFonts w:hint="eastAsia" w:ascii="宋体" w:hAnsi="宋体" w:eastAsia="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hint="eastAsia" w:ascii="宋体" w:hAnsi="宋体" w:eastAsia="宋体" w:cs="宋体"/>
                <w:color w:val="auto"/>
                <w:sz w:val="24"/>
                <w:highlight w:val="none"/>
              </w:rPr>
            </w:pPr>
          </w:p>
        </w:tc>
        <w:tc>
          <w:tcPr>
            <w:tcW w:w="992" w:type="dxa"/>
            <w:vAlign w:val="center"/>
          </w:tcPr>
          <w:p w14:paraId="2D6CCF36">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22BB5A5A">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1C20810C">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311DCC2B">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590FDDBE">
            <w:pPr>
              <w:spacing w:line="360" w:lineRule="auto"/>
              <w:jc w:val="center"/>
              <w:rPr>
                <w:rFonts w:hint="eastAsia" w:ascii="宋体" w:hAnsi="宋体" w:eastAsia="宋体" w:cs="宋体"/>
                <w:color w:val="auto"/>
                <w:sz w:val="24"/>
                <w:highlight w:val="none"/>
              </w:rPr>
            </w:pPr>
          </w:p>
        </w:tc>
        <w:tc>
          <w:tcPr>
            <w:tcW w:w="2127" w:type="dxa"/>
          </w:tcPr>
          <w:p w14:paraId="39E087B2">
            <w:pPr>
              <w:spacing w:line="360" w:lineRule="auto"/>
              <w:jc w:val="center"/>
              <w:rPr>
                <w:rFonts w:hint="eastAsia" w:ascii="宋体" w:hAnsi="宋体" w:eastAsia="宋体" w:cs="宋体"/>
                <w:color w:val="auto"/>
                <w:sz w:val="24"/>
                <w:highlight w:val="none"/>
              </w:rPr>
            </w:pPr>
          </w:p>
        </w:tc>
        <w:tc>
          <w:tcPr>
            <w:tcW w:w="2126" w:type="dxa"/>
            <w:vAlign w:val="center"/>
          </w:tcPr>
          <w:p w14:paraId="242DF449">
            <w:pPr>
              <w:spacing w:line="360" w:lineRule="auto"/>
              <w:jc w:val="center"/>
              <w:rPr>
                <w:rFonts w:hint="eastAsia" w:ascii="宋体" w:hAnsi="宋体" w:eastAsia="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hint="eastAsia" w:ascii="宋体" w:hAnsi="宋体" w:eastAsia="宋体" w:cs="宋体"/>
                <w:color w:val="auto"/>
                <w:sz w:val="24"/>
                <w:highlight w:val="none"/>
              </w:rPr>
            </w:pPr>
          </w:p>
        </w:tc>
        <w:tc>
          <w:tcPr>
            <w:tcW w:w="992" w:type="dxa"/>
            <w:vAlign w:val="center"/>
          </w:tcPr>
          <w:p w14:paraId="57BF3FD0">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2572B551">
            <w:pPr>
              <w:snapToGrid w:val="0"/>
              <w:spacing w:line="360" w:lineRule="auto"/>
              <w:jc w:val="center"/>
              <w:rPr>
                <w:rFonts w:hint="eastAsia" w:ascii="宋体" w:hAnsi="宋体" w:eastAsia="宋体" w:cs="宋体"/>
                <w:color w:val="auto"/>
                <w:sz w:val="24"/>
                <w:highlight w:val="none"/>
              </w:rPr>
            </w:pPr>
          </w:p>
        </w:tc>
        <w:tc>
          <w:tcPr>
            <w:tcW w:w="2410" w:type="dxa"/>
            <w:vAlign w:val="center"/>
          </w:tcPr>
          <w:p w14:paraId="41F25B34">
            <w:pPr>
              <w:snapToGrid w:val="0"/>
              <w:spacing w:line="360" w:lineRule="auto"/>
              <w:jc w:val="center"/>
              <w:rPr>
                <w:rFonts w:hint="eastAsia" w:ascii="宋体" w:hAnsi="宋体" w:eastAsia="宋体" w:cs="宋体"/>
                <w:color w:val="auto"/>
                <w:sz w:val="24"/>
                <w:highlight w:val="none"/>
              </w:rPr>
            </w:pPr>
          </w:p>
        </w:tc>
        <w:tc>
          <w:tcPr>
            <w:tcW w:w="2268" w:type="dxa"/>
            <w:vAlign w:val="center"/>
          </w:tcPr>
          <w:p w14:paraId="726E5372">
            <w:pPr>
              <w:snapToGrid w:val="0"/>
              <w:spacing w:line="360" w:lineRule="auto"/>
              <w:jc w:val="center"/>
              <w:rPr>
                <w:rFonts w:hint="eastAsia" w:ascii="宋体" w:hAnsi="宋体" w:eastAsia="宋体" w:cs="宋体"/>
                <w:color w:val="auto"/>
                <w:sz w:val="24"/>
                <w:highlight w:val="none"/>
              </w:rPr>
            </w:pPr>
          </w:p>
        </w:tc>
        <w:tc>
          <w:tcPr>
            <w:tcW w:w="2126" w:type="dxa"/>
            <w:vAlign w:val="center"/>
          </w:tcPr>
          <w:p w14:paraId="5A4F857D">
            <w:pPr>
              <w:spacing w:line="360" w:lineRule="auto"/>
              <w:jc w:val="center"/>
              <w:rPr>
                <w:rFonts w:hint="eastAsia" w:ascii="宋体" w:hAnsi="宋体" w:eastAsia="宋体" w:cs="宋体"/>
                <w:color w:val="auto"/>
                <w:sz w:val="24"/>
                <w:highlight w:val="none"/>
              </w:rPr>
            </w:pPr>
          </w:p>
        </w:tc>
        <w:tc>
          <w:tcPr>
            <w:tcW w:w="2127" w:type="dxa"/>
          </w:tcPr>
          <w:p w14:paraId="21BB073B">
            <w:pPr>
              <w:spacing w:line="360" w:lineRule="auto"/>
              <w:jc w:val="center"/>
              <w:rPr>
                <w:rFonts w:hint="eastAsia" w:ascii="宋体" w:hAnsi="宋体" w:eastAsia="宋体" w:cs="宋体"/>
                <w:color w:val="auto"/>
                <w:sz w:val="24"/>
                <w:highlight w:val="none"/>
              </w:rPr>
            </w:pPr>
          </w:p>
        </w:tc>
        <w:tc>
          <w:tcPr>
            <w:tcW w:w="2126" w:type="dxa"/>
            <w:vAlign w:val="center"/>
          </w:tcPr>
          <w:p w14:paraId="7FD2B377">
            <w:pPr>
              <w:spacing w:line="360" w:lineRule="auto"/>
              <w:jc w:val="center"/>
              <w:rPr>
                <w:rFonts w:hint="eastAsia" w:ascii="宋体" w:hAnsi="宋体" w:eastAsia="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8647" w:type="dxa"/>
            <w:gridSpan w:val="4"/>
          </w:tcPr>
          <w:p w14:paraId="66139AFA">
            <w:pPr>
              <w:spacing w:line="360" w:lineRule="auto"/>
              <w:jc w:val="center"/>
              <w:rPr>
                <w:rFonts w:hint="eastAsia" w:ascii="宋体" w:hAnsi="宋体" w:eastAsia="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8647" w:type="dxa"/>
            <w:gridSpan w:val="4"/>
          </w:tcPr>
          <w:p w14:paraId="7FBC35C1">
            <w:pPr>
              <w:spacing w:line="360" w:lineRule="auto"/>
              <w:jc w:val="center"/>
              <w:rPr>
                <w:rFonts w:hint="eastAsia" w:ascii="宋体" w:hAnsi="宋体" w:eastAsia="宋体" w:cs="宋体"/>
                <w:color w:val="auto"/>
                <w:sz w:val="24"/>
                <w:highlight w:val="none"/>
              </w:rPr>
            </w:pPr>
          </w:p>
        </w:tc>
      </w:tr>
    </w:tbl>
    <w:p w14:paraId="6805EFDA">
      <w:pPr>
        <w:snapToGrid w:val="0"/>
        <w:spacing w:line="360"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2605B0E4">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b/>
          <w:color w:val="auto"/>
          <w:kern w:val="0"/>
          <w:sz w:val="24"/>
          <w:highlight w:val="none"/>
          <w:lang w:val="zh-CN"/>
        </w:rPr>
        <w:t>；</w:t>
      </w:r>
      <w:r>
        <w:rPr>
          <w:rFonts w:hint="eastAsia" w:ascii="宋体" w:hAnsi="宋体" w:eastAsia="宋体" w:cs="宋体"/>
          <w:color w:val="auto"/>
          <w:kern w:val="0"/>
          <w:sz w:val="24"/>
          <w:highlight w:val="none"/>
          <w:lang w:val="zh-CN"/>
        </w:rPr>
        <w:t>。</w:t>
      </w:r>
    </w:p>
    <w:p w14:paraId="7F9435CE">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785375F7">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EB77924">
      <w:pPr>
        <w:pStyle w:val="80"/>
        <w:rPr>
          <w:rFonts w:hint="eastAsia" w:ascii="宋体" w:hAnsi="宋体" w:eastAsia="宋体" w:cs="宋体"/>
          <w:b/>
          <w:color w:val="auto"/>
          <w:sz w:val="24"/>
          <w:highlight w:val="none"/>
        </w:rPr>
      </w:pPr>
    </w:p>
    <w:p w14:paraId="1AA2EA6C">
      <w:pPr>
        <w:pStyle w:val="80"/>
        <w:rPr>
          <w:rFonts w:hint="eastAsia" w:ascii="宋体" w:hAnsi="宋体" w:eastAsia="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14:paraId="33D4F674">
      <w:pPr>
        <w:spacing w:line="360" w:lineRule="auto"/>
        <w:ind w:right="420" w:firstLine="3614" w:firstLineChars="1000"/>
        <w:rPr>
          <w:rFonts w:hint="eastAsia" w:ascii="宋体" w:hAnsi="宋体" w:eastAsia="宋体" w:cs="宋体"/>
          <w:b/>
          <w:color w:val="auto"/>
          <w:kern w:val="0"/>
          <w:sz w:val="36"/>
          <w:szCs w:val="36"/>
          <w:highlight w:val="none"/>
        </w:rPr>
      </w:pPr>
    </w:p>
    <w:p w14:paraId="6BAC30FB">
      <w:pPr>
        <w:spacing w:line="360" w:lineRule="auto"/>
        <w:ind w:right="420" w:firstLine="3614" w:firstLineChars="1000"/>
        <w:rPr>
          <w:rFonts w:hint="eastAsia" w:ascii="宋体" w:hAnsi="宋体" w:eastAsia="宋体" w:cs="宋体"/>
          <w:b/>
          <w:color w:val="auto"/>
          <w:kern w:val="0"/>
          <w:sz w:val="36"/>
          <w:szCs w:val="36"/>
          <w:highlight w:val="none"/>
        </w:rPr>
      </w:pPr>
    </w:p>
    <w:p w14:paraId="43FD64A7">
      <w:pPr>
        <w:spacing w:line="360" w:lineRule="auto"/>
        <w:ind w:right="420" w:firstLine="3614" w:firstLineChars="1000"/>
        <w:rPr>
          <w:rFonts w:hint="eastAsia" w:ascii="宋体" w:hAnsi="宋体" w:eastAsia="宋体" w:cs="宋体"/>
          <w:b/>
          <w:color w:val="auto"/>
          <w:kern w:val="0"/>
          <w:sz w:val="36"/>
          <w:szCs w:val="36"/>
          <w:highlight w:val="none"/>
        </w:rPr>
      </w:pPr>
    </w:p>
    <w:p w14:paraId="461772AE">
      <w:pPr>
        <w:spacing w:line="360" w:lineRule="auto"/>
        <w:ind w:right="420" w:firstLine="3614" w:firstLineChars="1000"/>
        <w:rPr>
          <w:rFonts w:hint="eastAsia" w:ascii="宋体" w:hAnsi="宋体" w:eastAsia="宋体" w:cs="宋体"/>
          <w:b/>
          <w:color w:val="auto"/>
          <w:kern w:val="0"/>
          <w:sz w:val="36"/>
          <w:szCs w:val="36"/>
          <w:highlight w:val="none"/>
        </w:rPr>
      </w:pPr>
    </w:p>
    <w:p w14:paraId="79020EB4">
      <w:pPr>
        <w:spacing w:line="360" w:lineRule="auto"/>
        <w:ind w:right="420" w:firstLine="3614" w:firstLineChars="1000"/>
        <w:rPr>
          <w:rFonts w:hint="eastAsia" w:ascii="宋体" w:hAnsi="宋体" w:eastAsia="宋体" w:cs="宋体"/>
          <w:b/>
          <w:color w:val="auto"/>
          <w:kern w:val="0"/>
          <w:sz w:val="36"/>
          <w:szCs w:val="36"/>
          <w:highlight w:val="none"/>
        </w:rPr>
      </w:pPr>
    </w:p>
    <w:p w14:paraId="03609E24">
      <w:pPr>
        <w:spacing w:line="360" w:lineRule="auto"/>
        <w:ind w:right="420" w:firstLine="3614" w:firstLineChars="1000"/>
        <w:rPr>
          <w:rFonts w:hint="eastAsia" w:ascii="宋体" w:hAnsi="宋体" w:eastAsia="宋体" w:cs="宋体"/>
          <w:b/>
          <w:color w:val="auto"/>
          <w:kern w:val="0"/>
          <w:sz w:val="36"/>
          <w:szCs w:val="36"/>
          <w:highlight w:val="none"/>
        </w:rPr>
      </w:pPr>
    </w:p>
    <w:p w14:paraId="707D7CE0">
      <w:pPr>
        <w:spacing w:line="360" w:lineRule="auto"/>
        <w:ind w:right="420" w:firstLine="3614" w:firstLineChars="1000"/>
        <w:rPr>
          <w:rFonts w:hint="eastAsia" w:ascii="宋体" w:hAnsi="宋体" w:eastAsia="宋体" w:cs="宋体"/>
          <w:b/>
          <w:color w:val="auto"/>
          <w:kern w:val="0"/>
          <w:sz w:val="36"/>
          <w:szCs w:val="36"/>
          <w:highlight w:val="none"/>
        </w:rPr>
      </w:pPr>
    </w:p>
    <w:p w14:paraId="2FED25A0">
      <w:pPr>
        <w:spacing w:line="360" w:lineRule="auto"/>
        <w:ind w:right="420" w:firstLine="3614" w:firstLineChars="1000"/>
        <w:rPr>
          <w:rFonts w:hint="eastAsia" w:ascii="宋体" w:hAnsi="宋体" w:eastAsia="宋体" w:cs="宋体"/>
          <w:b/>
          <w:color w:val="auto"/>
          <w:kern w:val="0"/>
          <w:sz w:val="36"/>
          <w:szCs w:val="36"/>
          <w:highlight w:val="none"/>
        </w:rPr>
      </w:pPr>
    </w:p>
    <w:p w14:paraId="144D7808">
      <w:pPr>
        <w:spacing w:line="360" w:lineRule="auto"/>
        <w:ind w:right="420" w:firstLine="3614" w:firstLineChars="1000"/>
        <w:rPr>
          <w:rFonts w:hint="eastAsia" w:ascii="宋体" w:hAnsi="宋体" w:eastAsia="宋体" w:cs="宋体"/>
          <w:b/>
          <w:color w:val="auto"/>
          <w:kern w:val="0"/>
          <w:sz w:val="36"/>
          <w:szCs w:val="36"/>
          <w:highlight w:val="none"/>
        </w:rPr>
      </w:pPr>
    </w:p>
    <w:p w14:paraId="3D92A257">
      <w:pPr>
        <w:spacing w:line="360" w:lineRule="auto"/>
        <w:ind w:right="420" w:firstLine="3614" w:firstLineChars="1000"/>
        <w:rPr>
          <w:rFonts w:hint="eastAsia" w:ascii="宋体" w:hAnsi="宋体" w:eastAsia="宋体" w:cs="宋体"/>
          <w:b/>
          <w:color w:val="auto"/>
          <w:kern w:val="0"/>
          <w:sz w:val="36"/>
          <w:szCs w:val="36"/>
          <w:highlight w:val="none"/>
        </w:rPr>
      </w:pPr>
    </w:p>
    <w:p w14:paraId="1F93F3A9">
      <w:pPr>
        <w:spacing w:line="360" w:lineRule="auto"/>
        <w:ind w:right="420" w:firstLine="3614" w:firstLineChars="1000"/>
        <w:rPr>
          <w:rFonts w:hint="eastAsia" w:ascii="宋体" w:hAnsi="宋体" w:eastAsia="宋体" w:cs="宋体"/>
          <w:b/>
          <w:color w:val="auto"/>
          <w:kern w:val="0"/>
          <w:sz w:val="36"/>
          <w:szCs w:val="36"/>
          <w:highlight w:val="none"/>
        </w:rPr>
      </w:pPr>
    </w:p>
    <w:p w14:paraId="4F8F70F7">
      <w:pPr>
        <w:spacing w:line="360" w:lineRule="auto"/>
        <w:ind w:right="420" w:firstLine="3614" w:firstLineChars="1000"/>
        <w:rPr>
          <w:rFonts w:hint="eastAsia" w:ascii="宋体" w:hAnsi="宋体" w:eastAsia="宋体" w:cs="宋体"/>
          <w:b/>
          <w:color w:val="auto"/>
          <w:kern w:val="0"/>
          <w:sz w:val="36"/>
          <w:szCs w:val="36"/>
          <w:highlight w:val="none"/>
        </w:rPr>
      </w:pPr>
    </w:p>
    <w:p w14:paraId="4B15FB6C">
      <w:pPr>
        <w:pStyle w:val="4"/>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p>
    <w:p w14:paraId="3E614CA6">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265346D3">
      <w:pPr>
        <w:spacing w:line="360" w:lineRule="auto"/>
        <w:jc w:val="center"/>
        <w:rPr>
          <w:rFonts w:hint="eastAsia" w:ascii="宋体" w:hAnsi="宋体" w:eastAsia="宋体" w:cs="宋体"/>
          <w:b/>
          <w:color w:val="auto"/>
          <w:spacing w:val="6"/>
          <w:sz w:val="32"/>
          <w:szCs w:val="32"/>
          <w:highlight w:val="none"/>
        </w:rPr>
      </w:pPr>
      <w:bookmarkStart w:id="516" w:name="OLE_LINK13"/>
      <w:bookmarkStart w:id="517" w:name="OLE_LINK14"/>
      <w:r>
        <w:rPr>
          <w:rFonts w:hint="eastAsia" w:ascii="宋体" w:hAnsi="宋体" w:eastAsia="宋体" w:cs="宋体"/>
          <w:b/>
          <w:color w:val="auto"/>
          <w:spacing w:val="6"/>
          <w:sz w:val="32"/>
          <w:szCs w:val="32"/>
          <w:highlight w:val="none"/>
        </w:rPr>
        <w:t>残疾人福利性单位声明函</w:t>
      </w:r>
    </w:p>
    <w:bookmarkEnd w:id="516"/>
    <w:bookmarkEnd w:id="517"/>
    <w:p w14:paraId="644B776E">
      <w:pPr>
        <w:spacing w:line="360" w:lineRule="auto"/>
        <w:rPr>
          <w:rFonts w:hint="eastAsia" w:ascii="宋体" w:hAnsi="宋体" w:eastAsia="宋体" w:cs="宋体"/>
          <w:b/>
          <w:color w:val="auto"/>
          <w:spacing w:val="6"/>
          <w:sz w:val="30"/>
          <w:szCs w:val="30"/>
          <w:highlight w:val="none"/>
        </w:rPr>
      </w:pPr>
    </w:p>
    <w:p w14:paraId="7296717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2B8D15C4">
      <w:pPr>
        <w:spacing w:line="360" w:lineRule="auto"/>
        <w:ind w:firstLine="480" w:firstLineChars="200"/>
        <w:rPr>
          <w:rFonts w:hint="eastAsia" w:ascii="宋体" w:hAnsi="宋体" w:eastAsia="宋体" w:cs="宋体"/>
          <w:color w:val="auto"/>
          <w:sz w:val="24"/>
          <w:highlight w:val="none"/>
        </w:rPr>
      </w:pPr>
    </w:p>
    <w:p w14:paraId="4A4E7005">
      <w:pPr>
        <w:spacing w:line="360" w:lineRule="auto"/>
        <w:ind w:firstLine="480" w:firstLineChars="200"/>
        <w:rPr>
          <w:rFonts w:hint="eastAsia" w:ascii="宋体" w:hAnsi="宋体" w:eastAsia="宋体" w:cs="宋体"/>
          <w:color w:val="auto"/>
          <w:sz w:val="24"/>
          <w:highlight w:val="none"/>
        </w:rPr>
      </w:pPr>
    </w:p>
    <w:p w14:paraId="7A378528">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3AD4830B">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168F2440">
      <w:pPr>
        <w:spacing w:line="360" w:lineRule="auto"/>
        <w:ind w:firstLine="480" w:firstLineChars="200"/>
        <w:rPr>
          <w:rFonts w:hint="eastAsia" w:ascii="宋体" w:hAnsi="宋体" w:eastAsia="宋体" w:cs="宋体"/>
          <w:color w:val="auto"/>
          <w:sz w:val="24"/>
          <w:highlight w:val="none"/>
        </w:rPr>
      </w:pPr>
    </w:p>
    <w:p w14:paraId="51EDB0FD">
      <w:pPr>
        <w:spacing w:line="360" w:lineRule="auto"/>
        <w:ind w:firstLine="420" w:firstLineChars="200"/>
        <w:rPr>
          <w:rFonts w:hint="eastAsia" w:ascii="宋体" w:hAnsi="宋体" w:eastAsia="宋体" w:cs="宋体"/>
          <w:color w:val="auto"/>
          <w:highlight w:val="none"/>
        </w:rPr>
      </w:pPr>
    </w:p>
    <w:p w14:paraId="1AFE5B6B">
      <w:pPr>
        <w:spacing w:line="360" w:lineRule="auto"/>
        <w:ind w:firstLine="420" w:firstLineChars="200"/>
        <w:rPr>
          <w:rFonts w:hint="eastAsia" w:ascii="宋体" w:hAnsi="宋体" w:eastAsia="宋体" w:cs="宋体"/>
          <w:color w:val="auto"/>
          <w:highlight w:val="none"/>
        </w:rPr>
      </w:pPr>
    </w:p>
    <w:p w14:paraId="2C136107">
      <w:pPr>
        <w:spacing w:line="360" w:lineRule="auto"/>
        <w:ind w:firstLine="420" w:firstLineChars="200"/>
        <w:rPr>
          <w:rFonts w:hint="eastAsia" w:ascii="宋体" w:hAnsi="宋体" w:eastAsia="宋体" w:cs="宋体"/>
          <w:color w:val="auto"/>
          <w:highlight w:val="none"/>
        </w:rPr>
      </w:pPr>
    </w:p>
    <w:p w14:paraId="14B97413">
      <w:pPr>
        <w:spacing w:line="360" w:lineRule="auto"/>
        <w:ind w:firstLine="420" w:firstLineChars="200"/>
        <w:rPr>
          <w:rFonts w:hint="eastAsia" w:ascii="宋体" w:hAnsi="宋体" w:eastAsia="宋体" w:cs="宋体"/>
          <w:color w:val="auto"/>
          <w:highlight w:val="none"/>
        </w:rPr>
      </w:pPr>
    </w:p>
    <w:p w14:paraId="4165D934">
      <w:pPr>
        <w:spacing w:line="360" w:lineRule="auto"/>
        <w:rPr>
          <w:rFonts w:hint="eastAsia" w:ascii="宋体" w:hAnsi="宋体" w:eastAsia="宋体" w:cs="宋体"/>
          <w:b/>
          <w:color w:val="auto"/>
          <w:sz w:val="24"/>
          <w:highlight w:val="none"/>
        </w:rPr>
      </w:pPr>
    </w:p>
    <w:p w14:paraId="575CC771">
      <w:pPr>
        <w:spacing w:line="360" w:lineRule="auto"/>
        <w:rPr>
          <w:rFonts w:hint="eastAsia" w:ascii="宋体" w:hAnsi="宋体" w:eastAsia="宋体" w:cs="宋体"/>
          <w:b/>
          <w:color w:val="auto"/>
          <w:sz w:val="24"/>
          <w:highlight w:val="none"/>
        </w:rPr>
      </w:pPr>
    </w:p>
    <w:p w14:paraId="2D596182">
      <w:pPr>
        <w:spacing w:line="360" w:lineRule="auto"/>
        <w:rPr>
          <w:rFonts w:hint="eastAsia" w:ascii="宋体" w:hAnsi="宋体" w:eastAsia="宋体" w:cs="宋体"/>
          <w:b/>
          <w:color w:val="auto"/>
          <w:sz w:val="24"/>
          <w:highlight w:val="none"/>
        </w:rPr>
      </w:pPr>
    </w:p>
    <w:p w14:paraId="444EDB10">
      <w:pPr>
        <w:spacing w:line="360" w:lineRule="auto"/>
        <w:rPr>
          <w:rFonts w:hint="eastAsia" w:ascii="宋体" w:hAnsi="宋体" w:eastAsia="宋体" w:cs="宋体"/>
          <w:b/>
          <w:color w:val="auto"/>
          <w:sz w:val="24"/>
          <w:highlight w:val="none"/>
        </w:rPr>
      </w:pPr>
    </w:p>
    <w:p w14:paraId="73E8755E">
      <w:pPr>
        <w:spacing w:line="360" w:lineRule="auto"/>
        <w:rPr>
          <w:rFonts w:hint="eastAsia" w:ascii="宋体" w:hAnsi="宋体" w:eastAsia="宋体" w:cs="宋体"/>
          <w:b/>
          <w:color w:val="auto"/>
          <w:sz w:val="24"/>
          <w:highlight w:val="none"/>
        </w:rPr>
      </w:pPr>
    </w:p>
    <w:p w14:paraId="698BDF1A">
      <w:pPr>
        <w:spacing w:line="360" w:lineRule="auto"/>
        <w:rPr>
          <w:rFonts w:hint="eastAsia" w:ascii="宋体" w:hAnsi="宋体" w:eastAsia="宋体" w:cs="宋体"/>
          <w:b/>
          <w:color w:val="auto"/>
          <w:sz w:val="24"/>
          <w:highlight w:val="none"/>
        </w:rPr>
      </w:pPr>
    </w:p>
    <w:p w14:paraId="2F37603A">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18D593ED">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5F7A74C7">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01C8B7A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6F26DF9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FD45BF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A7F6160">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230B3E5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443974D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0E521CD">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3398990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4096133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B70377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0AF79AB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0555B4C6">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50CB08D6">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7E2D8135">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7A2A15E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199D5F5E">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1ECE2B56">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F672838">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76740CE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056DB144">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672CF138">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6322068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22F4FDC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6A5FC3F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17FE1AFC">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1861F87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hint="eastAsia" w:ascii="宋体" w:hAnsi="宋体" w:eastAsia="宋体" w:cs="宋体"/>
          <w:color w:val="auto"/>
          <w:sz w:val="30"/>
          <w:szCs w:val="30"/>
          <w:highlight w:val="none"/>
        </w:rPr>
      </w:pPr>
    </w:p>
    <w:p w14:paraId="7DD96783">
      <w:pPr>
        <w:spacing w:line="360" w:lineRule="auto"/>
        <w:jc w:val="center"/>
        <w:rPr>
          <w:rFonts w:hint="eastAsia" w:ascii="宋体" w:hAnsi="宋体" w:eastAsia="宋体" w:cs="宋体"/>
          <w:b/>
          <w:color w:val="auto"/>
          <w:spacing w:val="6"/>
          <w:sz w:val="32"/>
          <w:szCs w:val="32"/>
          <w:highlight w:val="none"/>
        </w:rPr>
      </w:pPr>
    </w:p>
    <w:p w14:paraId="4796C07D">
      <w:pPr>
        <w:spacing w:line="360" w:lineRule="auto"/>
        <w:jc w:val="center"/>
        <w:rPr>
          <w:rFonts w:hint="eastAsia" w:ascii="宋体" w:hAnsi="宋体" w:eastAsia="宋体" w:cs="宋体"/>
          <w:b/>
          <w:color w:val="auto"/>
          <w:spacing w:val="6"/>
          <w:sz w:val="32"/>
          <w:szCs w:val="32"/>
          <w:highlight w:val="none"/>
        </w:rPr>
      </w:pPr>
    </w:p>
    <w:p w14:paraId="34ABC162">
      <w:pPr>
        <w:spacing w:line="360" w:lineRule="auto"/>
        <w:jc w:val="center"/>
        <w:rPr>
          <w:rFonts w:hint="eastAsia" w:ascii="宋体" w:hAnsi="宋体" w:eastAsia="宋体" w:cs="宋体"/>
          <w:b/>
          <w:color w:val="auto"/>
          <w:spacing w:val="6"/>
          <w:sz w:val="32"/>
          <w:szCs w:val="32"/>
          <w:highlight w:val="none"/>
        </w:rPr>
      </w:pPr>
    </w:p>
    <w:p w14:paraId="7EADAACE">
      <w:pPr>
        <w:spacing w:line="360" w:lineRule="auto"/>
        <w:jc w:val="center"/>
        <w:rPr>
          <w:rFonts w:hint="eastAsia" w:ascii="宋体" w:hAnsi="宋体" w:eastAsia="宋体" w:cs="宋体"/>
          <w:b/>
          <w:color w:val="auto"/>
          <w:spacing w:val="6"/>
          <w:sz w:val="32"/>
          <w:szCs w:val="32"/>
          <w:highlight w:val="none"/>
        </w:rPr>
      </w:pPr>
    </w:p>
    <w:p w14:paraId="3FE6DAAA">
      <w:pPr>
        <w:spacing w:line="360" w:lineRule="auto"/>
        <w:jc w:val="center"/>
        <w:rPr>
          <w:rFonts w:hint="eastAsia" w:ascii="宋体" w:hAnsi="宋体" w:eastAsia="宋体" w:cs="宋体"/>
          <w:b/>
          <w:color w:val="auto"/>
          <w:spacing w:val="6"/>
          <w:sz w:val="32"/>
          <w:szCs w:val="32"/>
          <w:highlight w:val="none"/>
        </w:rPr>
      </w:pPr>
    </w:p>
    <w:p w14:paraId="01224C28">
      <w:pPr>
        <w:spacing w:line="360" w:lineRule="auto"/>
        <w:jc w:val="center"/>
        <w:rPr>
          <w:rFonts w:hint="eastAsia" w:ascii="宋体" w:hAnsi="宋体" w:eastAsia="宋体" w:cs="宋体"/>
          <w:b/>
          <w:color w:val="auto"/>
          <w:spacing w:val="6"/>
          <w:sz w:val="32"/>
          <w:szCs w:val="32"/>
          <w:highlight w:val="none"/>
        </w:rPr>
      </w:pPr>
    </w:p>
    <w:p w14:paraId="3FAC232D">
      <w:pPr>
        <w:spacing w:line="360" w:lineRule="auto"/>
        <w:jc w:val="center"/>
        <w:rPr>
          <w:rFonts w:hint="eastAsia" w:ascii="宋体" w:hAnsi="宋体" w:eastAsia="宋体" w:cs="宋体"/>
          <w:b/>
          <w:color w:val="auto"/>
          <w:spacing w:val="6"/>
          <w:sz w:val="32"/>
          <w:szCs w:val="32"/>
          <w:highlight w:val="none"/>
        </w:rPr>
      </w:pPr>
    </w:p>
    <w:p w14:paraId="009CB44F">
      <w:pPr>
        <w:spacing w:line="360" w:lineRule="auto"/>
        <w:jc w:val="center"/>
        <w:rPr>
          <w:rFonts w:hint="eastAsia" w:ascii="宋体" w:hAnsi="宋体" w:eastAsia="宋体" w:cs="宋体"/>
          <w:b/>
          <w:color w:val="auto"/>
          <w:spacing w:val="6"/>
          <w:sz w:val="32"/>
          <w:szCs w:val="32"/>
          <w:highlight w:val="none"/>
        </w:rPr>
      </w:pPr>
    </w:p>
    <w:p w14:paraId="668EFC3D">
      <w:pPr>
        <w:spacing w:line="360" w:lineRule="auto"/>
        <w:jc w:val="center"/>
        <w:rPr>
          <w:rFonts w:hint="eastAsia" w:ascii="宋体" w:hAnsi="宋体" w:eastAsia="宋体" w:cs="宋体"/>
          <w:b/>
          <w:color w:val="auto"/>
          <w:spacing w:val="6"/>
          <w:sz w:val="32"/>
          <w:szCs w:val="32"/>
          <w:highlight w:val="none"/>
        </w:rPr>
      </w:pPr>
    </w:p>
    <w:p w14:paraId="0F78ED7D">
      <w:pPr>
        <w:spacing w:line="360" w:lineRule="auto"/>
        <w:jc w:val="left"/>
        <w:rPr>
          <w:rFonts w:hint="eastAsia" w:ascii="宋体" w:hAnsi="宋体" w:eastAsia="宋体" w:cs="宋体"/>
          <w:b/>
          <w:color w:val="auto"/>
          <w:spacing w:val="6"/>
          <w:sz w:val="32"/>
          <w:szCs w:val="32"/>
          <w:highlight w:val="none"/>
        </w:rPr>
      </w:pPr>
    </w:p>
    <w:p w14:paraId="389C1EA1">
      <w:pPr>
        <w:spacing w:line="360" w:lineRule="auto"/>
        <w:jc w:val="left"/>
        <w:rPr>
          <w:rFonts w:hint="eastAsia" w:ascii="宋体" w:hAnsi="宋体" w:eastAsia="宋体" w:cs="宋体"/>
          <w:b/>
          <w:color w:val="auto"/>
          <w:spacing w:val="6"/>
          <w:sz w:val="32"/>
          <w:szCs w:val="32"/>
          <w:highlight w:val="none"/>
        </w:rPr>
      </w:pPr>
    </w:p>
    <w:p w14:paraId="42853BF6">
      <w:pPr>
        <w:spacing w:line="360" w:lineRule="auto"/>
        <w:jc w:val="left"/>
        <w:rPr>
          <w:rFonts w:hint="eastAsia" w:ascii="宋体" w:hAnsi="宋体" w:eastAsia="宋体" w:cs="宋体"/>
          <w:b/>
          <w:color w:val="auto"/>
          <w:spacing w:val="6"/>
          <w:sz w:val="32"/>
          <w:szCs w:val="32"/>
          <w:highlight w:val="none"/>
        </w:rPr>
      </w:pPr>
    </w:p>
    <w:p w14:paraId="4D8C628D">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7E4EDDD9">
      <w:pPr>
        <w:spacing w:line="360" w:lineRule="auto"/>
        <w:jc w:val="center"/>
        <w:rPr>
          <w:rFonts w:hint="eastAsia" w:ascii="宋体" w:hAnsi="宋体" w:eastAsia="宋体" w:cs="宋体"/>
          <w:b/>
          <w:color w:val="auto"/>
          <w:sz w:val="24"/>
          <w:highlight w:val="none"/>
        </w:rPr>
      </w:pPr>
    </w:p>
    <w:p w14:paraId="05942B32">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12C493C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2A0C500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48D014B1">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6483F6B">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9375B93">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35F7162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697F4AE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3D5C1F5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134F98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86B2A0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61D544D">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584F4C2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7AE9790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C22ABC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712A238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F8F3DD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13C5949A">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0683C5DA">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CDFC2D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235188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409F927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2401EE8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0C3B546">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6D848F90">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7F68C9D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12BD79D4">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561A843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2D566C3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6D162C8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9ED69F1">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5A5AD91F">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491A149E">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3DC5E9F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109CAD8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43F69D3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1E25155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14B99AD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5BB97F2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68CC0B16">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52555B6A">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4849861E">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hint="eastAsia" w:ascii="宋体" w:hAnsi="宋体" w:eastAsia="宋体" w:cs="宋体"/>
          <w:b/>
          <w:color w:val="auto"/>
          <w:spacing w:val="6"/>
          <w:sz w:val="32"/>
          <w:szCs w:val="32"/>
          <w:highlight w:val="none"/>
        </w:rPr>
      </w:pPr>
    </w:p>
    <w:p w14:paraId="4C65DFE0">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40E7C7AE">
      <w:pPr>
        <w:spacing w:line="360" w:lineRule="auto"/>
        <w:rPr>
          <w:rFonts w:hint="eastAsia" w:ascii="宋体" w:hAnsi="宋体" w:eastAsia="宋体" w:cs="宋体"/>
          <w:color w:val="auto"/>
          <w:sz w:val="24"/>
          <w:highlight w:val="none"/>
          <w:u w:val="single"/>
        </w:rPr>
      </w:pPr>
    </w:p>
    <w:p w14:paraId="79E9365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2693B94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7BCC1A51">
      <w:pPr>
        <w:spacing w:line="360" w:lineRule="auto"/>
        <w:ind w:firstLine="494"/>
        <w:rPr>
          <w:rFonts w:hint="eastAsia" w:ascii="宋体" w:hAnsi="宋体" w:eastAsia="宋体" w:cs="宋体"/>
          <w:color w:val="auto"/>
          <w:sz w:val="24"/>
          <w:highlight w:val="none"/>
        </w:rPr>
      </w:pPr>
    </w:p>
    <w:p w14:paraId="729DC0D8">
      <w:pPr>
        <w:spacing w:line="360" w:lineRule="auto"/>
        <w:ind w:firstLine="494"/>
        <w:rPr>
          <w:rFonts w:hint="eastAsia" w:ascii="宋体" w:hAnsi="宋体" w:eastAsia="宋体" w:cs="宋体"/>
          <w:color w:val="auto"/>
          <w:sz w:val="24"/>
          <w:highlight w:val="none"/>
        </w:rPr>
      </w:pPr>
    </w:p>
    <w:p w14:paraId="579D2806">
      <w:pPr>
        <w:spacing w:line="360" w:lineRule="auto"/>
        <w:ind w:firstLine="494"/>
        <w:rPr>
          <w:rFonts w:hint="eastAsia" w:ascii="宋体" w:hAnsi="宋体" w:eastAsia="宋体" w:cs="宋体"/>
          <w:color w:val="auto"/>
          <w:sz w:val="24"/>
          <w:highlight w:val="none"/>
        </w:rPr>
      </w:pPr>
    </w:p>
    <w:p w14:paraId="69143BA4">
      <w:pPr>
        <w:spacing w:line="360" w:lineRule="auto"/>
        <w:ind w:firstLine="494"/>
        <w:rPr>
          <w:rFonts w:hint="eastAsia" w:ascii="宋体" w:hAnsi="宋体" w:eastAsia="宋体" w:cs="宋体"/>
          <w:color w:val="auto"/>
          <w:sz w:val="24"/>
          <w:highlight w:val="none"/>
        </w:rPr>
      </w:pPr>
    </w:p>
    <w:p w14:paraId="06F85905">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3EEA8048">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71B2A1E3">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2E1BDE0F">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14:paraId="74574D01">
      <w:pPr>
        <w:autoSpaceDE w:val="0"/>
        <w:autoSpaceDN w:val="0"/>
        <w:jc w:val="center"/>
        <w:rPr>
          <w:rFonts w:hint="eastAsia" w:ascii="宋体" w:hAnsi="宋体" w:eastAsia="宋体" w:cs="宋体"/>
          <w:b/>
          <w:color w:val="auto"/>
          <w:spacing w:val="6"/>
          <w:sz w:val="32"/>
          <w:szCs w:val="32"/>
          <w:highlight w:val="none"/>
        </w:rPr>
      </w:pPr>
    </w:p>
    <w:p w14:paraId="12472987">
      <w:pPr>
        <w:autoSpaceDE w:val="0"/>
        <w:autoSpaceDN w:val="0"/>
        <w:jc w:val="center"/>
        <w:rPr>
          <w:rFonts w:hint="eastAsia" w:ascii="宋体" w:hAnsi="宋体" w:eastAsia="宋体" w:cs="宋体"/>
          <w:b/>
          <w:color w:val="auto"/>
          <w:spacing w:val="6"/>
          <w:sz w:val="32"/>
          <w:szCs w:val="32"/>
          <w:highlight w:val="none"/>
        </w:rPr>
      </w:pPr>
    </w:p>
    <w:p w14:paraId="40952730">
      <w:pPr>
        <w:autoSpaceDE w:val="0"/>
        <w:autoSpaceDN w:val="0"/>
        <w:jc w:val="center"/>
        <w:rPr>
          <w:rFonts w:hint="eastAsia" w:ascii="宋体" w:hAnsi="宋体" w:eastAsia="宋体" w:cs="宋体"/>
          <w:b/>
          <w:color w:val="auto"/>
          <w:spacing w:val="6"/>
          <w:sz w:val="32"/>
          <w:szCs w:val="32"/>
          <w:highlight w:val="none"/>
        </w:rPr>
      </w:pPr>
    </w:p>
    <w:p w14:paraId="14C0A765">
      <w:pPr>
        <w:autoSpaceDE w:val="0"/>
        <w:autoSpaceDN w:val="0"/>
        <w:jc w:val="center"/>
        <w:rPr>
          <w:rFonts w:hint="eastAsia" w:ascii="宋体" w:hAnsi="宋体" w:eastAsia="宋体" w:cs="宋体"/>
          <w:b/>
          <w:color w:val="auto"/>
          <w:spacing w:val="6"/>
          <w:sz w:val="32"/>
          <w:szCs w:val="32"/>
          <w:highlight w:val="none"/>
        </w:rPr>
      </w:pPr>
    </w:p>
    <w:p w14:paraId="03F6D7F9">
      <w:pPr>
        <w:autoSpaceDE w:val="0"/>
        <w:autoSpaceDN w:val="0"/>
        <w:jc w:val="center"/>
        <w:rPr>
          <w:rFonts w:hint="eastAsia" w:ascii="宋体" w:hAnsi="宋体" w:eastAsia="宋体" w:cs="宋体"/>
          <w:b/>
          <w:color w:val="auto"/>
          <w:spacing w:val="6"/>
          <w:sz w:val="32"/>
          <w:szCs w:val="32"/>
          <w:highlight w:val="none"/>
        </w:rPr>
      </w:pPr>
    </w:p>
    <w:p w14:paraId="4D557FCA">
      <w:pPr>
        <w:autoSpaceDE w:val="0"/>
        <w:autoSpaceDN w:val="0"/>
        <w:jc w:val="center"/>
        <w:rPr>
          <w:rFonts w:hint="eastAsia" w:ascii="宋体" w:hAnsi="宋体" w:eastAsia="宋体" w:cs="宋体"/>
          <w:b/>
          <w:color w:val="auto"/>
          <w:spacing w:val="6"/>
          <w:sz w:val="32"/>
          <w:szCs w:val="32"/>
          <w:highlight w:val="none"/>
        </w:rPr>
      </w:pPr>
    </w:p>
    <w:p w14:paraId="747D5734">
      <w:pPr>
        <w:autoSpaceDE w:val="0"/>
        <w:autoSpaceDN w:val="0"/>
        <w:jc w:val="center"/>
        <w:rPr>
          <w:rFonts w:hint="eastAsia" w:ascii="宋体" w:hAnsi="宋体" w:eastAsia="宋体" w:cs="宋体"/>
          <w:b/>
          <w:color w:val="auto"/>
          <w:spacing w:val="6"/>
          <w:sz w:val="32"/>
          <w:szCs w:val="32"/>
          <w:highlight w:val="none"/>
        </w:rPr>
      </w:pPr>
    </w:p>
    <w:p w14:paraId="6CFA4C0C">
      <w:pPr>
        <w:autoSpaceDE w:val="0"/>
        <w:autoSpaceDN w:val="0"/>
        <w:jc w:val="center"/>
        <w:rPr>
          <w:rFonts w:hint="eastAsia" w:ascii="宋体" w:hAnsi="宋体" w:eastAsia="宋体" w:cs="宋体"/>
          <w:b/>
          <w:color w:val="auto"/>
          <w:spacing w:val="6"/>
          <w:sz w:val="32"/>
          <w:szCs w:val="32"/>
          <w:highlight w:val="none"/>
        </w:rPr>
      </w:pPr>
    </w:p>
    <w:p w14:paraId="7C945D75">
      <w:pPr>
        <w:autoSpaceDE w:val="0"/>
        <w:autoSpaceDN w:val="0"/>
        <w:jc w:val="center"/>
        <w:rPr>
          <w:rFonts w:hint="eastAsia" w:ascii="宋体" w:hAnsi="宋体" w:eastAsia="宋体" w:cs="宋体"/>
          <w:b/>
          <w:color w:val="auto"/>
          <w:spacing w:val="6"/>
          <w:sz w:val="32"/>
          <w:szCs w:val="32"/>
          <w:highlight w:val="none"/>
        </w:rPr>
      </w:pPr>
    </w:p>
    <w:p w14:paraId="1473A348">
      <w:pPr>
        <w:autoSpaceDE w:val="0"/>
        <w:autoSpaceDN w:val="0"/>
        <w:jc w:val="center"/>
        <w:rPr>
          <w:rFonts w:hint="eastAsia" w:ascii="宋体" w:hAnsi="宋体" w:eastAsia="宋体" w:cs="宋体"/>
          <w:b/>
          <w:color w:val="auto"/>
          <w:spacing w:val="6"/>
          <w:sz w:val="32"/>
          <w:szCs w:val="32"/>
          <w:highlight w:val="none"/>
        </w:rPr>
      </w:pPr>
    </w:p>
    <w:p w14:paraId="053887FC">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14:paraId="04B866BD">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35B55ED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0A863C4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28D94B9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208BA09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1FC5BA9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7B2B33C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26ACD955">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518" w:name="_Hlk101131882"/>
      <w:r>
        <w:rPr>
          <w:rFonts w:hint="eastAsia" w:ascii="宋体" w:hAnsi="宋体" w:eastAsia="宋体" w:cs="宋体"/>
          <w:color w:val="auto"/>
          <w:kern w:val="0"/>
          <w:sz w:val="24"/>
          <w:highlight w:val="none"/>
          <w:u w:val="single"/>
        </w:rPr>
        <w:t>联合体成员X,……</w:t>
      </w:r>
      <w:bookmarkEnd w:id="518"/>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519"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519"/>
      <w:r>
        <w:rPr>
          <w:rFonts w:hint="eastAsia" w:ascii="宋体" w:hAnsi="宋体" w:eastAsia="宋体" w:cs="宋体"/>
          <w:b/>
          <w:color w:val="auto"/>
          <w:kern w:val="0"/>
          <w:sz w:val="24"/>
          <w:highlight w:val="none"/>
          <w:lang w:val="zh-CN"/>
        </w:rPr>
        <w:t>）</w:t>
      </w:r>
    </w:p>
    <w:p w14:paraId="7A45B8E6">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520"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520"/>
    </w:p>
    <w:p w14:paraId="334C48E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36092FD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1E9F89D8">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6A8ECFA8">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4C6BEB53">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2F7A198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67719768">
      <w:pPr>
        <w:autoSpaceDE w:val="0"/>
        <w:autoSpaceDN w:val="0"/>
        <w:jc w:val="center"/>
        <w:rPr>
          <w:rFonts w:hint="eastAsia" w:ascii="宋体" w:hAnsi="宋体" w:eastAsia="宋体" w:cs="宋体"/>
          <w:b/>
          <w:color w:val="auto"/>
          <w:spacing w:val="6"/>
          <w:sz w:val="32"/>
          <w:szCs w:val="32"/>
          <w:highlight w:val="none"/>
        </w:rPr>
      </w:pPr>
    </w:p>
    <w:p w14:paraId="1D0A103C">
      <w:pPr>
        <w:autoSpaceDE w:val="0"/>
        <w:autoSpaceDN w:val="0"/>
        <w:jc w:val="center"/>
        <w:rPr>
          <w:rFonts w:hint="eastAsia" w:ascii="宋体" w:hAnsi="宋体" w:eastAsia="宋体" w:cs="宋体"/>
          <w:b/>
          <w:color w:val="auto"/>
          <w:spacing w:val="6"/>
          <w:sz w:val="32"/>
          <w:szCs w:val="32"/>
          <w:highlight w:val="none"/>
        </w:rPr>
      </w:pPr>
    </w:p>
    <w:p w14:paraId="4BFB4091">
      <w:pPr>
        <w:autoSpaceDE w:val="0"/>
        <w:autoSpaceDN w:val="0"/>
        <w:jc w:val="center"/>
        <w:rPr>
          <w:rFonts w:hint="eastAsia" w:ascii="宋体" w:hAnsi="宋体" w:eastAsia="宋体" w:cs="宋体"/>
          <w:b/>
          <w:color w:val="auto"/>
          <w:spacing w:val="6"/>
          <w:sz w:val="32"/>
          <w:szCs w:val="32"/>
          <w:highlight w:val="none"/>
        </w:rPr>
      </w:pPr>
    </w:p>
    <w:p w14:paraId="07EB33BF">
      <w:pPr>
        <w:autoSpaceDE w:val="0"/>
        <w:autoSpaceDN w:val="0"/>
        <w:jc w:val="center"/>
        <w:rPr>
          <w:rFonts w:hint="eastAsia" w:ascii="宋体" w:hAnsi="宋体" w:eastAsia="宋体" w:cs="宋体"/>
          <w:b/>
          <w:color w:val="auto"/>
          <w:spacing w:val="6"/>
          <w:sz w:val="32"/>
          <w:szCs w:val="32"/>
          <w:highlight w:val="none"/>
        </w:rPr>
      </w:pPr>
    </w:p>
    <w:p w14:paraId="2AA49C3A">
      <w:pPr>
        <w:autoSpaceDE w:val="0"/>
        <w:autoSpaceDN w:val="0"/>
        <w:jc w:val="center"/>
        <w:rPr>
          <w:rFonts w:hint="eastAsia" w:ascii="宋体" w:hAnsi="宋体" w:eastAsia="宋体" w:cs="宋体"/>
          <w:b/>
          <w:color w:val="auto"/>
          <w:spacing w:val="6"/>
          <w:sz w:val="32"/>
          <w:szCs w:val="32"/>
          <w:highlight w:val="none"/>
        </w:rPr>
      </w:pPr>
    </w:p>
    <w:p w14:paraId="1D439732">
      <w:pPr>
        <w:autoSpaceDE w:val="0"/>
        <w:autoSpaceDN w:val="0"/>
        <w:jc w:val="center"/>
        <w:rPr>
          <w:rFonts w:hint="eastAsia" w:ascii="宋体" w:hAnsi="宋体" w:eastAsia="宋体" w:cs="宋体"/>
          <w:b/>
          <w:color w:val="auto"/>
          <w:spacing w:val="6"/>
          <w:sz w:val="32"/>
          <w:szCs w:val="32"/>
          <w:highlight w:val="none"/>
        </w:rPr>
      </w:pPr>
    </w:p>
    <w:p w14:paraId="2B1F6293">
      <w:pPr>
        <w:autoSpaceDE w:val="0"/>
        <w:autoSpaceDN w:val="0"/>
        <w:jc w:val="center"/>
        <w:rPr>
          <w:rFonts w:hint="eastAsia" w:ascii="宋体" w:hAnsi="宋体" w:eastAsia="宋体" w:cs="宋体"/>
          <w:b/>
          <w:color w:val="auto"/>
          <w:spacing w:val="6"/>
          <w:sz w:val="32"/>
          <w:szCs w:val="32"/>
          <w:highlight w:val="none"/>
        </w:rPr>
      </w:pPr>
    </w:p>
    <w:p w14:paraId="758E5C0F">
      <w:pPr>
        <w:autoSpaceDE w:val="0"/>
        <w:autoSpaceDN w:val="0"/>
        <w:jc w:val="center"/>
        <w:rPr>
          <w:rFonts w:hint="eastAsia" w:ascii="宋体" w:hAnsi="宋体" w:eastAsia="宋体" w:cs="宋体"/>
          <w:b/>
          <w:color w:val="auto"/>
          <w:spacing w:val="6"/>
          <w:sz w:val="32"/>
          <w:szCs w:val="32"/>
          <w:highlight w:val="none"/>
        </w:rPr>
      </w:pPr>
    </w:p>
    <w:p w14:paraId="07E7DAF3">
      <w:pPr>
        <w:autoSpaceDE w:val="0"/>
        <w:autoSpaceDN w:val="0"/>
        <w:jc w:val="center"/>
        <w:rPr>
          <w:rFonts w:hint="eastAsia" w:ascii="宋体" w:hAnsi="宋体" w:eastAsia="宋体" w:cs="宋体"/>
          <w:b/>
          <w:color w:val="auto"/>
          <w:spacing w:val="6"/>
          <w:sz w:val="32"/>
          <w:szCs w:val="32"/>
          <w:highlight w:val="none"/>
        </w:rPr>
      </w:pPr>
    </w:p>
    <w:p w14:paraId="74C77164">
      <w:pPr>
        <w:autoSpaceDE w:val="0"/>
        <w:autoSpaceDN w:val="0"/>
        <w:jc w:val="center"/>
        <w:rPr>
          <w:rFonts w:hint="eastAsia" w:ascii="宋体" w:hAnsi="宋体" w:eastAsia="宋体" w:cs="宋体"/>
          <w:b/>
          <w:color w:val="auto"/>
          <w:spacing w:val="6"/>
          <w:sz w:val="32"/>
          <w:szCs w:val="32"/>
          <w:highlight w:val="none"/>
        </w:rPr>
      </w:pPr>
    </w:p>
    <w:p w14:paraId="12EE95AE">
      <w:pPr>
        <w:autoSpaceDE w:val="0"/>
        <w:autoSpaceDN w:val="0"/>
        <w:jc w:val="center"/>
        <w:rPr>
          <w:rFonts w:hint="eastAsia" w:ascii="宋体" w:hAnsi="宋体" w:eastAsia="宋体" w:cs="宋体"/>
          <w:b/>
          <w:color w:val="auto"/>
          <w:spacing w:val="6"/>
          <w:sz w:val="32"/>
          <w:szCs w:val="32"/>
          <w:highlight w:val="none"/>
        </w:rPr>
      </w:pPr>
    </w:p>
    <w:p w14:paraId="652FE5F9">
      <w:pPr>
        <w:autoSpaceDE w:val="0"/>
        <w:autoSpaceDN w:val="0"/>
        <w:jc w:val="center"/>
        <w:rPr>
          <w:rFonts w:hint="eastAsia" w:ascii="宋体" w:hAnsi="宋体" w:eastAsia="宋体" w:cs="宋体"/>
          <w:b/>
          <w:color w:val="auto"/>
          <w:spacing w:val="6"/>
          <w:sz w:val="32"/>
          <w:szCs w:val="32"/>
          <w:highlight w:val="none"/>
        </w:rPr>
      </w:pPr>
    </w:p>
    <w:p w14:paraId="4C86B973">
      <w:pPr>
        <w:autoSpaceDE w:val="0"/>
        <w:autoSpaceDN w:val="0"/>
        <w:jc w:val="center"/>
        <w:rPr>
          <w:rFonts w:hint="eastAsia" w:ascii="宋体" w:hAnsi="宋体" w:eastAsia="宋体" w:cs="宋体"/>
          <w:b/>
          <w:color w:val="auto"/>
          <w:spacing w:val="6"/>
          <w:sz w:val="32"/>
          <w:szCs w:val="32"/>
          <w:highlight w:val="none"/>
        </w:rPr>
      </w:pPr>
    </w:p>
    <w:p w14:paraId="45FFA641">
      <w:pPr>
        <w:autoSpaceDE w:val="0"/>
        <w:autoSpaceDN w:val="0"/>
        <w:jc w:val="center"/>
        <w:rPr>
          <w:rFonts w:hint="eastAsia" w:ascii="宋体" w:hAnsi="宋体" w:eastAsia="宋体" w:cs="宋体"/>
          <w:b/>
          <w:color w:val="auto"/>
          <w:spacing w:val="6"/>
          <w:sz w:val="32"/>
          <w:szCs w:val="32"/>
          <w:highlight w:val="none"/>
        </w:rPr>
      </w:pPr>
    </w:p>
    <w:p w14:paraId="602FA715">
      <w:pPr>
        <w:autoSpaceDE w:val="0"/>
        <w:autoSpaceDN w:val="0"/>
        <w:jc w:val="center"/>
        <w:rPr>
          <w:rFonts w:hint="eastAsia" w:ascii="宋体" w:hAnsi="宋体" w:eastAsia="宋体" w:cs="宋体"/>
          <w:b/>
          <w:color w:val="auto"/>
          <w:spacing w:val="6"/>
          <w:sz w:val="32"/>
          <w:szCs w:val="32"/>
          <w:highlight w:val="none"/>
        </w:rPr>
      </w:pPr>
    </w:p>
    <w:p w14:paraId="6647DE36">
      <w:pPr>
        <w:autoSpaceDE w:val="0"/>
        <w:autoSpaceDN w:val="0"/>
        <w:jc w:val="center"/>
        <w:rPr>
          <w:rFonts w:hint="eastAsia" w:ascii="宋体" w:hAnsi="宋体" w:eastAsia="宋体" w:cs="宋体"/>
          <w:b/>
          <w:color w:val="auto"/>
          <w:spacing w:val="6"/>
          <w:sz w:val="32"/>
          <w:szCs w:val="32"/>
          <w:highlight w:val="none"/>
        </w:rPr>
      </w:pPr>
    </w:p>
    <w:p w14:paraId="229706AC">
      <w:pPr>
        <w:autoSpaceDE w:val="0"/>
        <w:autoSpaceDN w:val="0"/>
        <w:jc w:val="center"/>
        <w:rPr>
          <w:rFonts w:hint="eastAsia" w:ascii="宋体" w:hAnsi="宋体" w:eastAsia="宋体" w:cs="宋体"/>
          <w:b/>
          <w:color w:val="auto"/>
          <w:spacing w:val="6"/>
          <w:sz w:val="32"/>
          <w:szCs w:val="32"/>
          <w:highlight w:val="none"/>
        </w:rPr>
      </w:pPr>
    </w:p>
    <w:p w14:paraId="16F14ABB">
      <w:pPr>
        <w:autoSpaceDE w:val="0"/>
        <w:autoSpaceDN w:val="0"/>
        <w:jc w:val="center"/>
        <w:rPr>
          <w:rFonts w:hint="eastAsia" w:ascii="宋体" w:hAnsi="宋体" w:eastAsia="宋体" w:cs="宋体"/>
          <w:b/>
          <w:color w:val="auto"/>
          <w:spacing w:val="6"/>
          <w:sz w:val="32"/>
          <w:szCs w:val="32"/>
          <w:highlight w:val="none"/>
        </w:rPr>
      </w:pPr>
    </w:p>
    <w:p w14:paraId="3E4B59CC">
      <w:pPr>
        <w:autoSpaceDE w:val="0"/>
        <w:autoSpaceDN w:val="0"/>
        <w:jc w:val="center"/>
        <w:rPr>
          <w:rFonts w:hint="eastAsia" w:ascii="宋体" w:hAnsi="宋体" w:eastAsia="宋体" w:cs="宋体"/>
          <w:b/>
          <w:color w:val="auto"/>
          <w:spacing w:val="6"/>
          <w:sz w:val="32"/>
          <w:szCs w:val="32"/>
          <w:highlight w:val="none"/>
        </w:rPr>
      </w:pPr>
    </w:p>
    <w:p w14:paraId="73B76741">
      <w:pPr>
        <w:autoSpaceDE w:val="0"/>
        <w:autoSpaceDN w:val="0"/>
        <w:jc w:val="center"/>
        <w:rPr>
          <w:rFonts w:hint="eastAsia" w:ascii="宋体" w:hAnsi="宋体" w:eastAsia="宋体" w:cs="宋体"/>
          <w:b/>
          <w:color w:val="auto"/>
          <w:spacing w:val="6"/>
          <w:sz w:val="32"/>
          <w:szCs w:val="32"/>
          <w:highlight w:val="none"/>
        </w:rPr>
      </w:pPr>
    </w:p>
    <w:p w14:paraId="1EA60D8D">
      <w:pPr>
        <w:snapToGrid w:val="0"/>
        <w:spacing w:line="360" w:lineRule="auto"/>
        <w:ind w:firstLine="3666"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14:paraId="333EFB72">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709C11F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22C20F5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2FE9092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w:t>
      </w:r>
      <w:r>
        <w:rPr>
          <w:rFonts w:hint="eastAsia" w:ascii="宋体" w:hAnsi="宋体" w:eastAsia="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rPr>
        <w:t>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189F2810">
      <w:pPr>
        <w:pStyle w:val="5"/>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1A539FB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14:paraId="1976068F">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4E445DCC">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269F484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665E13DA">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4C49757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0BAF6A9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BA321E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4898118E">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6C7DE37">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738A792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22C288F">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3F55D7B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25E4058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30754BB1">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14:paraId="05EF4018">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24585DD8">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0DA9AED3">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0F1296C7">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E2AAACD">
      <w:pPr>
        <w:autoSpaceDE w:val="0"/>
        <w:autoSpaceDN w:val="0"/>
        <w:jc w:val="center"/>
        <w:rPr>
          <w:rFonts w:hint="eastAsia" w:ascii="宋体" w:hAnsi="宋体" w:eastAsia="宋体" w:cs="宋体"/>
          <w:b/>
          <w:color w:val="auto"/>
          <w:spacing w:val="6"/>
          <w:sz w:val="32"/>
          <w:szCs w:val="32"/>
          <w:highlight w:val="none"/>
        </w:rPr>
      </w:pPr>
    </w:p>
    <w:p w14:paraId="74F7FF62">
      <w:pPr>
        <w:autoSpaceDE w:val="0"/>
        <w:autoSpaceDN w:val="0"/>
        <w:jc w:val="center"/>
        <w:rPr>
          <w:rFonts w:hint="eastAsia" w:ascii="宋体" w:hAnsi="宋体" w:eastAsia="宋体" w:cs="宋体"/>
          <w:b/>
          <w:color w:val="auto"/>
          <w:spacing w:val="6"/>
          <w:sz w:val="32"/>
          <w:szCs w:val="32"/>
          <w:highlight w:val="none"/>
        </w:rPr>
      </w:pPr>
    </w:p>
    <w:p w14:paraId="4DFAA739">
      <w:pPr>
        <w:autoSpaceDE w:val="0"/>
        <w:autoSpaceDN w:val="0"/>
        <w:jc w:val="center"/>
        <w:rPr>
          <w:rFonts w:hint="eastAsia" w:ascii="宋体" w:hAnsi="宋体" w:eastAsia="宋体" w:cs="宋体"/>
          <w:b/>
          <w:color w:val="auto"/>
          <w:spacing w:val="6"/>
          <w:sz w:val="32"/>
          <w:szCs w:val="32"/>
          <w:highlight w:val="none"/>
        </w:rPr>
      </w:pPr>
    </w:p>
    <w:p w14:paraId="408E553A">
      <w:pPr>
        <w:autoSpaceDE w:val="0"/>
        <w:autoSpaceDN w:val="0"/>
        <w:jc w:val="center"/>
        <w:rPr>
          <w:rFonts w:hint="eastAsia" w:ascii="宋体" w:hAnsi="宋体" w:eastAsia="宋体" w:cs="宋体"/>
          <w:b/>
          <w:color w:val="auto"/>
          <w:spacing w:val="6"/>
          <w:sz w:val="32"/>
          <w:szCs w:val="32"/>
          <w:highlight w:val="none"/>
        </w:rPr>
      </w:pPr>
    </w:p>
    <w:p w14:paraId="2DE2B4CE">
      <w:pPr>
        <w:autoSpaceDE w:val="0"/>
        <w:autoSpaceDN w:val="0"/>
        <w:jc w:val="center"/>
        <w:rPr>
          <w:rFonts w:hint="eastAsia" w:ascii="宋体" w:hAnsi="宋体" w:eastAsia="宋体" w:cs="宋体"/>
          <w:b/>
          <w:color w:val="auto"/>
          <w:spacing w:val="6"/>
          <w:sz w:val="32"/>
          <w:szCs w:val="32"/>
          <w:highlight w:val="none"/>
        </w:rPr>
      </w:pPr>
    </w:p>
    <w:p w14:paraId="6190F582">
      <w:pPr>
        <w:autoSpaceDE w:val="0"/>
        <w:autoSpaceDN w:val="0"/>
        <w:jc w:val="center"/>
        <w:rPr>
          <w:rFonts w:hint="eastAsia" w:ascii="宋体" w:hAnsi="宋体" w:eastAsia="宋体" w:cs="宋体"/>
          <w:b/>
          <w:color w:val="auto"/>
          <w:spacing w:val="6"/>
          <w:sz w:val="32"/>
          <w:szCs w:val="32"/>
          <w:highlight w:val="none"/>
        </w:rPr>
      </w:pPr>
    </w:p>
    <w:p w14:paraId="7F2EB0FB">
      <w:pPr>
        <w:autoSpaceDE w:val="0"/>
        <w:autoSpaceDN w:val="0"/>
        <w:jc w:val="center"/>
        <w:rPr>
          <w:rFonts w:hint="eastAsia" w:ascii="宋体" w:hAnsi="宋体" w:eastAsia="宋体" w:cs="宋体"/>
          <w:b/>
          <w:color w:val="auto"/>
          <w:spacing w:val="6"/>
          <w:sz w:val="32"/>
          <w:szCs w:val="32"/>
          <w:highlight w:val="none"/>
        </w:rPr>
      </w:pPr>
    </w:p>
    <w:p w14:paraId="585299B3">
      <w:pPr>
        <w:autoSpaceDE w:val="0"/>
        <w:autoSpaceDN w:val="0"/>
        <w:jc w:val="center"/>
        <w:rPr>
          <w:rFonts w:hint="eastAsia" w:ascii="宋体" w:hAnsi="宋体" w:eastAsia="宋体" w:cs="宋体"/>
          <w:b/>
          <w:color w:val="auto"/>
          <w:spacing w:val="6"/>
          <w:sz w:val="32"/>
          <w:szCs w:val="32"/>
          <w:highlight w:val="none"/>
        </w:rPr>
      </w:pPr>
    </w:p>
    <w:p w14:paraId="00522C4A">
      <w:pPr>
        <w:autoSpaceDE w:val="0"/>
        <w:autoSpaceDN w:val="0"/>
        <w:jc w:val="center"/>
        <w:rPr>
          <w:rFonts w:hint="eastAsia" w:ascii="宋体" w:hAnsi="宋体" w:eastAsia="宋体" w:cs="宋体"/>
          <w:b/>
          <w:color w:val="auto"/>
          <w:spacing w:val="6"/>
          <w:sz w:val="32"/>
          <w:szCs w:val="32"/>
          <w:highlight w:val="none"/>
        </w:rPr>
      </w:pPr>
    </w:p>
    <w:p w14:paraId="65AC4E53">
      <w:pPr>
        <w:autoSpaceDE w:val="0"/>
        <w:autoSpaceDN w:val="0"/>
        <w:jc w:val="center"/>
        <w:rPr>
          <w:rFonts w:hint="eastAsia" w:ascii="宋体" w:hAnsi="宋体" w:eastAsia="宋体" w:cs="宋体"/>
          <w:b/>
          <w:color w:val="auto"/>
          <w:spacing w:val="6"/>
          <w:sz w:val="32"/>
          <w:szCs w:val="32"/>
          <w:highlight w:val="none"/>
        </w:rPr>
      </w:pPr>
    </w:p>
    <w:p w14:paraId="55C5B575">
      <w:pPr>
        <w:autoSpaceDE w:val="0"/>
        <w:autoSpaceDN w:val="0"/>
        <w:jc w:val="center"/>
        <w:rPr>
          <w:rFonts w:hint="eastAsia" w:ascii="宋体" w:hAnsi="宋体" w:eastAsia="宋体" w:cs="宋体"/>
          <w:b/>
          <w:color w:val="auto"/>
          <w:spacing w:val="6"/>
          <w:sz w:val="32"/>
          <w:szCs w:val="32"/>
          <w:highlight w:val="none"/>
        </w:rPr>
      </w:pPr>
    </w:p>
    <w:p w14:paraId="7F218967">
      <w:pPr>
        <w:autoSpaceDE w:val="0"/>
        <w:autoSpaceDN w:val="0"/>
        <w:jc w:val="center"/>
        <w:rPr>
          <w:rFonts w:hint="eastAsia" w:ascii="宋体" w:hAnsi="宋体" w:eastAsia="宋体" w:cs="宋体"/>
          <w:b/>
          <w:color w:val="auto"/>
          <w:spacing w:val="6"/>
          <w:sz w:val="32"/>
          <w:szCs w:val="32"/>
          <w:highlight w:val="none"/>
        </w:rPr>
      </w:pPr>
    </w:p>
    <w:p w14:paraId="63873989">
      <w:pPr>
        <w:autoSpaceDE w:val="0"/>
        <w:autoSpaceDN w:val="0"/>
        <w:jc w:val="center"/>
        <w:rPr>
          <w:rFonts w:hint="eastAsia" w:ascii="宋体" w:hAnsi="宋体" w:eastAsia="宋体" w:cs="宋体"/>
          <w:b/>
          <w:color w:val="auto"/>
          <w:spacing w:val="6"/>
          <w:sz w:val="32"/>
          <w:szCs w:val="32"/>
          <w:highlight w:val="none"/>
        </w:rPr>
      </w:pPr>
    </w:p>
    <w:p w14:paraId="1D522C2B">
      <w:pPr>
        <w:autoSpaceDE w:val="0"/>
        <w:autoSpaceDN w:val="0"/>
        <w:jc w:val="center"/>
        <w:rPr>
          <w:rFonts w:hint="eastAsia" w:ascii="宋体" w:hAnsi="宋体" w:eastAsia="宋体" w:cs="宋体"/>
          <w:b/>
          <w:color w:val="auto"/>
          <w:spacing w:val="6"/>
          <w:sz w:val="32"/>
          <w:szCs w:val="32"/>
          <w:highlight w:val="none"/>
        </w:rPr>
      </w:pPr>
    </w:p>
    <w:p w14:paraId="6ABD8BD9">
      <w:pPr>
        <w:autoSpaceDE w:val="0"/>
        <w:autoSpaceDN w:val="0"/>
        <w:jc w:val="center"/>
        <w:rPr>
          <w:rFonts w:hint="eastAsia" w:ascii="宋体" w:hAnsi="宋体" w:eastAsia="宋体" w:cs="宋体"/>
          <w:b/>
          <w:color w:val="auto"/>
          <w:spacing w:val="6"/>
          <w:sz w:val="32"/>
          <w:szCs w:val="32"/>
          <w:highlight w:val="none"/>
        </w:rPr>
      </w:pPr>
    </w:p>
    <w:p w14:paraId="1C5DE10B">
      <w:pPr>
        <w:autoSpaceDE w:val="0"/>
        <w:autoSpaceDN w:val="0"/>
        <w:jc w:val="center"/>
        <w:rPr>
          <w:rFonts w:hint="eastAsia" w:ascii="宋体" w:hAnsi="宋体" w:eastAsia="宋体" w:cs="宋体"/>
          <w:b/>
          <w:color w:val="auto"/>
          <w:spacing w:val="6"/>
          <w:sz w:val="32"/>
          <w:szCs w:val="32"/>
          <w:highlight w:val="none"/>
        </w:rPr>
      </w:pPr>
    </w:p>
    <w:p w14:paraId="3CDFE3AD">
      <w:pPr>
        <w:autoSpaceDE w:val="0"/>
        <w:autoSpaceDN w:val="0"/>
        <w:jc w:val="center"/>
        <w:rPr>
          <w:rFonts w:hint="eastAsia" w:ascii="宋体" w:hAnsi="宋体" w:eastAsia="宋体" w:cs="宋体"/>
          <w:b/>
          <w:color w:val="auto"/>
          <w:spacing w:val="6"/>
          <w:sz w:val="32"/>
          <w:szCs w:val="32"/>
          <w:highlight w:val="none"/>
        </w:rPr>
      </w:pPr>
    </w:p>
    <w:p w14:paraId="626765C5">
      <w:pPr>
        <w:autoSpaceDE w:val="0"/>
        <w:autoSpaceDN w:val="0"/>
        <w:jc w:val="center"/>
        <w:rPr>
          <w:rFonts w:hint="eastAsia" w:ascii="宋体" w:hAnsi="宋体" w:eastAsia="宋体" w:cs="宋体"/>
          <w:b/>
          <w:color w:val="auto"/>
          <w:spacing w:val="6"/>
          <w:sz w:val="32"/>
          <w:szCs w:val="32"/>
          <w:highlight w:val="none"/>
        </w:rPr>
      </w:pPr>
    </w:p>
    <w:p w14:paraId="62DC7B18">
      <w:pPr>
        <w:autoSpaceDE w:val="0"/>
        <w:autoSpaceDN w:val="0"/>
        <w:jc w:val="center"/>
        <w:rPr>
          <w:rFonts w:hint="eastAsia" w:ascii="宋体" w:hAnsi="宋体" w:eastAsia="宋体" w:cs="宋体"/>
          <w:b/>
          <w:color w:val="auto"/>
          <w:spacing w:val="6"/>
          <w:sz w:val="32"/>
          <w:szCs w:val="32"/>
          <w:highlight w:val="none"/>
        </w:rPr>
      </w:pPr>
    </w:p>
    <w:p w14:paraId="7E935FAA">
      <w:pPr>
        <w:autoSpaceDE w:val="0"/>
        <w:autoSpaceDN w:val="0"/>
        <w:jc w:val="center"/>
        <w:rPr>
          <w:rFonts w:hint="eastAsia" w:ascii="宋体" w:hAnsi="宋体" w:eastAsia="宋体" w:cs="宋体"/>
          <w:b/>
          <w:color w:val="auto"/>
          <w:spacing w:val="6"/>
          <w:sz w:val="32"/>
          <w:szCs w:val="32"/>
          <w:highlight w:val="none"/>
        </w:rPr>
      </w:pPr>
    </w:p>
    <w:p w14:paraId="6CC22D28">
      <w:pPr>
        <w:spacing w:line="360" w:lineRule="auto"/>
        <w:jc w:val="left"/>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附件7：中小企业声明函</w:t>
      </w:r>
    </w:p>
    <w:p w14:paraId="4C891253">
      <w:pPr>
        <w:spacing w:line="360" w:lineRule="auto"/>
        <w:jc w:val="center"/>
        <w:rPr>
          <w:rFonts w:hint="eastAsia" w:ascii="宋体" w:hAnsi="宋体" w:eastAsia="宋体" w:cs="宋体"/>
          <w:color w:val="auto"/>
          <w:sz w:val="24"/>
          <w:highlight w:val="none"/>
          <w:u w:val="single"/>
        </w:rPr>
      </w:pPr>
    </w:p>
    <w:p w14:paraId="0E7047D3">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中小企业声明函（服务）</w:t>
      </w:r>
    </w:p>
    <w:p w14:paraId="50CC7A42">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rPr>
        <w:t xml:space="preserve">（采购人）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1528A284">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 xml:space="preserve">（采购文件中明确的所属行业） </w:t>
      </w:r>
      <w:r>
        <w:rPr>
          <w:rFonts w:hint="eastAsia" w:ascii="宋体" w:hAnsi="宋体" w:eastAsia="宋体" w:cs="宋体"/>
          <w:color w:val="auto"/>
          <w:sz w:val="24"/>
          <w:highlight w:val="none"/>
        </w:rPr>
        <w:t xml:space="preserve">；承建（承接）企业为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2D59F55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28B6AB1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6B534DF5">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14:paraId="2C5C628B">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
    <w:altName w:val="微软雅黑"/>
    <w:panose1 w:val="00000000000000000000"/>
    <w:charset w:val="00"/>
    <w:family w:val="auto"/>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0"/>
      <w:framePr w:wrap="around" w:vAnchor="text" w:hAnchor="margin" w:xAlign="right" w:y="1"/>
      <w:rPr>
        <w:rStyle w:val="72"/>
      </w:rPr>
    </w:pPr>
    <w:r>
      <w:fldChar w:fldCharType="begin"/>
    </w:r>
    <w:r>
      <w:rPr>
        <w:rStyle w:val="72"/>
      </w:rPr>
      <w:instrText xml:space="preserve">PAGE  </w:instrText>
    </w:r>
    <w:r>
      <w:fldChar w:fldCharType="end"/>
    </w:r>
  </w:p>
  <w:p w14:paraId="5E0900A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D00A9">
    <w:pPr>
      <w:pStyle w:val="40"/>
      <w:jc w:val="center"/>
      <w:rPr>
        <w:rFonts w:ascii="仿宋_GB2312" w:eastAsia="仿宋_GB2312"/>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2D14063">
                          <w:pPr>
                            <w:pStyle w:val="40"/>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97</w:t>
                          </w:r>
                          <w:r>
                            <w:fldChar w:fldCharType="end"/>
                          </w:r>
                          <w:r>
                            <w:t xml:space="preserve"> 页</w:t>
                          </w:r>
                        </w:p>
                      </w:txbxContent>
                    </wps:txbx>
                    <wps:bodyPr wrap="none" lIns="0" tIns="0" rIns="0" bIns="0" upright="1">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C4cAW9vwEAAIwDAAAOAAAAAAAAAAEAIAAAAB8BAABkcnMvZTJvRG9jLnhtbFBLBQYA&#10;AAAABgAGAFkBAABQBQAAAAA=&#10;">
              <v:fill on="f" focussize="0,0"/>
              <v:stroke on="f"/>
              <v:imagedata o:title=""/>
              <o:lock v:ext="edit" aspectratio="f"/>
              <v:textbox inset="0mm,0mm,0mm,0mm" style="mso-fit-shape-to-text:t;">
                <w:txbxContent>
                  <w:p w14:paraId="42D14063">
                    <w:pPr>
                      <w:pStyle w:val="40"/>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97</w:t>
                    </w:r>
                    <w:r>
                      <w:fldChar w:fldCharType="end"/>
                    </w:r>
                    <w:r>
                      <w:t xml:space="preserve"> 页</w:t>
                    </w:r>
                  </w:p>
                </w:txbxContent>
              </v:textbox>
            </v:rect>
          </w:pict>
        </mc:Fallback>
      </mc:AlternateContent>
    </w:r>
  </w:p>
  <w:p w14:paraId="2343F51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0"/>
      <w:framePr w:wrap="around" w:vAnchor="text" w:hAnchor="margin" w:xAlign="right" w:y="1"/>
      <w:rPr>
        <w:rStyle w:val="72"/>
      </w:rPr>
    </w:pPr>
    <w:r>
      <w:fldChar w:fldCharType="begin"/>
    </w:r>
    <w:r>
      <w:rPr>
        <w:rStyle w:val="72"/>
      </w:rPr>
      <w:instrText xml:space="preserve">PAGE  </w:instrText>
    </w:r>
    <w:r>
      <w:fldChar w:fldCharType="end"/>
    </w:r>
  </w:p>
  <w:p w14:paraId="65FC6C0A">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1" w:name="_Toc131845147"/>
    <w:bookmarkStart w:id="522" w:name="_Toc91899912"/>
    <w:bookmarkStart w:id="523" w:name="_Toc36110187"/>
    <w:bookmarkStart w:id="524" w:name="_Toc164085800"/>
    <w:r>
      <w:rPr>
        <w:rFonts w:hint="eastAsia" w:ascii="仿宋_GB2312" w:eastAsia="仿宋_GB2312"/>
        <w:kern w:val="0"/>
        <w:szCs w:val="21"/>
      </w:rPr>
      <w:t xml:space="preserve"> 页</w:t>
    </w:r>
    <w:bookmarkEnd w:id="521"/>
    <w:bookmarkEnd w:id="522"/>
    <w:bookmarkEnd w:id="523"/>
    <w:bookmarkEnd w:id="52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1"/>
      <w:pBdr>
        <w:bottom w:val="single" w:color="auto" w:sz="6" w:space="4"/>
      </w:pBdr>
      <w:jc w:val="right"/>
    </w:pPr>
    <w:r>
      <w:t></w:t>
    </w:r>
    <w:r>
      <w:rPr>
        <w:rFonts w:hint="eastAsia"/>
      </w:rPr>
      <w:t xml:space="preserve">             </w:t>
    </w:r>
    <w:r>
      <w:t>杭州市政府采购公开招标文件</w:t>
    </w:r>
  </w:p>
  <w:p w14:paraId="5E97806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C3533">
    <w:pPr>
      <w:pStyle w:val="41"/>
      <w:jc w:val="right"/>
      <w:rPr>
        <w:rFonts w:ascii="仿宋_GB2312" w:eastAsia="仿宋_GB2312"/>
        <w:b/>
        <w:i/>
        <w:u w:val="single"/>
      </w:rPr>
    </w:pPr>
    <w:r>
      <w:t>杭州市政府采购公开招标文件</w:t>
    </w:r>
  </w:p>
  <w:p w14:paraId="018B39F5">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1"/>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1"/>
    </w:pPr>
    <w:r>
      <w:t></w:t>
    </w:r>
    <w:r>
      <w:rPr>
        <w:rFonts w:hint="eastAsia"/>
      </w:rPr>
      <w:t xml:space="preserve">         </w:t>
    </w:r>
  </w:p>
  <w:p w14:paraId="6F97612A">
    <w:pPr>
      <w:pStyle w:val="41"/>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1"/>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1"/>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1"/>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D1F"/>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FF0"/>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2783D"/>
    <w:rsid w:val="019F7441"/>
    <w:rsid w:val="01B37585"/>
    <w:rsid w:val="01D55165"/>
    <w:rsid w:val="01DF6BF8"/>
    <w:rsid w:val="01EC2C57"/>
    <w:rsid w:val="021F4265"/>
    <w:rsid w:val="025F0711"/>
    <w:rsid w:val="026B2E25"/>
    <w:rsid w:val="02824D4D"/>
    <w:rsid w:val="02A66735"/>
    <w:rsid w:val="02DC4B10"/>
    <w:rsid w:val="02DD76CE"/>
    <w:rsid w:val="02F36323"/>
    <w:rsid w:val="02F5619C"/>
    <w:rsid w:val="0326446A"/>
    <w:rsid w:val="032D5555"/>
    <w:rsid w:val="036634D2"/>
    <w:rsid w:val="03DD35E4"/>
    <w:rsid w:val="04076900"/>
    <w:rsid w:val="041A5A3B"/>
    <w:rsid w:val="041D6583"/>
    <w:rsid w:val="042311BA"/>
    <w:rsid w:val="042B157A"/>
    <w:rsid w:val="048F763B"/>
    <w:rsid w:val="049F330E"/>
    <w:rsid w:val="04AA775C"/>
    <w:rsid w:val="04AF1889"/>
    <w:rsid w:val="04F66F48"/>
    <w:rsid w:val="05251E14"/>
    <w:rsid w:val="05A16594"/>
    <w:rsid w:val="05A7762D"/>
    <w:rsid w:val="05B42F17"/>
    <w:rsid w:val="060E5941"/>
    <w:rsid w:val="06110FAF"/>
    <w:rsid w:val="06493CA7"/>
    <w:rsid w:val="065A6178"/>
    <w:rsid w:val="066F1CF3"/>
    <w:rsid w:val="06930BB8"/>
    <w:rsid w:val="07117EF5"/>
    <w:rsid w:val="07245D42"/>
    <w:rsid w:val="07264C62"/>
    <w:rsid w:val="0753050D"/>
    <w:rsid w:val="0779354C"/>
    <w:rsid w:val="08061376"/>
    <w:rsid w:val="08452D77"/>
    <w:rsid w:val="086401F8"/>
    <w:rsid w:val="08751CAA"/>
    <w:rsid w:val="087D1CE6"/>
    <w:rsid w:val="087E4C40"/>
    <w:rsid w:val="08A871D0"/>
    <w:rsid w:val="08D66AD6"/>
    <w:rsid w:val="08DA33A3"/>
    <w:rsid w:val="08E80F13"/>
    <w:rsid w:val="09335624"/>
    <w:rsid w:val="0944690F"/>
    <w:rsid w:val="09535675"/>
    <w:rsid w:val="095F057D"/>
    <w:rsid w:val="09642282"/>
    <w:rsid w:val="09733572"/>
    <w:rsid w:val="09772C16"/>
    <w:rsid w:val="098353B5"/>
    <w:rsid w:val="099D2F7B"/>
    <w:rsid w:val="09A92330"/>
    <w:rsid w:val="09B06B87"/>
    <w:rsid w:val="09C13146"/>
    <w:rsid w:val="09E04166"/>
    <w:rsid w:val="0A171CC6"/>
    <w:rsid w:val="0A1C0718"/>
    <w:rsid w:val="0A3E7710"/>
    <w:rsid w:val="0A4E70E3"/>
    <w:rsid w:val="0A5B7E63"/>
    <w:rsid w:val="0AA374A5"/>
    <w:rsid w:val="0AAB7649"/>
    <w:rsid w:val="0ABC5606"/>
    <w:rsid w:val="0AF3003D"/>
    <w:rsid w:val="0B30404E"/>
    <w:rsid w:val="0B451C1B"/>
    <w:rsid w:val="0B4C6C14"/>
    <w:rsid w:val="0B547599"/>
    <w:rsid w:val="0B631A88"/>
    <w:rsid w:val="0B683D45"/>
    <w:rsid w:val="0B7F3F11"/>
    <w:rsid w:val="0B884417"/>
    <w:rsid w:val="0B980BE5"/>
    <w:rsid w:val="0BC77592"/>
    <w:rsid w:val="0BF6188C"/>
    <w:rsid w:val="0BF73C91"/>
    <w:rsid w:val="0BF8779C"/>
    <w:rsid w:val="0C170175"/>
    <w:rsid w:val="0C571A41"/>
    <w:rsid w:val="0C5C1171"/>
    <w:rsid w:val="0C5E1CBC"/>
    <w:rsid w:val="0C615B50"/>
    <w:rsid w:val="0C8445DA"/>
    <w:rsid w:val="0C87121B"/>
    <w:rsid w:val="0C8A2C23"/>
    <w:rsid w:val="0CC007F7"/>
    <w:rsid w:val="0CC617AC"/>
    <w:rsid w:val="0CE618DF"/>
    <w:rsid w:val="0CFE707A"/>
    <w:rsid w:val="0D063BDA"/>
    <w:rsid w:val="0D08375F"/>
    <w:rsid w:val="0D184CFB"/>
    <w:rsid w:val="0D4A7419"/>
    <w:rsid w:val="0D5A25F6"/>
    <w:rsid w:val="0D827401"/>
    <w:rsid w:val="0D84094E"/>
    <w:rsid w:val="0D8A00E9"/>
    <w:rsid w:val="0D8D589E"/>
    <w:rsid w:val="0DA01C73"/>
    <w:rsid w:val="0DD63300"/>
    <w:rsid w:val="0DF50604"/>
    <w:rsid w:val="0DF702FE"/>
    <w:rsid w:val="0E060E51"/>
    <w:rsid w:val="0E5604B2"/>
    <w:rsid w:val="0E6D5D79"/>
    <w:rsid w:val="0E9D0089"/>
    <w:rsid w:val="0EB803EE"/>
    <w:rsid w:val="0EF94D4B"/>
    <w:rsid w:val="0F144A26"/>
    <w:rsid w:val="0F1E7653"/>
    <w:rsid w:val="0F4958DC"/>
    <w:rsid w:val="0F515DF7"/>
    <w:rsid w:val="0F596BA8"/>
    <w:rsid w:val="0F6248D2"/>
    <w:rsid w:val="0F693536"/>
    <w:rsid w:val="0F7B0511"/>
    <w:rsid w:val="0F7B76D9"/>
    <w:rsid w:val="0F816ACD"/>
    <w:rsid w:val="0F9832DB"/>
    <w:rsid w:val="0FBF3FD2"/>
    <w:rsid w:val="0FBF7FF3"/>
    <w:rsid w:val="104355C3"/>
    <w:rsid w:val="10563548"/>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51899"/>
    <w:rsid w:val="12862074"/>
    <w:rsid w:val="12883966"/>
    <w:rsid w:val="129E45B4"/>
    <w:rsid w:val="12B04A66"/>
    <w:rsid w:val="12D81596"/>
    <w:rsid w:val="13072A44"/>
    <w:rsid w:val="13141499"/>
    <w:rsid w:val="135F4BE2"/>
    <w:rsid w:val="13665D01"/>
    <w:rsid w:val="139B1A0A"/>
    <w:rsid w:val="139D25C7"/>
    <w:rsid w:val="13BF3CE4"/>
    <w:rsid w:val="13CE750E"/>
    <w:rsid w:val="141008D8"/>
    <w:rsid w:val="14125FE6"/>
    <w:rsid w:val="146D271E"/>
    <w:rsid w:val="14982588"/>
    <w:rsid w:val="149A5AD9"/>
    <w:rsid w:val="14A7619D"/>
    <w:rsid w:val="14D42C8D"/>
    <w:rsid w:val="150536C3"/>
    <w:rsid w:val="150C1963"/>
    <w:rsid w:val="151439D2"/>
    <w:rsid w:val="151447A0"/>
    <w:rsid w:val="152C0D1B"/>
    <w:rsid w:val="154A6454"/>
    <w:rsid w:val="15762120"/>
    <w:rsid w:val="15D66E83"/>
    <w:rsid w:val="16721071"/>
    <w:rsid w:val="16895CFA"/>
    <w:rsid w:val="16A8729C"/>
    <w:rsid w:val="16B33777"/>
    <w:rsid w:val="16BC70A7"/>
    <w:rsid w:val="16C6339E"/>
    <w:rsid w:val="17114F85"/>
    <w:rsid w:val="172F2D79"/>
    <w:rsid w:val="17435EA8"/>
    <w:rsid w:val="17557BEF"/>
    <w:rsid w:val="17626C76"/>
    <w:rsid w:val="17D349C1"/>
    <w:rsid w:val="18166C75"/>
    <w:rsid w:val="1830729E"/>
    <w:rsid w:val="1870062C"/>
    <w:rsid w:val="187D363C"/>
    <w:rsid w:val="18817102"/>
    <w:rsid w:val="18830A15"/>
    <w:rsid w:val="18852B28"/>
    <w:rsid w:val="188B5321"/>
    <w:rsid w:val="18A94431"/>
    <w:rsid w:val="195C5947"/>
    <w:rsid w:val="1969287C"/>
    <w:rsid w:val="198E2E15"/>
    <w:rsid w:val="19932372"/>
    <w:rsid w:val="19A20DD5"/>
    <w:rsid w:val="19AE03F1"/>
    <w:rsid w:val="1A071A03"/>
    <w:rsid w:val="1A1F16AE"/>
    <w:rsid w:val="1A3B5C77"/>
    <w:rsid w:val="1A984BAD"/>
    <w:rsid w:val="1AB8220E"/>
    <w:rsid w:val="1AE4166C"/>
    <w:rsid w:val="1AEE14C8"/>
    <w:rsid w:val="1AF06CFB"/>
    <w:rsid w:val="1AF11B8D"/>
    <w:rsid w:val="1B11359C"/>
    <w:rsid w:val="1B2A271F"/>
    <w:rsid w:val="1B530544"/>
    <w:rsid w:val="1B713184"/>
    <w:rsid w:val="1B723200"/>
    <w:rsid w:val="1BA209CF"/>
    <w:rsid w:val="1BB4777D"/>
    <w:rsid w:val="1BD75AB8"/>
    <w:rsid w:val="1C0320AA"/>
    <w:rsid w:val="1C0459C2"/>
    <w:rsid w:val="1C1B3B4A"/>
    <w:rsid w:val="1C252021"/>
    <w:rsid w:val="1C88086E"/>
    <w:rsid w:val="1D214EDE"/>
    <w:rsid w:val="1D266CE1"/>
    <w:rsid w:val="1D3963AF"/>
    <w:rsid w:val="1D6A673C"/>
    <w:rsid w:val="1D9247AE"/>
    <w:rsid w:val="1DB567EC"/>
    <w:rsid w:val="1DC13FCB"/>
    <w:rsid w:val="1DF51A98"/>
    <w:rsid w:val="1E2D340E"/>
    <w:rsid w:val="1E3D060F"/>
    <w:rsid w:val="1E3F7D2E"/>
    <w:rsid w:val="1E4134E4"/>
    <w:rsid w:val="1E5062B3"/>
    <w:rsid w:val="1E523514"/>
    <w:rsid w:val="1E714A66"/>
    <w:rsid w:val="1E802593"/>
    <w:rsid w:val="1E8B6156"/>
    <w:rsid w:val="1EA703CC"/>
    <w:rsid w:val="1EB7330C"/>
    <w:rsid w:val="1F0A0FF3"/>
    <w:rsid w:val="1F15637C"/>
    <w:rsid w:val="1F5771FF"/>
    <w:rsid w:val="1FD52DD5"/>
    <w:rsid w:val="1FE868A9"/>
    <w:rsid w:val="20034907"/>
    <w:rsid w:val="20173E4B"/>
    <w:rsid w:val="204E48BC"/>
    <w:rsid w:val="208921B3"/>
    <w:rsid w:val="20973DEB"/>
    <w:rsid w:val="20B26522"/>
    <w:rsid w:val="20B44310"/>
    <w:rsid w:val="20C444FE"/>
    <w:rsid w:val="211116EB"/>
    <w:rsid w:val="216133FC"/>
    <w:rsid w:val="21D56769"/>
    <w:rsid w:val="21E52EF3"/>
    <w:rsid w:val="21FB5D7B"/>
    <w:rsid w:val="22015E94"/>
    <w:rsid w:val="220B1C3D"/>
    <w:rsid w:val="221D1D20"/>
    <w:rsid w:val="22334A87"/>
    <w:rsid w:val="226D06CE"/>
    <w:rsid w:val="228D6B72"/>
    <w:rsid w:val="22BE6801"/>
    <w:rsid w:val="22CF0F38"/>
    <w:rsid w:val="22DB5B2F"/>
    <w:rsid w:val="233500BF"/>
    <w:rsid w:val="23377FF7"/>
    <w:rsid w:val="236B425F"/>
    <w:rsid w:val="23836192"/>
    <w:rsid w:val="23901F29"/>
    <w:rsid w:val="239C0061"/>
    <w:rsid w:val="23B908A4"/>
    <w:rsid w:val="23D031BA"/>
    <w:rsid w:val="23D06D16"/>
    <w:rsid w:val="23E95BEF"/>
    <w:rsid w:val="23FD0064"/>
    <w:rsid w:val="240D0B0D"/>
    <w:rsid w:val="24186FDB"/>
    <w:rsid w:val="245375B0"/>
    <w:rsid w:val="24642C0A"/>
    <w:rsid w:val="24697B84"/>
    <w:rsid w:val="2492221D"/>
    <w:rsid w:val="24B22173"/>
    <w:rsid w:val="24B95AD9"/>
    <w:rsid w:val="24BE24DA"/>
    <w:rsid w:val="24CF5825"/>
    <w:rsid w:val="24D663E6"/>
    <w:rsid w:val="24D77F2B"/>
    <w:rsid w:val="254E083A"/>
    <w:rsid w:val="258B00E2"/>
    <w:rsid w:val="25A917A6"/>
    <w:rsid w:val="25BE27CC"/>
    <w:rsid w:val="25EB6089"/>
    <w:rsid w:val="25F74A5C"/>
    <w:rsid w:val="2628662C"/>
    <w:rsid w:val="262D45DE"/>
    <w:rsid w:val="26871DC8"/>
    <w:rsid w:val="26A53EF9"/>
    <w:rsid w:val="26A94201"/>
    <w:rsid w:val="26AC274F"/>
    <w:rsid w:val="27044A29"/>
    <w:rsid w:val="271D34C8"/>
    <w:rsid w:val="276142BF"/>
    <w:rsid w:val="27783712"/>
    <w:rsid w:val="27907362"/>
    <w:rsid w:val="27C6290A"/>
    <w:rsid w:val="28333E1D"/>
    <w:rsid w:val="28454BD6"/>
    <w:rsid w:val="28455253"/>
    <w:rsid w:val="28551971"/>
    <w:rsid w:val="285B1C53"/>
    <w:rsid w:val="285D2B42"/>
    <w:rsid w:val="289F7086"/>
    <w:rsid w:val="28C32028"/>
    <w:rsid w:val="28CC490F"/>
    <w:rsid w:val="28DE40AA"/>
    <w:rsid w:val="29345E77"/>
    <w:rsid w:val="294C65AD"/>
    <w:rsid w:val="29763EBB"/>
    <w:rsid w:val="29806583"/>
    <w:rsid w:val="298B3C4C"/>
    <w:rsid w:val="29915199"/>
    <w:rsid w:val="29F26D24"/>
    <w:rsid w:val="2A132200"/>
    <w:rsid w:val="2A15033F"/>
    <w:rsid w:val="2A1662C1"/>
    <w:rsid w:val="2A1C7367"/>
    <w:rsid w:val="2A273408"/>
    <w:rsid w:val="2A2815FA"/>
    <w:rsid w:val="2A6D6092"/>
    <w:rsid w:val="2A7D76B4"/>
    <w:rsid w:val="2B437463"/>
    <w:rsid w:val="2B7807EE"/>
    <w:rsid w:val="2B9E76FA"/>
    <w:rsid w:val="2BA50BF7"/>
    <w:rsid w:val="2BBF00EC"/>
    <w:rsid w:val="2BC37CFD"/>
    <w:rsid w:val="2BD5237F"/>
    <w:rsid w:val="2BE536CE"/>
    <w:rsid w:val="2BE758D9"/>
    <w:rsid w:val="2C031008"/>
    <w:rsid w:val="2C09049E"/>
    <w:rsid w:val="2C0A653C"/>
    <w:rsid w:val="2C191F85"/>
    <w:rsid w:val="2C615316"/>
    <w:rsid w:val="2CE82D6F"/>
    <w:rsid w:val="2D343236"/>
    <w:rsid w:val="2DAF2D35"/>
    <w:rsid w:val="2DAF5BEE"/>
    <w:rsid w:val="2DD15014"/>
    <w:rsid w:val="2DF72DE4"/>
    <w:rsid w:val="2E0220AF"/>
    <w:rsid w:val="2E0A551A"/>
    <w:rsid w:val="2E4B082A"/>
    <w:rsid w:val="2E5D4E86"/>
    <w:rsid w:val="2E5D790B"/>
    <w:rsid w:val="2E9A3C18"/>
    <w:rsid w:val="2EBB0FEE"/>
    <w:rsid w:val="2EC63002"/>
    <w:rsid w:val="2EEB6BED"/>
    <w:rsid w:val="2F0A6B38"/>
    <w:rsid w:val="2F2B74F6"/>
    <w:rsid w:val="2F57478F"/>
    <w:rsid w:val="2F946CCB"/>
    <w:rsid w:val="2FD25781"/>
    <w:rsid w:val="2FDC745C"/>
    <w:rsid w:val="2FFD7934"/>
    <w:rsid w:val="30733ACD"/>
    <w:rsid w:val="308C3862"/>
    <w:rsid w:val="309379D8"/>
    <w:rsid w:val="30A270F7"/>
    <w:rsid w:val="30DF1478"/>
    <w:rsid w:val="30EC586F"/>
    <w:rsid w:val="310402C4"/>
    <w:rsid w:val="314550B7"/>
    <w:rsid w:val="315A40C3"/>
    <w:rsid w:val="319C6071"/>
    <w:rsid w:val="31AC537E"/>
    <w:rsid w:val="31E3679B"/>
    <w:rsid w:val="31E732FD"/>
    <w:rsid w:val="31FE0EF2"/>
    <w:rsid w:val="32032617"/>
    <w:rsid w:val="32517576"/>
    <w:rsid w:val="32BE5C2C"/>
    <w:rsid w:val="32FB6478"/>
    <w:rsid w:val="33263B3F"/>
    <w:rsid w:val="336963EB"/>
    <w:rsid w:val="337C2A16"/>
    <w:rsid w:val="33816EEB"/>
    <w:rsid w:val="33EB55CD"/>
    <w:rsid w:val="33EC4C02"/>
    <w:rsid w:val="340D2360"/>
    <w:rsid w:val="3410665D"/>
    <w:rsid w:val="34211214"/>
    <w:rsid w:val="342E63AB"/>
    <w:rsid w:val="34950E68"/>
    <w:rsid w:val="34986E94"/>
    <w:rsid w:val="34AF62C9"/>
    <w:rsid w:val="34CB4388"/>
    <w:rsid w:val="34F767F8"/>
    <w:rsid w:val="34FA6E12"/>
    <w:rsid w:val="354D7158"/>
    <w:rsid w:val="358D5588"/>
    <w:rsid w:val="359B692C"/>
    <w:rsid w:val="36321AB2"/>
    <w:rsid w:val="363A3B40"/>
    <w:rsid w:val="365302AE"/>
    <w:rsid w:val="36607A0A"/>
    <w:rsid w:val="366E227C"/>
    <w:rsid w:val="366F2E0D"/>
    <w:rsid w:val="367B6A5C"/>
    <w:rsid w:val="368340BC"/>
    <w:rsid w:val="36A74ADA"/>
    <w:rsid w:val="36AD60D5"/>
    <w:rsid w:val="36B224F9"/>
    <w:rsid w:val="36BF3346"/>
    <w:rsid w:val="36EC0CC9"/>
    <w:rsid w:val="373F410B"/>
    <w:rsid w:val="374B2E2B"/>
    <w:rsid w:val="37D44BCF"/>
    <w:rsid w:val="37EE7094"/>
    <w:rsid w:val="38296C89"/>
    <w:rsid w:val="383002EB"/>
    <w:rsid w:val="38586797"/>
    <w:rsid w:val="38BC0149"/>
    <w:rsid w:val="38C346B4"/>
    <w:rsid w:val="38D87D1C"/>
    <w:rsid w:val="394C4C39"/>
    <w:rsid w:val="39636459"/>
    <w:rsid w:val="396B7F6C"/>
    <w:rsid w:val="39B417A9"/>
    <w:rsid w:val="39FC5695"/>
    <w:rsid w:val="3A006D8E"/>
    <w:rsid w:val="3A3651E5"/>
    <w:rsid w:val="3A744481"/>
    <w:rsid w:val="3A8C7BEF"/>
    <w:rsid w:val="3A906246"/>
    <w:rsid w:val="3ABE667C"/>
    <w:rsid w:val="3B2349B7"/>
    <w:rsid w:val="3B616CFF"/>
    <w:rsid w:val="3B6259F6"/>
    <w:rsid w:val="3B862684"/>
    <w:rsid w:val="3B976654"/>
    <w:rsid w:val="3BC01EFC"/>
    <w:rsid w:val="3BC1190E"/>
    <w:rsid w:val="3BCA786A"/>
    <w:rsid w:val="3BD0614D"/>
    <w:rsid w:val="3BD31E2F"/>
    <w:rsid w:val="3BF15831"/>
    <w:rsid w:val="3C105946"/>
    <w:rsid w:val="3C3A3EEF"/>
    <w:rsid w:val="3C471448"/>
    <w:rsid w:val="3C5F759A"/>
    <w:rsid w:val="3C6247C3"/>
    <w:rsid w:val="3C6C525A"/>
    <w:rsid w:val="3CAF1767"/>
    <w:rsid w:val="3CCE23CB"/>
    <w:rsid w:val="3CD17D17"/>
    <w:rsid w:val="3D152858"/>
    <w:rsid w:val="3D3C7F39"/>
    <w:rsid w:val="3D440F09"/>
    <w:rsid w:val="3D4504A0"/>
    <w:rsid w:val="3D8734BB"/>
    <w:rsid w:val="3D9A11D4"/>
    <w:rsid w:val="3DA16D89"/>
    <w:rsid w:val="3DA364BE"/>
    <w:rsid w:val="3DE041CB"/>
    <w:rsid w:val="3DE2791A"/>
    <w:rsid w:val="3E0D48F6"/>
    <w:rsid w:val="3E1868B4"/>
    <w:rsid w:val="3E377251"/>
    <w:rsid w:val="3E42664B"/>
    <w:rsid w:val="3E5A7334"/>
    <w:rsid w:val="3E7B5D6B"/>
    <w:rsid w:val="3E8310FD"/>
    <w:rsid w:val="3E843E66"/>
    <w:rsid w:val="3E8F51FE"/>
    <w:rsid w:val="3E926F87"/>
    <w:rsid w:val="3E9A59DE"/>
    <w:rsid w:val="3EA5765F"/>
    <w:rsid w:val="3EAF4836"/>
    <w:rsid w:val="3EC040FF"/>
    <w:rsid w:val="3EC33DFA"/>
    <w:rsid w:val="3F060E16"/>
    <w:rsid w:val="3F1D1096"/>
    <w:rsid w:val="3F2F0234"/>
    <w:rsid w:val="3F6363FE"/>
    <w:rsid w:val="3F756B8F"/>
    <w:rsid w:val="3F8E7D59"/>
    <w:rsid w:val="3F95482B"/>
    <w:rsid w:val="3FE0432D"/>
    <w:rsid w:val="4019356B"/>
    <w:rsid w:val="40592157"/>
    <w:rsid w:val="406E1CAE"/>
    <w:rsid w:val="40A0133A"/>
    <w:rsid w:val="40B557B9"/>
    <w:rsid w:val="40C31A53"/>
    <w:rsid w:val="40FF545D"/>
    <w:rsid w:val="410067C8"/>
    <w:rsid w:val="418F0D2A"/>
    <w:rsid w:val="41D01505"/>
    <w:rsid w:val="423E21A9"/>
    <w:rsid w:val="42474939"/>
    <w:rsid w:val="424C3C57"/>
    <w:rsid w:val="42613FF3"/>
    <w:rsid w:val="42660D96"/>
    <w:rsid w:val="428667D2"/>
    <w:rsid w:val="42CD1CE0"/>
    <w:rsid w:val="42E1381E"/>
    <w:rsid w:val="42ED6459"/>
    <w:rsid w:val="42FE58DD"/>
    <w:rsid w:val="43174B3D"/>
    <w:rsid w:val="434B790E"/>
    <w:rsid w:val="4360274F"/>
    <w:rsid w:val="437C1417"/>
    <w:rsid w:val="43977AB6"/>
    <w:rsid w:val="43A3342B"/>
    <w:rsid w:val="43C77C27"/>
    <w:rsid w:val="43D63A7D"/>
    <w:rsid w:val="43DE09EE"/>
    <w:rsid w:val="44002FAD"/>
    <w:rsid w:val="441822E7"/>
    <w:rsid w:val="449101DD"/>
    <w:rsid w:val="44B85878"/>
    <w:rsid w:val="44DE1391"/>
    <w:rsid w:val="4504461A"/>
    <w:rsid w:val="451A3E3D"/>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9E0050"/>
    <w:rsid w:val="46BD2CD2"/>
    <w:rsid w:val="46C4686E"/>
    <w:rsid w:val="477B778F"/>
    <w:rsid w:val="478203EC"/>
    <w:rsid w:val="47B025FA"/>
    <w:rsid w:val="4809698F"/>
    <w:rsid w:val="4811697D"/>
    <w:rsid w:val="487A3E25"/>
    <w:rsid w:val="48895562"/>
    <w:rsid w:val="488B5503"/>
    <w:rsid w:val="48937E21"/>
    <w:rsid w:val="489A0361"/>
    <w:rsid w:val="48B94FF3"/>
    <w:rsid w:val="48D507A7"/>
    <w:rsid w:val="48E37AAB"/>
    <w:rsid w:val="48FD4B4C"/>
    <w:rsid w:val="490A68E0"/>
    <w:rsid w:val="491055FE"/>
    <w:rsid w:val="49574C7D"/>
    <w:rsid w:val="495F5B3E"/>
    <w:rsid w:val="4968786D"/>
    <w:rsid w:val="496F77D7"/>
    <w:rsid w:val="497654FD"/>
    <w:rsid w:val="49B64211"/>
    <w:rsid w:val="49C32CF5"/>
    <w:rsid w:val="49E56AF9"/>
    <w:rsid w:val="49F6167F"/>
    <w:rsid w:val="4A064FA0"/>
    <w:rsid w:val="4A16615C"/>
    <w:rsid w:val="4A282B58"/>
    <w:rsid w:val="4A4424D7"/>
    <w:rsid w:val="4A897A9B"/>
    <w:rsid w:val="4AB43E56"/>
    <w:rsid w:val="4AB82D0F"/>
    <w:rsid w:val="4AC72371"/>
    <w:rsid w:val="4ADE3C92"/>
    <w:rsid w:val="4AEB7664"/>
    <w:rsid w:val="4AFD7C19"/>
    <w:rsid w:val="4B0567D1"/>
    <w:rsid w:val="4B0E1D4E"/>
    <w:rsid w:val="4B1A4B97"/>
    <w:rsid w:val="4B236AAE"/>
    <w:rsid w:val="4B3A2B43"/>
    <w:rsid w:val="4B65492A"/>
    <w:rsid w:val="4B707271"/>
    <w:rsid w:val="4B8D35BB"/>
    <w:rsid w:val="4B944949"/>
    <w:rsid w:val="4B9739F7"/>
    <w:rsid w:val="4BEE2503"/>
    <w:rsid w:val="4C1415E6"/>
    <w:rsid w:val="4C245A30"/>
    <w:rsid w:val="4C286E40"/>
    <w:rsid w:val="4C365A00"/>
    <w:rsid w:val="4C7B26FD"/>
    <w:rsid w:val="4CB6685F"/>
    <w:rsid w:val="4CC367FE"/>
    <w:rsid w:val="4CD44087"/>
    <w:rsid w:val="4D077F3C"/>
    <w:rsid w:val="4D123355"/>
    <w:rsid w:val="4D2A3B31"/>
    <w:rsid w:val="4D312C52"/>
    <w:rsid w:val="4D905305"/>
    <w:rsid w:val="4D964A72"/>
    <w:rsid w:val="4D9C1254"/>
    <w:rsid w:val="4DD0543A"/>
    <w:rsid w:val="4E5C54C6"/>
    <w:rsid w:val="4E793892"/>
    <w:rsid w:val="4E800872"/>
    <w:rsid w:val="4EC569ED"/>
    <w:rsid w:val="4ED50EA1"/>
    <w:rsid w:val="4EEC050C"/>
    <w:rsid w:val="4F104EC3"/>
    <w:rsid w:val="4F244236"/>
    <w:rsid w:val="4F47354A"/>
    <w:rsid w:val="4F6D4A83"/>
    <w:rsid w:val="4F911C54"/>
    <w:rsid w:val="4F9A042C"/>
    <w:rsid w:val="4FCE7CFE"/>
    <w:rsid w:val="4FE625E0"/>
    <w:rsid w:val="50016325"/>
    <w:rsid w:val="5021480F"/>
    <w:rsid w:val="50962ECB"/>
    <w:rsid w:val="50A42E38"/>
    <w:rsid w:val="50A4577F"/>
    <w:rsid w:val="50B73D1F"/>
    <w:rsid w:val="50BD5BC9"/>
    <w:rsid w:val="50C11EEE"/>
    <w:rsid w:val="50E97CFC"/>
    <w:rsid w:val="50FA4028"/>
    <w:rsid w:val="510D65B7"/>
    <w:rsid w:val="511157AB"/>
    <w:rsid w:val="513F5357"/>
    <w:rsid w:val="5142540C"/>
    <w:rsid w:val="515406D7"/>
    <w:rsid w:val="51786173"/>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25D4B"/>
    <w:rsid w:val="52F50BB8"/>
    <w:rsid w:val="53097272"/>
    <w:rsid w:val="5316288B"/>
    <w:rsid w:val="53544462"/>
    <w:rsid w:val="53831C8C"/>
    <w:rsid w:val="5397158E"/>
    <w:rsid w:val="54013861"/>
    <w:rsid w:val="54297BF9"/>
    <w:rsid w:val="54433155"/>
    <w:rsid w:val="54487265"/>
    <w:rsid w:val="544D6070"/>
    <w:rsid w:val="54605E1E"/>
    <w:rsid w:val="549459BA"/>
    <w:rsid w:val="54B3506A"/>
    <w:rsid w:val="54CA0D16"/>
    <w:rsid w:val="54DD4057"/>
    <w:rsid w:val="54E7490F"/>
    <w:rsid w:val="550764A4"/>
    <w:rsid w:val="550B2BF6"/>
    <w:rsid w:val="55214EB5"/>
    <w:rsid w:val="552266EE"/>
    <w:rsid w:val="55364EFD"/>
    <w:rsid w:val="555D4828"/>
    <w:rsid w:val="556E620B"/>
    <w:rsid w:val="557A4C8B"/>
    <w:rsid w:val="558931E1"/>
    <w:rsid w:val="55923347"/>
    <w:rsid w:val="55925180"/>
    <w:rsid w:val="55983B1B"/>
    <w:rsid w:val="55A8376B"/>
    <w:rsid w:val="55DC29B6"/>
    <w:rsid w:val="55DD4241"/>
    <w:rsid w:val="56036A94"/>
    <w:rsid w:val="566B6D1E"/>
    <w:rsid w:val="57032A2C"/>
    <w:rsid w:val="570A5ABF"/>
    <w:rsid w:val="570F5219"/>
    <w:rsid w:val="57106E4E"/>
    <w:rsid w:val="575D12B5"/>
    <w:rsid w:val="57610A87"/>
    <w:rsid w:val="577B1140"/>
    <w:rsid w:val="577B7F21"/>
    <w:rsid w:val="577F181B"/>
    <w:rsid w:val="57921984"/>
    <w:rsid w:val="579737F0"/>
    <w:rsid w:val="579D2DD8"/>
    <w:rsid w:val="57A23705"/>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47B68"/>
    <w:rsid w:val="597E3DD8"/>
    <w:rsid w:val="59810512"/>
    <w:rsid w:val="598D47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6065F6"/>
    <w:rsid w:val="5B6A7475"/>
    <w:rsid w:val="5B843A1C"/>
    <w:rsid w:val="5B873E3F"/>
    <w:rsid w:val="5BD13050"/>
    <w:rsid w:val="5C02690E"/>
    <w:rsid w:val="5C196DA7"/>
    <w:rsid w:val="5C2A048C"/>
    <w:rsid w:val="5C80234E"/>
    <w:rsid w:val="5C8A680C"/>
    <w:rsid w:val="5CDD77D2"/>
    <w:rsid w:val="5CF35D1E"/>
    <w:rsid w:val="5D0C4701"/>
    <w:rsid w:val="5D0F0395"/>
    <w:rsid w:val="5D221076"/>
    <w:rsid w:val="5D397964"/>
    <w:rsid w:val="5D5A391C"/>
    <w:rsid w:val="5D5F10C0"/>
    <w:rsid w:val="5D891B7B"/>
    <w:rsid w:val="5DAD38EE"/>
    <w:rsid w:val="5E006862"/>
    <w:rsid w:val="5E0207B9"/>
    <w:rsid w:val="5E0E058B"/>
    <w:rsid w:val="5E1834A1"/>
    <w:rsid w:val="5E261785"/>
    <w:rsid w:val="5E4A7017"/>
    <w:rsid w:val="5E552BBA"/>
    <w:rsid w:val="5E611C10"/>
    <w:rsid w:val="5E7A0F3F"/>
    <w:rsid w:val="5EC56A6D"/>
    <w:rsid w:val="5EFC7377"/>
    <w:rsid w:val="5F06174D"/>
    <w:rsid w:val="5F223BC2"/>
    <w:rsid w:val="5F2D4A41"/>
    <w:rsid w:val="5F3A3602"/>
    <w:rsid w:val="5F447FDD"/>
    <w:rsid w:val="5F45733B"/>
    <w:rsid w:val="5F6277C6"/>
    <w:rsid w:val="5F6D0B1D"/>
    <w:rsid w:val="5F893C41"/>
    <w:rsid w:val="5F8D0B82"/>
    <w:rsid w:val="5FCC5339"/>
    <w:rsid w:val="5FE34A5B"/>
    <w:rsid w:val="5FFE1E36"/>
    <w:rsid w:val="60232584"/>
    <w:rsid w:val="60392C69"/>
    <w:rsid w:val="60567FC7"/>
    <w:rsid w:val="60624BBE"/>
    <w:rsid w:val="607330CE"/>
    <w:rsid w:val="60825176"/>
    <w:rsid w:val="609F2AC4"/>
    <w:rsid w:val="60A800F7"/>
    <w:rsid w:val="60FA2EE8"/>
    <w:rsid w:val="60FC0DF8"/>
    <w:rsid w:val="61054A27"/>
    <w:rsid w:val="610A52BC"/>
    <w:rsid w:val="611D2366"/>
    <w:rsid w:val="61421856"/>
    <w:rsid w:val="61426602"/>
    <w:rsid w:val="615227C4"/>
    <w:rsid w:val="61654E3F"/>
    <w:rsid w:val="6182292A"/>
    <w:rsid w:val="61836B0D"/>
    <w:rsid w:val="619F7F92"/>
    <w:rsid w:val="61BA6334"/>
    <w:rsid w:val="61F94C26"/>
    <w:rsid w:val="62000E56"/>
    <w:rsid w:val="624F3E49"/>
    <w:rsid w:val="62632286"/>
    <w:rsid w:val="626F711E"/>
    <w:rsid w:val="62885958"/>
    <w:rsid w:val="62F40B65"/>
    <w:rsid w:val="62FC2CFE"/>
    <w:rsid w:val="63024505"/>
    <w:rsid w:val="63027F93"/>
    <w:rsid w:val="630737FB"/>
    <w:rsid w:val="635600A5"/>
    <w:rsid w:val="635B1DB5"/>
    <w:rsid w:val="63711FED"/>
    <w:rsid w:val="63880DDC"/>
    <w:rsid w:val="638D750D"/>
    <w:rsid w:val="63AC6CC0"/>
    <w:rsid w:val="63F91396"/>
    <w:rsid w:val="64055776"/>
    <w:rsid w:val="64240056"/>
    <w:rsid w:val="64393E88"/>
    <w:rsid w:val="643E143A"/>
    <w:rsid w:val="64491666"/>
    <w:rsid w:val="6468651B"/>
    <w:rsid w:val="648B6EEF"/>
    <w:rsid w:val="64C158BF"/>
    <w:rsid w:val="64CE2EAA"/>
    <w:rsid w:val="653C3090"/>
    <w:rsid w:val="65854376"/>
    <w:rsid w:val="658767BE"/>
    <w:rsid w:val="65892531"/>
    <w:rsid w:val="66195831"/>
    <w:rsid w:val="662E75B1"/>
    <w:rsid w:val="66342C2E"/>
    <w:rsid w:val="663E784C"/>
    <w:rsid w:val="666001B3"/>
    <w:rsid w:val="668533B4"/>
    <w:rsid w:val="668B6A45"/>
    <w:rsid w:val="66A852F5"/>
    <w:rsid w:val="67011F07"/>
    <w:rsid w:val="672F3F24"/>
    <w:rsid w:val="673E055F"/>
    <w:rsid w:val="67551CE3"/>
    <w:rsid w:val="67A22552"/>
    <w:rsid w:val="67B22DCC"/>
    <w:rsid w:val="67BE71AA"/>
    <w:rsid w:val="67D90273"/>
    <w:rsid w:val="67DE5875"/>
    <w:rsid w:val="67E55852"/>
    <w:rsid w:val="67EB1AB4"/>
    <w:rsid w:val="67F61EAD"/>
    <w:rsid w:val="67F65BEC"/>
    <w:rsid w:val="67FA1285"/>
    <w:rsid w:val="68476448"/>
    <w:rsid w:val="68551F4F"/>
    <w:rsid w:val="687C10C9"/>
    <w:rsid w:val="68840C16"/>
    <w:rsid w:val="68872541"/>
    <w:rsid w:val="68876EFB"/>
    <w:rsid w:val="68884654"/>
    <w:rsid w:val="689F444F"/>
    <w:rsid w:val="68B96DBB"/>
    <w:rsid w:val="68BA4FCC"/>
    <w:rsid w:val="68CA2805"/>
    <w:rsid w:val="68E937A3"/>
    <w:rsid w:val="691664E5"/>
    <w:rsid w:val="693E15D3"/>
    <w:rsid w:val="69627681"/>
    <w:rsid w:val="6977531D"/>
    <w:rsid w:val="697F5E1B"/>
    <w:rsid w:val="69842B01"/>
    <w:rsid w:val="69C51D1A"/>
    <w:rsid w:val="69CC2BFF"/>
    <w:rsid w:val="69FD55B8"/>
    <w:rsid w:val="6A003B60"/>
    <w:rsid w:val="6A086DE1"/>
    <w:rsid w:val="6A0B1C62"/>
    <w:rsid w:val="6A2406C8"/>
    <w:rsid w:val="6A415844"/>
    <w:rsid w:val="6ADE0BD1"/>
    <w:rsid w:val="6AE96859"/>
    <w:rsid w:val="6B147746"/>
    <w:rsid w:val="6B24787C"/>
    <w:rsid w:val="6B573233"/>
    <w:rsid w:val="6B5B6274"/>
    <w:rsid w:val="6B935D53"/>
    <w:rsid w:val="6B9E05AF"/>
    <w:rsid w:val="6BF15048"/>
    <w:rsid w:val="6C196F71"/>
    <w:rsid w:val="6C226FCB"/>
    <w:rsid w:val="6C31226F"/>
    <w:rsid w:val="6C47110C"/>
    <w:rsid w:val="6C552F0B"/>
    <w:rsid w:val="6C8C67B7"/>
    <w:rsid w:val="6C924135"/>
    <w:rsid w:val="6C9D744C"/>
    <w:rsid w:val="6CC3531E"/>
    <w:rsid w:val="6CFB58C9"/>
    <w:rsid w:val="6D167928"/>
    <w:rsid w:val="6D26299B"/>
    <w:rsid w:val="6D4772EC"/>
    <w:rsid w:val="6D9078AF"/>
    <w:rsid w:val="6DAA3FEF"/>
    <w:rsid w:val="6DC0172B"/>
    <w:rsid w:val="6DCB690C"/>
    <w:rsid w:val="6DD41A5B"/>
    <w:rsid w:val="6DEA7FA1"/>
    <w:rsid w:val="6DF43C2E"/>
    <w:rsid w:val="6DF51CA3"/>
    <w:rsid w:val="6E8335BD"/>
    <w:rsid w:val="6E8E12EF"/>
    <w:rsid w:val="6E972936"/>
    <w:rsid w:val="6ED446C5"/>
    <w:rsid w:val="6F2A7D94"/>
    <w:rsid w:val="6F8331F1"/>
    <w:rsid w:val="6FAE1A09"/>
    <w:rsid w:val="6FD75BF8"/>
    <w:rsid w:val="70111815"/>
    <w:rsid w:val="704240C4"/>
    <w:rsid w:val="704B4683"/>
    <w:rsid w:val="707723D0"/>
    <w:rsid w:val="70B03F0B"/>
    <w:rsid w:val="70F5661B"/>
    <w:rsid w:val="71360107"/>
    <w:rsid w:val="713B688E"/>
    <w:rsid w:val="71864485"/>
    <w:rsid w:val="71D43752"/>
    <w:rsid w:val="71F1796A"/>
    <w:rsid w:val="72154626"/>
    <w:rsid w:val="72262B5D"/>
    <w:rsid w:val="72283FF7"/>
    <w:rsid w:val="722E7212"/>
    <w:rsid w:val="723A0474"/>
    <w:rsid w:val="725923E4"/>
    <w:rsid w:val="72864BF7"/>
    <w:rsid w:val="729023FC"/>
    <w:rsid w:val="72F571CC"/>
    <w:rsid w:val="73BE7F06"/>
    <w:rsid w:val="73C0646E"/>
    <w:rsid w:val="73E7CF11"/>
    <w:rsid w:val="742222F5"/>
    <w:rsid w:val="74476126"/>
    <w:rsid w:val="74706664"/>
    <w:rsid w:val="747F3682"/>
    <w:rsid w:val="7499627D"/>
    <w:rsid w:val="749C4185"/>
    <w:rsid w:val="74FE1C24"/>
    <w:rsid w:val="75067759"/>
    <w:rsid w:val="751122B7"/>
    <w:rsid w:val="75263FB5"/>
    <w:rsid w:val="752E6DCD"/>
    <w:rsid w:val="7551380D"/>
    <w:rsid w:val="75524DAA"/>
    <w:rsid w:val="75600BE5"/>
    <w:rsid w:val="7564475C"/>
    <w:rsid w:val="7583797F"/>
    <w:rsid w:val="75D20F1D"/>
    <w:rsid w:val="75DA2C18"/>
    <w:rsid w:val="75F54412"/>
    <w:rsid w:val="761D08E0"/>
    <w:rsid w:val="762B1527"/>
    <w:rsid w:val="7641097A"/>
    <w:rsid w:val="765D347C"/>
    <w:rsid w:val="76826699"/>
    <w:rsid w:val="76C87133"/>
    <w:rsid w:val="76CD08D5"/>
    <w:rsid w:val="76DB4B92"/>
    <w:rsid w:val="76FD013A"/>
    <w:rsid w:val="77052AA4"/>
    <w:rsid w:val="77136511"/>
    <w:rsid w:val="772938E8"/>
    <w:rsid w:val="77340A39"/>
    <w:rsid w:val="77351FD0"/>
    <w:rsid w:val="77472422"/>
    <w:rsid w:val="775B5A6C"/>
    <w:rsid w:val="777F31F2"/>
    <w:rsid w:val="77A6318B"/>
    <w:rsid w:val="77D1700D"/>
    <w:rsid w:val="77EC04CC"/>
    <w:rsid w:val="77FE0876"/>
    <w:rsid w:val="78775729"/>
    <w:rsid w:val="78783D31"/>
    <w:rsid w:val="78A42DB0"/>
    <w:rsid w:val="78A656AB"/>
    <w:rsid w:val="78B2245C"/>
    <w:rsid w:val="78E172CC"/>
    <w:rsid w:val="78E35D19"/>
    <w:rsid w:val="78EA1D1F"/>
    <w:rsid w:val="7904172F"/>
    <w:rsid w:val="790F7E27"/>
    <w:rsid w:val="792A231A"/>
    <w:rsid w:val="79316829"/>
    <w:rsid w:val="797E66A9"/>
    <w:rsid w:val="798518A4"/>
    <w:rsid w:val="79A97383"/>
    <w:rsid w:val="79DC7338"/>
    <w:rsid w:val="79E27E8B"/>
    <w:rsid w:val="79F850CE"/>
    <w:rsid w:val="79F857F4"/>
    <w:rsid w:val="79FD443C"/>
    <w:rsid w:val="7A1D1975"/>
    <w:rsid w:val="7A3E5150"/>
    <w:rsid w:val="7A4670D6"/>
    <w:rsid w:val="7A534B63"/>
    <w:rsid w:val="7A615382"/>
    <w:rsid w:val="7A67303B"/>
    <w:rsid w:val="7A7C6425"/>
    <w:rsid w:val="7A861051"/>
    <w:rsid w:val="7A9B4AFD"/>
    <w:rsid w:val="7AAB1D04"/>
    <w:rsid w:val="7ABA4368"/>
    <w:rsid w:val="7AD05746"/>
    <w:rsid w:val="7ADB139D"/>
    <w:rsid w:val="7B257FFD"/>
    <w:rsid w:val="7B273D20"/>
    <w:rsid w:val="7B343476"/>
    <w:rsid w:val="7B5A2978"/>
    <w:rsid w:val="7B5A7E4C"/>
    <w:rsid w:val="7B667AF9"/>
    <w:rsid w:val="7B7468F8"/>
    <w:rsid w:val="7BA9702E"/>
    <w:rsid w:val="7BEE0103"/>
    <w:rsid w:val="7C0A0FE4"/>
    <w:rsid w:val="7C0E7550"/>
    <w:rsid w:val="7C254906"/>
    <w:rsid w:val="7C590818"/>
    <w:rsid w:val="7C727ADF"/>
    <w:rsid w:val="7C7C10F6"/>
    <w:rsid w:val="7C853BEA"/>
    <w:rsid w:val="7C881368"/>
    <w:rsid w:val="7CD50A1F"/>
    <w:rsid w:val="7CE27788"/>
    <w:rsid w:val="7D0C32F1"/>
    <w:rsid w:val="7D0F408D"/>
    <w:rsid w:val="7D3B25C7"/>
    <w:rsid w:val="7D491C6C"/>
    <w:rsid w:val="7D5176F5"/>
    <w:rsid w:val="7D5429C0"/>
    <w:rsid w:val="7D6E6D43"/>
    <w:rsid w:val="7D733B0F"/>
    <w:rsid w:val="7DB57A34"/>
    <w:rsid w:val="7DE60973"/>
    <w:rsid w:val="7DEF0916"/>
    <w:rsid w:val="7E1E5218"/>
    <w:rsid w:val="7E490D14"/>
    <w:rsid w:val="7E9A4E1F"/>
    <w:rsid w:val="7EA7723A"/>
    <w:rsid w:val="7EAA3560"/>
    <w:rsid w:val="7EF55B52"/>
    <w:rsid w:val="7EF56FBB"/>
    <w:rsid w:val="7EFC5D86"/>
    <w:rsid w:val="7F0768EB"/>
    <w:rsid w:val="7F143BEC"/>
    <w:rsid w:val="7F715AF2"/>
    <w:rsid w:val="7F886E69"/>
    <w:rsid w:val="7FE65AA0"/>
    <w:rsid w:val="7FF611A8"/>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321"/>
    <w:qFormat/>
    <w:uiPriority w:val="0"/>
    <w:pPr>
      <w:ind w:firstLine="420"/>
    </w:pPr>
    <w:rPr>
      <w:rFonts w:hAnsi="Calibri" w:cs="Times New Roman"/>
      <w:snapToGrid/>
      <w:szCs w:val="20"/>
    </w:rPr>
  </w:style>
  <w:style w:type="paragraph" w:styleId="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7"/>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9"/>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8"/>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1"/>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8"/>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99"/>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4"/>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703"/>
    <w:next w:val="25"/>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703">
    <w:name w:val="正文1"/>
    <w:basedOn w:val="32"/>
    <w:next w:val="704"/>
    <w:qFormat/>
    <w:uiPriority w:val="0"/>
    <w:pPr>
      <w:ind w:left="0" w:leftChars="0" w:firstLine="480" w:firstLineChars="200"/>
    </w:pPr>
    <w:rPr>
      <w:rFonts w:ascii="仿宋_GB2312" w:hAnsi="Courier New" w:eastAsia="仿宋_GB2312"/>
      <w:kern w:val="28"/>
      <w:sz w:val="24"/>
    </w:rPr>
  </w:style>
  <w:style w:type="paragraph" w:customStyle="1" w:styleId="704">
    <w:name w:val="标题 21"/>
    <w:basedOn w:val="703"/>
    <w:next w:val="703"/>
    <w:autoRedefine/>
    <w:qFormat/>
    <w:uiPriority w:val="0"/>
    <w:pPr>
      <w:keepNext/>
      <w:keepLines/>
      <w:ind w:left="106" w:firstLine="454"/>
      <w:outlineLvl w:val="1"/>
    </w:pPr>
    <w:rPr>
      <w:rFonts w:ascii="Arial" w:hAnsi="Arial" w:eastAsia="??"/>
      <w:b/>
      <w:bCs/>
      <w:szCs w:val="32"/>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6"/>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0"/>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5"/>
    <w:next w:val="640"/>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4"/>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0"/>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2"/>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8"/>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1"/>
    <w:qFormat/>
    <w:uiPriority w:val="0"/>
    <w:rPr>
      <w:b w:val="0"/>
      <w:sz w:val="20"/>
    </w:rPr>
  </w:style>
  <w:style w:type="paragraph" w:customStyle="1" w:styleId="895">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9"/>
    <w:next w:val="1"/>
    <w:qFormat/>
    <w:uiPriority w:val="0"/>
    <w:pPr>
      <w:tabs>
        <w:tab w:val="left" w:pos="1080"/>
      </w:tabs>
      <w:ind w:left="1080" w:hanging="1080"/>
    </w:pPr>
  </w:style>
  <w:style w:type="paragraph" w:customStyle="1" w:styleId="898">
    <w:name w:val="数字标题1"/>
    <w:basedOn w:val="4"/>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3"/>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2"/>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8"/>
    <w:qFormat/>
    <w:uiPriority w:val="0"/>
    <w:rPr>
      <w:kern w:val="2"/>
      <w:sz w:val="21"/>
      <w:szCs w:val="24"/>
      <w:lang w:val="zh-CN"/>
    </w:rPr>
  </w:style>
  <w:style w:type="character" w:customStyle="1" w:styleId="934">
    <w:name w:val="无间隔 Char"/>
    <w:link w:val="483"/>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8"/>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65</Pages>
  <Words>3300</Words>
  <Characters>3779</Characters>
  <Lines>281</Lines>
  <Paragraphs>79</Paragraphs>
  <TotalTime>9</TotalTime>
  <ScaleCrop>false</ScaleCrop>
  <LinksUpToDate>false</LinksUpToDate>
  <CharactersWithSpaces>4018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王尹</cp:lastModifiedBy>
  <cp:lastPrinted>2021-12-28T03:06:00Z</cp:lastPrinted>
  <dcterms:modified xsi:type="dcterms:W3CDTF">2025-04-01T10:08:28Z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eyJoZGlkIjoiMTY0ZWY0NmEyMTkwOWVmOTg5ZWQ1YWQ4MTBkYjNhZjkiLCJ1c2VySWQiOiIxMDg3NjY4NTkzIn0=</vt:lpwstr>
  </property>
</Properties>
</file>