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76A45">
      <w:pPr>
        <w:adjustRightInd w:val="0"/>
        <w:snapToGrid w:val="0"/>
        <w:jc w:val="center"/>
        <w:rPr>
          <w:rFonts w:ascii="黑体" w:hAnsi="宋体" w:eastAsia="黑体"/>
          <w:b/>
          <w:bCs/>
          <w:color w:val="auto"/>
          <w:spacing w:val="36"/>
          <w:sz w:val="84"/>
          <w:szCs w:val="84"/>
          <w:highlight w:val="none"/>
        </w:rPr>
      </w:pPr>
    </w:p>
    <w:p w14:paraId="70BC9191">
      <w:pPr>
        <w:adjustRightInd w:val="0"/>
        <w:snapToGrid w:val="0"/>
        <w:rPr>
          <w:rFonts w:ascii="黑体" w:hAnsi="宋体" w:eastAsia="黑体"/>
          <w:b/>
          <w:bCs/>
          <w:color w:val="auto"/>
          <w:spacing w:val="36"/>
          <w:sz w:val="84"/>
          <w:szCs w:val="84"/>
          <w:highlight w:val="none"/>
        </w:rPr>
      </w:pPr>
    </w:p>
    <w:p w14:paraId="7BB4241D">
      <w:pPr>
        <w:jc w:val="center"/>
        <w:rPr>
          <w:rFonts w:ascii="宋体" w:hAnsi="宋体"/>
          <w:b/>
          <w:color w:val="auto"/>
          <w:spacing w:val="80"/>
          <w:sz w:val="84"/>
          <w:szCs w:val="84"/>
          <w:highlight w:val="none"/>
        </w:rPr>
      </w:pPr>
      <w:r>
        <w:rPr>
          <w:rFonts w:hint="eastAsia" w:ascii="宋体" w:hAnsi="宋体"/>
          <w:b/>
          <w:color w:val="auto"/>
          <w:spacing w:val="80"/>
          <w:sz w:val="84"/>
          <w:szCs w:val="84"/>
          <w:highlight w:val="none"/>
        </w:rPr>
        <w:t>竞争性磋商文件</w:t>
      </w:r>
    </w:p>
    <w:p w14:paraId="3594DF62">
      <w:pPr>
        <w:adjustRightInd w:val="0"/>
        <w:snapToGrid w:val="0"/>
        <w:jc w:val="center"/>
        <w:rPr>
          <w:rFonts w:ascii="华文行楷" w:hAnsi="宋体" w:eastAsia="华文行楷"/>
          <w:b/>
          <w:bCs/>
          <w:color w:val="auto"/>
          <w:spacing w:val="36"/>
          <w:sz w:val="24"/>
          <w:highlight w:val="none"/>
        </w:rPr>
      </w:pPr>
    </w:p>
    <w:p w14:paraId="03D106E5">
      <w:pPr>
        <w:tabs>
          <w:tab w:val="left" w:pos="6861"/>
        </w:tabs>
        <w:adjustRightInd w:val="0"/>
        <w:snapToGrid w:val="0"/>
        <w:jc w:val="left"/>
        <w:rPr>
          <w:rFonts w:ascii="华文行楷" w:hAnsi="宋体" w:eastAsia="华文行楷"/>
          <w:b/>
          <w:bCs/>
          <w:color w:val="auto"/>
          <w:spacing w:val="36"/>
          <w:sz w:val="24"/>
          <w:highlight w:val="none"/>
        </w:rPr>
      </w:pPr>
      <w:r>
        <w:rPr>
          <w:rFonts w:hint="eastAsia" w:ascii="华文行楷" w:hAnsi="宋体" w:eastAsia="华文行楷"/>
          <w:b/>
          <w:bCs/>
          <w:color w:val="auto"/>
          <w:spacing w:val="36"/>
          <w:sz w:val="24"/>
          <w:highlight w:val="none"/>
        </w:rPr>
        <w:tab/>
      </w:r>
    </w:p>
    <w:p w14:paraId="78528CF7">
      <w:pPr>
        <w:adjustRightInd w:val="0"/>
        <w:snapToGrid w:val="0"/>
        <w:jc w:val="center"/>
        <w:rPr>
          <w:rFonts w:ascii="华文行楷" w:hAnsi="宋体" w:eastAsia="华文行楷"/>
          <w:b/>
          <w:bCs/>
          <w:color w:val="auto"/>
          <w:spacing w:val="36"/>
          <w:sz w:val="24"/>
          <w:highlight w:val="none"/>
        </w:rPr>
      </w:pPr>
    </w:p>
    <w:p w14:paraId="0499F1F8">
      <w:pPr>
        <w:adjustRightInd w:val="0"/>
        <w:snapToGrid w:val="0"/>
        <w:jc w:val="center"/>
        <w:rPr>
          <w:rFonts w:ascii="华文行楷" w:hAnsi="宋体" w:eastAsia="华文行楷"/>
          <w:b/>
          <w:bCs/>
          <w:color w:val="auto"/>
          <w:spacing w:val="36"/>
          <w:sz w:val="24"/>
          <w:highlight w:val="none"/>
        </w:rPr>
      </w:pPr>
    </w:p>
    <w:p w14:paraId="35B49185">
      <w:pPr>
        <w:adjustRightInd w:val="0"/>
        <w:snapToGrid w:val="0"/>
        <w:jc w:val="center"/>
        <w:rPr>
          <w:rFonts w:ascii="华文行楷" w:hAnsi="宋体" w:eastAsia="华文行楷"/>
          <w:b/>
          <w:bCs/>
          <w:color w:val="auto"/>
          <w:spacing w:val="36"/>
          <w:sz w:val="24"/>
          <w:highlight w:val="none"/>
        </w:rPr>
      </w:pPr>
    </w:p>
    <w:p w14:paraId="01C852E7">
      <w:pPr>
        <w:adjustRightInd w:val="0"/>
        <w:snapToGrid w:val="0"/>
        <w:spacing w:line="480" w:lineRule="auto"/>
        <w:ind w:firstLine="3122" w:firstLineChars="1300"/>
        <w:jc w:val="left"/>
        <w:rPr>
          <w:rFonts w:hint="eastAsia" w:ascii="宋体" w:hAnsi="宋体" w:eastAsia="宋体"/>
          <w:b/>
          <w:color w:val="auto"/>
          <w:sz w:val="24"/>
          <w:highlight w:val="none"/>
          <w:lang w:eastAsia="zh-CN"/>
        </w:rPr>
      </w:pPr>
      <w:r>
        <w:rPr>
          <w:rFonts w:hint="eastAsia" w:ascii="宋体" w:hAnsi="宋体"/>
          <w:b/>
          <w:color w:val="auto"/>
          <w:sz w:val="24"/>
          <w:highlight w:val="none"/>
        </w:rPr>
        <w:t>项目编号：</w:t>
      </w:r>
      <w:r>
        <w:rPr>
          <w:rFonts w:hint="eastAsia" w:ascii="宋体" w:hAnsi="宋体" w:eastAsia="宋体"/>
          <w:b/>
          <w:color w:val="auto"/>
          <w:sz w:val="24"/>
          <w:highlight w:val="none"/>
          <w:lang w:eastAsia="zh-CN"/>
        </w:rPr>
        <w:t>GTXJ(采购）-24009-1</w:t>
      </w:r>
    </w:p>
    <w:p w14:paraId="62F5AD74">
      <w:pPr>
        <w:adjustRightInd w:val="0"/>
        <w:snapToGrid w:val="0"/>
        <w:spacing w:line="480" w:lineRule="auto"/>
        <w:ind w:firstLine="240" w:firstLineChars="100"/>
        <w:jc w:val="center"/>
        <w:rPr>
          <w:rFonts w:hint="eastAsia" w:ascii="宋体" w:hAnsi="宋体" w:eastAsia="宋体"/>
          <w:b/>
          <w:color w:val="auto"/>
          <w:sz w:val="24"/>
          <w:highlight w:val="none"/>
          <w:lang w:eastAsia="zh-CN"/>
        </w:rPr>
      </w:pPr>
      <w:r>
        <w:rPr>
          <w:rFonts w:hint="eastAsia" w:ascii="宋体" w:hAnsi="宋体"/>
          <w:b/>
          <w:color w:val="auto"/>
          <w:sz w:val="24"/>
          <w:highlight w:val="none"/>
        </w:rPr>
        <w:t>项目名称：</w:t>
      </w:r>
      <w:r>
        <w:rPr>
          <w:rFonts w:hint="eastAsia" w:ascii="宋体" w:hAnsi="宋体" w:eastAsia="宋体"/>
          <w:b/>
          <w:color w:val="auto"/>
          <w:sz w:val="24"/>
          <w:highlight w:val="none"/>
          <w:lang w:eastAsia="zh-CN"/>
        </w:rPr>
        <w:t>2024年-2025年仙居县所有国、省道及县道公路绿化管护服务项目(重新招标）</w:t>
      </w:r>
    </w:p>
    <w:p w14:paraId="61CB07CE">
      <w:pPr>
        <w:spacing w:line="500" w:lineRule="atLeast"/>
        <w:ind w:firstLine="560" w:firstLineChars="200"/>
        <w:rPr>
          <w:rFonts w:ascii="宋体" w:hAnsi="宋体" w:eastAsia="华文行楷"/>
          <w:color w:val="auto"/>
          <w:sz w:val="28"/>
          <w:highlight w:val="none"/>
        </w:rPr>
      </w:pPr>
    </w:p>
    <w:p w14:paraId="17E7A119">
      <w:pPr>
        <w:spacing w:line="500" w:lineRule="atLeast"/>
        <w:ind w:firstLine="560" w:firstLineChars="200"/>
        <w:rPr>
          <w:rFonts w:ascii="宋体" w:hAnsi="宋体" w:eastAsia="华文行楷"/>
          <w:color w:val="auto"/>
          <w:sz w:val="28"/>
          <w:highlight w:val="none"/>
        </w:rPr>
      </w:pPr>
    </w:p>
    <w:p w14:paraId="4A9B1B9F">
      <w:pPr>
        <w:spacing w:line="500" w:lineRule="atLeast"/>
        <w:ind w:firstLine="600" w:firstLineChars="200"/>
        <w:rPr>
          <w:rFonts w:ascii="宋体" w:hAnsi="宋体"/>
          <w:bCs/>
          <w:color w:val="auto"/>
          <w:sz w:val="30"/>
          <w:highlight w:val="none"/>
        </w:rPr>
      </w:pPr>
    </w:p>
    <w:p w14:paraId="6CB94D06">
      <w:pPr>
        <w:spacing w:line="500" w:lineRule="atLeast"/>
        <w:rPr>
          <w:rFonts w:ascii="宋体" w:hAnsi="宋体"/>
          <w:bCs/>
          <w:color w:val="auto"/>
          <w:sz w:val="30"/>
          <w:highlight w:val="none"/>
        </w:rPr>
      </w:pPr>
    </w:p>
    <w:p w14:paraId="54D1C437">
      <w:pPr>
        <w:spacing w:line="500" w:lineRule="atLeast"/>
        <w:ind w:firstLine="600" w:firstLineChars="200"/>
        <w:rPr>
          <w:rFonts w:ascii="宋体" w:hAnsi="宋体"/>
          <w:bCs/>
          <w:color w:val="auto"/>
          <w:sz w:val="30"/>
          <w:highlight w:val="none"/>
        </w:rPr>
      </w:pPr>
    </w:p>
    <w:p w14:paraId="54CF4B14">
      <w:pPr>
        <w:spacing w:line="500" w:lineRule="atLeast"/>
        <w:ind w:firstLine="480" w:firstLineChars="200"/>
        <w:rPr>
          <w:rFonts w:ascii="宋体" w:hAnsi="宋体"/>
          <w:bCs/>
          <w:color w:val="auto"/>
          <w:sz w:val="24"/>
          <w:highlight w:val="none"/>
        </w:rPr>
      </w:pPr>
      <w:r>
        <w:rPr>
          <w:rFonts w:hint="eastAsia" w:ascii="宋体" w:hAnsi="宋体"/>
          <w:bCs/>
          <w:color w:val="auto"/>
          <w:sz w:val="24"/>
          <w:highlight w:val="none"/>
        </w:rPr>
        <w:t xml:space="preserve">            </w:t>
      </w:r>
    </w:p>
    <w:p w14:paraId="6B0153D4">
      <w:pPr>
        <w:spacing w:line="500" w:lineRule="atLeast"/>
        <w:ind w:left="360" w:leftChars="100" w:firstLine="1440" w:firstLineChars="600"/>
        <w:rPr>
          <w:rFonts w:ascii="宋体" w:hAnsi="宋体"/>
          <w:bCs/>
          <w:color w:val="auto"/>
          <w:sz w:val="24"/>
          <w:highlight w:val="none"/>
        </w:rPr>
      </w:pPr>
      <w:r>
        <w:rPr>
          <w:rFonts w:hint="eastAsia" w:ascii="宋体" w:hAnsi="宋体"/>
          <w:bCs/>
          <w:color w:val="auto"/>
          <w:sz w:val="24"/>
          <w:highlight w:val="none"/>
        </w:rPr>
        <w:t>采购单位：</w:t>
      </w:r>
      <w:r>
        <w:rPr>
          <w:rFonts w:hint="eastAsia" w:ascii="宋体" w:hAnsi="宋体"/>
          <w:bCs/>
          <w:color w:val="auto"/>
          <w:sz w:val="24"/>
          <w:highlight w:val="none"/>
          <w:u w:val="single"/>
        </w:rPr>
        <w:t>仙居县交通运输局（盖章）</w:t>
      </w:r>
    </w:p>
    <w:p w14:paraId="0F1A7D42">
      <w:pPr>
        <w:spacing w:line="500" w:lineRule="atLeast"/>
        <w:ind w:left="360" w:leftChars="100" w:firstLine="1440" w:firstLineChars="600"/>
        <w:rPr>
          <w:rFonts w:ascii="宋体" w:hAnsi="宋体"/>
          <w:bCs/>
          <w:color w:val="auto"/>
          <w:sz w:val="24"/>
          <w:highlight w:val="none"/>
        </w:rPr>
      </w:pPr>
      <w:r>
        <w:rPr>
          <w:rFonts w:hint="eastAsia" w:ascii="宋体" w:hAnsi="宋体"/>
          <w:bCs/>
          <w:color w:val="auto"/>
          <w:sz w:val="24"/>
          <w:highlight w:val="none"/>
        </w:rPr>
        <w:t>代理机构：</w:t>
      </w:r>
      <w:r>
        <w:rPr>
          <w:rFonts w:hint="eastAsia" w:ascii="宋体" w:hAnsi="宋体" w:eastAsia="宋体"/>
          <w:bCs/>
          <w:color w:val="auto"/>
          <w:sz w:val="24"/>
          <w:highlight w:val="none"/>
          <w:u w:val="single"/>
        </w:rPr>
        <w:t>浙江广通工程咨询有限公司</w:t>
      </w:r>
      <w:r>
        <w:rPr>
          <w:rFonts w:hint="eastAsia" w:ascii="宋体" w:hAnsi="宋体"/>
          <w:bCs/>
          <w:color w:val="auto"/>
          <w:sz w:val="24"/>
          <w:highlight w:val="none"/>
          <w:u w:val="single"/>
        </w:rPr>
        <w:t>（盖章）</w:t>
      </w:r>
    </w:p>
    <w:p w14:paraId="0E0E837C">
      <w:pPr>
        <w:spacing w:line="500" w:lineRule="atLeast"/>
        <w:jc w:val="center"/>
        <w:rPr>
          <w:rFonts w:ascii="宋体" w:hAnsi="宋体"/>
          <w:bCs/>
          <w:color w:val="auto"/>
          <w:sz w:val="24"/>
          <w:highlight w:val="none"/>
        </w:rPr>
      </w:pPr>
    </w:p>
    <w:p w14:paraId="769897BC">
      <w:pPr>
        <w:spacing w:line="500" w:lineRule="atLeast"/>
        <w:jc w:val="center"/>
        <w:rPr>
          <w:rFonts w:ascii="宋体" w:hAnsi="宋体"/>
          <w:bCs/>
          <w:color w:val="auto"/>
          <w:sz w:val="24"/>
          <w:highlight w:val="none"/>
        </w:rPr>
      </w:pPr>
      <w:r>
        <w:rPr>
          <w:rFonts w:hint="eastAsia" w:ascii="宋体" w:hAnsi="宋体"/>
          <w:bCs/>
          <w:color w:val="auto"/>
          <w:sz w:val="24"/>
          <w:highlight w:val="none"/>
        </w:rPr>
        <w:t>二〇二</w:t>
      </w:r>
      <w:r>
        <w:rPr>
          <w:rFonts w:hint="eastAsia" w:ascii="宋体" w:hAnsi="宋体" w:eastAsia="宋体"/>
          <w:bCs/>
          <w:color w:val="auto"/>
          <w:sz w:val="24"/>
          <w:highlight w:val="none"/>
          <w:lang w:eastAsia="zh-CN"/>
        </w:rPr>
        <w:t>四</w:t>
      </w:r>
      <w:r>
        <w:rPr>
          <w:rFonts w:hint="eastAsia" w:ascii="宋体" w:hAnsi="宋体"/>
          <w:bCs/>
          <w:color w:val="auto"/>
          <w:sz w:val="24"/>
          <w:highlight w:val="none"/>
        </w:rPr>
        <w:t>年</w:t>
      </w:r>
      <w:r>
        <w:rPr>
          <w:rFonts w:hint="eastAsia" w:ascii="宋体" w:hAnsi="宋体" w:eastAsia="宋体"/>
          <w:bCs/>
          <w:color w:val="auto"/>
          <w:sz w:val="24"/>
          <w:highlight w:val="none"/>
          <w:lang w:eastAsia="zh-CN"/>
        </w:rPr>
        <w:t>八</w:t>
      </w:r>
      <w:r>
        <w:rPr>
          <w:rFonts w:hint="eastAsia" w:ascii="宋体" w:hAnsi="宋体"/>
          <w:bCs/>
          <w:color w:val="auto"/>
          <w:sz w:val="24"/>
          <w:highlight w:val="none"/>
        </w:rPr>
        <w:t>月</w:t>
      </w:r>
    </w:p>
    <w:p w14:paraId="68427789">
      <w:pPr>
        <w:pStyle w:val="19"/>
        <w:jc w:val="both"/>
        <w:rPr>
          <w:color w:val="auto"/>
          <w:sz w:val="21"/>
          <w:szCs w:val="21"/>
          <w:highlight w:val="none"/>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14:paraId="7FFB978F">
      <w:pPr>
        <w:pStyle w:val="19"/>
        <w:rPr>
          <w:color w:val="auto"/>
          <w:sz w:val="36"/>
          <w:szCs w:val="36"/>
          <w:highlight w:val="none"/>
        </w:rPr>
      </w:pPr>
      <w:r>
        <w:rPr>
          <w:rFonts w:hint="eastAsia"/>
          <w:color w:val="auto"/>
          <w:sz w:val="36"/>
          <w:szCs w:val="36"/>
          <w:highlight w:val="none"/>
        </w:rPr>
        <w:t>目录</w:t>
      </w:r>
    </w:p>
    <w:p w14:paraId="409FF4DE">
      <w:pPr>
        <w:pStyle w:val="19"/>
        <w:rPr>
          <w:rFonts w:ascii="宋体" w:cs="宋体"/>
          <w:b w:val="0"/>
          <w:color w:val="auto"/>
          <w:sz w:val="24"/>
          <w:szCs w:val="24"/>
          <w:highlight w:val="none"/>
        </w:rPr>
      </w:pPr>
      <w:bookmarkStart w:id="0" w:name="_Toc27954"/>
      <w:r>
        <w:rPr>
          <w:b w:val="0"/>
          <w:color w:val="auto"/>
          <w:sz w:val="30"/>
          <w:szCs w:val="30"/>
          <w:highlight w:val="none"/>
        </w:rPr>
        <w:fldChar w:fldCharType="begin"/>
      </w:r>
      <w:r>
        <w:rPr>
          <w:b w:val="0"/>
          <w:color w:val="auto"/>
          <w:sz w:val="30"/>
          <w:szCs w:val="30"/>
          <w:highlight w:val="none"/>
        </w:rPr>
        <w:instrText xml:space="preserve"> TOC \o "1-3" \h \z \u </w:instrText>
      </w:r>
      <w:r>
        <w:rPr>
          <w:b w:val="0"/>
          <w:color w:val="auto"/>
          <w:sz w:val="30"/>
          <w:szCs w:val="30"/>
          <w:highlight w:val="none"/>
        </w:rPr>
        <w:fldChar w:fldCharType="separate"/>
      </w:r>
      <w:r>
        <w:rPr>
          <w:color w:val="auto"/>
          <w:highlight w:val="none"/>
        </w:rPr>
        <w:fldChar w:fldCharType="begin"/>
      </w:r>
      <w:r>
        <w:rPr>
          <w:color w:val="auto"/>
          <w:highlight w:val="none"/>
        </w:rPr>
        <w:instrText xml:space="preserve"> HYPERLINK \l "_Toc306901419" </w:instrText>
      </w:r>
      <w:r>
        <w:rPr>
          <w:color w:val="auto"/>
          <w:highlight w:val="none"/>
        </w:rPr>
        <w:fldChar w:fldCharType="separate"/>
      </w:r>
      <w:r>
        <w:rPr>
          <w:rStyle w:val="32"/>
          <w:rFonts w:hint="eastAsia" w:ascii="宋体" w:hAnsi="宋体" w:cs="宋体"/>
          <w:b w:val="0"/>
          <w:color w:val="auto"/>
          <w:sz w:val="24"/>
          <w:szCs w:val="24"/>
          <w:highlight w:val="none"/>
        </w:rPr>
        <w:t>第一部分</w:t>
      </w:r>
      <w:r>
        <w:rPr>
          <w:rStyle w:val="32"/>
          <w:rFonts w:ascii="宋体" w:hAnsi="宋体" w:cs="宋体"/>
          <w:b w:val="0"/>
          <w:color w:val="auto"/>
          <w:sz w:val="24"/>
          <w:szCs w:val="24"/>
          <w:highlight w:val="none"/>
        </w:rPr>
        <w:t xml:space="preserve"> </w:t>
      </w:r>
      <w:r>
        <w:rPr>
          <w:rStyle w:val="32"/>
          <w:rFonts w:hint="eastAsia" w:ascii="宋体" w:hAnsi="宋体" w:cs="宋体"/>
          <w:b w:val="0"/>
          <w:color w:val="auto"/>
          <w:sz w:val="24"/>
          <w:szCs w:val="24"/>
          <w:highlight w:val="none"/>
        </w:rPr>
        <w:t>磋商公告</w:t>
      </w:r>
      <w:r>
        <w:rPr>
          <w:rFonts w:ascii="宋体" w:cs="宋体"/>
          <w:b w:val="0"/>
          <w:color w:val="auto"/>
          <w:sz w:val="24"/>
          <w:szCs w:val="24"/>
          <w:highlight w:val="none"/>
        </w:rPr>
        <w:tab/>
      </w:r>
      <w:r>
        <w:rPr>
          <w:rFonts w:ascii="宋体" w:hAnsi="宋体" w:cs="宋体"/>
          <w:b w:val="0"/>
          <w:color w:val="auto"/>
          <w:sz w:val="24"/>
          <w:szCs w:val="24"/>
          <w:highlight w:val="none"/>
        </w:rPr>
        <w:t>2</w:t>
      </w:r>
      <w:r>
        <w:rPr>
          <w:rFonts w:ascii="宋体" w:hAnsi="宋体" w:cs="宋体"/>
          <w:b w:val="0"/>
          <w:color w:val="auto"/>
          <w:sz w:val="24"/>
          <w:szCs w:val="24"/>
          <w:highlight w:val="none"/>
        </w:rPr>
        <w:fldChar w:fldCharType="end"/>
      </w:r>
    </w:p>
    <w:p w14:paraId="4E7F5421">
      <w:pPr>
        <w:pStyle w:val="19"/>
        <w:rPr>
          <w:rFonts w:ascii="宋体" w:cs="宋体"/>
          <w:b w:val="0"/>
          <w:color w:val="auto"/>
          <w:sz w:val="24"/>
          <w:szCs w:val="24"/>
          <w:highlight w:val="none"/>
        </w:rPr>
      </w:pPr>
      <w:r>
        <w:rPr>
          <w:color w:val="auto"/>
          <w:highlight w:val="none"/>
        </w:rPr>
        <w:fldChar w:fldCharType="begin"/>
      </w:r>
      <w:r>
        <w:rPr>
          <w:color w:val="auto"/>
          <w:highlight w:val="none"/>
        </w:rPr>
        <w:instrText xml:space="preserve"> HYPERLINK \l "_Toc306901436" </w:instrText>
      </w:r>
      <w:r>
        <w:rPr>
          <w:color w:val="auto"/>
          <w:highlight w:val="none"/>
        </w:rPr>
        <w:fldChar w:fldCharType="separate"/>
      </w:r>
      <w:r>
        <w:rPr>
          <w:rStyle w:val="32"/>
          <w:rFonts w:hint="eastAsia" w:ascii="宋体" w:hAnsi="宋体" w:cs="宋体"/>
          <w:b w:val="0"/>
          <w:color w:val="auto"/>
          <w:sz w:val="24"/>
          <w:szCs w:val="24"/>
          <w:highlight w:val="none"/>
        </w:rPr>
        <w:t>第二部分</w:t>
      </w:r>
      <w:r>
        <w:rPr>
          <w:rStyle w:val="32"/>
          <w:rFonts w:ascii="宋体" w:hAnsi="宋体" w:cs="宋体"/>
          <w:b w:val="0"/>
          <w:color w:val="auto"/>
          <w:sz w:val="24"/>
          <w:szCs w:val="24"/>
          <w:highlight w:val="none"/>
        </w:rPr>
        <w:t xml:space="preserve"> </w:t>
      </w:r>
      <w:r>
        <w:rPr>
          <w:rStyle w:val="32"/>
          <w:rFonts w:hint="eastAsia" w:ascii="宋体" w:hAnsi="宋体" w:cs="宋体"/>
          <w:b w:val="0"/>
          <w:color w:val="auto"/>
          <w:sz w:val="24"/>
          <w:szCs w:val="24"/>
          <w:highlight w:val="none"/>
        </w:rPr>
        <w:t>采购需求</w:t>
      </w:r>
      <w:r>
        <w:rPr>
          <w:rFonts w:ascii="宋体" w:cs="宋体"/>
          <w:b w:val="0"/>
          <w:color w:val="auto"/>
          <w:sz w:val="24"/>
          <w:szCs w:val="24"/>
          <w:highlight w:val="none"/>
        </w:rPr>
        <w:tab/>
      </w:r>
      <w:r>
        <w:rPr>
          <w:rFonts w:ascii="宋体" w:hAnsi="宋体" w:cs="宋体"/>
          <w:b w:val="0"/>
          <w:color w:val="auto"/>
          <w:sz w:val="24"/>
          <w:szCs w:val="24"/>
          <w:highlight w:val="none"/>
        </w:rPr>
        <w:t>6</w:t>
      </w:r>
      <w:r>
        <w:rPr>
          <w:rFonts w:ascii="宋体" w:hAnsi="宋体" w:cs="宋体"/>
          <w:b w:val="0"/>
          <w:color w:val="auto"/>
          <w:sz w:val="24"/>
          <w:szCs w:val="24"/>
          <w:highlight w:val="none"/>
        </w:rPr>
        <w:fldChar w:fldCharType="end"/>
      </w:r>
    </w:p>
    <w:p w14:paraId="2EB7439D">
      <w:pPr>
        <w:pStyle w:val="19"/>
        <w:rPr>
          <w:rFonts w:ascii="宋体" w:cs="宋体"/>
          <w:b w:val="0"/>
          <w:color w:val="auto"/>
          <w:sz w:val="24"/>
          <w:szCs w:val="24"/>
          <w:highlight w:val="none"/>
        </w:rPr>
      </w:pPr>
      <w:r>
        <w:rPr>
          <w:color w:val="auto"/>
          <w:highlight w:val="none"/>
        </w:rPr>
        <w:fldChar w:fldCharType="begin"/>
      </w:r>
      <w:r>
        <w:rPr>
          <w:color w:val="auto"/>
          <w:highlight w:val="none"/>
        </w:rPr>
        <w:instrText xml:space="preserve"> HYPERLINK \l "_Toc306901444" </w:instrText>
      </w:r>
      <w:r>
        <w:rPr>
          <w:color w:val="auto"/>
          <w:highlight w:val="none"/>
        </w:rPr>
        <w:fldChar w:fldCharType="separate"/>
      </w:r>
      <w:r>
        <w:rPr>
          <w:rStyle w:val="32"/>
          <w:rFonts w:hint="eastAsia" w:ascii="宋体" w:hAnsi="宋体" w:cs="宋体"/>
          <w:b w:val="0"/>
          <w:color w:val="auto"/>
          <w:sz w:val="24"/>
          <w:szCs w:val="24"/>
          <w:highlight w:val="none"/>
        </w:rPr>
        <w:t>第三部分</w:t>
      </w:r>
      <w:r>
        <w:rPr>
          <w:rStyle w:val="32"/>
          <w:rFonts w:ascii="宋体" w:hAnsi="宋体" w:cs="宋体"/>
          <w:b w:val="0"/>
          <w:color w:val="auto"/>
          <w:sz w:val="24"/>
          <w:szCs w:val="24"/>
          <w:highlight w:val="none"/>
        </w:rPr>
        <w:t xml:space="preserve"> </w:t>
      </w:r>
      <w:r>
        <w:rPr>
          <w:rStyle w:val="32"/>
          <w:rFonts w:hint="eastAsia" w:ascii="宋体" w:hAnsi="宋体" w:cs="宋体"/>
          <w:b w:val="0"/>
          <w:color w:val="auto"/>
          <w:sz w:val="24"/>
          <w:szCs w:val="24"/>
          <w:highlight w:val="none"/>
        </w:rPr>
        <w:t>磋商须知</w:t>
      </w:r>
      <w:r>
        <w:rPr>
          <w:rFonts w:ascii="宋体" w:cs="宋体"/>
          <w:b w:val="0"/>
          <w:color w:val="auto"/>
          <w:sz w:val="24"/>
          <w:szCs w:val="24"/>
          <w:highlight w:val="none"/>
        </w:rPr>
        <w:tab/>
      </w:r>
      <w:r>
        <w:rPr>
          <w:rFonts w:ascii="宋体" w:hAnsi="宋体" w:cs="宋体"/>
          <w:b w:val="0"/>
          <w:color w:val="auto"/>
          <w:sz w:val="24"/>
          <w:szCs w:val="24"/>
          <w:highlight w:val="none"/>
        </w:rPr>
        <w:t>1</w:t>
      </w:r>
      <w:r>
        <w:rPr>
          <w:rFonts w:ascii="宋体" w:hAnsi="宋体" w:cs="宋体"/>
          <w:b w:val="0"/>
          <w:color w:val="auto"/>
          <w:sz w:val="24"/>
          <w:szCs w:val="24"/>
          <w:highlight w:val="none"/>
        </w:rPr>
        <w:fldChar w:fldCharType="end"/>
      </w:r>
      <w:r>
        <w:rPr>
          <w:rFonts w:ascii="宋体" w:hAnsi="宋体" w:cs="宋体"/>
          <w:b w:val="0"/>
          <w:color w:val="auto"/>
          <w:sz w:val="24"/>
          <w:szCs w:val="24"/>
          <w:highlight w:val="none"/>
        </w:rPr>
        <w:t>3</w:t>
      </w:r>
    </w:p>
    <w:p w14:paraId="7D8CA46A">
      <w:pPr>
        <w:pStyle w:val="19"/>
        <w:rPr>
          <w:rFonts w:ascii="宋体" w:cs="宋体"/>
          <w:b w:val="0"/>
          <w:color w:val="auto"/>
          <w:sz w:val="24"/>
          <w:szCs w:val="24"/>
          <w:highlight w:val="none"/>
        </w:rPr>
      </w:pPr>
      <w:r>
        <w:rPr>
          <w:color w:val="auto"/>
          <w:highlight w:val="none"/>
        </w:rPr>
        <w:fldChar w:fldCharType="begin"/>
      </w:r>
      <w:r>
        <w:rPr>
          <w:color w:val="auto"/>
          <w:highlight w:val="none"/>
        </w:rPr>
        <w:instrText xml:space="preserve"> HYPERLINK \l "_Toc306901457" </w:instrText>
      </w:r>
      <w:r>
        <w:rPr>
          <w:color w:val="auto"/>
          <w:highlight w:val="none"/>
        </w:rPr>
        <w:fldChar w:fldCharType="separate"/>
      </w:r>
      <w:r>
        <w:rPr>
          <w:rStyle w:val="32"/>
          <w:rFonts w:hint="eastAsia" w:ascii="宋体" w:hAnsi="宋体" w:cs="宋体"/>
          <w:b w:val="0"/>
          <w:color w:val="auto"/>
          <w:sz w:val="24"/>
          <w:szCs w:val="24"/>
          <w:highlight w:val="none"/>
        </w:rPr>
        <w:t>第四部分</w:t>
      </w:r>
      <w:r>
        <w:rPr>
          <w:rStyle w:val="32"/>
          <w:rFonts w:ascii="宋体" w:hAnsi="宋体" w:cs="宋体"/>
          <w:b w:val="0"/>
          <w:color w:val="auto"/>
          <w:sz w:val="24"/>
          <w:szCs w:val="24"/>
          <w:highlight w:val="none"/>
        </w:rPr>
        <w:t xml:space="preserve"> </w:t>
      </w:r>
      <w:r>
        <w:rPr>
          <w:rStyle w:val="32"/>
          <w:rFonts w:hint="eastAsia" w:ascii="宋体" w:hAnsi="宋体" w:cs="宋体"/>
          <w:b w:val="0"/>
          <w:color w:val="auto"/>
          <w:sz w:val="24"/>
          <w:szCs w:val="24"/>
          <w:highlight w:val="none"/>
        </w:rPr>
        <w:t>评标办法及评分标准</w:t>
      </w:r>
      <w:bookmarkStart w:id="1" w:name="_Hlt361670781"/>
      <w:r>
        <w:rPr>
          <w:rFonts w:ascii="宋体" w:cs="宋体"/>
          <w:b w:val="0"/>
          <w:color w:val="auto"/>
          <w:sz w:val="24"/>
          <w:szCs w:val="24"/>
          <w:highlight w:val="none"/>
        </w:rPr>
        <w:tab/>
      </w:r>
      <w:bookmarkEnd w:id="1"/>
      <w:r>
        <w:rPr>
          <w:rFonts w:ascii="宋体" w:cs="宋体"/>
          <w:b w:val="0"/>
          <w:color w:val="auto"/>
          <w:sz w:val="24"/>
          <w:szCs w:val="24"/>
          <w:highlight w:val="none"/>
        </w:rPr>
        <w:fldChar w:fldCharType="end"/>
      </w:r>
      <w:r>
        <w:rPr>
          <w:rFonts w:ascii="宋体" w:hAnsi="宋体" w:cs="宋体"/>
          <w:b w:val="0"/>
          <w:color w:val="auto"/>
          <w:sz w:val="24"/>
          <w:szCs w:val="24"/>
          <w:highlight w:val="none"/>
        </w:rPr>
        <w:t>25</w:t>
      </w:r>
    </w:p>
    <w:p w14:paraId="6E0BD174">
      <w:pPr>
        <w:pStyle w:val="19"/>
        <w:rPr>
          <w:rFonts w:ascii="宋体" w:cs="宋体"/>
          <w:b w:val="0"/>
          <w:color w:val="auto"/>
          <w:sz w:val="24"/>
          <w:szCs w:val="24"/>
          <w:highlight w:val="none"/>
        </w:rPr>
      </w:pPr>
      <w:r>
        <w:rPr>
          <w:color w:val="auto"/>
          <w:highlight w:val="none"/>
        </w:rPr>
        <w:fldChar w:fldCharType="begin"/>
      </w:r>
      <w:r>
        <w:rPr>
          <w:color w:val="auto"/>
          <w:highlight w:val="none"/>
        </w:rPr>
        <w:instrText xml:space="preserve"> HYPERLINK \l "_Toc306901461" </w:instrText>
      </w:r>
      <w:r>
        <w:rPr>
          <w:color w:val="auto"/>
          <w:highlight w:val="none"/>
        </w:rPr>
        <w:fldChar w:fldCharType="separate"/>
      </w:r>
      <w:r>
        <w:rPr>
          <w:rStyle w:val="32"/>
          <w:rFonts w:hint="eastAsia" w:ascii="宋体" w:hAnsi="宋体" w:cs="宋体"/>
          <w:b w:val="0"/>
          <w:color w:val="auto"/>
          <w:sz w:val="24"/>
          <w:szCs w:val="24"/>
          <w:highlight w:val="none"/>
        </w:rPr>
        <w:t>第五部分</w:t>
      </w:r>
      <w:r>
        <w:rPr>
          <w:rStyle w:val="32"/>
          <w:rFonts w:ascii="宋体" w:hAnsi="宋体" w:cs="宋体"/>
          <w:b w:val="0"/>
          <w:color w:val="auto"/>
          <w:sz w:val="24"/>
          <w:szCs w:val="24"/>
          <w:highlight w:val="none"/>
        </w:rPr>
        <w:t xml:space="preserve"> </w:t>
      </w:r>
      <w:r>
        <w:rPr>
          <w:rStyle w:val="32"/>
          <w:rFonts w:hint="eastAsia" w:ascii="宋体" w:hAnsi="宋体" w:cs="宋体"/>
          <w:b w:val="0"/>
          <w:color w:val="auto"/>
          <w:sz w:val="24"/>
          <w:szCs w:val="24"/>
          <w:highlight w:val="none"/>
        </w:rPr>
        <w:t>合同</w:t>
      </w:r>
      <w:r>
        <w:rPr>
          <w:rFonts w:ascii="宋体" w:cs="宋体"/>
          <w:b w:val="0"/>
          <w:color w:val="auto"/>
          <w:sz w:val="24"/>
          <w:szCs w:val="24"/>
          <w:highlight w:val="none"/>
        </w:rPr>
        <w:tab/>
      </w:r>
      <w:r>
        <w:rPr>
          <w:rFonts w:ascii="宋体" w:hAnsi="宋体" w:cs="宋体"/>
          <w:b w:val="0"/>
          <w:color w:val="auto"/>
          <w:sz w:val="24"/>
          <w:szCs w:val="24"/>
          <w:highlight w:val="none"/>
        </w:rPr>
        <w:t>27</w:t>
      </w:r>
      <w:r>
        <w:rPr>
          <w:rFonts w:ascii="宋体" w:hAnsi="宋体" w:cs="宋体"/>
          <w:b w:val="0"/>
          <w:color w:val="auto"/>
          <w:sz w:val="24"/>
          <w:szCs w:val="24"/>
          <w:highlight w:val="none"/>
        </w:rPr>
        <w:fldChar w:fldCharType="end"/>
      </w:r>
    </w:p>
    <w:p w14:paraId="3A23E9C9">
      <w:pPr>
        <w:pStyle w:val="19"/>
        <w:rPr>
          <w:b w:val="0"/>
          <w:color w:val="auto"/>
          <w:sz w:val="32"/>
          <w:szCs w:val="32"/>
          <w:highlight w:val="none"/>
        </w:rPr>
      </w:pPr>
      <w:r>
        <w:rPr>
          <w:color w:val="auto"/>
          <w:highlight w:val="none"/>
        </w:rPr>
        <w:fldChar w:fldCharType="begin"/>
      </w:r>
      <w:r>
        <w:rPr>
          <w:color w:val="auto"/>
          <w:highlight w:val="none"/>
        </w:rPr>
        <w:instrText xml:space="preserve"> HYPERLINK \l "_Toc306901462" </w:instrText>
      </w:r>
      <w:r>
        <w:rPr>
          <w:color w:val="auto"/>
          <w:highlight w:val="none"/>
        </w:rPr>
        <w:fldChar w:fldCharType="separate"/>
      </w:r>
      <w:r>
        <w:rPr>
          <w:rStyle w:val="32"/>
          <w:rFonts w:hint="eastAsia" w:ascii="宋体" w:hAnsi="宋体" w:cs="宋体"/>
          <w:b w:val="0"/>
          <w:color w:val="auto"/>
          <w:sz w:val="24"/>
          <w:szCs w:val="24"/>
          <w:highlight w:val="none"/>
        </w:rPr>
        <w:t>第六部分</w:t>
      </w:r>
      <w:r>
        <w:rPr>
          <w:rStyle w:val="32"/>
          <w:rFonts w:ascii="宋体" w:hAnsi="宋体" w:cs="宋体"/>
          <w:b w:val="0"/>
          <w:color w:val="auto"/>
          <w:sz w:val="24"/>
          <w:szCs w:val="24"/>
          <w:highlight w:val="none"/>
        </w:rPr>
        <w:t xml:space="preserve"> </w:t>
      </w:r>
      <w:r>
        <w:rPr>
          <w:rStyle w:val="32"/>
          <w:rFonts w:hint="eastAsia" w:ascii="宋体" w:hAnsi="宋体" w:cs="宋体"/>
          <w:b w:val="0"/>
          <w:color w:val="auto"/>
          <w:sz w:val="24"/>
          <w:szCs w:val="24"/>
          <w:highlight w:val="none"/>
        </w:rPr>
        <w:t>磋商响应文件格式</w:t>
      </w:r>
      <w:r>
        <w:rPr>
          <w:rFonts w:ascii="宋体" w:cs="宋体"/>
          <w:b w:val="0"/>
          <w:color w:val="auto"/>
          <w:sz w:val="24"/>
          <w:szCs w:val="24"/>
          <w:highlight w:val="none"/>
        </w:rPr>
        <w:tab/>
      </w:r>
      <w:r>
        <w:rPr>
          <w:rFonts w:ascii="宋体" w:hAnsi="宋体" w:cs="宋体"/>
          <w:b w:val="0"/>
          <w:color w:val="auto"/>
          <w:sz w:val="24"/>
          <w:szCs w:val="24"/>
          <w:highlight w:val="none"/>
        </w:rPr>
        <w:t>41</w:t>
      </w:r>
      <w:r>
        <w:rPr>
          <w:rFonts w:ascii="宋体" w:hAnsi="宋体" w:cs="宋体"/>
          <w:b w:val="0"/>
          <w:color w:val="auto"/>
          <w:sz w:val="24"/>
          <w:szCs w:val="24"/>
          <w:highlight w:val="none"/>
        </w:rPr>
        <w:fldChar w:fldCharType="end"/>
      </w:r>
    </w:p>
    <w:p w14:paraId="67A811D4">
      <w:pPr>
        <w:pStyle w:val="15"/>
        <w:snapToGrid w:val="0"/>
        <w:spacing w:before="120" w:after="120" w:line="360" w:lineRule="exact"/>
        <w:jc w:val="center"/>
        <w:outlineLvl w:val="0"/>
        <w:rPr>
          <w:rFonts w:ascii="黑体" w:hAnsi="宋体" w:eastAsia="黑体"/>
          <w:color w:val="auto"/>
          <w:sz w:val="30"/>
          <w:szCs w:val="30"/>
          <w:highlight w:val="none"/>
        </w:rPr>
      </w:pPr>
      <w:r>
        <w:rPr>
          <w:b/>
          <w:color w:val="auto"/>
          <w:sz w:val="30"/>
          <w:szCs w:val="30"/>
          <w:highlight w:val="none"/>
        </w:rPr>
        <w:fldChar w:fldCharType="end"/>
      </w:r>
      <w:r>
        <w:rPr>
          <w:b/>
          <w:color w:val="auto"/>
          <w:sz w:val="44"/>
          <w:szCs w:val="44"/>
          <w:highlight w:val="none"/>
        </w:rPr>
        <w:br w:type="page"/>
      </w:r>
      <w:bookmarkStart w:id="2" w:name="_Toc218007959"/>
      <w:bookmarkStart w:id="3" w:name="_Toc217998399"/>
      <w:bookmarkStart w:id="4" w:name="_Toc301444164"/>
      <w:bookmarkStart w:id="5" w:name="_Toc255821799"/>
      <w:bookmarkStart w:id="6" w:name="_Toc237079649"/>
      <w:bookmarkStart w:id="7" w:name="_Toc290043085"/>
      <w:bookmarkStart w:id="8" w:name="_Toc261001136"/>
      <w:bookmarkStart w:id="9" w:name="_Toc237656250"/>
      <w:bookmarkStart w:id="10" w:name="_Toc248896331"/>
      <w:bookmarkStart w:id="11" w:name="_Toc255459621"/>
      <w:bookmarkStart w:id="12" w:name="_Toc239128656"/>
      <w:bookmarkStart w:id="13" w:name="_Toc306901421"/>
      <w:bookmarkStart w:id="14" w:name="_Toc277078921"/>
      <w:bookmarkStart w:id="15" w:name="_Toc292375873"/>
      <w:bookmarkStart w:id="16" w:name="_Toc261001044"/>
      <w:bookmarkStart w:id="17" w:name="_Toc255819805"/>
      <w:bookmarkStart w:id="18" w:name="_Toc240724029"/>
      <w:bookmarkStart w:id="19" w:name="_Toc237138373"/>
      <w:bookmarkStart w:id="20" w:name="_Toc240724364"/>
      <w:bookmarkStart w:id="21" w:name="_Toc302983069"/>
      <w:bookmarkStart w:id="22" w:name="_Toc248896024"/>
      <w:bookmarkStart w:id="23" w:name="_Toc218007228"/>
      <w:bookmarkStart w:id="24" w:name="_Toc238443285"/>
      <w:bookmarkStart w:id="25" w:name="_Toc283973049"/>
      <w:bookmarkStart w:id="26" w:name="_Toc248896172"/>
      <w:r>
        <w:rPr>
          <w:rFonts w:hint="eastAsia" w:hAnsi="宋体" w:eastAsia="宋体" w:cs="宋体"/>
          <w:b/>
          <w:bCs/>
          <w:color w:val="auto"/>
          <w:sz w:val="36"/>
          <w:szCs w:val="36"/>
          <w:highlight w:val="none"/>
        </w:rPr>
        <w:t>第一部分 竞争性磋商公告</w:t>
      </w:r>
      <w:bookmarkEnd w:id="0"/>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tblPr>
        <w:tblStyle w:val="2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31AA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948" w:type="dxa"/>
          </w:tcPr>
          <w:p w14:paraId="5B6B03CB">
            <w:pPr>
              <w:pStyle w:val="25"/>
              <w:spacing w:before="0" w:beforeAutospacing="0" w:after="0" w:afterAutospacing="0" w:line="360" w:lineRule="auto"/>
              <w:rPr>
                <w:rFonts w:hint="default" w:eastAsia="宋体" w:cs="宋体"/>
                <w:color w:val="auto"/>
                <w:sz w:val="21"/>
                <w:szCs w:val="21"/>
                <w:highlight w:val="none"/>
              </w:rPr>
            </w:pPr>
            <w:bookmarkStart w:id="27" w:name="B30_其他事项"/>
            <w:r>
              <w:rPr>
                <w:rFonts w:ascii="微软雅黑" w:hAnsi="微软雅黑" w:eastAsia="微软雅黑" w:cs="微软雅黑"/>
                <w:color w:val="auto"/>
                <w:sz w:val="31"/>
                <w:szCs w:val="31"/>
                <w:highlight w:val="none"/>
              </w:rPr>
              <w:t> </w:t>
            </w:r>
            <w:r>
              <w:rPr>
                <w:rFonts w:eastAsia="宋体" w:cs="宋体"/>
                <w:color w:val="auto"/>
                <w:sz w:val="21"/>
                <w:szCs w:val="21"/>
                <w:highlight w:val="none"/>
              </w:rPr>
              <w:t> 项目概况</w:t>
            </w:r>
          </w:p>
          <w:p w14:paraId="56F93EC9">
            <w:pPr>
              <w:pStyle w:val="25"/>
              <w:spacing w:before="0" w:beforeAutospacing="0" w:after="0" w:afterAutospacing="0" w:line="360" w:lineRule="auto"/>
              <w:jc w:val="both"/>
              <w:rPr>
                <w:rFonts w:hint="default" w:eastAsia="宋体" w:cs="宋体"/>
                <w:b/>
                <w:color w:val="auto"/>
                <w:kern w:val="2"/>
                <w:sz w:val="21"/>
                <w:szCs w:val="21"/>
                <w:highlight w:val="none"/>
                <w:lang w:bidi="ar"/>
              </w:rPr>
            </w:pPr>
            <w:r>
              <w:rPr>
                <w:rFonts w:eastAsia="宋体" w:cs="宋体"/>
                <w:color w:val="auto"/>
                <w:sz w:val="21"/>
                <w:szCs w:val="21"/>
                <w:highlight w:val="none"/>
              </w:rPr>
              <w:t> </w:t>
            </w:r>
            <w:r>
              <w:rPr>
                <w:rFonts w:eastAsia="宋体" w:cs="宋体"/>
                <w:color w:val="auto"/>
                <w:sz w:val="21"/>
                <w:szCs w:val="21"/>
                <w:highlight w:val="none"/>
                <w:u w:val="single"/>
              </w:rPr>
              <w:t> </w:t>
            </w:r>
            <w:r>
              <w:rPr>
                <w:rFonts w:hint="eastAsia" w:eastAsia="宋体" w:cs="宋体"/>
                <w:color w:val="auto"/>
                <w:sz w:val="21"/>
                <w:szCs w:val="21"/>
                <w:highlight w:val="none"/>
                <w:u w:val="single"/>
                <w:lang w:eastAsia="zh-CN"/>
              </w:rPr>
              <w:t>2024年-2025年仙居县所有国、省道及县道公路绿化管护服务项目(重新招标）</w:t>
            </w:r>
            <w:r>
              <w:rPr>
                <w:rFonts w:cs="宋体"/>
                <w:color w:val="auto"/>
                <w:sz w:val="21"/>
                <w:szCs w:val="21"/>
                <w:highlight w:val="none"/>
                <w:u w:val="single"/>
              </w:rPr>
              <w:t xml:space="preserve"> </w:t>
            </w:r>
            <w:r>
              <w:rPr>
                <w:rFonts w:eastAsia="宋体" w:cs="宋体"/>
                <w:color w:val="auto"/>
                <w:sz w:val="21"/>
                <w:szCs w:val="21"/>
                <w:highlight w:val="none"/>
              </w:rPr>
              <w:t>采购项目的潜在供应商应在</w:t>
            </w:r>
            <w:r>
              <w:rPr>
                <w:rFonts w:eastAsia="宋体" w:cs="宋体"/>
                <w:color w:val="auto"/>
                <w:sz w:val="21"/>
                <w:szCs w:val="21"/>
                <w:highlight w:val="none"/>
                <w:u w:val="single"/>
              </w:rPr>
              <w:t xml:space="preserve"> 浙江政府采购网（http://zfcg.czt.zj.gov.cn/） </w:t>
            </w:r>
            <w:r>
              <w:rPr>
                <w:rFonts w:eastAsia="宋体" w:cs="宋体"/>
                <w:color w:val="auto"/>
                <w:sz w:val="21"/>
                <w:szCs w:val="21"/>
                <w:highlight w:val="none"/>
              </w:rPr>
              <w:t>获取（下载）采购文件，并于</w:t>
            </w:r>
            <w:r>
              <w:rPr>
                <w:rFonts w:eastAsia="宋体" w:cs="宋体"/>
                <w:color w:val="auto"/>
                <w:sz w:val="21"/>
                <w:szCs w:val="21"/>
                <w:highlight w:val="none"/>
                <w:u w:val="single"/>
              </w:rPr>
              <w:t>202</w:t>
            </w:r>
            <w:r>
              <w:rPr>
                <w:rFonts w:hint="eastAsia" w:eastAsia="宋体" w:cs="宋体"/>
                <w:color w:val="auto"/>
                <w:sz w:val="21"/>
                <w:szCs w:val="21"/>
                <w:highlight w:val="none"/>
                <w:u w:val="single"/>
                <w:lang w:val="en-US" w:eastAsia="zh-CN"/>
              </w:rPr>
              <w:t>4</w:t>
            </w:r>
            <w:r>
              <w:rPr>
                <w:rFonts w:eastAsia="宋体" w:cs="宋体"/>
                <w:color w:val="auto"/>
                <w:sz w:val="21"/>
                <w:szCs w:val="21"/>
                <w:highlight w:val="none"/>
                <w:u w:val="single"/>
              </w:rPr>
              <w:t>年</w:t>
            </w:r>
            <w:r>
              <w:rPr>
                <w:rFonts w:hint="eastAsia" w:eastAsia="宋体" w:cs="宋体"/>
                <w:color w:val="auto"/>
                <w:sz w:val="21"/>
                <w:szCs w:val="21"/>
                <w:highlight w:val="none"/>
                <w:u w:val="single"/>
                <w:lang w:val="en-US" w:eastAsia="zh-CN"/>
              </w:rPr>
              <w:t>9</w:t>
            </w:r>
            <w:r>
              <w:rPr>
                <w:rFonts w:eastAsia="宋体" w:cs="宋体"/>
                <w:color w:val="auto"/>
                <w:sz w:val="21"/>
                <w:szCs w:val="21"/>
                <w:highlight w:val="none"/>
                <w:u w:val="single"/>
              </w:rPr>
              <w:t>月</w:t>
            </w:r>
            <w:r>
              <w:rPr>
                <w:rFonts w:hint="eastAsia" w:eastAsia="宋体" w:cs="宋体"/>
                <w:color w:val="auto"/>
                <w:sz w:val="21"/>
                <w:szCs w:val="21"/>
                <w:highlight w:val="none"/>
                <w:u w:val="single"/>
                <w:lang w:val="en-US" w:eastAsia="zh-CN"/>
              </w:rPr>
              <w:t xml:space="preserve"> 2</w:t>
            </w:r>
            <w:r>
              <w:rPr>
                <w:rFonts w:eastAsia="宋体" w:cs="宋体"/>
                <w:color w:val="auto"/>
                <w:sz w:val="21"/>
                <w:szCs w:val="21"/>
                <w:highlight w:val="none"/>
                <w:u w:val="single"/>
              </w:rPr>
              <w:t>日09:00（北京时间）前提交（上传）响应文件</w:t>
            </w:r>
          </w:p>
        </w:tc>
      </w:tr>
    </w:tbl>
    <w:p w14:paraId="0D841B22">
      <w:pPr>
        <w:pStyle w:val="25"/>
        <w:widowControl w:val="0"/>
        <w:numPr>
          <w:ilvl w:val="0"/>
          <w:numId w:val="2"/>
        </w:numPr>
        <w:spacing w:before="0" w:beforeAutospacing="0" w:after="0" w:afterAutospacing="0" w:line="400" w:lineRule="exact"/>
        <w:ind w:left="0" w:firstLine="422" w:firstLineChars="200"/>
        <w:jc w:val="both"/>
        <w:rPr>
          <w:rFonts w:hint="default" w:eastAsia="宋体" w:cs="宋体"/>
          <w:b/>
          <w:color w:val="auto"/>
          <w:kern w:val="2"/>
          <w:sz w:val="21"/>
          <w:szCs w:val="21"/>
          <w:highlight w:val="none"/>
          <w:lang w:bidi="ar"/>
        </w:rPr>
      </w:pPr>
      <w:r>
        <w:rPr>
          <w:rFonts w:eastAsia="宋体" w:cs="宋体"/>
          <w:b/>
          <w:color w:val="auto"/>
          <w:kern w:val="2"/>
          <w:sz w:val="21"/>
          <w:szCs w:val="21"/>
          <w:highlight w:val="none"/>
          <w:lang w:bidi="ar"/>
        </w:rPr>
        <w:t>项目基本情况</w:t>
      </w:r>
    </w:p>
    <w:p w14:paraId="523AEF46">
      <w:pPr>
        <w:spacing w:line="40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lang w:eastAsia="zh-CN"/>
        </w:rPr>
        <w:t>GTXJ(采购）-24009-1</w:t>
      </w:r>
    </w:p>
    <w:p w14:paraId="75A2CE96">
      <w:pPr>
        <w:spacing w:line="40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2024年-2025年仙居县所有国、省道及县道公路绿化管护服务项目(重新招标）</w:t>
      </w:r>
    </w:p>
    <w:p w14:paraId="7F993632">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采购方式：竞争性磋商</w:t>
      </w:r>
    </w:p>
    <w:p w14:paraId="7F083DF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预算金额：标项一：</w:t>
      </w:r>
      <w:r>
        <w:rPr>
          <w:rFonts w:hint="eastAsia" w:ascii="宋体" w:hAnsi="宋体" w:eastAsia="宋体" w:cs="宋体"/>
          <w:color w:val="auto"/>
          <w:kern w:val="0"/>
          <w:sz w:val="21"/>
          <w:szCs w:val="21"/>
          <w:highlight w:val="none"/>
          <w:lang w:val="en-US" w:eastAsia="zh-CN"/>
        </w:rPr>
        <w:t>80</w:t>
      </w:r>
      <w:r>
        <w:rPr>
          <w:rFonts w:hint="eastAsia" w:ascii="宋体" w:hAnsi="宋体" w:eastAsia="宋体" w:cs="宋体"/>
          <w:color w:val="auto"/>
          <w:kern w:val="0"/>
          <w:sz w:val="21"/>
          <w:szCs w:val="21"/>
          <w:highlight w:val="none"/>
        </w:rPr>
        <w:t>万元；标项二：</w:t>
      </w:r>
      <w:r>
        <w:rPr>
          <w:rFonts w:hint="eastAsia" w:ascii="宋体" w:hAnsi="宋体" w:eastAsia="宋体" w:cs="宋体"/>
          <w:color w:val="auto"/>
          <w:kern w:val="0"/>
          <w:sz w:val="21"/>
          <w:szCs w:val="21"/>
          <w:highlight w:val="none"/>
          <w:lang w:val="en-US" w:eastAsia="zh-CN"/>
        </w:rPr>
        <w:t>80</w:t>
      </w:r>
      <w:r>
        <w:rPr>
          <w:rFonts w:hint="eastAsia" w:ascii="宋体" w:hAnsi="宋体" w:eastAsia="宋体" w:cs="宋体"/>
          <w:color w:val="auto"/>
          <w:kern w:val="0"/>
          <w:sz w:val="21"/>
          <w:szCs w:val="21"/>
          <w:highlight w:val="none"/>
        </w:rPr>
        <w:t>万元。</w:t>
      </w:r>
    </w:p>
    <w:p w14:paraId="32D2453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最高限价：标项一：</w:t>
      </w:r>
      <w:r>
        <w:rPr>
          <w:rFonts w:hint="eastAsia" w:ascii="宋体" w:hAnsi="宋体" w:eastAsia="宋体" w:cs="宋体"/>
          <w:color w:val="auto"/>
          <w:kern w:val="0"/>
          <w:sz w:val="21"/>
          <w:szCs w:val="21"/>
          <w:highlight w:val="none"/>
          <w:lang w:val="en-US" w:eastAsia="zh-CN"/>
        </w:rPr>
        <w:t>80</w:t>
      </w:r>
      <w:r>
        <w:rPr>
          <w:rFonts w:hint="eastAsia" w:ascii="宋体" w:hAnsi="宋体" w:eastAsia="宋体" w:cs="宋体"/>
          <w:color w:val="auto"/>
          <w:kern w:val="0"/>
          <w:sz w:val="21"/>
          <w:szCs w:val="21"/>
          <w:highlight w:val="none"/>
        </w:rPr>
        <w:t>万元；标项二：</w:t>
      </w:r>
      <w:r>
        <w:rPr>
          <w:rFonts w:hint="eastAsia" w:ascii="宋体" w:hAnsi="宋体" w:eastAsia="宋体" w:cs="宋体"/>
          <w:color w:val="auto"/>
          <w:kern w:val="0"/>
          <w:sz w:val="21"/>
          <w:szCs w:val="21"/>
          <w:highlight w:val="none"/>
          <w:lang w:val="en-US" w:eastAsia="zh-CN"/>
        </w:rPr>
        <w:t>80</w:t>
      </w:r>
      <w:r>
        <w:rPr>
          <w:rFonts w:hint="eastAsia" w:ascii="宋体" w:hAnsi="宋体" w:eastAsia="宋体" w:cs="宋体"/>
          <w:color w:val="auto"/>
          <w:kern w:val="0"/>
          <w:sz w:val="21"/>
          <w:szCs w:val="21"/>
          <w:highlight w:val="none"/>
        </w:rPr>
        <w:t>万元。</w:t>
      </w:r>
    </w:p>
    <w:p w14:paraId="4101974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采购需求：</w:t>
      </w:r>
    </w:p>
    <w:p w14:paraId="45EA605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标项一，简要规格描述：</w:t>
      </w:r>
      <w:r>
        <w:rPr>
          <w:rFonts w:hint="eastAsia" w:ascii="宋体" w:hAnsi="宋体" w:eastAsia="宋体" w:cs="宋体"/>
          <w:color w:val="auto"/>
          <w:kern w:val="0"/>
          <w:sz w:val="21"/>
          <w:szCs w:val="21"/>
          <w:highlight w:val="none"/>
          <w:lang w:eastAsia="zh-CN"/>
        </w:rPr>
        <w:t>2024年</w:t>
      </w:r>
      <w:r>
        <w:rPr>
          <w:rFonts w:hint="eastAsia" w:ascii="宋体" w:hAnsi="宋体" w:eastAsia="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lang w:eastAsia="zh-CN"/>
        </w:rPr>
        <w:t>年仙居县东边所有国、省道及县道公路绿化管护服务</w:t>
      </w:r>
      <w:r>
        <w:rPr>
          <w:rFonts w:hint="eastAsia" w:ascii="宋体" w:hAnsi="宋体" w:eastAsia="宋体" w:cs="宋体"/>
          <w:color w:val="auto"/>
          <w:kern w:val="0"/>
          <w:sz w:val="21"/>
          <w:szCs w:val="21"/>
          <w:highlight w:val="none"/>
        </w:rPr>
        <w:t>；</w:t>
      </w:r>
    </w:p>
    <w:p w14:paraId="7490D6E1">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标项二，简要规格描述：</w:t>
      </w:r>
      <w:r>
        <w:rPr>
          <w:rFonts w:hint="eastAsia" w:ascii="宋体" w:hAnsi="宋体" w:eastAsia="宋体" w:cs="宋体"/>
          <w:color w:val="auto"/>
          <w:kern w:val="0"/>
          <w:sz w:val="21"/>
          <w:szCs w:val="21"/>
          <w:highlight w:val="none"/>
          <w:lang w:eastAsia="zh-CN"/>
        </w:rPr>
        <w:t>2024年</w:t>
      </w:r>
      <w:r>
        <w:rPr>
          <w:rFonts w:hint="eastAsia" w:ascii="宋体" w:hAnsi="宋体" w:eastAsia="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lang w:eastAsia="zh-CN"/>
        </w:rPr>
        <w:t>年仙居县西边所有国、省道及县道公路绿化管护服务；</w:t>
      </w:r>
    </w:p>
    <w:p w14:paraId="5C2CA1B5">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具体内容详见采购文件。</w:t>
      </w:r>
    </w:p>
    <w:p w14:paraId="205173AD">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p w14:paraId="0CC6D39A">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合同履行期限：服务期限为</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年，合同一年一签。当年度考核分达到</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分及以上，可以</w:t>
      </w:r>
      <w:r>
        <w:rPr>
          <w:rFonts w:hint="eastAsia" w:ascii="宋体" w:hAnsi="宋体" w:eastAsia="宋体" w:cs="宋体"/>
          <w:color w:val="auto"/>
          <w:kern w:val="0"/>
          <w:sz w:val="21"/>
          <w:szCs w:val="21"/>
          <w:highlight w:val="none"/>
          <w:lang w:eastAsia="zh-CN"/>
        </w:rPr>
        <w:t>签订下一年合同。</w:t>
      </w:r>
      <w:r>
        <w:rPr>
          <w:rFonts w:hint="eastAsia" w:ascii="宋体" w:hAnsi="宋体" w:eastAsia="宋体" w:cs="宋体"/>
          <w:color w:val="auto"/>
          <w:kern w:val="0"/>
          <w:sz w:val="21"/>
          <w:szCs w:val="21"/>
          <w:highlight w:val="none"/>
        </w:rPr>
        <w:t>（考核表详见</w:t>
      </w:r>
      <w:r>
        <w:rPr>
          <w:rFonts w:hint="eastAsia" w:ascii="宋体" w:hAnsi="宋体" w:eastAsia="宋体" w:cs="宋体"/>
          <w:color w:val="auto"/>
          <w:kern w:val="0"/>
          <w:sz w:val="21"/>
          <w:szCs w:val="21"/>
          <w:highlight w:val="none"/>
          <w:lang w:val="en-US" w:eastAsia="zh-CN"/>
        </w:rPr>
        <w:t>合同</w:t>
      </w:r>
      <w:r>
        <w:rPr>
          <w:rFonts w:hint="eastAsia" w:ascii="宋体" w:hAnsi="宋体" w:eastAsia="宋体" w:cs="宋体"/>
          <w:color w:val="auto"/>
          <w:kern w:val="0"/>
          <w:sz w:val="21"/>
          <w:szCs w:val="21"/>
          <w:highlight w:val="none"/>
        </w:rPr>
        <w:t>附件）。 </w:t>
      </w:r>
    </w:p>
    <w:p w14:paraId="45733960">
      <w:pPr>
        <w:spacing w:line="400" w:lineRule="exact"/>
        <w:ind w:firstLine="420" w:firstLineChars="200"/>
        <w:rPr>
          <w:rFonts w:ascii="宋体" w:hAnsi="宋体" w:eastAsia="宋体" w:cs="宋体"/>
          <w:b/>
          <w:color w:val="auto"/>
          <w:sz w:val="21"/>
          <w:szCs w:val="21"/>
          <w:highlight w:val="none"/>
          <w:lang w:bidi="ar"/>
        </w:rPr>
      </w:pPr>
      <w:r>
        <w:rPr>
          <w:rFonts w:hint="eastAsia" w:ascii="宋体" w:hAnsi="宋体" w:eastAsia="宋体" w:cs="宋体"/>
          <w:color w:val="auto"/>
          <w:kern w:val="0"/>
          <w:sz w:val="21"/>
          <w:szCs w:val="21"/>
          <w:highlight w:val="none"/>
        </w:rPr>
        <w:t>本项目（否）接受联合体投标。</w:t>
      </w:r>
    </w:p>
    <w:p w14:paraId="43C8AEC5">
      <w:pPr>
        <w:pStyle w:val="25"/>
        <w:widowControl w:val="0"/>
        <w:numPr>
          <w:ilvl w:val="0"/>
          <w:numId w:val="2"/>
        </w:numPr>
        <w:spacing w:before="0" w:beforeAutospacing="0" w:after="0" w:afterAutospacing="0" w:line="400" w:lineRule="exact"/>
        <w:ind w:left="0" w:firstLine="422" w:firstLineChars="200"/>
        <w:jc w:val="both"/>
        <w:rPr>
          <w:rFonts w:hint="default" w:eastAsia="宋体" w:cs="宋体"/>
          <w:b/>
          <w:color w:val="auto"/>
          <w:kern w:val="2"/>
          <w:sz w:val="21"/>
          <w:szCs w:val="21"/>
          <w:highlight w:val="none"/>
          <w:lang w:bidi="ar"/>
        </w:rPr>
      </w:pPr>
      <w:r>
        <w:rPr>
          <w:rFonts w:eastAsia="宋体" w:cs="宋体"/>
          <w:b/>
          <w:color w:val="auto"/>
          <w:kern w:val="2"/>
          <w:sz w:val="21"/>
          <w:szCs w:val="21"/>
          <w:highlight w:val="none"/>
          <w:lang w:bidi="ar"/>
        </w:rPr>
        <w:t>申请人的资格要求：</w:t>
      </w:r>
    </w:p>
    <w:p w14:paraId="3AC7344D">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1DDB69A">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2.落实政府采购政策需满足的资格要求：供应商为中小企业/小微企业或监狱企业或残疾人福利性单位。</w:t>
      </w:r>
    </w:p>
    <w:p w14:paraId="135B3BDD">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3.本项目的特定资格要求：无</w:t>
      </w:r>
    </w:p>
    <w:p w14:paraId="5CA648FE">
      <w:pPr>
        <w:pStyle w:val="25"/>
        <w:widowControl w:val="0"/>
        <w:numPr>
          <w:ilvl w:val="0"/>
          <w:numId w:val="2"/>
        </w:numPr>
        <w:spacing w:before="0" w:beforeAutospacing="0" w:after="0" w:afterAutospacing="0" w:line="400" w:lineRule="exact"/>
        <w:ind w:left="0" w:firstLine="422" w:firstLineChars="200"/>
        <w:jc w:val="both"/>
        <w:rPr>
          <w:rFonts w:hint="default" w:eastAsia="宋体" w:cs="宋体"/>
          <w:b/>
          <w:color w:val="auto"/>
          <w:kern w:val="2"/>
          <w:sz w:val="21"/>
          <w:szCs w:val="21"/>
          <w:highlight w:val="none"/>
          <w:lang w:bidi="ar"/>
        </w:rPr>
      </w:pPr>
      <w:r>
        <w:rPr>
          <w:rFonts w:eastAsia="宋体" w:cs="宋体"/>
          <w:b/>
          <w:color w:val="auto"/>
          <w:kern w:val="2"/>
          <w:sz w:val="21"/>
          <w:szCs w:val="21"/>
          <w:highlight w:val="none"/>
          <w:lang w:bidi="ar"/>
        </w:rPr>
        <w:t>获取（下载）采购文件</w:t>
      </w:r>
    </w:p>
    <w:p w14:paraId="444C1187">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时间：/至202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日，每天上午00:00至12:00，下午12:00至23:59（北京时间，线上获取法定节假日均可，线下获取文件法定节假日除外）</w:t>
      </w:r>
    </w:p>
    <w:p w14:paraId="5F788E2A">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地点（网址）：浙江政府采购网（http：//zfcg.czt.zj.gov.cn/） </w:t>
      </w:r>
    </w:p>
    <w:p w14:paraId="79858F74">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w:t>
      </w:r>
      <w:r>
        <w:rPr>
          <w:rFonts w:ascii="宋体" w:hAnsi="宋体" w:eastAsia="宋体"/>
          <w:color w:val="auto"/>
          <w:kern w:val="0"/>
          <w:sz w:val="21"/>
          <w:highlight w:val="none"/>
        </w:rPr>
        <w:t>供应商登录政采云平台https://www.zcygov.cn/在线申请获取采购文件（进入“项目采购”应用，在获取采购文件菜单中选择项目，申请获取采购文件），不提供纸制版招标文件；供应商只有在“浙江政府采购网”完成获取招标文件申请并下载了招标文件后才视作依法获取招标文件。</w:t>
      </w:r>
      <w:r>
        <w:rPr>
          <w:rFonts w:hint="eastAsia" w:ascii="宋体" w:hAnsi="宋体" w:cs="宋体"/>
          <w:color w:val="auto"/>
          <w:kern w:val="0"/>
          <w:sz w:val="21"/>
          <w:szCs w:val="21"/>
          <w:highlight w:val="none"/>
        </w:rPr>
        <w:t> </w:t>
      </w:r>
    </w:p>
    <w:p w14:paraId="410484D8">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售价（元）：0 </w:t>
      </w:r>
    </w:p>
    <w:p w14:paraId="23DE6C7C">
      <w:pPr>
        <w:pStyle w:val="25"/>
        <w:widowControl w:val="0"/>
        <w:numPr>
          <w:ilvl w:val="0"/>
          <w:numId w:val="2"/>
        </w:numPr>
        <w:spacing w:before="0" w:beforeAutospacing="0" w:after="0" w:afterAutospacing="0" w:line="400" w:lineRule="exact"/>
        <w:ind w:left="0" w:firstLine="422" w:firstLineChars="200"/>
        <w:jc w:val="both"/>
        <w:rPr>
          <w:rFonts w:hint="default" w:eastAsia="宋体" w:cs="宋体"/>
          <w:b/>
          <w:color w:val="auto"/>
          <w:kern w:val="2"/>
          <w:sz w:val="21"/>
          <w:szCs w:val="21"/>
          <w:highlight w:val="none"/>
          <w:lang w:bidi="ar"/>
        </w:rPr>
      </w:pPr>
      <w:r>
        <w:rPr>
          <w:rFonts w:eastAsia="宋体" w:cs="宋体"/>
          <w:b/>
          <w:color w:val="auto"/>
          <w:kern w:val="2"/>
          <w:sz w:val="21"/>
          <w:szCs w:val="21"/>
          <w:highlight w:val="none"/>
          <w:lang w:bidi="ar"/>
        </w:rPr>
        <w:t>响应文件提交（上传）</w:t>
      </w:r>
    </w:p>
    <w:p w14:paraId="20EC3757">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截止时间：</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月</w:t>
      </w:r>
      <w:r>
        <w:rPr>
          <w:rFonts w:hint="eastAsia"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日</w:t>
      </w:r>
      <w:r>
        <w:rPr>
          <w:rFonts w:eastAsia="宋体" w:cs="宋体"/>
          <w:color w:val="auto"/>
          <w:sz w:val="21"/>
          <w:szCs w:val="21"/>
          <w:highlight w:val="none"/>
          <w:u w:val="none"/>
        </w:rPr>
        <w:t>09:00</w:t>
      </w:r>
      <w:r>
        <w:rPr>
          <w:rFonts w:eastAsia="宋体" w:cs="宋体"/>
          <w:color w:val="auto"/>
          <w:sz w:val="21"/>
          <w:szCs w:val="21"/>
          <w:highlight w:val="none"/>
        </w:rPr>
        <w:t>（北京时间）</w:t>
      </w:r>
    </w:p>
    <w:p w14:paraId="0A024D6F">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地点（网址）：</w:t>
      </w:r>
    </w:p>
    <w:p w14:paraId="06AA6BFD">
      <w:pPr>
        <w:pStyle w:val="25"/>
        <w:numPr>
          <w:ilvl w:val="0"/>
          <w:numId w:val="3"/>
        </w:numPr>
        <w:spacing w:before="0" w:beforeAutospacing="0" w:after="0" w:afterAutospacing="0" w:line="400" w:lineRule="exact"/>
        <w:ind w:firstLine="420"/>
        <w:rPr>
          <w:rFonts w:hint="default" w:eastAsia="宋体" w:cs="宋体"/>
          <w:color w:val="auto"/>
          <w:sz w:val="21"/>
          <w:szCs w:val="21"/>
          <w:highlight w:val="none"/>
        </w:rPr>
      </w:pPr>
      <w:r>
        <w:rPr>
          <w:rFonts w:eastAsia="宋体" w:cs="宋体"/>
          <w:color w:val="auto"/>
          <w:sz w:val="21"/>
          <w:szCs w:val="21"/>
          <w:highlight w:val="none"/>
        </w:rPr>
        <w:t>电子加密响应文件：在“政府采购云平台”上传提交。“电子加密响应文件”成功上传提交后，</w:t>
      </w:r>
      <w:r>
        <w:rPr>
          <w:rFonts w:cs="宋体"/>
          <w:color w:val="auto"/>
          <w:sz w:val="21"/>
          <w:szCs w:val="21"/>
          <w:highlight w:val="none"/>
        </w:rPr>
        <w:t>供应商</w:t>
      </w:r>
      <w:r>
        <w:rPr>
          <w:rFonts w:eastAsia="宋体" w:cs="宋体"/>
          <w:color w:val="auto"/>
          <w:sz w:val="21"/>
          <w:szCs w:val="21"/>
          <w:highlight w:val="none"/>
        </w:rPr>
        <w:t xml:space="preserve">自行打印响应文件接收回执。 </w:t>
      </w:r>
    </w:p>
    <w:p w14:paraId="4B8AA8F5">
      <w:pPr>
        <w:pStyle w:val="25"/>
        <w:numPr>
          <w:ilvl w:val="0"/>
          <w:numId w:val="3"/>
        </w:numPr>
        <w:spacing w:before="0" w:beforeAutospacing="0" w:after="0" w:afterAutospacing="0" w:line="400" w:lineRule="exact"/>
        <w:ind w:firstLine="420"/>
        <w:rPr>
          <w:rFonts w:hint="default" w:eastAsia="宋体" w:cs="宋体"/>
          <w:color w:val="auto"/>
          <w:sz w:val="21"/>
          <w:szCs w:val="21"/>
          <w:highlight w:val="none"/>
          <w:u w:val="single"/>
        </w:rPr>
      </w:pPr>
      <w:r>
        <w:rPr>
          <w:rFonts w:eastAsia="宋体" w:cs="宋体"/>
          <w:color w:val="auto"/>
          <w:sz w:val="21"/>
          <w:szCs w:val="21"/>
          <w:highlight w:val="none"/>
        </w:rPr>
        <w:t>备份响应文件：政采云平台上最后生成的具备电子签章的备份响应文件，文件名后缀为备份标书四字的首字母。供应商自行确定是否提交；若提交请在提交响应文件截止时间前将备份响应文件打包压缩加密（未加密造成泄密的由投标人自行承担）后以电子邮件的形式发送至邮箱3050868501@qq.com 。</w:t>
      </w:r>
    </w:p>
    <w:p w14:paraId="10850B9B">
      <w:pPr>
        <w:pStyle w:val="25"/>
        <w:widowControl w:val="0"/>
        <w:numPr>
          <w:ilvl w:val="0"/>
          <w:numId w:val="2"/>
        </w:numPr>
        <w:spacing w:before="0" w:beforeAutospacing="0" w:after="0" w:afterAutospacing="0" w:line="400" w:lineRule="exact"/>
        <w:ind w:left="0" w:firstLine="422" w:firstLineChars="200"/>
        <w:jc w:val="both"/>
        <w:rPr>
          <w:rFonts w:hint="default" w:eastAsia="宋体" w:cs="宋体"/>
          <w:b/>
          <w:color w:val="auto"/>
          <w:kern w:val="2"/>
          <w:sz w:val="21"/>
          <w:szCs w:val="21"/>
          <w:highlight w:val="none"/>
          <w:lang w:bidi="ar"/>
        </w:rPr>
      </w:pPr>
      <w:r>
        <w:rPr>
          <w:rFonts w:eastAsia="宋体" w:cs="宋体"/>
          <w:b/>
          <w:color w:val="auto"/>
          <w:kern w:val="2"/>
          <w:sz w:val="21"/>
          <w:szCs w:val="21"/>
          <w:highlight w:val="none"/>
          <w:lang w:bidi="ar"/>
        </w:rPr>
        <w:t>响应文件开启</w:t>
      </w:r>
    </w:p>
    <w:p w14:paraId="6DB626A5">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开启时间：</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月</w:t>
      </w:r>
      <w:r>
        <w:rPr>
          <w:rFonts w:hint="eastAsia"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日</w:t>
      </w:r>
      <w:r>
        <w:rPr>
          <w:rFonts w:eastAsia="宋体" w:cs="宋体"/>
          <w:color w:val="auto"/>
          <w:sz w:val="21"/>
          <w:szCs w:val="21"/>
          <w:highlight w:val="none"/>
          <w:u w:val="none"/>
        </w:rPr>
        <w:t>09:00</w:t>
      </w:r>
    </w:p>
    <w:p w14:paraId="6320A03C">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地点（网址）：</w:t>
      </w:r>
      <w:r>
        <w:rPr>
          <w:rFonts w:eastAsia="宋体" w:cs="宋体"/>
          <w:color w:val="auto"/>
          <w:sz w:val="21"/>
          <w:szCs w:val="21"/>
          <w:highlight w:val="none"/>
          <w:u w:val="single"/>
        </w:rPr>
        <w:t>在政府采购云平台（</w:t>
      </w:r>
      <w:r>
        <w:rPr>
          <w:rFonts w:cs="宋体"/>
          <w:color w:val="auto"/>
          <w:sz w:val="21"/>
          <w:szCs w:val="21"/>
          <w:highlight w:val="none"/>
          <w:u w:val="single"/>
        </w:rPr>
        <w:t>https://login.zcygov.cn</w:t>
      </w:r>
      <w:r>
        <w:rPr>
          <w:rFonts w:eastAsia="宋体" w:cs="宋体"/>
          <w:color w:val="auto"/>
          <w:sz w:val="21"/>
          <w:szCs w:val="21"/>
          <w:highlight w:val="none"/>
          <w:u w:val="single"/>
        </w:rPr>
        <w:t>）上开启响应文件,同时邀请供应商在线参加开标。</w:t>
      </w:r>
    </w:p>
    <w:p w14:paraId="50753939">
      <w:pPr>
        <w:pStyle w:val="25"/>
        <w:widowControl w:val="0"/>
        <w:numPr>
          <w:ilvl w:val="0"/>
          <w:numId w:val="2"/>
        </w:numPr>
        <w:spacing w:before="0" w:beforeAutospacing="0" w:after="0" w:afterAutospacing="0" w:line="400" w:lineRule="exact"/>
        <w:ind w:left="0" w:firstLine="422" w:firstLineChars="200"/>
        <w:jc w:val="both"/>
        <w:rPr>
          <w:rFonts w:hint="default" w:eastAsia="宋体" w:cs="宋体"/>
          <w:b/>
          <w:color w:val="auto"/>
          <w:kern w:val="2"/>
          <w:sz w:val="21"/>
          <w:szCs w:val="21"/>
          <w:highlight w:val="none"/>
          <w:lang w:bidi="ar"/>
        </w:rPr>
      </w:pPr>
      <w:r>
        <w:rPr>
          <w:rFonts w:eastAsia="宋体" w:cs="宋体"/>
          <w:b/>
          <w:color w:val="auto"/>
          <w:kern w:val="2"/>
          <w:sz w:val="21"/>
          <w:szCs w:val="21"/>
          <w:highlight w:val="none"/>
          <w:lang w:bidi="ar"/>
        </w:rPr>
        <w:t>公告期限</w:t>
      </w:r>
    </w:p>
    <w:p w14:paraId="5BC9045C">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自本公告发布之日起3个工作日。</w:t>
      </w:r>
    </w:p>
    <w:bookmarkEnd w:id="27"/>
    <w:p w14:paraId="738E38D3">
      <w:pPr>
        <w:widowControl/>
        <w:spacing w:line="360" w:lineRule="exact"/>
        <w:ind w:left="60" w:right="60"/>
        <w:jc w:val="left"/>
        <w:outlineLvl w:val="0"/>
        <w:rPr>
          <w:rFonts w:ascii="宋体" w:hAnsi="宋体" w:cs="宋体"/>
          <w:color w:val="auto"/>
          <w:kern w:val="0"/>
          <w:sz w:val="21"/>
          <w:szCs w:val="21"/>
          <w:highlight w:val="none"/>
        </w:rPr>
      </w:pPr>
      <w:bookmarkStart w:id="28" w:name="_Toc248896033"/>
      <w:bookmarkStart w:id="29" w:name="_Toc255821808"/>
      <w:bookmarkStart w:id="30" w:name="_Toc239128665"/>
      <w:bookmarkStart w:id="31" w:name="_Toc240724038"/>
      <w:bookmarkStart w:id="32" w:name="_Toc306901435"/>
      <w:bookmarkStart w:id="33" w:name="_Toc283973065"/>
      <w:bookmarkStart w:id="34" w:name="_Toc255459630"/>
      <w:bookmarkStart w:id="35" w:name="_Toc261001145"/>
      <w:bookmarkStart w:id="36" w:name="_Toc277078930"/>
      <w:bookmarkStart w:id="37" w:name="_Toc217998407"/>
      <w:bookmarkStart w:id="38" w:name="_Toc237079658"/>
      <w:bookmarkStart w:id="39" w:name="_Toc248896181"/>
      <w:bookmarkStart w:id="40" w:name="_Toc238443294"/>
      <w:bookmarkStart w:id="41" w:name="_Toc218007967"/>
      <w:bookmarkStart w:id="42" w:name="_Toc301444178"/>
      <w:bookmarkStart w:id="43" w:name="_Toc255819814"/>
      <w:bookmarkStart w:id="44" w:name="_Toc302983082"/>
      <w:bookmarkStart w:id="45" w:name="_Toc292375886"/>
      <w:bookmarkStart w:id="46" w:name="_Toc290043100"/>
      <w:bookmarkStart w:id="47" w:name="_Toc261001053"/>
      <w:bookmarkStart w:id="48" w:name="_Toc237656259"/>
      <w:bookmarkStart w:id="49" w:name="_Toc240724373"/>
      <w:bookmarkStart w:id="50" w:name="_Toc248896340"/>
      <w:bookmarkStart w:id="51" w:name="_Toc218007236"/>
      <w:bookmarkStart w:id="52" w:name="_Toc237138382"/>
      <w:bookmarkStart w:id="53" w:name="_Toc173810692"/>
      <w:r>
        <w:rPr>
          <w:rFonts w:hint="eastAsia" w:ascii="宋体" w:hAnsi="宋体" w:cs="宋体"/>
          <w:b/>
          <w:bCs/>
          <w:color w:val="auto"/>
          <w:kern w:val="0"/>
          <w:sz w:val="21"/>
          <w:szCs w:val="21"/>
          <w:highlight w:val="none"/>
        </w:rPr>
        <w:t>七</w:t>
      </w:r>
      <w:r>
        <w:rPr>
          <w:rFonts w:hint="eastAsia" w:ascii="宋体" w:hAnsi="宋体" w:cs="宋体"/>
          <w:b/>
          <w:color w:val="auto"/>
          <w:kern w:val="0"/>
          <w:sz w:val="21"/>
          <w:szCs w:val="21"/>
          <w:highlight w:val="none"/>
        </w:rPr>
        <w:t>、其他补充事宜：</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8D5A53B">
      <w:pPr>
        <w:widowControl/>
        <w:snapToGrid w:val="0"/>
        <w:spacing w:line="360" w:lineRule="auto"/>
        <w:ind w:firstLine="420" w:firstLineChars="200"/>
        <w:jc w:val="left"/>
        <w:outlineLvl w:val="0"/>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 xml:space="preserve">《浙江省财政厅关于进一步发挥政府采购政策功能全力推动经济稳进提质的通知》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               </w:t>
      </w:r>
    </w:p>
    <w:p w14:paraId="3D1DE531">
      <w:pPr>
        <w:widowControl/>
        <w:snapToGrid w:val="0"/>
        <w:spacing w:line="360" w:lineRule="auto"/>
        <w:ind w:firstLine="420" w:firstLineChars="200"/>
        <w:jc w:val="left"/>
        <w:outlineLvl w:val="0"/>
        <w:rPr>
          <w:rFonts w:hint="default" w:ascii="Times New Roman" w:hAnsi="Times New Roman" w:eastAsia="宋体" w:cs="Times New Roman"/>
          <w:sz w:val="21"/>
          <w:szCs w:val="20"/>
        </w:rPr>
      </w:pPr>
      <w:r>
        <w:rPr>
          <w:rFonts w:hint="eastAsia" w:ascii="宋体" w:hAnsi="宋体" w:eastAsia="宋体" w:cs="宋体"/>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5E2E4C">
      <w:pPr>
        <w:widowControl/>
        <w:snapToGrid w:val="0"/>
        <w:spacing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C7635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kern w:val="0"/>
          <w:sz w:val="21"/>
          <w:szCs w:val="21"/>
        </w:rPr>
        <w:t>4.标前准备：</w:t>
      </w:r>
      <w:r>
        <w:rPr>
          <w:rFonts w:hint="eastAsia" w:ascii="宋体" w:hAnsi="宋体" w:eastAsia="宋体" w:cs="宋体"/>
          <w:sz w:val="21"/>
          <w:szCs w:val="21"/>
        </w:rPr>
        <w:t>各磋商供应商应及时完成CA数字证书办理，拿到CA后在政采云平台进行绑定。因未办理CA数字证书等原因造成无法投标或投标失败等后果由磋商供应商自行承担。</w:t>
      </w:r>
    </w:p>
    <w:p w14:paraId="02AA7A90">
      <w:pPr>
        <w:wordWrap w:val="0"/>
        <w:snapToGrid w:val="0"/>
        <w:spacing w:line="360" w:lineRule="auto"/>
        <w:ind w:firstLine="420" w:firstLineChars="200"/>
        <w:jc w:val="left"/>
        <w:rPr>
          <w:rFonts w:hint="eastAsia" w:ascii="宋体" w:hAnsi="宋体" w:eastAsia="宋体" w:cs="宋体"/>
          <w:b/>
          <w:iCs/>
          <w:kern w:val="0"/>
          <w:sz w:val="21"/>
          <w:szCs w:val="21"/>
        </w:rPr>
      </w:pPr>
      <w:r>
        <w:rPr>
          <w:rFonts w:hint="eastAsia" w:ascii="宋体" w:hAnsi="宋体" w:eastAsia="宋体" w:cs="宋体"/>
          <w:sz w:val="21"/>
          <w:szCs w:val="21"/>
        </w:rPr>
        <w:t>5.</w:t>
      </w:r>
      <w:r>
        <w:rPr>
          <w:rFonts w:hint="eastAsia" w:ascii="宋体" w:hAnsi="宋体" w:eastAsia="宋体" w:cs="宋体"/>
          <w:kern w:val="0"/>
          <w:sz w:val="21"/>
          <w:szCs w:val="21"/>
        </w:rPr>
        <w:t>本项目通过</w:t>
      </w:r>
      <w:r>
        <w:rPr>
          <w:rFonts w:hint="eastAsia" w:ascii="宋体" w:hAnsi="宋体" w:eastAsia="宋体" w:cs="宋体"/>
          <w:sz w:val="21"/>
          <w:szCs w:val="21"/>
        </w:rPr>
        <w:t>“政府采购云平台”</w:t>
      </w:r>
      <w:r>
        <w:rPr>
          <w:rFonts w:hint="eastAsia" w:ascii="宋体" w:hAnsi="宋体" w:eastAsia="宋体" w:cs="宋体"/>
          <w:kern w:val="0"/>
          <w:sz w:val="21"/>
          <w:szCs w:val="21"/>
        </w:rPr>
        <w:t>实行电子投标，</w:t>
      </w:r>
      <w:r>
        <w:rPr>
          <w:rFonts w:hint="eastAsia" w:ascii="宋体" w:hAnsi="宋体" w:eastAsia="宋体" w:cs="宋体"/>
          <w:sz w:val="21"/>
          <w:szCs w:val="21"/>
        </w:rPr>
        <w:t>供应商应通过“政府采购云平台”电子投标工具制作磋商响应文件，电子投标工具请自行前往浙江政府采购网下载并安装（“政采云电子交易客户端”下载网址：</w:t>
      </w:r>
      <w:r>
        <w:rPr>
          <w:rFonts w:hint="eastAsia" w:ascii="宋体" w:hAnsi="宋体" w:eastAsia="宋体" w:cs="宋体"/>
          <w:b/>
          <w:iCs/>
          <w:kern w:val="0"/>
          <w:sz w:val="21"/>
          <w:szCs w:val="21"/>
          <w:lang w:eastAsia="en-US"/>
        </w:rPr>
        <w:fldChar w:fldCharType="begin"/>
      </w:r>
      <w:r>
        <w:rPr>
          <w:rFonts w:hint="eastAsia" w:ascii="宋体" w:hAnsi="宋体" w:eastAsia="宋体" w:cs="宋体"/>
          <w:color w:val="auto"/>
          <w:sz w:val="21"/>
          <w:szCs w:val="21"/>
          <w:u w:val="single"/>
        </w:rPr>
        <w:instrText xml:space="preserve"> HYPERLINK "http://zfcg.czt.zj.gov.cn/bidClientTemplate/2019-09-24/12975.html" </w:instrText>
      </w:r>
      <w:r>
        <w:rPr>
          <w:rFonts w:hint="eastAsia" w:ascii="宋体" w:hAnsi="宋体" w:eastAsia="宋体" w:cs="宋体"/>
          <w:b/>
          <w:iCs/>
          <w:kern w:val="0"/>
          <w:sz w:val="21"/>
          <w:szCs w:val="21"/>
          <w:lang w:eastAsia="en-US"/>
        </w:rPr>
        <w:fldChar w:fldCharType="separate"/>
      </w:r>
      <w:r>
        <w:rPr>
          <w:rFonts w:hint="eastAsia" w:ascii="宋体" w:hAnsi="宋体" w:eastAsia="宋体" w:cs="宋体"/>
          <w:color w:val="auto"/>
          <w:sz w:val="21"/>
          <w:szCs w:val="21"/>
          <w:u w:val="single"/>
        </w:rPr>
        <w:t>http://zfcg.czt.zj.gov.cn/bidClientTemplate/2019-09-24/12975.html</w:t>
      </w:r>
      <w:r>
        <w:rPr>
          <w:rFonts w:hint="eastAsia" w:ascii="宋体" w:hAnsi="宋体" w:eastAsia="宋体" w:cs="宋体"/>
          <w:b/>
          <w:iCs/>
          <w:kern w:val="0"/>
          <w:sz w:val="21"/>
          <w:szCs w:val="21"/>
          <w:lang w:eastAsia="en-US"/>
        </w:rPr>
        <w:fldChar w:fldCharType="end"/>
      </w:r>
      <w:r>
        <w:rPr>
          <w:rFonts w:hint="eastAsia" w:ascii="宋体" w:hAnsi="宋体" w:eastAsia="宋体" w:cs="宋体"/>
          <w:b/>
          <w:iCs/>
          <w:kern w:val="0"/>
          <w:sz w:val="21"/>
          <w:szCs w:val="21"/>
        </w:rPr>
        <w:t>，</w:t>
      </w:r>
      <w:r>
        <w:rPr>
          <w:rFonts w:hint="eastAsia" w:ascii="宋体" w:hAnsi="宋体" w:eastAsia="宋体" w:cs="宋体"/>
          <w:sz w:val="21"/>
          <w:szCs w:val="21"/>
        </w:rPr>
        <w:t>具体</w:t>
      </w:r>
      <w:r>
        <w:rPr>
          <w:rFonts w:hint="eastAsia" w:ascii="宋体" w:hAnsi="宋体" w:eastAsia="宋体" w:cs="宋体"/>
          <w:bCs/>
          <w:iCs/>
          <w:kern w:val="0"/>
          <w:sz w:val="21"/>
          <w:szCs w:val="21"/>
        </w:rPr>
        <w:t>以浙江政府采购网最新网址为准</w:t>
      </w:r>
      <w:r>
        <w:rPr>
          <w:rFonts w:hint="eastAsia" w:ascii="宋体" w:hAnsi="宋体" w:eastAsia="宋体" w:cs="宋体"/>
          <w:sz w:val="21"/>
          <w:szCs w:val="21"/>
        </w:rPr>
        <w:t>），电子投标（【浙江省】供应商-政府采购项目电子交易操作指南）具体流程详见网址：</w:t>
      </w:r>
      <w:r>
        <w:rPr>
          <w:rFonts w:hint="default" w:ascii="微软雅黑" w:hAnsi="微软雅黑" w:eastAsia="微软雅黑" w:cs="微软雅黑"/>
          <w:kern w:val="0"/>
          <w:sz w:val="21"/>
          <w:szCs w:val="21"/>
          <w:lang w:eastAsia="en-US"/>
        </w:rPr>
        <w:fldChar w:fldCharType="begin"/>
      </w:r>
      <w:r>
        <w:rPr>
          <w:rFonts w:hint="default" w:ascii="微软雅黑" w:hAnsi="微软雅黑" w:eastAsia="微软雅黑" w:cs="微软雅黑"/>
          <w:kern w:val="0"/>
          <w:sz w:val="21"/>
          <w:szCs w:val="21"/>
        </w:rPr>
        <w:instrText xml:space="preserve"> HYPERLINK "https://service.zcygov.cn/" \l "/knowledges/CW1EtGwBFdiHxlNd6I3m/6IMVAG0BFdiHxlNdQ8Na" </w:instrText>
      </w:r>
      <w:r>
        <w:rPr>
          <w:rFonts w:hint="default" w:ascii="微软雅黑" w:hAnsi="微软雅黑" w:eastAsia="微软雅黑" w:cs="微软雅黑"/>
          <w:kern w:val="0"/>
          <w:sz w:val="21"/>
          <w:szCs w:val="21"/>
          <w:lang w:eastAsia="en-US"/>
        </w:rPr>
        <w:fldChar w:fldCharType="separate"/>
      </w:r>
      <w:r>
        <w:rPr>
          <w:rFonts w:hint="default" w:ascii="微软雅黑" w:hAnsi="微软雅黑" w:eastAsia="微软雅黑" w:cs="微软雅黑"/>
          <w:kern w:val="0"/>
          <w:sz w:val="21"/>
          <w:szCs w:val="21"/>
        </w:rPr>
        <w:t>https://service.zcygov.cn/#/knowledges/CW1EtGwBFdiHxlNd6I3m/6IMVAG0BFdiHxlNdQ8Na</w:t>
      </w:r>
      <w:r>
        <w:rPr>
          <w:rFonts w:hint="default" w:ascii="微软雅黑" w:hAnsi="微软雅黑" w:eastAsia="微软雅黑" w:cs="微软雅黑"/>
          <w:kern w:val="0"/>
          <w:sz w:val="21"/>
          <w:szCs w:val="21"/>
          <w:lang w:eastAsia="en-US"/>
        </w:rPr>
        <w:fldChar w:fldCharType="end"/>
      </w:r>
      <w:r>
        <w:rPr>
          <w:rFonts w:hint="eastAsia" w:ascii="宋体" w:hAnsi="宋体" w:eastAsia="宋体" w:cs="宋体"/>
          <w:b/>
          <w:iCs/>
          <w:kern w:val="0"/>
          <w:sz w:val="21"/>
          <w:szCs w:val="21"/>
        </w:rPr>
        <w:t>，</w:t>
      </w:r>
      <w:r>
        <w:rPr>
          <w:rFonts w:hint="eastAsia" w:ascii="宋体" w:hAnsi="宋体" w:eastAsia="宋体" w:cs="宋体"/>
          <w:bCs/>
          <w:iCs/>
          <w:kern w:val="0"/>
          <w:sz w:val="21"/>
          <w:szCs w:val="21"/>
        </w:rPr>
        <w:t>具体以政采云平台最新网址为准。</w:t>
      </w:r>
    </w:p>
    <w:p w14:paraId="529ED3A6">
      <w:pPr>
        <w:widowControl/>
        <w:adjustRightInd w:val="0"/>
        <w:snapToGrid w:val="0"/>
        <w:spacing w:line="360" w:lineRule="auto"/>
        <w:ind w:firstLine="420" w:firstLineChars="200"/>
        <w:jc w:val="left"/>
        <w:rPr>
          <w:rFonts w:hint="eastAsia" w:ascii="宋体" w:hAnsi="宋体" w:eastAsia="宋体" w:cs="宋体"/>
          <w:kern w:val="0"/>
          <w:sz w:val="21"/>
          <w:szCs w:val="21"/>
          <w:u w:val="single"/>
          <w:lang w:val="en-US" w:eastAsia="zh-CN" w:bidi="ar-SA"/>
        </w:rPr>
      </w:pPr>
      <w:r>
        <w:rPr>
          <w:rFonts w:hint="eastAsia" w:ascii="宋体" w:hAnsi="宋体" w:eastAsia="微软雅黑" w:cs="宋体"/>
          <w:kern w:val="0"/>
          <w:sz w:val="21"/>
          <w:szCs w:val="21"/>
          <w:u w:val="single"/>
          <w:lang w:val="en-US" w:eastAsia="zh-CN" w:bidi="ar-SA"/>
        </w:rPr>
        <w:t>6.</w:t>
      </w:r>
      <w:r>
        <w:rPr>
          <w:rFonts w:hint="eastAsia" w:ascii="宋体" w:hAnsi="宋体" w:eastAsia="宋体" w:cs="宋体"/>
          <w:kern w:val="0"/>
          <w:sz w:val="21"/>
          <w:szCs w:val="21"/>
          <w:u w:val="single"/>
          <w:lang w:val="en-US" w:eastAsia="zh-CN" w:bidi="ar-SA"/>
        </w:rPr>
        <w:t>磋商响应文件</w:t>
      </w:r>
      <w:r>
        <w:rPr>
          <w:rFonts w:hint="eastAsia" w:ascii="宋体" w:hAnsi="宋体" w:eastAsia="宋体" w:cs="宋体"/>
          <w:kern w:val="2"/>
          <w:sz w:val="21"/>
          <w:szCs w:val="21"/>
          <w:u w:val="single"/>
          <w:lang w:val="en-US" w:eastAsia="zh-CN" w:bidi="ar-SA"/>
        </w:rPr>
        <w:t>解密时间：开标时间</w:t>
      </w:r>
      <w:r>
        <w:rPr>
          <w:rFonts w:hint="eastAsia" w:ascii="宋体" w:hAnsi="宋体" w:eastAsia="宋体" w:cs="宋体"/>
          <w:kern w:val="0"/>
          <w:sz w:val="21"/>
          <w:szCs w:val="21"/>
          <w:u w:val="single"/>
          <w:lang w:val="en-US" w:eastAsia="zh-CN" w:bidi="ar-SA"/>
        </w:rPr>
        <w:t>后60分钟内供应商可以登录</w:t>
      </w:r>
      <w:r>
        <w:rPr>
          <w:rFonts w:hint="eastAsia" w:ascii="宋体" w:hAnsi="宋体" w:eastAsia="宋体" w:cs="宋体"/>
          <w:kern w:val="2"/>
          <w:sz w:val="21"/>
          <w:szCs w:val="21"/>
          <w:u w:val="single"/>
          <w:lang w:val="en-US" w:eastAsia="zh-CN" w:bidi="ar-SA"/>
        </w:rPr>
        <w:t>“政府采购云平台”的</w:t>
      </w:r>
      <w:r>
        <w:rPr>
          <w:rFonts w:hint="eastAsia" w:ascii="宋体" w:hAnsi="宋体" w:eastAsia="宋体" w:cs="宋体"/>
          <w:kern w:val="0"/>
          <w:sz w:val="21"/>
          <w:szCs w:val="21"/>
          <w:u w:val="single"/>
          <w:lang w:val="en-US" w:eastAsia="zh-CN" w:bidi="ar-SA"/>
        </w:rPr>
        <w:t>“项目采购-开标评标”，用制作电子标书的CA锁对电子加密磋商响应文件进行解密。若供应商在规定时间内磋商响应文件无法解密，或解密失败且备份文件读取失败（含未提交），则投标无效。</w:t>
      </w:r>
    </w:p>
    <w:p w14:paraId="42B78494">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7.</w:t>
      </w:r>
      <w:r>
        <w:rPr>
          <w:rFonts w:hint="eastAsia" w:ascii="宋体" w:hAnsi="宋体" w:eastAsia="宋体" w:cs="宋体"/>
          <w:kern w:val="0"/>
          <w:sz w:val="21"/>
          <w:szCs w:val="21"/>
        </w:rPr>
        <w:t>本项目所有公告发布网站：浙江政府采购网（</w:t>
      </w:r>
      <w:r>
        <w:rPr>
          <w:rFonts w:hint="eastAsia" w:ascii="微软雅黑" w:hAnsi="微软雅黑" w:eastAsia="微软雅黑" w:cs="微软雅黑"/>
          <w:kern w:val="0"/>
          <w:sz w:val="21"/>
          <w:szCs w:val="21"/>
        </w:rPr>
        <w:fldChar w:fldCharType="begin"/>
      </w:r>
      <w:r>
        <w:rPr>
          <w:rFonts w:hint="eastAsia" w:ascii="微软雅黑" w:hAnsi="微软雅黑" w:eastAsia="微软雅黑" w:cs="微软雅黑"/>
          <w:kern w:val="0"/>
          <w:sz w:val="21"/>
          <w:szCs w:val="21"/>
        </w:rPr>
        <w:instrText xml:space="preserve"> HYPERLINK "http://zfcg.czt.zj.gov.cn/" </w:instrText>
      </w:r>
      <w:r>
        <w:rPr>
          <w:rFonts w:hint="eastAsia" w:ascii="微软雅黑" w:hAnsi="微软雅黑" w:eastAsia="微软雅黑" w:cs="微软雅黑"/>
          <w:kern w:val="0"/>
          <w:sz w:val="21"/>
          <w:szCs w:val="21"/>
        </w:rPr>
        <w:fldChar w:fldCharType="separate"/>
      </w:r>
      <w:r>
        <w:rPr>
          <w:rFonts w:hint="eastAsia" w:ascii="微软雅黑" w:hAnsi="微软雅黑" w:eastAsia="微软雅黑" w:cs="微软雅黑"/>
          <w:kern w:val="0"/>
          <w:sz w:val="21"/>
          <w:szCs w:val="21"/>
        </w:rPr>
        <w:t>http://zfcg.czt.zj.gov.cn</w:t>
      </w:r>
      <w:r>
        <w:rPr>
          <w:rFonts w:hint="eastAsia" w:ascii="微软雅黑" w:hAnsi="微软雅黑" w:eastAsia="微软雅黑" w:cs="微软雅黑"/>
          <w:kern w:val="0"/>
          <w:sz w:val="21"/>
          <w:szCs w:val="21"/>
        </w:rPr>
        <w:fldChar w:fldCharType="end"/>
      </w:r>
      <w:r>
        <w:rPr>
          <w:rFonts w:hint="eastAsia" w:ascii="宋体" w:hAnsi="宋体" w:eastAsia="宋体" w:cs="宋体"/>
          <w:kern w:val="0"/>
          <w:sz w:val="21"/>
          <w:szCs w:val="21"/>
        </w:rPr>
        <w:t>）。项目如有更正或澄清公告，请各供应商自行及时登</w:t>
      </w:r>
      <w:r>
        <w:rPr>
          <w:rFonts w:hint="eastAsia" w:ascii="宋体" w:hAnsi="宋体" w:eastAsia="宋体" w:cs="宋体"/>
          <w:kern w:val="0"/>
          <w:sz w:val="21"/>
          <w:szCs w:val="21"/>
          <w:lang w:val="en-US" w:eastAsia="zh-CN"/>
        </w:rPr>
        <w:t>录</w:t>
      </w:r>
      <w:r>
        <w:rPr>
          <w:rFonts w:hint="eastAsia" w:ascii="宋体" w:hAnsi="宋体" w:eastAsia="宋体" w:cs="宋体"/>
          <w:kern w:val="0"/>
          <w:sz w:val="21"/>
          <w:szCs w:val="21"/>
        </w:rPr>
        <w:t>上述网站查看，采购代理机构不再作出书面通知。</w:t>
      </w:r>
    </w:p>
    <w:p w14:paraId="0FD94D93">
      <w:pPr>
        <w:autoSpaceDE w:val="0"/>
        <w:autoSpaceDN w:val="0"/>
        <w:adjustRightInd w:val="0"/>
        <w:snapToGrid w:val="0"/>
        <w:spacing w:line="360" w:lineRule="auto"/>
        <w:ind w:firstLine="480"/>
        <w:rPr>
          <w:rFonts w:hint="eastAsia" w:ascii="宋体" w:hAnsi="宋体" w:eastAsia="宋体" w:cs="Times New Roman"/>
          <w:bCs/>
          <w:sz w:val="21"/>
          <w:szCs w:val="21"/>
        </w:rPr>
      </w:pPr>
      <w:r>
        <w:rPr>
          <w:rFonts w:hint="eastAsia" w:ascii="宋体" w:hAnsi="宋体" w:eastAsia="宋体" w:cs="宋体"/>
          <w:bCs/>
          <w:kern w:val="0"/>
          <w:sz w:val="21"/>
          <w:szCs w:val="21"/>
        </w:rPr>
        <w:t>8.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779D94A8">
      <w:pPr>
        <w:pStyle w:val="25"/>
        <w:widowControl w:val="0"/>
        <w:numPr>
          <w:ilvl w:val="0"/>
          <w:numId w:val="2"/>
        </w:numPr>
        <w:spacing w:before="0" w:beforeAutospacing="0" w:after="0" w:afterAutospacing="0" w:line="400" w:lineRule="exact"/>
        <w:ind w:left="0" w:firstLine="422" w:firstLineChars="200"/>
        <w:jc w:val="both"/>
        <w:rPr>
          <w:rFonts w:hint="default" w:eastAsia="宋体" w:cs="宋体"/>
          <w:b/>
          <w:color w:val="auto"/>
          <w:kern w:val="2"/>
          <w:sz w:val="21"/>
          <w:szCs w:val="21"/>
          <w:highlight w:val="none"/>
          <w:lang w:bidi="ar"/>
        </w:rPr>
      </w:pPr>
      <w:r>
        <w:rPr>
          <w:rFonts w:eastAsia="宋体" w:cs="宋体"/>
          <w:b/>
          <w:color w:val="auto"/>
          <w:kern w:val="2"/>
          <w:sz w:val="21"/>
          <w:szCs w:val="21"/>
          <w:highlight w:val="none"/>
          <w:lang w:bidi="ar"/>
        </w:rPr>
        <w:t>凡对本次招标提出询问、质疑、投诉，请按以下方式联系</w:t>
      </w:r>
    </w:p>
    <w:p w14:paraId="65A8B908">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1.采购人信息</w:t>
      </w:r>
    </w:p>
    <w:p w14:paraId="5FA1C768">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名  称：</w:t>
      </w:r>
      <w:r>
        <w:rPr>
          <w:rFonts w:eastAsia="宋体" w:cs="宋体"/>
          <w:color w:val="auto"/>
          <w:sz w:val="21"/>
          <w:szCs w:val="21"/>
          <w:highlight w:val="none"/>
          <w:u w:val="single"/>
        </w:rPr>
        <w:t>仙居县交通运输局 </w:t>
      </w:r>
    </w:p>
    <w:p w14:paraId="604A7C94">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地  址：</w:t>
      </w:r>
      <w:r>
        <w:rPr>
          <w:rFonts w:eastAsia="宋体" w:cs="宋体"/>
          <w:color w:val="auto"/>
          <w:sz w:val="21"/>
          <w:szCs w:val="21"/>
          <w:highlight w:val="none"/>
          <w:u w:val="single"/>
        </w:rPr>
        <w:t xml:space="preserve">仙居县   </w:t>
      </w:r>
    </w:p>
    <w:p w14:paraId="7A743F1A">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传   真：</w:t>
      </w:r>
      <w:r>
        <w:rPr>
          <w:rFonts w:eastAsia="宋体" w:cs="宋体"/>
          <w:color w:val="auto"/>
          <w:sz w:val="21"/>
          <w:szCs w:val="21"/>
          <w:highlight w:val="none"/>
          <w:u w:val="single"/>
        </w:rPr>
        <w:t> / </w:t>
      </w:r>
    </w:p>
    <w:p w14:paraId="4CA02C6C">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项目联系人（询问）：</w:t>
      </w:r>
      <w:r>
        <w:rPr>
          <w:rFonts w:eastAsia="宋体" w:cs="宋体"/>
          <w:color w:val="auto"/>
          <w:sz w:val="21"/>
          <w:szCs w:val="21"/>
          <w:highlight w:val="none"/>
          <w:u w:val="single"/>
        </w:rPr>
        <w:t xml:space="preserve"> </w:t>
      </w:r>
      <w:r>
        <w:rPr>
          <w:rFonts w:hint="eastAsia" w:eastAsia="宋体" w:cs="宋体"/>
          <w:color w:val="auto"/>
          <w:sz w:val="21"/>
          <w:szCs w:val="21"/>
          <w:highlight w:val="none"/>
          <w:u w:val="single"/>
          <w:lang w:val="en-US" w:eastAsia="zh-CN"/>
        </w:rPr>
        <w:t>王锟</w:t>
      </w:r>
    </w:p>
    <w:p w14:paraId="2A42499C">
      <w:pPr>
        <w:pStyle w:val="25"/>
        <w:spacing w:before="0" w:beforeAutospacing="0" w:after="0" w:afterAutospacing="0" w:line="400" w:lineRule="exact"/>
        <w:ind w:firstLine="420" w:firstLineChars="200"/>
        <w:rPr>
          <w:rFonts w:hint="default" w:eastAsia="宋体" w:cs="宋体"/>
          <w:color w:val="auto"/>
          <w:sz w:val="21"/>
          <w:szCs w:val="21"/>
          <w:highlight w:val="none"/>
          <w:u w:val="single"/>
        </w:rPr>
      </w:pPr>
      <w:r>
        <w:rPr>
          <w:rFonts w:eastAsia="宋体" w:cs="宋体"/>
          <w:color w:val="auto"/>
          <w:sz w:val="21"/>
          <w:szCs w:val="21"/>
          <w:highlight w:val="none"/>
        </w:rPr>
        <w:t>项目联系方式（询问）：</w:t>
      </w:r>
      <w:r>
        <w:rPr>
          <w:rFonts w:eastAsia="宋体" w:cs="宋体"/>
          <w:color w:val="auto"/>
          <w:sz w:val="21"/>
          <w:szCs w:val="21"/>
          <w:highlight w:val="none"/>
          <w:u w:val="single"/>
        </w:rPr>
        <w:t xml:space="preserve"> </w:t>
      </w:r>
      <w:r>
        <w:rPr>
          <w:rFonts w:hint="eastAsia" w:eastAsia="宋体" w:cs="宋体"/>
          <w:color w:val="auto"/>
          <w:sz w:val="21"/>
          <w:szCs w:val="21"/>
          <w:highlight w:val="none"/>
          <w:u w:val="single"/>
          <w:lang w:val="en-US" w:eastAsia="zh-CN"/>
        </w:rPr>
        <w:t>0576-87720330</w:t>
      </w:r>
      <w:r>
        <w:rPr>
          <w:rFonts w:eastAsia="宋体" w:cs="宋体"/>
          <w:color w:val="auto"/>
          <w:sz w:val="21"/>
          <w:szCs w:val="21"/>
          <w:highlight w:val="none"/>
          <w:u w:val="single"/>
        </w:rPr>
        <w:t xml:space="preserve">  </w:t>
      </w:r>
      <w:r>
        <w:rPr>
          <w:rFonts w:eastAsia="宋体" w:cs="宋体"/>
          <w:color w:val="auto"/>
          <w:sz w:val="21"/>
          <w:szCs w:val="21"/>
          <w:highlight w:val="none"/>
        </w:rPr>
        <w:t>　</w:t>
      </w:r>
    </w:p>
    <w:p w14:paraId="6F1C7E93">
      <w:pPr>
        <w:pStyle w:val="25"/>
        <w:spacing w:before="0" w:beforeAutospacing="0" w:after="0" w:afterAutospacing="0" w:line="400" w:lineRule="exact"/>
        <w:ind w:firstLine="420" w:firstLineChars="200"/>
        <w:rPr>
          <w:rFonts w:hint="default" w:eastAsia="宋体" w:cs="宋体"/>
          <w:color w:val="auto"/>
          <w:sz w:val="21"/>
          <w:szCs w:val="21"/>
          <w:highlight w:val="none"/>
          <w:u w:val="single"/>
        </w:rPr>
      </w:pPr>
      <w:r>
        <w:rPr>
          <w:rFonts w:eastAsia="宋体" w:cs="宋体"/>
          <w:color w:val="auto"/>
          <w:sz w:val="21"/>
          <w:szCs w:val="21"/>
          <w:highlight w:val="none"/>
        </w:rPr>
        <w:t>质疑联系人：</w:t>
      </w:r>
      <w:r>
        <w:rPr>
          <w:rFonts w:eastAsia="宋体" w:cs="宋体"/>
          <w:color w:val="auto"/>
          <w:sz w:val="21"/>
          <w:szCs w:val="21"/>
          <w:highlight w:val="none"/>
          <w:u w:val="single"/>
        </w:rPr>
        <w:t xml:space="preserve"> </w:t>
      </w:r>
      <w:r>
        <w:rPr>
          <w:rFonts w:hint="eastAsia" w:eastAsia="宋体" w:cs="宋体"/>
          <w:color w:val="auto"/>
          <w:sz w:val="21"/>
          <w:szCs w:val="21"/>
          <w:highlight w:val="none"/>
          <w:u w:val="single"/>
          <w:lang w:val="en-US" w:eastAsia="zh-CN"/>
        </w:rPr>
        <w:t xml:space="preserve"> 陈卫青</w:t>
      </w:r>
      <w:r>
        <w:rPr>
          <w:rFonts w:eastAsia="宋体" w:cs="宋体"/>
          <w:color w:val="auto"/>
          <w:sz w:val="21"/>
          <w:szCs w:val="21"/>
          <w:highlight w:val="none"/>
          <w:u w:val="single"/>
        </w:rPr>
        <w:t xml:space="preserve">  </w:t>
      </w:r>
      <w:r>
        <w:rPr>
          <w:rFonts w:hint="eastAsia" w:eastAsia="宋体" w:cs="宋体"/>
          <w:color w:val="auto"/>
          <w:sz w:val="21"/>
          <w:szCs w:val="21"/>
          <w:highlight w:val="none"/>
          <w:lang w:val="en-US" w:eastAsia="zh-CN"/>
        </w:rPr>
        <w:t xml:space="preserve">  </w:t>
      </w:r>
      <w:r>
        <w:rPr>
          <w:rFonts w:eastAsia="宋体" w:cs="宋体"/>
          <w:color w:val="auto"/>
          <w:sz w:val="21"/>
          <w:szCs w:val="21"/>
          <w:highlight w:val="none"/>
        </w:rPr>
        <w:t> </w:t>
      </w:r>
    </w:p>
    <w:p w14:paraId="7A486F50">
      <w:pPr>
        <w:pStyle w:val="25"/>
        <w:spacing w:before="0" w:beforeAutospacing="0" w:after="0" w:afterAutospacing="0" w:line="400" w:lineRule="exact"/>
        <w:ind w:firstLine="420" w:firstLineChars="200"/>
        <w:rPr>
          <w:rFonts w:eastAsia="宋体" w:cs="宋体"/>
          <w:color w:val="auto"/>
          <w:sz w:val="21"/>
          <w:szCs w:val="21"/>
          <w:highlight w:val="none"/>
          <w:u w:val="single"/>
        </w:rPr>
      </w:pPr>
      <w:r>
        <w:rPr>
          <w:rFonts w:eastAsia="宋体" w:cs="宋体"/>
          <w:color w:val="auto"/>
          <w:sz w:val="21"/>
          <w:szCs w:val="21"/>
          <w:highlight w:val="none"/>
        </w:rPr>
        <w:t>质疑联系方式：</w:t>
      </w:r>
      <w:r>
        <w:rPr>
          <w:rFonts w:eastAsia="宋体" w:cs="宋体"/>
          <w:color w:val="auto"/>
          <w:sz w:val="21"/>
          <w:szCs w:val="21"/>
          <w:highlight w:val="none"/>
          <w:u w:val="single"/>
        </w:rPr>
        <w:t xml:space="preserve"> </w:t>
      </w:r>
      <w:r>
        <w:rPr>
          <w:rFonts w:hint="eastAsia" w:eastAsia="宋体" w:cs="宋体"/>
          <w:color w:val="auto"/>
          <w:sz w:val="21"/>
          <w:szCs w:val="21"/>
          <w:highlight w:val="none"/>
          <w:u w:val="single"/>
          <w:lang w:val="en-US" w:eastAsia="zh-CN"/>
        </w:rPr>
        <w:t>0576-87720329</w:t>
      </w:r>
      <w:r>
        <w:rPr>
          <w:rFonts w:eastAsia="宋体" w:cs="宋体"/>
          <w:color w:val="auto"/>
          <w:sz w:val="21"/>
          <w:szCs w:val="21"/>
          <w:highlight w:val="none"/>
          <w:u w:val="single"/>
        </w:rPr>
        <w:t xml:space="preserve">  </w:t>
      </w:r>
    </w:p>
    <w:p w14:paraId="51B2068E">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2.采购代理机构信息</w:t>
      </w:r>
    </w:p>
    <w:p w14:paraId="585942C3">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名  称：</w:t>
      </w:r>
      <w:r>
        <w:rPr>
          <w:rFonts w:eastAsia="宋体" w:cs="宋体"/>
          <w:color w:val="auto"/>
          <w:sz w:val="21"/>
          <w:szCs w:val="21"/>
          <w:highlight w:val="none"/>
          <w:u w:val="single"/>
        </w:rPr>
        <w:t>浙江广通工程咨询有限公司 </w:t>
      </w:r>
    </w:p>
    <w:p w14:paraId="2C3034E2">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地  址：</w:t>
      </w:r>
      <w:r>
        <w:rPr>
          <w:rFonts w:eastAsia="宋体" w:cs="宋体"/>
          <w:color w:val="auto"/>
          <w:sz w:val="21"/>
          <w:szCs w:val="21"/>
          <w:highlight w:val="none"/>
          <w:u w:val="single"/>
        </w:rPr>
        <w:t>仙居县工业路197号4楼</w:t>
      </w:r>
    </w:p>
    <w:p w14:paraId="4CAE9CF7">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传   真：</w:t>
      </w:r>
      <w:r>
        <w:rPr>
          <w:rFonts w:eastAsia="宋体" w:cs="宋体"/>
          <w:color w:val="auto"/>
          <w:sz w:val="21"/>
          <w:szCs w:val="21"/>
          <w:highlight w:val="none"/>
          <w:u w:val="single"/>
        </w:rPr>
        <w:t> / </w:t>
      </w:r>
    </w:p>
    <w:p w14:paraId="131E8632">
      <w:pPr>
        <w:pStyle w:val="25"/>
        <w:spacing w:before="0" w:beforeAutospacing="0" w:after="0" w:afterAutospacing="0" w:line="400" w:lineRule="exact"/>
        <w:ind w:firstLine="420" w:firstLineChars="200"/>
        <w:rPr>
          <w:rFonts w:hint="eastAsia" w:eastAsia="宋体" w:cs="宋体"/>
          <w:color w:val="auto"/>
          <w:sz w:val="21"/>
          <w:szCs w:val="21"/>
          <w:highlight w:val="none"/>
          <w:u w:val="single"/>
          <w:lang w:eastAsia="zh-CN"/>
        </w:rPr>
      </w:pPr>
      <w:r>
        <w:rPr>
          <w:rFonts w:eastAsia="宋体" w:cs="宋体"/>
          <w:color w:val="auto"/>
          <w:sz w:val="21"/>
          <w:szCs w:val="21"/>
          <w:highlight w:val="none"/>
        </w:rPr>
        <w:t>项目联系人（询问）：</w:t>
      </w:r>
      <w:r>
        <w:rPr>
          <w:rFonts w:eastAsia="宋体" w:cs="宋体"/>
          <w:color w:val="auto"/>
          <w:sz w:val="21"/>
          <w:szCs w:val="21"/>
          <w:highlight w:val="none"/>
          <w:u w:val="single"/>
        </w:rPr>
        <w:t>郑</w:t>
      </w:r>
      <w:r>
        <w:rPr>
          <w:rFonts w:hint="eastAsia" w:eastAsia="宋体" w:cs="宋体"/>
          <w:color w:val="auto"/>
          <w:sz w:val="21"/>
          <w:szCs w:val="21"/>
          <w:highlight w:val="none"/>
          <w:u w:val="single"/>
          <w:lang w:eastAsia="zh-CN"/>
        </w:rPr>
        <w:t>女士</w:t>
      </w:r>
    </w:p>
    <w:p w14:paraId="67890A3F">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项目联系方式（询问）：</w:t>
      </w:r>
      <w:r>
        <w:rPr>
          <w:rFonts w:eastAsia="宋体" w:cs="宋体"/>
          <w:color w:val="auto"/>
          <w:sz w:val="21"/>
          <w:szCs w:val="21"/>
          <w:highlight w:val="none"/>
          <w:u w:val="single"/>
        </w:rPr>
        <w:t>15068634199</w:t>
      </w:r>
    </w:p>
    <w:p w14:paraId="4858F1D0">
      <w:pPr>
        <w:pStyle w:val="25"/>
        <w:spacing w:before="0" w:beforeAutospacing="0" w:after="0" w:afterAutospacing="0" w:line="400" w:lineRule="exact"/>
        <w:ind w:firstLine="420" w:firstLineChars="200"/>
        <w:rPr>
          <w:rFonts w:hint="eastAsia" w:eastAsia="宋体" w:cs="宋体"/>
          <w:color w:val="auto"/>
          <w:sz w:val="21"/>
          <w:szCs w:val="21"/>
          <w:highlight w:val="none"/>
          <w:lang w:val="en-US" w:eastAsia="zh-CN"/>
        </w:rPr>
      </w:pPr>
      <w:r>
        <w:rPr>
          <w:rFonts w:eastAsia="宋体" w:cs="宋体"/>
          <w:color w:val="auto"/>
          <w:sz w:val="21"/>
          <w:szCs w:val="21"/>
          <w:highlight w:val="none"/>
        </w:rPr>
        <w:t>质疑联系人：</w:t>
      </w:r>
      <w:r>
        <w:rPr>
          <w:rFonts w:hint="eastAsia" w:eastAsia="宋体" w:cs="宋体"/>
          <w:color w:val="auto"/>
          <w:sz w:val="21"/>
          <w:szCs w:val="21"/>
          <w:highlight w:val="none"/>
          <w:u w:val="single"/>
          <w:lang w:eastAsia="zh-CN"/>
        </w:rPr>
        <w:t>李女士</w:t>
      </w:r>
    </w:p>
    <w:p w14:paraId="60421C5C">
      <w:pPr>
        <w:pStyle w:val="25"/>
        <w:spacing w:before="0" w:beforeAutospacing="0" w:after="0" w:afterAutospacing="0" w:line="400" w:lineRule="exact"/>
        <w:ind w:firstLine="420" w:firstLineChars="200"/>
        <w:rPr>
          <w:rFonts w:hint="default" w:eastAsia="宋体" w:cs="宋体"/>
          <w:color w:val="auto"/>
          <w:sz w:val="21"/>
          <w:szCs w:val="21"/>
          <w:highlight w:val="none"/>
          <w:lang w:val="en-US" w:eastAsia="zh-CN"/>
        </w:rPr>
      </w:pPr>
      <w:r>
        <w:rPr>
          <w:rFonts w:eastAsia="宋体" w:cs="宋体"/>
          <w:color w:val="auto"/>
          <w:sz w:val="21"/>
          <w:szCs w:val="21"/>
          <w:highlight w:val="none"/>
        </w:rPr>
        <w:t>质疑联系方式：</w:t>
      </w:r>
      <w:r>
        <w:rPr>
          <w:rFonts w:hint="eastAsia" w:eastAsia="宋体" w:cs="宋体"/>
          <w:color w:val="auto"/>
          <w:sz w:val="21"/>
          <w:szCs w:val="21"/>
          <w:highlight w:val="none"/>
          <w:u w:val="single"/>
          <w:lang w:val="en-US" w:eastAsia="zh-CN"/>
        </w:rPr>
        <w:t>13958581343</w:t>
      </w:r>
    </w:p>
    <w:p w14:paraId="563A8B54">
      <w:pPr>
        <w:pStyle w:val="25"/>
        <w:spacing w:before="0" w:beforeAutospacing="0" w:after="0" w:afterAutospacing="0" w:line="400" w:lineRule="exact"/>
        <w:ind w:firstLine="420" w:firstLineChars="200"/>
        <w:rPr>
          <w:rFonts w:hint="default" w:eastAsia="宋体" w:cs="宋体"/>
          <w:color w:val="auto"/>
          <w:sz w:val="21"/>
          <w:szCs w:val="21"/>
          <w:highlight w:val="none"/>
        </w:rPr>
      </w:pPr>
    </w:p>
    <w:p w14:paraId="04F4223F">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3.同级政府采购监督管理部门</w:t>
      </w:r>
    </w:p>
    <w:p w14:paraId="1727C4A0">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名  称：</w:t>
      </w:r>
      <w:r>
        <w:rPr>
          <w:rFonts w:eastAsia="宋体" w:cs="宋体"/>
          <w:color w:val="auto"/>
          <w:sz w:val="21"/>
          <w:szCs w:val="21"/>
          <w:highlight w:val="none"/>
          <w:u w:val="single"/>
        </w:rPr>
        <w:t>仙居县财政局政府采购监管科 </w:t>
      </w:r>
    </w:p>
    <w:p w14:paraId="5A29309A">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地  址：</w:t>
      </w:r>
      <w:r>
        <w:rPr>
          <w:rFonts w:eastAsia="宋体" w:cs="宋体"/>
          <w:color w:val="auto"/>
          <w:sz w:val="21"/>
          <w:szCs w:val="21"/>
          <w:highlight w:val="none"/>
          <w:u w:val="single"/>
        </w:rPr>
        <w:t>仙居县南峰街道环城南路500号7楼 </w:t>
      </w:r>
    </w:p>
    <w:p w14:paraId="18F08641">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传  真：</w:t>
      </w:r>
      <w:r>
        <w:rPr>
          <w:rFonts w:eastAsia="宋体" w:cs="宋体"/>
          <w:color w:val="auto"/>
          <w:sz w:val="21"/>
          <w:szCs w:val="21"/>
          <w:highlight w:val="none"/>
          <w:u w:val="single"/>
        </w:rPr>
        <w:t> / </w:t>
      </w:r>
    </w:p>
    <w:p w14:paraId="28FCDA70">
      <w:pPr>
        <w:pStyle w:val="25"/>
        <w:spacing w:before="0" w:beforeAutospacing="0" w:after="0" w:afterAutospacing="0" w:line="400" w:lineRule="exact"/>
        <w:ind w:firstLine="420" w:firstLineChars="200"/>
        <w:rPr>
          <w:rFonts w:hint="default" w:eastAsia="宋体" w:cs="宋体"/>
          <w:color w:val="auto"/>
          <w:sz w:val="21"/>
          <w:szCs w:val="21"/>
          <w:highlight w:val="none"/>
        </w:rPr>
      </w:pPr>
      <w:r>
        <w:rPr>
          <w:rFonts w:eastAsia="宋体" w:cs="宋体"/>
          <w:color w:val="auto"/>
          <w:sz w:val="21"/>
          <w:szCs w:val="21"/>
          <w:highlight w:val="none"/>
        </w:rPr>
        <w:t>联 系 人：</w:t>
      </w:r>
      <w:r>
        <w:rPr>
          <w:rFonts w:eastAsia="宋体" w:cs="宋体"/>
          <w:color w:val="auto"/>
          <w:sz w:val="21"/>
          <w:szCs w:val="21"/>
          <w:highlight w:val="none"/>
          <w:u w:val="single"/>
        </w:rPr>
        <w:t>郑</w:t>
      </w:r>
      <w:r>
        <w:rPr>
          <w:rFonts w:hint="eastAsia" w:eastAsia="宋体" w:cs="宋体"/>
          <w:color w:val="auto"/>
          <w:sz w:val="21"/>
          <w:szCs w:val="21"/>
          <w:highlight w:val="none"/>
          <w:u w:val="single"/>
          <w:lang w:eastAsia="zh-CN"/>
        </w:rPr>
        <w:t>先生</w:t>
      </w:r>
      <w:r>
        <w:rPr>
          <w:rFonts w:eastAsia="宋体" w:cs="宋体"/>
          <w:color w:val="auto"/>
          <w:sz w:val="21"/>
          <w:szCs w:val="21"/>
          <w:highlight w:val="none"/>
          <w:u w:val="single"/>
        </w:rPr>
        <w:t>、陈女士 </w:t>
      </w:r>
    </w:p>
    <w:p w14:paraId="6D7F3EF5">
      <w:pPr>
        <w:pStyle w:val="25"/>
        <w:spacing w:before="0" w:beforeAutospacing="0" w:after="0" w:afterAutospacing="0" w:line="400" w:lineRule="exact"/>
        <w:ind w:firstLine="420" w:firstLineChars="200"/>
        <w:rPr>
          <w:rFonts w:hint="default" w:eastAsia="宋体" w:cs="宋体"/>
          <w:color w:val="auto"/>
          <w:sz w:val="21"/>
          <w:szCs w:val="21"/>
          <w:highlight w:val="none"/>
          <w:u w:val="single"/>
        </w:rPr>
      </w:pPr>
      <w:r>
        <w:rPr>
          <w:rFonts w:eastAsia="宋体" w:cs="宋体"/>
          <w:color w:val="auto"/>
          <w:sz w:val="21"/>
          <w:szCs w:val="21"/>
          <w:highlight w:val="none"/>
        </w:rPr>
        <w:t>监督投诉电话：</w:t>
      </w:r>
      <w:r>
        <w:rPr>
          <w:rFonts w:eastAsia="宋体" w:cs="宋体"/>
          <w:color w:val="auto"/>
          <w:sz w:val="21"/>
          <w:szCs w:val="21"/>
          <w:highlight w:val="none"/>
          <w:u w:val="single"/>
        </w:rPr>
        <w:t>0576-87720209 </w:t>
      </w:r>
    </w:p>
    <w:p w14:paraId="4528EC66">
      <w:pPr>
        <w:spacing w:line="360" w:lineRule="exact"/>
        <w:ind w:right="480"/>
        <w:rPr>
          <w:rFonts w:ascii="宋体" w:hAnsi="宋体" w:cs="宋体"/>
          <w:color w:val="auto"/>
          <w:kern w:val="0"/>
          <w:sz w:val="21"/>
          <w:szCs w:val="21"/>
          <w:highlight w:val="none"/>
        </w:rPr>
      </w:pPr>
    </w:p>
    <w:p w14:paraId="57CE079E">
      <w:pPr>
        <w:spacing w:line="360" w:lineRule="exact"/>
        <w:ind w:right="480"/>
        <w:jc w:val="righ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浙江广通工程咨询有限公司</w:t>
      </w:r>
    </w:p>
    <w:p w14:paraId="2D8D25CD">
      <w:pPr>
        <w:widowControl/>
        <w:spacing w:before="60" w:after="60" w:line="360" w:lineRule="exact"/>
        <w:ind w:left="60" w:right="60" w:firstLine="540"/>
        <w:jc w:val="right"/>
        <w:rPr>
          <w:rFonts w:ascii="宋体" w:cs="宋体"/>
          <w:color w:val="auto"/>
          <w:kern w:val="0"/>
          <w:sz w:val="21"/>
          <w:szCs w:val="21"/>
          <w:highlight w:val="none"/>
        </w:rPr>
      </w:pPr>
      <w:r>
        <w:rPr>
          <w:rFonts w:ascii="宋体" w:hAnsi="宋体" w:cs="宋体"/>
          <w:color w:val="auto"/>
          <w:kern w:val="0"/>
          <w:sz w:val="21"/>
          <w:szCs w:val="21"/>
          <w:highlight w:val="none"/>
        </w:rPr>
        <w:t xml:space="preserve">      2</w:t>
      </w:r>
      <w:r>
        <w:rPr>
          <w:rFonts w:hint="eastAsia" w:ascii="宋体" w:hAnsi="宋体" w:eastAsia="宋体" w:cs="宋体"/>
          <w:color w:val="auto"/>
          <w:kern w:val="0"/>
          <w:sz w:val="21"/>
          <w:szCs w:val="21"/>
          <w:highlight w:val="none"/>
        </w:rPr>
        <w:t>02</w:t>
      </w: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20</w:t>
      </w:r>
      <w:r>
        <w:rPr>
          <w:rFonts w:hint="eastAsia" w:ascii="宋体" w:hAnsi="宋体" w:cs="宋体"/>
          <w:color w:val="auto"/>
          <w:kern w:val="0"/>
          <w:sz w:val="21"/>
          <w:szCs w:val="21"/>
          <w:highlight w:val="none"/>
        </w:rPr>
        <w:t>日</w:t>
      </w:r>
    </w:p>
    <w:p w14:paraId="1E11AE7C">
      <w:pPr>
        <w:pStyle w:val="25"/>
        <w:spacing w:before="0" w:beforeAutospacing="0" w:after="0" w:afterAutospacing="0" w:line="400" w:lineRule="exact"/>
        <w:rPr>
          <w:rFonts w:hint="default"/>
          <w:b/>
          <w:color w:val="auto"/>
          <w:sz w:val="32"/>
          <w:szCs w:val="32"/>
          <w:highlight w:val="none"/>
        </w:rPr>
      </w:pPr>
    </w:p>
    <w:p w14:paraId="2649293B">
      <w:pPr>
        <w:pStyle w:val="24"/>
        <w:ind w:left="720"/>
        <w:rPr>
          <w:b/>
          <w:color w:val="auto"/>
          <w:sz w:val="32"/>
          <w:szCs w:val="32"/>
          <w:highlight w:val="none"/>
        </w:rPr>
      </w:pPr>
    </w:p>
    <w:p w14:paraId="37BE2B4D">
      <w:pPr>
        <w:rPr>
          <w:b/>
          <w:color w:val="auto"/>
          <w:sz w:val="32"/>
          <w:szCs w:val="32"/>
          <w:highlight w:val="none"/>
        </w:rPr>
      </w:pPr>
    </w:p>
    <w:p w14:paraId="0D61E368">
      <w:pPr>
        <w:pStyle w:val="3"/>
        <w:ind w:left="720" w:firstLine="643"/>
        <w:rPr>
          <w:b/>
          <w:color w:val="auto"/>
          <w:sz w:val="32"/>
          <w:szCs w:val="32"/>
          <w:highlight w:val="none"/>
        </w:rPr>
      </w:pPr>
    </w:p>
    <w:p w14:paraId="50EB2712">
      <w:pPr>
        <w:pStyle w:val="13"/>
        <w:ind w:firstLine="321"/>
        <w:rPr>
          <w:b/>
          <w:color w:val="auto"/>
          <w:sz w:val="32"/>
          <w:szCs w:val="32"/>
          <w:highlight w:val="none"/>
        </w:rPr>
      </w:pPr>
    </w:p>
    <w:p w14:paraId="6D6428A8">
      <w:pPr>
        <w:rPr>
          <w:b/>
          <w:color w:val="auto"/>
          <w:sz w:val="32"/>
          <w:szCs w:val="32"/>
          <w:highlight w:val="none"/>
        </w:rPr>
      </w:pPr>
    </w:p>
    <w:p w14:paraId="63369DC1">
      <w:pPr>
        <w:pStyle w:val="3"/>
        <w:ind w:left="720" w:firstLine="643"/>
        <w:rPr>
          <w:b/>
          <w:color w:val="auto"/>
          <w:sz w:val="32"/>
          <w:szCs w:val="32"/>
          <w:highlight w:val="none"/>
        </w:rPr>
      </w:pPr>
    </w:p>
    <w:p w14:paraId="439DBDAD">
      <w:pPr>
        <w:pStyle w:val="13"/>
        <w:ind w:firstLine="321"/>
        <w:rPr>
          <w:b/>
          <w:color w:val="auto"/>
          <w:sz w:val="32"/>
          <w:szCs w:val="32"/>
          <w:highlight w:val="none"/>
        </w:rPr>
      </w:pPr>
    </w:p>
    <w:p w14:paraId="47A62835">
      <w:pPr>
        <w:rPr>
          <w:b/>
          <w:color w:val="auto"/>
          <w:sz w:val="32"/>
          <w:szCs w:val="32"/>
          <w:highlight w:val="none"/>
        </w:rPr>
      </w:pPr>
    </w:p>
    <w:p w14:paraId="5C40E7C2">
      <w:pPr>
        <w:pStyle w:val="3"/>
        <w:ind w:left="720" w:firstLine="643"/>
        <w:rPr>
          <w:b/>
          <w:color w:val="auto"/>
          <w:sz w:val="32"/>
          <w:szCs w:val="32"/>
          <w:highlight w:val="none"/>
        </w:rPr>
      </w:pPr>
    </w:p>
    <w:p w14:paraId="68B1EC14">
      <w:pPr>
        <w:pStyle w:val="13"/>
        <w:ind w:firstLine="321"/>
        <w:rPr>
          <w:b/>
          <w:color w:val="auto"/>
          <w:sz w:val="32"/>
          <w:szCs w:val="32"/>
          <w:highlight w:val="none"/>
        </w:rPr>
      </w:pPr>
    </w:p>
    <w:p w14:paraId="2E76D645">
      <w:pPr>
        <w:rPr>
          <w:b/>
          <w:color w:val="auto"/>
          <w:sz w:val="32"/>
          <w:szCs w:val="32"/>
          <w:highlight w:val="none"/>
        </w:rPr>
      </w:pPr>
    </w:p>
    <w:p w14:paraId="20B27C56">
      <w:pPr>
        <w:pStyle w:val="3"/>
        <w:ind w:left="720" w:firstLine="643"/>
        <w:rPr>
          <w:b/>
          <w:color w:val="auto"/>
          <w:sz w:val="32"/>
          <w:szCs w:val="32"/>
          <w:highlight w:val="none"/>
        </w:rPr>
      </w:pPr>
    </w:p>
    <w:p w14:paraId="60E81F8E">
      <w:pPr>
        <w:pStyle w:val="13"/>
        <w:ind w:firstLine="321"/>
        <w:rPr>
          <w:b/>
          <w:color w:val="auto"/>
          <w:sz w:val="32"/>
          <w:szCs w:val="32"/>
          <w:highlight w:val="none"/>
        </w:rPr>
      </w:pPr>
    </w:p>
    <w:p w14:paraId="3B38EED2">
      <w:pPr>
        <w:rPr>
          <w:b/>
          <w:color w:val="auto"/>
          <w:sz w:val="32"/>
          <w:szCs w:val="32"/>
          <w:highlight w:val="none"/>
        </w:rPr>
      </w:pPr>
    </w:p>
    <w:p w14:paraId="328A210F">
      <w:pPr>
        <w:pStyle w:val="3"/>
        <w:ind w:left="720" w:firstLine="643"/>
        <w:rPr>
          <w:b/>
          <w:color w:val="auto"/>
          <w:sz w:val="32"/>
          <w:szCs w:val="32"/>
          <w:highlight w:val="none"/>
        </w:rPr>
      </w:pPr>
    </w:p>
    <w:p w14:paraId="193049FD">
      <w:pPr>
        <w:pStyle w:val="13"/>
        <w:ind w:firstLine="321"/>
        <w:rPr>
          <w:b/>
          <w:color w:val="auto"/>
          <w:sz w:val="32"/>
          <w:szCs w:val="32"/>
          <w:highlight w:val="none"/>
        </w:rPr>
      </w:pPr>
    </w:p>
    <w:p w14:paraId="225A6213">
      <w:pPr>
        <w:rPr>
          <w:b/>
          <w:color w:val="auto"/>
          <w:sz w:val="32"/>
          <w:szCs w:val="32"/>
          <w:highlight w:val="none"/>
        </w:rPr>
      </w:pPr>
    </w:p>
    <w:p w14:paraId="28140571">
      <w:pPr>
        <w:pStyle w:val="3"/>
        <w:ind w:left="720" w:firstLine="643"/>
        <w:rPr>
          <w:b/>
          <w:color w:val="auto"/>
          <w:sz w:val="32"/>
          <w:szCs w:val="32"/>
          <w:highlight w:val="none"/>
        </w:rPr>
      </w:pPr>
    </w:p>
    <w:p w14:paraId="62F6F12C">
      <w:pPr>
        <w:rPr>
          <w:color w:val="auto"/>
          <w:highlight w:val="none"/>
        </w:rPr>
      </w:pPr>
      <w:r>
        <w:rPr>
          <w:rFonts w:hint="eastAsia"/>
          <w:color w:val="auto"/>
          <w:highlight w:val="none"/>
        </w:rPr>
        <w:br w:type="page"/>
      </w:r>
    </w:p>
    <w:p w14:paraId="2995955F">
      <w:pPr>
        <w:pStyle w:val="13"/>
        <w:ind w:firstLine="210"/>
        <w:rPr>
          <w:color w:val="auto"/>
          <w:highlight w:val="none"/>
        </w:rPr>
      </w:pPr>
    </w:p>
    <w:p w14:paraId="541B80E7">
      <w:pPr>
        <w:numPr>
          <w:ilvl w:val="0"/>
          <w:numId w:val="4"/>
        </w:numPr>
        <w:autoSpaceDE w:val="0"/>
        <w:autoSpaceDN w:val="0"/>
        <w:adjustRightInd w:val="0"/>
        <w:spacing w:line="360" w:lineRule="auto"/>
        <w:jc w:val="center"/>
        <w:outlineLvl w:val="0"/>
        <w:rPr>
          <w:rFonts w:ascii="宋体" w:hAnsi="宋体"/>
          <w:b/>
          <w:color w:val="auto"/>
          <w:szCs w:val="36"/>
          <w:highlight w:val="none"/>
        </w:rPr>
      </w:pPr>
      <w:bookmarkStart w:id="54" w:name="_Toc2390"/>
      <w:r>
        <w:rPr>
          <w:rFonts w:hint="eastAsia" w:ascii="宋体" w:hAnsi="宋体"/>
          <w:b/>
          <w:color w:val="auto"/>
          <w:szCs w:val="36"/>
          <w:highlight w:val="none"/>
        </w:rPr>
        <w:t>采购需求</w:t>
      </w:r>
    </w:p>
    <w:p w14:paraId="12EE2FDB">
      <w:pPr>
        <w:spacing w:line="360" w:lineRule="exact"/>
        <w:ind w:firstLine="420" w:firstLineChars="200"/>
        <w:rPr>
          <w:rFonts w:ascii="宋体" w:cs="Arial"/>
          <w:b/>
          <w:color w:val="auto"/>
          <w:sz w:val="21"/>
          <w:szCs w:val="21"/>
          <w:highlight w:val="none"/>
        </w:rPr>
      </w:pPr>
      <w:r>
        <w:rPr>
          <w:rFonts w:hint="eastAsia" w:ascii="宋体" w:cs="宋体"/>
          <w:b/>
          <w:color w:val="auto"/>
          <w:sz w:val="21"/>
          <w:szCs w:val="21"/>
          <w:highlight w:val="none"/>
          <w:lang w:val="zh-CN"/>
        </w:rPr>
        <w:t>▲</w:t>
      </w:r>
      <w:r>
        <w:rPr>
          <w:rFonts w:hint="eastAsia" w:ascii="宋体" w:cs="宋体"/>
          <w:b/>
          <w:color w:val="auto"/>
          <w:sz w:val="21"/>
          <w:szCs w:val="21"/>
          <w:highlight w:val="none"/>
        </w:rPr>
        <w:t>重要提示</w:t>
      </w:r>
      <w:r>
        <w:rPr>
          <w:rFonts w:hint="eastAsia" w:ascii="宋体" w:cs="宋体"/>
          <w:b/>
          <w:color w:val="auto"/>
          <w:sz w:val="21"/>
          <w:szCs w:val="21"/>
          <w:highlight w:val="none"/>
          <w:lang w:val="zh-CN"/>
        </w:rPr>
        <w:t>：</w:t>
      </w:r>
      <w:r>
        <w:rPr>
          <w:rFonts w:hint="eastAsia" w:ascii="宋体" w:cs="Arial"/>
          <w:bCs/>
          <w:color w:val="auto"/>
          <w:sz w:val="21"/>
          <w:szCs w:val="21"/>
          <w:highlight w:val="none"/>
          <w:u w:val="single"/>
        </w:rPr>
        <w:t>实施过程中除非采购方书面调整服务范围或数量外，合同价按成交价不作调整，供应商自行考虑并承担风险费用。总报价必须包括项目实施所需的一切人员工资、奖金、各种加班费、节假日补贴、各种社会保险、安全保险、食宿与交通、设备及工具、器材、消耗材料、管理费用、人工费、材料费、税金、利润、采购代理服务费等完成合同所需的一切本身和不可或缺的所有工作开支、政策性文件规定及合同包含的所有风险、责任等各项全部费用并承担一切风险责任。</w:t>
      </w:r>
      <w:r>
        <w:rPr>
          <w:rFonts w:hint="eastAsia" w:ascii="宋体" w:cs="Arial"/>
          <w:b/>
          <w:color w:val="auto"/>
          <w:sz w:val="21"/>
          <w:szCs w:val="21"/>
          <w:highlight w:val="none"/>
        </w:rPr>
        <w:t>（说明：如发生不可抗力及突发性事件、尤其在台风或大雨季节，应加强抗台抗灾，成交方要无条件听从采购方指挥，费用已包括在投标报价内，采购方不再另行支付。）</w:t>
      </w:r>
    </w:p>
    <w:p w14:paraId="496DD57E">
      <w:pPr>
        <w:spacing w:line="360" w:lineRule="exact"/>
        <w:ind w:firstLine="420" w:firstLineChars="200"/>
        <w:rPr>
          <w:rFonts w:ascii="宋体" w:cs="Arial"/>
          <w:b/>
          <w:color w:val="auto"/>
          <w:sz w:val="21"/>
          <w:szCs w:val="21"/>
          <w:highlight w:val="none"/>
        </w:rPr>
      </w:pPr>
      <w:r>
        <w:rPr>
          <w:rFonts w:hint="eastAsia" w:ascii="宋体" w:cs="Arial"/>
          <w:b/>
          <w:color w:val="auto"/>
          <w:sz w:val="21"/>
          <w:szCs w:val="21"/>
          <w:highlight w:val="none"/>
        </w:rPr>
        <w:t>一、项目背景：</w:t>
      </w:r>
    </w:p>
    <w:p w14:paraId="476C4E45">
      <w:pPr>
        <w:spacing w:line="360" w:lineRule="exact"/>
        <w:ind w:firstLine="420" w:firstLineChars="200"/>
        <w:rPr>
          <w:rFonts w:ascii="宋体" w:cs="Arial"/>
          <w:bCs/>
          <w:color w:val="auto"/>
          <w:sz w:val="21"/>
          <w:szCs w:val="21"/>
          <w:highlight w:val="none"/>
        </w:rPr>
      </w:pPr>
      <w:r>
        <w:rPr>
          <w:rFonts w:hint="eastAsia" w:ascii="宋体" w:cs="Arial"/>
          <w:bCs/>
          <w:color w:val="auto"/>
          <w:sz w:val="21"/>
          <w:szCs w:val="21"/>
          <w:highlight w:val="none"/>
        </w:rPr>
        <w:t>为了配合“美丽公路”和“四好农村路”建设，提高公路绿化管护质量，营造良好的路容路貌，打造舒适、便捷的通行环境，决定将仙居县域所有国、省道及全部县道公路绿化管护推向市场化管理。</w:t>
      </w:r>
    </w:p>
    <w:p w14:paraId="1E078262">
      <w:pPr>
        <w:spacing w:line="360" w:lineRule="exact"/>
        <w:ind w:firstLine="420" w:firstLineChars="200"/>
        <w:rPr>
          <w:rFonts w:ascii="宋体" w:cs="Arial"/>
          <w:b/>
          <w:color w:val="auto"/>
          <w:sz w:val="21"/>
          <w:szCs w:val="21"/>
          <w:highlight w:val="none"/>
        </w:rPr>
      </w:pPr>
      <w:r>
        <w:rPr>
          <w:rFonts w:hint="eastAsia" w:ascii="宋体" w:cs="Arial"/>
          <w:b/>
          <w:color w:val="auto"/>
          <w:sz w:val="21"/>
          <w:szCs w:val="21"/>
          <w:highlight w:val="none"/>
        </w:rPr>
        <w:t>二、项目概况：</w:t>
      </w:r>
    </w:p>
    <w:p w14:paraId="23A4667C">
      <w:pPr>
        <w:spacing w:line="360" w:lineRule="auto"/>
        <w:ind w:firstLine="420" w:firstLineChars="200"/>
        <w:rPr>
          <w:rFonts w:ascii="宋体" w:hAnsi="宋体" w:eastAsia="宋体" w:cs="宋体"/>
          <w:color w:val="auto"/>
          <w:sz w:val="21"/>
          <w:szCs w:val="21"/>
          <w:highlight w:val="none"/>
        </w:rPr>
      </w:pPr>
      <w:bookmarkStart w:id="55" w:name="_Toc525036881"/>
      <w:bookmarkStart w:id="56" w:name="_Toc20544"/>
      <w:r>
        <w:rPr>
          <w:rFonts w:hint="eastAsia" w:ascii="宋体" w:hAnsi="宋体" w:eastAsia="宋体" w:cs="宋体"/>
          <w:bCs/>
          <w:color w:val="auto"/>
          <w:kern w:val="0"/>
          <w:sz w:val="21"/>
          <w:szCs w:val="21"/>
          <w:highlight w:val="none"/>
        </w:rPr>
        <w:t>本次招标共</w:t>
      </w:r>
      <w:r>
        <w:rPr>
          <w:rFonts w:hint="eastAsia" w:ascii="宋体" w:hAnsi="宋体" w:eastAsia="宋体" w:cs="宋体"/>
          <w:bCs/>
          <w:color w:val="auto"/>
          <w:kern w:val="0"/>
          <w:sz w:val="21"/>
          <w:szCs w:val="21"/>
          <w:highlight w:val="none"/>
          <w:u w:val="single"/>
        </w:rPr>
        <w:t xml:space="preserve"> 2</w:t>
      </w:r>
      <w:r>
        <w:rPr>
          <w:rFonts w:hint="eastAsia" w:ascii="宋体" w:hAnsi="宋体" w:eastAsia="宋体" w:cs="宋体"/>
          <w:bCs/>
          <w:color w:val="auto"/>
          <w:kern w:val="0"/>
          <w:sz w:val="21"/>
          <w:szCs w:val="21"/>
          <w:highlight w:val="none"/>
        </w:rPr>
        <w:t>个标项，项目预算总金额为</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 xml:space="preserve"> 160 </w:t>
      </w:r>
      <w:r>
        <w:rPr>
          <w:rFonts w:hint="eastAsia" w:ascii="宋体" w:hAnsi="宋体" w:eastAsia="宋体" w:cs="宋体"/>
          <w:bCs/>
          <w:color w:val="auto"/>
          <w:kern w:val="0"/>
          <w:sz w:val="21"/>
          <w:szCs w:val="21"/>
          <w:highlight w:val="none"/>
        </w:rPr>
        <w:t>万元，具体内容如下表：</w:t>
      </w:r>
    </w:p>
    <w:tbl>
      <w:tblPr>
        <w:tblStyle w:val="2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014"/>
        <w:gridCol w:w="2354"/>
        <w:gridCol w:w="1246"/>
        <w:gridCol w:w="1142"/>
        <w:gridCol w:w="1546"/>
      </w:tblGrid>
      <w:tr w14:paraId="4637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8" w:type="dxa"/>
            <w:vAlign w:val="center"/>
          </w:tcPr>
          <w:p w14:paraId="52FAB19D">
            <w:pPr>
              <w:tabs>
                <w:tab w:val="left" w:pos="8280"/>
              </w:tabs>
              <w:autoSpaceDE w:val="0"/>
              <w:autoSpaceDN w:val="0"/>
              <w:adjustRightInd w:val="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w:t>
            </w:r>
          </w:p>
          <w:p w14:paraId="4605BC9C">
            <w:pPr>
              <w:tabs>
                <w:tab w:val="left" w:pos="8280"/>
              </w:tabs>
              <w:autoSpaceDE w:val="0"/>
              <w:autoSpaceDN w:val="0"/>
              <w:adjustRightInd w:val="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14" w:type="dxa"/>
            <w:vAlign w:val="center"/>
          </w:tcPr>
          <w:p w14:paraId="588BFA64">
            <w:pPr>
              <w:tabs>
                <w:tab w:val="left" w:pos="8280"/>
              </w:tabs>
              <w:autoSpaceDE w:val="0"/>
              <w:autoSpaceDN w:val="0"/>
              <w:adjustRightInd w:val="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标项内容</w:t>
            </w:r>
          </w:p>
        </w:tc>
        <w:tc>
          <w:tcPr>
            <w:tcW w:w="2354" w:type="dxa"/>
            <w:vAlign w:val="center"/>
          </w:tcPr>
          <w:p w14:paraId="794CA14E">
            <w:pPr>
              <w:tabs>
                <w:tab w:val="left" w:pos="8280"/>
              </w:tabs>
              <w:autoSpaceDE w:val="0"/>
              <w:autoSpaceDN w:val="0"/>
              <w:adjustRightInd w:val="0"/>
              <w:spacing w:line="360" w:lineRule="exact"/>
              <w:ind w:right="25"/>
              <w:jc w:val="center"/>
              <w:rPr>
                <w:rFonts w:ascii="宋体" w:hAnsi="宋体" w:eastAsia="宋体" w:cs="宋体"/>
                <w:b/>
                <w:color w:val="auto"/>
                <w:sz w:val="21"/>
                <w:szCs w:val="21"/>
                <w:highlight w:val="none"/>
              </w:rPr>
            </w:pPr>
            <w:r>
              <w:rPr>
                <w:rFonts w:hint="eastAsia" w:ascii="宋体" w:hAnsi="宋体" w:cs="宋体"/>
                <w:b/>
                <w:color w:val="auto"/>
                <w:kern w:val="0"/>
                <w:sz w:val="21"/>
                <w:szCs w:val="21"/>
                <w:highlight w:val="none"/>
              </w:rPr>
              <w:t>服务期</w:t>
            </w:r>
          </w:p>
        </w:tc>
        <w:tc>
          <w:tcPr>
            <w:tcW w:w="1246" w:type="dxa"/>
            <w:vAlign w:val="center"/>
          </w:tcPr>
          <w:p w14:paraId="7D2780A7">
            <w:pPr>
              <w:tabs>
                <w:tab w:val="left" w:pos="8280"/>
              </w:tabs>
              <w:autoSpaceDE w:val="0"/>
              <w:autoSpaceDN w:val="0"/>
              <w:adjustRightInd w:val="0"/>
              <w:spacing w:line="360" w:lineRule="exact"/>
              <w:ind w:right="25"/>
              <w:jc w:val="center"/>
              <w:rPr>
                <w:rFonts w:ascii="宋体" w:cs="宋体"/>
                <w:b/>
                <w:color w:val="auto"/>
                <w:kern w:val="0"/>
                <w:sz w:val="21"/>
                <w:szCs w:val="21"/>
                <w:highlight w:val="none"/>
              </w:rPr>
            </w:pPr>
            <w:r>
              <w:rPr>
                <w:rFonts w:hint="eastAsia" w:ascii="宋体" w:cs="宋体"/>
                <w:b/>
                <w:color w:val="auto"/>
                <w:kern w:val="0"/>
                <w:sz w:val="21"/>
                <w:szCs w:val="21"/>
                <w:highlight w:val="none"/>
              </w:rPr>
              <w:t>预算金额</w:t>
            </w:r>
          </w:p>
          <w:p w14:paraId="15379DFC">
            <w:pPr>
              <w:tabs>
                <w:tab w:val="left" w:pos="8280"/>
              </w:tabs>
              <w:autoSpaceDE w:val="0"/>
              <w:autoSpaceDN w:val="0"/>
              <w:adjustRightInd w:val="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142" w:type="dxa"/>
            <w:vAlign w:val="center"/>
          </w:tcPr>
          <w:p w14:paraId="0385B865">
            <w:pPr>
              <w:tabs>
                <w:tab w:val="left" w:pos="8280"/>
              </w:tabs>
              <w:autoSpaceDE w:val="0"/>
              <w:autoSpaceDN w:val="0"/>
              <w:adjustRightInd w:val="0"/>
              <w:jc w:val="center"/>
              <w:rPr>
                <w:rFonts w:ascii="Times New Roman" w:hAnsi="Times New Roman"/>
                <w:b/>
                <w:color w:val="auto"/>
                <w:sz w:val="21"/>
                <w:szCs w:val="21"/>
                <w:highlight w:val="none"/>
              </w:rPr>
            </w:pPr>
            <w:r>
              <w:rPr>
                <w:rFonts w:hint="eastAsia" w:ascii="Times New Roman" w:hAnsi="Times New Roman"/>
                <w:b/>
                <w:color w:val="auto"/>
                <w:sz w:val="21"/>
                <w:szCs w:val="21"/>
                <w:highlight w:val="none"/>
              </w:rPr>
              <w:t>最高限价</w:t>
            </w:r>
          </w:p>
          <w:p w14:paraId="1445BCD1">
            <w:pPr>
              <w:tabs>
                <w:tab w:val="left" w:pos="8280"/>
              </w:tabs>
              <w:autoSpaceDE w:val="0"/>
              <w:autoSpaceDN w:val="0"/>
              <w:adjustRightInd w:val="0"/>
              <w:jc w:val="center"/>
              <w:rPr>
                <w:rFonts w:ascii="宋体" w:hAnsi="宋体" w:eastAsia="宋体" w:cs="宋体"/>
                <w:b/>
                <w:color w:val="auto"/>
                <w:sz w:val="21"/>
                <w:szCs w:val="21"/>
                <w:highlight w:val="none"/>
              </w:rPr>
            </w:pPr>
            <w:r>
              <w:rPr>
                <w:rFonts w:hint="eastAsia" w:ascii="Times New Roman" w:hAnsi="Times New Roman"/>
                <w:b/>
                <w:color w:val="auto"/>
                <w:sz w:val="21"/>
                <w:szCs w:val="21"/>
                <w:highlight w:val="none"/>
              </w:rPr>
              <w:t>（万元）</w:t>
            </w:r>
          </w:p>
        </w:tc>
        <w:tc>
          <w:tcPr>
            <w:tcW w:w="1546" w:type="dxa"/>
            <w:vAlign w:val="center"/>
          </w:tcPr>
          <w:p w14:paraId="45D074B2">
            <w:pPr>
              <w:tabs>
                <w:tab w:val="left" w:pos="8280"/>
              </w:tabs>
              <w:autoSpaceDE w:val="0"/>
              <w:autoSpaceDN w:val="0"/>
              <w:adjustRightInd w:val="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所属行业</w:t>
            </w:r>
          </w:p>
        </w:tc>
      </w:tr>
      <w:tr w14:paraId="6D70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98" w:type="dxa"/>
            <w:vAlign w:val="center"/>
          </w:tcPr>
          <w:p w14:paraId="4E2BEB17">
            <w:pPr>
              <w:tabs>
                <w:tab w:val="left" w:pos="8280"/>
              </w:tabs>
              <w:autoSpaceDE w:val="0"/>
              <w:autoSpaceDN w:val="0"/>
              <w:adjustRightIn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014" w:type="dxa"/>
            <w:vAlign w:val="center"/>
          </w:tcPr>
          <w:p w14:paraId="0424B7DC">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2024年-2025年仙居县东边所有国、省道及县道公路绿化管护服务</w:t>
            </w:r>
          </w:p>
        </w:tc>
        <w:tc>
          <w:tcPr>
            <w:tcW w:w="2354" w:type="dxa"/>
            <w:vMerge w:val="restart"/>
            <w:vAlign w:val="center"/>
          </w:tcPr>
          <w:p w14:paraId="288388D1">
            <w:pPr>
              <w:tabs>
                <w:tab w:val="left" w:pos="8280"/>
              </w:tabs>
              <w:autoSpaceDE w:val="0"/>
              <w:autoSpaceDN w:val="0"/>
              <w:adjustRightInd w:val="0"/>
              <w:spacing w:line="360" w:lineRule="exact"/>
              <w:ind w:right="25"/>
              <w:jc w:val="center"/>
              <w:rPr>
                <w:rFonts w:ascii="宋体" w:hAnsi="宋体" w:eastAsia="宋体" w:cs="宋体"/>
                <w:color w:val="auto"/>
                <w:sz w:val="21"/>
                <w:szCs w:val="21"/>
                <w:highlight w:val="none"/>
              </w:rPr>
            </w:pPr>
            <w:r>
              <w:rPr>
                <w:rFonts w:hint="eastAsia" w:ascii="新宋体" w:hAnsi="新宋体" w:eastAsia="新宋体"/>
                <w:color w:val="auto"/>
                <w:sz w:val="21"/>
                <w:szCs w:val="21"/>
                <w:highlight w:val="none"/>
              </w:rPr>
              <w:t>服务期限为</w:t>
            </w:r>
            <w:r>
              <w:rPr>
                <w:rFonts w:hint="eastAsia" w:ascii="新宋体" w:hAnsi="新宋体" w:eastAsia="新宋体"/>
                <w:color w:val="auto"/>
                <w:sz w:val="21"/>
                <w:szCs w:val="21"/>
                <w:highlight w:val="none"/>
                <w:lang w:val="en-US" w:eastAsia="zh-CN"/>
              </w:rPr>
              <w:t>二</w:t>
            </w:r>
            <w:r>
              <w:rPr>
                <w:rFonts w:hint="eastAsia" w:ascii="新宋体" w:hAnsi="新宋体" w:eastAsia="新宋体"/>
                <w:color w:val="auto"/>
                <w:sz w:val="21"/>
                <w:szCs w:val="21"/>
                <w:highlight w:val="none"/>
              </w:rPr>
              <w:t>年，合同一年一签。当年度考核分达到</w:t>
            </w:r>
            <w:r>
              <w:rPr>
                <w:rFonts w:hint="eastAsia" w:ascii="新宋体" w:hAnsi="新宋体" w:eastAsia="新宋体"/>
                <w:color w:val="auto"/>
                <w:sz w:val="21"/>
                <w:szCs w:val="21"/>
                <w:highlight w:val="none"/>
                <w:lang w:val="en-US" w:eastAsia="zh-CN"/>
              </w:rPr>
              <w:t xml:space="preserve"> 90</w:t>
            </w:r>
            <w:r>
              <w:rPr>
                <w:rFonts w:hint="eastAsia" w:ascii="新宋体" w:hAnsi="新宋体" w:eastAsia="新宋体"/>
                <w:color w:val="auto"/>
                <w:sz w:val="21"/>
                <w:szCs w:val="21"/>
                <w:highlight w:val="none"/>
              </w:rPr>
              <w:t>分及以上，可以</w:t>
            </w:r>
            <w:r>
              <w:rPr>
                <w:rFonts w:hint="eastAsia" w:ascii="新宋体" w:hAnsi="新宋体" w:eastAsia="新宋体"/>
                <w:color w:val="auto"/>
                <w:sz w:val="21"/>
                <w:szCs w:val="21"/>
                <w:highlight w:val="none"/>
                <w:lang w:eastAsia="zh-CN"/>
              </w:rPr>
              <w:t>签订下一年合同。（考核表详见</w:t>
            </w:r>
            <w:r>
              <w:rPr>
                <w:rFonts w:hint="eastAsia" w:ascii="新宋体" w:hAnsi="新宋体" w:eastAsia="新宋体"/>
                <w:color w:val="auto"/>
                <w:sz w:val="21"/>
                <w:szCs w:val="21"/>
                <w:highlight w:val="none"/>
                <w:lang w:val="en-US" w:eastAsia="zh-CN"/>
              </w:rPr>
              <w:t>合同</w:t>
            </w:r>
            <w:r>
              <w:rPr>
                <w:rFonts w:hint="eastAsia" w:ascii="新宋体" w:hAnsi="新宋体" w:eastAsia="新宋体"/>
                <w:color w:val="auto"/>
                <w:sz w:val="21"/>
                <w:szCs w:val="21"/>
                <w:highlight w:val="none"/>
                <w:lang w:eastAsia="zh-CN"/>
              </w:rPr>
              <w:t>附件）。 </w:t>
            </w:r>
          </w:p>
        </w:tc>
        <w:tc>
          <w:tcPr>
            <w:tcW w:w="1246" w:type="dxa"/>
            <w:vAlign w:val="center"/>
          </w:tcPr>
          <w:p w14:paraId="61B473F7">
            <w:pPr>
              <w:tabs>
                <w:tab w:val="left" w:pos="8280"/>
              </w:tabs>
              <w:autoSpaceDE w:val="0"/>
              <w:autoSpaceDN w:val="0"/>
              <w:adjustRightIn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1142" w:type="dxa"/>
            <w:vAlign w:val="center"/>
          </w:tcPr>
          <w:p w14:paraId="0E7B98FF">
            <w:pPr>
              <w:tabs>
                <w:tab w:val="left" w:pos="8280"/>
              </w:tabs>
              <w:autoSpaceDE w:val="0"/>
              <w:autoSpaceDN w:val="0"/>
              <w:adjustRightIn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1546" w:type="dxa"/>
            <w:vMerge w:val="restart"/>
            <w:vAlign w:val="center"/>
          </w:tcPr>
          <w:p w14:paraId="014E798C">
            <w:pPr>
              <w:tabs>
                <w:tab w:val="left" w:pos="8280"/>
              </w:tabs>
              <w:autoSpaceDE w:val="0"/>
              <w:autoSpaceDN w:val="0"/>
              <w:adjustRightIn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公共设施管理业</w:t>
            </w:r>
          </w:p>
        </w:tc>
      </w:tr>
      <w:tr w14:paraId="14D6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8" w:type="dxa"/>
            <w:vAlign w:val="center"/>
          </w:tcPr>
          <w:p w14:paraId="707162B3">
            <w:pPr>
              <w:tabs>
                <w:tab w:val="left" w:pos="8280"/>
              </w:tabs>
              <w:autoSpaceDE w:val="0"/>
              <w:autoSpaceDN w:val="0"/>
              <w:adjustRightIn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2014" w:type="dxa"/>
            <w:vAlign w:val="center"/>
          </w:tcPr>
          <w:p w14:paraId="2F11ADBD">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2024年-2025年仙居县西边所有省道及县道公路绿化管护服务</w:t>
            </w:r>
          </w:p>
        </w:tc>
        <w:tc>
          <w:tcPr>
            <w:tcW w:w="2354" w:type="dxa"/>
            <w:vMerge w:val="continue"/>
            <w:vAlign w:val="center"/>
          </w:tcPr>
          <w:p w14:paraId="6B7CBAD8">
            <w:pPr>
              <w:tabs>
                <w:tab w:val="left" w:pos="8280"/>
              </w:tabs>
              <w:autoSpaceDE w:val="0"/>
              <w:autoSpaceDN w:val="0"/>
              <w:adjustRightInd w:val="0"/>
              <w:jc w:val="center"/>
              <w:rPr>
                <w:rFonts w:ascii="宋体" w:hAnsi="宋体" w:eastAsia="宋体" w:cs="宋体"/>
                <w:color w:val="auto"/>
                <w:sz w:val="21"/>
                <w:szCs w:val="21"/>
                <w:highlight w:val="none"/>
              </w:rPr>
            </w:pPr>
          </w:p>
        </w:tc>
        <w:tc>
          <w:tcPr>
            <w:tcW w:w="1246" w:type="dxa"/>
            <w:vAlign w:val="center"/>
          </w:tcPr>
          <w:p w14:paraId="132E06C8">
            <w:pPr>
              <w:tabs>
                <w:tab w:val="left" w:pos="8280"/>
              </w:tabs>
              <w:autoSpaceDE w:val="0"/>
              <w:autoSpaceDN w:val="0"/>
              <w:adjustRightIn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1142" w:type="dxa"/>
            <w:vAlign w:val="center"/>
          </w:tcPr>
          <w:p w14:paraId="1D536D2C">
            <w:pPr>
              <w:autoSpaceDE w:val="0"/>
              <w:autoSpaceDN w:val="0"/>
              <w:adjustRightIn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1546" w:type="dxa"/>
            <w:vMerge w:val="continue"/>
            <w:vAlign w:val="center"/>
          </w:tcPr>
          <w:p w14:paraId="3B6AF853">
            <w:pPr>
              <w:autoSpaceDE w:val="0"/>
              <w:autoSpaceDN w:val="0"/>
              <w:adjustRightInd w:val="0"/>
              <w:ind w:firstLine="420" w:firstLineChars="200"/>
              <w:jc w:val="center"/>
              <w:rPr>
                <w:rFonts w:ascii="宋体" w:hAnsi="宋体" w:eastAsia="宋体" w:cs="宋体"/>
                <w:color w:val="auto"/>
                <w:sz w:val="21"/>
                <w:szCs w:val="21"/>
                <w:highlight w:val="none"/>
              </w:rPr>
            </w:pPr>
          </w:p>
        </w:tc>
      </w:tr>
    </w:tbl>
    <w:p w14:paraId="6B0E6CD7">
      <w:pPr>
        <w:widowControl/>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
          <w:bCs/>
          <w:color w:val="auto"/>
          <w:sz w:val="21"/>
          <w:szCs w:val="21"/>
          <w:highlight w:val="none"/>
        </w:rPr>
        <w:t>①本项目按标项依次开标，各供应商可参与任一标项或多个标项投标，但最多只能成为其中一个标项的第一中标候选人，若供应商已在之前任一标项中成为第一中标候选人，则将不参加后续标项评审，也不会在后续标项中被推荐为中标候选人。</w:t>
      </w:r>
    </w:p>
    <w:p w14:paraId="03976B45">
      <w:pPr>
        <w:widowControl/>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②除了已成为前面任一标项的第一中标候选人的供应商外，各标项提交投标文件供应商或实质性响应供应商的家数须满足至少三家才可继续采购活动，否则该标项将作废标处理。</w:t>
      </w:r>
    </w:p>
    <w:p w14:paraId="70A9C8EB">
      <w:pPr>
        <w:snapToGrid w:val="0"/>
        <w:spacing w:before="120" w:beforeLines="50" w:after="120" w:afterLines="50"/>
        <w:ind w:firstLine="210" w:firstLineChars="100"/>
        <w:rPr>
          <w:rFonts w:ascii="宋体"/>
          <w:b/>
          <w:color w:val="auto"/>
          <w:sz w:val="21"/>
          <w:highlight w:val="none"/>
        </w:rPr>
      </w:pPr>
      <w:r>
        <w:rPr>
          <w:rFonts w:hint="eastAsia" w:ascii="宋体" w:cs="宋体"/>
          <w:b/>
          <w:bCs/>
          <w:color w:val="auto"/>
          <w:sz w:val="21"/>
          <w:szCs w:val="21"/>
          <w:highlight w:val="none"/>
        </w:rPr>
        <w:t>三、</w:t>
      </w:r>
      <w:r>
        <w:rPr>
          <w:rFonts w:hint="eastAsia" w:ascii="宋体"/>
          <w:b/>
          <w:color w:val="auto"/>
          <w:sz w:val="21"/>
          <w:highlight w:val="none"/>
        </w:rPr>
        <w:t>项目范围：</w:t>
      </w:r>
    </w:p>
    <w:p w14:paraId="2C90C59C">
      <w:pPr>
        <w:snapToGrid w:val="0"/>
        <w:spacing w:line="360" w:lineRule="auto"/>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标项一：</w:t>
      </w:r>
    </w:p>
    <w:p w14:paraId="5B825E7C">
      <w:pPr>
        <w:snapToGrid w:val="0"/>
        <w:spacing w:line="360" w:lineRule="auto"/>
        <w:rPr>
          <w:rFonts w:ascii="宋体"/>
          <w:b/>
          <w:bCs/>
          <w:color w:val="auto"/>
          <w:sz w:val="21"/>
          <w:highlight w:val="none"/>
          <w:shd w:val="clear" w:color="auto" w:fill="FFFFFF"/>
        </w:rPr>
      </w:pPr>
      <w:r>
        <w:rPr>
          <w:rFonts w:hint="eastAsia" w:ascii="宋体" w:hAnsi="宋体" w:eastAsia="宋体" w:cs="宋体"/>
          <w:color w:val="auto"/>
          <w:kern w:val="0"/>
          <w:sz w:val="21"/>
          <w:szCs w:val="21"/>
          <w:highlight w:val="none"/>
          <w:lang w:eastAsia="zh-CN"/>
        </w:rPr>
        <w:t>2024年-2025年仙居县东边所有国、省道及县道公路绿化管护服务</w:t>
      </w:r>
      <w:r>
        <w:rPr>
          <w:rFonts w:hint="eastAsia" w:ascii="宋体" w:hAnsi="宋体" w:eastAsia="宋体" w:cs="宋体"/>
          <w:b w:val="0"/>
          <w:bCs w:val="0"/>
          <w:color w:val="auto"/>
          <w:kern w:val="0"/>
          <w:sz w:val="21"/>
          <w:szCs w:val="21"/>
          <w:highlight w:val="none"/>
        </w:rPr>
        <w:t>范围</w:t>
      </w:r>
      <w:r>
        <w:rPr>
          <w:rFonts w:hint="eastAsia" w:ascii="宋体"/>
          <w:b w:val="0"/>
          <w:bCs w:val="0"/>
          <w:color w:val="auto"/>
          <w:sz w:val="21"/>
          <w:highlight w:val="none"/>
          <w:shd w:val="clear" w:color="auto" w:fill="FFFFFF"/>
        </w:rPr>
        <w:t>：</w:t>
      </w:r>
    </w:p>
    <w:tbl>
      <w:tblPr>
        <w:tblStyle w:val="27"/>
        <w:tblW w:w="9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3"/>
        <w:gridCol w:w="2588"/>
        <w:gridCol w:w="1583"/>
        <w:gridCol w:w="3147"/>
        <w:gridCol w:w="979"/>
      </w:tblGrid>
      <w:tr w14:paraId="13C7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880" w:type="dxa"/>
            <w:gridSpan w:val="5"/>
            <w:tcBorders>
              <w:top w:val="nil"/>
              <w:left w:val="nil"/>
              <w:bottom w:val="nil"/>
              <w:right w:val="nil"/>
            </w:tcBorders>
            <w:shd w:val="clear" w:color="auto" w:fill="auto"/>
            <w:noWrap/>
            <w:vAlign w:val="center"/>
          </w:tcPr>
          <w:p w14:paraId="29D159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标项一范围</w:t>
            </w:r>
          </w:p>
        </w:tc>
      </w:tr>
      <w:tr w14:paraId="0DE7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2B7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D3E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F2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F8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终点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AA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里程</w:t>
            </w:r>
          </w:p>
        </w:tc>
      </w:tr>
      <w:tr w14:paraId="6241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29D25F4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普通国道</w:t>
            </w:r>
          </w:p>
        </w:tc>
        <w:tc>
          <w:tcPr>
            <w:tcW w:w="0" w:type="auto"/>
            <w:tcBorders>
              <w:top w:val="nil"/>
              <w:left w:val="nil"/>
              <w:bottom w:val="single" w:color="000000" w:sz="4" w:space="0"/>
              <w:right w:val="single" w:color="000000" w:sz="4" w:space="0"/>
            </w:tcBorders>
            <w:shd w:val="clear" w:color="auto" w:fill="FFFFFF"/>
            <w:noWrap/>
            <w:vAlign w:val="center"/>
          </w:tcPr>
          <w:p w14:paraId="7FD8E861">
            <w:pPr>
              <w:jc w:val="left"/>
              <w:rPr>
                <w:rFonts w:hint="eastAsia" w:ascii="宋体" w:hAnsi="宋体" w:eastAsia="宋体" w:cs="宋体"/>
                <w:b/>
                <w:bCs/>
                <w:i w:val="0"/>
                <w:iCs w:val="0"/>
                <w:color w:val="auto"/>
                <w:sz w:val="20"/>
                <w:szCs w:val="20"/>
                <w:highlight w:val="none"/>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80C326E">
            <w:pPr>
              <w:jc w:val="left"/>
              <w:rPr>
                <w:rFonts w:hint="eastAsia" w:ascii="宋体" w:hAnsi="宋体" w:eastAsia="宋体" w:cs="宋体"/>
                <w:b/>
                <w:bCs/>
                <w:i w:val="0"/>
                <w:iCs w:val="0"/>
                <w:color w:val="auto"/>
                <w:sz w:val="20"/>
                <w:szCs w:val="20"/>
                <w:highlight w:val="none"/>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17FB5BA">
            <w:pPr>
              <w:jc w:val="left"/>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0AC0">
            <w:pPr>
              <w:rPr>
                <w:rFonts w:hint="eastAsia" w:ascii="宋体" w:hAnsi="宋体" w:eastAsia="宋体" w:cs="宋体"/>
                <w:i w:val="0"/>
                <w:iCs w:val="0"/>
                <w:color w:val="auto"/>
                <w:sz w:val="22"/>
                <w:szCs w:val="22"/>
                <w:highlight w:val="none"/>
                <w:u w:val="none"/>
              </w:rPr>
            </w:pPr>
          </w:p>
        </w:tc>
      </w:tr>
      <w:tr w14:paraId="30D9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7104CC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G351</w:t>
            </w:r>
          </w:p>
        </w:tc>
        <w:tc>
          <w:tcPr>
            <w:tcW w:w="0" w:type="auto"/>
            <w:tcBorders>
              <w:top w:val="nil"/>
              <w:left w:val="nil"/>
              <w:bottom w:val="single" w:color="000000" w:sz="4" w:space="0"/>
              <w:right w:val="single" w:color="000000" w:sz="4" w:space="0"/>
            </w:tcBorders>
            <w:shd w:val="clear" w:color="auto" w:fill="FFFFFF"/>
            <w:noWrap/>
            <w:vAlign w:val="center"/>
          </w:tcPr>
          <w:p w14:paraId="465BA4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台小线</w:t>
            </w:r>
          </w:p>
        </w:tc>
        <w:tc>
          <w:tcPr>
            <w:tcW w:w="0" w:type="auto"/>
            <w:tcBorders>
              <w:top w:val="nil"/>
              <w:left w:val="nil"/>
              <w:bottom w:val="single" w:color="000000" w:sz="4" w:space="0"/>
              <w:right w:val="single" w:color="000000" w:sz="4" w:space="0"/>
            </w:tcBorders>
            <w:shd w:val="clear" w:color="auto" w:fill="FFFFFF"/>
            <w:noWrap/>
            <w:vAlign w:val="center"/>
          </w:tcPr>
          <w:p w14:paraId="6CAD17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界岭头</w:t>
            </w:r>
          </w:p>
        </w:tc>
        <w:tc>
          <w:tcPr>
            <w:tcW w:w="0" w:type="auto"/>
            <w:tcBorders>
              <w:top w:val="nil"/>
              <w:left w:val="nil"/>
              <w:bottom w:val="single" w:color="000000" w:sz="4" w:space="0"/>
              <w:right w:val="single" w:color="000000" w:sz="4" w:space="0"/>
            </w:tcBorders>
            <w:shd w:val="clear" w:color="auto" w:fill="FFFFFF"/>
            <w:noWrap/>
            <w:vAlign w:val="center"/>
          </w:tcPr>
          <w:p w14:paraId="55B6F5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冲背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123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30.572</w:t>
            </w:r>
          </w:p>
        </w:tc>
      </w:tr>
      <w:tr w14:paraId="3147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2BD3354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普通省道</w:t>
            </w:r>
          </w:p>
        </w:tc>
        <w:tc>
          <w:tcPr>
            <w:tcW w:w="0" w:type="auto"/>
            <w:tcBorders>
              <w:top w:val="nil"/>
              <w:left w:val="nil"/>
              <w:bottom w:val="single" w:color="000000" w:sz="4" w:space="0"/>
              <w:right w:val="single" w:color="000000" w:sz="4" w:space="0"/>
            </w:tcBorders>
            <w:shd w:val="clear" w:color="auto" w:fill="FFFFFF"/>
            <w:noWrap/>
            <w:vAlign w:val="center"/>
          </w:tcPr>
          <w:p w14:paraId="1A0FF851">
            <w:pPr>
              <w:jc w:val="left"/>
              <w:rPr>
                <w:rFonts w:hint="eastAsia" w:ascii="宋体" w:hAnsi="宋体" w:eastAsia="宋体" w:cs="宋体"/>
                <w:b/>
                <w:bCs/>
                <w:i w:val="0"/>
                <w:iCs w:val="0"/>
                <w:color w:val="auto"/>
                <w:sz w:val="20"/>
                <w:szCs w:val="20"/>
                <w:highlight w:val="none"/>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A606F2F">
            <w:pPr>
              <w:jc w:val="left"/>
              <w:rPr>
                <w:rFonts w:hint="eastAsia" w:ascii="宋体" w:hAnsi="宋体" w:eastAsia="宋体" w:cs="宋体"/>
                <w:b/>
                <w:bCs/>
                <w:i w:val="0"/>
                <w:iCs w:val="0"/>
                <w:color w:val="auto"/>
                <w:sz w:val="20"/>
                <w:szCs w:val="20"/>
                <w:highlight w:val="none"/>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DECBF0F">
            <w:pPr>
              <w:jc w:val="left"/>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0250">
            <w:pPr>
              <w:rPr>
                <w:rFonts w:hint="eastAsia" w:ascii="宋体" w:hAnsi="宋体" w:eastAsia="宋体" w:cs="宋体"/>
                <w:i w:val="0"/>
                <w:iCs w:val="0"/>
                <w:color w:val="auto"/>
                <w:sz w:val="22"/>
                <w:szCs w:val="22"/>
                <w:highlight w:val="none"/>
                <w:u w:val="none"/>
              </w:rPr>
            </w:pPr>
          </w:p>
        </w:tc>
      </w:tr>
      <w:tr w14:paraId="6ABC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1A3947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S207</w:t>
            </w:r>
          </w:p>
        </w:tc>
        <w:tc>
          <w:tcPr>
            <w:tcW w:w="0" w:type="auto"/>
            <w:tcBorders>
              <w:top w:val="nil"/>
              <w:left w:val="nil"/>
              <w:bottom w:val="single" w:color="000000" w:sz="4" w:space="0"/>
              <w:right w:val="single" w:color="000000" w:sz="4" w:space="0"/>
            </w:tcBorders>
            <w:shd w:val="clear" w:color="auto" w:fill="FFFFFF"/>
            <w:noWrap/>
            <w:vAlign w:val="center"/>
          </w:tcPr>
          <w:p w14:paraId="04BB09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秀仙线</w:t>
            </w:r>
          </w:p>
        </w:tc>
        <w:tc>
          <w:tcPr>
            <w:tcW w:w="0" w:type="auto"/>
            <w:tcBorders>
              <w:top w:val="nil"/>
              <w:left w:val="nil"/>
              <w:bottom w:val="single" w:color="000000" w:sz="4" w:space="0"/>
              <w:right w:val="single" w:color="000000" w:sz="4" w:space="0"/>
            </w:tcBorders>
            <w:shd w:val="clear" w:color="auto" w:fill="FFFFFF"/>
            <w:noWrap/>
            <w:vAlign w:val="center"/>
          </w:tcPr>
          <w:p w14:paraId="7F770C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下洋大桥</w:t>
            </w:r>
          </w:p>
        </w:tc>
        <w:tc>
          <w:tcPr>
            <w:tcW w:w="0" w:type="auto"/>
            <w:tcBorders>
              <w:top w:val="nil"/>
              <w:left w:val="nil"/>
              <w:bottom w:val="single" w:color="000000" w:sz="4" w:space="0"/>
              <w:right w:val="single" w:color="000000" w:sz="4" w:space="0"/>
            </w:tcBorders>
            <w:shd w:val="clear" w:color="auto" w:fill="FFFFFF"/>
            <w:noWrap/>
            <w:vAlign w:val="center"/>
          </w:tcPr>
          <w:p w14:paraId="5F34D8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仙周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ED2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25.481</w:t>
            </w:r>
          </w:p>
        </w:tc>
      </w:tr>
      <w:tr w14:paraId="3322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28D499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S208</w:t>
            </w:r>
          </w:p>
        </w:tc>
        <w:tc>
          <w:tcPr>
            <w:tcW w:w="0" w:type="auto"/>
            <w:tcBorders>
              <w:top w:val="nil"/>
              <w:left w:val="nil"/>
              <w:bottom w:val="single" w:color="000000" w:sz="4" w:space="0"/>
              <w:right w:val="single" w:color="000000" w:sz="4" w:space="0"/>
            </w:tcBorders>
            <w:shd w:val="clear" w:color="auto" w:fill="FFFFFF"/>
            <w:noWrap/>
            <w:vAlign w:val="center"/>
          </w:tcPr>
          <w:p w14:paraId="33F650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仙永线</w:t>
            </w:r>
          </w:p>
        </w:tc>
        <w:tc>
          <w:tcPr>
            <w:tcW w:w="0" w:type="auto"/>
            <w:tcBorders>
              <w:top w:val="nil"/>
              <w:left w:val="nil"/>
              <w:bottom w:val="single" w:color="000000" w:sz="4" w:space="0"/>
              <w:right w:val="single" w:color="000000" w:sz="4" w:space="0"/>
            </w:tcBorders>
            <w:shd w:val="clear" w:color="auto" w:fill="FFFFFF"/>
            <w:noWrap/>
            <w:vAlign w:val="center"/>
          </w:tcPr>
          <w:p w14:paraId="55B2E0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桐桥</w:t>
            </w:r>
          </w:p>
        </w:tc>
        <w:tc>
          <w:tcPr>
            <w:tcW w:w="0" w:type="auto"/>
            <w:tcBorders>
              <w:top w:val="nil"/>
              <w:left w:val="nil"/>
              <w:bottom w:val="single" w:color="000000" w:sz="4" w:space="0"/>
              <w:right w:val="single" w:color="000000" w:sz="4" w:space="0"/>
            </w:tcBorders>
            <w:shd w:val="clear" w:color="auto" w:fill="FFFFFF"/>
            <w:noWrap/>
            <w:vAlign w:val="center"/>
          </w:tcPr>
          <w:p w14:paraId="6A43B0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仙永隧道出口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76D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42.109</w:t>
            </w:r>
          </w:p>
        </w:tc>
      </w:tr>
      <w:tr w14:paraId="3153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6A8E8C8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县道</w:t>
            </w:r>
          </w:p>
        </w:tc>
        <w:tc>
          <w:tcPr>
            <w:tcW w:w="0" w:type="auto"/>
            <w:tcBorders>
              <w:top w:val="nil"/>
              <w:left w:val="nil"/>
              <w:bottom w:val="single" w:color="000000" w:sz="4" w:space="0"/>
              <w:right w:val="single" w:color="000000" w:sz="4" w:space="0"/>
            </w:tcBorders>
            <w:shd w:val="clear" w:color="auto" w:fill="FFFFFF"/>
            <w:noWrap/>
            <w:vAlign w:val="center"/>
          </w:tcPr>
          <w:p w14:paraId="0A02B88E">
            <w:pPr>
              <w:jc w:val="left"/>
              <w:rPr>
                <w:rFonts w:hint="eastAsia" w:ascii="宋体" w:hAnsi="宋体" w:eastAsia="宋体" w:cs="宋体"/>
                <w:b/>
                <w:bCs/>
                <w:i w:val="0"/>
                <w:iCs w:val="0"/>
                <w:color w:val="auto"/>
                <w:sz w:val="20"/>
                <w:szCs w:val="20"/>
                <w:highlight w:val="none"/>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D551974">
            <w:pPr>
              <w:jc w:val="left"/>
              <w:rPr>
                <w:rFonts w:hint="eastAsia" w:ascii="宋体" w:hAnsi="宋体" w:eastAsia="宋体" w:cs="宋体"/>
                <w:b/>
                <w:bCs/>
                <w:i w:val="0"/>
                <w:iCs w:val="0"/>
                <w:color w:val="auto"/>
                <w:sz w:val="20"/>
                <w:szCs w:val="20"/>
                <w:highlight w:val="none"/>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5A14561">
            <w:pPr>
              <w:jc w:val="left"/>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9F0E">
            <w:pPr>
              <w:rPr>
                <w:rFonts w:hint="eastAsia" w:ascii="宋体" w:hAnsi="宋体" w:eastAsia="宋体" w:cs="宋体"/>
                <w:i w:val="0"/>
                <w:iCs w:val="0"/>
                <w:color w:val="auto"/>
                <w:sz w:val="22"/>
                <w:szCs w:val="22"/>
                <w:highlight w:val="none"/>
                <w:u w:val="none"/>
              </w:rPr>
            </w:pPr>
          </w:p>
        </w:tc>
      </w:tr>
      <w:tr w14:paraId="1908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3C362F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X701331024</w:t>
            </w:r>
          </w:p>
        </w:tc>
        <w:tc>
          <w:tcPr>
            <w:tcW w:w="0" w:type="auto"/>
            <w:tcBorders>
              <w:top w:val="nil"/>
              <w:left w:val="nil"/>
              <w:bottom w:val="single" w:color="000000" w:sz="4" w:space="0"/>
              <w:right w:val="single" w:color="000000" w:sz="4" w:space="0"/>
            </w:tcBorders>
            <w:shd w:val="clear" w:color="auto" w:fill="FFFFFF"/>
            <w:noWrap/>
            <w:vAlign w:val="center"/>
          </w:tcPr>
          <w:p w14:paraId="5249ED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桐桥-街头</w:t>
            </w:r>
          </w:p>
        </w:tc>
        <w:tc>
          <w:tcPr>
            <w:tcW w:w="0" w:type="auto"/>
            <w:tcBorders>
              <w:top w:val="nil"/>
              <w:left w:val="nil"/>
              <w:bottom w:val="single" w:color="000000" w:sz="4" w:space="0"/>
              <w:right w:val="single" w:color="000000" w:sz="4" w:space="0"/>
            </w:tcBorders>
            <w:shd w:val="clear" w:color="auto" w:fill="FFFFFF"/>
            <w:noWrap/>
            <w:vAlign w:val="center"/>
          </w:tcPr>
          <w:p w14:paraId="232DA0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桐桥</w:t>
            </w:r>
          </w:p>
        </w:tc>
        <w:tc>
          <w:tcPr>
            <w:tcW w:w="0" w:type="auto"/>
            <w:tcBorders>
              <w:top w:val="nil"/>
              <w:left w:val="nil"/>
              <w:bottom w:val="single" w:color="000000" w:sz="4" w:space="0"/>
              <w:right w:val="single" w:color="000000" w:sz="4" w:space="0"/>
            </w:tcBorders>
            <w:shd w:val="clear" w:color="auto" w:fill="FFFFFF"/>
            <w:noWrap/>
            <w:vAlign w:val="center"/>
          </w:tcPr>
          <w:p w14:paraId="6637EA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子敏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0CC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20.851</w:t>
            </w:r>
          </w:p>
        </w:tc>
      </w:tr>
      <w:tr w14:paraId="739AA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7DF6E3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X702331024</w:t>
            </w:r>
          </w:p>
        </w:tc>
        <w:tc>
          <w:tcPr>
            <w:tcW w:w="0" w:type="auto"/>
            <w:tcBorders>
              <w:top w:val="nil"/>
              <w:left w:val="nil"/>
              <w:bottom w:val="single" w:color="000000" w:sz="4" w:space="0"/>
              <w:right w:val="single" w:color="000000" w:sz="4" w:space="0"/>
            </w:tcBorders>
            <w:shd w:val="clear" w:color="auto" w:fill="FFFFFF"/>
            <w:noWrap/>
            <w:vAlign w:val="center"/>
          </w:tcPr>
          <w:p w14:paraId="05817E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朱溪-连头</w:t>
            </w:r>
          </w:p>
        </w:tc>
        <w:tc>
          <w:tcPr>
            <w:tcW w:w="0" w:type="auto"/>
            <w:tcBorders>
              <w:top w:val="nil"/>
              <w:left w:val="nil"/>
              <w:bottom w:val="single" w:color="000000" w:sz="4" w:space="0"/>
              <w:right w:val="single" w:color="000000" w:sz="4" w:space="0"/>
            </w:tcBorders>
            <w:shd w:val="clear" w:color="auto" w:fill="FFFFFF"/>
            <w:noWrap/>
            <w:vAlign w:val="center"/>
          </w:tcPr>
          <w:p w14:paraId="15C5A4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朱溪</w:t>
            </w:r>
          </w:p>
        </w:tc>
        <w:tc>
          <w:tcPr>
            <w:tcW w:w="0" w:type="auto"/>
            <w:tcBorders>
              <w:top w:val="nil"/>
              <w:left w:val="nil"/>
              <w:bottom w:val="single" w:color="000000" w:sz="4" w:space="0"/>
              <w:right w:val="single" w:color="000000" w:sz="4" w:space="0"/>
            </w:tcBorders>
            <w:shd w:val="clear" w:color="auto" w:fill="FFFFFF"/>
            <w:noWrap/>
            <w:vAlign w:val="center"/>
          </w:tcPr>
          <w:p w14:paraId="74CAA5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51C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13.964</w:t>
            </w:r>
          </w:p>
        </w:tc>
      </w:tr>
      <w:tr w14:paraId="4766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259010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X703331024</w:t>
            </w:r>
          </w:p>
        </w:tc>
        <w:tc>
          <w:tcPr>
            <w:tcW w:w="0" w:type="auto"/>
            <w:tcBorders>
              <w:top w:val="nil"/>
              <w:left w:val="nil"/>
              <w:bottom w:val="single" w:color="000000" w:sz="4" w:space="0"/>
              <w:right w:val="single" w:color="000000" w:sz="4" w:space="0"/>
            </w:tcBorders>
            <w:shd w:val="clear" w:color="auto" w:fill="FFFFFF"/>
            <w:noWrap/>
            <w:vAlign w:val="center"/>
          </w:tcPr>
          <w:p w14:paraId="68C0E4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管山-怀仁</w:t>
            </w:r>
          </w:p>
        </w:tc>
        <w:tc>
          <w:tcPr>
            <w:tcW w:w="0" w:type="auto"/>
            <w:tcBorders>
              <w:top w:val="nil"/>
              <w:left w:val="nil"/>
              <w:bottom w:val="single" w:color="000000" w:sz="4" w:space="0"/>
              <w:right w:val="single" w:color="000000" w:sz="4" w:space="0"/>
            </w:tcBorders>
            <w:shd w:val="clear" w:color="auto" w:fill="FFFFFF"/>
            <w:noWrap/>
            <w:vAlign w:val="center"/>
          </w:tcPr>
          <w:p w14:paraId="07ACD3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管山</w:t>
            </w:r>
          </w:p>
        </w:tc>
        <w:tc>
          <w:tcPr>
            <w:tcW w:w="0" w:type="auto"/>
            <w:tcBorders>
              <w:top w:val="nil"/>
              <w:left w:val="nil"/>
              <w:bottom w:val="single" w:color="000000" w:sz="4" w:space="0"/>
              <w:right w:val="single" w:color="000000" w:sz="4" w:space="0"/>
            </w:tcBorders>
            <w:shd w:val="clear" w:color="auto" w:fill="FFFFFF"/>
            <w:noWrap/>
            <w:vAlign w:val="center"/>
          </w:tcPr>
          <w:p w14:paraId="3C448B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下各派出所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69F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11.419</w:t>
            </w:r>
          </w:p>
        </w:tc>
      </w:tr>
      <w:tr w14:paraId="2360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6A3223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X704331024</w:t>
            </w:r>
          </w:p>
        </w:tc>
        <w:tc>
          <w:tcPr>
            <w:tcW w:w="0" w:type="auto"/>
            <w:tcBorders>
              <w:top w:val="nil"/>
              <w:left w:val="nil"/>
              <w:bottom w:val="single" w:color="000000" w:sz="4" w:space="0"/>
              <w:right w:val="single" w:color="000000" w:sz="4" w:space="0"/>
            </w:tcBorders>
            <w:shd w:val="clear" w:color="auto" w:fill="FFFFFF"/>
            <w:noWrap/>
            <w:vAlign w:val="center"/>
          </w:tcPr>
          <w:p w14:paraId="514226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东坑-高洋</w:t>
            </w:r>
          </w:p>
        </w:tc>
        <w:tc>
          <w:tcPr>
            <w:tcW w:w="0" w:type="auto"/>
            <w:tcBorders>
              <w:top w:val="nil"/>
              <w:left w:val="nil"/>
              <w:bottom w:val="single" w:color="000000" w:sz="4" w:space="0"/>
              <w:right w:val="single" w:color="000000" w:sz="4" w:space="0"/>
            </w:tcBorders>
            <w:shd w:val="clear" w:color="auto" w:fill="FFFFFF"/>
            <w:noWrap/>
            <w:vAlign w:val="center"/>
          </w:tcPr>
          <w:p w14:paraId="3DAA16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东坑</w:t>
            </w:r>
          </w:p>
        </w:tc>
        <w:tc>
          <w:tcPr>
            <w:tcW w:w="0" w:type="auto"/>
            <w:tcBorders>
              <w:top w:val="nil"/>
              <w:left w:val="nil"/>
              <w:bottom w:val="single" w:color="000000" w:sz="4" w:space="0"/>
              <w:right w:val="single" w:color="000000" w:sz="4" w:space="0"/>
            </w:tcBorders>
            <w:shd w:val="clear" w:color="auto" w:fill="FFFFFF"/>
            <w:noWrap/>
            <w:vAlign w:val="center"/>
          </w:tcPr>
          <w:p w14:paraId="742B96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246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10.217</w:t>
            </w:r>
          </w:p>
        </w:tc>
      </w:tr>
      <w:tr w14:paraId="74C7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5D6637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X710331024</w:t>
            </w:r>
          </w:p>
        </w:tc>
        <w:tc>
          <w:tcPr>
            <w:tcW w:w="0" w:type="auto"/>
            <w:tcBorders>
              <w:top w:val="nil"/>
              <w:left w:val="nil"/>
              <w:bottom w:val="single" w:color="000000" w:sz="4" w:space="0"/>
              <w:right w:val="single" w:color="000000" w:sz="4" w:space="0"/>
            </w:tcBorders>
            <w:shd w:val="clear" w:color="auto" w:fill="FFFFFF"/>
            <w:noWrap/>
            <w:vAlign w:val="center"/>
          </w:tcPr>
          <w:p w14:paraId="0D44B4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方山-大寺基</w:t>
            </w:r>
          </w:p>
        </w:tc>
        <w:tc>
          <w:tcPr>
            <w:tcW w:w="0" w:type="auto"/>
            <w:tcBorders>
              <w:top w:val="nil"/>
              <w:left w:val="nil"/>
              <w:bottom w:val="single" w:color="000000" w:sz="4" w:space="0"/>
              <w:right w:val="single" w:color="000000" w:sz="4" w:space="0"/>
            </w:tcBorders>
            <w:shd w:val="clear" w:color="auto" w:fill="FFFFFF"/>
            <w:noWrap/>
            <w:vAlign w:val="center"/>
          </w:tcPr>
          <w:p w14:paraId="61E877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方山</w:t>
            </w:r>
          </w:p>
        </w:tc>
        <w:tc>
          <w:tcPr>
            <w:tcW w:w="0" w:type="auto"/>
            <w:tcBorders>
              <w:top w:val="nil"/>
              <w:left w:val="nil"/>
              <w:bottom w:val="single" w:color="000000" w:sz="4" w:space="0"/>
              <w:right w:val="single" w:color="000000" w:sz="4" w:space="0"/>
            </w:tcBorders>
            <w:shd w:val="clear" w:color="auto" w:fill="FFFFFF"/>
            <w:noWrap/>
            <w:vAlign w:val="center"/>
          </w:tcPr>
          <w:p w14:paraId="34C853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木回岗头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8B2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30.16</w:t>
            </w:r>
          </w:p>
        </w:tc>
      </w:tr>
      <w:tr w14:paraId="7528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6FB7E7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X713331024</w:t>
            </w:r>
          </w:p>
        </w:tc>
        <w:tc>
          <w:tcPr>
            <w:tcW w:w="0" w:type="auto"/>
            <w:tcBorders>
              <w:top w:val="nil"/>
              <w:left w:val="nil"/>
              <w:bottom w:val="single" w:color="000000" w:sz="4" w:space="0"/>
              <w:right w:val="single" w:color="000000" w:sz="4" w:space="0"/>
            </w:tcBorders>
            <w:shd w:val="clear" w:color="auto" w:fill="FFFFFF"/>
            <w:noWrap/>
            <w:vAlign w:val="center"/>
          </w:tcPr>
          <w:p w14:paraId="05BB07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管山-步路</w:t>
            </w:r>
          </w:p>
        </w:tc>
        <w:tc>
          <w:tcPr>
            <w:tcW w:w="0" w:type="auto"/>
            <w:tcBorders>
              <w:top w:val="nil"/>
              <w:left w:val="nil"/>
              <w:bottom w:val="single" w:color="000000" w:sz="4" w:space="0"/>
              <w:right w:val="single" w:color="000000" w:sz="4" w:space="0"/>
            </w:tcBorders>
            <w:shd w:val="clear" w:color="auto" w:fill="FFFFFF"/>
            <w:noWrap/>
            <w:vAlign w:val="center"/>
          </w:tcPr>
          <w:p w14:paraId="489DE1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管山</w:t>
            </w:r>
          </w:p>
        </w:tc>
        <w:tc>
          <w:tcPr>
            <w:tcW w:w="0" w:type="auto"/>
            <w:tcBorders>
              <w:top w:val="nil"/>
              <w:left w:val="nil"/>
              <w:bottom w:val="single" w:color="000000" w:sz="4" w:space="0"/>
              <w:right w:val="single" w:color="000000" w:sz="4" w:space="0"/>
            </w:tcBorders>
            <w:shd w:val="clear" w:color="auto" w:fill="FFFFFF"/>
            <w:noWrap/>
            <w:vAlign w:val="center"/>
          </w:tcPr>
          <w:p w14:paraId="73458C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步路响岩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107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6.896</w:t>
            </w:r>
          </w:p>
        </w:tc>
      </w:tr>
      <w:tr w14:paraId="0B26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047E2A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X715331024</w:t>
            </w:r>
          </w:p>
        </w:tc>
        <w:tc>
          <w:tcPr>
            <w:tcW w:w="0" w:type="auto"/>
            <w:tcBorders>
              <w:top w:val="nil"/>
              <w:left w:val="nil"/>
              <w:bottom w:val="single" w:color="000000" w:sz="4" w:space="0"/>
              <w:right w:val="single" w:color="000000" w:sz="4" w:space="0"/>
            </w:tcBorders>
            <w:shd w:val="clear" w:color="auto" w:fill="FFFFFF"/>
            <w:noWrap/>
            <w:vAlign w:val="center"/>
          </w:tcPr>
          <w:p w14:paraId="70A1DA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东岭下-上王亭</w:t>
            </w:r>
          </w:p>
        </w:tc>
        <w:tc>
          <w:tcPr>
            <w:tcW w:w="0" w:type="auto"/>
            <w:tcBorders>
              <w:top w:val="nil"/>
              <w:left w:val="nil"/>
              <w:bottom w:val="single" w:color="000000" w:sz="4" w:space="0"/>
              <w:right w:val="single" w:color="000000" w:sz="4" w:space="0"/>
            </w:tcBorders>
            <w:shd w:val="clear" w:color="auto" w:fill="FFFFFF"/>
            <w:noWrap/>
            <w:vAlign w:val="center"/>
          </w:tcPr>
          <w:p w14:paraId="7675C0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东岭下</w:t>
            </w:r>
          </w:p>
        </w:tc>
        <w:tc>
          <w:tcPr>
            <w:tcW w:w="0" w:type="auto"/>
            <w:tcBorders>
              <w:top w:val="nil"/>
              <w:left w:val="nil"/>
              <w:bottom w:val="single" w:color="000000" w:sz="4" w:space="0"/>
              <w:right w:val="single" w:color="000000" w:sz="4" w:space="0"/>
            </w:tcBorders>
            <w:shd w:val="clear" w:color="auto" w:fill="FFFFFF"/>
            <w:noWrap/>
            <w:vAlign w:val="center"/>
          </w:tcPr>
          <w:p w14:paraId="145FE6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上王亭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A42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3.254</w:t>
            </w:r>
          </w:p>
        </w:tc>
      </w:tr>
      <w:tr w14:paraId="02AE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04EE3C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X719331024</w:t>
            </w:r>
          </w:p>
        </w:tc>
        <w:tc>
          <w:tcPr>
            <w:tcW w:w="0" w:type="auto"/>
            <w:tcBorders>
              <w:top w:val="nil"/>
              <w:left w:val="nil"/>
              <w:bottom w:val="single" w:color="000000" w:sz="4" w:space="0"/>
              <w:right w:val="single" w:color="000000" w:sz="4" w:space="0"/>
            </w:tcBorders>
            <w:shd w:val="clear" w:color="auto" w:fill="FFFFFF"/>
            <w:noWrap/>
            <w:vAlign w:val="center"/>
          </w:tcPr>
          <w:p w14:paraId="4BB4E2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下山头-羊棚头</w:t>
            </w:r>
          </w:p>
        </w:tc>
        <w:tc>
          <w:tcPr>
            <w:tcW w:w="0" w:type="auto"/>
            <w:tcBorders>
              <w:top w:val="nil"/>
              <w:left w:val="nil"/>
              <w:bottom w:val="single" w:color="000000" w:sz="4" w:space="0"/>
              <w:right w:val="single" w:color="000000" w:sz="4" w:space="0"/>
            </w:tcBorders>
            <w:shd w:val="clear" w:color="auto" w:fill="FFFFFF"/>
            <w:noWrap/>
            <w:vAlign w:val="center"/>
          </w:tcPr>
          <w:p w14:paraId="1301E3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下山头</w:t>
            </w:r>
          </w:p>
        </w:tc>
        <w:tc>
          <w:tcPr>
            <w:tcW w:w="0" w:type="auto"/>
            <w:tcBorders>
              <w:top w:val="nil"/>
              <w:left w:val="nil"/>
              <w:bottom w:val="single" w:color="000000" w:sz="4" w:space="0"/>
              <w:right w:val="single" w:color="000000" w:sz="4" w:space="0"/>
            </w:tcBorders>
            <w:shd w:val="clear" w:color="auto" w:fill="FFFFFF"/>
            <w:noWrap/>
            <w:vAlign w:val="center"/>
          </w:tcPr>
          <w:p w14:paraId="314D84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羊棚头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A63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5.102</w:t>
            </w:r>
          </w:p>
        </w:tc>
      </w:tr>
      <w:tr w14:paraId="2943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3CC0A2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X720331024</w:t>
            </w:r>
          </w:p>
        </w:tc>
        <w:tc>
          <w:tcPr>
            <w:tcW w:w="0" w:type="auto"/>
            <w:tcBorders>
              <w:top w:val="nil"/>
              <w:left w:val="nil"/>
              <w:bottom w:val="single" w:color="000000" w:sz="4" w:space="0"/>
              <w:right w:val="single" w:color="000000" w:sz="4" w:space="0"/>
            </w:tcBorders>
            <w:shd w:val="clear" w:color="auto" w:fill="FFFFFF"/>
            <w:noWrap/>
            <w:vAlign w:val="center"/>
          </w:tcPr>
          <w:p w14:paraId="06FDE9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新安-横樟</w:t>
            </w:r>
          </w:p>
        </w:tc>
        <w:tc>
          <w:tcPr>
            <w:tcW w:w="0" w:type="auto"/>
            <w:tcBorders>
              <w:top w:val="nil"/>
              <w:left w:val="nil"/>
              <w:bottom w:val="single" w:color="000000" w:sz="4" w:space="0"/>
              <w:right w:val="single" w:color="000000" w:sz="4" w:space="0"/>
            </w:tcBorders>
            <w:shd w:val="clear" w:color="auto" w:fill="FFFFFF"/>
            <w:noWrap/>
            <w:vAlign w:val="center"/>
          </w:tcPr>
          <w:p w14:paraId="2D0B26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新安</w:t>
            </w:r>
          </w:p>
        </w:tc>
        <w:tc>
          <w:tcPr>
            <w:tcW w:w="0" w:type="auto"/>
            <w:tcBorders>
              <w:top w:val="nil"/>
              <w:left w:val="nil"/>
              <w:bottom w:val="single" w:color="000000" w:sz="4" w:space="0"/>
              <w:right w:val="single" w:color="000000" w:sz="4" w:space="0"/>
            </w:tcBorders>
            <w:shd w:val="clear" w:color="auto" w:fill="FFFFFF"/>
            <w:noWrap/>
            <w:vAlign w:val="center"/>
          </w:tcPr>
          <w:p w14:paraId="0D0FEF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CF3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9.912</w:t>
            </w:r>
          </w:p>
        </w:tc>
      </w:tr>
      <w:tr w14:paraId="54E3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05E2CC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X721331024</w:t>
            </w:r>
          </w:p>
        </w:tc>
        <w:tc>
          <w:tcPr>
            <w:tcW w:w="0" w:type="auto"/>
            <w:tcBorders>
              <w:top w:val="nil"/>
              <w:left w:val="nil"/>
              <w:bottom w:val="single" w:color="000000" w:sz="4" w:space="0"/>
              <w:right w:val="single" w:color="000000" w:sz="4" w:space="0"/>
            </w:tcBorders>
            <w:shd w:val="clear" w:color="auto" w:fill="FFFFFF"/>
            <w:noWrap/>
            <w:vAlign w:val="center"/>
          </w:tcPr>
          <w:p w14:paraId="054BDD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三井-水口</w:t>
            </w:r>
          </w:p>
        </w:tc>
        <w:tc>
          <w:tcPr>
            <w:tcW w:w="0" w:type="auto"/>
            <w:tcBorders>
              <w:top w:val="nil"/>
              <w:left w:val="nil"/>
              <w:bottom w:val="single" w:color="000000" w:sz="4" w:space="0"/>
              <w:right w:val="single" w:color="000000" w:sz="4" w:space="0"/>
            </w:tcBorders>
            <w:shd w:val="clear" w:color="auto" w:fill="FFFFFF"/>
            <w:noWrap/>
            <w:vAlign w:val="center"/>
          </w:tcPr>
          <w:p w14:paraId="2BD3FE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三井</w:t>
            </w:r>
          </w:p>
        </w:tc>
        <w:tc>
          <w:tcPr>
            <w:tcW w:w="0" w:type="auto"/>
            <w:tcBorders>
              <w:top w:val="nil"/>
              <w:left w:val="nil"/>
              <w:bottom w:val="single" w:color="000000" w:sz="4" w:space="0"/>
              <w:right w:val="single" w:color="000000" w:sz="4" w:space="0"/>
            </w:tcBorders>
            <w:shd w:val="clear" w:color="auto" w:fill="FFFFFF"/>
            <w:noWrap/>
            <w:vAlign w:val="center"/>
          </w:tcPr>
          <w:p w14:paraId="58BFC6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27C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5.476</w:t>
            </w:r>
          </w:p>
        </w:tc>
      </w:tr>
      <w:tr w14:paraId="115B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3E46FE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X722331024</w:t>
            </w:r>
          </w:p>
        </w:tc>
        <w:tc>
          <w:tcPr>
            <w:tcW w:w="0" w:type="auto"/>
            <w:tcBorders>
              <w:top w:val="nil"/>
              <w:left w:val="nil"/>
              <w:bottom w:val="single" w:color="000000" w:sz="4" w:space="0"/>
              <w:right w:val="single" w:color="000000" w:sz="4" w:space="0"/>
            </w:tcBorders>
            <w:shd w:val="clear" w:color="auto" w:fill="FFFFFF"/>
            <w:noWrap/>
            <w:vAlign w:val="center"/>
          </w:tcPr>
          <w:p w14:paraId="0BD75B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大战-丈马扇</w:t>
            </w:r>
          </w:p>
        </w:tc>
        <w:tc>
          <w:tcPr>
            <w:tcW w:w="0" w:type="auto"/>
            <w:tcBorders>
              <w:top w:val="nil"/>
              <w:left w:val="nil"/>
              <w:bottom w:val="single" w:color="000000" w:sz="4" w:space="0"/>
              <w:right w:val="single" w:color="000000" w:sz="4" w:space="0"/>
            </w:tcBorders>
            <w:shd w:val="clear" w:color="auto" w:fill="FFFFFF"/>
            <w:noWrap/>
            <w:vAlign w:val="center"/>
          </w:tcPr>
          <w:p w14:paraId="30FFF9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大战</w:t>
            </w:r>
          </w:p>
        </w:tc>
        <w:tc>
          <w:tcPr>
            <w:tcW w:w="0" w:type="auto"/>
            <w:tcBorders>
              <w:top w:val="nil"/>
              <w:left w:val="nil"/>
              <w:bottom w:val="single" w:color="000000" w:sz="4" w:space="0"/>
              <w:right w:val="single" w:color="000000" w:sz="4" w:space="0"/>
            </w:tcBorders>
            <w:shd w:val="clear" w:color="auto" w:fill="FFFFFF"/>
            <w:noWrap/>
            <w:vAlign w:val="center"/>
          </w:tcPr>
          <w:p w14:paraId="61EAB9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丈马扇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1F5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9.589</w:t>
            </w:r>
          </w:p>
        </w:tc>
      </w:tr>
      <w:tr w14:paraId="08BA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2A6552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X723331024</w:t>
            </w:r>
          </w:p>
        </w:tc>
        <w:tc>
          <w:tcPr>
            <w:tcW w:w="0" w:type="auto"/>
            <w:tcBorders>
              <w:top w:val="nil"/>
              <w:left w:val="nil"/>
              <w:bottom w:val="single" w:color="000000" w:sz="4" w:space="0"/>
              <w:right w:val="single" w:color="000000" w:sz="4" w:space="0"/>
            </w:tcBorders>
            <w:shd w:val="clear" w:color="auto" w:fill="FFFFFF"/>
            <w:noWrap/>
            <w:vAlign w:val="center"/>
          </w:tcPr>
          <w:p w14:paraId="2BED43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河口-溪上</w:t>
            </w:r>
          </w:p>
        </w:tc>
        <w:tc>
          <w:tcPr>
            <w:tcW w:w="0" w:type="auto"/>
            <w:tcBorders>
              <w:top w:val="nil"/>
              <w:left w:val="nil"/>
              <w:bottom w:val="single" w:color="000000" w:sz="4" w:space="0"/>
              <w:right w:val="single" w:color="000000" w:sz="4" w:space="0"/>
            </w:tcBorders>
            <w:shd w:val="clear" w:color="auto" w:fill="FFFFFF"/>
            <w:noWrap/>
            <w:vAlign w:val="center"/>
          </w:tcPr>
          <w:p w14:paraId="0E05C2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河口</w:t>
            </w:r>
          </w:p>
        </w:tc>
        <w:tc>
          <w:tcPr>
            <w:tcW w:w="0" w:type="auto"/>
            <w:tcBorders>
              <w:top w:val="nil"/>
              <w:left w:val="nil"/>
              <w:bottom w:val="single" w:color="000000" w:sz="4" w:space="0"/>
              <w:right w:val="single" w:color="000000" w:sz="4" w:space="0"/>
            </w:tcBorders>
            <w:shd w:val="clear" w:color="auto" w:fill="FFFFFF"/>
            <w:noWrap/>
            <w:vAlign w:val="center"/>
          </w:tcPr>
          <w:p w14:paraId="004130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5DF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4.878</w:t>
            </w:r>
          </w:p>
        </w:tc>
      </w:tr>
      <w:tr w14:paraId="017A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685345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X731331024</w:t>
            </w:r>
          </w:p>
        </w:tc>
        <w:tc>
          <w:tcPr>
            <w:tcW w:w="0" w:type="auto"/>
            <w:tcBorders>
              <w:top w:val="nil"/>
              <w:left w:val="nil"/>
              <w:bottom w:val="single" w:color="000000" w:sz="4" w:space="0"/>
              <w:right w:val="single" w:color="000000" w:sz="4" w:space="0"/>
            </w:tcBorders>
            <w:shd w:val="clear" w:color="auto" w:fill="FFFFFF"/>
            <w:noWrap/>
            <w:vAlign w:val="center"/>
          </w:tcPr>
          <w:p w14:paraId="1E3E88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冲背-大筻</w:t>
            </w:r>
          </w:p>
        </w:tc>
        <w:tc>
          <w:tcPr>
            <w:tcW w:w="0" w:type="auto"/>
            <w:tcBorders>
              <w:top w:val="nil"/>
              <w:left w:val="nil"/>
              <w:bottom w:val="single" w:color="000000" w:sz="4" w:space="0"/>
              <w:right w:val="single" w:color="000000" w:sz="4" w:space="0"/>
            </w:tcBorders>
            <w:shd w:val="clear" w:color="auto" w:fill="FFFFFF"/>
            <w:noWrap/>
            <w:vAlign w:val="center"/>
          </w:tcPr>
          <w:p w14:paraId="44F2C8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冲背</w:t>
            </w:r>
          </w:p>
        </w:tc>
        <w:tc>
          <w:tcPr>
            <w:tcW w:w="0" w:type="auto"/>
            <w:tcBorders>
              <w:top w:val="nil"/>
              <w:left w:val="nil"/>
              <w:bottom w:val="single" w:color="000000" w:sz="4" w:space="0"/>
              <w:right w:val="single" w:color="000000" w:sz="4" w:space="0"/>
            </w:tcBorders>
            <w:shd w:val="clear" w:color="auto" w:fill="FFFFFF"/>
            <w:noWrap/>
            <w:vAlign w:val="center"/>
          </w:tcPr>
          <w:p w14:paraId="35F647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林塘岸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61E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8.46</w:t>
            </w:r>
          </w:p>
        </w:tc>
      </w:tr>
      <w:tr w14:paraId="5E8E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1AEC53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X734331024</w:t>
            </w:r>
          </w:p>
        </w:tc>
        <w:tc>
          <w:tcPr>
            <w:tcW w:w="0" w:type="auto"/>
            <w:tcBorders>
              <w:top w:val="nil"/>
              <w:left w:val="nil"/>
              <w:bottom w:val="single" w:color="000000" w:sz="4" w:space="0"/>
              <w:right w:val="single" w:color="000000" w:sz="4" w:space="0"/>
            </w:tcBorders>
            <w:shd w:val="clear" w:color="auto" w:fill="FFFFFF"/>
            <w:noWrap/>
            <w:vAlign w:val="center"/>
          </w:tcPr>
          <w:p w14:paraId="233BE6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下张-上王</w:t>
            </w:r>
          </w:p>
        </w:tc>
        <w:tc>
          <w:tcPr>
            <w:tcW w:w="0" w:type="auto"/>
            <w:tcBorders>
              <w:top w:val="nil"/>
              <w:left w:val="nil"/>
              <w:bottom w:val="single" w:color="000000" w:sz="4" w:space="0"/>
              <w:right w:val="single" w:color="000000" w:sz="4" w:space="0"/>
            </w:tcBorders>
            <w:shd w:val="clear" w:color="auto" w:fill="FFFFFF"/>
            <w:noWrap/>
            <w:vAlign w:val="center"/>
          </w:tcPr>
          <w:p w14:paraId="13CF04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管铁线</w:t>
            </w:r>
          </w:p>
        </w:tc>
        <w:tc>
          <w:tcPr>
            <w:tcW w:w="0" w:type="auto"/>
            <w:tcBorders>
              <w:top w:val="nil"/>
              <w:left w:val="nil"/>
              <w:bottom w:val="single" w:color="000000" w:sz="4" w:space="0"/>
              <w:right w:val="single" w:color="000000" w:sz="4" w:space="0"/>
            </w:tcBorders>
            <w:shd w:val="clear" w:color="auto" w:fill="FFFFFF"/>
            <w:noWrap/>
            <w:vAlign w:val="center"/>
          </w:tcPr>
          <w:p w14:paraId="086463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9E7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15.483</w:t>
            </w:r>
          </w:p>
        </w:tc>
      </w:tr>
      <w:tr w14:paraId="7969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37A3AD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X738331024</w:t>
            </w:r>
          </w:p>
        </w:tc>
        <w:tc>
          <w:tcPr>
            <w:tcW w:w="0" w:type="auto"/>
            <w:tcBorders>
              <w:top w:val="nil"/>
              <w:left w:val="nil"/>
              <w:bottom w:val="single" w:color="000000" w:sz="4" w:space="0"/>
              <w:right w:val="single" w:color="000000" w:sz="4" w:space="0"/>
            </w:tcBorders>
            <w:shd w:val="clear" w:color="auto" w:fill="FFFFFF"/>
            <w:noWrap/>
            <w:vAlign w:val="center"/>
          </w:tcPr>
          <w:p w14:paraId="4C2E9F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下大线</w:t>
            </w:r>
          </w:p>
        </w:tc>
        <w:tc>
          <w:tcPr>
            <w:tcW w:w="0" w:type="auto"/>
            <w:tcBorders>
              <w:top w:val="nil"/>
              <w:left w:val="nil"/>
              <w:bottom w:val="single" w:color="000000" w:sz="4" w:space="0"/>
              <w:right w:val="single" w:color="000000" w:sz="4" w:space="0"/>
            </w:tcBorders>
            <w:shd w:val="clear" w:color="auto" w:fill="FFFFFF"/>
            <w:noWrap/>
            <w:vAlign w:val="center"/>
          </w:tcPr>
          <w:p w14:paraId="77E8DC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下各出口</w:t>
            </w:r>
          </w:p>
        </w:tc>
        <w:tc>
          <w:tcPr>
            <w:tcW w:w="0" w:type="auto"/>
            <w:tcBorders>
              <w:top w:val="nil"/>
              <w:left w:val="nil"/>
              <w:bottom w:val="single" w:color="000000" w:sz="4" w:space="0"/>
              <w:right w:val="single" w:color="000000" w:sz="4" w:space="0"/>
            </w:tcBorders>
            <w:shd w:val="clear" w:color="auto" w:fill="FFFFFF"/>
            <w:noWrap/>
            <w:vAlign w:val="center"/>
          </w:tcPr>
          <w:p w14:paraId="0E2D03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大路木材检查站(省道临石线)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1F5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3.095</w:t>
            </w:r>
          </w:p>
        </w:tc>
      </w:tr>
      <w:tr w14:paraId="306F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17CAF6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X742331024</w:t>
            </w:r>
          </w:p>
        </w:tc>
        <w:tc>
          <w:tcPr>
            <w:tcW w:w="0" w:type="auto"/>
            <w:tcBorders>
              <w:top w:val="nil"/>
              <w:left w:val="nil"/>
              <w:bottom w:val="single" w:color="000000" w:sz="4" w:space="0"/>
              <w:right w:val="single" w:color="000000" w:sz="4" w:space="0"/>
            </w:tcBorders>
            <w:shd w:val="clear" w:color="auto" w:fill="FFFFFF"/>
            <w:noWrap/>
            <w:vAlign w:val="center"/>
          </w:tcPr>
          <w:p w14:paraId="56A218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林塘岸-新庄</w:t>
            </w:r>
          </w:p>
        </w:tc>
        <w:tc>
          <w:tcPr>
            <w:tcW w:w="0" w:type="auto"/>
            <w:tcBorders>
              <w:top w:val="nil"/>
              <w:left w:val="nil"/>
              <w:bottom w:val="single" w:color="000000" w:sz="4" w:space="0"/>
              <w:right w:val="single" w:color="000000" w:sz="4" w:space="0"/>
            </w:tcBorders>
            <w:shd w:val="clear" w:color="auto" w:fill="FFFFFF"/>
            <w:noWrap/>
            <w:vAlign w:val="center"/>
          </w:tcPr>
          <w:p w14:paraId="66DB5A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林塘岸</w:t>
            </w:r>
          </w:p>
        </w:tc>
        <w:tc>
          <w:tcPr>
            <w:tcW w:w="0" w:type="auto"/>
            <w:tcBorders>
              <w:top w:val="nil"/>
              <w:left w:val="nil"/>
              <w:bottom w:val="single" w:color="000000" w:sz="4" w:space="0"/>
              <w:right w:val="single" w:color="000000" w:sz="4" w:space="0"/>
            </w:tcBorders>
            <w:shd w:val="clear" w:color="auto" w:fill="FFFFFF"/>
            <w:noWrap/>
            <w:vAlign w:val="center"/>
          </w:tcPr>
          <w:p w14:paraId="4C0FD9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BA7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11.919</w:t>
            </w:r>
          </w:p>
        </w:tc>
      </w:tr>
      <w:tr w14:paraId="7B1D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3C234D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X745331024</w:t>
            </w:r>
          </w:p>
        </w:tc>
        <w:tc>
          <w:tcPr>
            <w:tcW w:w="0" w:type="auto"/>
            <w:tcBorders>
              <w:top w:val="nil"/>
              <w:left w:val="nil"/>
              <w:bottom w:val="single" w:color="000000" w:sz="4" w:space="0"/>
              <w:right w:val="single" w:color="000000" w:sz="4" w:space="0"/>
            </w:tcBorders>
            <w:shd w:val="clear" w:color="auto" w:fill="FFFFFF"/>
            <w:noWrap/>
            <w:vAlign w:val="center"/>
          </w:tcPr>
          <w:p w14:paraId="1B7EF9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大洪-杨丰山</w:t>
            </w:r>
          </w:p>
        </w:tc>
        <w:tc>
          <w:tcPr>
            <w:tcW w:w="0" w:type="auto"/>
            <w:tcBorders>
              <w:top w:val="nil"/>
              <w:left w:val="nil"/>
              <w:bottom w:val="single" w:color="000000" w:sz="4" w:space="0"/>
              <w:right w:val="single" w:color="000000" w:sz="4" w:space="0"/>
            </w:tcBorders>
            <w:shd w:val="clear" w:color="auto" w:fill="FFFFFF"/>
            <w:noWrap/>
            <w:vAlign w:val="center"/>
          </w:tcPr>
          <w:p w14:paraId="7A7F86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C301331024</w:t>
            </w:r>
          </w:p>
        </w:tc>
        <w:tc>
          <w:tcPr>
            <w:tcW w:w="0" w:type="auto"/>
            <w:tcBorders>
              <w:top w:val="nil"/>
              <w:left w:val="nil"/>
              <w:bottom w:val="single" w:color="000000" w:sz="4" w:space="0"/>
              <w:right w:val="single" w:color="000000" w:sz="4" w:space="0"/>
            </w:tcBorders>
            <w:shd w:val="clear" w:color="auto" w:fill="FFFFFF"/>
            <w:noWrap/>
            <w:vAlign w:val="center"/>
          </w:tcPr>
          <w:p w14:paraId="7C86D6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杨丰山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16D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9.316</w:t>
            </w:r>
          </w:p>
        </w:tc>
      </w:tr>
      <w:tr w14:paraId="7734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113025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X746331024</w:t>
            </w:r>
          </w:p>
        </w:tc>
        <w:tc>
          <w:tcPr>
            <w:tcW w:w="0" w:type="auto"/>
            <w:tcBorders>
              <w:top w:val="nil"/>
              <w:left w:val="nil"/>
              <w:bottom w:val="single" w:color="000000" w:sz="4" w:space="0"/>
              <w:right w:val="single" w:color="000000" w:sz="4" w:space="0"/>
            </w:tcBorders>
            <w:shd w:val="clear" w:color="auto" w:fill="FFFFFF"/>
            <w:noWrap/>
            <w:vAlign w:val="center"/>
          </w:tcPr>
          <w:p w14:paraId="3B6060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东岭下-黄梁陈</w:t>
            </w:r>
          </w:p>
        </w:tc>
        <w:tc>
          <w:tcPr>
            <w:tcW w:w="0" w:type="auto"/>
            <w:tcBorders>
              <w:top w:val="nil"/>
              <w:left w:val="nil"/>
              <w:bottom w:val="single" w:color="000000" w:sz="4" w:space="0"/>
              <w:right w:val="single" w:color="000000" w:sz="4" w:space="0"/>
            </w:tcBorders>
            <w:shd w:val="clear" w:color="auto" w:fill="FFFFFF"/>
            <w:noWrap/>
            <w:vAlign w:val="center"/>
          </w:tcPr>
          <w:p w14:paraId="10049C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东岭下</w:t>
            </w:r>
          </w:p>
        </w:tc>
        <w:tc>
          <w:tcPr>
            <w:tcW w:w="0" w:type="auto"/>
            <w:tcBorders>
              <w:top w:val="nil"/>
              <w:left w:val="nil"/>
              <w:bottom w:val="single" w:color="000000" w:sz="4" w:space="0"/>
              <w:right w:val="single" w:color="000000" w:sz="4" w:space="0"/>
            </w:tcBorders>
            <w:shd w:val="clear" w:color="auto" w:fill="FFFFFF"/>
            <w:noWrap/>
            <w:vAlign w:val="center"/>
          </w:tcPr>
          <w:p w14:paraId="0771C5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黄梁陈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F761">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8.884</w:t>
            </w:r>
          </w:p>
        </w:tc>
      </w:tr>
      <w:tr w14:paraId="6CC9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0B7997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X747331024</w:t>
            </w:r>
          </w:p>
        </w:tc>
        <w:tc>
          <w:tcPr>
            <w:tcW w:w="0" w:type="auto"/>
            <w:tcBorders>
              <w:top w:val="nil"/>
              <w:left w:val="nil"/>
              <w:bottom w:val="single" w:color="000000" w:sz="4" w:space="0"/>
              <w:right w:val="single" w:color="000000" w:sz="4" w:space="0"/>
            </w:tcBorders>
            <w:shd w:val="clear" w:color="auto" w:fill="FFFFFF"/>
            <w:noWrap/>
            <w:vAlign w:val="center"/>
          </w:tcPr>
          <w:p w14:paraId="1C6419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下各高速出口-怀仁</w:t>
            </w:r>
          </w:p>
        </w:tc>
        <w:tc>
          <w:tcPr>
            <w:tcW w:w="0" w:type="auto"/>
            <w:tcBorders>
              <w:top w:val="nil"/>
              <w:left w:val="nil"/>
              <w:bottom w:val="single" w:color="000000" w:sz="4" w:space="0"/>
              <w:right w:val="single" w:color="000000" w:sz="4" w:space="0"/>
            </w:tcBorders>
            <w:shd w:val="clear" w:color="auto" w:fill="FFFFFF"/>
            <w:noWrap/>
            <w:vAlign w:val="center"/>
          </w:tcPr>
          <w:p w14:paraId="3043A9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下各高速出口</w:t>
            </w:r>
          </w:p>
        </w:tc>
        <w:tc>
          <w:tcPr>
            <w:tcW w:w="0" w:type="auto"/>
            <w:tcBorders>
              <w:top w:val="nil"/>
              <w:left w:val="nil"/>
              <w:bottom w:val="single" w:color="000000" w:sz="4" w:space="0"/>
              <w:right w:val="single" w:color="000000" w:sz="4" w:space="0"/>
            </w:tcBorders>
            <w:shd w:val="clear" w:color="auto" w:fill="FFFFFF"/>
            <w:noWrap/>
            <w:vAlign w:val="center"/>
          </w:tcPr>
          <w:p w14:paraId="45CCD0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C158331024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5B9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0.955</w:t>
            </w:r>
          </w:p>
        </w:tc>
      </w:tr>
      <w:tr w14:paraId="1BCF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tcBorders>
              <w:top w:val="nil"/>
              <w:left w:val="nil"/>
              <w:bottom w:val="single" w:color="000000" w:sz="4" w:space="0"/>
              <w:right w:val="single" w:color="000000" w:sz="4" w:space="0"/>
            </w:tcBorders>
            <w:shd w:val="clear" w:color="auto" w:fill="FFFFFF"/>
            <w:noWrap/>
            <w:vAlign w:val="center"/>
          </w:tcPr>
          <w:p w14:paraId="3F956C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X748331024</w:t>
            </w:r>
          </w:p>
        </w:tc>
        <w:tc>
          <w:tcPr>
            <w:tcW w:w="0" w:type="auto"/>
            <w:tcBorders>
              <w:top w:val="nil"/>
              <w:left w:val="nil"/>
              <w:bottom w:val="single" w:color="000000" w:sz="4" w:space="0"/>
              <w:right w:val="single" w:color="000000" w:sz="4" w:space="0"/>
            </w:tcBorders>
            <w:shd w:val="clear" w:color="auto" w:fill="FFFFFF"/>
            <w:noWrap/>
            <w:vAlign w:val="center"/>
          </w:tcPr>
          <w:p w14:paraId="778F54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下各高速连接线-火车站</w:t>
            </w:r>
          </w:p>
        </w:tc>
        <w:tc>
          <w:tcPr>
            <w:tcW w:w="0" w:type="auto"/>
            <w:tcBorders>
              <w:top w:val="nil"/>
              <w:left w:val="nil"/>
              <w:bottom w:val="single" w:color="000000" w:sz="4" w:space="0"/>
              <w:right w:val="single" w:color="000000" w:sz="4" w:space="0"/>
            </w:tcBorders>
            <w:shd w:val="clear" w:color="auto" w:fill="FFFFFF"/>
            <w:noWrap/>
            <w:vAlign w:val="center"/>
          </w:tcPr>
          <w:p w14:paraId="4B4C01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黄梁陈</w:t>
            </w:r>
          </w:p>
        </w:tc>
        <w:tc>
          <w:tcPr>
            <w:tcW w:w="0" w:type="auto"/>
            <w:tcBorders>
              <w:top w:val="nil"/>
              <w:left w:val="nil"/>
              <w:bottom w:val="single" w:color="000000" w:sz="4" w:space="0"/>
              <w:right w:val="single" w:color="000000" w:sz="4" w:space="0"/>
            </w:tcBorders>
            <w:shd w:val="clear" w:color="auto" w:fill="FFFFFF"/>
            <w:noWrap/>
            <w:vAlign w:val="center"/>
          </w:tcPr>
          <w:p w14:paraId="44CFF2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火车站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552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3.021</w:t>
            </w:r>
          </w:p>
        </w:tc>
      </w:tr>
      <w:tr w14:paraId="01C7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271D9C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X752331024</w:t>
            </w:r>
          </w:p>
        </w:tc>
        <w:tc>
          <w:tcPr>
            <w:tcW w:w="0" w:type="auto"/>
            <w:tcBorders>
              <w:top w:val="nil"/>
              <w:left w:val="nil"/>
              <w:bottom w:val="single" w:color="000000" w:sz="4" w:space="0"/>
              <w:right w:val="single" w:color="000000" w:sz="4" w:space="0"/>
            </w:tcBorders>
            <w:shd w:val="clear" w:color="auto" w:fill="FFFFFF"/>
            <w:noWrap/>
            <w:vAlign w:val="center"/>
          </w:tcPr>
          <w:p w14:paraId="426DBB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朱溪-上张</w:t>
            </w:r>
          </w:p>
        </w:tc>
        <w:tc>
          <w:tcPr>
            <w:tcW w:w="0" w:type="auto"/>
            <w:tcBorders>
              <w:top w:val="nil"/>
              <w:left w:val="nil"/>
              <w:bottom w:val="single" w:color="000000" w:sz="4" w:space="0"/>
              <w:right w:val="single" w:color="000000" w:sz="4" w:space="0"/>
            </w:tcBorders>
            <w:shd w:val="clear" w:color="auto" w:fill="FFFFFF"/>
            <w:noWrap/>
            <w:vAlign w:val="center"/>
          </w:tcPr>
          <w:p w14:paraId="7FEB12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朱溪一村</w:t>
            </w:r>
          </w:p>
        </w:tc>
        <w:tc>
          <w:tcPr>
            <w:tcW w:w="0" w:type="auto"/>
            <w:tcBorders>
              <w:top w:val="nil"/>
              <w:left w:val="nil"/>
              <w:bottom w:val="single" w:color="000000" w:sz="4" w:space="0"/>
              <w:right w:val="single" w:color="000000" w:sz="4" w:space="0"/>
            </w:tcBorders>
            <w:shd w:val="clear" w:color="auto" w:fill="FFFFFF"/>
            <w:noWrap/>
            <w:vAlign w:val="center"/>
          </w:tcPr>
          <w:p w14:paraId="18DFE1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EE8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14.387</w:t>
            </w:r>
          </w:p>
        </w:tc>
      </w:tr>
      <w:tr w14:paraId="6AFC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nil"/>
              <w:left w:val="nil"/>
              <w:bottom w:val="single" w:color="000000" w:sz="4" w:space="0"/>
              <w:right w:val="single" w:color="000000" w:sz="4" w:space="0"/>
            </w:tcBorders>
            <w:shd w:val="clear" w:color="auto" w:fill="FFFFFF"/>
            <w:noWrap/>
            <w:vAlign w:val="center"/>
          </w:tcPr>
          <w:p w14:paraId="686BA8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X910331024</w:t>
            </w:r>
          </w:p>
        </w:tc>
        <w:tc>
          <w:tcPr>
            <w:tcW w:w="0" w:type="auto"/>
            <w:tcBorders>
              <w:top w:val="nil"/>
              <w:left w:val="nil"/>
              <w:bottom w:val="single" w:color="000000" w:sz="4" w:space="0"/>
              <w:right w:val="single" w:color="000000" w:sz="4" w:space="0"/>
            </w:tcBorders>
            <w:shd w:val="clear" w:color="auto" w:fill="FFFFFF"/>
            <w:noWrap/>
            <w:vAlign w:val="center"/>
          </w:tcPr>
          <w:p w14:paraId="0948EA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白水洋-怀仁</w:t>
            </w:r>
          </w:p>
        </w:tc>
        <w:tc>
          <w:tcPr>
            <w:tcW w:w="0" w:type="auto"/>
            <w:tcBorders>
              <w:top w:val="nil"/>
              <w:left w:val="nil"/>
              <w:bottom w:val="single" w:color="000000" w:sz="4" w:space="0"/>
              <w:right w:val="single" w:color="000000" w:sz="4" w:space="0"/>
            </w:tcBorders>
            <w:shd w:val="clear" w:color="auto" w:fill="FFFFFF"/>
            <w:noWrap/>
            <w:vAlign w:val="center"/>
          </w:tcPr>
          <w:p w14:paraId="6F26A7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下山头</w:t>
            </w:r>
          </w:p>
        </w:tc>
        <w:tc>
          <w:tcPr>
            <w:tcW w:w="0" w:type="auto"/>
            <w:tcBorders>
              <w:top w:val="nil"/>
              <w:left w:val="nil"/>
              <w:bottom w:val="single" w:color="000000" w:sz="4" w:space="0"/>
              <w:right w:val="single" w:color="000000" w:sz="4" w:space="0"/>
            </w:tcBorders>
            <w:shd w:val="clear" w:color="auto" w:fill="FFFFFF"/>
            <w:noWrap/>
            <w:vAlign w:val="center"/>
          </w:tcPr>
          <w:p w14:paraId="07AFA9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怀仁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BFB8">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2.054</w:t>
            </w:r>
          </w:p>
        </w:tc>
      </w:tr>
    </w:tbl>
    <w:p w14:paraId="13BFAC4F">
      <w:pPr>
        <w:snapToGrid w:val="0"/>
        <w:spacing w:line="360" w:lineRule="auto"/>
        <w:rPr>
          <w:rFonts w:ascii="宋体" w:hAnsi="宋体" w:eastAsia="宋体" w:cs="宋体"/>
          <w:b/>
          <w:bCs/>
          <w:color w:val="auto"/>
          <w:kern w:val="0"/>
          <w:sz w:val="21"/>
          <w:szCs w:val="21"/>
          <w:highlight w:val="none"/>
        </w:rPr>
      </w:pPr>
      <w:r>
        <w:rPr>
          <w:rFonts w:hint="eastAsia" w:ascii="宋体"/>
          <w:b/>
          <w:bCs/>
          <w:color w:val="auto"/>
          <w:sz w:val="21"/>
          <w:highlight w:val="none"/>
          <w:shd w:val="clear" w:color="auto" w:fill="FFFFFF"/>
        </w:rPr>
        <w:t>总里程：约</w:t>
      </w:r>
      <w:r>
        <w:rPr>
          <w:rFonts w:hint="eastAsia" w:ascii="宋体" w:eastAsia="宋体"/>
          <w:b/>
          <w:bCs/>
          <w:color w:val="auto"/>
          <w:sz w:val="21"/>
          <w:highlight w:val="none"/>
          <w:shd w:val="clear" w:color="auto" w:fill="FFFFFF"/>
          <w:lang w:val="en-US" w:eastAsia="zh-CN"/>
        </w:rPr>
        <w:t xml:space="preserve"> </w:t>
      </w:r>
      <w:r>
        <w:rPr>
          <w:rFonts w:hint="eastAsia" w:ascii="宋体"/>
          <w:b/>
          <w:bCs/>
          <w:color w:val="auto"/>
          <w:sz w:val="21"/>
          <w:highlight w:val="none"/>
          <w:shd w:val="clear" w:color="auto" w:fill="FFFFFF"/>
          <w:lang w:val="en-US" w:eastAsia="zh-CN"/>
        </w:rPr>
        <w:t>307.454</w:t>
      </w:r>
      <w:r>
        <w:rPr>
          <w:rFonts w:hint="eastAsia" w:ascii="宋体"/>
          <w:b/>
          <w:bCs/>
          <w:color w:val="auto"/>
          <w:sz w:val="21"/>
          <w:highlight w:val="none"/>
          <w:shd w:val="clear" w:color="auto" w:fill="FFFFFF"/>
        </w:rPr>
        <w:t>公里</w:t>
      </w:r>
    </w:p>
    <w:p w14:paraId="3B682ABD">
      <w:pPr>
        <w:snapToGrid w:val="0"/>
        <w:spacing w:line="360" w:lineRule="auto"/>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标项二：</w:t>
      </w:r>
    </w:p>
    <w:p w14:paraId="5A0928E5">
      <w:pPr>
        <w:snapToGrid w:val="0"/>
        <w:spacing w:line="360" w:lineRule="auto"/>
        <w:rPr>
          <w:rFonts w:ascii="宋体"/>
          <w:b/>
          <w:bCs/>
          <w:color w:val="auto"/>
          <w:sz w:val="21"/>
          <w:highlight w:val="none"/>
          <w:shd w:val="clear" w:color="auto" w:fill="FFFFFF"/>
        </w:rPr>
      </w:pPr>
      <w:r>
        <w:rPr>
          <w:rFonts w:hint="eastAsia" w:ascii="宋体" w:hAnsi="宋体" w:eastAsia="宋体" w:cs="宋体"/>
          <w:color w:val="auto"/>
          <w:kern w:val="0"/>
          <w:sz w:val="21"/>
          <w:szCs w:val="21"/>
          <w:highlight w:val="none"/>
          <w:lang w:eastAsia="zh-CN"/>
        </w:rPr>
        <w:t>2024年-2025年仙居县西边所有省道及县道公路绿化管护服务</w:t>
      </w:r>
      <w:r>
        <w:rPr>
          <w:rFonts w:hint="eastAsia" w:ascii="宋体" w:hAnsi="宋体" w:eastAsia="宋体" w:cs="宋体"/>
          <w:b w:val="0"/>
          <w:bCs w:val="0"/>
          <w:color w:val="auto"/>
          <w:kern w:val="0"/>
          <w:sz w:val="21"/>
          <w:szCs w:val="21"/>
          <w:highlight w:val="none"/>
        </w:rPr>
        <w:t>范围</w:t>
      </w:r>
      <w:r>
        <w:rPr>
          <w:rFonts w:hint="eastAsia" w:ascii="宋体"/>
          <w:b w:val="0"/>
          <w:bCs w:val="0"/>
          <w:color w:val="auto"/>
          <w:sz w:val="21"/>
          <w:highlight w:val="none"/>
          <w:shd w:val="clear" w:color="auto" w:fill="FFFFFF"/>
        </w:rPr>
        <w:t>：</w:t>
      </w:r>
    </w:p>
    <w:tbl>
      <w:tblPr>
        <w:tblStyle w:val="27"/>
        <w:tblW w:w="8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7"/>
        <w:gridCol w:w="2269"/>
        <w:gridCol w:w="1677"/>
        <w:gridCol w:w="2623"/>
        <w:gridCol w:w="876"/>
      </w:tblGrid>
      <w:tr w14:paraId="7302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8246" w:type="dxa"/>
            <w:gridSpan w:val="4"/>
            <w:tcBorders>
              <w:top w:val="nil"/>
              <w:left w:val="nil"/>
              <w:bottom w:val="nil"/>
              <w:right w:val="nil"/>
            </w:tcBorders>
            <w:shd w:val="clear" w:color="auto" w:fill="auto"/>
            <w:noWrap/>
            <w:vAlign w:val="center"/>
          </w:tcPr>
          <w:p w14:paraId="6EE4CE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标项二范围</w:t>
            </w:r>
          </w:p>
        </w:tc>
        <w:tc>
          <w:tcPr>
            <w:tcW w:w="733" w:type="dxa"/>
            <w:tcBorders>
              <w:top w:val="nil"/>
              <w:left w:val="nil"/>
              <w:bottom w:val="nil"/>
              <w:right w:val="nil"/>
            </w:tcBorders>
            <w:shd w:val="clear" w:color="auto" w:fill="auto"/>
            <w:noWrap/>
            <w:vAlign w:val="center"/>
          </w:tcPr>
          <w:p w14:paraId="7C2F0C3B">
            <w:pPr>
              <w:rPr>
                <w:rFonts w:hint="eastAsia" w:ascii="宋体" w:hAnsi="宋体" w:eastAsia="宋体" w:cs="宋体"/>
                <w:i w:val="0"/>
                <w:iCs w:val="0"/>
                <w:color w:val="auto"/>
                <w:sz w:val="22"/>
                <w:szCs w:val="22"/>
                <w:highlight w:val="none"/>
                <w:u w:val="none"/>
              </w:rPr>
            </w:pPr>
          </w:p>
        </w:tc>
      </w:tr>
      <w:tr w14:paraId="41EA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442C">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C89F">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AF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90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终点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BA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里程</w:t>
            </w:r>
          </w:p>
        </w:tc>
      </w:tr>
      <w:tr w14:paraId="48C1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41FB2D92">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普通省道</w:t>
            </w:r>
          </w:p>
        </w:tc>
        <w:tc>
          <w:tcPr>
            <w:tcW w:w="0" w:type="auto"/>
            <w:tcBorders>
              <w:top w:val="nil"/>
              <w:left w:val="nil"/>
              <w:bottom w:val="single" w:color="000000" w:sz="4" w:space="0"/>
              <w:right w:val="single" w:color="000000" w:sz="4" w:space="0"/>
            </w:tcBorders>
            <w:shd w:val="clear" w:color="auto" w:fill="FFFFFF"/>
            <w:noWrap/>
            <w:vAlign w:val="center"/>
          </w:tcPr>
          <w:p w14:paraId="0B49F94C">
            <w:pPr>
              <w:jc w:val="left"/>
              <w:rPr>
                <w:rFonts w:hint="eastAsia" w:ascii="宋体" w:hAnsi="宋体" w:eastAsia="宋体" w:cs="宋体"/>
                <w:b/>
                <w:bCs/>
                <w:i w:val="0"/>
                <w:iCs w:val="0"/>
                <w:color w:val="auto"/>
                <w:sz w:val="20"/>
                <w:szCs w:val="20"/>
                <w:highlight w:val="none"/>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914A6EE">
            <w:pPr>
              <w:jc w:val="left"/>
              <w:rPr>
                <w:rFonts w:hint="eastAsia" w:ascii="宋体" w:hAnsi="宋体" w:eastAsia="宋体" w:cs="宋体"/>
                <w:b/>
                <w:bCs/>
                <w:i w:val="0"/>
                <w:iCs w:val="0"/>
                <w:color w:val="auto"/>
                <w:sz w:val="20"/>
                <w:szCs w:val="20"/>
                <w:highlight w:val="none"/>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6479433">
            <w:pPr>
              <w:jc w:val="left"/>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8FA1">
            <w:pPr>
              <w:rPr>
                <w:rFonts w:hint="eastAsia" w:ascii="宋体" w:hAnsi="宋体" w:eastAsia="宋体" w:cs="宋体"/>
                <w:i w:val="0"/>
                <w:iCs w:val="0"/>
                <w:color w:val="auto"/>
                <w:sz w:val="22"/>
                <w:szCs w:val="22"/>
                <w:highlight w:val="none"/>
                <w:u w:val="none"/>
              </w:rPr>
            </w:pPr>
          </w:p>
        </w:tc>
      </w:tr>
      <w:tr w14:paraId="46682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55DD58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S210</w:t>
            </w:r>
          </w:p>
        </w:tc>
        <w:tc>
          <w:tcPr>
            <w:tcW w:w="0" w:type="auto"/>
            <w:tcBorders>
              <w:top w:val="nil"/>
              <w:left w:val="nil"/>
              <w:bottom w:val="single" w:color="000000" w:sz="4" w:space="0"/>
              <w:right w:val="single" w:color="000000" w:sz="4" w:space="0"/>
            </w:tcBorders>
            <w:shd w:val="clear" w:color="auto" w:fill="FFFFFF"/>
            <w:noWrap/>
            <w:vAlign w:val="center"/>
          </w:tcPr>
          <w:p w14:paraId="3F7ED3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仙景线</w:t>
            </w:r>
          </w:p>
        </w:tc>
        <w:tc>
          <w:tcPr>
            <w:tcW w:w="0" w:type="auto"/>
            <w:tcBorders>
              <w:top w:val="nil"/>
              <w:left w:val="nil"/>
              <w:bottom w:val="single" w:color="000000" w:sz="4" w:space="0"/>
              <w:right w:val="single" w:color="000000" w:sz="4" w:space="0"/>
            </w:tcBorders>
            <w:shd w:val="clear" w:color="auto" w:fill="FFFFFF"/>
            <w:noWrap/>
            <w:vAlign w:val="center"/>
          </w:tcPr>
          <w:p w14:paraId="79712D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大周建材市场</w:t>
            </w:r>
          </w:p>
        </w:tc>
        <w:tc>
          <w:tcPr>
            <w:tcW w:w="0" w:type="auto"/>
            <w:tcBorders>
              <w:top w:val="nil"/>
              <w:left w:val="nil"/>
              <w:bottom w:val="single" w:color="000000" w:sz="4" w:space="0"/>
              <w:right w:val="single" w:color="000000" w:sz="4" w:space="0"/>
            </w:tcBorders>
            <w:shd w:val="clear" w:color="auto" w:fill="FFFFFF"/>
            <w:noWrap/>
            <w:vAlign w:val="center"/>
          </w:tcPr>
          <w:p w14:paraId="28737D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6C72">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42.109</w:t>
            </w:r>
          </w:p>
        </w:tc>
      </w:tr>
      <w:tr w14:paraId="4B6C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708C88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S321</w:t>
            </w:r>
          </w:p>
        </w:tc>
        <w:tc>
          <w:tcPr>
            <w:tcW w:w="0" w:type="auto"/>
            <w:tcBorders>
              <w:top w:val="nil"/>
              <w:left w:val="nil"/>
              <w:bottom w:val="single" w:color="000000" w:sz="4" w:space="0"/>
              <w:right w:val="single" w:color="000000" w:sz="4" w:space="0"/>
            </w:tcBorders>
            <w:shd w:val="clear" w:color="auto" w:fill="FFFFFF"/>
            <w:noWrap/>
            <w:vAlign w:val="center"/>
          </w:tcPr>
          <w:p w14:paraId="51916A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椒武线</w:t>
            </w:r>
          </w:p>
        </w:tc>
        <w:tc>
          <w:tcPr>
            <w:tcW w:w="0" w:type="auto"/>
            <w:tcBorders>
              <w:top w:val="nil"/>
              <w:left w:val="nil"/>
              <w:bottom w:val="single" w:color="000000" w:sz="4" w:space="0"/>
              <w:right w:val="single" w:color="000000" w:sz="4" w:space="0"/>
            </w:tcBorders>
            <w:shd w:val="clear" w:color="auto" w:fill="FFFFFF"/>
            <w:noWrap/>
            <w:vAlign w:val="center"/>
          </w:tcPr>
          <w:p w14:paraId="29DD10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东村</w:t>
            </w:r>
          </w:p>
        </w:tc>
        <w:tc>
          <w:tcPr>
            <w:tcW w:w="0" w:type="auto"/>
            <w:tcBorders>
              <w:top w:val="nil"/>
              <w:left w:val="nil"/>
              <w:bottom w:val="single" w:color="000000" w:sz="4" w:space="0"/>
              <w:right w:val="single" w:color="000000" w:sz="4" w:space="0"/>
            </w:tcBorders>
            <w:shd w:val="clear" w:color="auto" w:fill="FFFFFF"/>
            <w:noWrap/>
            <w:vAlign w:val="center"/>
          </w:tcPr>
          <w:p w14:paraId="7B51AD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下横街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140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r>
      <w:tr w14:paraId="72F2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03103E9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县道</w:t>
            </w:r>
          </w:p>
        </w:tc>
        <w:tc>
          <w:tcPr>
            <w:tcW w:w="0" w:type="auto"/>
            <w:tcBorders>
              <w:top w:val="nil"/>
              <w:left w:val="nil"/>
              <w:bottom w:val="single" w:color="000000" w:sz="4" w:space="0"/>
              <w:right w:val="single" w:color="000000" w:sz="4" w:space="0"/>
            </w:tcBorders>
            <w:shd w:val="clear" w:color="auto" w:fill="FFFFFF"/>
            <w:noWrap/>
            <w:vAlign w:val="center"/>
          </w:tcPr>
          <w:p w14:paraId="37C2E286">
            <w:pPr>
              <w:jc w:val="left"/>
              <w:rPr>
                <w:rFonts w:hint="eastAsia" w:ascii="宋体" w:hAnsi="宋体" w:eastAsia="宋体" w:cs="宋体"/>
                <w:b/>
                <w:bCs/>
                <w:i w:val="0"/>
                <w:iCs w:val="0"/>
                <w:color w:val="auto"/>
                <w:sz w:val="20"/>
                <w:szCs w:val="20"/>
                <w:highlight w:val="none"/>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69667E1">
            <w:pPr>
              <w:jc w:val="left"/>
              <w:rPr>
                <w:rFonts w:hint="eastAsia" w:ascii="宋体" w:hAnsi="宋体" w:eastAsia="宋体" w:cs="宋体"/>
                <w:b/>
                <w:bCs/>
                <w:i w:val="0"/>
                <w:iCs w:val="0"/>
                <w:color w:val="auto"/>
                <w:sz w:val="20"/>
                <w:szCs w:val="20"/>
                <w:highlight w:val="none"/>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3C084EF">
            <w:pPr>
              <w:jc w:val="left"/>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928A">
            <w:pPr>
              <w:rPr>
                <w:rFonts w:hint="eastAsia" w:ascii="宋体" w:hAnsi="宋体" w:eastAsia="宋体" w:cs="宋体"/>
                <w:i w:val="0"/>
                <w:iCs w:val="0"/>
                <w:color w:val="auto"/>
                <w:sz w:val="22"/>
                <w:szCs w:val="22"/>
                <w:highlight w:val="none"/>
                <w:u w:val="none"/>
              </w:rPr>
            </w:pPr>
          </w:p>
        </w:tc>
      </w:tr>
      <w:tr w14:paraId="0B9C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18AC85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X705331024</w:t>
            </w:r>
          </w:p>
        </w:tc>
        <w:tc>
          <w:tcPr>
            <w:tcW w:w="0" w:type="auto"/>
            <w:tcBorders>
              <w:top w:val="nil"/>
              <w:left w:val="nil"/>
              <w:bottom w:val="single" w:color="000000" w:sz="4" w:space="0"/>
              <w:right w:val="single" w:color="000000" w:sz="4" w:space="0"/>
            </w:tcBorders>
            <w:shd w:val="clear" w:color="auto" w:fill="FFFFFF"/>
            <w:noWrap/>
            <w:vAlign w:val="center"/>
          </w:tcPr>
          <w:p w14:paraId="760C3A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步路-东周</w:t>
            </w:r>
          </w:p>
        </w:tc>
        <w:tc>
          <w:tcPr>
            <w:tcW w:w="0" w:type="auto"/>
            <w:tcBorders>
              <w:top w:val="nil"/>
              <w:left w:val="nil"/>
              <w:bottom w:val="single" w:color="000000" w:sz="4" w:space="0"/>
              <w:right w:val="single" w:color="000000" w:sz="4" w:space="0"/>
            </w:tcBorders>
            <w:shd w:val="clear" w:color="auto" w:fill="FFFFFF"/>
            <w:noWrap/>
            <w:vAlign w:val="center"/>
          </w:tcPr>
          <w:p w14:paraId="704F32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步路</w:t>
            </w:r>
          </w:p>
        </w:tc>
        <w:tc>
          <w:tcPr>
            <w:tcW w:w="0" w:type="auto"/>
            <w:tcBorders>
              <w:top w:val="nil"/>
              <w:left w:val="nil"/>
              <w:bottom w:val="single" w:color="000000" w:sz="4" w:space="0"/>
              <w:right w:val="single" w:color="000000" w:sz="4" w:space="0"/>
            </w:tcBorders>
            <w:shd w:val="clear" w:color="auto" w:fill="FFFFFF"/>
            <w:noWrap/>
            <w:vAlign w:val="center"/>
          </w:tcPr>
          <w:p w14:paraId="5986FA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6C9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10.09</w:t>
            </w:r>
          </w:p>
        </w:tc>
      </w:tr>
      <w:tr w14:paraId="5965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42D964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X706331024</w:t>
            </w:r>
          </w:p>
        </w:tc>
        <w:tc>
          <w:tcPr>
            <w:tcW w:w="0" w:type="auto"/>
            <w:tcBorders>
              <w:top w:val="nil"/>
              <w:left w:val="nil"/>
              <w:bottom w:val="single" w:color="000000" w:sz="4" w:space="0"/>
              <w:right w:val="single" w:color="000000" w:sz="4" w:space="0"/>
            </w:tcBorders>
            <w:shd w:val="clear" w:color="auto" w:fill="FFFFFF"/>
            <w:noWrap/>
            <w:vAlign w:val="center"/>
          </w:tcPr>
          <w:p w14:paraId="450079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路岙-小田头</w:t>
            </w:r>
          </w:p>
        </w:tc>
        <w:tc>
          <w:tcPr>
            <w:tcW w:w="0" w:type="auto"/>
            <w:tcBorders>
              <w:top w:val="nil"/>
              <w:left w:val="nil"/>
              <w:bottom w:val="single" w:color="000000" w:sz="4" w:space="0"/>
              <w:right w:val="single" w:color="000000" w:sz="4" w:space="0"/>
            </w:tcBorders>
            <w:shd w:val="clear" w:color="auto" w:fill="FFFFFF"/>
            <w:noWrap/>
            <w:vAlign w:val="center"/>
          </w:tcPr>
          <w:p w14:paraId="48C7FC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路岙</w:t>
            </w:r>
          </w:p>
        </w:tc>
        <w:tc>
          <w:tcPr>
            <w:tcW w:w="0" w:type="auto"/>
            <w:tcBorders>
              <w:top w:val="nil"/>
              <w:left w:val="nil"/>
              <w:bottom w:val="single" w:color="000000" w:sz="4" w:space="0"/>
              <w:right w:val="single" w:color="000000" w:sz="4" w:space="0"/>
            </w:tcBorders>
            <w:shd w:val="clear" w:color="auto" w:fill="FFFFFF"/>
            <w:noWrap/>
            <w:vAlign w:val="center"/>
          </w:tcPr>
          <w:p w14:paraId="1091DE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小田头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800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14.733</w:t>
            </w:r>
          </w:p>
        </w:tc>
      </w:tr>
      <w:tr w14:paraId="1F85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3114F8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X707331024</w:t>
            </w:r>
          </w:p>
        </w:tc>
        <w:tc>
          <w:tcPr>
            <w:tcW w:w="0" w:type="auto"/>
            <w:tcBorders>
              <w:top w:val="nil"/>
              <w:left w:val="nil"/>
              <w:bottom w:val="single" w:color="000000" w:sz="4" w:space="0"/>
              <w:right w:val="single" w:color="000000" w:sz="4" w:space="0"/>
            </w:tcBorders>
            <w:shd w:val="clear" w:color="auto" w:fill="FFFFFF"/>
            <w:noWrap/>
            <w:vAlign w:val="center"/>
          </w:tcPr>
          <w:p w14:paraId="465F7B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撩车-龙潭头</w:t>
            </w:r>
          </w:p>
        </w:tc>
        <w:tc>
          <w:tcPr>
            <w:tcW w:w="0" w:type="auto"/>
            <w:tcBorders>
              <w:top w:val="nil"/>
              <w:left w:val="nil"/>
              <w:bottom w:val="single" w:color="000000" w:sz="4" w:space="0"/>
              <w:right w:val="single" w:color="000000" w:sz="4" w:space="0"/>
            </w:tcBorders>
            <w:shd w:val="clear" w:color="auto" w:fill="FFFFFF"/>
            <w:noWrap/>
            <w:vAlign w:val="center"/>
          </w:tcPr>
          <w:p w14:paraId="4497B4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Y016331024</w:t>
            </w:r>
          </w:p>
        </w:tc>
        <w:tc>
          <w:tcPr>
            <w:tcW w:w="0" w:type="auto"/>
            <w:tcBorders>
              <w:top w:val="nil"/>
              <w:left w:val="nil"/>
              <w:bottom w:val="single" w:color="000000" w:sz="4" w:space="0"/>
              <w:right w:val="single" w:color="000000" w:sz="4" w:space="0"/>
            </w:tcBorders>
            <w:shd w:val="clear" w:color="auto" w:fill="FFFFFF"/>
            <w:noWrap/>
            <w:vAlign w:val="center"/>
          </w:tcPr>
          <w:p w14:paraId="48910A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龙潭头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E5C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23.034</w:t>
            </w:r>
          </w:p>
        </w:tc>
      </w:tr>
      <w:tr w14:paraId="0813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359BFC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X708331024</w:t>
            </w:r>
          </w:p>
        </w:tc>
        <w:tc>
          <w:tcPr>
            <w:tcW w:w="0" w:type="auto"/>
            <w:tcBorders>
              <w:top w:val="nil"/>
              <w:left w:val="nil"/>
              <w:bottom w:val="single" w:color="000000" w:sz="4" w:space="0"/>
              <w:right w:val="single" w:color="000000" w:sz="4" w:space="0"/>
            </w:tcBorders>
            <w:shd w:val="clear" w:color="auto" w:fill="FFFFFF"/>
            <w:noWrap/>
            <w:vAlign w:val="center"/>
          </w:tcPr>
          <w:p w14:paraId="30188D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溪口湖-下李</w:t>
            </w:r>
          </w:p>
        </w:tc>
        <w:tc>
          <w:tcPr>
            <w:tcW w:w="0" w:type="auto"/>
            <w:tcBorders>
              <w:top w:val="nil"/>
              <w:left w:val="nil"/>
              <w:bottom w:val="single" w:color="000000" w:sz="4" w:space="0"/>
              <w:right w:val="single" w:color="000000" w:sz="4" w:space="0"/>
            </w:tcBorders>
            <w:shd w:val="clear" w:color="auto" w:fill="FFFFFF"/>
            <w:noWrap/>
            <w:vAlign w:val="center"/>
          </w:tcPr>
          <w:p w14:paraId="637A15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溪口湖</w:t>
            </w:r>
          </w:p>
        </w:tc>
        <w:tc>
          <w:tcPr>
            <w:tcW w:w="0" w:type="auto"/>
            <w:tcBorders>
              <w:top w:val="nil"/>
              <w:left w:val="nil"/>
              <w:bottom w:val="single" w:color="000000" w:sz="4" w:space="0"/>
              <w:right w:val="single" w:color="000000" w:sz="4" w:space="0"/>
            </w:tcBorders>
            <w:shd w:val="clear" w:color="auto" w:fill="FFFFFF"/>
            <w:noWrap/>
            <w:vAlign w:val="center"/>
          </w:tcPr>
          <w:p w14:paraId="3ACEDF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FFA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40.861</w:t>
            </w:r>
          </w:p>
        </w:tc>
      </w:tr>
      <w:tr w14:paraId="7279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0146B2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X711331024</w:t>
            </w:r>
          </w:p>
        </w:tc>
        <w:tc>
          <w:tcPr>
            <w:tcW w:w="0" w:type="auto"/>
            <w:tcBorders>
              <w:top w:val="nil"/>
              <w:left w:val="nil"/>
              <w:bottom w:val="single" w:color="000000" w:sz="4" w:space="0"/>
              <w:right w:val="single" w:color="000000" w:sz="4" w:space="0"/>
            </w:tcBorders>
            <w:shd w:val="clear" w:color="auto" w:fill="FFFFFF"/>
            <w:noWrap/>
            <w:vAlign w:val="center"/>
          </w:tcPr>
          <w:p w14:paraId="24B1C9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麻车坑-西坑</w:t>
            </w:r>
          </w:p>
        </w:tc>
        <w:tc>
          <w:tcPr>
            <w:tcW w:w="0" w:type="auto"/>
            <w:tcBorders>
              <w:top w:val="nil"/>
              <w:left w:val="nil"/>
              <w:bottom w:val="single" w:color="000000" w:sz="4" w:space="0"/>
              <w:right w:val="single" w:color="000000" w:sz="4" w:space="0"/>
            </w:tcBorders>
            <w:shd w:val="clear" w:color="auto" w:fill="FFFFFF"/>
            <w:noWrap/>
            <w:vAlign w:val="center"/>
          </w:tcPr>
          <w:p w14:paraId="698090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麻车坑</w:t>
            </w:r>
          </w:p>
        </w:tc>
        <w:tc>
          <w:tcPr>
            <w:tcW w:w="0" w:type="auto"/>
            <w:tcBorders>
              <w:top w:val="nil"/>
              <w:left w:val="nil"/>
              <w:bottom w:val="single" w:color="000000" w:sz="4" w:space="0"/>
              <w:right w:val="single" w:color="000000" w:sz="4" w:space="0"/>
            </w:tcBorders>
            <w:shd w:val="clear" w:color="auto" w:fill="FFFFFF"/>
            <w:noWrap/>
            <w:vAlign w:val="center"/>
          </w:tcPr>
          <w:p w14:paraId="3CB565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A92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10.539</w:t>
            </w:r>
          </w:p>
        </w:tc>
      </w:tr>
      <w:tr w14:paraId="3EC35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7B5223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X712331024</w:t>
            </w:r>
          </w:p>
        </w:tc>
        <w:tc>
          <w:tcPr>
            <w:tcW w:w="0" w:type="auto"/>
            <w:tcBorders>
              <w:top w:val="nil"/>
              <w:left w:val="nil"/>
              <w:bottom w:val="single" w:color="000000" w:sz="4" w:space="0"/>
              <w:right w:val="single" w:color="000000" w:sz="4" w:space="0"/>
            </w:tcBorders>
            <w:shd w:val="clear" w:color="auto" w:fill="FFFFFF"/>
            <w:noWrap/>
            <w:vAlign w:val="center"/>
          </w:tcPr>
          <w:p w14:paraId="679511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下崔-街下</w:t>
            </w:r>
          </w:p>
        </w:tc>
        <w:tc>
          <w:tcPr>
            <w:tcW w:w="0" w:type="auto"/>
            <w:tcBorders>
              <w:top w:val="nil"/>
              <w:left w:val="nil"/>
              <w:bottom w:val="single" w:color="000000" w:sz="4" w:space="0"/>
              <w:right w:val="single" w:color="000000" w:sz="4" w:space="0"/>
            </w:tcBorders>
            <w:shd w:val="clear" w:color="auto" w:fill="FFFFFF"/>
            <w:noWrap/>
            <w:vAlign w:val="center"/>
          </w:tcPr>
          <w:p w14:paraId="33BADF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下崔</w:t>
            </w:r>
          </w:p>
        </w:tc>
        <w:tc>
          <w:tcPr>
            <w:tcW w:w="0" w:type="auto"/>
            <w:tcBorders>
              <w:top w:val="nil"/>
              <w:left w:val="nil"/>
              <w:bottom w:val="single" w:color="000000" w:sz="4" w:space="0"/>
              <w:right w:val="single" w:color="000000" w:sz="4" w:space="0"/>
            </w:tcBorders>
            <w:shd w:val="clear" w:color="auto" w:fill="FFFFFF"/>
            <w:noWrap/>
            <w:vAlign w:val="center"/>
          </w:tcPr>
          <w:p w14:paraId="0EF5CE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C572331024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B94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2.423</w:t>
            </w:r>
          </w:p>
        </w:tc>
      </w:tr>
      <w:tr w14:paraId="3F2B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1B6380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X714331024</w:t>
            </w:r>
          </w:p>
        </w:tc>
        <w:tc>
          <w:tcPr>
            <w:tcW w:w="0" w:type="auto"/>
            <w:tcBorders>
              <w:top w:val="nil"/>
              <w:left w:val="nil"/>
              <w:bottom w:val="single" w:color="000000" w:sz="4" w:space="0"/>
              <w:right w:val="single" w:color="000000" w:sz="4" w:space="0"/>
            </w:tcBorders>
            <w:shd w:val="clear" w:color="auto" w:fill="FFFFFF"/>
            <w:noWrap/>
            <w:vAlign w:val="center"/>
          </w:tcPr>
          <w:p w14:paraId="31457D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撩车-朱座坑</w:t>
            </w:r>
          </w:p>
        </w:tc>
        <w:tc>
          <w:tcPr>
            <w:tcW w:w="0" w:type="auto"/>
            <w:tcBorders>
              <w:top w:val="nil"/>
              <w:left w:val="nil"/>
              <w:bottom w:val="single" w:color="000000" w:sz="4" w:space="0"/>
              <w:right w:val="single" w:color="000000" w:sz="4" w:space="0"/>
            </w:tcBorders>
            <w:shd w:val="clear" w:color="auto" w:fill="FFFFFF"/>
            <w:noWrap/>
            <w:vAlign w:val="center"/>
          </w:tcPr>
          <w:p w14:paraId="1B3912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上吴</w:t>
            </w:r>
          </w:p>
        </w:tc>
        <w:tc>
          <w:tcPr>
            <w:tcW w:w="0" w:type="auto"/>
            <w:tcBorders>
              <w:top w:val="nil"/>
              <w:left w:val="nil"/>
              <w:bottom w:val="single" w:color="000000" w:sz="4" w:space="0"/>
              <w:right w:val="single" w:color="000000" w:sz="4" w:space="0"/>
            </w:tcBorders>
            <w:shd w:val="clear" w:color="auto" w:fill="FFFFFF"/>
            <w:noWrap/>
            <w:vAlign w:val="center"/>
          </w:tcPr>
          <w:p w14:paraId="21B947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朱座坑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D71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6.331</w:t>
            </w:r>
          </w:p>
        </w:tc>
      </w:tr>
      <w:tr w14:paraId="2D2D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315A6C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X717331024</w:t>
            </w:r>
          </w:p>
        </w:tc>
        <w:tc>
          <w:tcPr>
            <w:tcW w:w="0" w:type="auto"/>
            <w:tcBorders>
              <w:top w:val="nil"/>
              <w:left w:val="nil"/>
              <w:bottom w:val="single" w:color="000000" w:sz="4" w:space="0"/>
              <w:right w:val="single" w:color="000000" w:sz="4" w:space="0"/>
            </w:tcBorders>
            <w:shd w:val="clear" w:color="auto" w:fill="FFFFFF"/>
            <w:noWrap/>
            <w:vAlign w:val="center"/>
          </w:tcPr>
          <w:p w14:paraId="200D06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城关-西山</w:t>
            </w:r>
          </w:p>
        </w:tc>
        <w:tc>
          <w:tcPr>
            <w:tcW w:w="0" w:type="auto"/>
            <w:tcBorders>
              <w:top w:val="nil"/>
              <w:left w:val="nil"/>
              <w:bottom w:val="single" w:color="000000" w:sz="4" w:space="0"/>
              <w:right w:val="single" w:color="000000" w:sz="4" w:space="0"/>
            </w:tcBorders>
            <w:shd w:val="clear" w:color="auto" w:fill="FFFFFF"/>
            <w:noWrap/>
            <w:vAlign w:val="center"/>
          </w:tcPr>
          <w:p w14:paraId="78B4BF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新车站</w:t>
            </w:r>
          </w:p>
        </w:tc>
        <w:tc>
          <w:tcPr>
            <w:tcW w:w="0" w:type="auto"/>
            <w:tcBorders>
              <w:top w:val="nil"/>
              <w:left w:val="nil"/>
              <w:bottom w:val="single" w:color="000000" w:sz="4" w:space="0"/>
              <w:right w:val="single" w:color="000000" w:sz="4" w:space="0"/>
            </w:tcBorders>
            <w:shd w:val="clear" w:color="auto" w:fill="FFFFFF"/>
            <w:noWrap/>
            <w:vAlign w:val="center"/>
          </w:tcPr>
          <w:p w14:paraId="5BECE5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西山岭头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B59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10.178</w:t>
            </w:r>
          </w:p>
        </w:tc>
      </w:tr>
      <w:tr w14:paraId="396D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4E88E5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X724331024</w:t>
            </w:r>
          </w:p>
        </w:tc>
        <w:tc>
          <w:tcPr>
            <w:tcW w:w="0" w:type="auto"/>
            <w:tcBorders>
              <w:top w:val="nil"/>
              <w:left w:val="nil"/>
              <w:bottom w:val="single" w:color="000000" w:sz="4" w:space="0"/>
              <w:right w:val="single" w:color="000000" w:sz="4" w:space="0"/>
            </w:tcBorders>
            <w:shd w:val="clear" w:color="auto" w:fill="FFFFFF"/>
            <w:noWrap/>
            <w:vAlign w:val="center"/>
          </w:tcPr>
          <w:p w14:paraId="464C5A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白塔-西罨寺</w:t>
            </w:r>
          </w:p>
        </w:tc>
        <w:tc>
          <w:tcPr>
            <w:tcW w:w="0" w:type="auto"/>
            <w:tcBorders>
              <w:top w:val="nil"/>
              <w:left w:val="nil"/>
              <w:bottom w:val="single" w:color="000000" w:sz="4" w:space="0"/>
              <w:right w:val="single" w:color="000000" w:sz="4" w:space="0"/>
            </w:tcBorders>
            <w:shd w:val="clear" w:color="auto" w:fill="FFFFFF"/>
            <w:noWrap/>
            <w:vAlign w:val="center"/>
          </w:tcPr>
          <w:p w14:paraId="337108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2K+000</w:t>
            </w:r>
          </w:p>
        </w:tc>
        <w:tc>
          <w:tcPr>
            <w:tcW w:w="0" w:type="auto"/>
            <w:tcBorders>
              <w:top w:val="nil"/>
              <w:left w:val="nil"/>
              <w:bottom w:val="single" w:color="000000" w:sz="4" w:space="0"/>
              <w:right w:val="single" w:color="000000" w:sz="4" w:space="0"/>
            </w:tcBorders>
            <w:shd w:val="clear" w:color="auto" w:fill="FFFFFF"/>
            <w:noWrap/>
            <w:vAlign w:val="center"/>
          </w:tcPr>
          <w:p w14:paraId="645978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西罨寺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75C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3.834</w:t>
            </w:r>
          </w:p>
        </w:tc>
      </w:tr>
      <w:tr w14:paraId="0B22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16D48D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X725331024</w:t>
            </w:r>
          </w:p>
        </w:tc>
        <w:tc>
          <w:tcPr>
            <w:tcW w:w="0" w:type="auto"/>
            <w:tcBorders>
              <w:top w:val="nil"/>
              <w:left w:val="nil"/>
              <w:bottom w:val="single" w:color="000000" w:sz="4" w:space="0"/>
              <w:right w:val="single" w:color="000000" w:sz="4" w:space="0"/>
            </w:tcBorders>
            <w:shd w:val="clear" w:color="auto" w:fill="FFFFFF"/>
            <w:noWrap/>
            <w:vAlign w:val="center"/>
          </w:tcPr>
          <w:p w14:paraId="585414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泥岸-昔下</w:t>
            </w:r>
          </w:p>
        </w:tc>
        <w:tc>
          <w:tcPr>
            <w:tcW w:w="0" w:type="auto"/>
            <w:tcBorders>
              <w:top w:val="nil"/>
              <w:left w:val="nil"/>
              <w:bottom w:val="single" w:color="000000" w:sz="4" w:space="0"/>
              <w:right w:val="single" w:color="000000" w:sz="4" w:space="0"/>
            </w:tcBorders>
            <w:shd w:val="clear" w:color="auto" w:fill="FFFFFF"/>
            <w:noWrap/>
            <w:vAlign w:val="center"/>
          </w:tcPr>
          <w:p w14:paraId="5D3EDE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泥岸</w:t>
            </w:r>
          </w:p>
        </w:tc>
        <w:tc>
          <w:tcPr>
            <w:tcW w:w="0" w:type="auto"/>
            <w:tcBorders>
              <w:top w:val="nil"/>
              <w:left w:val="nil"/>
              <w:bottom w:val="single" w:color="000000" w:sz="4" w:space="0"/>
              <w:right w:val="single" w:color="000000" w:sz="4" w:space="0"/>
            </w:tcBorders>
            <w:shd w:val="clear" w:color="auto" w:fill="FFFFFF"/>
            <w:noWrap/>
            <w:vAlign w:val="center"/>
          </w:tcPr>
          <w:p w14:paraId="27CD95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昔下溪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F0B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9.532</w:t>
            </w:r>
          </w:p>
        </w:tc>
      </w:tr>
      <w:tr w14:paraId="6DF3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01BA78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X726331024</w:t>
            </w:r>
          </w:p>
        </w:tc>
        <w:tc>
          <w:tcPr>
            <w:tcW w:w="0" w:type="auto"/>
            <w:tcBorders>
              <w:top w:val="nil"/>
              <w:left w:val="nil"/>
              <w:bottom w:val="single" w:color="000000" w:sz="4" w:space="0"/>
              <w:right w:val="single" w:color="000000" w:sz="4" w:space="0"/>
            </w:tcBorders>
            <w:shd w:val="clear" w:color="auto" w:fill="FFFFFF"/>
            <w:noWrap/>
            <w:vAlign w:val="center"/>
          </w:tcPr>
          <w:p w14:paraId="2FF873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五都潘-溪口</w:t>
            </w:r>
          </w:p>
        </w:tc>
        <w:tc>
          <w:tcPr>
            <w:tcW w:w="0" w:type="auto"/>
            <w:tcBorders>
              <w:top w:val="nil"/>
              <w:left w:val="nil"/>
              <w:bottom w:val="single" w:color="000000" w:sz="4" w:space="0"/>
              <w:right w:val="single" w:color="000000" w:sz="4" w:space="0"/>
            </w:tcBorders>
            <w:shd w:val="clear" w:color="auto" w:fill="FFFFFF"/>
            <w:noWrap/>
            <w:vAlign w:val="center"/>
          </w:tcPr>
          <w:p w14:paraId="203446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五都潘</w:t>
            </w:r>
          </w:p>
        </w:tc>
        <w:tc>
          <w:tcPr>
            <w:tcW w:w="0" w:type="auto"/>
            <w:tcBorders>
              <w:top w:val="nil"/>
              <w:left w:val="nil"/>
              <w:bottom w:val="single" w:color="000000" w:sz="4" w:space="0"/>
              <w:right w:val="single" w:color="000000" w:sz="4" w:space="0"/>
            </w:tcBorders>
            <w:shd w:val="clear" w:color="auto" w:fill="FFFFFF"/>
            <w:noWrap/>
            <w:vAlign w:val="center"/>
          </w:tcPr>
          <w:p w14:paraId="510609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溪口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2A6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11.262</w:t>
            </w:r>
          </w:p>
        </w:tc>
      </w:tr>
      <w:tr w14:paraId="0244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51503F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X727331024</w:t>
            </w:r>
          </w:p>
        </w:tc>
        <w:tc>
          <w:tcPr>
            <w:tcW w:w="0" w:type="auto"/>
            <w:tcBorders>
              <w:top w:val="nil"/>
              <w:left w:val="nil"/>
              <w:bottom w:val="single" w:color="000000" w:sz="4" w:space="0"/>
              <w:right w:val="single" w:color="000000" w:sz="4" w:space="0"/>
            </w:tcBorders>
            <w:shd w:val="clear" w:color="auto" w:fill="FFFFFF"/>
            <w:noWrap/>
            <w:vAlign w:val="center"/>
          </w:tcPr>
          <w:p w14:paraId="5257F0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五都潘-苍岭坑</w:t>
            </w:r>
          </w:p>
        </w:tc>
        <w:tc>
          <w:tcPr>
            <w:tcW w:w="0" w:type="auto"/>
            <w:tcBorders>
              <w:top w:val="nil"/>
              <w:left w:val="nil"/>
              <w:bottom w:val="single" w:color="000000" w:sz="4" w:space="0"/>
              <w:right w:val="single" w:color="000000" w:sz="4" w:space="0"/>
            </w:tcBorders>
            <w:shd w:val="clear" w:color="auto" w:fill="FFFFFF"/>
            <w:noWrap/>
            <w:vAlign w:val="center"/>
          </w:tcPr>
          <w:p w14:paraId="4D8BD7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五都潘</w:t>
            </w:r>
          </w:p>
        </w:tc>
        <w:tc>
          <w:tcPr>
            <w:tcW w:w="0" w:type="auto"/>
            <w:tcBorders>
              <w:top w:val="nil"/>
              <w:left w:val="nil"/>
              <w:bottom w:val="single" w:color="000000" w:sz="4" w:space="0"/>
              <w:right w:val="single" w:color="000000" w:sz="4" w:space="0"/>
            </w:tcBorders>
            <w:shd w:val="clear" w:color="auto" w:fill="FFFFFF"/>
            <w:noWrap/>
            <w:vAlign w:val="center"/>
          </w:tcPr>
          <w:p w14:paraId="7B781B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坎下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A13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7.949</w:t>
            </w:r>
          </w:p>
        </w:tc>
      </w:tr>
      <w:tr w14:paraId="7915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21CB00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X728331024</w:t>
            </w:r>
          </w:p>
        </w:tc>
        <w:tc>
          <w:tcPr>
            <w:tcW w:w="0" w:type="auto"/>
            <w:tcBorders>
              <w:top w:val="nil"/>
              <w:left w:val="nil"/>
              <w:bottom w:val="single" w:color="000000" w:sz="4" w:space="0"/>
              <w:right w:val="single" w:color="000000" w:sz="4" w:space="0"/>
            </w:tcBorders>
            <w:shd w:val="clear" w:color="auto" w:fill="FFFFFF"/>
            <w:noWrap/>
            <w:vAlign w:val="center"/>
          </w:tcPr>
          <w:p w14:paraId="491627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田头项-上崔</w:t>
            </w:r>
          </w:p>
        </w:tc>
        <w:tc>
          <w:tcPr>
            <w:tcW w:w="0" w:type="auto"/>
            <w:tcBorders>
              <w:top w:val="nil"/>
              <w:left w:val="nil"/>
              <w:bottom w:val="single" w:color="000000" w:sz="4" w:space="0"/>
              <w:right w:val="single" w:color="000000" w:sz="4" w:space="0"/>
            </w:tcBorders>
            <w:shd w:val="clear" w:color="auto" w:fill="FFFFFF"/>
            <w:noWrap/>
            <w:vAlign w:val="center"/>
          </w:tcPr>
          <w:p w14:paraId="7197DD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田头项</w:t>
            </w:r>
          </w:p>
        </w:tc>
        <w:tc>
          <w:tcPr>
            <w:tcW w:w="0" w:type="auto"/>
            <w:tcBorders>
              <w:top w:val="nil"/>
              <w:left w:val="nil"/>
              <w:bottom w:val="single" w:color="000000" w:sz="4" w:space="0"/>
              <w:right w:val="single" w:color="000000" w:sz="4" w:space="0"/>
            </w:tcBorders>
            <w:shd w:val="clear" w:color="auto" w:fill="FFFFFF"/>
            <w:noWrap/>
            <w:vAlign w:val="center"/>
          </w:tcPr>
          <w:p w14:paraId="66FB40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2D4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6.074</w:t>
            </w:r>
          </w:p>
        </w:tc>
      </w:tr>
      <w:tr w14:paraId="7009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543BB1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X729331024</w:t>
            </w:r>
          </w:p>
        </w:tc>
        <w:tc>
          <w:tcPr>
            <w:tcW w:w="0" w:type="auto"/>
            <w:tcBorders>
              <w:top w:val="nil"/>
              <w:left w:val="nil"/>
              <w:bottom w:val="single" w:color="000000" w:sz="4" w:space="0"/>
              <w:right w:val="single" w:color="000000" w:sz="4" w:space="0"/>
            </w:tcBorders>
            <w:shd w:val="clear" w:color="auto" w:fill="FFFFFF"/>
            <w:noWrap/>
            <w:vAlign w:val="center"/>
          </w:tcPr>
          <w:p w14:paraId="5C0BB3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湖头-梧桐</w:t>
            </w:r>
          </w:p>
        </w:tc>
        <w:tc>
          <w:tcPr>
            <w:tcW w:w="0" w:type="auto"/>
            <w:tcBorders>
              <w:top w:val="nil"/>
              <w:left w:val="nil"/>
              <w:bottom w:val="single" w:color="000000" w:sz="4" w:space="0"/>
              <w:right w:val="single" w:color="000000" w:sz="4" w:space="0"/>
            </w:tcBorders>
            <w:shd w:val="clear" w:color="auto" w:fill="FFFFFF"/>
            <w:noWrap/>
            <w:vAlign w:val="center"/>
          </w:tcPr>
          <w:p w14:paraId="229FA5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湖头</w:t>
            </w:r>
          </w:p>
        </w:tc>
        <w:tc>
          <w:tcPr>
            <w:tcW w:w="0" w:type="auto"/>
            <w:tcBorders>
              <w:top w:val="nil"/>
              <w:left w:val="nil"/>
              <w:bottom w:val="single" w:color="000000" w:sz="4" w:space="0"/>
              <w:right w:val="single" w:color="000000" w:sz="4" w:space="0"/>
            </w:tcBorders>
            <w:shd w:val="clear" w:color="auto" w:fill="FFFFFF"/>
            <w:noWrap/>
            <w:vAlign w:val="center"/>
          </w:tcPr>
          <w:p w14:paraId="1AC5F2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梧桐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59F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9.861</w:t>
            </w:r>
          </w:p>
        </w:tc>
      </w:tr>
      <w:tr w14:paraId="49463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64274B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X730331024</w:t>
            </w:r>
          </w:p>
        </w:tc>
        <w:tc>
          <w:tcPr>
            <w:tcW w:w="0" w:type="auto"/>
            <w:tcBorders>
              <w:top w:val="nil"/>
              <w:left w:val="nil"/>
              <w:bottom w:val="single" w:color="000000" w:sz="4" w:space="0"/>
              <w:right w:val="single" w:color="000000" w:sz="4" w:space="0"/>
            </w:tcBorders>
            <w:shd w:val="clear" w:color="auto" w:fill="FFFFFF"/>
            <w:noWrap/>
            <w:vAlign w:val="center"/>
          </w:tcPr>
          <w:p w14:paraId="522794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田市-上吴</w:t>
            </w:r>
          </w:p>
        </w:tc>
        <w:tc>
          <w:tcPr>
            <w:tcW w:w="0" w:type="auto"/>
            <w:tcBorders>
              <w:top w:val="nil"/>
              <w:left w:val="nil"/>
              <w:bottom w:val="single" w:color="000000" w:sz="4" w:space="0"/>
              <w:right w:val="single" w:color="000000" w:sz="4" w:space="0"/>
            </w:tcBorders>
            <w:shd w:val="clear" w:color="auto" w:fill="FFFFFF"/>
            <w:noWrap/>
            <w:vAlign w:val="center"/>
          </w:tcPr>
          <w:p w14:paraId="0BA6DF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田市</w:t>
            </w:r>
          </w:p>
        </w:tc>
        <w:tc>
          <w:tcPr>
            <w:tcW w:w="0" w:type="auto"/>
            <w:tcBorders>
              <w:top w:val="nil"/>
              <w:left w:val="nil"/>
              <w:bottom w:val="single" w:color="000000" w:sz="4" w:space="0"/>
              <w:right w:val="single" w:color="000000" w:sz="4" w:space="0"/>
            </w:tcBorders>
            <w:shd w:val="clear" w:color="auto" w:fill="FFFFFF"/>
            <w:noWrap/>
            <w:vAlign w:val="center"/>
          </w:tcPr>
          <w:p w14:paraId="752A41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000F">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35.188</w:t>
            </w:r>
          </w:p>
        </w:tc>
      </w:tr>
      <w:tr w14:paraId="60D77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4470CA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X732331024</w:t>
            </w:r>
          </w:p>
        </w:tc>
        <w:tc>
          <w:tcPr>
            <w:tcW w:w="0" w:type="auto"/>
            <w:tcBorders>
              <w:top w:val="nil"/>
              <w:left w:val="nil"/>
              <w:bottom w:val="single" w:color="000000" w:sz="4" w:space="0"/>
              <w:right w:val="single" w:color="000000" w:sz="4" w:space="0"/>
            </w:tcBorders>
            <w:shd w:val="clear" w:color="auto" w:fill="FFFFFF"/>
            <w:noWrap/>
            <w:vAlign w:val="center"/>
          </w:tcPr>
          <w:p w14:paraId="14AFCF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埠头-马岭（盘安）</w:t>
            </w:r>
          </w:p>
        </w:tc>
        <w:tc>
          <w:tcPr>
            <w:tcW w:w="0" w:type="auto"/>
            <w:tcBorders>
              <w:top w:val="nil"/>
              <w:left w:val="nil"/>
              <w:bottom w:val="single" w:color="000000" w:sz="4" w:space="0"/>
              <w:right w:val="single" w:color="000000" w:sz="4" w:space="0"/>
            </w:tcBorders>
            <w:shd w:val="clear" w:color="auto" w:fill="FFFFFF"/>
            <w:noWrap/>
            <w:vAlign w:val="center"/>
          </w:tcPr>
          <w:p w14:paraId="3F1459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埠头</w:t>
            </w:r>
          </w:p>
        </w:tc>
        <w:tc>
          <w:tcPr>
            <w:tcW w:w="0" w:type="auto"/>
            <w:tcBorders>
              <w:top w:val="nil"/>
              <w:left w:val="nil"/>
              <w:bottom w:val="single" w:color="000000" w:sz="4" w:space="0"/>
              <w:right w:val="single" w:color="000000" w:sz="4" w:space="0"/>
            </w:tcBorders>
            <w:shd w:val="clear" w:color="auto" w:fill="FFFFFF"/>
            <w:noWrap/>
            <w:vAlign w:val="center"/>
          </w:tcPr>
          <w:p w14:paraId="1623E9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马岭（盘安）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177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18.442</w:t>
            </w:r>
          </w:p>
        </w:tc>
      </w:tr>
      <w:tr w14:paraId="40F6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066E63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X733331024</w:t>
            </w:r>
          </w:p>
        </w:tc>
        <w:tc>
          <w:tcPr>
            <w:tcW w:w="0" w:type="auto"/>
            <w:tcBorders>
              <w:top w:val="nil"/>
              <w:left w:val="nil"/>
              <w:bottom w:val="single" w:color="000000" w:sz="4" w:space="0"/>
              <w:right w:val="single" w:color="000000" w:sz="4" w:space="0"/>
            </w:tcBorders>
            <w:shd w:val="clear" w:color="auto" w:fill="FFFFFF"/>
            <w:noWrap/>
            <w:vAlign w:val="center"/>
          </w:tcPr>
          <w:p w14:paraId="7AE78B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乌眉潭-西陈</w:t>
            </w:r>
          </w:p>
        </w:tc>
        <w:tc>
          <w:tcPr>
            <w:tcW w:w="0" w:type="auto"/>
            <w:tcBorders>
              <w:top w:val="nil"/>
              <w:left w:val="nil"/>
              <w:bottom w:val="single" w:color="000000" w:sz="4" w:space="0"/>
              <w:right w:val="single" w:color="000000" w:sz="4" w:space="0"/>
            </w:tcBorders>
            <w:shd w:val="clear" w:color="auto" w:fill="FFFFFF"/>
            <w:noWrap/>
            <w:vAlign w:val="center"/>
          </w:tcPr>
          <w:p w14:paraId="1AEC1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乌眉潭村</w:t>
            </w:r>
          </w:p>
        </w:tc>
        <w:tc>
          <w:tcPr>
            <w:tcW w:w="0" w:type="auto"/>
            <w:tcBorders>
              <w:top w:val="nil"/>
              <w:left w:val="nil"/>
              <w:bottom w:val="single" w:color="000000" w:sz="4" w:space="0"/>
              <w:right w:val="single" w:color="000000" w:sz="4" w:space="0"/>
            </w:tcBorders>
            <w:shd w:val="clear" w:color="auto" w:fill="FFFFFF"/>
            <w:noWrap/>
            <w:vAlign w:val="center"/>
          </w:tcPr>
          <w:p w14:paraId="1F1476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D6AB">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4.249</w:t>
            </w:r>
          </w:p>
        </w:tc>
      </w:tr>
      <w:tr w14:paraId="3A9B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788F96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X735331024</w:t>
            </w:r>
          </w:p>
        </w:tc>
        <w:tc>
          <w:tcPr>
            <w:tcW w:w="0" w:type="auto"/>
            <w:tcBorders>
              <w:top w:val="nil"/>
              <w:left w:val="nil"/>
              <w:bottom w:val="single" w:color="000000" w:sz="4" w:space="0"/>
              <w:right w:val="single" w:color="000000" w:sz="4" w:space="0"/>
            </w:tcBorders>
            <w:shd w:val="clear" w:color="auto" w:fill="FFFFFF"/>
            <w:noWrap/>
            <w:vAlign w:val="center"/>
          </w:tcPr>
          <w:p w14:paraId="14F475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埠头出口-临石线</w:t>
            </w:r>
          </w:p>
        </w:tc>
        <w:tc>
          <w:tcPr>
            <w:tcW w:w="0" w:type="auto"/>
            <w:tcBorders>
              <w:top w:val="nil"/>
              <w:left w:val="nil"/>
              <w:bottom w:val="single" w:color="000000" w:sz="4" w:space="0"/>
              <w:right w:val="single" w:color="000000" w:sz="4" w:space="0"/>
            </w:tcBorders>
            <w:shd w:val="clear" w:color="auto" w:fill="FFFFFF"/>
            <w:noWrap/>
            <w:vAlign w:val="center"/>
          </w:tcPr>
          <w:p w14:paraId="1A1AAA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埠头收费站</w:t>
            </w:r>
          </w:p>
        </w:tc>
        <w:tc>
          <w:tcPr>
            <w:tcW w:w="0" w:type="auto"/>
            <w:tcBorders>
              <w:top w:val="nil"/>
              <w:left w:val="nil"/>
              <w:bottom w:val="single" w:color="000000" w:sz="4" w:space="0"/>
              <w:right w:val="single" w:color="000000" w:sz="4" w:space="0"/>
            </w:tcBorders>
            <w:shd w:val="clear" w:color="auto" w:fill="FFFFFF"/>
            <w:noWrap/>
            <w:vAlign w:val="center"/>
          </w:tcPr>
          <w:p w14:paraId="5C984B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埠头(35省道67K+900)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4E1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3.51</w:t>
            </w:r>
          </w:p>
        </w:tc>
      </w:tr>
      <w:tr w14:paraId="339C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5A3974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X736331024</w:t>
            </w:r>
          </w:p>
        </w:tc>
        <w:tc>
          <w:tcPr>
            <w:tcW w:w="0" w:type="auto"/>
            <w:tcBorders>
              <w:top w:val="nil"/>
              <w:left w:val="nil"/>
              <w:bottom w:val="single" w:color="000000" w:sz="4" w:space="0"/>
              <w:right w:val="single" w:color="000000" w:sz="4" w:space="0"/>
            </w:tcBorders>
            <w:shd w:val="clear" w:color="auto" w:fill="FFFFFF"/>
            <w:noWrap/>
            <w:vAlign w:val="center"/>
          </w:tcPr>
          <w:p w14:paraId="203456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白下线</w:t>
            </w:r>
          </w:p>
        </w:tc>
        <w:tc>
          <w:tcPr>
            <w:tcW w:w="0" w:type="auto"/>
            <w:tcBorders>
              <w:top w:val="nil"/>
              <w:left w:val="nil"/>
              <w:bottom w:val="single" w:color="000000" w:sz="4" w:space="0"/>
              <w:right w:val="single" w:color="000000" w:sz="4" w:space="0"/>
            </w:tcBorders>
            <w:shd w:val="clear" w:color="auto" w:fill="FFFFFF"/>
            <w:noWrap/>
            <w:vAlign w:val="center"/>
          </w:tcPr>
          <w:p w14:paraId="7AA562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白塔收费站</w:t>
            </w:r>
          </w:p>
        </w:tc>
        <w:tc>
          <w:tcPr>
            <w:tcW w:w="0" w:type="auto"/>
            <w:tcBorders>
              <w:top w:val="nil"/>
              <w:left w:val="nil"/>
              <w:bottom w:val="single" w:color="000000" w:sz="4" w:space="0"/>
              <w:right w:val="single" w:color="000000" w:sz="4" w:space="0"/>
            </w:tcBorders>
            <w:shd w:val="clear" w:color="auto" w:fill="FFFFFF"/>
            <w:noWrap/>
            <w:vAlign w:val="center"/>
          </w:tcPr>
          <w:p w14:paraId="5C809A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下崔(省道临石线)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499E">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1.056</w:t>
            </w:r>
          </w:p>
        </w:tc>
      </w:tr>
      <w:tr w14:paraId="3A56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2C0126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X737331024</w:t>
            </w:r>
          </w:p>
        </w:tc>
        <w:tc>
          <w:tcPr>
            <w:tcW w:w="0" w:type="auto"/>
            <w:tcBorders>
              <w:top w:val="nil"/>
              <w:left w:val="nil"/>
              <w:bottom w:val="single" w:color="000000" w:sz="4" w:space="0"/>
              <w:right w:val="single" w:color="000000" w:sz="4" w:space="0"/>
            </w:tcBorders>
            <w:shd w:val="clear" w:color="auto" w:fill="FFFFFF"/>
            <w:noWrap/>
            <w:vAlign w:val="center"/>
          </w:tcPr>
          <w:p w14:paraId="1292F8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公柯线</w:t>
            </w:r>
          </w:p>
        </w:tc>
        <w:tc>
          <w:tcPr>
            <w:tcW w:w="0" w:type="auto"/>
            <w:tcBorders>
              <w:top w:val="nil"/>
              <w:left w:val="nil"/>
              <w:bottom w:val="single" w:color="000000" w:sz="4" w:space="0"/>
              <w:right w:val="single" w:color="000000" w:sz="4" w:space="0"/>
            </w:tcBorders>
            <w:shd w:val="clear" w:color="auto" w:fill="FFFFFF"/>
            <w:noWrap/>
            <w:vAlign w:val="center"/>
          </w:tcPr>
          <w:p w14:paraId="6B922A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公盂岩收费站</w:t>
            </w:r>
          </w:p>
        </w:tc>
        <w:tc>
          <w:tcPr>
            <w:tcW w:w="0" w:type="auto"/>
            <w:tcBorders>
              <w:top w:val="nil"/>
              <w:left w:val="nil"/>
              <w:bottom w:val="single" w:color="000000" w:sz="4" w:space="0"/>
              <w:right w:val="single" w:color="000000" w:sz="4" w:space="0"/>
            </w:tcBorders>
            <w:shd w:val="clear" w:color="auto" w:fill="FFFFFF"/>
            <w:noWrap/>
            <w:vAlign w:val="center"/>
          </w:tcPr>
          <w:p w14:paraId="668561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柯九思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7E73">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0.272</w:t>
            </w:r>
          </w:p>
        </w:tc>
      </w:tr>
      <w:tr w14:paraId="601E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4ADB8D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X740331024</w:t>
            </w:r>
          </w:p>
        </w:tc>
        <w:tc>
          <w:tcPr>
            <w:tcW w:w="0" w:type="auto"/>
            <w:tcBorders>
              <w:top w:val="nil"/>
              <w:left w:val="nil"/>
              <w:bottom w:val="single" w:color="000000" w:sz="4" w:space="0"/>
              <w:right w:val="single" w:color="000000" w:sz="4" w:space="0"/>
            </w:tcBorders>
            <w:shd w:val="clear" w:color="auto" w:fill="FFFFFF"/>
            <w:noWrap/>
            <w:vAlign w:val="center"/>
          </w:tcPr>
          <w:p w14:paraId="46381A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白后线</w:t>
            </w:r>
          </w:p>
        </w:tc>
        <w:tc>
          <w:tcPr>
            <w:tcW w:w="0" w:type="auto"/>
            <w:tcBorders>
              <w:top w:val="nil"/>
              <w:left w:val="nil"/>
              <w:bottom w:val="single" w:color="000000" w:sz="4" w:space="0"/>
              <w:right w:val="single" w:color="000000" w:sz="4" w:space="0"/>
            </w:tcBorders>
            <w:shd w:val="clear" w:color="auto" w:fill="FFFFFF"/>
            <w:noWrap/>
            <w:vAlign w:val="center"/>
          </w:tcPr>
          <w:p w14:paraId="450E96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白塔出口</w:t>
            </w:r>
          </w:p>
        </w:tc>
        <w:tc>
          <w:tcPr>
            <w:tcW w:w="0" w:type="auto"/>
            <w:tcBorders>
              <w:top w:val="nil"/>
              <w:left w:val="nil"/>
              <w:bottom w:val="single" w:color="000000" w:sz="4" w:space="0"/>
              <w:right w:val="single" w:color="000000" w:sz="4" w:space="0"/>
            </w:tcBorders>
            <w:shd w:val="clear" w:color="auto" w:fill="FFFFFF"/>
            <w:noWrap/>
            <w:vAlign w:val="center"/>
          </w:tcPr>
          <w:p w14:paraId="0A05EF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后仁(省道临石线)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05C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0.48</w:t>
            </w:r>
          </w:p>
        </w:tc>
      </w:tr>
      <w:tr w14:paraId="318B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3A9BA8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X741331024</w:t>
            </w:r>
          </w:p>
        </w:tc>
        <w:tc>
          <w:tcPr>
            <w:tcW w:w="0" w:type="auto"/>
            <w:tcBorders>
              <w:top w:val="nil"/>
              <w:left w:val="nil"/>
              <w:bottom w:val="single" w:color="000000" w:sz="4" w:space="0"/>
              <w:right w:val="single" w:color="000000" w:sz="4" w:space="0"/>
            </w:tcBorders>
            <w:shd w:val="clear" w:color="auto" w:fill="FFFFFF"/>
            <w:noWrap/>
            <w:vAlign w:val="center"/>
          </w:tcPr>
          <w:p w14:paraId="00CAB2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横桥线</w:t>
            </w:r>
          </w:p>
        </w:tc>
        <w:tc>
          <w:tcPr>
            <w:tcW w:w="0" w:type="auto"/>
            <w:tcBorders>
              <w:top w:val="nil"/>
              <w:left w:val="nil"/>
              <w:bottom w:val="single" w:color="000000" w:sz="4" w:space="0"/>
              <w:right w:val="single" w:color="000000" w:sz="4" w:space="0"/>
            </w:tcBorders>
            <w:shd w:val="clear" w:color="auto" w:fill="FFFFFF"/>
            <w:noWrap/>
            <w:vAlign w:val="center"/>
          </w:tcPr>
          <w:p w14:paraId="62B92D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横溪出口</w:t>
            </w:r>
          </w:p>
        </w:tc>
        <w:tc>
          <w:tcPr>
            <w:tcW w:w="0" w:type="auto"/>
            <w:tcBorders>
              <w:top w:val="nil"/>
              <w:left w:val="nil"/>
              <w:bottom w:val="single" w:color="000000" w:sz="4" w:space="0"/>
              <w:right w:val="single" w:color="000000" w:sz="4" w:space="0"/>
            </w:tcBorders>
            <w:shd w:val="clear" w:color="auto" w:fill="FFFFFF"/>
            <w:noWrap/>
            <w:vAlign w:val="center"/>
          </w:tcPr>
          <w:p w14:paraId="7AD632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桥亭(35省道70K+800)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152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r>
      <w:tr w14:paraId="17E2D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44C321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X749331024</w:t>
            </w:r>
          </w:p>
        </w:tc>
        <w:tc>
          <w:tcPr>
            <w:tcW w:w="0" w:type="auto"/>
            <w:tcBorders>
              <w:top w:val="nil"/>
              <w:left w:val="nil"/>
              <w:bottom w:val="single" w:color="000000" w:sz="4" w:space="0"/>
              <w:right w:val="single" w:color="000000" w:sz="4" w:space="0"/>
            </w:tcBorders>
            <w:shd w:val="clear" w:color="auto" w:fill="FFFFFF"/>
            <w:noWrap/>
            <w:vAlign w:val="center"/>
          </w:tcPr>
          <w:p w14:paraId="41D131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三桥-官路</w:t>
            </w:r>
          </w:p>
        </w:tc>
        <w:tc>
          <w:tcPr>
            <w:tcW w:w="0" w:type="auto"/>
            <w:tcBorders>
              <w:top w:val="nil"/>
              <w:left w:val="nil"/>
              <w:bottom w:val="single" w:color="000000" w:sz="4" w:space="0"/>
              <w:right w:val="single" w:color="000000" w:sz="4" w:space="0"/>
            </w:tcBorders>
            <w:shd w:val="clear" w:color="auto" w:fill="FFFFFF"/>
            <w:noWrap/>
            <w:vAlign w:val="center"/>
          </w:tcPr>
          <w:p w14:paraId="755802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三桥</w:t>
            </w:r>
          </w:p>
        </w:tc>
        <w:tc>
          <w:tcPr>
            <w:tcW w:w="0" w:type="auto"/>
            <w:tcBorders>
              <w:top w:val="nil"/>
              <w:left w:val="nil"/>
              <w:bottom w:val="single" w:color="000000" w:sz="4" w:space="0"/>
              <w:right w:val="single" w:color="000000" w:sz="4" w:space="0"/>
            </w:tcBorders>
            <w:shd w:val="clear" w:color="auto" w:fill="FFFFFF"/>
            <w:noWrap/>
            <w:vAlign w:val="center"/>
          </w:tcPr>
          <w:p w14:paraId="4152A3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大周建材市场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536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3.615</w:t>
            </w:r>
          </w:p>
        </w:tc>
      </w:tr>
      <w:tr w14:paraId="652D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nil"/>
              <w:left w:val="nil"/>
              <w:bottom w:val="single" w:color="000000" w:sz="4" w:space="0"/>
              <w:right w:val="single" w:color="000000" w:sz="4" w:space="0"/>
            </w:tcBorders>
            <w:shd w:val="clear" w:color="auto" w:fill="FFFFFF"/>
            <w:noWrap/>
            <w:vAlign w:val="center"/>
          </w:tcPr>
          <w:p w14:paraId="486119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X750331024</w:t>
            </w:r>
          </w:p>
        </w:tc>
        <w:tc>
          <w:tcPr>
            <w:tcW w:w="0" w:type="auto"/>
            <w:tcBorders>
              <w:top w:val="nil"/>
              <w:left w:val="nil"/>
              <w:bottom w:val="single" w:color="000000" w:sz="4" w:space="0"/>
              <w:right w:val="single" w:color="000000" w:sz="4" w:space="0"/>
            </w:tcBorders>
            <w:shd w:val="clear" w:color="auto" w:fill="FFFFFF"/>
            <w:noWrap/>
            <w:vAlign w:val="center"/>
          </w:tcPr>
          <w:p w14:paraId="3ADDF0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下街-公盂</w:t>
            </w:r>
          </w:p>
        </w:tc>
        <w:tc>
          <w:tcPr>
            <w:tcW w:w="0" w:type="auto"/>
            <w:tcBorders>
              <w:top w:val="nil"/>
              <w:left w:val="nil"/>
              <w:bottom w:val="single" w:color="000000" w:sz="4" w:space="0"/>
              <w:right w:val="single" w:color="000000" w:sz="4" w:space="0"/>
            </w:tcBorders>
            <w:shd w:val="clear" w:color="auto" w:fill="FFFFFF"/>
            <w:noWrap/>
            <w:vAlign w:val="center"/>
          </w:tcPr>
          <w:p w14:paraId="2B6B55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S321</w:t>
            </w:r>
          </w:p>
        </w:tc>
        <w:tc>
          <w:tcPr>
            <w:tcW w:w="0" w:type="auto"/>
            <w:tcBorders>
              <w:top w:val="nil"/>
              <w:left w:val="nil"/>
              <w:bottom w:val="single" w:color="000000" w:sz="4" w:space="0"/>
              <w:right w:val="single" w:color="000000" w:sz="4" w:space="0"/>
            </w:tcBorders>
            <w:shd w:val="clear" w:color="auto" w:fill="FFFFFF"/>
            <w:noWrap/>
            <w:vAlign w:val="center"/>
          </w:tcPr>
          <w:p w14:paraId="7A5893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32F5">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6.154</w:t>
            </w:r>
          </w:p>
        </w:tc>
      </w:tr>
      <w:tr w14:paraId="35BFC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tcBorders>
              <w:top w:val="nil"/>
              <w:left w:val="nil"/>
              <w:bottom w:val="single" w:color="000000" w:sz="4" w:space="0"/>
              <w:right w:val="single" w:color="000000" w:sz="4" w:space="0"/>
            </w:tcBorders>
            <w:shd w:val="clear" w:color="auto" w:fill="FFFFFF"/>
            <w:noWrap/>
            <w:vAlign w:val="center"/>
          </w:tcPr>
          <w:p w14:paraId="17E68E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X751331024</w:t>
            </w:r>
          </w:p>
        </w:tc>
        <w:tc>
          <w:tcPr>
            <w:tcW w:w="0" w:type="auto"/>
            <w:tcBorders>
              <w:top w:val="nil"/>
              <w:left w:val="nil"/>
              <w:bottom w:val="single" w:color="000000" w:sz="4" w:space="0"/>
              <w:right w:val="single" w:color="000000" w:sz="4" w:space="0"/>
            </w:tcBorders>
            <w:shd w:val="clear" w:color="auto" w:fill="FFFFFF"/>
            <w:noWrap/>
            <w:vAlign w:val="center"/>
          </w:tcPr>
          <w:p w14:paraId="6F539F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下叶-皤滩</w:t>
            </w:r>
          </w:p>
        </w:tc>
        <w:tc>
          <w:tcPr>
            <w:tcW w:w="0" w:type="auto"/>
            <w:tcBorders>
              <w:top w:val="nil"/>
              <w:left w:val="nil"/>
              <w:bottom w:val="single" w:color="000000" w:sz="4" w:space="0"/>
              <w:right w:val="single" w:color="000000" w:sz="4" w:space="0"/>
            </w:tcBorders>
            <w:shd w:val="clear" w:color="auto" w:fill="FFFFFF"/>
            <w:noWrap/>
            <w:vAlign w:val="center"/>
          </w:tcPr>
          <w:p w14:paraId="0BEF2B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下叶</w:t>
            </w:r>
          </w:p>
        </w:tc>
        <w:tc>
          <w:tcPr>
            <w:tcW w:w="0" w:type="auto"/>
            <w:tcBorders>
              <w:top w:val="nil"/>
              <w:left w:val="nil"/>
              <w:bottom w:val="single" w:color="000000" w:sz="4" w:space="0"/>
              <w:right w:val="single" w:color="000000" w:sz="4" w:space="0"/>
            </w:tcBorders>
            <w:shd w:val="clear" w:color="auto" w:fill="FFFFFF"/>
            <w:noWrap/>
            <w:vAlign w:val="center"/>
          </w:tcPr>
          <w:p w14:paraId="22E134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临石线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582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7.27</w:t>
            </w:r>
          </w:p>
        </w:tc>
      </w:tr>
    </w:tbl>
    <w:p w14:paraId="400175FE">
      <w:pPr>
        <w:snapToGrid w:val="0"/>
        <w:spacing w:line="360" w:lineRule="auto"/>
        <w:rPr>
          <w:rFonts w:ascii="宋体"/>
          <w:b/>
          <w:bCs/>
          <w:color w:val="auto"/>
          <w:sz w:val="21"/>
          <w:highlight w:val="none"/>
          <w:shd w:val="clear" w:color="auto" w:fill="FFFFFF"/>
        </w:rPr>
      </w:pPr>
      <w:r>
        <w:rPr>
          <w:rFonts w:hint="eastAsia" w:ascii="宋体"/>
          <w:b/>
          <w:bCs/>
          <w:color w:val="auto"/>
          <w:sz w:val="21"/>
          <w:highlight w:val="none"/>
          <w:shd w:val="clear" w:color="auto" w:fill="FFFFFF"/>
        </w:rPr>
        <w:t>总里程：约</w:t>
      </w:r>
      <w:r>
        <w:rPr>
          <w:rFonts w:hint="eastAsia" w:ascii="宋体" w:eastAsia="宋体"/>
          <w:b/>
          <w:bCs/>
          <w:color w:val="auto"/>
          <w:sz w:val="21"/>
          <w:highlight w:val="none"/>
          <w:shd w:val="clear" w:color="auto" w:fill="FFFFFF"/>
          <w:lang w:val="en-US" w:eastAsia="zh-CN"/>
        </w:rPr>
        <w:t>298.276</w:t>
      </w:r>
      <w:r>
        <w:rPr>
          <w:rFonts w:hint="eastAsia" w:ascii="宋体"/>
          <w:b/>
          <w:bCs/>
          <w:color w:val="auto"/>
          <w:sz w:val="21"/>
          <w:highlight w:val="none"/>
          <w:shd w:val="clear" w:color="auto" w:fill="FFFFFF"/>
        </w:rPr>
        <w:t>公里</w:t>
      </w:r>
    </w:p>
    <w:p w14:paraId="6399E6AC">
      <w:pPr>
        <w:snapToGrid w:val="0"/>
        <w:spacing w:line="360" w:lineRule="auto"/>
        <w:rPr>
          <w:b/>
          <w:color w:val="auto"/>
          <w:sz w:val="21"/>
          <w:highlight w:val="none"/>
        </w:rPr>
      </w:pPr>
      <w:r>
        <w:rPr>
          <w:rFonts w:hint="eastAsia" w:ascii="宋体"/>
          <w:color w:val="auto"/>
          <w:sz w:val="21"/>
          <w:highlight w:val="none"/>
          <w:shd w:val="clear" w:color="auto" w:fill="FFFFFF"/>
        </w:rPr>
        <w:t>本项目如遇重大机构调整或政策性调整，采购方有权终止协议。</w:t>
      </w:r>
    </w:p>
    <w:p w14:paraId="3DC4A938">
      <w:pPr>
        <w:keepNext/>
        <w:keepLines/>
        <w:numPr>
          <w:ilvl w:val="0"/>
          <w:numId w:val="5"/>
        </w:numPr>
        <w:spacing w:line="360" w:lineRule="exact"/>
        <w:ind w:firstLine="420" w:firstLineChars="200"/>
        <w:outlineLvl w:val="1"/>
        <w:rPr>
          <w:rFonts w:ascii="宋体" w:cs="宋体"/>
          <w:b/>
          <w:bCs/>
          <w:color w:val="auto"/>
          <w:sz w:val="21"/>
          <w:szCs w:val="21"/>
          <w:highlight w:val="none"/>
        </w:rPr>
      </w:pPr>
      <w:r>
        <w:rPr>
          <w:rFonts w:hint="eastAsia" w:ascii="宋体" w:hAnsi="宋体" w:cs="宋体"/>
          <w:b/>
          <w:bCs/>
          <w:color w:val="auto"/>
          <w:sz w:val="21"/>
          <w:szCs w:val="21"/>
          <w:highlight w:val="none"/>
        </w:rPr>
        <w:t>管理服务要求及内容</w:t>
      </w:r>
      <w:bookmarkEnd w:id="55"/>
      <w:bookmarkEnd w:id="56"/>
    </w:p>
    <w:p w14:paraId="270DFBE4">
      <w:pPr>
        <w:widowControl/>
        <w:spacing w:line="360" w:lineRule="auto"/>
        <w:ind w:firstLine="206" w:firstLineChars="98"/>
        <w:jc w:val="left"/>
        <w:rPr>
          <w:color w:val="auto"/>
          <w:sz w:val="28"/>
          <w:highlight w:val="none"/>
        </w:rPr>
      </w:pPr>
      <w:r>
        <w:rPr>
          <w:rFonts w:ascii="Arial" w:hAnsi="Arial" w:cs="Arial"/>
          <w:b/>
          <w:color w:val="auto"/>
          <w:sz w:val="21"/>
          <w:highlight w:val="none"/>
        </w:rPr>
        <w:t>▲</w:t>
      </w:r>
      <w:r>
        <w:rPr>
          <w:color w:val="auto"/>
          <w:kern w:val="0"/>
          <w:sz w:val="21"/>
          <w:highlight w:val="none"/>
        </w:rPr>
        <w:t>1</w:t>
      </w:r>
      <w:r>
        <w:rPr>
          <w:rFonts w:hint="eastAsia" w:ascii="宋体" w:hAnsi="宋体" w:cs="宋体"/>
          <w:color w:val="auto"/>
          <w:kern w:val="0"/>
          <w:sz w:val="21"/>
          <w:highlight w:val="none"/>
        </w:rPr>
        <w:t>、项目内容：</w:t>
      </w:r>
      <w:r>
        <w:rPr>
          <w:color w:val="auto"/>
          <w:sz w:val="28"/>
          <w:highlight w:val="none"/>
        </w:rPr>
        <w:t xml:space="preserve"> </w:t>
      </w:r>
    </w:p>
    <w:p w14:paraId="363FA9FA">
      <w:pPr>
        <w:widowControl/>
        <w:spacing w:line="360" w:lineRule="auto"/>
        <w:ind w:firstLine="310" w:firstLineChars="148"/>
        <w:jc w:val="left"/>
        <w:rPr>
          <w:rFonts w:ascii="宋体" w:eastAsia="宋体"/>
          <w:color w:val="auto"/>
          <w:sz w:val="21"/>
          <w:highlight w:val="none"/>
        </w:rPr>
      </w:pPr>
      <w:r>
        <w:rPr>
          <w:rFonts w:ascii="宋体"/>
          <w:color w:val="auto"/>
          <w:sz w:val="21"/>
          <w:highlight w:val="none"/>
        </w:rPr>
        <w:t>1.1</w:t>
      </w:r>
      <w:r>
        <w:rPr>
          <w:rFonts w:hint="eastAsia" w:ascii="宋体" w:eastAsia="宋体"/>
          <w:color w:val="auto"/>
          <w:sz w:val="21"/>
          <w:highlight w:val="none"/>
        </w:rPr>
        <w:t>标项一：</w:t>
      </w:r>
    </w:p>
    <w:p w14:paraId="2175BE09">
      <w:pPr>
        <w:widowControl/>
        <w:spacing w:line="360" w:lineRule="auto"/>
        <w:ind w:firstLine="310" w:firstLineChars="148"/>
        <w:jc w:val="left"/>
        <w:rPr>
          <w:rFonts w:ascii="宋体" w:hAnsi="宋体" w:cs="宋体"/>
          <w:color w:val="auto"/>
          <w:sz w:val="21"/>
          <w:highlight w:val="none"/>
        </w:rPr>
      </w:pPr>
      <w:r>
        <w:rPr>
          <w:rFonts w:hint="eastAsia" w:ascii="宋体"/>
          <w:color w:val="auto"/>
          <w:sz w:val="21"/>
          <w:highlight w:val="none"/>
        </w:rPr>
        <w:t>项目范围所列区域内所有乔木、灌木、地被花草等植物的管理与养护（包括绿化修剪、</w:t>
      </w:r>
      <w:r>
        <w:rPr>
          <w:rFonts w:hint="eastAsia" w:ascii="宋体" w:eastAsia="宋体"/>
          <w:color w:val="auto"/>
          <w:sz w:val="21"/>
          <w:highlight w:val="none"/>
        </w:rPr>
        <w:t>绿化带除</w:t>
      </w:r>
      <w:r>
        <w:rPr>
          <w:rFonts w:hint="eastAsia" w:ascii="宋体"/>
          <w:color w:val="auto"/>
          <w:sz w:val="21"/>
          <w:highlight w:val="none"/>
        </w:rPr>
        <w:t>草、浇灌、病虫害防治、整枝、修剪、造型、施肥、刷白、扶正、抗旱、抗台、排捞、防冻、复状、小范围补植、灭芽、树穴松土）、路肩草修剪、</w:t>
      </w:r>
      <w:r>
        <w:rPr>
          <w:rFonts w:hint="eastAsia" w:ascii="宋体" w:eastAsia="宋体"/>
          <w:color w:val="auto"/>
          <w:sz w:val="21"/>
          <w:highlight w:val="none"/>
        </w:rPr>
        <w:t>外宅公路站、</w:t>
      </w:r>
      <w:r>
        <w:rPr>
          <w:rFonts w:hint="eastAsia" w:ascii="宋体"/>
          <w:color w:val="auto"/>
          <w:sz w:val="21"/>
          <w:highlight w:val="none"/>
        </w:rPr>
        <w:t>沿线公路服务站、观景台等绿化管护</w:t>
      </w:r>
      <w:r>
        <w:rPr>
          <w:rFonts w:hint="eastAsia" w:ascii="宋体" w:hAnsi="宋体" w:cs="宋体"/>
          <w:color w:val="auto"/>
          <w:sz w:val="21"/>
          <w:highlight w:val="none"/>
        </w:rPr>
        <w:t>。</w:t>
      </w:r>
    </w:p>
    <w:p w14:paraId="0673A1E4">
      <w:pPr>
        <w:widowControl/>
        <w:spacing w:line="360" w:lineRule="auto"/>
        <w:ind w:firstLine="310" w:firstLineChars="148"/>
        <w:jc w:val="left"/>
        <w:rPr>
          <w:rFonts w:ascii="宋体" w:eastAsia="宋体"/>
          <w:color w:val="auto"/>
          <w:sz w:val="21"/>
          <w:highlight w:val="none"/>
        </w:rPr>
      </w:pPr>
      <w:r>
        <w:rPr>
          <w:rFonts w:hint="eastAsia" w:ascii="宋体" w:eastAsia="宋体"/>
          <w:color w:val="auto"/>
          <w:sz w:val="21"/>
          <w:highlight w:val="none"/>
        </w:rPr>
        <w:t>标项二：</w:t>
      </w:r>
    </w:p>
    <w:p w14:paraId="14552A1A">
      <w:pPr>
        <w:widowControl/>
        <w:spacing w:line="360" w:lineRule="auto"/>
        <w:ind w:firstLine="310" w:firstLineChars="148"/>
        <w:jc w:val="left"/>
        <w:rPr>
          <w:color w:val="auto"/>
          <w:highlight w:val="none"/>
        </w:rPr>
      </w:pPr>
      <w:r>
        <w:rPr>
          <w:rFonts w:hint="eastAsia" w:ascii="宋体"/>
          <w:color w:val="auto"/>
          <w:sz w:val="21"/>
          <w:highlight w:val="none"/>
        </w:rPr>
        <w:t>项目范围所列区域内所有乔木、灌木、地被花草等植物的管理与养护（包括绿化修剪、</w:t>
      </w:r>
      <w:r>
        <w:rPr>
          <w:rFonts w:hint="eastAsia" w:ascii="宋体" w:eastAsia="宋体"/>
          <w:color w:val="auto"/>
          <w:sz w:val="21"/>
          <w:highlight w:val="none"/>
        </w:rPr>
        <w:t>绿化带除</w:t>
      </w:r>
      <w:r>
        <w:rPr>
          <w:rFonts w:hint="eastAsia" w:ascii="宋体"/>
          <w:color w:val="auto"/>
          <w:sz w:val="21"/>
          <w:highlight w:val="none"/>
        </w:rPr>
        <w:t>草、浇灌、病虫害防治、整枝、修剪、造型、施肥、刷白、扶正、抗旱、抗台、排捞、防冻、复状、小范围补植、灭芽、树穴松土）、路肩草修剪、公路与运输管理中心大院、</w:t>
      </w:r>
      <w:r>
        <w:rPr>
          <w:rFonts w:hint="eastAsia" w:ascii="宋体" w:eastAsia="宋体"/>
          <w:color w:val="auto"/>
          <w:sz w:val="21"/>
          <w:highlight w:val="none"/>
        </w:rPr>
        <w:t>城西</w:t>
      </w:r>
      <w:r>
        <w:rPr>
          <w:rFonts w:hint="eastAsia" w:ascii="宋体"/>
          <w:color w:val="auto"/>
          <w:sz w:val="21"/>
          <w:highlight w:val="none"/>
        </w:rPr>
        <w:t>公路站、</w:t>
      </w:r>
      <w:r>
        <w:rPr>
          <w:rFonts w:hint="eastAsia" w:ascii="宋体" w:eastAsia="宋体"/>
          <w:color w:val="auto"/>
          <w:sz w:val="21"/>
          <w:highlight w:val="none"/>
        </w:rPr>
        <w:t>横溪公路站、</w:t>
      </w:r>
      <w:r>
        <w:rPr>
          <w:rFonts w:hint="eastAsia" w:ascii="宋体"/>
          <w:color w:val="auto"/>
          <w:sz w:val="21"/>
          <w:highlight w:val="none"/>
        </w:rPr>
        <w:t>沿线公路服务站、观景台等绿化管护</w:t>
      </w:r>
      <w:r>
        <w:rPr>
          <w:rFonts w:hint="eastAsia" w:ascii="宋体" w:hAnsi="宋体" w:cs="宋体"/>
          <w:color w:val="auto"/>
          <w:sz w:val="21"/>
          <w:highlight w:val="none"/>
        </w:rPr>
        <w:t>。</w:t>
      </w:r>
    </w:p>
    <w:p w14:paraId="67A5B603">
      <w:pPr>
        <w:widowControl/>
        <w:spacing w:line="360" w:lineRule="auto"/>
        <w:ind w:firstLine="310" w:firstLineChars="148"/>
        <w:jc w:val="left"/>
        <w:rPr>
          <w:color w:val="auto"/>
          <w:sz w:val="21"/>
          <w:highlight w:val="none"/>
        </w:rPr>
      </w:pPr>
      <w:r>
        <w:rPr>
          <w:rFonts w:ascii="宋体"/>
          <w:color w:val="auto"/>
          <w:sz w:val="21"/>
          <w:highlight w:val="none"/>
        </w:rPr>
        <w:t>1.2</w:t>
      </w:r>
      <w:r>
        <w:rPr>
          <w:rFonts w:hint="eastAsia" w:ascii="宋体"/>
          <w:color w:val="auto"/>
          <w:sz w:val="21"/>
          <w:highlight w:val="none"/>
        </w:rPr>
        <w:t>遇各类检查</w:t>
      </w:r>
      <w:r>
        <w:rPr>
          <w:rFonts w:hint="eastAsia" w:ascii="宋体" w:hAnsi="宋体" w:cs="宋体"/>
          <w:color w:val="auto"/>
          <w:kern w:val="0"/>
          <w:sz w:val="21"/>
          <w:highlight w:val="none"/>
        </w:rPr>
        <w:t>及重大活动、节假日时，涉及项目范围内的应急的任何突击性任务。</w:t>
      </w:r>
    </w:p>
    <w:p w14:paraId="27D5A008">
      <w:pPr>
        <w:snapToGrid w:val="0"/>
        <w:spacing w:line="360" w:lineRule="auto"/>
        <w:ind w:firstLine="210" w:firstLineChars="100"/>
        <w:rPr>
          <w:rFonts w:ascii="宋体"/>
          <w:color w:val="auto"/>
          <w:sz w:val="21"/>
          <w:highlight w:val="none"/>
        </w:rPr>
      </w:pPr>
      <w:r>
        <w:rPr>
          <w:rFonts w:hint="eastAsia" w:ascii="宋体"/>
          <w:color w:val="auto"/>
          <w:sz w:val="21"/>
          <w:highlight w:val="none"/>
        </w:rPr>
        <w:t>▲</w:t>
      </w:r>
      <w:r>
        <w:rPr>
          <w:rFonts w:ascii="宋体"/>
          <w:color w:val="auto"/>
          <w:sz w:val="21"/>
          <w:highlight w:val="none"/>
        </w:rPr>
        <w:t>2</w:t>
      </w:r>
      <w:r>
        <w:rPr>
          <w:rFonts w:hint="eastAsia" w:ascii="宋体"/>
          <w:color w:val="auto"/>
          <w:sz w:val="21"/>
          <w:highlight w:val="none"/>
        </w:rPr>
        <w:t>、其他质量及安全等要求</w:t>
      </w:r>
    </w:p>
    <w:p w14:paraId="11598A91">
      <w:pPr>
        <w:snapToGrid w:val="0"/>
        <w:spacing w:line="360" w:lineRule="auto"/>
        <w:ind w:firstLine="420" w:firstLineChars="200"/>
        <w:rPr>
          <w:rFonts w:ascii="宋体"/>
          <w:color w:val="auto"/>
          <w:sz w:val="21"/>
          <w:highlight w:val="none"/>
        </w:rPr>
      </w:pPr>
      <w:r>
        <w:rPr>
          <w:rFonts w:ascii="宋体"/>
          <w:color w:val="auto"/>
          <w:sz w:val="21"/>
          <w:highlight w:val="none"/>
        </w:rPr>
        <w:t>2.1</w:t>
      </w:r>
      <w:r>
        <w:rPr>
          <w:rFonts w:hint="eastAsia" w:ascii="宋体"/>
          <w:color w:val="auto"/>
          <w:sz w:val="21"/>
          <w:highlight w:val="none"/>
        </w:rPr>
        <w:t>承包养护期限内，中标人应按照仙居县公路绿化养护操作规程及合同约定的绿化养护质量标准、考核标准，合理组织，精心养护，保质保量完成管理养护任务。</w:t>
      </w:r>
    </w:p>
    <w:p w14:paraId="0D918D7A">
      <w:pPr>
        <w:snapToGrid w:val="0"/>
        <w:spacing w:line="360" w:lineRule="auto"/>
        <w:ind w:firstLine="420" w:firstLineChars="200"/>
        <w:rPr>
          <w:rFonts w:ascii="宋体"/>
          <w:color w:val="auto"/>
          <w:sz w:val="21"/>
          <w:highlight w:val="none"/>
        </w:rPr>
      </w:pPr>
      <w:r>
        <w:rPr>
          <w:rFonts w:ascii="宋体"/>
          <w:color w:val="auto"/>
          <w:sz w:val="21"/>
          <w:highlight w:val="none"/>
        </w:rPr>
        <w:t>2.2</w:t>
      </w:r>
      <w:r>
        <w:rPr>
          <w:rFonts w:hint="eastAsia" w:ascii="宋体"/>
          <w:color w:val="auto"/>
          <w:sz w:val="21"/>
          <w:highlight w:val="none"/>
        </w:rPr>
        <w:t>对本养护项目实施养护管理所用的一切劳动力、材料设备和服务由中标人自行组织，由此产生的一切费用由中标人承担。</w:t>
      </w:r>
    </w:p>
    <w:p w14:paraId="1C6E78F8">
      <w:pPr>
        <w:snapToGrid w:val="0"/>
        <w:spacing w:line="360" w:lineRule="auto"/>
        <w:ind w:firstLine="420" w:firstLineChars="200"/>
        <w:jc w:val="left"/>
        <w:rPr>
          <w:rFonts w:ascii="宋体"/>
          <w:color w:val="auto"/>
          <w:sz w:val="21"/>
          <w:highlight w:val="none"/>
        </w:rPr>
      </w:pPr>
      <w:r>
        <w:rPr>
          <w:rFonts w:ascii="宋体"/>
          <w:color w:val="auto"/>
          <w:sz w:val="21"/>
          <w:highlight w:val="none"/>
        </w:rPr>
        <w:t>2.3</w:t>
      </w:r>
      <w:r>
        <w:rPr>
          <w:rFonts w:hint="eastAsia" w:ascii="宋体"/>
          <w:color w:val="auto"/>
          <w:sz w:val="21"/>
          <w:highlight w:val="none"/>
        </w:rPr>
        <w:t>中标人应在每月</w:t>
      </w:r>
      <w:r>
        <w:rPr>
          <w:rFonts w:ascii="宋体"/>
          <w:color w:val="auto"/>
          <w:sz w:val="21"/>
          <w:highlight w:val="none"/>
        </w:rPr>
        <w:t>1</w:t>
      </w:r>
      <w:r>
        <w:rPr>
          <w:rFonts w:hint="eastAsia" w:ascii="宋体"/>
          <w:color w:val="auto"/>
          <w:sz w:val="21"/>
          <w:highlight w:val="none"/>
        </w:rPr>
        <w:t>日前向采购人汇报养护管理计划及有关措施，每月月末提供施工日记。</w:t>
      </w:r>
    </w:p>
    <w:p w14:paraId="4C70C90F">
      <w:pPr>
        <w:snapToGrid w:val="0"/>
        <w:spacing w:line="360" w:lineRule="auto"/>
        <w:ind w:firstLine="210" w:firstLineChars="100"/>
        <w:jc w:val="left"/>
        <w:rPr>
          <w:rFonts w:ascii="宋体"/>
          <w:color w:val="auto"/>
          <w:sz w:val="21"/>
          <w:highlight w:val="none"/>
        </w:rPr>
      </w:pPr>
      <w:r>
        <w:rPr>
          <w:rFonts w:hint="eastAsia" w:ascii="宋体"/>
          <w:color w:val="auto"/>
          <w:sz w:val="21"/>
          <w:highlight w:val="none"/>
        </w:rPr>
        <w:t>▲</w:t>
      </w:r>
      <w:r>
        <w:rPr>
          <w:rFonts w:ascii="宋体"/>
          <w:color w:val="auto"/>
          <w:sz w:val="21"/>
          <w:highlight w:val="none"/>
        </w:rPr>
        <w:t>2.4</w:t>
      </w:r>
      <w:r>
        <w:rPr>
          <w:rFonts w:hint="eastAsia" w:ascii="宋体"/>
          <w:color w:val="auto"/>
          <w:sz w:val="21"/>
          <w:highlight w:val="none"/>
        </w:rPr>
        <w:t>中标人必须重视安全生产，确保全年安全生产无责任事故。养护服务期间，应切实落实各项安全技术措施，确保施工现场的安全生产和文明施工，按照规定为作业人员办理意外安全责任险，并按规章制度进行养护作业，在养护作业过程发生的一切安全、人身事故，均由中标人负责，采购方不负任何责任。</w:t>
      </w:r>
    </w:p>
    <w:p w14:paraId="021E0B27">
      <w:pPr>
        <w:snapToGrid w:val="0"/>
        <w:spacing w:line="360" w:lineRule="auto"/>
        <w:ind w:firstLine="420" w:firstLineChars="200"/>
        <w:jc w:val="left"/>
        <w:rPr>
          <w:rFonts w:ascii="宋体"/>
          <w:color w:val="auto"/>
          <w:sz w:val="21"/>
          <w:highlight w:val="none"/>
        </w:rPr>
      </w:pPr>
      <w:r>
        <w:rPr>
          <w:rFonts w:ascii="宋体"/>
          <w:color w:val="auto"/>
          <w:sz w:val="21"/>
          <w:highlight w:val="none"/>
        </w:rPr>
        <w:t>2.5</w:t>
      </w:r>
      <w:r>
        <w:rPr>
          <w:rFonts w:hint="eastAsia" w:ascii="宋体"/>
          <w:color w:val="auto"/>
          <w:sz w:val="21"/>
          <w:highlight w:val="none"/>
        </w:rPr>
        <w:t>采购人采用定期检查与随机抽查相结合的考核办法（附后），对中标人的养护质量进行考核评定。如采购人发现中标人未保质保量完成养护任务的，采购人有权对中标人采取处罚措施，情况严重的采购人有权中止合同。</w:t>
      </w:r>
    </w:p>
    <w:p w14:paraId="59590103">
      <w:pPr>
        <w:snapToGrid w:val="0"/>
        <w:spacing w:line="360" w:lineRule="auto"/>
        <w:ind w:firstLine="210" w:firstLineChars="100"/>
        <w:jc w:val="left"/>
        <w:rPr>
          <w:rFonts w:ascii="宋体"/>
          <w:color w:val="auto"/>
          <w:sz w:val="21"/>
          <w:highlight w:val="none"/>
        </w:rPr>
      </w:pPr>
      <w:r>
        <w:rPr>
          <w:rFonts w:hint="eastAsia" w:ascii="宋体"/>
          <w:color w:val="auto"/>
          <w:sz w:val="21"/>
          <w:highlight w:val="none"/>
        </w:rPr>
        <w:t>▲</w:t>
      </w:r>
      <w:r>
        <w:rPr>
          <w:rFonts w:ascii="宋体"/>
          <w:color w:val="auto"/>
          <w:sz w:val="21"/>
          <w:highlight w:val="none"/>
        </w:rPr>
        <w:t>3</w:t>
      </w:r>
      <w:r>
        <w:rPr>
          <w:rFonts w:hint="eastAsia" w:ascii="宋体"/>
          <w:color w:val="auto"/>
          <w:sz w:val="21"/>
          <w:highlight w:val="none"/>
        </w:rPr>
        <w:t>、人员配备：中标单位须配备管理人员</w:t>
      </w:r>
      <w:r>
        <w:rPr>
          <w:rFonts w:ascii="宋体"/>
          <w:color w:val="auto"/>
          <w:sz w:val="21"/>
          <w:highlight w:val="none"/>
        </w:rPr>
        <w:t>1</w:t>
      </w:r>
      <w:r>
        <w:rPr>
          <w:rFonts w:hint="eastAsia" w:ascii="宋体"/>
          <w:color w:val="auto"/>
          <w:sz w:val="21"/>
          <w:highlight w:val="none"/>
        </w:rPr>
        <w:t>人（</w:t>
      </w:r>
      <w:r>
        <w:rPr>
          <w:rFonts w:hint="eastAsia" w:ascii="宋体"/>
          <w:b/>
          <w:bCs/>
          <w:color w:val="auto"/>
          <w:sz w:val="21"/>
          <w:highlight w:val="none"/>
        </w:rPr>
        <w:t>具有园林绿化工程师及以上</w:t>
      </w:r>
      <w:r>
        <w:rPr>
          <w:rFonts w:hint="eastAsia" w:ascii="宋体"/>
          <w:b/>
          <w:bCs/>
          <w:color w:val="auto"/>
          <w:sz w:val="21"/>
          <w:highlight w:val="none"/>
          <w:lang w:val="en-US" w:eastAsia="zh-CN"/>
        </w:rPr>
        <w:t>职称证书</w:t>
      </w:r>
      <w:r>
        <w:rPr>
          <w:rFonts w:hint="eastAsia" w:ascii="宋体" w:eastAsia="宋体"/>
          <w:b/>
          <w:bCs/>
          <w:color w:val="auto"/>
          <w:sz w:val="21"/>
          <w:highlight w:val="none"/>
        </w:rPr>
        <w:t>；</w:t>
      </w:r>
      <w:r>
        <w:rPr>
          <w:rFonts w:hint="eastAsia" w:ascii="宋体"/>
          <w:b/>
          <w:bCs/>
          <w:color w:val="auto"/>
          <w:sz w:val="21"/>
          <w:highlight w:val="none"/>
        </w:rPr>
        <w:t>需</w:t>
      </w:r>
      <w:r>
        <w:rPr>
          <w:rFonts w:hint="eastAsia" w:ascii="宋体" w:eastAsia="宋体"/>
          <w:b/>
          <w:bCs/>
          <w:color w:val="auto"/>
          <w:sz w:val="21"/>
          <w:highlight w:val="none"/>
          <w:lang w:val="en-US" w:eastAsia="zh-CN"/>
        </w:rPr>
        <w:t>提供在投标截止时间前3个月内任意一个月的在本单位社保缴纳证明</w:t>
      </w:r>
      <w:r>
        <w:rPr>
          <w:rFonts w:hint="eastAsia" w:ascii="宋体"/>
          <w:color w:val="auto"/>
          <w:sz w:val="21"/>
          <w:highlight w:val="none"/>
        </w:rPr>
        <w:t>），绿化管护人员</w:t>
      </w:r>
      <w:r>
        <w:rPr>
          <w:rFonts w:hint="eastAsia" w:ascii="宋体" w:eastAsia="宋体"/>
          <w:color w:val="auto"/>
          <w:sz w:val="21"/>
          <w:highlight w:val="none"/>
        </w:rPr>
        <w:t>5</w:t>
      </w:r>
      <w:r>
        <w:rPr>
          <w:rFonts w:hint="eastAsia" w:ascii="宋体"/>
          <w:color w:val="auto"/>
          <w:sz w:val="21"/>
          <w:highlight w:val="none"/>
        </w:rPr>
        <w:t>人，</w:t>
      </w:r>
      <w:r>
        <w:rPr>
          <w:rFonts w:hint="eastAsia" w:ascii="宋体" w:eastAsia="宋体"/>
          <w:color w:val="auto"/>
          <w:sz w:val="21"/>
          <w:highlight w:val="none"/>
        </w:rPr>
        <w:t>以上人员</w:t>
      </w:r>
      <w:r>
        <w:rPr>
          <w:rFonts w:hint="eastAsia" w:ascii="宋体"/>
          <w:color w:val="auto"/>
          <w:sz w:val="21"/>
          <w:highlight w:val="none"/>
        </w:rPr>
        <w:t>必须享有高、低温补贴，工资必须每月按时发放。</w:t>
      </w:r>
      <w:r>
        <w:rPr>
          <w:rFonts w:ascii="宋体"/>
          <w:color w:val="auto"/>
          <w:sz w:val="21"/>
          <w:highlight w:val="none"/>
        </w:rPr>
        <w:t xml:space="preserve"> </w:t>
      </w:r>
    </w:p>
    <w:p w14:paraId="0B16F463">
      <w:pPr>
        <w:snapToGrid w:val="0"/>
        <w:spacing w:line="360" w:lineRule="auto"/>
        <w:ind w:firstLine="210" w:firstLineChars="100"/>
        <w:rPr>
          <w:rFonts w:ascii="宋体"/>
          <w:color w:val="auto"/>
          <w:sz w:val="21"/>
          <w:highlight w:val="none"/>
        </w:rPr>
      </w:pPr>
      <w:r>
        <w:rPr>
          <w:rFonts w:hint="eastAsia" w:ascii="宋体"/>
          <w:color w:val="auto"/>
          <w:sz w:val="21"/>
          <w:highlight w:val="none"/>
        </w:rPr>
        <w:t>▲</w:t>
      </w:r>
      <w:r>
        <w:rPr>
          <w:rFonts w:ascii="宋体"/>
          <w:color w:val="auto"/>
          <w:sz w:val="21"/>
          <w:highlight w:val="none"/>
        </w:rPr>
        <w:t>4</w:t>
      </w:r>
      <w:r>
        <w:rPr>
          <w:rFonts w:hint="eastAsia" w:ascii="宋体"/>
          <w:color w:val="auto"/>
          <w:sz w:val="21"/>
          <w:highlight w:val="none"/>
        </w:rPr>
        <w:t>、机械配备：中标单位须配备</w:t>
      </w:r>
      <w:r>
        <w:rPr>
          <w:rFonts w:hint="eastAsia" w:ascii="宋体" w:eastAsia="宋体"/>
          <w:color w:val="auto"/>
          <w:sz w:val="21"/>
          <w:highlight w:val="none"/>
          <w:lang w:eastAsia="zh-CN"/>
        </w:rPr>
        <w:t>载水量</w:t>
      </w:r>
      <w:r>
        <w:rPr>
          <w:rFonts w:ascii="宋体"/>
          <w:color w:val="auto"/>
          <w:sz w:val="21"/>
          <w:highlight w:val="none"/>
        </w:rPr>
        <w:t>7.5</w:t>
      </w:r>
      <w:r>
        <w:rPr>
          <w:rFonts w:hint="eastAsia" w:ascii="宋体"/>
          <w:color w:val="auto"/>
          <w:sz w:val="21"/>
          <w:highlight w:val="none"/>
        </w:rPr>
        <w:t>吨（含）以上洒水车</w:t>
      </w:r>
      <w:r>
        <w:rPr>
          <w:rFonts w:ascii="宋体"/>
          <w:color w:val="auto"/>
          <w:sz w:val="21"/>
          <w:highlight w:val="none"/>
        </w:rPr>
        <w:t xml:space="preserve"> 1 </w:t>
      </w:r>
      <w:r>
        <w:rPr>
          <w:rFonts w:hint="eastAsia" w:ascii="宋体"/>
          <w:color w:val="auto"/>
          <w:sz w:val="21"/>
          <w:highlight w:val="none"/>
        </w:rPr>
        <w:t>辆、日常巡查、养护作业车</w:t>
      </w:r>
      <w:r>
        <w:rPr>
          <w:rFonts w:ascii="宋体"/>
          <w:color w:val="auto"/>
          <w:sz w:val="21"/>
          <w:highlight w:val="none"/>
        </w:rPr>
        <w:t xml:space="preserve">1 </w:t>
      </w:r>
      <w:r>
        <w:rPr>
          <w:rFonts w:hint="eastAsia" w:ascii="宋体"/>
          <w:color w:val="auto"/>
          <w:sz w:val="21"/>
          <w:highlight w:val="none"/>
        </w:rPr>
        <w:t>辆、手提式绿蓠修剪机至少</w:t>
      </w:r>
      <w:r>
        <w:rPr>
          <w:rFonts w:ascii="宋体"/>
          <w:color w:val="auto"/>
          <w:sz w:val="21"/>
          <w:highlight w:val="none"/>
        </w:rPr>
        <w:t xml:space="preserve"> 3 </w:t>
      </w:r>
      <w:r>
        <w:rPr>
          <w:rFonts w:hint="eastAsia" w:ascii="宋体"/>
          <w:color w:val="auto"/>
          <w:sz w:val="21"/>
          <w:highlight w:val="none"/>
        </w:rPr>
        <w:t>台、</w:t>
      </w:r>
      <w:r>
        <w:rPr>
          <w:rFonts w:hint="eastAsia" w:ascii="宋体" w:eastAsia="宋体"/>
          <w:color w:val="auto"/>
          <w:sz w:val="21"/>
          <w:highlight w:val="none"/>
        </w:rPr>
        <w:t>高枝油锯3台、</w:t>
      </w:r>
      <w:r>
        <w:rPr>
          <w:rFonts w:hint="eastAsia" w:ascii="宋体"/>
          <w:color w:val="auto"/>
          <w:sz w:val="21"/>
          <w:highlight w:val="none"/>
        </w:rPr>
        <w:t>剪草设备</w:t>
      </w:r>
      <w:r>
        <w:rPr>
          <w:rFonts w:ascii="宋体"/>
          <w:color w:val="auto"/>
          <w:sz w:val="21"/>
          <w:highlight w:val="none"/>
        </w:rPr>
        <w:t xml:space="preserve"> 10 </w:t>
      </w:r>
      <w:r>
        <w:rPr>
          <w:rFonts w:hint="eastAsia" w:ascii="宋体"/>
          <w:color w:val="auto"/>
          <w:sz w:val="21"/>
          <w:highlight w:val="none"/>
        </w:rPr>
        <w:t>台、安全标志</w:t>
      </w:r>
      <w:r>
        <w:rPr>
          <w:rFonts w:ascii="宋体"/>
          <w:color w:val="auto"/>
          <w:sz w:val="21"/>
          <w:highlight w:val="none"/>
        </w:rPr>
        <w:t xml:space="preserve"> 20 </w:t>
      </w:r>
      <w:r>
        <w:rPr>
          <w:rFonts w:hint="eastAsia" w:ascii="宋体"/>
          <w:color w:val="auto"/>
          <w:sz w:val="21"/>
          <w:highlight w:val="none"/>
        </w:rPr>
        <w:t>套</w:t>
      </w:r>
      <w:r>
        <w:rPr>
          <w:rFonts w:hint="eastAsia" w:ascii="宋体" w:eastAsia="宋体"/>
          <w:b/>
          <w:bCs/>
          <w:color w:val="auto"/>
          <w:sz w:val="21"/>
          <w:highlight w:val="none"/>
          <w:lang w:val="en-US" w:eastAsia="zh-CN"/>
        </w:rPr>
        <w:t>(一套需包含锥形桶、警示牌）</w:t>
      </w:r>
      <w:r>
        <w:rPr>
          <w:rFonts w:hint="eastAsia" w:ascii="宋体"/>
          <w:color w:val="auto"/>
          <w:sz w:val="21"/>
          <w:highlight w:val="none"/>
        </w:rPr>
        <w:t>、安全标志服</w:t>
      </w:r>
      <w:r>
        <w:rPr>
          <w:rFonts w:ascii="宋体"/>
          <w:color w:val="auto"/>
          <w:sz w:val="21"/>
          <w:highlight w:val="none"/>
        </w:rPr>
        <w:t xml:space="preserve"> 20</w:t>
      </w:r>
      <w:r>
        <w:rPr>
          <w:rFonts w:hint="eastAsia" w:ascii="宋体"/>
          <w:color w:val="auto"/>
          <w:sz w:val="21"/>
          <w:highlight w:val="none"/>
        </w:rPr>
        <w:t>套等。</w:t>
      </w:r>
      <w:r>
        <w:rPr>
          <w:rFonts w:ascii="宋体"/>
          <w:color w:val="auto"/>
          <w:sz w:val="21"/>
          <w:highlight w:val="none"/>
        </w:rPr>
        <w:t>(</w:t>
      </w:r>
      <w:r>
        <w:rPr>
          <w:rFonts w:hint="eastAsia" w:ascii="宋体"/>
          <w:color w:val="auto"/>
          <w:sz w:val="21"/>
          <w:highlight w:val="none"/>
        </w:rPr>
        <w:t>注：须提供洒水车、养护作业车、手提式绿蓠修剪机、</w:t>
      </w:r>
      <w:r>
        <w:rPr>
          <w:rFonts w:hint="eastAsia" w:ascii="宋体" w:eastAsia="宋体"/>
          <w:color w:val="auto"/>
          <w:sz w:val="21"/>
          <w:highlight w:val="none"/>
        </w:rPr>
        <w:t>高枝油锯、</w:t>
      </w:r>
      <w:r>
        <w:rPr>
          <w:rFonts w:hint="eastAsia" w:ascii="宋体"/>
          <w:color w:val="auto"/>
          <w:sz w:val="21"/>
          <w:highlight w:val="none"/>
        </w:rPr>
        <w:t>剪草设备的购买发票或</w:t>
      </w:r>
      <w:r>
        <w:rPr>
          <w:rFonts w:ascii="宋体"/>
          <w:color w:val="auto"/>
          <w:sz w:val="21"/>
          <w:highlight w:val="none"/>
        </w:rPr>
        <w:t>1</w:t>
      </w:r>
      <w:r>
        <w:rPr>
          <w:rFonts w:hint="eastAsia" w:ascii="宋体"/>
          <w:color w:val="auto"/>
          <w:sz w:val="21"/>
          <w:highlight w:val="none"/>
        </w:rPr>
        <w:t>对</w:t>
      </w:r>
      <w:r>
        <w:rPr>
          <w:rFonts w:ascii="宋体"/>
          <w:color w:val="auto"/>
          <w:sz w:val="21"/>
          <w:highlight w:val="none"/>
        </w:rPr>
        <w:t>1</w:t>
      </w:r>
      <w:r>
        <w:rPr>
          <w:rFonts w:hint="eastAsia" w:ascii="宋体"/>
          <w:color w:val="auto"/>
          <w:sz w:val="21"/>
          <w:highlight w:val="none"/>
        </w:rPr>
        <w:t>的租赁合同。不同投标人不得提供相同</w:t>
      </w:r>
      <w:r>
        <w:rPr>
          <w:rFonts w:ascii="宋体"/>
          <w:color w:val="auto"/>
          <w:sz w:val="21"/>
          <w:highlight w:val="none"/>
        </w:rPr>
        <w:t>(</w:t>
      </w:r>
      <w:r>
        <w:rPr>
          <w:rFonts w:hint="eastAsia" w:ascii="宋体"/>
          <w:color w:val="auto"/>
          <w:sz w:val="21"/>
          <w:highlight w:val="none"/>
        </w:rPr>
        <w:t>指同一设备）的租赁合同。）</w:t>
      </w:r>
    </w:p>
    <w:p w14:paraId="18C2C394">
      <w:pPr>
        <w:snapToGrid w:val="0"/>
        <w:spacing w:line="360" w:lineRule="auto"/>
        <w:ind w:firstLine="210" w:firstLineChars="100"/>
        <w:rPr>
          <w:rFonts w:ascii="宋体"/>
          <w:color w:val="auto"/>
          <w:sz w:val="21"/>
          <w:highlight w:val="none"/>
        </w:rPr>
      </w:pPr>
      <w:r>
        <w:rPr>
          <w:rFonts w:hint="eastAsia" w:ascii="宋体"/>
          <w:color w:val="auto"/>
          <w:sz w:val="21"/>
          <w:highlight w:val="none"/>
        </w:rPr>
        <w:t>标项一：洒水车需对</w:t>
      </w:r>
      <w:r>
        <w:rPr>
          <w:rFonts w:hint="eastAsia" w:ascii="宋体"/>
          <w:color w:val="auto"/>
          <w:sz w:val="21"/>
          <w:highlight w:val="none"/>
          <w:lang w:val="en-US" w:eastAsia="zh-CN"/>
        </w:rPr>
        <w:t>S208仙永线三桥（原三千院喜樘红绿灯口）</w:t>
      </w:r>
      <w:r>
        <w:rPr>
          <w:rFonts w:hint="eastAsia" w:ascii="宋体"/>
          <w:color w:val="auto"/>
          <w:sz w:val="21"/>
          <w:highlight w:val="none"/>
        </w:rPr>
        <w:t>至</w:t>
      </w:r>
      <w:r>
        <w:rPr>
          <w:rFonts w:hint="eastAsia" w:ascii="宋体"/>
          <w:color w:val="auto"/>
          <w:sz w:val="21"/>
          <w:highlight w:val="none"/>
          <w:lang w:val="en-US" w:eastAsia="zh-CN"/>
        </w:rPr>
        <w:t>清口园桥（管步线交界）</w:t>
      </w:r>
      <w:r>
        <w:rPr>
          <w:rFonts w:hint="eastAsia" w:ascii="宋体"/>
          <w:color w:val="auto"/>
          <w:sz w:val="21"/>
          <w:highlight w:val="none"/>
        </w:rPr>
        <w:t>、X713</w:t>
      </w:r>
      <w:r>
        <w:rPr>
          <w:rFonts w:hint="eastAsia" w:ascii="宋体"/>
          <w:color w:val="auto"/>
          <w:sz w:val="21"/>
          <w:highlight w:val="none"/>
          <w:lang w:val="en-US" w:eastAsia="zh-CN"/>
        </w:rPr>
        <w:t>管山</w:t>
      </w:r>
      <w:r>
        <w:rPr>
          <w:rFonts w:hint="eastAsia" w:ascii="宋体"/>
          <w:color w:val="auto"/>
          <w:sz w:val="21"/>
          <w:highlight w:val="none"/>
        </w:rPr>
        <w:t>至</w:t>
      </w:r>
      <w:r>
        <w:rPr>
          <w:rFonts w:hint="eastAsia" w:ascii="宋体"/>
          <w:color w:val="auto"/>
          <w:sz w:val="21"/>
          <w:highlight w:val="none"/>
          <w:lang w:val="en-US" w:eastAsia="zh-CN"/>
        </w:rPr>
        <w:t>步路响岩全线</w:t>
      </w:r>
      <w:r>
        <w:rPr>
          <w:rFonts w:hint="eastAsia" w:ascii="宋体"/>
          <w:color w:val="auto"/>
          <w:sz w:val="21"/>
          <w:highlight w:val="none"/>
        </w:rPr>
        <w:t>路段</w:t>
      </w:r>
      <w:r>
        <w:rPr>
          <w:rFonts w:hint="eastAsia" w:ascii="宋体"/>
          <w:color w:val="auto"/>
          <w:sz w:val="21"/>
          <w:highlight w:val="none"/>
          <w:lang w:eastAsia="zh-CN"/>
        </w:rPr>
        <w:t>、</w:t>
      </w:r>
      <w:r>
        <w:rPr>
          <w:rFonts w:hint="eastAsia" w:ascii="宋体"/>
          <w:color w:val="auto"/>
          <w:sz w:val="21"/>
          <w:highlight w:val="none"/>
          <w:lang w:val="en-US" w:eastAsia="zh-CN"/>
        </w:rPr>
        <w:t>X746东岭下至张店渡口、X703石牛至怀仁（三角站）</w:t>
      </w:r>
      <w:r>
        <w:rPr>
          <w:rFonts w:hint="eastAsia" w:ascii="宋体"/>
          <w:color w:val="auto"/>
          <w:sz w:val="21"/>
          <w:highlight w:val="none"/>
        </w:rPr>
        <w:t>进行每两日路面洒水（常规每两天一次，特殊情况根据业主要求安排）（雨雪、冰冻天气除外）</w:t>
      </w:r>
    </w:p>
    <w:p w14:paraId="286CB102">
      <w:pPr>
        <w:snapToGrid w:val="0"/>
        <w:spacing w:line="360" w:lineRule="auto"/>
        <w:ind w:firstLine="210" w:firstLineChars="100"/>
        <w:rPr>
          <w:color w:val="auto"/>
          <w:highlight w:val="none"/>
        </w:rPr>
      </w:pPr>
      <w:r>
        <w:rPr>
          <w:rFonts w:hint="eastAsia" w:ascii="宋体"/>
          <w:color w:val="auto"/>
          <w:sz w:val="21"/>
          <w:highlight w:val="none"/>
        </w:rPr>
        <w:t>标项二：洒水车需对</w:t>
      </w:r>
      <w:r>
        <w:rPr>
          <w:rFonts w:hint="eastAsia" w:ascii="宋体"/>
          <w:color w:val="auto"/>
          <w:sz w:val="21"/>
          <w:highlight w:val="none"/>
          <w:lang w:val="en-US" w:eastAsia="zh-CN"/>
        </w:rPr>
        <w:t>S321椒武线东村至关后转盘</w:t>
      </w:r>
      <w:r>
        <w:rPr>
          <w:rFonts w:hint="eastAsia" w:ascii="宋体"/>
          <w:color w:val="auto"/>
          <w:sz w:val="21"/>
          <w:highlight w:val="none"/>
        </w:rPr>
        <w:t>、</w:t>
      </w:r>
      <w:r>
        <w:rPr>
          <w:rFonts w:hint="eastAsia" w:ascii="宋体"/>
          <w:color w:val="auto"/>
          <w:sz w:val="21"/>
          <w:highlight w:val="none"/>
          <w:lang w:val="en-US" w:eastAsia="zh-CN"/>
        </w:rPr>
        <w:t>S321椒武线关后转盘至下横街（S210交界）、S210台创园</w:t>
      </w:r>
      <w:r>
        <w:rPr>
          <w:rFonts w:hint="eastAsia" w:ascii="宋体"/>
          <w:color w:val="auto"/>
          <w:sz w:val="21"/>
          <w:highlight w:val="none"/>
        </w:rPr>
        <w:t>至</w:t>
      </w:r>
      <w:r>
        <w:rPr>
          <w:rFonts w:hint="eastAsia" w:ascii="宋体"/>
          <w:color w:val="auto"/>
          <w:sz w:val="21"/>
          <w:highlight w:val="none"/>
          <w:lang w:val="en-US" w:eastAsia="zh-CN"/>
        </w:rPr>
        <w:t>西亚、X730关后转盘至淡竹乡政府、X724关后转盘至神仙居北门</w:t>
      </w:r>
      <w:r>
        <w:rPr>
          <w:rFonts w:hint="eastAsia" w:ascii="宋体"/>
          <w:color w:val="auto"/>
          <w:sz w:val="21"/>
          <w:highlight w:val="none"/>
        </w:rPr>
        <w:t>路段进行每两日路面洒水（常规每两天一次，特殊情况根据业主要求安排）（雨雪、冰冻天气除外）</w:t>
      </w:r>
    </w:p>
    <w:p w14:paraId="3E106D63">
      <w:pPr>
        <w:keepNext/>
        <w:keepLines/>
        <w:spacing w:line="360" w:lineRule="exact"/>
        <w:ind w:firstLine="420" w:firstLineChars="200"/>
        <w:outlineLvl w:val="1"/>
        <w:rPr>
          <w:rFonts w:ascii="宋体" w:eastAsia="宋体" w:cs="宋体"/>
          <w:b/>
          <w:bCs/>
          <w:color w:val="auto"/>
          <w:sz w:val="21"/>
          <w:szCs w:val="21"/>
          <w:highlight w:val="none"/>
        </w:rPr>
      </w:pPr>
      <w:bookmarkStart w:id="57" w:name="_Toc510542379"/>
      <w:bookmarkStart w:id="58" w:name="_Toc525036883"/>
      <w:r>
        <w:rPr>
          <w:rFonts w:hint="eastAsia" w:ascii="宋体" w:hAnsi="宋体" w:cs="宋体"/>
          <w:b/>
          <w:bCs/>
          <w:color w:val="auto"/>
          <w:sz w:val="21"/>
          <w:szCs w:val="21"/>
          <w:highlight w:val="none"/>
        </w:rPr>
        <w:t>▲五、商务响应表</w:t>
      </w:r>
      <w:bookmarkEnd w:id="57"/>
      <w:bookmarkEnd w:id="58"/>
      <w:r>
        <w:rPr>
          <w:rFonts w:hint="eastAsia" w:ascii="宋体" w:hAnsi="宋体" w:eastAsia="宋体" w:cs="宋体"/>
          <w:b/>
          <w:bCs/>
          <w:color w:val="auto"/>
          <w:sz w:val="21"/>
          <w:szCs w:val="21"/>
          <w:highlight w:val="none"/>
        </w:rPr>
        <w:t>（标项一、标项二）</w:t>
      </w:r>
    </w:p>
    <w:tbl>
      <w:tblPr>
        <w:tblStyle w:val="27"/>
        <w:tblW w:w="9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7126"/>
      </w:tblGrid>
      <w:tr w14:paraId="18C5D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133" w:type="dxa"/>
            <w:tcBorders>
              <w:top w:val="single" w:color="auto" w:sz="4" w:space="0"/>
              <w:bottom w:val="single" w:color="auto" w:sz="4" w:space="0"/>
              <w:right w:val="single" w:color="auto" w:sz="4" w:space="0"/>
            </w:tcBorders>
            <w:vAlign w:val="center"/>
          </w:tcPr>
          <w:p w14:paraId="422B3478">
            <w:pPr>
              <w:spacing w:line="360" w:lineRule="exact"/>
              <w:jc w:val="center"/>
              <w:rPr>
                <w:rFonts w:ascii="宋体" w:eastAsia="宋体"/>
                <w:color w:val="auto"/>
                <w:sz w:val="21"/>
                <w:szCs w:val="21"/>
                <w:highlight w:val="none"/>
              </w:rPr>
            </w:pPr>
            <w:r>
              <w:rPr>
                <w:rFonts w:hint="eastAsia" w:ascii="宋体" w:hAnsi="宋体"/>
                <w:color w:val="auto"/>
                <w:sz w:val="21"/>
                <w:szCs w:val="21"/>
                <w:highlight w:val="none"/>
              </w:rPr>
              <w:t>维护服务期</w:t>
            </w:r>
          </w:p>
        </w:tc>
        <w:tc>
          <w:tcPr>
            <w:tcW w:w="7126" w:type="dxa"/>
            <w:tcBorders>
              <w:top w:val="single" w:color="auto" w:sz="4" w:space="0"/>
              <w:left w:val="single" w:color="auto" w:sz="4" w:space="0"/>
              <w:bottom w:val="single" w:color="auto" w:sz="4" w:space="0"/>
            </w:tcBorders>
            <w:vAlign w:val="center"/>
          </w:tcPr>
          <w:p w14:paraId="13E03458">
            <w:pPr>
              <w:spacing w:line="360" w:lineRule="exact"/>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服务期限为</w:t>
            </w:r>
            <w:r>
              <w:rPr>
                <w:rFonts w:hint="eastAsia" w:ascii="新宋体" w:hAnsi="新宋体" w:eastAsia="新宋体"/>
                <w:color w:val="auto"/>
                <w:sz w:val="21"/>
                <w:szCs w:val="21"/>
                <w:highlight w:val="none"/>
                <w:lang w:val="en-US" w:eastAsia="zh-CN"/>
              </w:rPr>
              <w:t>二</w:t>
            </w:r>
            <w:r>
              <w:rPr>
                <w:rFonts w:hint="eastAsia" w:ascii="新宋体" w:hAnsi="新宋体" w:eastAsia="新宋体"/>
                <w:color w:val="auto"/>
                <w:sz w:val="21"/>
                <w:szCs w:val="21"/>
                <w:highlight w:val="none"/>
              </w:rPr>
              <w:t>年，合同一年一签。当年度考核分达到</w:t>
            </w:r>
            <w:r>
              <w:rPr>
                <w:rFonts w:hint="eastAsia" w:ascii="新宋体" w:hAnsi="新宋体" w:eastAsia="新宋体"/>
                <w:color w:val="auto"/>
                <w:sz w:val="21"/>
                <w:szCs w:val="21"/>
                <w:highlight w:val="none"/>
                <w:lang w:val="en-US" w:eastAsia="zh-CN"/>
              </w:rPr>
              <w:t xml:space="preserve"> 90</w:t>
            </w:r>
            <w:r>
              <w:rPr>
                <w:rFonts w:hint="eastAsia" w:ascii="新宋体" w:hAnsi="新宋体" w:eastAsia="新宋体"/>
                <w:color w:val="auto"/>
                <w:sz w:val="21"/>
                <w:szCs w:val="21"/>
                <w:highlight w:val="none"/>
              </w:rPr>
              <w:t>分及以上，可以</w:t>
            </w:r>
            <w:r>
              <w:rPr>
                <w:rFonts w:hint="eastAsia" w:ascii="新宋体" w:hAnsi="新宋体" w:eastAsia="新宋体"/>
                <w:color w:val="auto"/>
                <w:sz w:val="21"/>
                <w:szCs w:val="21"/>
                <w:highlight w:val="none"/>
                <w:lang w:eastAsia="zh-CN"/>
              </w:rPr>
              <w:t>签订下一年合同。（考核表详见</w:t>
            </w:r>
            <w:r>
              <w:rPr>
                <w:rFonts w:hint="eastAsia" w:ascii="新宋体" w:hAnsi="新宋体" w:eastAsia="新宋体"/>
                <w:color w:val="auto"/>
                <w:sz w:val="21"/>
                <w:szCs w:val="21"/>
                <w:highlight w:val="none"/>
                <w:lang w:val="en-US" w:eastAsia="zh-CN"/>
              </w:rPr>
              <w:t>合同</w:t>
            </w:r>
            <w:r>
              <w:rPr>
                <w:rFonts w:hint="eastAsia" w:ascii="新宋体" w:hAnsi="新宋体" w:eastAsia="新宋体"/>
                <w:color w:val="auto"/>
                <w:sz w:val="21"/>
                <w:szCs w:val="21"/>
                <w:highlight w:val="none"/>
                <w:lang w:eastAsia="zh-CN"/>
              </w:rPr>
              <w:t>附件）。 </w:t>
            </w:r>
          </w:p>
        </w:tc>
      </w:tr>
      <w:tr w14:paraId="41360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133" w:type="dxa"/>
            <w:tcBorders>
              <w:top w:val="single" w:color="auto" w:sz="4" w:space="0"/>
              <w:bottom w:val="single" w:color="auto" w:sz="4" w:space="0"/>
              <w:right w:val="single" w:color="auto" w:sz="4" w:space="0"/>
            </w:tcBorders>
            <w:vAlign w:val="center"/>
          </w:tcPr>
          <w:p w14:paraId="43305414">
            <w:pPr>
              <w:spacing w:line="360" w:lineRule="exact"/>
              <w:jc w:val="center"/>
              <w:rPr>
                <w:rFonts w:ascii="宋体" w:hAnsi="宋体"/>
                <w:color w:val="auto"/>
                <w:sz w:val="21"/>
                <w:szCs w:val="21"/>
                <w:highlight w:val="none"/>
              </w:rPr>
            </w:pPr>
            <w:r>
              <w:rPr>
                <w:rFonts w:hint="eastAsia" w:ascii="宋体" w:hAnsi="宋体"/>
                <w:color w:val="auto"/>
                <w:sz w:val="21"/>
                <w:szCs w:val="21"/>
                <w:highlight w:val="none"/>
              </w:rPr>
              <w:t>维护质量</w:t>
            </w:r>
          </w:p>
          <w:p w14:paraId="4F4D8604">
            <w:pPr>
              <w:spacing w:line="360" w:lineRule="exact"/>
              <w:jc w:val="center"/>
              <w:rPr>
                <w:color w:val="auto"/>
                <w:highlight w:val="none"/>
              </w:rPr>
            </w:pPr>
            <w:r>
              <w:rPr>
                <w:rFonts w:hint="eastAsia" w:ascii="宋体" w:hAnsi="宋体"/>
                <w:color w:val="auto"/>
                <w:sz w:val="21"/>
                <w:szCs w:val="21"/>
                <w:highlight w:val="none"/>
              </w:rPr>
              <w:t>及考核要求</w:t>
            </w:r>
          </w:p>
        </w:tc>
        <w:tc>
          <w:tcPr>
            <w:tcW w:w="7126" w:type="dxa"/>
            <w:tcBorders>
              <w:top w:val="single" w:color="auto" w:sz="4" w:space="0"/>
              <w:left w:val="single" w:color="auto" w:sz="4" w:space="0"/>
              <w:bottom w:val="single" w:color="auto" w:sz="4" w:space="0"/>
            </w:tcBorders>
            <w:vAlign w:val="center"/>
          </w:tcPr>
          <w:p w14:paraId="766FBD52">
            <w:pPr>
              <w:spacing w:line="360" w:lineRule="exact"/>
              <w:rPr>
                <w:rFonts w:ascii="宋体"/>
                <w:color w:val="auto"/>
                <w:sz w:val="21"/>
                <w:szCs w:val="21"/>
                <w:highlight w:val="none"/>
              </w:rPr>
            </w:pPr>
            <w:r>
              <w:rPr>
                <w:rFonts w:hint="eastAsia" w:ascii="宋体" w:hAnsi="宋体"/>
                <w:color w:val="auto"/>
                <w:sz w:val="21"/>
                <w:szCs w:val="21"/>
                <w:highlight w:val="none"/>
              </w:rPr>
              <w:t>按照《公路养护技术规范》、《仙居县公路绿化养护质量标准》和《仙居县公路绿化养护管理考核办法》（附后）进行验收和考核</w:t>
            </w:r>
          </w:p>
        </w:tc>
      </w:tr>
      <w:tr w14:paraId="51A49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3" w:hRule="atLeast"/>
          <w:jc w:val="center"/>
        </w:trPr>
        <w:tc>
          <w:tcPr>
            <w:tcW w:w="2133" w:type="dxa"/>
            <w:tcBorders>
              <w:top w:val="single" w:color="auto" w:sz="4" w:space="0"/>
              <w:bottom w:val="single" w:color="auto" w:sz="4" w:space="0"/>
              <w:right w:val="single" w:color="auto" w:sz="4" w:space="0"/>
            </w:tcBorders>
            <w:vAlign w:val="center"/>
          </w:tcPr>
          <w:p w14:paraId="118054A5">
            <w:pPr>
              <w:spacing w:line="360" w:lineRule="exact"/>
              <w:jc w:val="center"/>
              <w:rPr>
                <w:rFonts w:ascii="宋体"/>
                <w:color w:val="auto"/>
                <w:sz w:val="21"/>
                <w:szCs w:val="21"/>
                <w:highlight w:val="none"/>
              </w:rPr>
            </w:pPr>
            <w:r>
              <w:rPr>
                <w:rFonts w:hint="eastAsia" w:ascii="宋体" w:hAnsi="宋体"/>
                <w:color w:val="auto"/>
                <w:sz w:val="21"/>
                <w:szCs w:val="21"/>
                <w:highlight w:val="none"/>
              </w:rPr>
              <w:t>履约保证金</w:t>
            </w:r>
          </w:p>
        </w:tc>
        <w:tc>
          <w:tcPr>
            <w:tcW w:w="7126" w:type="dxa"/>
            <w:tcBorders>
              <w:top w:val="single" w:color="auto" w:sz="4" w:space="0"/>
              <w:left w:val="single" w:color="auto" w:sz="4" w:space="0"/>
              <w:bottom w:val="single" w:color="auto" w:sz="4" w:space="0"/>
            </w:tcBorders>
            <w:vAlign w:val="center"/>
          </w:tcPr>
          <w:p w14:paraId="1970D706">
            <w:pPr>
              <w:spacing w:line="360" w:lineRule="exact"/>
              <w:rPr>
                <w:rFonts w:ascii="宋体"/>
                <w:color w:val="auto"/>
                <w:sz w:val="21"/>
                <w:szCs w:val="21"/>
                <w:highlight w:val="none"/>
                <w:u w:val="single"/>
              </w:rPr>
            </w:pPr>
            <w:r>
              <w:rPr>
                <w:rFonts w:hint="eastAsia" w:ascii="宋体" w:hAnsi="宋体"/>
                <w:color w:val="auto"/>
                <w:sz w:val="21"/>
                <w:szCs w:val="21"/>
                <w:highlight w:val="none"/>
              </w:rPr>
              <w:t>中标人应缴纳合同金额的</w:t>
            </w:r>
            <w:r>
              <w:rPr>
                <w:rFonts w:hint="eastAsia" w:ascii="宋体" w:hAnsi="宋体" w:eastAsia="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作为履约保证金，履约完成后无息退还。履约保证金</w:t>
            </w:r>
            <w:r>
              <w:rPr>
                <w:rFonts w:hint="eastAsia" w:ascii="宋体" w:hAnsi="宋体"/>
                <w:color w:val="auto"/>
                <w:sz w:val="21"/>
                <w:highlight w:val="none"/>
              </w:rPr>
              <w:t>方式</w:t>
            </w:r>
            <w:r>
              <w:rPr>
                <w:rFonts w:hint="eastAsia" w:ascii="宋体" w:hAnsi="宋体"/>
                <w:color w:val="auto"/>
                <w:sz w:val="21"/>
                <w:szCs w:val="21"/>
                <w:highlight w:val="none"/>
              </w:rPr>
              <w:t>：</w:t>
            </w:r>
            <w:r>
              <w:rPr>
                <w:rFonts w:hint="eastAsia" w:ascii="宋体" w:hAnsi="宋体"/>
                <w:color w:val="auto"/>
                <w:sz w:val="21"/>
                <w:highlight w:val="none"/>
                <w:u w:val="single"/>
              </w:rPr>
              <w:t>银行转账（或电汇）、保单或保函（鼓励供应商开展政采贷、履约保函等政府采购金融服务，供应商以银行、保险公司出具保函形式提交履约担保的，采购单位不得拒收。）</w:t>
            </w:r>
          </w:p>
        </w:tc>
      </w:tr>
      <w:tr w14:paraId="497BE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2133" w:type="dxa"/>
            <w:tcBorders>
              <w:top w:val="single" w:color="auto" w:sz="4" w:space="0"/>
              <w:bottom w:val="single" w:color="auto" w:sz="4" w:space="0"/>
              <w:right w:val="single" w:color="auto" w:sz="4" w:space="0"/>
            </w:tcBorders>
            <w:vAlign w:val="center"/>
          </w:tcPr>
          <w:p w14:paraId="352A34C2">
            <w:pPr>
              <w:spacing w:line="360" w:lineRule="exact"/>
              <w:jc w:val="center"/>
              <w:rPr>
                <w:rFonts w:ascii="宋体"/>
                <w:color w:val="auto"/>
                <w:sz w:val="21"/>
                <w:szCs w:val="21"/>
                <w:highlight w:val="none"/>
              </w:rPr>
            </w:pPr>
            <w:r>
              <w:rPr>
                <w:rFonts w:hint="eastAsia" w:ascii="宋体" w:hAnsi="宋体"/>
                <w:color w:val="auto"/>
                <w:sz w:val="21"/>
                <w:szCs w:val="21"/>
                <w:highlight w:val="none"/>
              </w:rPr>
              <w:t>报价要求</w:t>
            </w:r>
          </w:p>
        </w:tc>
        <w:tc>
          <w:tcPr>
            <w:tcW w:w="7126" w:type="dxa"/>
            <w:tcBorders>
              <w:top w:val="single" w:color="auto" w:sz="4" w:space="0"/>
              <w:left w:val="single" w:color="auto" w:sz="4" w:space="0"/>
              <w:bottom w:val="single" w:color="auto" w:sz="4" w:space="0"/>
            </w:tcBorders>
            <w:vAlign w:val="center"/>
          </w:tcPr>
          <w:p w14:paraId="175C06DF">
            <w:pPr>
              <w:spacing w:line="360" w:lineRule="exact"/>
              <w:rPr>
                <w:rFonts w:ascii="宋体"/>
                <w:color w:val="auto"/>
                <w:sz w:val="21"/>
                <w:szCs w:val="21"/>
                <w:highlight w:val="none"/>
              </w:rPr>
            </w:pPr>
            <w:r>
              <w:rPr>
                <w:rFonts w:hint="eastAsia" w:ascii="宋体" w:hAnsi="宋体"/>
                <w:color w:val="auto"/>
                <w:sz w:val="21"/>
                <w:szCs w:val="21"/>
                <w:highlight w:val="none"/>
              </w:rPr>
              <w:t>按招标项目的技术要求，投标方根据项目特点和企业条件确定投标报价。投标方所报的投标报价为本项目的总报价，包括人工费、材料费、管理费和税金等所有费用，如有漏项，视同已包含在其它项目中</w:t>
            </w:r>
            <w:r>
              <w:rPr>
                <w:rFonts w:hint="eastAsia" w:ascii="宋体"/>
                <w:color w:val="auto"/>
                <w:sz w:val="21"/>
                <w:szCs w:val="21"/>
                <w:highlight w:val="none"/>
              </w:rPr>
              <w:t>。</w:t>
            </w:r>
          </w:p>
        </w:tc>
      </w:tr>
      <w:tr w14:paraId="62E69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2133" w:type="dxa"/>
            <w:tcBorders>
              <w:top w:val="single" w:color="auto" w:sz="4" w:space="0"/>
              <w:bottom w:val="single" w:color="auto" w:sz="4" w:space="0"/>
              <w:right w:val="single" w:color="auto" w:sz="4" w:space="0"/>
            </w:tcBorders>
            <w:vAlign w:val="center"/>
          </w:tcPr>
          <w:p w14:paraId="54B9B427">
            <w:pPr>
              <w:spacing w:line="360" w:lineRule="exact"/>
              <w:jc w:val="center"/>
              <w:rPr>
                <w:rFonts w:ascii="宋体"/>
                <w:color w:val="auto"/>
                <w:sz w:val="21"/>
                <w:szCs w:val="21"/>
                <w:highlight w:val="none"/>
              </w:rPr>
            </w:pPr>
            <w:r>
              <w:rPr>
                <w:rFonts w:hint="eastAsia" w:ascii="宋体" w:hAnsi="宋体"/>
                <w:color w:val="auto"/>
                <w:sz w:val="21"/>
                <w:szCs w:val="21"/>
                <w:highlight w:val="none"/>
              </w:rPr>
              <w:t>付款方式</w:t>
            </w:r>
          </w:p>
        </w:tc>
        <w:tc>
          <w:tcPr>
            <w:tcW w:w="7126" w:type="dxa"/>
            <w:tcBorders>
              <w:top w:val="single" w:color="auto" w:sz="4" w:space="0"/>
              <w:left w:val="single" w:color="auto" w:sz="4" w:space="0"/>
              <w:bottom w:val="single" w:color="auto" w:sz="4" w:space="0"/>
            </w:tcBorders>
            <w:vAlign w:val="center"/>
          </w:tcPr>
          <w:p w14:paraId="7191E78D">
            <w:pPr>
              <w:spacing w:line="360" w:lineRule="exact"/>
              <w:rPr>
                <w:rFonts w:ascii="宋体"/>
                <w:color w:val="auto"/>
                <w:sz w:val="21"/>
                <w:szCs w:val="21"/>
                <w:highlight w:val="none"/>
              </w:rPr>
            </w:pPr>
            <w:r>
              <w:rPr>
                <w:rFonts w:hint="eastAsia" w:ascii="宋体" w:cs="宋体"/>
                <w:color w:val="auto"/>
                <w:sz w:val="21"/>
                <w:szCs w:val="21"/>
                <w:highlight w:val="none"/>
              </w:rPr>
              <w:t>在合同签订后，机械设备到位</w:t>
            </w:r>
            <w:r>
              <w:rPr>
                <w:rFonts w:hint="eastAsia" w:ascii="宋体" w:eastAsia="宋体" w:cs="宋体"/>
                <w:color w:val="auto"/>
                <w:sz w:val="21"/>
                <w:szCs w:val="21"/>
                <w:highlight w:val="none"/>
                <w:lang w:eastAsia="zh-CN"/>
              </w:rPr>
              <w:t>正式开工</w:t>
            </w:r>
            <w:r>
              <w:rPr>
                <w:rFonts w:hint="eastAsia" w:ascii="宋体" w:cs="宋体"/>
                <w:color w:val="auto"/>
                <w:sz w:val="21"/>
                <w:szCs w:val="21"/>
                <w:highlight w:val="none"/>
              </w:rPr>
              <w:t>后</w:t>
            </w:r>
            <w:r>
              <w:rPr>
                <w:rFonts w:hint="eastAsia" w:ascii="宋体" w:eastAsia="宋体" w:cs="宋体"/>
                <w:color w:val="auto"/>
                <w:sz w:val="21"/>
                <w:szCs w:val="21"/>
                <w:highlight w:val="none"/>
              </w:rPr>
              <w:t>7个工作日</w:t>
            </w:r>
            <w:r>
              <w:rPr>
                <w:rFonts w:hint="eastAsia" w:ascii="宋体" w:cs="宋体"/>
                <w:color w:val="auto"/>
                <w:sz w:val="21"/>
                <w:szCs w:val="21"/>
                <w:highlight w:val="none"/>
              </w:rPr>
              <w:t>内预付合同价的</w:t>
            </w:r>
            <w:r>
              <w:rPr>
                <w:rFonts w:hint="eastAsia" w:ascii="宋体" w:eastAsia="宋体" w:cs="宋体"/>
                <w:color w:val="auto"/>
                <w:sz w:val="21"/>
                <w:szCs w:val="21"/>
                <w:highlight w:val="none"/>
              </w:rPr>
              <w:t>20</w:t>
            </w:r>
            <w:r>
              <w:rPr>
                <w:rFonts w:ascii="宋体" w:cs="宋体"/>
                <w:color w:val="auto"/>
                <w:sz w:val="21"/>
                <w:szCs w:val="21"/>
                <w:highlight w:val="none"/>
              </w:rPr>
              <w:t>%</w:t>
            </w:r>
            <w:r>
              <w:rPr>
                <w:rFonts w:hint="eastAsia" w:ascii="宋体" w:cs="宋体"/>
                <w:color w:val="auto"/>
                <w:sz w:val="21"/>
                <w:szCs w:val="21"/>
                <w:highlight w:val="none"/>
              </w:rPr>
              <w:t>。剩余经费采用先作业后拨付的方式，按季度支付，每季度按剩余的</w:t>
            </w:r>
            <w:r>
              <w:rPr>
                <w:rFonts w:hint="eastAsia" w:ascii="宋体" w:eastAsia="宋体" w:cs="宋体"/>
                <w:color w:val="auto"/>
                <w:sz w:val="21"/>
                <w:szCs w:val="21"/>
                <w:highlight w:val="none"/>
              </w:rPr>
              <w:t>80</w:t>
            </w:r>
            <w:r>
              <w:rPr>
                <w:rFonts w:ascii="宋体" w:cs="宋体"/>
                <w:color w:val="auto"/>
                <w:sz w:val="21"/>
                <w:szCs w:val="21"/>
                <w:highlight w:val="none"/>
              </w:rPr>
              <w:t>%</w:t>
            </w:r>
            <w:r>
              <w:rPr>
                <w:rFonts w:hint="eastAsia" w:ascii="宋体" w:cs="宋体"/>
                <w:color w:val="auto"/>
                <w:sz w:val="21"/>
                <w:szCs w:val="21"/>
                <w:highlight w:val="none"/>
              </w:rPr>
              <w:t>经费为基数平均计算，依据仙居县公路绿化养护管理考核办法的考核结果支付。乙方应按甲方要求开具相应金额的正规发票。</w:t>
            </w:r>
          </w:p>
        </w:tc>
      </w:tr>
    </w:tbl>
    <w:p w14:paraId="35F6136B">
      <w:pPr>
        <w:pStyle w:val="16"/>
        <w:rPr>
          <w:color w:val="auto"/>
          <w:highlight w:val="none"/>
        </w:rPr>
      </w:pPr>
    </w:p>
    <w:p w14:paraId="6F8460A4">
      <w:pPr>
        <w:pStyle w:val="15"/>
        <w:snapToGrid w:val="0"/>
        <w:spacing w:before="120" w:after="120" w:line="360" w:lineRule="exact"/>
        <w:jc w:val="center"/>
        <w:outlineLvl w:val="0"/>
        <w:rPr>
          <w:rFonts w:ascii="黑体" w:hAnsi="宋体" w:eastAsia="黑体"/>
          <w:color w:val="auto"/>
          <w:sz w:val="30"/>
          <w:szCs w:val="30"/>
          <w:highlight w:val="none"/>
        </w:rPr>
      </w:pPr>
      <w:r>
        <w:rPr>
          <w:rFonts w:hint="eastAsia"/>
          <w:b/>
          <w:color w:val="auto"/>
          <w:sz w:val="32"/>
          <w:szCs w:val="32"/>
          <w:highlight w:val="none"/>
        </w:rPr>
        <w:t xml:space="preserve">第三部分 </w:t>
      </w:r>
      <w:bookmarkStart w:id="59" w:name="_Toc257923936"/>
      <w:r>
        <w:rPr>
          <w:rFonts w:hint="eastAsia"/>
          <w:b/>
          <w:color w:val="auto"/>
          <w:sz w:val="32"/>
          <w:szCs w:val="32"/>
          <w:highlight w:val="none"/>
        </w:rPr>
        <w:t>磋商须知</w:t>
      </w:r>
      <w:bookmarkEnd w:id="54"/>
    </w:p>
    <w:p w14:paraId="01FAEEE2">
      <w:pPr>
        <w:adjustRightInd w:val="0"/>
        <w:snapToGrid w:val="0"/>
        <w:jc w:val="center"/>
        <w:outlineLvl w:val="1"/>
        <w:rPr>
          <w:b/>
          <w:color w:val="auto"/>
          <w:sz w:val="32"/>
          <w:szCs w:val="32"/>
          <w:highlight w:val="none"/>
        </w:rPr>
      </w:pPr>
      <w:bookmarkStart w:id="60" w:name="_Toc306901445"/>
      <w:bookmarkStart w:id="61" w:name="_Toc283973075"/>
      <w:bookmarkStart w:id="62" w:name="_Toc302983094"/>
      <w:r>
        <w:rPr>
          <w:rFonts w:hint="eastAsia"/>
          <w:b/>
          <w:color w:val="auto"/>
          <w:sz w:val="32"/>
          <w:szCs w:val="32"/>
          <w:highlight w:val="none"/>
        </w:rPr>
        <w:t xml:space="preserve"> </w:t>
      </w:r>
      <w:bookmarkStart w:id="63" w:name="_Toc24485"/>
      <w:bookmarkStart w:id="64" w:name="_Toc17366"/>
      <w:r>
        <w:rPr>
          <w:rFonts w:hint="eastAsia"/>
          <w:b/>
          <w:color w:val="auto"/>
          <w:sz w:val="32"/>
          <w:szCs w:val="32"/>
          <w:highlight w:val="none"/>
        </w:rPr>
        <w:t>前附表</w:t>
      </w:r>
      <w:bookmarkEnd w:id="59"/>
      <w:bookmarkEnd w:id="60"/>
      <w:bookmarkEnd w:id="61"/>
      <w:bookmarkEnd w:id="62"/>
      <w:bookmarkEnd w:id="63"/>
      <w:bookmarkEnd w:id="64"/>
    </w:p>
    <w:tbl>
      <w:tblPr>
        <w:tblStyle w:val="27"/>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19"/>
        <w:gridCol w:w="6906"/>
      </w:tblGrid>
      <w:tr w14:paraId="4C7845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vAlign w:val="center"/>
          </w:tcPr>
          <w:p w14:paraId="118207F4">
            <w:pPr>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2019" w:type="dxa"/>
            <w:vAlign w:val="center"/>
          </w:tcPr>
          <w:p w14:paraId="56A201B3">
            <w:pPr>
              <w:spacing w:line="300" w:lineRule="exact"/>
              <w:ind w:firstLine="210" w:firstLineChars="100"/>
              <w:jc w:val="center"/>
              <w:rPr>
                <w:rFonts w:ascii="宋体" w:hAnsi="宋体"/>
                <w:b/>
                <w:color w:val="auto"/>
                <w:sz w:val="21"/>
                <w:szCs w:val="21"/>
                <w:highlight w:val="none"/>
              </w:rPr>
            </w:pPr>
            <w:r>
              <w:rPr>
                <w:rFonts w:hint="eastAsia" w:ascii="宋体" w:hAnsi="宋体"/>
                <w:b/>
                <w:color w:val="auto"/>
                <w:sz w:val="21"/>
                <w:szCs w:val="21"/>
                <w:highlight w:val="none"/>
              </w:rPr>
              <w:t>项   目</w:t>
            </w:r>
          </w:p>
        </w:tc>
        <w:tc>
          <w:tcPr>
            <w:tcW w:w="6906" w:type="dxa"/>
            <w:vAlign w:val="center"/>
          </w:tcPr>
          <w:p w14:paraId="005E3ECF">
            <w:pPr>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内                容</w:t>
            </w:r>
          </w:p>
        </w:tc>
      </w:tr>
      <w:tr w14:paraId="1BB3B3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vAlign w:val="center"/>
          </w:tcPr>
          <w:p w14:paraId="57A5AB9A">
            <w:pPr>
              <w:spacing w:line="300" w:lineRule="exact"/>
              <w:jc w:val="center"/>
              <w:rPr>
                <w:rFonts w:ascii="宋体" w:hAnsi="宋体"/>
                <w:color w:val="auto"/>
                <w:sz w:val="24"/>
                <w:highlight w:val="none"/>
              </w:rPr>
            </w:pPr>
            <w:r>
              <w:rPr>
                <w:rFonts w:hint="eastAsia" w:ascii="宋体" w:hAnsi="宋体"/>
                <w:color w:val="auto"/>
                <w:sz w:val="24"/>
                <w:highlight w:val="none"/>
              </w:rPr>
              <w:t>1</w:t>
            </w:r>
          </w:p>
        </w:tc>
        <w:tc>
          <w:tcPr>
            <w:tcW w:w="2019" w:type="dxa"/>
            <w:vAlign w:val="center"/>
          </w:tcPr>
          <w:p w14:paraId="191FF3D7">
            <w:pPr>
              <w:spacing w:line="300" w:lineRule="exact"/>
              <w:jc w:val="center"/>
              <w:rPr>
                <w:rFonts w:ascii="宋体" w:hAnsi="宋体"/>
                <w:bCs/>
                <w:color w:val="auto"/>
                <w:sz w:val="21"/>
                <w:szCs w:val="21"/>
                <w:highlight w:val="none"/>
              </w:rPr>
            </w:pPr>
            <w:r>
              <w:rPr>
                <w:rFonts w:hint="eastAsia" w:ascii="宋体" w:hAnsi="宋体"/>
                <w:bCs/>
                <w:color w:val="auto"/>
                <w:sz w:val="21"/>
                <w:szCs w:val="21"/>
                <w:highlight w:val="none"/>
              </w:rPr>
              <w:t>项目名称</w:t>
            </w:r>
          </w:p>
        </w:tc>
        <w:tc>
          <w:tcPr>
            <w:tcW w:w="6906" w:type="dxa"/>
            <w:vAlign w:val="center"/>
          </w:tcPr>
          <w:p w14:paraId="3B50BF9C">
            <w:pPr>
              <w:spacing w:line="300" w:lineRule="exact"/>
              <w:ind w:left="-4" w:leftChars="-1" w:firstLine="2" w:firstLineChars="1"/>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2024年-2025年仙居县所有国、省道及县道公路绿化管护服务项目(重新招标）</w:t>
            </w:r>
          </w:p>
        </w:tc>
      </w:tr>
      <w:tr w14:paraId="679345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vAlign w:val="center"/>
          </w:tcPr>
          <w:p w14:paraId="62369043">
            <w:pPr>
              <w:spacing w:line="300" w:lineRule="exact"/>
              <w:jc w:val="center"/>
              <w:rPr>
                <w:rFonts w:ascii="宋体" w:hAnsi="宋体"/>
                <w:color w:val="auto"/>
                <w:sz w:val="24"/>
                <w:highlight w:val="none"/>
              </w:rPr>
            </w:pPr>
            <w:r>
              <w:rPr>
                <w:rFonts w:hint="eastAsia" w:ascii="宋体" w:hAnsi="宋体"/>
                <w:color w:val="auto"/>
                <w:sz w:val="24"/>
                <w:highlight w:val="none"/>
              </w:rPr>
              <w:t>2</w:t>
            </w:r>
          </w:p>
        </w:tc>
        <w:tc>
          <w:tcPr>
            <w:tcW w:w="2019" w:type="dxa"/>
            <w:vAlign w:val="center"/>
          </w:tcPr>
          <w:p w14:paraId="39BD4934">
            <w:pPr>
              <w:spacing w:line="300" w:lineRule="exact"/>
              <w:jc w:val="center"/>
              <w:rPr>
                <w:rFonts w:ascii="宋体" w:hAnsi="宋体"/>
                <w:bCs/>
                <w:color w:val="auto"/>
                <w:sz w:val="21"/>
                <w:szCs w:val="21"/>
                <w:highlight w:val="none"/>
              </w:rPr>
            </w:pPr>
            <w:r>
              <w:rPr>
                <w:rFonts w:hint="eastAsia" w:ascii="宋体" w:hAnsi="宋体"/>
                <w:bCs/>
                <w:color w:val="auto"/>
                <w:sz w:val="21"/>
                <w:szCs w:val="21"/>
                <w:highlight w:val="none"/>
              </w:rPr>
              <w:t>采购内容</w:t>
            </w:r>
          </w:p>
        </w:tc>
        <w:tc>
          <w:tcPr>
            <w:tcW w:w="6906" w:type="dxa"/>
            <w:vAlign w:val="center"/>
          </w:tcPr>
          <w:p w14:paraId="32D58232">
            <w:pPr>
              <w:spacing w:line="300" w:lineRule="exact"/>
              <w:ind w:left="-4" w:leftChars="-1" w:firstLine="2" w:firstLineChars="1"/>
              <w:rPr>
                <w:rFonts w:ascii="宋体" w:hAnsi="宋体"/>
                <w:bCs/>
                <w:color w:val="auto"/>
                <w:sz w:val="21"/>
                <w:szCs w:val="21"/>
                <w:highlight w:val="none"/>
              </w:rPr>
            </w:pPr>
            <w:r>
              <w:rPr>
                <w:rFonts w:hint="eastAsia" w:ascii="宋体" w:hAnsi="宋体"/>
                <w:bCs/>
                <w:color w:val="auto"/>
                <w:sz w:val="21"/>
                <w:szCs w:val="21"/>
                <w:highlight w:val="none"/>
              </w:rPr>
              <w:t>详见本采购文件“第二部分采购需求”内容</w:t>
            </w:r>
          </w:p>
        </w:tc>
      </w:tr>
      <w:tr w14:paraId="7DF79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vAlign w:val="center"/>
          </w:tcPr>
          <w:p w14:paraId="2E3B8732">
            <w:pPr>
              <w:spacing w:line="300" w:lineRule="exact"/>
              <w:jc w:val="center"/>
              <w:rPr>
                <w:rFonts w:ascii="宋体" w:hAnsi="宋体"/>
                <w:color w:val="auto"/>
                <w:sz w:val="24"/>
                <w:highlight w:val="none"/>
              </w:rPr>
            </w:pPr>
            <w:r>
              <w:rPr>
                <w:rFonts w:hint="eastAsia" w:ascii="宋体" w:hAnsi="宋体"/>
                <w:color w:val="auto"/>
                <w:sz w:val="24"/>
                <w:highlight w:val="none"/>
              </w:rPr>
              <w:t>3</w:t>
            </w:r>
          </w:p>
        </w:tc>
        <w:tc>
          <w:tcPr>
            <w:tcW w:w="2019" w:type="dxa"/>
            <w:vAlign w:val="center"/>
          </w:tcPr>
          <w:p w14:paraId="74FD5E32">
            <w:pPr>
              <w:spacing w:line="300" w:lineRule="exact"/>
              <w:jc w:val="center"/>
              <w:rPr>
                <w:rFonts w:ascii="宋体" w:hAnsi="宋体"/>
                <w:bCs/>
                <w:color w:val="auto"/>
                <w:sz w:val="21"/>
                <w:szCs w:val="21"/>
                <w:highlight w:val="none"/>
              </w:rPr>
            </w:pPr>
            <w:r>
              <w:rPr>
                <w:rFonts w:hint="eastAsia" w:ascii="宋体" w:hAnsi="宋体"/>
                <w:bCs/>
                <w:color w:val="auto"/>
                <w:sz w:val="21"/>
                <w:szCs w:val="21"/>
                <w:highlight w:val="none"/>
              </w:rPr>
              <w:t>评标办法</w:t>
            </w:r>
          </w:p>
        </w:tc>
        <w:tc>
          <w:tcPr>
            <w:tcW w:w="6906" w:type="dxa"/>
            <w:vAlign w:val="center"/>
          </w:tcPr>
          <w:p w14:paraId="42537789">
            <w:pPr>
              <w:spacing w:line="300" w:lineRule="exact"/>
              <w:jc w:val="left"/>
              <w:rPr>
                <w:rFonts w:ascii="宋体" w:hAnsi="宋体"/>
                <w:color w:val="auto"/>
                <w:sz w:val="21"/>
                <w:szCs w:val="21"/>
                <w:highlight w:val="none"/>
              </w:rPr>
            </w:pPr>
            <w:r>
              <w:rPr>
                <w:rFonts w:hint="eastAsia" w:ascii="宋体" w:hAnsi="宋体" w:cs="Arial"/>
                <w:bCs/>
                <w:color w:val="auto"/>
                <w:kern w:val="0"/>
                <w:sz w:val="21"/>
                <w:szCs w:val="21"/>
                <w:highlight w:val="none"/>
              </w:rPr>
              <w:t>综合评分法</w:t>
            </w:r>
          </w:p>
        </w:tc>
      </w:tr>
      <w:tr w14:paraId="7C0A7E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vAlign w:val="center"/>
          </w:tcPr>
          <w:p w14:paraId="616347D5">
            <w:pPr>
              <w:spacing w:line="300" w:lineRule="exact"/>
              <w:jc w:val="center"/>
              <w:rPr>
                <w:rFonts w:ascii="宋体" w:hAnsi="宋体"/>
                <w:color w:val="auto"/>
                <w:sz w:val="24"/>
                <w:highlight w:val="none"/>
              </w:rPr>
            </w:pPr>
            <w:r>
              <w:rPr>
                <w:rFonts w:hint="eastAsia" w:ascii="宋体" w:hAnsi="宋体"/>
                <w:color w:val="auto"/>
                <w:sz w:val="24"/>
                <w:highlight w:val="none"/>
              </w:rPr>
              <w:t>4</w:t>
            </w:r>
          </w:p>
        </w:tc>
        <w:tc>
          <w:tcPr>
            <w:tcW w:w="2019" w:type="dxa"/>
            <w:vAlign w:val="center"/>
          </w:tcPr>
          <w:p w14:paraId="7BDAFAE7">
            <w:pPr>
              <w:spacing w:line="300" w:lineRule="exact"/>
              <w:jc w:val="center"/>
              <w:rPr>
                <w:rFonts w:ascii="宋体" w:hAnsi="宋体"/>
                <w:bCs/>
                <w:color w:val="auto"/>
                <w:sz w:val="21"/>
                <w:szCs w:val="21"/>
                <w:highlight w:val="none"/>
              </w:rPr>
            </w:pPr>
            <w:r>
              <w:rPr>
                <w:rFonts w:hint="eastAsia" w:ascii="宋体" w:hAnsi="宋体"/>
                <w:bCs/>
                <w:color w:val="auto"/>
                <w:sz w:val="21"/>
                <w:szCs w:val="21"/>
                <w:highlight w:val="none"/>
              </w:rPr>
              <w:t>采购方式</w:t>
            </w:r>
          </w:p>
        </w:tc>
        <w:tc>
          <w:tcPr>
            <w:tcW w:w="6906" w:type="dxa"/>
            <w:vAlign w:val="center"/>
          </w:tcPr>
          <w:p w14:paraId="08A887AE">
            <w:pPr>
              <w:spacing w:line="300" w:lineRule="exact"/>
              <w:rPr>
                <w:rFonts w:ascii="宋体" w:hAnsi="宋体" w:cs="Arial"/>
                <w:bCs/>
                <w:color w:val="auto"/>
                <w:kern w:val="0"/>
                <w:sz w:val="21"/>
                <w:szCs w:val="21"/>
                <w:highlight w:val="none"/>
              </w:rPr>
            </w:pPr>
            <w:r>
              <w:rPr>
                <w:rFonts w:hint="eastAsia" w:ascii="宋体" w:hAnsi="宋体"/>
                <w:bCs/>
                <w:color w:val="auto"/>
                <w:sz w:val="21"/>
                <w:szCs w:val="21"/>
                <w:highlight w:val="none"/>
              </w:rPr>
              <w:t>竞争性磋商</w:t>
            </w:r>
          </w:p>
        </w:tc>
      </w:tr>
      <w:tr w14:paraId="5B181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38" w:type="dxa"/>
            <w:vAlign w:val="center"/>
          </w:tcPr>
          <w:p w14:paraId="22A423BE">
            <w:pPr>
              <w:spacing w:line="300" w:lineRule="exact"/>
              <w:jc w:val="center"/>
              <w:rPr>
                <w:rFonts w:ascii="宋体" w:hAnsi="宋体" w:eastAsia="宋体"/>
                <w:color w:val="auto"/>
                <w:sz w:val="24"/>
                <w:highlight w:val="none"/>
              </w:rPr>
            </w:pPr>
            <w:r>
              <w:rPr>
                <w:rFonts w:hint="eastAsia" w:ascii="宋体" w:hAnsi="宋体"/>
                <w:color w:val="auto"/>
                <w:sz w:val="24"/>
                <w:highlight w:val="none"/>
              </w:rPr>
              <w:t>5</w:t>
            </w:r>
          </w:p>
        </w:tc>
        <w:tc>
          <w:tcPr>
            <w:tcW w:w="2019" w:type="dxa"/>
            <w:vAlign w:val="center"/>
          </w:tcPr>
          <w:p w14:paraId="094834C3">
            <w:pPr>
              <w:spacing w:line="300" w:lineRule="exact"/>
              <w:jc w:val="center"/>
              <w:rPr>
                <w:rFonts w:ascii="宋体" w:hAnsi="宋体"/>
                <w:bCs/>
                <w:color w:val="auto"/>
                <w:sz w:val="21"/>
                <w:szCs w:val="21"/>
                <w:highlight w:val="none"/>
              </w:rPr>
            </w:pPr>
            <w:r>
              <w:rPr>
                <w:rFonts w:hint="eastAsia" w:ascii="宋体" w:hAnsi="宋体"/>
                <w:bCs/>
                <w:color w:val="auto"/>
                <w:sz w:val="21"/>
                <w:szCs w:val="21"/>
                <w:highlight w:val="none"/>
              </w:rPr>
              <w:t>磋商响应文件有效期</w:t>
            </w:r>
          </w:p>
        </w:tc>
        <w:tc>
          <w:tcPr>
            <w:tcW w:w="6906" w:type="dxa"/>
            <w:vAlign w:val="center"/>
          </w:tcPr>
          <w:p w14:paraId="4836367A">
            <w:pPr>
              <w:pStyle w:val="25"/>
              <w:snapToGrid w:val="0"/>
              <w:spacing w:line="300" w:lineRule="exact"/>
              <w:rPr>
                <w:rFonts w:hint="default"/>
                <w:bCs/>
                <w:color w:val="auto"/>
                <w:sz w:val="21"/>
                <w:szCs w:val="21"/>
                <w:highlight w:val="none"/>
              </w:rPr>
            </w:pPr>
            <w:r>
              <w:rPr>
                <w:bCs/>
                <w:color w:val="auto"/>
                <w:sz w:val="21"/>
                <w:szCs w:val="21"/>
                <w:highlight w:val="none"/>
              </w:rPr>
              <w:t>磋商响应有效期为90天，磋商响应有效期从提交磋商响应文件的截止之日起算。</w:t>
            </w:r>
          </w:p>
        </w:tc>
      </w:tr>
      <w:tr w14:paraId="103CB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vAlign w:val="center"/>
          </w:tcPr>
          <w:p w14:paraId="1990DB53">
            <w:pPr>
              <w:spacing w:line="300" w:lineRule="exact"/>
              <w:jc w:val="center"/>
              <w:rPr>
                <w:rFonts w:ascii="宋体" w:hAnsi="宋体" w:eastAsia="宋体"/>
                <w:color w:val="auto"/>
                <w:sz w:val="24"/>
                <w:highlight w:val="none"/>
              </w:rPr>
            </w:pPr>
            <w:r>
              <w:rPr>
                <w:rFonts w:hint="eastAsia" w:ascii="宋体" w:hAnsi="宋体"/>
                <w:color w:val="auto"/>
                <w:sz w:val="24"/>
                <w:highlight w:val="none"/>
              </w:rPr>
              <w:t>6</w:t>
            </w:r>
          </w:p>
        </w:tc>
        <w:tc>
          <w:tcPr>
            <w:tcW w:w="2019" w:type="dxa"/>
            <w:vAlign w:val="center"/>
          </w:tcPr>
          <w:p w14:paraId="10D502C6">
            <w:pPr>
              <w:spacing w:line="300" w:lineRule="exact"/>
              <w:jc w:val="center"/>
              <w:rPr>
                <w:rFonts w:ascii="宋体" w:hAnsi="宋体"/>
                <w:bCs/>
                <w:color w:val="auto"/>
                <w:sz w:val="21"/>
                <w:szCs w:val="21"/>
                <w:highlight w:val="none"/>
              </w:rPr>
            </w:pPr>
            <w:r>
              <w:rPr>
                <w:rFonts w:hint="eastAsia" w:ascii="宋体" w:hAnsi="宋体"/>
                <w:color w:val="auto"/>
                <w:sz w:val="21"/>
                <w:szCs w:val="21"/>
                <w:highlight w:val="none"/>
              </w:rPr>
              <w:t>履约保证金</w:t>
            </w:r>
          </w:p>
        </w:tc>
        <w:tc>
          <w:tcPr>
            <w:tcW w:w="6906" w:type="dxa"/>
            <w:vAlign w:val="center"/>
          </w:tcPr>
          <w:p w14:paraId="4A9829DA">
            <w:pPr>
              <w:spacing w:line="300" w:lineRule="exact"/>
              <w:rPr>
                <w:rFonts w:ascii="宋体" w:hAnsi="宋体" w:eastAsia="宋体"/>
                <w:color w:val="auto"/>
                <w:sz w:val="21"/>
                <w:szCs w:val="21"/>
                <w:highlight w:val="none"/>
              </w:rPr>
            </w:pPr>
            <w:r>
              <w:rPr>
                <w:rFonts w:hint="eastAsia" w:ascii="宋体" w:hAnsi="宋体"/>
                <w:color w:val="auto"/>
                <w:sz w:val="21"/>
                <w:szCs w:val="21"/>
                <w:highlight w:val="none"/>
              </w:rPr>
              <w:t>本项目履约保证金为合同</w:t>
            </w:r>
            <w:r>
              <w:rPr>
                <w:rFonts w:hint="eastAsia" w:ascii="宋体" w:hAnsi="宋体" w:eastAsia="宋体"/>
                <w:color w:val="auto"/>
                <w:sz w:val="21"/>
                <w:szCs w:val="21"/>
                <w:highlight w:val="none"/>
              </w:rPr>
              <w:t>价</w:t>
            </w:r>
            <w:r>
              <w:rPr>
                <w:rFonts w:hint="eastAsia" w:ascii="宋体" w:hAnsi="宋体"/>
                <w:color w:val="auto"/>
                <w:sz w:val="21"/>
                <w:szCs w:val="21"/>
                <w:highlight w:val="none"/>
              </w:rPr>
              <w:t>的1%。</w:t>
            </w:r>
          </w:p>
          <w:p w14:paraId="1F8BC9E7">
            <w:pPr>
              <w:spacing w:line="300" w:lineRule="exact"/>
              <w:rPr>
                <w:rFonts w:ascii="宋体" w:hAnsi="宋体"/>
                <w:color w:val="auto"/>
                <w:sz w:val="21"/>
                <w:szCs w:val="21"/>
                <w:highlight w:val="none"/>
              </w:rPr>
            </w:pPr>
            <w:r>
              <w:rPr>
                <w:rFonts w:hint="eastAsia" w:ascii="宋体" w:hAnsi="宋体"/>
                <w:color w:val="auto"/>
                <w:sz w:val="21"/>
                <w:szCs w:val="21"/>
                <w:highlight w:val="none"/>
              </w:rPr>
              <w:t>鼓励供应商开展政采贷、履约保函等政府采购金融服务，供应商以银行、保险公司、融资担保公司出具保函形式提交履约保证金的，采购单位不得拒收。</w:t>
            </w:r>
          </w:p>
        </w:tc>
      </w:tr>
      <w:tr w14:paraId="769F38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38" w:type="dxa"/>
            <w:vAlign w:val="center"/>
          </w:tcPr>
          <w:p w14:paraId="6A31CD58">
            <w:pPr>
              <w:spacing w:line="300" w:lineRule="exact"/>
              <w:jc w:val="center"/>
              <w:rPr>
                <w:rFonts w:ascii="宋体" w:hAnsi="宋体" w:eastAsia="宋体"/>
                <w:color w:val="auto"/>
                <w:sz w:val="24"/>
                <w:highlight w:val="none"/>
              </w:rPr>
            </w:pPr>
            <w:r>
              <w:rPr>
                <w:rFonts w:hint="eastAsia" w:ascii="宋体" w:hAnsi="宋体"/>
                <w:color w:val="auto"/>
                <w:sz w:val="24"/>
                <w:highlight w:val="none"/>
              </w:rPr>
              <w:t>7</w:t>
            </w:r>
          </w:p>
        </w:tc>
        <w:tc>
          <w:tcPr>
            <w:tcW w:w="2019" w:type="dxa"/>
            <w:vAlign w:val="center"/>
          </w:tcPr>
          <w:p w14:paraId="4C0768D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响应文件要求</w:t>
            </w:r>
          </w:p>
        </w:tc>
        <w:tc>
          <w:tcPr>
            <w:tcW w:w="6906" w:type="dxa"/>
            <w:vAlign w:val="center"/>
          </w:tcPr>
          <w:p w14:paraId="1A914B0D">
            <w:pPr>
              <w:spacing w:line="3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1、本项目实行电子招投标，各供应商应按照本项目磋商文件和政采云平台的相关要求编制、加密并</w:t>
            </w:r>
            <w:r>
              <w:rPr>
                <w:rFonts w:hint="eastAsia" w:ascii="宋体" w:hAnsi="宋体" w:eastAsia="宋体" w:cs="宋体"/>
                <w:b/>
                <w:bCs/>
                <w:color w:val="auto"/>
                <w:sz w:val="21"/>
                <w:szCs w:val="21"/>
                <w:highlight w:val="none"/>
                <w:lang w:val="zh-CN"/>
              </w:rPr>
              <w:t>在投标截止时间前</w:t>
            </w:r>
            <w:r>
              <w:rPr>
                <w:rFonts w:hint="eastAsia" w:ascii="宋体" w:hAnsi="宋体" w:eastAsia="宋体" w:cs="宋体"/>
                <w:b/>
                <w:bCs/>
                <w:color w:val="auto"/>
                <w:sz w:val="21"/>
                <w:szCs w:val="21"/>
                <w:highlight w:val="none"/>
              </w:rPr>
              <w:t>提交投标文件，即电子加密标书</w:t>
            </w:r>
            <w:r>
              <w:rPr>
                <w:rFonts w:hint="eastAsia" w:ascii="宋体" w:hAnsi="宋体" w:eastAsia="宋体" w:cs="宋体"/>
                <w:color w:val="auto"/>
                <w:sz w:val="21"/>
                <w:szCs w:val="21"/>
                <w:highlight w:val="none"/>
              </w:rPr>
              <w:t>（在政采云系统平台上传）。“电子加密标书”成功上传提交后，投标人自行打印投标文件接收回执。</w:t>
            </w:r>
          </w:p>
          <w:p w14:paraId="6B25F732">
            <w:pPr>
              <w:widowControl/>
              <w:jc w:val="left"/>
              <w:rPr>
                <w:rFonts w:eastAsia="宋体"/>
                <w:color w:val="auto"/>
                <w:sz w:val="21"/>
                <w:szCs w:val="21"/>
                <w:highlight w:val="none"/>
              </w:rPr>
            </w:pPr>
            <w:r>
              <w:rPr>
                <w:rFonts w:hint="eastAsia" w:ascii="宋体" w:hAnsi="宋体" w:eastAsia="宋体" w:cs="宋体"/>
                <w:b/>
                <w:bCs/>
                <w:color w:val="auto"/>
                <w:sz w:val="21"/>
                <w:szCs w:val="21"/>
                <w:highlight w:val="none"/>
              </w:rPr>
              <w:t>2、电子备份标书：</w:t>
            </w:r>
            <w:r>
              <w:rPr>
                <w:rFonts w:hint="eastAsia" w:ascii="宋体" w:hAnsi="宋体" w:eastAsia="宋体" w:cs="宋体"/>
                <w:color w:val="auto"/>
                <w:sz w:val="21"/>
                <w:szCs w:val="21"/>
                <w:highlight w:val="none"/>
              </w:rPr>
              <w:t>电子备份标书：投标人自行确定是否提交。若提交请在提交投标文件截止时间前将电子备份标书打包压缩加密（未加密造成泄密的由投标人自行承担）后以电子邮件的形式发送至3050868501@qq.com。电子备份标书在“电子加密标书”发生解密异常时使用，否则不予启用。</w:t>
            </w:r>
            <w:r>
              <w:rPr>
                <w:rFonts w:hint="eastAsia" w:ascii="宋体" w:hAnsi="宋体" w:eastAsia="宋体" w:cs="宋体"/>
                <w:b/>
                <w:color w:val="auto"/>
                <w:sz w:val="21"/>
                <w:szCs w:val="21"/>
                <w:highlight w:val="none"/>
              </w:rPr>
              <w:t>注：备份响应文件仅在在线解密异常处理时使用。响应文件已按时解密的，备份响应文件自动失效。</w:t>
            </w:r>
          </w:p>
        </w:tc>
      </w:tr>
      <w:tr w14:paraId="2595CA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vAlign w:val="center"/>
          </w:tcPr>
          <w:p w14:paraId="54BB0385">
            <w:pPr>
              <w:spacing w:line="300" w:lineRule="exact"/>
              <w:jc w:val="center"/>
              <w:rPr>
                <w:rFonts w:ascii="宋体" w:hAnsi="宋体" w:eastAsia="宋体"/>
                <w:color w:val="auto"/>
                <w:sz w:val="24"/>
                <w:highlight w:val="none"/>
              </w:rPr>
            </w:pPr>
            <w:r>
              <w:rPr>
                <w:rFonts w:hint="eastAsia" w:ascii="宋体" w:hAnsi="宋体"/>
                <w:color w:val="auto"/>
                <w:sz w:val="24"/>
                <w:highlight w:val="none"/>
              </w:rPr>
              <w:t>8</w:t>
            </w:r>
          </w:p>
        </w:tc>
        <w:tc>
          <w:tcPr>
            <w:tcW w:w="2019" w:type="dxa"/>
            <w:vAlign w:val="center"/>
          </w:tcPr>
          <w:p w14:paraId="79FCA5AA">
            <w:pPr>
              <w:spacing w:line="300" w:lineRule="exact"/>
              <w:jc w:val="center"/>
              <w:rPr>
                <w:rFonts w:ascii="宋体" w:hAnsi="宋体"/>
                <w:color w:val="auto"/>
                <w:sz w:val="21"/>
                <w:szCs w:val="21"/>
                <w:highlight w:val="none"/>
              </w:rPr>
            </w:pPr>
            <w:r>
              <w:rPr>
                <w:rFonts w:hint="eastAsia" w:ascii="宋体" w:hAnsi="宋体"/>
                <w:bCs/>
                <w:color w:val="auto"/>
                <w:sz w:val="21"/>
                <w:szCs w:val="21"/>
                <w:highlight w:val="none"/>
              </w:rPr>
              <w:t>响应文件磋商截止时间</w:t>
            </w:r>
          </w:p>
        </w:tc>
        <w:tc>
          <w:tcPr>
            <w:tcW w:w="6906" w:type="dxa"/>
            <w:vAlign w:val="center"/>
          </w:tcPr>
          <w:p w14:paraId="1AEC1655">
            <w:pPr>
              <w:spacing w:line="300" w:lineRule="exact"/>
              <w:rPr>
                <w:color w:val="auto"/>
                <w:highlight w:val="none"/>
              </w:rPr>
            </w:pPr>
            <w:r>
              <w:rPr>
                <w:rFonts w:hint="eastAsia" w:ascii="宋体" w:hAnsi="宋体" w:eastAsia="宋体" w:cs="宋体"/>
                <w:color w:val="auto"/>
                <w:sz w:val="21"/>
                <w:szCs w:val="21"/>
                <w:highlight w:val="none"/>
              </w:rPr>
              <w:t>供应商应当在</w:t>
            </w:r>
            <w:r>
              <w:rPr>
                <w:rFonts w:hint="eastAsia" w:ascii="宋体" w:hAnsi="宋体" w:eastAsia="宋体" w:cs="宋体"/>
                <w:b/>
                <w:bCs/>
                <w:color w:val="auto"/>
                <w:sz w:val="21"/>
                <w:szCs w:val="21"/>
                <w:highlight w:val="none"/>
              </w:rPr>
              <w:t>磋商截止时间：202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日09：00（北京时间）前</w:t>
            </w:r>
            <w:r>
              <w:rPr>
                <w:rFonts w:hint="eastAsia" w:ascii="宋体" w:hAnsi="宋体" w:eastAsia="宋体" w:cs="宋体"/>
                <w:color w:val="auto"/>
                <w:sz w:val="21"/>
                <w:szCs w:val="21"/>
                <w:highlight w:val="none"/>
              </w:rPr>
              <w:t>完成</w:t>
            </w:r>
            <w:r>
              <w:rPr>
                <w:rFonts w:hint="eastAsia" w:ascii="宋体" w:hAnsi="宋体"/>
                <w:color w:val="auto"/>
                <w:sz w:val="21"/>
                <w:szCs w:val="21"/>
                <w:highlight w:val="none"/>
              </w:rPr>
              <w:t>电子加密响应文件</w:t>
            </w:r>
            <w:r>
              <w:rPr>
                <w:rFonts w:hint="eastAsia" w:ascii="宋体" w:hAnsi="宋体" w:eastAsia="宋体" w:cs="宋体"/>
                <w:color w:val="auto"/>
                <w:sz w:val="21"/>
                <w:szCs w:val="21"/>
                <w:highlight w:val="none"/>
              </w:rPr>
              <w:t>的传输提交，磋商截止时间前可以补充、修改或者撤回</w:t>
            </w:r>
            <w:r>
              <w:rPr>
                <w:rFonts w:hint="eastAsia" w:ascii="宋体" w:hAnsi="宋体"/>
                <w:color w:val="auto"/>
                <w:sz w:val="21"/>
                <w:szCs w:val="21"/>
                <w:highlight w:val="none"/>
              </w:rPr>
              <w:t>电子加密响应文件</w:t>
            </w:r>
            <w:r>
              <w:rPr>
                <w:rFonts w:hint="eastAsia" w:ascii="宋体" w:hAnsi="宋体" w:eastAsia="宋体" w:cs="宋体"/>
                <w:color w:val="auto"/>
                <w:sz w:val="21"/>
                <w:szCs w:val="21"/>
                <w:highlight w:val="none"/>
              </w:rPr>
              <w:t>。补充或者修改</w:t>
            </w:r>
            <w:r>
              <w:rPr>
                <w:rFonts w:hint="eastAsia" w:ascii="宋体" w:hAnsi="宋体"/>
                <w:color w:val="auto"/>
                <w:sz w:val="21"/>
                <w:szCs w:val="21"/>
                <w:highlight w:val="none"/>
              </w:rPr>
              <w:t>电子加密响应文件</w:t>
            </w:r>
            <w:r>
              <w:rPr>
                <w:rFonts w:hint="eastAsia" w:ascii="宋体" w:hAnsi="宋体" w:eastAsia="宋体" w:cs="宋体"/>
                <w:color w:val="auto"/>
                <w:sz w:val="21"/>
                <w:szCs w:val="21"/>
                <w:highlight w:val="none"/>
              </w:rPr>
              <w:t>的，应当先行撤回原文件，补充、修改后重新传输提交。磋商截止时间前未完成传输的，视为撤回</w:t>
            </w:r>
            <w:r>
              <w:rPr>
                <w:rFonts w:hint="eastAsia" w:ascii="宋体" w:hAnsi="宋体"/>
                <w:color w:val="auto"/>
                <w:sz w:val="21"/>
                <w:szCs w:val="21"/>
                <w:highlight w:val="none"/>
              </w:rPr>
              <w:t>电子加密响应文件</w:t>
            </w:r>
            <w:r>
              <w:rPr>
                <w:rFonts w:hint="eastAsia" w:ascii="宋体" w:hAnsi="宋体" w:eastAsia="宋体" w:cs="宋体"/>
                <w:color w:val="auto"/>
                <w:sz w:val="21"/>
                <w:szCs w:val="21"/>
                <w:highlight w:val="none"/>
              </w:rPr>
              <w:t>。</w:t>
            </w:r>
          </w:p>
        </w:tc>
      </w:tr>
      <w:tr w14:paraId="064846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8" w:type="dxa"/>
            <w:vAlign w:val="center"/>
          </w:tcPr>
          <w:p w14:paraId="58944B14">
            <w:pPr>
              <w:spacing w:line="300" w:lineRule="exact"/>
              <w:jc w:val="center"/>
              <w:rPr>
                <w:rFonts w:ascii="宋体" w:hAnsi="宋体"/>
                <w:color w:val="auto"/>
                <w:sz w:val="24"/>
                <w:highlight w:val="none"/>
              </w:rPr>
            </w:pPr>
            <w:r>
              <w:rPr>
                <w:rFonts w:hint="eastAsia" w:ascii="宋体" w:hAnsi="宋体"/>
                <w:color w:val="auto"/>
                <w:sz w:val="24"/>
                <w:highlight w:val="none"/>
              </w:rPr>
              <w:t>9</w:t>
            </w:r>
          </w:p>
        </w:tc>
        <w:tc>
          <w:tcPr>
            <w:tcW w:w="2019" w:type="dxa"/>
            <w:vAlign w:val="center"/>
          </w:tcPr>
          <w:p w14:paraId="2904B716">
            <w:pPr>
              <w:snapToGrid w:val="0"/>
              <w:spacing w:line="300" w:lineRule="exact"/>
              <w:jc w:val="center"/>
              <w:rPr>
                <w:rFonts w:ascii="宋体" w:hAnsi="宋体"/>
                <w:color w:val="auto"/>
                <w:sz w:val="21"/>
                <w:szCs w:val="21"/>
                <w:highlight w:val="none"/>
              </w:rPr>
            </w:pPr>
            <w:r>
              <w:rPr>
                <w:rFonts w:hint="eastAsia" w:ascii="宋体" w:hAnsi="宋体"/>
                <w:bCs/>
                <w:color w:val="auto"/>
                <w:sz w:val="21"/>
                <w:szCs w:val="21"/>
                <w:highlight w:val="none"/>
              </w:rPr>
              <w:t>开标时间及地点</w:t>
            </w:r>
          </w:p>
        </w:tc>
        <w:tc>
          <w:tcPr>
            <w:tcW w:w="6906" w:type="dxa"/>
            <w:vAlign w:val="center"/>
          </w:tcPr>
          <w:p w14:paraId="335FB5B7">
            <w:pPr>
              <w:widowControl/>
              <w:jc w:val="left"/>
              <w:rPr>
                <w:rFonts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同磋商截止时间与地点。</w:t>
            </w:r>
          </w:p>
        </w:tc>
      </w:tr>
      <w:tr w14:paraId="381150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8" w:type="dxa"/>
            <w:vAlign w:val="center"/>
          </w:tcPr>
          <w:p w14:paraId="08C2A547">
            <w:pPr>
              <w:spacing w:line="300" w:lineRule="exact"/>
              <w:jc w:val="center"/>
              <w:rPr>
                <w:rFonts w:ascii="宋体" w:hAnsi="宋体"/>
                <w:color w:val="auto"/>
                <w:sz w:val="24"/>
                <w:highlight w:val="none"/>
              </w:rPr>
            </w:pPr>
            <w:r>
              <w:rPr>
                <w:rFonts w:hint="eastAsia" w:ascii="宋体" w:hAnsi="宋体"/>
                <w:color w:val="auto"/>
                <w:sz w:val="24"/>
                <w:highlight w:val="none"/>
              </w:rPr>
              <w:t>10</w:t>
            </w:r>
          </w:p>
        </w:tc>
        <w:tc>
          <w:tcPr>
            <w:tcW w:w="2019" w:type="dxa"/>
            <w:vAlign w:val="center"/>
          </w:tcPr>
          <w:p w14:paraId="1B482853">
            <w:pPr>
              <w:snapToGrid w:val="0"/>
              <w:spacing w:line="300" w:lineRule="exact"/>
              <w:jc w:val="center"/>
              <w:rPr>
                <w:rFonts w:ascii="宋体" w:hAnsi="宋体"/>
                <w:bCs/>
                <w:color w:val="auto"/>
                <w:sz w:val="21"/>
                <w:szCs w:val="21"/>
                <w:highlight w:val="none"/>
              </w:rPr>
            </w:pPr>
            <w:r>
              <w:rPr>
                <w:rFonts w:hint="eastAsia" w:ascii="宋体" w:hAnsi="宋体"/>
                <w:color w:val="auto"/>
                <w:sz w:val="21"/>
                <w:szCs w:val="21"/>
                <w:highlight w:val="none"/>
              </w:rPr>
              <w:t>电子加密</w:t>
            </w:r>
            <w:r>
              <w:rPr>
                <w:rFonts w:hint="eastAsia" w:ascii="宋体" w:hAnsi="宋体"/>
                <w:color w:val="auto"/>
                <w:sz w:val="21"/>
                <w:highlight w:val="none"/>
              </w:rPr>
              <w:t>响应文件</w:t>
            </w:r>
            <w:r>
              <w:rPr>
                <w:rFonts w:hint="eastAsia" w:ascii="宋体" w:hAnsi="宋体"/>
                <w:color w:val="auto"/>
                <w:sz w:val="21"/>
                <w:szCs w:val="21"/>
                <w:highlight w:val="none"/>
              </w:rPr>
              <w:t>的解密和异常情况处理</w:t>
            </w:r>
          </w:p>
        </w:tc>
        <w:tc>
          <w:tcPr>
            <w:tcW w:w="6906" w:type="dxa"/>
            <w:vAlign w:val="center"/>
          </w:tcPr>
          <w:p w14:paraId="23A5B90A">
            <w:pPr>
              <w:widowControl/>
              <w:jc w:val="left"/>
              <w:rPr>
                <w:rFonts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 xml:space="preserve">（1）开标后，采购组织机构将向各投标供应商发出“电子加密响应文件”的解密通知，各投标供应商代表应当在接到解密通知后60分钟内自行完成“电子加密响应文件”的在线解密。 </w:t>
            </w:r>
          </w:p>
          <w:p w14:paraId="10B82E0C">
            <w:pPr>
              <w:widowControl/>
              <w:jc w:val="left"/>
              <w:rPr>
                <w:rFonts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2）通过“政府采购云平台”成功上传递交的“电子加密响应文件”在线解密失败后，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4564BFE8">
            <w:pPr>
              <w:widowControl/>
              <w:jc w:val="left"/>
              <w:rPr>
                <w:rFonts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（3）若供应商在规定时间内响应文件无法解密，或解密失败且备份文件读取失败（含未提交），则投标无效。</w:t>
            </w:r>
          </w:p>
          <w:p w14:paraId="21DC86E7">
            <w:pPr>
              <w:widowControl/>
              <w:jc w:val="left"/>
              <w:rPr>
                <w:rFonts w:ascii="宋体" w:hAnsi="宋体"/>
                <w:color w:val="auto"/>
                <w:sz w:val="21"/>
                <w:szCs w:val="21"/>
                <w:highlight w:val="none"/>
              </w:rPr>
            </w:pPr>
            <w:r>
              <w:rPr>
                <w:rFonts w:hint="eastAsia" w:ascii="宋体" w:hAnsi="宋体" w:eastAsia="宋体" w:cs="宋体"/>
                <w:b/>
                <w:bCs/>
                <w:color w:val="auto"/>
                <w:kern w:val="0"/>
                <w:sz w:val="21"/>
                <w:szCs w:val="21"/>
                <w:highlight w:val="none"/>
                <w:lang w:bidi="ar"/>
              </w:rPr>
              <w:t>（4）投标截止时间前，投标供应商仅递交了“备份响应文件”而未将电子加密响应文件上传至“政府采购云平台”的，投标无效。</w:t>
            </w:r>
          </w:p>
        </w:tc>
      </w:tr>
      <w:tr w14:paraId="0F430E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3" w:hRule="atLeast"/>
        </w:trPr>
        <w:tc>
          <w:tcPr>
            <w:tcW w:w="738" w:type="dxa"/>
            <w:vAlign w:val="center"/>
          </w:tcPr>
          <w:p w14:paraId="4482A7F9">
            <w:pPr>
              <w:spacing w:line="300" w:lineRule="exact"/>
              <w:jc w:val="center"/>
              <w:rPr>
                <w:rFonts w:ascii="宋体" w:hAnsi="宋体"/>
                <w:color w:val="auto"/>
                <w:sz w:val="24"/>
                <w:highlight w:val="none"/>
              </w:rPr>
            </w:pPr>
            <w:r>
              <w:rPr>
                <w:rFonts w:hint="eastAsia" w:ascii="宋体" w:hAnsi="宋体"/>
                <w:color w:val="auto"/>
                <w:sz w:val="24"/>
                <w:highlight w:val="none"/>
              </w:rPr>
              <w:t>11</w:t>
            </w:r>
          </w:p>
        </w:tc>
        <w:tc>
          <w:tcPr>
            <w:tcW w:w="2019" w:type="dxa"/>
            <w:vAlign w:val="center"/>
          </w:tcPr>
          <w:p w14:paraId="0A9041A5">
            <w:pPr>
              <w:autoSpaceDE w:val="0"/>
              <w:autoSpaceDN w:val="0"/>
              <w:adjustRightInd w:val="0"/>
              <w:spacing w:line="300" w:lineRule="exact"/>
              <w:jc w:val="center"/>
              <w:rPr>
                <w:rFonts w:ascii="宋体" w:hAnsi="宋体"/>
                <w:color w:val="auto"/>
                <w:sz w:val="21"/>
                <w:szCs w:val="21"/>
                <w:highlight w:val="none"/>
              </w:rPr>
            </w:pPr>
            <w:r>
              <w:rPr>
                <w:rFonts w:hint="eastAsia" w:ascii="宋体" w:hAnsi="宋体"/>
                <w:bCs/>
                <w:color w:val="auto"/>
                <w:sz w:val="21"/>
                <w:szCs w:val="21"/>
                <w:highlight w:val="none"/>
              </w:rPr>
              <w:t>答疑与澄清</w:t>
            </w:r>
          </w:p>
        </w:tc>
        <w:tc>
          <w:tcPr>
            <w:tcW w:w="6906" w:type="dxa"/>
            <w:vAlign w:val="center"/>
          </w:tcPr>
          <w:p w14:paraId="529947A3">
            <w:pPr>
              <w:autoSpaceDE w:val="0"/>
              <w:autoSpaceDN w:val="0"/>
              <w:adjustRightInd w:val="0"/>
              <w:snapToGrid w:val="0"/>
              <w:spacing w:line="300" w:lineRule="exact"/>
              <w:rPr>
                <w:color w:val="auto"/>
                <w:highlight w:val="none"/>
              </w:rPr>
            </w:pPr>
            <w:r>
              <w:rPr>
                <w:rFonts w:hint="eastAsia" w:ascii="宋体" w:hAnsi="宋体"/>
                <w:bCs/>
                <w:color w:val="auto"/>
                <w:kern w:val="0"/>
                <w:sz w:val="21"/>
                <w:szCs w:val="21"/>
                <w:highlight w:val="none"/>
                <w:lang w:val="zh-CN"/>
              </w:rPr>
              <w:t>供应商认为采购文件使自己的权益受到损害的，可以自收到采购文件之日（采购文件获取截止日之后收到采购文件的，以采购文件获取截止日为准）或者采购文件公告期限届满之日（公告发布后的第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bCs/>
                <w:color w:val="auto"/>
                <w:kern w:val="0"/>
                <w:sz w:val="21"/>
                <w:szCs w:val="21"/>
                <w:highlight w:val="none"/>
              </w:rPr>
              <w:t>4</w:t>
            </w:r>
            <w:r>
              <w:rPr>
                <w:rFonts w:hint="eastAsia" w:ascii="宋体" w:hAnsi="宋体"/>
                <w:bCs/>
                <w:color w:val="auto"/>
                <w:kern w:val="0"/>
                <w:sz w:val="21"/>
                <w:szCs w:val="21"/>
                <w:highlight w:val="none"/>
                <w:lang w:val="zh-CN"/>
              </w:rPr>
              <w:t>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5263BD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738" w:type="dxa"/>
            <w:vAlign w:val="center"/>
          </w:tcPr>
          <w:p w14:paraId="4995D98F">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12</w:t>
            </w:r>
          </w:p>
        </w:tc>
        <w:tc>
          <w:tcPr>
            <w:tcW w:w="2019" w:type="dxa"/>
            <w:vAlign w:val="center"/>
          </w:tcPr>
          <w:p w14:paraId="5166313B">
            <w:pPr>
              <w:autoSpaceDE w:val="0"/>
              <w:autoSpaceDN w:val="0"/>
              <w:adjustRightInd w:val="0"/>
              <w:spacing w:line="300" w:lineRule="exact"/>
              <w:jc w:val="center"/>
              <w:rPr>
                <w:rFonts w:ascii="宋体" w:hAnsi="宋体"/>
                <w:color w:val="auto"/>
                <w:sz w:val="21"/>
                <w:szCs w:val="21"/>
                <w:highlight w:val="none"/>
              </w:rPr>
            </w:pPr>
            <w:r>
              <w:rPr>
                <w:rFonts w:hint="eastAsia" w:ascii="宋体" w:hAnsi="宋体"/>
                <w:color w:val="auto"/>
                <w:sz w:val="21"/>
                <w:szCs w:val="21"/>
                <w:highlight w:val="none"/>
                <w:lang w:val="zh-CN"/>
              </w:rPr>
              <w:t>实质性条款</w:t>
            </w:r>
          </w:p>
        </w:tc>
        <w:tc>
          <w:tcPr>
            <w:tcW w:w="6906" w:type="dxa"/>
            <w:vAlign w:val="center"/>
          </w:tcPr>
          <w:p w14:paraId="041CBFA0">
            <w:pPr>
              <w:autoSpaceDE w:val="0"/>
              <w:autoSpaceDN w:val="0"/>
              <w:adjustRightInd w:val="0"/>
              <w:spacing w:line="300" w:lineRule="exact"/>
              <w:ind w:left="1050" w:hanging="1050"/>
              <w:rPr>
                <w:color w:val="auto"/>
                <w:highlight w:val="none"/>
              </w:rPr>
            </w:pPr>
            <w:r>
              <w:rPr>
                <w:rFonts w:hint="eastAsia" w:ascii="宋体" w:hAnsi="宋体"/>
                <w:color w:val="auto"/>
                <w:kern w:val="0"/>
                <w:sz w:val="21"/>
                <w:szCs w:val="21"/>
                <w:highlight w:val="none"/>
                <w:lang w:val="zh-CN"/>
              </w:rPr>
              <w:t>带</w:t>
            </w:r>
            <w:r>
              <w:rPr>
                <w:rFonts w:hint="eastAsia" w:ascii="宋体" w:hAnsi="宋体"/>
                <w:bCs/>
                <w:color w:val="auto"/>
                <w:sz w:val="21"/>
                <w:szCs w:val="21"/>
                <w:highlight w:val="none"/>
              </w:rPr>
              <w:t>▲是实质性条款，磋商响应文件须作出实质性响应，否则作无效标处理。</w:t>
            </w:r>
          </w:p>
        </w:tc>
      </w:tr>
      <w:tr w14:paraId="27DCAB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8" w:type="dxa"/>
            <w:vAlign w:val="center"/>
          </w:tcPr>
          <w:p w14:paraId="67847343">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13</w:t>
            </w:r>
          </w:p>
        </w:tc>
        <w:tc>
          <w:tcPr>
            <w:tcW w:w="2019" w:type="dxa"/>
            <w:vAlign w:val="center"/>
          </w:tcPr>
          <w:p w14:paraId="10E850E7">
            <w:pPr>
              <w:autoSpaceDE w:val="0"/>
              <w:autoSpaceDN w:val="0"/>
              <w:adjustRightInd w:val="0"/>
              <w:spacing w:line="300" w:lineRule="exact"/>
              <w:jc w:val="center"/>
              <w:rPr>
                <w:rFonts w:ascii="宋体" w:hAnsi="宋体"/>
                <w:b/>
                <w:color w:val="auto"/>
                <w:sz w:val="21"/>
                <w:szCs w:val="21"/>
                <w:highlight w:val="none"/>
                <w:lang w:val="zh-CN"/>
              </w:rPr>
            </w:pPr>
            <w:r>
              <w:rPr>
                <w:rFonts w:hint="eastAsia" w:ascii="宋体" w:hAnsi="宋体"/>
                <w:bCs/>
                <w:color w:val="auto"/>
                <w:sz w:val="21"/>
                <w:szCs w:val="21"/>
                <w:highlight w:val="none"/>
              </w:rPr>
              <w:t>▲项目最高限价</w:t>
            </w:r>
          </w:p>
        </w:tc>
        <w:tc>
          <w:tcPr>
            <w:tcW w:w="6906" w:type="dxa"/>
            <w:vAlign w:val="center"/>
          </w:tcPr>
          <w:p w14:paraId="11F38641">
            <w:pPr>
              <w:autoSpaceDE w:val="0"/>
              <w:autoSpaceDN w:val="0"/>
              <w:adjustRightInd w:val="0"/>
              <w:spacing w:line="300" w:lineRule="exact"/>
              <w:rPr>
                <w:rFonts w:ascii="宋体" w:hAnsi="宋体" w:eastAsia="宋体"/>
                <w:b/>
                <w:color w:val="auto"/>
                <w:kern w:val="0"/>
                <w:sz w:val="21"/>
                <w:szCs w:val="21"/>
                <w:highlight w:val="none"/>
              </w:rPr>
            </w:pPr>
            <w:r>
              <w:rPr>
                <w:rFonts w:hint="eastAsia" w:ascii="宋体" w:hAnsi="宋体" w:eastAsia="宋体"/>
                <w:bCs/>
                <w:color w:val="auto"/>
                <w:sz w:val="21"/>
                <w:szCs w:val="21"/>
                <w:highlight w:val="none"/>
              </w:rPr>
              <w:t>标项一：最高限价为</w:t>
            </w:r>
            <w:r>
              <w:rPr>
                <w:rFonts w:hint="eastAsia"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u w:val="single"/>
                <w:lang w:val="en-US" w:eastAsia="zh-CN"/>
              </w:rPr>
              <w:t>80</w:t>
            </w:r>
            <w:r>
              <w:rPr>
                <w:rFonts w:hint="eastAsia" w:ascii="宋体" w:hAnsi="宋体" w:eastAsia="宋体"/>
                <w:bCs/>
                <w:color w:val="auto"/>
                <w:sz w:val="21"/>
                <w:szCs w:val="21"/>
                <w:highlight w:val="none"/>
                <w:u w:val="single"/>
              </w:rPr>
              <w:t>万</w:t>
            </w:r>
            <w:r>
              <w:rPr>
                <w:rFonts w:hint="eastAsia" w:ascii="宋体" w:hAnsi="宋体" w:eastAsia="宋体"/>
                <w:b/>
                <w:color w:val="auto"/>
                <w:kern w:val="0"/>
                <w:sz w:val="21"/>
                <w:szCs w:val="21"/>
                <w:highlight w:val="none"/>
                <w:u w:val="single"/>
              </w:rPr>
              <w:t>元</w:t>
            </w:r>
            <w:r>
              <w:rPr>
                <w:rFonts w:hint="eastAsia" w:ascii="宋体" w:hAnsi="宋体" w:eastAsia="宋体"/>
                <w:b/>
                <w:color w:val="auto"/>
                <w:kern w:val="0"/>
                <w:sz w:val="21"/>
                <w:szCs w:val="21"/>
                <w:highlight w:val="none"/>
              </w:rPr>
              <w:t>；</w:t>
            </w:r>
            <w:r>
              <w:rPr>
                <w:rFonts w:hint="eastAsia" w:ascii="宋体" w:hAnsi="宋体" w:eastAsia="宋体"/>
                <w:bCs/>
                <w:color w:val="auto"/>
                <w:sz w:val="21"/>
                <w:szCs w:val="21"/>
                <w:highlight w:val="none"/>
              </w:rPr>
              <w:t>标项</w:t>
            </w:r>
            <w:r>
              <w:rPr>
                <w:rFonts w:hint="eastAsia" w:ascii="宋体" w:hAnsi="宋体" w:eastAsia="宋体"/>
                <w:bCs/>
                <w:color w:val="auto"/>
                <w:sz w:val="21"/>
                <w:szCs w:val="21"/>
                <w:highlight w:val="none"/>
                <w:lang w:eastAsia="zh-CN"/>
              </w:rPr>
              <w:t>二</w:t>
            </w:r>
            <w:r>
              <w:rPr>
                <w:rFonts w:hint="eastAsia" w:ascii="宋体" w:hAnsi="宋体" w:eastAsia="宋体"/>
                <w:bCs/>
                <w:color w:val="auto"/>
                <w:sz w:val="21"/>
                <w:szCs w:val="21"/>
                <w:highlight w:val="none"/>
              </w:rPr>
              <w:t>：最高限价为</w:t>
            </w:r>
            <w:r>
              <w:rPr>
                <w:rFonts w:hint="eastAsia"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u w:val="single"/>
                <w:lang w:val="en-US" w:eastAsia="zh-CN"/>
              </w:rPr>
              <w:t>80</w:t>
            </w:r>
            <w:r>
              <w:rPr>
                <w:rFonts w:hint="eastAsia" w:ascii="宋体" w:hAnsi="宋体" w:eastAsia="宋体"/>
                <w:bCs/>
                <w:color w:val="auto"/>
                <w:sz w:val="21"/>
                <w:szCs w:val="21"/>
                <w:highlight w:val="none"/>
                <w:u w:val="single"/>
              </w:rPr>
              <w:t>万</w:t>
            </w:r>
            <w:r>
              <w:rPr>
                <w:rFonts w:hint="eastAsia" w:ascii="宋体" w:hAnsi="宋体" w:eastAsia="宋体"/>
                <w:b/>
                <w:color w:val="auto"/>
                <w:kern w:val="0"/>
                <w:sz w:val="21"/>
                <w:szCs w:val="21"/>
                <w:highlight w:val="none"/>
                <w:u w:val="single"/>
              </w:rPr>
              <w:t>元</w:t>
            </w:r>
            <w:r>
              <w:rPr>
                <w:rFonts w:hint="eastAsia" w:ascii="宋体" w:hAnsi="宋体" w:eastAsia="宋体"/>
                <w:bCs/>
                <w:color w:val="auto"/>
                <w:sz w:val="21"/>
                <w:szCs w:val="21"/>
                <w:highlight w:val="none"/>
              </w:rPr>
              <w:t>。如供应商的磋商报价超过最高限价，其磋商响应文件作无效标处理。</w:t>
            </w:r>
          </w:p>
        </w:tc>
      </w:tr>
      <w:tr w14:paraId="30A43C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6" w:space="0"/>
              <w:right w:val="single" w:color="auto" w:sz="6" w:space="0"/>
            </w:tcBorders>
            <w:vAlign w:val="center"/>
          </w:tcPr>
          <w:p w14:paraId="1CAC1231">
            <w:pPr>
              <w:spacing w:line="300" w:lineRule="exact"/>
              <w:jc w:val="center"/>
              <w:rPr>
                <w:rFonts w:ascii="宋体" w:hAnsi="宋体"/>
                <w:color w:val="auto"/>
                <w:sz w:val="24"/>
                <w:highlight w:val="none"/>
              </w:rPr>
            </w:pPr>
            <w:r>
              <w:rPr>
                <w:rFonts w:hint="eastAsia" w:ascii="宋体" w:hAnsi="宋体" w:eastAsia="宋体"/>
                <w:color w:val="auto"/>
                <w:sz w:val="24"/>
                <w:highlight w:val="none"/>
              </w:rPr>
              <w:t>14</w:t>
            </w:r>
          </w:p>
        </w:tc>
        <w:tc>
          <w:tcPr>
            <w:tcW w:w="2019" w:type="dxa"/>
            <w:tcBorders>
              <w:left w:val="single" w:color="auto" w:sz="6" w:space="0"/>
              <w:bottom w:val="single" w:color="auto" w:sz="6" w:space="0"/>
              <w:right w:val="single" w:color="auto" w:sz="6" w:space="0"/>
            </w:tcBorders>
            <w:vAlign w:val="center"/>
          </w:tcPr>
          <w:p w14:paraId="066AABF6">
            <w:pPr>
              <w:autoSpaceDE w:val="0"/>
              <w:autoSpaceDN w:val="0"/>
              <w:adjustRightInd w:val="0"/>
              <w:spacing w:line="3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政采贷相关说明</w:t>
            </w:r>
          </w:p>
          <w:p w14:paraId="6C0B1957">
            <w:pPr>
              <w:autoSpaceDE w:val="0"/>
              <w:autoSpaceDN w:val="0"/>
              <w:adjustRightInd w:val="0"/>
              <w:spacing w:line="300" w:lineRule="exact"/>
              <w:jc w:val="center"/>
              <w:rPr>
                <w:rFonts w:ascii="宋体" w:hAnsi="宋体"/>
                <w:color w:val="auto"/>
                <w:sz w:val="21"/>
                <w:szCs w:val="21"/>
                <w:highlight w:val="none"/>
                <w:lang w:val="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不限于</w:t>
            </w:r>
            <w:r>
              <w:rPr>
                <w:rFonts w:hint="eastAsia" w:ascii="宋体" w:hAnsi="宋体" w:eastAsia="宋体" w:cs="宋体"/>
                <w:color w:val="auto"/>
                <w:kern w:val="0"/>
                <w:sz w:val="21"/>
                <w:szCs w:val="21"/>
                <w:highlight w:val="none"/>
              </w:rPr>
              <w:t>）</w:t>
            </w:r>
          </w:p>
        </w:tc>
        <w:tc>
          <w:tcPr>
            <w:tcW w:w="6906" w:type="dxa"/>
            <w:tcBorders>
              <w:left w:val="single" w:color="auto" w:sz="6" w:space="0"/>
              <w:bottom w:val="single" w:color="auto" w:sz="6" w:space="0"/>
            </w:tcBorders>
            <w:vAlign w:val="center"/>
          </w:tcPr>
          <w:p w14:paraId="5D5BC557">
            <w:pPr>
              <w:autoSpaceDE w:val="0"/>
              <w:autoSpaceDN w:val="0"/>
              <w:adjustRightInd w:val="0"/>
              <w:spacing w:line="300" w:lineRule="exact"/>
              <w:ind w:left="0" w:leftChars="0" w:firstLine="0" w:firstLineChars="0"/>
              <w:jc w:val="left"/>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为优化政府采购营商环境，缓解供应商资金难题，政采云平台已推广“政采贷”服务，中标供应商如有融资需求，可使用以下银行的政采贷服务：</w:t>
            </w:r>
          </w:p>
          <w:tbl>
            <w:tblPr>
              <w:tblStyle w:val="27"/>
              <w:tblW w:w="0" w:type="auto"/>
              <w:tblCellSpacing w:w="15" w:type="dxa"/>
              <w:tblInd w:w="0" w:type="dxa"/>
              <w:tblLayout w:type="fixed"/>
              <w:tblCellMar>
                <w:top w:w="15" w:type="dxa"/>
                <w:left w:w="15" w:type="dxa"/>
                <w:bottom w:w="15" w:type="dxa"/>
                <w:right w:w="15" w:type="dxa"/>
              </w:tblCellMar>
            </w:tblPr>
            <w:tblGrid>
              <w:gridCol w:w="2884"/>
              <w:gridCol w:w="1531"/>
              <w:gridCol w:w="1983"/>
            </w:tblGrid>
            <w:tr w14:paraId="2FCEE2EF">
              <w:tblPrEx>
                <w:tblCellMar>
                  <w:top w:w="15" w:type="dxa"/>
                  <w:left w:w="15" w:type="dxa"/>
                  <w:bottom w:w="15" w:type="dxa"/>
                  <w:right w:w="15" w:type="dxa"/>
                </w:tblCellMar>
              </w:tblPrEx>
              <w:trPr>
                <w:cantSplit/>
                <w:trHeight w:val="633" w:hRule="atLeast"/>
                <w:tblCellSpacing w:w="15" w:type="dxa"/>
              </w:trPr>
              <w:tc>
                <w:tcPr>
                  <w:tcW w:w="283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6F398AE0">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银行名称</w:t>
                  </w:r>
                </w:p>
              </w:tc>
              <w:tc>
                <w:tcPr>
                  <w:tcW w:w="150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3FE4E82C">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联系人</w:t>
                  </w:r>
                </w:p>
              </w:tc>
              <w:tc>
                <w:tcPr>
                  <w:tcW w:w="1938"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14:paraId="4421B380">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联系方式</w:t>
                  </w:r>
                </w:p>
              </w:tc>
            </w:tr>
            <w:tr w14:paraId="2C1F91E4">
              <w:tblPrEx>
                <w:tblCellMar>
                  <w:top w:w="15" w:type="dxa"/>
                  <w:left w:w="15" w:type="dxa"/>
                  <w:bottom w:w="15" w:type="dxa"/>
                  <w:right w:w="15" w:type="dxa"/>
                </w:tblCellMar>
              </w:tblPrEx>
              <w:trPr>
                <w:cantSplit/>
                <w:trHeight w:val="608" w:hRule="atLeast"/>
                <w:tblCellSpacing w:w="15" w:type="dxa"/>
              </w:trPr>
              <w:tc>
                <w:tcPr>
                  <w:tcW w:w="2839" w:type="dxa"/>
                  <w:tcBorders>
                    <w:top w:val="nil"/>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1B869393">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中国工商银行</w:t>
                  </w:r>
                </w:p>
              </w:tc>
              <w:tc>
                <w:tcPr>
                  <w:tcW w:w="1501" w:type="dxa"/>
                  <w:tcBorders>
                    <w:top w:val="nil"/>
                    <w:left w:val="nil"/>
                    <w:bottom w:val="single" w:color="000000" w:sz="4" w:space="0"/>
                    <w:right w:val="single" w:color="000000" w:sz="4" w:space="0"/>
                  </w:tcBorders>
                  <w:noWrap/>
                  <w:tcMar>
                    <w:top w:w="12" w:type="dxa"/>
                    <w:left w:w="12" w:type="dxa"/>
                    <w:bottom w:w="0" w:type="dxa"/>
                    <w:right w:w="12" w:type="dxa"/>
                  </w:tcMar>
                  <w:vAlign w:val="center"/>
                </w:tcPr>
                <w:p w14:paraId="46526061">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陈盈</w:t>
                  </w:r>
                </w:p>
              </w:tc>
              <w:tc>
                <w:tcPr>
                  <w:tcW w:w="1938" w:type="dxa"/>
                  <w:tcBorders>
                    <w:top w:val="nil"/>
                    <w:left w:val="nil"/>
                    <w:bottom w:val="single" w:color="000000" w:sz="4" w:space="0"/>
                    <w:right w:val="single" w:color="000000" w:sz="4" w:space="0"/>
                  </w:tcBorders>
                  <w:noWrap/>
                  <w:tcMar>
                    <w:top w:w="12" w:type="dxa"/>
                    <w:left w:w="12" w:type="dxa"/>
                    <w:bottom w:w="0" w:type="dxa"/>
                    <w:right w:w="12" w:type="dxa"/>
                  </w:tcMar>
                  <w:vAlign w:val="center"/>
                </w:tcPr>
                <w:p w14:paraId="5CD39257">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13967614344</w:t>
                  </w:r>
                </w:p>
              </w:tc>
            </w:tr>
            <w:tr w14:paraId="472BB3F1">
              <w:tblPrEx>
                <w:tblCellMar>
                  <w:top w:w="15" w:type="dxa"/>
                  <w:left w:w="15" w:type="dxa"/>
                  <w:bottom w:w="15" w:type="dxa"/>
                  <w:right w:w="15" w:type="dxa"/>
                </w:tblCellMar>
              </w:tblPrEx>
              <w:trPr>
                <w:cantSplit/>
                <w:trHeight w:val="608" w:hRule="atLeast"/>
                <w:tblCellSpacing w:w="15" w:type="dxa"/>
              </w:trPr>
              <w:tc>
                <w:tcPr>
                  <w:tcW w:w="2839" w:type="dxa"/>
                  <w:tcBorders>
                    <w:top w:val="nil"/>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600D84B3">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浙江泰隆商业银行</w:t>
                  </w:r>
                </w:p>
              </w:tc>
              <w:tc>
                <w:tcPr>
                  <w:tcW w:w="1501" w:type="dxa"/>
                  <w:tcBorders>
                    <w:top w:val="nil"/>
                    <w:left w:val="nil"/>
                    <w:bottom w:val="single" w:color="000000" w:sz="4" w:space="0"/>
                    <w:right w:val="single" w:color="000000" w:sz="4" w:space="0"/>
                  </w:tcBorders>
                  <w:noWrap/>
                  <w:tcMar>
                    <w:top w:w="12" w:type="dxa"/>
                    <w:left w:w="12" w:type="dxa"/>
                    <w:bottom w:w="0" w:type="dxa"/>
                    <w:right w:w="12" w:type="dxa"/>
                  </w:tcMar>
                  <w:vAlign w:val="center"/>
                </w:tcPr>
                <w:p w14:paraId="2E9D9837">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陈超</w:t>
                  </w:r>
                </w:p>
              </w:tc>
              <w:tc>
                <w:tcPr>
                  <w:tcW w:w="1938" w:type="dxa"/>
                  <w:tcBorders>
                    <w:top w:val="nil"/>
                    <w:left w:val="nil"/>
                    <w:bottom w:val="single" w:color="000000" w:sz="4" w:space="0"/>
                    <w:right w:val="single" w:color="000000" w:sz="4" w:space="0"/>
                  </w:tcBorders>
                  <w:noWrap/>
                  <w:tcMar>
                    <w:top w:w="12" w:type="dxa"/>
                    <w:left w:w="12" w:type="dxa"/>
                    <w:bottom w:w="0" w:type="dxa"/>
                    <w:right w:w="12" w:type="dxa"/>
                  </w:tcMar>
                  <w:vAlign w:val="center"/>
                </w:tcPr>
                <w:p w14:paraId="1D4E4494">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17858683697</w:t>
                  </w:r>
                </w:p>
              </w:tc>
            </w:tr>
            <w:tr w14:paraId="4ACD17D5">
              <w:tblPrEx>
                <w:tblCellMar>
                  <w:top w:w="15" w:type="dxa"/>
                  <w:left w:w="15" w:type="dxa"/>
                  <w:bottom w:w="15" w:type="dxa"/>
                  <w:right w:w="15" w:type="dxa"/>
                </w:tblCellMar>
              </w:tblPrEx>
              <w:trPr>
                <w:cantSplit/>
                <w:trHeight w:val="608" w:hRule="atLeast"/>
                <w:tblCellSpacing w:w="15" w:type="dxa"/>
              </w:trPr>
              <w:tc>
                <w:tcPr>
                  <w:tcW w:w="2839" w:type="dxa"/>
                  <w:tcBorders>
                    <w:top w:val="nil"/>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700E61B">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浙江民泰商业银行</w:t>
                  </w:r>
                </w:p>
              </w:tc>
              <w:tc>
                <w:tcPr>
                  <w:tcW w:w="1501" w:type="dxa"/>
                  <w:tcBorders>
                    <w:top w:val="nil"/>
                    <w:left w:val="nil"/>
                    <w:bottom w:val="single" w:color="000000" w:sz="4" w:space="0"/>
                    <w:right w:val="single" w:color="000000" w:sz="4" w:space="0"/>
                  </w:tcBorders>
                  <w:noWrap/>
                  <w:tcMar>
                    <w:top w:w="12" w:type="dxa"/>
                    <w:left w:w="12" w:type="dxa"/>
                    <w:bottom w:w="0" w:type="dxa"/>
                    <w:right w:w="12" w:type="dxa"/>
                  </w:tcMar>
                  <w:vAlign w:val="center"/>
                </w:tcPr>
                <w:p w14:paraId="0CC5F8E3">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朱祖优</w:t>
                  </w:r>
                </w:p>
              </w:tc>
              <w:tc>
                <w:tcPr>
                  <w:tcW w:w="1938" w:type="dxa"/>
                  <w:tcBorders>
                    <w:top w:val="nil"/>
                    <w:left w:val="nil"/>
                    <w:bottom w:val="single" w:color="000000" w:sz="4" w:space="0"/>
                    <w:right w:val="single" w:color="000000" w:sz="4" w:space="0"/>
                  </w:tcBorders>
                  <w:noWrap/>
                  <w:tcMar>
                    <w:top w:w="12" w:type="dxa"/>
                    <w:left w:w="12" w:type="dxa"/>
                    <w:bottom w:w="0" w:type="dxa"/>
                    <w:right w:w="12" w:type="dxa"/>
                  </w:tcMar>
                  <w:vAlign w:val="center"/>
                </w:tcPr>
                <w:p w14:paraId="0FE765E4">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13858602876</w:t>
                  </w:r>
                </w:p>
              </w:tc>
            </w:tr>
            <w:tr w14:paraId="69B5E192">
              <w:tblPrEx>
                <w:tblCellMar>
                  <w:top w:w="15" w:type="dxa"/>
                  <w:left w:w="15" w:type="dxa"/>
                  <w:bottom w:w="15" w:type="dxa"/>
                  <w:right w:w="15" w:type="dxa"/>
                </w:tblCellMar>
              </w:tblPrEx>
              <w:trPr>
                <w:cantSplit/>
                <w:trHeight w:val="608" w:hRule="atLeast"/>
                <w:tblCellSpacing w:w="15" w:type="dxa"/>
              </w:trPr>
              <w:tc>
                <w:tcPr>
                  <w:tcW w:w="2839" w:type="dxa"/>
                  <w:tcBorders>
                    <w:top w:val="nil"/>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48F06B62">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中国建设银行</w:t>
                  </w:r>
                </w:p>
              </w:tc>
              <w:tc>
                <w:tcPr>
                  <w:tcW w:w="1501" w:type="dxa"/>
                  <w:tcBorders>
                    <w:top w:val="nil"/>
                    <w:left w:val="nil"/>
                    <w:bottom w:val="single" w:color="000000" w:sz="4" w:space="0"/>
                    <w:right w:val="single" w:color="000000" w:sz="4" w:space="0"/>
                  </w:tcBorders>
                  <w:noWrap/>
                  <w:tcMar>
                    <w:top w:w="12" w:type="dxa"/>
                    <w:left w:w="12" w:type="dxa"/>
                    <w:bottom w:w="0" w:type="dxa"/>
                    <w:right w:w="12" w:type="dxa"/>
                  </w:tcMar>
                  <w:vAlign w:val="center"/>
                </w:tcPr>
                <w:p w14:paraId="03C72504">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徐旭霞</w:t>
                  </w:r>
                </w:p>
              </w:tc>
              <w:tc>
                <w:tcPr>
                  <w:tcW w:w="1938" w:type="dxa"/>
                  <w:tcBorders>
                    <w:top w:val="nil"/>
                    <w:left w:val="nil"/>
                    <w:bottom w:val="single" w:color="000000" w:sz="4" w:space="0"/>
                    <w:right w:val="single" w:color="000000" w:sz="4" w:space="0"/>
                  </w:tcBorders>
                  <w:noWrap/>
                  <w:tcMar>
                    <w:top w:w="12" w:type="dxa"/>
                    <w:left w:w="12" w:type="dxa"/>
                    <w:bottom w:w="0" w:type="dxa"/>
                    <w:right w:w="12" w:type="dxa"/>
                  </w:tcMar>
                  <w:vAlign w:val="center"/>
                </w:tcPr>
                <w:p w14:paraId="3E2C2DF7">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15988932355</w:t>
                  </w:r>
                </w:p>
              </w:tc>
            </w:tr>
            <w:tr w14:paraId="157863D2">
              <w:tblPrEx>
                <w:tblCellMar>
                  <w:top w:w="15" w:type="dxa"/>
                  <w:left w:w="15" w:type="dxa"/>
                  <w:bottom w:w="15" w:type="dxa"/>
                  <w:right w:w="15" w:type="dxa"/>
                </w:tblCellMar>
              </w:tblPrEx>
              <w:trPr>
                <w:cantSplit/>
                <w:trHeight w:val="608" w:hRule="atLeast"/>
                <w:tblCellSpacing w:w="15" w:type="dxa"/>
              </w:trPr>
              <w:tc>
                <w:tcPr>
                  <w:tcW w:w="2839" w:type="dxa"/>
                  <w:tcBorders>
                    <w:top w:val="nil"/>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9F38154">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中国邮政储蓄银行</w:t>
                  </w:r>
                </w:p>
              </w:tc>
              <w:tc>
                <w:tcPr>
                  <w:tcW w:w="1501" w:type="dxa"/>
                  <w:tcBorders>
                    <w:top w:val="nil"/>
                    <w:left w:val="nil"/>
                    <w:bottom w:val="single" w:color="000000" w:sz="4" w:space="0"/>
                    <w:right w:val="single" w:color="000000" w:sz="4" w:space="0"/>
                  </w:tcBorders>
                  <w:noWrap/>
                  <w:tcMar>
                    <w:top w:w="12" w:type="dxa"/>
                    <w:left w:w="12" w:type="dxa"/>
                    <w:bottom w:w="0" w:type="dxa"/>
                    <w:right w:w="12" w:type="dxa"/>
                  </w:tcMar>
                  <w:vAlign w:val="center"/>
                </w:tcPr>
                <w:p w14:paraId="28FA4150">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赵红芳</w:t>
                  </w:r>
                </w:p>
              </w:tc>
              <w:tc>
                <w:tcPr>
                  <w:tcW w:w="1938" w:type="dxa"/>
                  <w:tcBorders>
                    <w:top w:val="nil"/>
                    <w:left w:val="nil"/>
                    <w:bottom w:val="single" w:color="000000" w:sz="4" w:space="0"/>
                    <w:right w:val="single" w:color="000000" w:sz="4" w:space="0"/>
                  </w:tcBorders>
                  <w:noWrap/>
                  <w:tcMar>
                    <w:top w:w="12" w:type="dxa"/>
                    <w:left w:w="12" w:type="dxa"/>
                    <w:bottom w:w="0" w:type="dxa"/>
                    <w:right w:w="12" w:type="dxa"/>
                  </w:tcMar>
                  <w:vAlign w:val="center"/>
                </w:tcPr>
                <w:p w14:paraId="4717167E">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18968556112</w:t>
                  </w:r>
                </w:p>
              </w:tc>
            </w:tr>
            <w:tr w14:paraId="47207A90">
              <w:tblPrEx>
                <w:tblCellMar>
                  <w:top w:w="15" w:type="dxa"/>
                  <w:left w:w="15" w:type="dxa"/>
                  <w:bottom w:w="15" w:type="dxa"/>
                  <w:right w:w="15" w:type="dxa"/>
                </w:tblCellMar>
              </w:tblPrEx>
              <w:trPr>
                <w:cantSplit/>
                <w:trHeight w:val="598" w:hRule="atLeast"/>
                <w:tblCellSpacing w:w="15" w:type="dxa"/>
              </w:trPr>
              <w:tc>
                <w:tcPr>
                  <w:tcW w:w="2839" w:type="dxa"/>
                  <w:tcBorders>
                    <w:top w:val="nil"/>
                    <w:left w:val="single" w:color="000000" w:sz="4" w:space="0"/>
                    <w:bottom w:val="nil"/>
                    <w:right w:val="single" w:color="000000" w:sz="4" w:space="0"/>
                  </w:tcBorders>
                  <w:noWrap/>
                  <w:tcMar>
                    <w:top w:w="12" w:type="dxa"/>
                    <w:left w:w="12" w:type="dxa"/>
                    <w:bottom w:w="0" w:type="dxa"/>
                    <w:right w:w="12" w:type="dxa"/>
                  </w:tcMar>
                  <w:vAlign w:val="center"/>
                </w:tcPr>
                <w:p w14:paraId="20C5B2D1">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农村商业银行</w:t>
                  </w:r>
                </w:p>
              </w:tc>
              <w:tc>
                <w:tcPr>
                  <w:tcW w:w="1501" w:type="dxa"/>
                  <w:tcBorders>
                    <w:top w:val="nil"/>
                    <w:left w:val="nil"/>
                    <w:bottom w:val="nil"/>
                    <w:right w:val="single" w:color="000000" w:sz="4" w:space="0"/>
                  </w:tcBorders>
                  <w:noWrap/>
                  <w:tcMar>
                    <w:top w:w="12" w:type="dxa"/>
                    <w:left w:w="12" w:type="dxa"/>
                    <w:bottom w:w="0" w:type="dxa"/>
                    <w:right w:w="12" w:type="dxa"/>
                  </w:tcMar>
                  <w:vAlign w:val="center"/>
                </w:tcPr>
                <w:p w14:paraId="24BDB314">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叶斌昇</w:t>
                  </w:r>
                </w:p>
              </w:tc>
              <w:tc>
                <w:tcPr>
                  <w:tcW w:w="1938" w:type="dxa"/>
                  <w:tcBorders>
                    <w:top w:val="nil"/>
                    <w:left w:val="nil"/>
                    <w:bottom w:val="nil"/>
                    <w:right w:val="single" w:color="000000" w:sz="4" w:space="0"/>
                  </w:tcBorders>
                  <w:noWrap/>
                  <w:tcMar>
                    <w:top w:w="12" w:type="dxa"/>
                    <w:left w:w="12" w:type="dxa"/>
                    <w:bottom w:w="0" w:type="dxa"/>
                    <w:right w:w="12" w:type="dxa"/>
                  </w:tcMar>
                  <w:vAlign w:val="center"/>
                </w:tcPr>
                <w:p w14:paraId="01C37078">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13806593583</w:t>
                  </w:r>
                </w:p>
              </w:tc>
            </w:tr>
            <w:tr w14:paraId="5B2821DF">
              <w:tblPrEx>
                <w:tblCellMar>
                  <w:top w:w="15" w:type="dxa"/>
                  <w:left w:w="15" w:type="dxa"/>
                  <w:bottom w:w="15" w:type="dxa"/>
                  <w:right w:w="15" w:type="dxa"/>
                </w:tblCellMar>
              </w:tblPrEx>
              <w:trPr>
                <w:cantSplit/>
                <w:trHeight w:val="608" w:hRule="atLeast"/>
                <w:tblCellSpacing w:w="15" w:type="dxa"/>
              </w:trPr>
              <w:tc>
                <w:tcPr>
                  <w:tcW w:w="2839" w:type="dxa"/>
                  <w:tcBorders>
                    <w:top w:val="single" w:color="auto" w:sz="4" w:space="0"/>
                    <w:left w:val="single" w:color="000000" w:sz="4" w:space="0"/>
                    <w:bottom w:val="nil"/>
                    <w:right w:val="single" w:color="000000" w:sz="4" w:space="0"/>
                  </w:tcBorders>
                  <w:noWrap/>
                  <w:tcMar>
                    <w:top w:w="12" w:type="dxa"/>
                    <w:left w:w="12" w:type="dxa"/>
                    <w:bottom w:w="0" w:type="dxa"/>
                    <w:right w:w="12" w:type="dxa"/>
                  </w:tcMar>
                  <w:vAlign w:val="center"/>
                </w:tcPr>
                <w:p w14:paraId="4758F33E">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台州银行</w:t>
                  </w:r>
                </w:p>
              </w:tc>
              <w:tc>
                <w:tcPr>
                  <w:tcW w:w="1501" w:type="dxa"/>
                  <w:tcBorders>
                    <w:top w:val="single" w:color="auto" w:sz="4" w:space="0"/>
                    <w:left w:val="nil"/>
                    <w:bottom w:val="nil"/>
                    <w:right w:val="single" w:color="000000" w:sz="4" w:space="0"/>
                  </w:tcBorders>
                  <w:noWrap/>
                  <w:tcMar>
                    <w:top w:w="12" w:type="dxa"/>
                    <w:left w:w="12" w:type="dxa"/>
                    <w:bottom w:w="0" w:type="dxa"/>
                    <w:right w:w="12" w:type="dxa"/>
                  </w:tcMar>
                  <w:vAlign w:val="center"/>
                </w:tcPr>
                <w:p w14:paraId="38D192A9">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朱翔</w:t>
                  </w:r>
                </w:p>
              </w:tc>
              <w:tc>
                <w:tcPr>
                  <w:tcW w:w="1938" w:type="dxa"/>
                  <w:tcBorders>
                    <w:top w:val="single" w:color="auto" w:sz="4" w:space="0"/>
                    <w:left w:val="nil"/>
                    <w:bottom w:val="nil"/>
                    <w:right w:val="single" w:color="000000" w:sz="4" w:space="0"/>
                  </w:tcBorders>
                  <w:noWrap/>
                  <w:tcMar>
                    <w:top w:w="12" w:type="dxa"/>
                    <w:left w:w="12" w:type="dxa"/>
                    <w:bottom w:w="0" w:type="dxa"/>
                    <w:right w:w="12" w:type="dxa"/>
                  </w:tcMar>
                  <w:vAlign w:val="center"/>
                </w:tcPr>
                <w:p w14:paraId="3B96DA73">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13819660917</w:t>
                  </w:r>
                </w:p>
              </w:tc>
            </w:tr>
            <w:tr w14:paraId="4BE48151">
              <w:tblPrEx>
                <w:tblCellMar>
                  <w:top w:w="15" w:type="dxa"/>
                  <w:left w:w="15" w:type="dxa"/>
                  <w:bottom w:w="15" w:type="dxa"/>
                  <w:right w:w="15" w:type="dxa"/>
                </w:tblCellMar>
              </w:tblPrEx>
              <w:trPr>
                <w:cantSplit/>
                <w:trHeight w:val="633" w:hRule="atLeast"/>
                <w:tblCellSpacing w:w="15" w:type="dxa"/>
              </w:trPr>
              <w:tc>
                <w:tcPr>
                  <w:tcW w:w="2839" w:type="dxa"/>
                  <w:tcBorders>
                    <w:top w:val="single" w:color="auto"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654660E3">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中国农业银行</w:t>
                  </w:r>
                </w:p>
              </w:tc>
              <w:tc>
                <w:tcPr>
                  <w:tcW w:w="1501" w:type="dxa"/>
                  <w:tcBorders>
                    <w:top w:val="single" w:color="auto" w:sz="4" w:space="0"/>
                    <w:left w:val="nil"/>
                    <w:bottom w:val="single" w:color="000000" w:sz="4" w:space="0"/>
                    <w:right w:val="single" w:color="000000" w:sz="4" w:space="0"/>
                  </w:tcBorders>
                  <w:noWrap/>
                  <w:tcMar>
                    <w:top w:w="12" w:type="dxa"/>
                    <w:left w:w="12" w:type="dxa"/>
                    <w:bottom w:w="0" w:type="dxa"/>
                    <w:right w:w="12" w:type="dxa"/>
                  </w:tcMar>
                  <w:vAlign w:val="center"/>
                </w:tcPr>
                <w:p w14:paraId="695ABE43">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娄志伟</w:t>
                  </w:r>
                </w:p>
              </w:tc>
              <w:tc>
                <w:tcPr>
                  <w:tcW w:w="1938" w:type="dxa"/>
                  <w:tcBorders>
                    <w:top w:val="single" w:color="auto" w:sz="4" w:space="0"/>
                    <w:left w:val="nil"/>
                    <w:bottom w:val="single" w:color="000000" w:sz="4" w:space="0"/>
                    <w:right w:val="single" w:color="000000" w:sz="4" w:space="0"/>
                  </w:tcBorders>
                  <w:noWrap/>
                  <w:tcMar>
                    <w:top w:w="12" w:type="dxa"/>
                    <w:left w:w="12" w:type="dxa"/>
                    <w:bottom w:w="0" w:type="dxa"/>
                    <w:right w:w="12" w:type="dxa"/>
                  </w:tcMar>
                  <w:vAlign w:val="center"/>
                </w:tcPr>
                <w:p w14:paraId="057CCBE7">
                  <w:pPr>
                    <w:autoSpaceDE w:val="0"/>
                    <w:autoSpaceDN w:val="0"/>
                    <w:adjustRightInd w:val="0"/>
                    <w:spacing w:line="300" w:lineRule="exact"/>
                    <w:ind w:left="1050" w:hanging="1050"/>
                    <w:rPr>
                      <w:rFonts w:hint="eastAsia" w:ascii="宋体" w:hAnsi="宋体" w:cs="Times New Roman"/>
                      <w:bCs/>
                      <w:color w:val="auto"/>
                      <w:sz w:val="21"/>
                      <w:szCs w:val="21"/>
                      <w:highlight w:val="none"/>
                    </w:rPr>
                  </w:pPr>
                  <w:r>
                    <w:rPr>
                      <w:rFonts w:hint="eastAsia" w:ascii="宋体" w:hAnsi="宋体" w:cs="Times New Roman"/>
                      <w:bCs/>
                      <w:color w:val="auto"/>
                      <w:sz w:val="21"/>
                      <w:szCs w:val="21"/>
                      <w:highlight w:val="none"/>
                    </w:rPr>
                    <w:t>13958514828</w:t>
                  </w:r>
                </w:p>
              </w:tc>
            </w:tr>
          </w:tbl>
          <w:p w14:paraId="47CC8157">
            <w:pPr>
              <w:autoSpaceDE w:val="0"/>
              <w:autoSpaceDN w:val="0"/>
              <w:adjustRightInd w:val="0"/>
              <w:spacing w:line="300" w:lineRule="exact"/>
              <w:ind w:left="1050" w:hanging="1050"/>
              <w:rPr>
                <w:rFonts w:hint="eastAsia" w:ascii="宋体" w:hAnsi="宋体" w:cs="Times New Roman"/>
                <w:bCs/>
                <w:color w:val="auto"/>
                <w:sz w:val="21"/>
                <w:szCs w:val="21"/>
                <w:highlight w:val="none"/>
                <w:lang w:val="zh-CN"/>
              </w:rPr>
            </w:pPr>
          </w:p>
        </w:tc>
      </w:tr>
      <w:tr w14:paraId="4384E3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top w:val="single" w:color="auto" w:sz="6" w:space="0"/>
              <w:bottom w:val="single" w:color="auto" w:sz="6" w:space="0"/>
              <w:right w:val="single" w:color="auto" w:sz="6" w:space="0"/>
            </w:tcBorders>
            <w:vAlign w:val="center"/>
          </w:tcPr>
          <w:p w14:paraId="54389859">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15</w:t>
            </w:r>
          </w:p>
        </w:tc>
        <w:tc>
          <w:tcPr>
            <w:tcW w:w="2019" w:type="dxa"/>
            <w:tcBorders>
              <w:top w:val="single" w:color="auto" w:sz="6" w:space="0"/>
              <w:left w:val="single" w:color="auto" w:sz="6" w:space="0"/>
              <w:bottom w:val="single" w:color="auto" w:sz="6" w:space="0"/>
              <w:right w:val="single" w:color="auto" w:sz="6" w:space="0"/>
            </w:tcBorders>
            <w:vAlign w:val="center"/>
          </w:tcPr>
          <w:p w14:paraId="6771F61B">
            <w:pPr>
              <w:autoSpaceDE w:val="0"/>
              <w:autoSpaceDN w:val="0"/>
              <w:adjustRightInd w:val="0"/>
              <w:spacing w:line="300" w:lineRule="exact"/>
              <w:jc w:val="center"/>
              <w:rPr>
                <w:rFonts w:ascii="宋体" w:hAnsi="宋体"/>
                <w:bCs/>
                <w:color w:val="auto"/>
                <w:sz w:val="21"/>
                <w:szCs w:val="21"/>
                <w:highlight w:val="none"/>
                <w:lang w:val="zh-CN"/>
              </w:rPr>
            </w:pPr>
            <w:r>
              <w:rPr>
                <w:rFonts w:hint="eastAsia" w:ascii="宋体" w:hAnsi="宋体"/>
                <w:color w:val="auto"/>
                <w:sz w:val="21"/>
                <w:szCs w:val="21"/>
                <w:highlight w:val="none"/>
              </w:rPr>
              <w:t>解释权</w:t>
            </w:r>
          </w:p>
        </w:tc>
        <w:tc>
          <w:tcPr>
            <w:tcW w:w="6906" w:type="dxa"/>
            <w:tcBorders>
              <w:top w:val="single" w:color="auto" w:sz="6" w:space="0"/>
              <w:left w:val="single" w:color="auto" w:sz="6" w:space="0"/>
              <w:bottom w:val="single" w:color="auto" w:sz="6" w:space="0"/>
            </w:tcBorders>
            <w:vAlign w:val="center"/>
          </w:tcPr>
          <w:p w14:paraId="72F0BF02">
            <w:pPr>
              <w:autoSpaceDE w:val="0"/>
              <w:autoSpaceDN w:val="0"/>
              <w:adjustRightInd w:val="0"/>
              <w:spacing w:line="300" w:lineRule="exact"/>
              <w:rPr>
                <w:rFonts w:ascii="宋体" w:hAnsi="宋体" w:eastAsia="宋体"/>
                <w:bCs/>
                <w:color w:val="auto"/>
                <w:sz w:val="21"/>
                <w:szCs w:val="21"/>
                <w:highlight w:val="none"/>
                <w:lang w:val="zh-CN"/>
              </w:rPr>
            </w:pPr>
            <w:r>
              <w:rPr>
                <w:rFonts w:hint="eastAsia" w:ascii="宋体" w:hAnsi="宋体"/>
                <w:color w:val="auto"/>
                <w:sz w:val="21"/>
                <w:szCs w:val="21"/>
                <w:highlight w:val="none"/>
              </w:rPr>
              <w:t>本磋商文件解释权属于采购人和采购代理机构。</w:t>
            </w:r>
          </w:p>
        </w:tc>
      </w:tr>
    </w:tbl>
    <w:p w14:paraId="0D972611">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401A587F">
      <w:pPr>
        <w:pStyle w:val="25"/>
        <w:spacing w:before="0" w:beforeAutospacing="0" w:after="0" w:afterAutospacing="0" w:line="360" w:lineRule="auto"/>
        <w:jc w:val="center"/>
        <w:rPr>
          <w:rFonts w:hint="default" w:eastAsia="宋体" w:cs="宋体"/>
          <w:b/>
          <w:color w:val="auto"/>
          <w:kern w:val="2"/>
          <w:sz w:val="21"/>
          <w:szCs w:val="21"/>
          <w:highlight w:val="none"/>
        </w:rPr>
      </w:pPr>
      <w:r>
        <w:rPr>
          <w:rFonts w:eastAsia="宋体" w:cs="宋体"/>
          <w:b/>
          <w:color w:val="auto"/>
          <w:kern w:val="2"/>
          <w:sz w:val="21"/>
          <w:szCs w:val="21"/>
          <w:highlight w:val="none"/>
        </w:rPr>
        <w:t>履约保函、预付款保函相关说明</w:t>
      </w:r>
    </w:p>
    <w:tbl>
      <w:tblPr>
        <w:tblStyle w:val="27"/>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5812"/>
        <w:gridCol w:w="2268"/>
      </w:tblGrid>
      <w:tr w14:paraId="1AF2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985" w:type="dxa"/>
            <w:noWrap w:val="0"/>
            <w:vAlign w:val="center"/>
          </w:tcPr>
          <w:p w14:paraId="7527ED49">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金融机构名称及意愿承担保函（保单）种类</w:t>
            </w:r>
          </w:p>
        </w:tc>
        <w:tc>
          <w:tcPr>
            <w:tcW w:w="5812" w:type="dxa"/>
            <w:noWrap w:val="0"/>
            <w:vAlign w:val="center"/>
          </w:tcPr>
          <w:p w14:paraId="69A5C33B">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保函（保单）收费情况</w:t>
            </w:r>
          </w:p>
        </w:tc>
        <w:tc>
          <w:tcPr>
            <w:tcW w:w="2268" w:type="dxa"/>
            <w:noWrap w:val="0"/>
            <w:vAlign w:val="center"/>
          </w:tcPr>
          <w:p w14:paraId="61AC3078">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联系人及联系方式</w:t>
            </w:r>
          </w:p>
        </w:tc>
      </w:tr>
      <w:tr w14:paraId="7E41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85" w:type="dxa"/>
            <w:noWrap w:val="0"/>
            <w:vAlign w:val="center"/>
          </w:tcPr>
          <w:p w14:paraId="2A17DE25">
            <w:pPr>
              <w:rPr>
                <w:rFonts w:hint="eastAsia" w:ascii="宋体" w:hAnsi="宋体" w:eastAsia="宋体" w:cs="宋体"/>
                <w:color w:val="000000"/>
                <w:sz w:val="21"/>
                <w:szCs w:val="21"/>
              </w:rPr>
            </w:pPr>
            <w:r>
              <w:rPr>
                <w:rFonts w:hint="eastAsia" w:ascii="宋体" w:hAnsi="宋体" w:eastAsia="宋体" w:cs="宋体"/>
                <w:color w:val="000000"/>
                <w:sz w:val="21"/>
                <w:szCs w:val="21"/>
              </w:rPr>
              <w:t>机构名称：中国工商银行股份有限公司仙居支行</w:t>
            </w:r>
          </w:p>
          <w:p w14:paraId="0DBA51BB">
            <w:pPr>
              <w:rPr>
                <w:rFonts w:hint="eastAsia" w:ascii="宋体" w:hAnsi="宋体" w:eastAsia="宋体" w:cs="宋体"/>
                <w:color w:val="000000"/>
                <w:sz w:val="21"/>
                <w:szCs w:val="21"/>
              </w:rPr>
            </w:pPr>
            <w:r>
              <w:rPr>
                <w:rFonts w:hint="eastAsia" w:ascii="宋体" w:hAnsi="宋体" w:eastAsia="宋体" w:cs="宋体"/>
                <w:color w:val="000000"/>
                <w:sz w:val="21"/>
                <w:szCs w:val="21"/>
              </w:rPr>
              <w:t>履约保函： 是</w:t>
            </w:r>
          </w:p>
          <w:p w14:paraId="0D8EC8F5">
            <w:pPr>
              <w:rPr>
                <w:rFonts w:hint="eastAsia" w:ascii="宋体" w:hAnsi="宋体" w:eastAsia="宋体" w:cs="宋体"/>
                <w:color w:val="000000"/>
                <w:sz w:val="21"/>
                <w:szCs w:val="21"/>
              </w:rPr>
            </w:pPr>
            <w:r>
              <w:rPr>
                <w:rFonts w:hint="eastAsia" w:ascii="宋体" w:hAnsi="宋体" w:eastAsia="宋体" w:cs="宋体"/>
                <w:color w:val="000000"/>
                <w:sz w:val="21"/>
                <w:szCs w:val="21"/>
              </w:rPr>
              <w:t>预付款保函： 是</w:t>
            </w:r>
          </w:p>
          <w:p w14:paraId="217B1EA0">
            <w:pPr>
              <w:rPr>
                <w:rFonts w:hint="eastAsia" w:ascii="宋体" w:hAnsi="宋体" w:eastAsia="宋体" w:cs="宋体"/>
                <w:color w:val="000000"/>
                <w:sz w:val="21"/>
                <w:szCs w:val="21"/>
              </w:rPr>
            </w:pPr>
          </w:p>
        </w:tc>
        <w:tc>
          <w:tcPr>
            <w:tcW w:w="5812" w:type="dxa"/>
            <w:noWrap w:val="0"/>
            <w:vAlign w:val="center"/>
          </w:tcPr>
          <w:p w14:paraId="72323C03">
            <w:pPr>
              <w:rPr>
                <w:rFonts w:hint="eastAsia" w:ascii="宋体" w:hAnsi="宋体" w:eastAsia="宋体" w:cs="宋体"/>
                <w:color w:val="000000"/>
                <w:sz w:val="21"/>
                <w:szCs w:val="21"/>
              </w:rPr>
            </w:pPr>
            <w:r>
              <w:rPr>
                <w:rFonts w:hint="eastAsia" w:ascii="宋体" w:hAnsi="宋体" w:eastAsia="宋体" w:cs="宋体"/>
                <w:color w:val="000000"/>
                <w:sz w:val="21"/>
                <w:szCs w:val="21"/>
              </w:rPr>
              <w:t>对外保函服务</w:t>
            </w:r>
          </w:p>
          <w:p w14:paraId="7BB2DBFE">
            <w:pPr>
              <w:rPr>
                <w:rFonts w:hint="eastAsia" w:ascii="宋体" w:hAnsi="宋体" w:eastAsia="宋体" w:cs="宋体"/>
                <w:color w:val="000000"/>
                <w:sz w:val="21"/>
                <w:szCs w:val="21"/>
              </w:rPr>
            </w:pPr>
            <w:r>
              <w:rPr>
                <w:rFonts w:hint="eastAsia" w:ascii="宋体" w:hAnsi="宋体" w:eastAsia="宋体" w:cs="宋体"/>
                <w:color w:val="000000"/>
                <w:sz w:val="21"/>
                <w:szCs w:val="21"/>
              </w:rPr>
              <w:t>1.开立及展期费担保费率：</w:t>
            </w:r>
          </w:p>
          <w:p w14:paraId="5916BA54">
            <w:pPr>
              <w:rPr>
                <w:rFonts w:hint="eastAsia" w:ascii="宋体" w:hAnsi="宋体" w:eastAsia="宋体" w:cs="宋体"/>
                <w:color w:val="000000"/>
                <w:sz w:val="21"/>
                <w:szCs w:val="21"/>
              </w:rPr>
            </w:pPr>
            <w:r>
              <w:rPr>
                <w:rFonts w:hint="eastAsia" w:ascii="宋体" w:hAnsi="宋体" w:eastAsia="宋体" w:cs="宋体"/>
                <w:color w:val="000000"/>
                <w:sz w:val="21"/>
                <w:szCs w:val="21"/>
              </w:rPr>
              <w:t>（1)融资性保函：期限在一年（含）以内，客户按担保额度0.05-0.25%/月计收。最小计费周期为实际月（按实际发生天数，从保函生效之日至失效日计算，30天为1月），期限不足1月的按1个月计收。最低500元／季。</w:t>
            </w:r>
          </w:p>
          <w:p w14:paraId="5CCAD62F">
            <w:pPr>
              <w:rPr>
                <w:rFonts w:hint="eastAsia" w:ascii="宋体" w:hAnsi="宋体" w:eastAsia="宋体" w:cs="宋体"/>
                <w:color w:val="000000"/>
                <w:sz w:val="21"/>
                <w:szCs w:val="21"/>
              </w:rPr>
            </w:pPr>
            <w:r>
              <w:rPr>
                <w:rFonts w:hint="eastAsia" w:ascii="宋体" w:hAnsi="宋体" w:eastAsia="宋体" w:cs="宋体"/>
                <w:color w:val="000000"/>
                <w:sz w:val="21"/>
                <w:szCs w:val="21"/>
              </w:rPr>
              <w:t>（2)非融资性保函：期限在一年（含）以内，客户按0.027-0.167%/月计收。最小计费周期为实际月（按实际发生天数，从保函生效之日至失效日计算，30天为1月），期限不足1月的按1个月计收。最低500元／季。</w:t>
            </w:r>
          </w:p>
          <w:p w14:paraId="0A5B5FC0">
            <w:pPr>
              <w:rPr>
                <w:rFonts w:hint="eastAsia" w:ascii="宋体" w:hAnsi="宋体" w:eastAsia="宋体" w:cs="宋体"/>
                <w:color w:val="000000"/>
                <w:sz w:val="21"/>
                <w:szCs w:val="21"/>
              </w:rPr>
            </w:pPr>
            <w:r>
              <w:rPr>
                <w:rFonts w:hint="eastAsia" w:ascii="宋体" w:hAnsi="宋体" w:eastAsia="宋体" w:cs="宋体"/>
                <w:color w:val="000000"/>
                <w:sz w:val="21"/>
                <w:szCs w:val="21"/>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47052DF9">
            <w:pPr>
              <w:rPr>
                <w:rFonts w:hint="eastAsia" w:ascii="宋体" w:hAnsi="宋体" w:eastAsia="宋体" w:cs="宋体"/>
                <w:color w:val="000000"/>
                <w:sz w:val="21"/>
                <w:szCs w:val="21"/>
              </w:rPr>
            </w:pPr>
            <w:r>
              <w:rPr>
                <w:rFonts w:hint="eastAsia" w:ascii="宋体" w:hAnsi="宋体" w:eastAsia="宋体" w:cs="宋体"/>
                <w:color w:val="000000"/>
                <w:sz w:val="21"/>
                <w:szCs w:val="21"/>
              </w:rPr>
              <w:t>如企业划型为小微企业的，以上手续费全免。</w:t>
            </w:r>
          </w:p>
        </w:tc>
        <w:tc>
          <w:tcPr>
            <w:tcW w:w="2268" w:type="dxa"/>
            <w:noWrap w:val="0"/>
            <w:vAlign w:val="center"/>
          </w:tcPr>
          <w:p w14:paraId="7365762C">
            <w:pPr>
              <w:rPr>
                <w:rFonts w:hint="eastAsia" w:ascii="宋体" w:hAnsi="宋体" w:eastAsia="宋体" w:cs="宋体"/>
                <w:color w:val="000000"/>
                <w:sz w:val="21"/>
                <w:szCs w:val="21"/>
              </w:rPr>
            </w:pPr>
            <w:r>
              <w:rPr>
                <w:rFonts w:hint="eastAsia" w:ascii="宋体" w:hAnsi="宋体" w:eastAsia="宋体" w:cs="宋体"/>
                <w:color w:val="000000"/>
                <w:sz w:val="21"/>
                <w:szCs w:val="21"/>
              </w:rPr>
              <w:t>陈盈13967614344</w:t>
            </w:r>
          </w:p>
        </w:tc>
      </w:tr>
      <w:tr w14:paraId="38AA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85" w:type="dxa"/>
            <w:noWrap w:val="0"/>
            <w:vAlign w:val="center"/>
          </w:tcPr>
          <w:p w14:paraId="1F2AD11D">
            <w:pPr>
              <w:rPr>
                <w:rFonts w:hint="eastAsia" w:ascii="宋体" w:hAnsi="宋体" w:eastAsia="宋体" w:cs="宋体"/>
                <w:color w:val="000000"/>
                <w:sz w:val="21"/>
                <w:szCs w:val="21"/>
              </w:rPr>
            </w:pPr>
          </w:p>
          <w:p w14:paraId="4CA285E8">
            <w:pPr>
              <w:rPr>
                <w:rFonts w:hint="eastAsia" w:ascii="宋体" w:hAnsi="宋体" w:eastAsia="宋体" w:cs="宋体"/>
                <w:color w:val="000000"/>
                <w:sz w:val="21"/>
                <w:szCs w:val="21"/>
              </w:rPr>
            </w:pPr>
          </w:p>
          <w:p w14:paraId="2FFDBA38">
            <w:pPr>
              <w:rPr>
                <w:rFonts w:hint="eastAsia" w:ascii="宋体" w:hAnsi="宋体" w:eastAsia="宋体" w:cs="宋体"/>
                <w:color w:val="000000"/>
                <w:sz w:val="21"/>
                <w:szCs w:val="21"/>
              </w:rPr>
            </w:pPr>
          </w:p>
          <w:p w14:paraId="26E9C50B">
            <w:pPr>
              <w:rPr>
                <w:rFonts w:hint="eastAsia" w:ascii="宋体" w:hAnsi="宋体" w:eastAsia="宋体" w:cs="宋体"/>
                <w:color w:val="000000"/>
                <w:sz w:val="21"/>
                <w:szCs w:val="21"/>
              </w:rPr>
            </w:pPr>
          </w:p>
          <w:p w14:paraId="68E89FFE">
            <w:pPr>
              <w:rPr>
                <w:rFonts w:hint="eastAsia" w:ascii="宋体" w:hAnsi="宋体" w:eastAsia="宋体" w:cs="宋体"/>
                <w:color w:val="000000"/>
                <w:sz w:val="21"/>
                <w:szCs w:val="21"/>
              </w:rPr>
            </w:pPr>
          </w:p>
          <w:p w14:paraId="6CAA1FB2">
            <w:pPr>
              <w:rPr>
                <w:rFonts w:hint="eastAsia" w:ascii="宋体" w:hAnsi="宋体" w:eastAsia="宋体" w:cs="宋体"/>
                <w:color w:val="000000"/>
                <w:sz w:val="21"/>
                <w:szCs w:val="21"/>
              </w:rPr>
            </w:pPr>
            <w:r>
              <w:rPr>
                <w:rFonts w:hint="eastAsia" w:ascii="宋体" w:hAnsi="宋体" w:eastAsia="宋体" w:cs="宋体"/>
                <w:color w:val="000000"/>
                <w:sz w:val="21"/>
                <w:szCs w:val="21"/>
              </w:rPr>
              <w:t>机构名称：浙江泰隆商业银行台州仙居支行</w:t>
            </w:r>
          </w:p>
          <w:p w14:paraId="5759295A">
            <w:pPr>
              <w:rPr>
                <w:rFonts w:hint="eastAsia" w:ascii="宋体" w:hAnsi="宋体" w:eastAsia="宋体" w:cs="宋体"/>
                <w:color w:val="000000"/>
                <w:sz w:val="21"/>
                <w:szCs w:val="21"/>
              </w:rPr>
            </w:pPr>
            <w:r>
              <w:rPr>
                <w:rFonts w:hint="eastAsia" w:ascii="宋体" w:hAnsi="宋体" w:eastAsia="宋体" w:cs="宋体"/>
                <w:color w:val="000000"/>
                <w:sz w:val="21"/>
                <w:szCs w:val="21"/>
              </w:rPr>
              <w:t>履约保函：是</w:t>
            </w:r>
          </w:p>
          <w:p w14:paraId="7134C572">
            <w:pPr>
              <w:rPr>
                <w:rFonts w:hint="eastAsia" w:ascii="宋体" w:hAnsi="宋体" w:eastAsia="宋体" w:cs="宋体"/>
                <w:color w:val="000000"/>
                <w:sz w:val="21"/>
                <w:szCs w:val="21"/>
              </w:rPr>
            </w:pPr>
            <w:r>
              <w:rPr>
                <w:rFonts w:hint="eastAsia" w:ascii="宋体" w:hAnsi="宋体" w:eastAsia="宋体" w:cs="宋体"/>
                <w:color w:val="000000"/>
                <w:sz w:val="21"/>
                <w:szCs w:val="21"/>
              </w:rPr>
              <w:t>预付款保函：是</w:t>
            </w:r>
          </w:p>
          <w:p w14:paraId="1BA0D725">
            <w:pPr>
              <w:rPr>
                <w:rFonts w:hint="eastAsia" w:ascii="宋体" w:hAnsi="宋体" w:eastAsia="宋体" w:cs="宋体"/>
                <w:color w:val="000000"/>
                <w:sz w:val="21"/>
                <w:szCs w:val="21"/>
              </w:rPr>
            </w:pPr>
            <w:r>
              <w:rPr>
                <w:rFonts w:hint="eastAsia" w:ascii="宋体" w:hAnsi="宋体" w:eastAsia="宋体" w:cs="宋体"/>
                <w:color w:val="000000"/>
                <w:sz w:val="21"/>
                <w:szCs w:val="21"/>
              </w:rPr>
              <w:t>备注：我行目前只有线下模式</w:t>
            </w:r>
          </w:p>
        </w:tc>
        <w:tc>
          <w:tcPr>
            <w:tcW w:w="5812" w:type="dxa"/>
            <w:noWrap w:val="0"/>
            <w:vAlign w:val="center"/>
          </w:tcPr>
          <w:p w14:paraId="0AA97539">
            <w:pPr>
              <w:rPr>
                <w:rFonts w:hint="eastAsia" w:ascii="宋体" w:hAnsi="宋体" w:eastAsia="宋体" w:cs="宋体"/>
                <w:color w:val="000000"/>
                <w:sz w:val="21"/>
                <w:szCs w:val="21"/>
              </w:rPr>
            </w:pPr>
            <w:r>
              <w:rPr>
                <w:rFonts w:hint="eastAsia" w:ascii="宋体" w:hAnsi="宋体" w:eastAsia="宋体" w:cs="宋体"/>
                <w:color w:val="000000"/>
                <w:sz w:val="21"/>
                <w:szCs w:val="21"/>
              </w:rPr>
              <w:t>根据保证金比例不同，参照下述费率计收：</w:t>
            </w:r>
          </w:p>
          <w:p w14:paraId="1969332A">
            <w:pPr>
              <w:rPr>
                <w:rFonts w:hint="eastAsia" w:ascii="宋体" w:hAnsi="宋体" w:eastAsia="宋体" w:cs="宋体"/>
                <w:color w:val="000000"/>
                <w:sz w:val="21"/>
                <w:szCs w:val="21"/>
              </w:rPr>
            </w:pPr>
            <w:r>
              <w:rPr>
                <w:rFonts w:hint="eastAsia" w:ascii="宋体" w:hAnsi="宋体" w:eastAsia="宋体" w:cs="宋体"/>
                <w:color w:val="000000"/>
                <w:sz w:val="21"/>
                <w:szCs w:val="21"/>
              </w:rPr>
              <w:t>全额保证金，500一年；</w:t>
            </w:r>
          </w:p>
          <w:p w14:paraId="43682770">
            <w:pPr>
              <w:rPr>
                <w:rFonts w:hint="eastAsia" w:ascii="宋体" w:hAnsi="宋体" w:eastAsia="宋体" w:cs="宋体"/>
                <w:color w:val="000000"/>
                <w:sz w:val="21"/>
                <w:szCs w:val="21"/>
              </w:rPr>
            </w:pPr>
            <w:r>
              <w:rPr>
                <w:rFonts w:hint="eastAsia" w:ascii="宋体" w:hAnsi="宋体" w:eastAsia="宋体" w:cs="宋体"/>
                <w:color w:val="000000"/>
                <w:sz w:val="21"/>
                <w:szCs w:val="21"/>
              </w:rPr>
              <w:t>保证金比例50%以下，保函敞口金额的1.25‰/季，最低500元/季；</w:t>
            </w:r>
          </w:p>
          <w:p w14:paraId="39D7DC5B">
            <w:pPr>
              <w:rPr>
                <w:rFonts w:hint="eastAsia" w:ascii="宋体" w:hAnsi="宋体" w:eastAsia="宋体" w:cs="宋体"/>
                <w:color w:val="000000"/>
                <w:sz w:val="21"/>
                <w:szCs w:val="21"/>
              </w:rPr>
            </w:pPr>
            <w:r>
              <w:rPr>
                <w:rFonts w:hint="eastAsia" w:ascii="宋体" w:hAnsi="宋体" w:eastAsia="宋体" w:cs="宋体"/>
                <w:color w:val="000000"/>
                <w:sz w:val="21"/>
                <w:szCs w:val="21"/>
              </w:rPr>
              <w:t>保证金比例50%（含）以上，保函敞口金额的1‰/季，最低500元/季。</w:t>
            </w:r>
          </w:p>
          <w:p w14:paraId="642CFB28">
            <w:pPr>
              <w:rPr>
                <w:rFonts w:hint="eastAsia" w:ascii="宋体" w:hAnsi="宋体" w:eastAsia="宋体" w:cs="宋体"/>
                <w:color w:val="000000"/>
                <w:sz w:val="21"/>
                <w:szCs w:val="21"/>
              </w:rPr>
            </w:pPr>
            <w:r>
              <w:rPr>
                <w:rFonts w:hint="eastAsia" w:ascii="宋体" w:hAnsi="宋体" w:eastAsia="宋体" w:cs="宋体"/>
                <w:color w:val="000000"/>
                <w:sz w:val="21"/>
                <w:szCs w:val="21"/>
              </w:rPr>
              <w:t>涉及保函增额，增额部分参照开立保函收费标准另行收费，延期修改按照300/次的标准另行收费；</w:t>
            </w:r>
          </w:p>
          <w:p w14:paraId="4573CD31">
            <w:pPr>
              <w:rPr>
                <w:rFonts w:hint="eastAsia" w:ascii="宋体" w:hAnsi="宋体" w:eastAsia="宋体" w:cs="宋体"/>
                <w:color w:val="000000"/>
                <w:sz w:val="21"/>
                <w:szCs w:val="21"/>
              </w:rPr>
            </w:pPr>
            <w:r>
              <w:rPr>
                <w:rFonts w:hint="eastAsia" w:ascii="宋体" w:hAnsi="宋体" w:eastAsia="宋体" w:cs="宋体"/>
                <w:color w:val="000000"/>
                <w:sz w:val="21"/>
                <w:szCs w:val="21"/>
              </w:rPr>
              <w:t>按年收费项目不足一年按一年计收，超过一年三十天按照两年计收（从保函开立之日起390天（含）为一个年度三十天）</w:t>
            </w:r>
          </w:p>
          <w:p w14:paraId="3AAF7C7F">
            <w:pPr>
              <w:rPr>
                <w:rFonts w:hint="eastAsia" w:ascii="宋体" w:hAnsi="宋体" w:eastAsia="宋体" w:cs="宋体"/>
                <w:color w:val="000000"/>
                <w:sz w:val="21"/>
                <w:szCs w:val="21"/>
              </w:rPr>
            </w:pPr>
            <w:r>
              <w:rPr>
                <w:rFonts w:hint="eastAsia" w:ascii="宋体" w:hAnsi="宋体" w:eastAsia="宋体" w:cs="宋体"/>
                <w:color w:val="000000"/>
                <w:sz w:val="21"/>
                <w:szCs w:val="21"/>
              </w:rPr>
              <w:t>按季收费项目不足一季按一季度计收，超过一季度十天的按两季度计收（从保函开立之日起100天（含）为一个季度十天）</w:t>
            </w:r>
          </w:p>
        </w:tc>
        <w:tc>
          <w:tcPr>
            <w:tcW w:w="2268" w:type="dxa"/>
            <w:noWrap w:val="0"/>
            <w:vAlign w:val="center"/>
          </w:tcPr>
          <w:p w14:paraId="0E26C3A2">
            <w:pPr>
              <w:rPr>
                <w:rFonts w:hint="eastAsia" w:ascii="宋体" w:hAnsi="宋体" w:eastAsia="宋体" w:cs="宋体"/>
                <w:color w:val="000000"/>
                <w:sz w:val="21"/>
                <w:szCs w:val="21"/>
              </w:rPr>
            </w:pPr>
          </w:p>
          <w:p w14:paraId="1D6714AF">
            <w:pPr>
              <w:rPr>
                <w:rFonts w:hint="eastAsia" w:ascii="宋体" w:hAnsi="宋体" w:eastAsia="宋体" w:cs="宋体"/>
                <w:color w:val="000000"/>
                <w:sz w:val="21"/>
                <w:szCs w:val="21"/>
              </w:rPr>
            </w:pPr>
          </w:p>
          <w:p w14:paraId="1805C74C">
            <w:pPr>
              <w:rPr>
                <w:rFonts w:hint="eastAsia" w:ascii="宋体" w:hAnsi="宋体" w:eastAsia="宋体" w:cs="宋体"/>
                <w:color w:val="000000"/>
                <w:sz w:val="21"/>
                <w:szCs w:val="21"/>
              </w:rPr>
            </w:pPr>
          </w:p>
          <w:p w14:paraId="16F7B35D">
            <w:pPr>
              <w:rPr>
                <w:rFonts w:hint="eastAsia" w:ascii="宋体" w:hAnsi="宋体" w:eastAsia="宋体" w:cs="宋体"/>
                <w:color w:val="000000"/>
                <w:sz w:val="21"/>
                <w:szCs w:val="21"/>
              </w:rPr>
            </w:pPr>
          </w:p>
          <w:p w14:paraId="18BEF51E">
            <w:pPr>
              <w:rPr>
                <w:rFonts w:hint="eastAsia" w:ascii="宋体" w:hAnsi="宋体" w:eastAsia="宋体" w:cs="宋体"/>
                <w:color w:val="000000"/>
                <w:sz w:val="21"/>
                <w:szCs w:val="21"/>
              </w:rPr>
            </w:pPr>
          </w:p>
          <w:p w14:paraId="569C7F73">
            <w:pPr>
              <w:rPr>
                <w:rFonts w:hint="eastAsia" w:ascii="宋体" w:hAnsi="宋体" w:eastAsia="宋体" w:cs="宋体"/>
                <w:color w:val="000000"/>
                <w:sz w:val="21"/>
                <w:szCs w:val="21"/>
              </w:rPr>
            </w:pPr>
            <w:r>
              <w:rPr>
                <w:rFonts w:hint="eastAsia" w:ascii="宋体" w:hAnsi="宋体" w:eastAsia="宋体" w:cs="宋体"/>
                <w:color w:val="000000"/>
                <w:sz w:val="21"/>
                <w:szCs w:val="21"/>
              </w:rPr>
              <w:t>银行联系人：陈超17858683697</w:t>
            </w:r>
          </w:p>
          <w:p w14:paraId="68EACE53">
            <w:pPr>
              <w:rPr>
                <w:rFonts w:hint="eastAsia" w:ascii="宋体" w:hAnsi="宋体" w:eastAsia="宋体" w:cs="宋体"/>
                <w:color w:val="000000"/>
                <w:sz w:val="21"/>
                <w:szCs w:val="21"/>
              </w:rPr>
            </w:pPr>
            <w:r>
              <w:rPr>
                <w:rFonts w:hint="eastAsia" w:ascii="宋体" w:hAnsi="宋体" w:eastAsia="宋体" w:cs="宋体"/>
                <w:color w:val="000000"/>
                <w:sz w:val="21"/>
                <w:szCs w:val="21"/>
              </w:rPr>
              <w:t>具体保函业务办理客户经理：王英17858683702</w:t>
            </w:r>
          </w:p>
        </w:tc>
      </w:tr>
      <w:tr w14:paraId="42D6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985" w:type="dxa"/>
            <w:noWrap w:val="0"/>
            <w:vAlign w:val="center"/>
          </w:tcPr>
          <w:p w14:paraId="4E26FDE1">
            <w:pPr>
              <w:rPr>
                <w:rFonts w:hint="eastAsia" w:ascii="宋体" w:hAnsi="宋体" w:eastAsia="宋体" w:cs="宋体"/>
                <w:color w:val="000000"/>
                <w:sz w:val="21"/>
                <w:szCs w:val="21"/>
              </w:rPr>
            </w:pPr>
            <w:r>
              <w:rPr>
                <w:rFonts w:hint="eastAsia" w:ascii="宋体" w:hAnsi="宋体" w:eastAsia="宋体" w:cs="宋体"/>
                <w:color w:val="000000"/>
                <w:sz w:val="21"/>
                <w:szCs w:val="21"/>
              </w:rPr>
              <w:t>机构名称：仙居农商银行</w:t>
            </w:r>
          </w:p>
          <w:p w14:paraId="6A89AA08">
            <w:pPr>
              <w:rPr>
                <w:rFonts w:hint="eastAsia" w:ascii="宋体" w:hAnsi="宋体" w:eastAsia="宋体" w:cs="宋体"/>
                <w:color w:val="000000"/>
                <w:sz w:val="21"/>
                <w:szCs w:val="21"/>
              </w:rPr>
            </w:pPr>
            <w:r>
              <w:rPr>
                <w:rFonts w:hint="eastAsia" w:ascii="宋体" w:hAnsi="宋体" w:eastAsia="宋体" w:cs="宋体"/>
                <w:color w:val="000000"/>
                <w:sz w:val="21"/>
                <w:szCs w:val="21"/>
              </w:rPr>
              <w:t>履约保函：是</w:t>
            </w:r>
          </w:p>
          <w:p w14:paraId="06BF8F00">
            <w:pPr>
              <w:rPr>
                <w:rFonts w:hint="eastAsia" w:ascii="宋体" w:hAnsi="宋体" w:eastAsia="宋体" w:cs="宋体"/>
                <w:color w:val="000000"/>
                <w:sz w:val="21"/>
                <w:szCs w:val="21"/>
              </w:rPr>
            </w:pPr>
            <w:r>
              <w:rPr>
                <w:rFonts w:hint="eastAsia" w:ascii="宋体" w:hAnsi="宋体" w:eastAsia="宋体" w:cs="宋体"/>
                <w:color w:val="000000"/>
                <w:sz w:val="21"/>
                <w:szCs w:val="21"/>
              </w:rPr>
              <w:t>预付款保函：是</w:t>
            </w:r>
          </w:p>
        </w:tc>
        <w:tc>
          <w:tcPr>
            <w:tcW w:w="5812" w:type="dxa"/>
            <w:noWrap w:val="0"/>
            <w:vAlign w:val="center"/>
          </w:tcPr>
          <w:p w14:paraId="0878CC90">
            <w:pPr>
              <w:rPr>
                <w:rFonts w:hint="eastAsia" w:ascii="宋体" w:hAnsi="宋体" w:eastAsia="宋体" w:cs="宋体"/>
                <w:color w:val="000000"/>
                <w:sz w:val="21"/>
                <w:szCs w:val="21"/>
              </w:rPr>
            </w:pPr>
            <w:r>
              <w:rPr>
                <w:rFonts w:hint="eastAsia" w:ascii="宋体" w:hAnsi="宋体" w:eastAsia="宋体" w:cs="宋体"/>
                <w:color w:val="000000"/>
                <w:sz w:val="21"/>
                <w:szCs w:val="21"/>
              </w:rPr>
              <w:t>合同（质量）履约按履约保证金年费率万分之五，在出具保函前一次性收取。</w:t>
            </w:r>
          </w:p>
        </w:tc>
        <w:tc>
          <w:tcPr>
            <w:tcW w:w="2268" w:type="dxa"/>
            <w:noWrap w:val="0"/>
            <w:vAlign w:val="center"/>
          </w:tcPr>
          <w:p w14:paraId="15432C18">
            <w:pPr>
              <w:rPr>
                <w:rFonts w:hint="eastAsia" w:ascii="宋体" w:hAnsi="宋体" w:eastAsia="宋体" w:cs="宋体"/>
                <w:color w:val="000000"/>
                <w:sz w:val="21"/>
                <w:szCs w:val="21"/>
              </w:rPr>
            </w:pPr>
            <w:r>
              <w:rPr>
                <w:rFonts w:hint="eastAsia" w:ascii="宋体" w:hAnsi="宋体" w:eastAsia="宋体" w:cs="宋体"/>
                <w:color w:val="000000"/>
                <w:sz w:val="21"/>
                <w:szCs w:val="21"/>
              </w:rPr>
              <w:t>李杭13586233529</w:t>
            </w:r>
          </w:p>
        </w:tc>
      </w:tr>
      <w:tr w14:paraId="1048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85" w:type="dxa"/>
            <w:noWrap w:val="0"/>
            <w:vAlign w:val="center"/>
          </w:tcPr>
          <w:p w14:paraId="4B1DA2E4">
            <w:pPr>
              <w:rPr>
                <w:rFonts w:hint="eastAsia" w:ascii="宋体" w:hAnsi="宋体" w:eastAsia="宋体" w:cs="宋体"/>
                <w:color w:val="000000"/>
                <w:sz w:val="21"/>
                <w:szCs w:val="21"/>
              </w:rPr>
            </w:pPr>
            <w:r>
              <w:rPr>
                <w:rFonts w:hint="eastAsia" w:ascii="宋体" w:hAnsi="宋体" w:eastAsia="宋体" w:cs="宋体"/>
                <w:color w:val="000000"/>
                <w:sz w:val="21"/>
                <w:szCs w:val="21"/>
              </w:rPr>
              <w:t>机构名称：仙居中国银行</w:t>
            </w:r>
          </w:p>
          <w:p w14:paraId="3C6BE0E4">
            <w:pPr>
              <w:rPr>
                <w:rFonts w:hint="eastAsia" w:ascii="宋体" w:hAnsi="宋体" w:eastAsia="宋体" w:cs="宋体"/>
                <w:color w:val="000000"/>
                <w:sz w:val="21"/>
                <w:szCs w:val="21"/>
              </w:rPr>
            </w:pPr>
            <w:r>
              <w:rPr>
                <w:rFonts w:hint="eastAsia" w:ascii="宋体" w:hAnsi="宋体" w:eastAsia="宋体" w:cs="宋体"/>
                <w:color w:val="000000"/>
                <w:sz w:val="21"/>
                <w:szCs w:val="21"/>
              </w:rPr>
              <w:t>履约保函：是</w:t>
            </w:r>
          </w:p>
          <w:p w14:paraId="246F2339">
            <w:pPr>
              <w:rPr>
                <w:rFonts w:hint="eastAsia" w:ascii="宋体" w:hAnsi="宋体" w:eastAsia="宋体" w:cs="宋体"/>
                <w:color w:val="000000"/>
                <w:sz w:val="21"/>
                <w:szCs w:val="21"/>
              </w:rPr>
            </w:pPr>
            <w:r>
              <w:rPr>
                <w:rFonts w:hint="eastAsia" w:ascii="宋体" w:hAnsi="宋体" w:eastAsia="宋体" w:cs="宋体"/>
                <w:color w:val="000000"/>
                <w:sz w:val="21"/>
                <w:szCs w:val="21"/>
              </w:rPr>
              <w:t>预付款保函：是</w:t>
            </w:r>
          </w:p>
        </w:tc>
        <w:tc>
          <w:tcPr>
            <w:tcW w:w="5812" w:type="dxa"/>
            <w:noWrap w:val="0"/>
            <w:vAlign w:val="center"/>
          </w:tcPr>
          <w:p w14:paraId="049ECF21">
            <w:pPr>
              <w:rPr>
                <w:rFonts w:hint="eastAsia" w:ascii="宋体" w:hAnsi="宋体" w:eastAsia="宋体" w:cs="宋体"/>
                <w:color w:val="000000"/>
                <w:sz w:val="21"/>
                <w:szCs w:val="21"/>
              </w:rPr>
            </w:pPr>
            <w:r>
              <w:rPr>
                <w:rFonts w:hint="eastAsia" w:ascii="宋体" w:hAnsi="宋体" w:eastAsia="宋体" w:cs="宋体"/>
                <w:color w:val="000000"/>
                <w:sz w:val="21"/>
                <w:szCs w:val="21"/>
              </w:rPr>
              <w:t>合同（质量）履约按履约保证金年费率1%（1.5%），每单保函最低保险费为500元。</w:t>
            </w:r>
          </w:p>
        </w:tc>
        <w:tc>
          <w:tcPr>
            <w:tcW w:w="2268" w:type="dxa"/>
            <w:noWrap w:val="0"/>
            <w:vAlign w:val="center"/>
          </w:tcPr>
          <w:p w14:paraId="321DA5E2">
            <w:pPr>
              <w:rPr>
                <w:rFonts w:hint="eastAsia" w:ascii="宋体" w:hAnsi="宋体" w:eastAsia="宋体" w:cs="宋体"/>
                <w:color w:val="000000"/>
                <w:sz w:val="21"/>
                <w:szCs w:val="21"/>
              </w:rPr>
            </w:pPr>
            <w:r>
              <w:rPr>
                <w:rFonts w:hint="eastAsia" w:ascii="宋体" w:hAnsi="宋体" w:eastAsia="宋体" w:cs="宋体"/>
                <w:color w:val="000000"/>
                <w:sz w:val="21"/>
                <w:szCs w:val="21"/>
              </w:rPr>
              <w:t>张弥0576-87796908</w:t>
            </w:r>
          </w:p>
        </w:tc>
      </w:tr>
      <w:tr w14:paraId="38DB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85" w:type="dxa"/>
            <w:noWrap w:val="0"/>
            <w:vAlign w:val="center"/>
          </w:tcPr>
          <w:p w14:paraId="1986DA4B">
            <w:pPr>
              <w:rPr>
                <w:rFonts w:hint="eastAsia" w:ascii="宋体" w:hAnsi="宋体" w:eastAsia="宋体" w:cs="宋体"/>
                <w:color w:val="000000"/>
                <w:sz w:val="21"/>
                <w:szCs w:val="21"/>
              </w:rPr>
            </w:pPr>
            <w:r>
              <w:rPr>
                <w:rFonts w:hint="eastAsia" w:ascii="宋体" w:hAnsi="宋体" w:eastAsia="宋体" w:cs="宋体"/>
                <w:color w:val="000000"/>
                <w:sz w:val="21"/>
                <w:szCs w:val="21"/>
              </w:rPr>
              <w:t>机构名称：中国人民财产保险股份有限公司仙居支公司</w:t>
            </w:r>
          </w:p>
          <w:p w14:paraId="52389B48">
            <w:pPr>
              <w:rPr>
                <w:rFonts w:hint="eastAsia" w:ascii="宋体" w:hAnsi="宋体" w:eastAsia="宋体" w:cs="宋体"/>
                <w:color w:val="000000"/>
                <w:sz w:val="21"/>
                <w:szCs w:val="21"/>
              </w:rPr>
            </w:pPr>
            <w:r>
              <w:rPr>
                <w:rFonts w:hint="eastAsia" w:ascii="宋体" w:hAnsi="宋体" w:eastAsia="宋体" w:cs="宋体"/>
                <w:color w:val="000000"/>
                <w:sz w:val="21"/>
                <w:szCs w:val="21"/>
              </w:rPr>
              <w:t>履约保险：是</w:t>
            </w:r>
          </w:p>
          <w:p w14:paraId="6EF8DA45">
            <w:pPr>
              <w:rPr>
                <w:rFonts w:hint="eastAsia" w:ascii="宋体" w:hAnsi="宋体" w:eastAsia="宋体" w:cs="宋体"/>
                <w:color w:val="000000"/>
                <w:sz w:val="21"/>
                <w:szCs w:val="21"/>
              </w:rPr>
            </w:pPr>
            <w:r>
              <w:rPr>
                <w:rFonts w:hint="eastAsia" w:ascii="宋体" w:hAnsi="宋体" w:eastAsia="宋体" w:cs="宋体"/>
                <w:color w:val="000000"/>
                <w:sz w:val="21"/>
                <w:szCs w:val="21"/>
              </w:rPr>
              <w:t>预付款保函：是</w:t>
            </w:r>
          </w:p>
        </w:tc>
        <w:tc>
          <w:tcPr>
            <w:tcW w:w="5812" w:type="dxa"/>
            <w:noWrap w:val="0"/>
            <w:vAlign w:val="center"/>
          </w:tcPr>
          <w:p w14:paraId="09AAF9AA">
            <w:pPr>
              <w:rPr>
                <w:rFonts w:hint="eastAsia" w:ascii="宋体" w:hAnsi="宋体" w:eastAsia="宋体" w:cs="宋体"/>
                <w:color w:val="000000"/>
                <w:sz w:val="21"/>
                <w:szCs w:val="21"/>
              </w:rPr>
            </w:pPr>
            <w:r>
              <w:rPr>
                <w:rFonts w:hint="eastAsia" w:ascii="宋体" w:hAnsi="宋体" w:eastAsia="宋体" w:cs="宋体"/>
                <w:color w:val="000000"/>
                <w:sz w:val="21"/>
                <w:szCs w:val="21"/>
              </w:rPr>
              <w:t>建设工程合同款支付保证保险，年费率1.2%，每单最低保险费为1000元。</w:t>
            </w:r>
          </w:p>
          <w:p w14:paraId="34714B59">
            <w:pPr>
              <w:rPr>
                <w:rFonts w:hint="eastAsia" w:ascii="宋体" w:hAnsi="宋体" w:eastAsia="宋体" w:cs="宋体"/>
                <w:color w:val="000000"/>
                <w:sz w:val="21"/>
                <w:szCs w:val="21"/>
              </w:rPr>
            </w:pPr>
            <w:r>
              <w:rPr>
                <w:rFonts w:hint="eastAsia" w:ascii="宋体" w:hAnsi="宋体" w:eastAsia="宋体" w:cs="宋体"/>
                <w:color w:val="000000"/>
                <w:sz w:val="21"/>
                <w:szCs w:val="21"/>
              </w:rPr>
              <w:t>建设工程预付款保证保险，年费率0.6%，每单最低保险费为1000元。</w:t>
            </w:r>
          </w:p>
        </w:tc>
        <w:tc>
          <w:tcPr>
            <w:tcW w:w="2268" w:type="dxa"/>
            <w:noWrap w:val="0"/>
            <w:vAlign w:val="center"/>
          </w:tcPr>
          <w:p w14:paraId="3DEAC6C8">
            <w:pPr>
              <w:rPr>
                <w:rFonts w:hint="eastAsia" w:ascii="宋体" w:hAnsi="宋体" w:eastAsia="宋体" w:cs="宋体"/>
                <w:color w:val="000000"/>
                <w:sz w:val="21"/>
                <w:szCs w:val="21"/>
              </w:rPr>
            </w:pPr>
          </w:p>
          <w:p w14:paraId="7A087A8E">
            <w:pPr>
              <w:rPr>
                <w:rFonts w:hint="eastAsia" w:ascii="宋体" w:hAnsi="宋体" w:eastAsia="宋体" w:cs="宋体"/>
                <w:color w:val="000000"/>
                <w:sz w:val="21"/>
                <w:szCs w:val="21"/>
              </w:rPr>
            </w:pPr>
          </w:p>
          <w:p w14:paraId="2BF1EEAA">
            <w:pPr>
              <w:rPr>
                <w:rFonts w:hint="eastAsia" w:ascii="宋体" w:hAnsi="宋体" w:eastAsia="宋体" w:cs="宋体"/>
                <w:color w:val="000000"/>
                <w:sz w:val="21"/>
                <w:szCs w:val="21"/>
              </w:rPr>
            </w:pPr>
            <w:r>
              <w:rPr>
                <w:rFonts w:hint="eastAsia" w:ascii="宋体" w:hAnsi="宋体" w:eastAsia="宋体" w:cs="宋体"/>
                <w:color w:val="000000"/>
                <w:sz w:val="21"/>
                <w:szCs w:val="21"/>
              </w:rPr>
              <w:t>王巧红13968483573</w:t>
            </w:r>
          </w:p>
        </w:tc>
      </w:tr>
      <w:tr w14:paraId="4423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85" w:type="dxa"/>
            <w:noWrap w:val="0"/>
            <w:vAlign w:val="center"/>
          </w:tcPr>
          <w:p w14:paraId="18ABD4BC">
            <w:pPr>
              <w:rPr>
                <w:rFonts w:hint="eastAsia" w:ascii="宋体" w:hAnsi="宋体" w:eastAsia="宋体" w:cs="宋体"/>
                <w:color w:val="000000"/>
                <w:sz w:val="21"/>
                <w:szCs w:val="21"/>
              </w:rPr>
            </w:pPr>
            <w:r>
              <w:rPr>
                <w:rFonts w:hint="eastAsia" w:ascii="宋体" w:hAnsi="宋体" w:eastAsia="宋体" w:cs="宋体"/>
                <w:color w:val="000000"/>
                <w:sz w:val="21"/>
                <w:szCs w:val="21"/>
              </w:rPr>
              <w:t>机构名称：中国大地财产保险股份有限公司仙居支公司</w:t>
            </w:r>
          </w:p>
          <w:p w14:paraId="31FAF64F">
            <w:pPr>
              <w:rPr>
                <w:rFonts w:hint="eastAsia" w:ascii="宋体" w:hAnsi="宋体" w:eastAsia="宋体" w:cs="宋体"/>
                <w:color w:val="000000"/>
                <w:sz w:val="21"/>
                <w:szCs w:val="21"/>
              </w:rPr>
            </w:pPr>
            <w:r>
              <w:rPr>
                <w:rFonts w:hint="eastAsia" w:ascii="宋体" w:hAnsi="宋体" w:eastAsia="宋体" w:cs="宋体"/>
                <w:color w:val="000000"/>
                <w:sz w:val="21"/>
                <w:szCs w:val="21"/>
              </w:rPr>
              <w:t>履约保函：是</w:t>
            </w:r>
          </w:p>
          <w:p w14:paraId="33583342">
            <w:pPr>
              <w:rPr>
                <w:rFonts w:hint="eastAsia" w:ascii="宋体" w:hAnsi="宋体" w:eastAsia="宋体" w:cs="宋体"/>
                <w:color w:val="000000"/>
                <w:sz w:val="21"/>
                <w:szCs w:val="21"/>
              </w:rPr>
            </w:pPr>
            <w:r>
              <w:rPr>
                <w:rFonts w:hint="eastAsia" w:ascii="宋体" w:hAnsi="宋体" w:eastAsia="宋体" w:cs="宋体"/>
                <w:color w:val="000000"/>
                <w:sz w:val="21"/>
                <w:szCs w:val="21"/>
              </w:rPr>
              <w:t>预付款保函：否</w:t>
            </w:r>
          </w:p>
        </w:tc>
        <w:tc>
          <w:tcPr>
            <w:tcW w:w="5812" w:type="dxa"/>
            <w:noWrap w:val="0"/>
            <w:vAlign w:val="center"/>
          </w:tcPr>
          <w:p w14:paraId="496D320C">
            <w:pPr>
              <w:rPr>
                <w:rFonts w:hint="eastAsia" w:ascii="宋体" w:hAnsi="宋体" w:eastAsia="宋体" w:cs="宋体"/>
                <w:color w:val="000000"/>
                <w:sz w:val="21"/>
                <w:szCs w:val="21"/>
              </w:rPr>
            </w:pPr>
            <w:r>
              <w:rPr>
                <w:rFonts w:hint="eastAsia" w:ascii="宋体" w:hAnsi="宋体" w:eastAsia="宋体" w:cs="宋体"/>
                <w:color w:val="000000"/>
                <w:sz w:val="21"/>
                <w:szCs w:val="21"/>
              </w:rPr>
              <w:t>合同（质量）履约按履约保证金年费率最低0.5%，每单保函最低保险费为1000元。</w:t>
            </w:r>
          </w:p>
        </w:tc>
        <w:tc>
          <w:tcPr>
            <w:tcW w:w="2268" w:type="dxa"/>
            <w:noWrap w:val="0"/>
            <w:vAlign w:val="center"/>
          </w:tcPr>
          <w:p w14:paraId="7E3DA223">
            <w:pPr>
              <w:rPr>
                <w:rFonts w:hint="eastAsia" w:ascii="宋体" w:hAnsi="宋体" w:eastAsia="宋体" w:cs="宋体"/>
                <w:color w:val="000000"/>
                <w:sz w:val="21"/>
                <w:szCs w:val="21"/>
              </w:rPr>
            </w:pPr>
            <w:r>
              <w:rPr>
                <w:rFonts w:hint="eastAsia" w:ascii="宋体" w:hAnsi="宋体" w:eastAsia="宋体" w:cs="宋体"/>
                <w:color w:val="000000"/>
                <w:sz w:val="21"/>
                <w:szCs w:val="21"/>
              </w:rPr>
              <w:t>吴琼17858699170</w:t>
            </w:r>
          </w:p>
        </w:tc>
      </w:tr>
      <w:tr w14:paraId="4CC5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85" w:type="dxa"/>
            <w:noWrap w:val="0"/>
            <w:vAlign w:val="center"/>
          </w:tcPr>
          <w:p w14:paraId="54016EF0">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机构名称：天安财产保险股份有限公司台州中心支公司仙居县营销服务部</w:t>
            </w:r>
          </w:p>
          <w:p w14:paraId="48A36F17">
            <w:pPr>
              <w:widowControl/>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履约保函：否</w:t>
            </w:r>
          </w:p>
          <w:p w14:paraId="6466F10A">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预付款保函：是</w:t>
            </w:r>
          </w:p>
        </w:tc>
        <w:tc>
          <w:tcPr>
            <w:tcW w:w="5812" w:type="dxa"/>
            <w:noWrap w:val="0"/>
            <w:vAlign w:val="center"/>
          </w:tcPr>
          <w:p w14:paraId="1C1C69FA">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预付款保函：按预付款金额投保，年费率为1%-2%，每单保函最低保险费为500元；保险期限最长不超过5年。</w:t>
            </w:r>
          </w:p>
        </w:tc>
        <w:tc>
          <w:tcPr>
            <w:tcW w:w="2268" w:type="dxa"/>
            <w:noWrap w:val="0"/>
            <w:vAlign w:val="center"/>
          </w:tcPr>
          <w:p w14:paraId="0341C3B3">
            <w:pPr>
              <w:widowControl/>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陶正鹏13858613668</w:t>
            </w:r>
          </w:p>
        </w:tc>
      </w:tr>
      <w:tr w14:paraId="68F3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85" w:type="dxa"/>
            <w:noWrap w:val="0"/>
            <w:vAlign w:val="center"/>
          </w:tcPr>
          <w:p w14:paraId="5430F4BF">
            <w:pPr>
              <w:rPr>
                <w:rFonts w:hint="eastAsia" w:ascii="宋体" w:hAnsi="宋体" w:eastAsia="宋体" w:cs="宋体"/>
                <w:color w:val="000000"/>
                <w:sz w:val="21"/>
                <w:szCs w:val="21"/>
              </w:rPr>
            </w:pPr>
            <w:r>
              <w:rPr>
                <w:rFonts w:hint="eastAsia" w:ascii="宋体" w:hAnsi="宋体" w:eastAsia="宋体" w:cs="宋体"/>
                <w:color w:val="000000"/>
                <w:sz w:val="21"/>
                <w:szCs w:val="21"/>
              </w:rPr>
              <w:t>机构名称：仙居县台融融资担保有限公司</w:t>
            </w:r>
          </w:p>
          <w:p w14:paraId="5F1851D8">
            <w:pPr>
              <w:rPr>
                <w:rFonts w:hint="eastAsia" w:ascii="宋体" w:hAnsi="宋体" w:eastAsia="宋体" w:cs="宋体"/>
                <w:color w:val="000000"/>
                <w:sz w:val="21"/>
                <w:szCs w:val="21"/>
              </w:rPr>
            </w:pPr>
            <w:r>
              <w:rPr>
                <w:rFonts w:hint="eastAsia" w:ascii="宋体" w:hAnsi="宋体" w:eastAsia="宋体" w:cs="宋体"/>
                <w:color w:val="000000"/>
                <w:sz w:val="21"/>
                <w:szCs w:val="21"/>
              </w:rPr>
              <w:t>履约保函：是</w:t>
            </w:r>
          </w:p>
        </w:tc>
        <w:tc>
          <w:tcPr>
            <w:tcW w:w="5812" w:type="dxa"/>
            <w:noWrap w:val="0"/>
            <w:vAlign w:val="center"/>
          </w:tcPr>
          <w:p w14:paraId="31F549E5">
            <w:pPr>
              <w:rPr>
                <w:rFonts w:hint="eastAsia" w:ascii="宋体" w:hAnsi="宋体" w:eastAsia="宋体" w:cs="宋体"/>
                <w:color w:val="000000"/>
                <w:sz w:val="21"/>
                <w:szCs w:val="21"/>
              </w:rPr>
            </w:pPr>
            <w:r>
              <w:rPr>
                <w:rFonts w:hint="eastAsia" w:ascii="宋体" w:hAnsi="宋体" w:eastAsia="宋体" w:cs="宋体"/>
                <w:color w:val="000000"/>
                <w:sz w:val="21"/>
                <w:szCs w:val="21"/>
              </w:rPr>
              <w:t>合同（质量）履约按履约保证金年费率0.2%，每单保函最低保险费为800元。</w:t>
            </w:r>
          </w:p>
        </w:tc>
        <w:tc>
          <w:tcPr>
            <w:tcW w:w="2268" w:type="dxa"/>
            <w:noWrap w:val="0"/>
            <w:vAlign w:val="center"/>
          </w:tcPr>
          <w:p w14:paraId="5E2F3872">
            <w:pPr>
              <w:rPr>
                <w:rFonts w:hint="eastAsia" w:ascii="宋体" w:hAnsi="宋体" w:eastAsia="宋体" w:cs="宋体"/>
                <w:color w:val="000000"/>
                <w:sz w:val="21"/>
                <w:szCs w:val="21"/>
              </w:rPr>
            </w:pPr>
            <w:r>
              <w:rPr>
                <w:rFonts w:hint="eastAsia" w:ascii="宋体" w:hAnsi="宋体" w:eastAsia="宋体" w:cs="宋体"/>
                <w:color w:val="000000"/>
                <w:sz w:val="21"/>
                <w:szCs w:val="21"/>
              </w:rPr>
              <w:t>郭鹏飞13819645716</w:t>
            </w:r>
          </w:p>
        </w:tc>
      </w:tr>
      <w:tr w14:paraId="7239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85" w:type="dxa"/>
            <w:noWrap w:val="0"/>
            <w:vAlign w:val="center"/>
          </w:tcPr>
          <w:p w14:paraId="33C84AAD">
            <w:pPr>
              <w:rPr>
                <w:rFonts w:hint="eastAsia" w:ascii="宋体" w:hAnsi="宋体" w:eastAsia="宋体" w:cs="宋体"/>
                <w:color w:val="000000"/>
                <w:sz w:val="21"/>
                <w:szCs w:val="21"/>
              </w:rPr>
            </w:pPr>
            <w:r>
              <w:rPr>
                <w:rFonts w:hint="eastAsia" w:ascii="宋体" w:hAnsi="宋体" w:eastAsia="宋体" w:cs="宋体"/>
                <w:color w:val="000000"/>
                <w:sz w:val="21"/>
                <w:szCs w:val="21"/>
              </w:rPr>
              <w:t>机构名称：浙江商盈融资担保有限公司</w:t>
            </w:r>
          </w:p>
          <w:p w14:paraId="073812EE">
            <w:pPr>
              <w:rPr>
                <w:rFonts w:hint="eastAsia" w:ascii="宋体" w:hAnsi="宋体" w:eastAsia="宋体" w:cs="宋体"/>
                <w:color w:val="000000"/>
                <w:sz w:val="21"/>
                <w:szCs w:val="21"/>
              </w:rPr>
            </w:pPr>
            <w:r>
              <w:rPr>
                <w:rFonts w:hint="eastAsia" w:ascii="宋体" w:hAnsi="宋体" w:eastAsia="宋体" w:cs="宋体"/>
                <w:color w:val="000000"/>
                <w:sz w:val="21"/>
                <w:szCs w:val="21"/>
              </w:rPr>
              <w:t>履约保函：是</w:t>
            </w:r>
          </w:p>
        </w:tc>
        <w:tc>
          <w:tcPr>
            <w:tcW w:w="5812" w:type="dxa"/>
            <w:noWrap w:val="0"/>
            <w:vAlign w:val="center"/>
          </w:tcPr>
          <w:p w14:paraId="0C7C37E3">
            <w:pPr>
              <w:rPr>
                <w:rFonts w:hint="eastAsia" w:ascii="宋体" w:hAnsi="宋体" w:eastAsia="宋体" w:cs="宋体"/>
                <w:color w:val="000000"/>
                <w:sz w:val="21"/>
                <w:szCs w:val="21"/>
              </w:rPr>
            </w:pPr>
            <w:r>
              <w:rPr>
                <w:rFonts w:hint="eastAsia" w:ascii="宋体" w:hAnsi="宋体" w:eastAsia="宋体" w:cs="宋体"/>
                <w:color w:val="000000"/>
                <w:sz w:val="21"/>
                <w:szCs w:val="21"/>
              </w:rPr>
              <w:t>合同（质量）履约按履约保证金年费率0.2%，每单保函最低保险费为800元。</w:t>
            </w:r>
          </w:p>
        </w:tc>
        <w:tc>
          <w:tcPr>
            <w:tcW w:w="2268" w:type="dxa"/>
            <w:noWrap w:val="0"/>
            <w:vAlign w:val="center"/>
          </w:tcPr>
          <w:p w14:paraId="3C08D2F2">
            <w:pPr>
              <w:rPr>
                <w:rFonts w:hint="eastAsia" w:ascii="宋体" w:hAnsi="宋体" w:eastAsia="宋体" w:cs="宋体"/>
                <w:color w:val="000000"/>
                <w:sz w:val="21"/>
                <w:szCs w:val="21"/>
              </w:rPr>
            </w:pPr>
            <w:r>
              <w:rPr>
                <w:rFonts w:hint="eastAsia" w:ascii="宋体" w:hAnsi="宋体" w:eastAsia="宋体" w:cs="宋体"/>
                <w:color w:val="000000"/>
                <w:sz w:val="21"/>
                <w:szCs w:val="21"/>
              </w:rPr>
              <w:t>冯婳婳13586233988</w:t>
            </w:r>
          </w:p>
        </w:tc>
      </w:tr>
    </w:tbl>
    <w:p w14:paraId="09D39778">
      <w:pPr>
        <w:autoSpaceDE w:val="0"/>
        <w:autoSpaceDN w:val="0"/>
        <w:adjustRightInd w:val="0"/>
        <w:spacing w:line="360" w:lineRule="auto"/>
        <w:jc w:val="center"/>
        <w:outlineLvl w:val="1"/>
        <w:rPr>
          <w:rFonts w:ascii="宋体"/>
          <w:b/>
          <w:bCs/>
          <w:color w:val="auto"/>
          <w:sz w:val="24"/>
          <w:highlight w:val="none"/>
          <w:lang w:val="zh-CN"/>
        </w:rPr>
      </w:pPr>
      <w:r>
        <w:rPr>
          <w:rFonts w:hint="eastAsia" w:ascii="宋体" w:hAnsi="宋体" w:eastAsia="宋体" w:cs="宋体"/>
          <w:b/>
          <w:bCs/>
          <w:color w:val="auto"/>
          <w:sz w:val="21"/>
          <w:szCs w:val="21"/>
          <w:highlight w:val="none"/>
          <w:lang w:val="zh-CN"/>
        </w:rPr>
        <w:br w:type="page"/>
      </w:r>
      <w:bookmarkStart w:id="65" w:name="_Toc306901446"/>
      <w:bookmarkStart w:id="66" w:name="_Toc302983095"/>
      <w:bookmarkStart w:id="67" w:name="_Toc14687"/>
      <w:bookmarkStart w:id="68" w:name="_Toc27650"/>
      <w:bookmarkStart w:id="69" w:name="_Toc16382"/>
      <w:bookmarkStart w:id="70" w:name="_Toc30571"/>
      <w:r>
        <w:rPr>
          <w:rFonts w:hint="eastAsia" w:ascii="宋体"/>
          <w:b/>
          <w:bCs/>
          <w:color w:val="auto"/>
          <w:sz w:val="24"/>
          <w:highlight w:val="none"/>
          <w:lang w:val="zh-CN"/>
        </w:rPr>
        <w:t>一、</w:t>
      </w:r>
      <w:bookmarkEnd w:id="65"/>
      <w:bookmarkEnd w:id="66"/>
      <w:r>
        <w:rPr>
          <w:rFonts w:hint="eastAsia" w:ascii="宋体"/>
          <w:b/>
          <w:bCs/>
          <w:color w:val="auto"/>
          <w:sz w:val="24"/>
          <w:highlight w:val="none"/>
          <w:lang w:val="zh-CN"/>
        </w:rPr>
        <w:t>总则</w:t>
      </w:r>
      <w:bookmarkEnd w:id="67"/>
      <w:bookmarkEnd w:id="68"/>
      <w:bookmarkEnd w:id="69"/>
      <w:bookmarkEnd w:id="70"/>
    </w:p>
    <w:p w14:paraId="06FF32F9">
      <w:pPr>
        <w:snapToGrid w:val="0"/>
        <w:spacing w:line="360" w:lineRule="auto"/>
        <w:ind w:firstLine="413" w:firstLineChars="196"/>
        <w:jc w:val="left"/>
        <w:outlineLvl w:val="1"/>
        <w:rPr>
          <w:rFonts w:ascii="宋体" w:hAnsi="宋体" w:eastAsia="宋体" w:cs="宋体"/>
          <w:b/>
          <w:color w:val="auto"/>
          <w:sz w:val="21"/>
          <w:szCs w:val="21"/>
          <w:highlight w:val="none"/>
        </w:rPr>
      </w:pPr>
      <w:bookmarkStart w:id="71" w:name="_Toc104"/>
      <w:bookmarkStart w:id="72" w:name="_Toc14651"/>
      <w:bookmarkStart w:id="73" w:name="_Toc700"/>
      <w:bookmarkStart w:id="74" w:name="_Toc278"/>
      <w:r>
        <w:rPr>
          <w:rFonts w:hint="eastAsia" w:ascii="宋体" w:hAnsi="宋体" w:eastAsia="宋体" w:cs="宋体"/>
          <w:b/>
          <w:color w:val="auto"/>
          <w:sz w:val="21"/>
          <w:szCs w:val="21"/>
          <w:highlight w:val="none"/>
          <w:lang w:val="zh-CN"/>
        </w:rPr>
        <w:t>（一）</w:t>
      </w:r>
      <w:r>
        <w:rPr>
          <w:rFonts w:hint="eastAsia" w:ascii="宋体" w:hAnsi="宋体" w:eastAsia="宋体" w:cs="宋体"/>
          <w:b/>
          <w:color w:val="auto"/>
          <w:sz w:val="21"/>
          <w:szCs w:val="21"/>
          <w:highlight w:val="none"/>
        </w:rPr>
        <w:t>适用范围</w:t>
      </w:r>
      <w:bookmarkEnd w:id="71"/>
      <w:bookmarkEnd w:id="72"/>
      <w:bookmarkEnd w:id="73"/>
      <w:bookmarkEnd w:id="74"/>
    </w:p>
    <w:p w14:paraId="1DDAF2F2">
      <w:pPr>
        <w:autoSpaceDE w:val="0"/>
        <w:autoSpaceDN w:val="0"/>
        <w:adjustRightInd w:val="0"/>
        <w:spacing w:line="360" w:lineRule="auto"/>
        <w:ind w:firstLine="48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本磋商文件适用于本次项目的磋商、评审、确定成交供应商、验收、合同履约、付款等行为（法律、法规另有规定的，从其规定）。</w:t>
      </w:r>
    </w:p>
    <w:p w14:paraId="595EA1AA">
      <w:pPr>
        <w:autoSpaceDE w:val="0"/>
        <w:autoSpaceDN w:val="0"/>
        <w:adjustRightInd w:val="0"/>
        <w:spacing w:line="360" w:lineRule="auto"/>
        <w:ind w:firstLine="480"/>
        <w:rPr>
          <w:rFonts w:ascii="宋体" w:hAnsi="宋体" w:eastAsia="宋体" w:cs="宋体"/>
          <w:b/>
          <w:bCs/>
          <w:color w:val="auto"/>
          <w:sz w:val="21"/>
          <w:szCs w:val="21"/>
          <w:highlight w:val="none"/>
        </w:rPr>
      </w:pPr>
      <w:bookmarkStart w:id="75" w:name="_Toc302983099"/>
      <w:bookmarkStart w:id="76" w:name="_Toc306901451"/>
      <w:r>
        <w:rPr>
          <w:rFonts w:hint="eastAsia" w:ascii="宋体" w:hAnsi="宋体" w:eastAsia="宋体" w:cs="宋体"/>
          <w:b/>
          <w:bCs/>
          <w:color w:val="auto"/>
          <w:sz w:val="21"/>
          <w:szCs w:val="21"/>
          <w:highlight w:val="none"/>
        </w:rPr>
        <w:t>（二）定义</w:t>
      </w:r>
    </w:p>
    <w:p w14:paraId="154D6E39">
      <w:pPr>
        <w:autoSpaceDE w:val="0"/>
        <w:autoSpaceDN w:val="0"/>
        <w:adjustRightIn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“采购组织机构”指受采购人委托，在委托的范围内办理政府采购事宜的机构。</w:t>
      </w:r>
    </w:p>
    <w:p w14:paraId="2561B097">
      <w:pPr>
        <w:autoSpaceDE w:val="0"/>
        <w:autoSpaceDN w:val="0"/>
        <w:adjustRightIn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2、采购人：是指依法进行政府采购的国家机关、事业单位、团体组织。</w:t>
      </w:r>
    </w:p>
    <w:p w14:paraId="1BC7723B">
      <w:pPr>
        <w:autoSpaceDE w:val="0"/>
        <w:autoSpaceDN w:val="0"/>
        <w:adjustRightIn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rPr>
        <w:t>磋商供应商</w:t>
      </w:r>
      <w:r>
        <w:rPr>
          <w:rFonts w:hint="eastAsia" w:ascii="宋体" w:hAnsi="宋体" w:eastAsia="宋体" w:cs="宋体"/>
          <w:color w:val="auto"/>
          <w:sz w:val="21"/>
          <w:szCs w:val="21"/>
          <w:highlight w:val="none"/>
        </w:rPr>
        <w:t>：是指参加本政府采购项目磋商的供应商。</w:t>
      </w:r>
    </w:p>
    <w:p w14:paraId="27A321AB">
      <w:pPr>
        <w:autoSpaceDE w:val="0"/>
        <w:autoSpaceDN w:val="0"/>
        <w:adjustRightIn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6C16B8D3">
      <w:pPr>
        <w:autoSpaceDE w:val="0"/>
        <w:autoSpaceDN w:val="0"/>
        <w:adjustRightIn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22E76F3F">
      <w:pPr>
        <w:autoSpaceDE w:val="0"/>
        <w:autoSpaceDN w:val="0"/>
        <w:adjustRightIn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30F41DA6">
      <w:pPr>
        <w:autoSpaceDE w:val="0"/>
        <w:autoSpaceDN w:val="0"/>
        <w:adjustRightIn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0FACE1EF">
      <w:pPr>
        <w:autoSpaceDE w:val="0"/>
        <w:autoSpaceDN w:val="0"/>
        <w:adjustRightInd w:val="0"/>
        <w:spacing w:line="360" w:lineRule="auto"/>
        <w:ind w:firstLine="48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（三）磋商费用</w:t>
      </w:r>
    </w:p>
    <w:p w14:paraId="0F3A4697">
      <w:pPr>
        <w:autoSpaceDE w:val="0"/>
        <w:autoSpaceDN w:val="0"/>
        <w:adjustRightIn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1、不论磋商结果如何，供应商均应自行承担所有与磋商有关的全部费用（磋商文件有相关规定除外）。</w:t>
      </w:r>
    </w:p>
    <w:p w14:paraId="32B4B60A">
      <w:pPr>
        <w:autoSpaceDE w:val="0"/>
        <w:autoSpaceDN w:val="0"/>
        <w:adjustRightInd w:val="0"/>
        <w:spacing w:line="360" w:lineRule="auto"/>
        <w:ind w:firstLine="48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（四）联合体投标</w:t>
      </w:r>
    </w:p>
    <w:p w14:paraId="2699D751">
      <w:pPr>
        <w:autoSpaceDE w:val="0"/>
        <w:autoSpaceDN w:val="0"/>
        <w:adjustRightInd w:val="0"/>
        <w:spacing w:line="360" w:lineRule="auto"/>
        <w:ind w:firstLine="480"/>
        <w:rPr>
          <w:rFonts w:ascii="宋体" w:hAnsi="宋体" w:eastAsia="宋体" w:cs="宋体"/>
          <w:color w:val="auto"/>
          <w:kern w:val="44"/>
          <w:sz w:val="21"/>
          <w:szCs w:val="21"/>
          <w:highlight w:val="none"/>
        </w:rPr>
      </w:pPr>
      <w:r>
        <w:rPr>
          <w:rFonts w:hint="eastAsia" w:ascii="宋体" w:hAnsi="宋体" w:eastAsia="宋体" w:cs="宋体"/>
          <w:color w:val="auto"/>
          <w:kern w:val="44"/>
          <w:sz w:val="21"/>
          <w:szCs w:val="21"/>
          <w:highlight w:val="none"/>
        </w:rPr>
        <w:t>本项目不接受联合体投标</w:t>
      </w:r>
      <w:r>
        <w:rPr>
          <w:rFonts w:hint="eastAsia" w:ascii="宋体" w:hAnsi="宋体" w:eastAsia="宋体" w:cs="宋体"/>
          <w:color w:val="auto"/>
          <w:kern w:val="44"/>
          <w:sz w:val="21"/>
          <w:szCs w:val="21"/>
          <w:highlight w:val="none"/>
          <w:lang w:val="zh-CN"/>
        </w:rPr>
        <w:t>。</w:t>
      </w:r>
    </w:p>
    <w:p w14:paraId="4B3C5A77">
      <w:pPr>
        <w:autoSpaceDE w:val="0"/>
        <w:autoSpaceDN w:val="0"/>
        <w:adjustRightInd w:val="0"/>
        <w:spacing w:line="360" w:lineRule="auto"/>
        <w:ind w:firstLine="48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（五）</w:t>
      </w:r>
      <w:r>
        <w:rPr>
          <w:rFonts w:hint="eastAsia" w:ascii="宋体" w:hAnsi="宋体" w:eastAsia="宋体" w:cs="宋体"/>
          <w:b/>
          <w:bCs/>
          <w:color w:val="auto"/>
          <w:sz w:val="21"/>
          <w:szCs w:val="21"/>
          <w:highlight w:val="none"/>
          <w:lang w:val="zh-CN"/>
        </w:rPr>
        <w:t>转包与分包</w:t>
      </w:r>
    </w:p>
    <w:p w14:paraId="0151BB74">
      <w:pPr>
        <w:autoSpaceDE w:val="0"/>
        <w:autoSpaceDN w:val="0"/>
        <w:adjustRightInd w:val="0"/>
        <w:spacing w:line="360" w:lineRule="auto"/>
        <w:ind w:firstLine="480"/>
        <w:rPr>
          <w:rFonts w:ascii="宋体" w:hAnsi="宋体" w:eastAsia="宋体" w:cs="宋体"/>
          <w:color w:val="auto"/>
          <w:kern w:val="44"/>
          <w:sz w:val="21"/>
          <w:szCs w:val="21"/>
          <w:highlight w:val="none"/>
          <w:lang w:val="zh-CN"/>
        </w:rPr>
      </w:pPr>
      <w:r>
        <w:rPr>
          <w:rFonts w:hint="eastAsia" w:ascii="宋体" w:hAnsi="宋体" w:eastAsia="宋体" w:cs="宋体"/>
          <w:color w:val="auto"/>
          <w:kern w:val="44"/>
          <w:sz w:val="21"/>
          <w:szCs w:val="21"/>
          <w:highlight w:val="none"/>
          <w:lang w:val="zh-CN"/>
        </w:rPr>
        <w:t>1、本项目不允许转包。</w:t>
      </w:r>
    </w:p>
    <w:p w14:paraId="19C4843B">
      <w:pPr>
        <w:autoSpaceDE w:val="0"/>
        <w:autoSpaceDN w:val="0"/>
        <w:adjustRightInd w:val="0"/>
        <w:spacing w:line="360" w:lineRule="auto"/>
        <w:ind w:firstLine="480"/>
        <w:rPr>
          <w:rFonts w:ascii="宋体" w:hAnsi="宋体" w:eastAsia="宋体" w:cs="宋体"/>
          <w:color w:val="auto"/>
          <w:kern w:val="44"/>
          <w:sz w:val="21"/>
          <w:szCs w:val="21"/>
          <w:highlight w:val="none"/>
          <w:lang w:val="zh-CN"/>
        </w:rPr>
      </w:pPr>
      <w:r>
        <w:rPr>
          <w:rFonts w:hint="eastAsia" w:ascii="宋体" w:hAnsi="宋体" w:eastAsia="宋体" w:cs="宋体"/>
          <w:color w:val="auto"/>
          <w:kern w:val="44"/>
          <w:sz w:val="21"/>
          <w:szCs w:val="21"/>
          <w:highlight w:val="none"/>
          <w:lang w:val="zh-CN"/>
        </w:rPr>
        <w:t>2、本项目未经采购人允许不得分包。</w:t>
      </w:r>
    </w:p>
    <w:p w14:paraId="6724C31C">
      <w:pPr>
        <w:autoSpaceDE w:val="0"/>
        <w:autoSpaceDN w:val="0"/>
        <w:adjustRightInd w:val="0"/>
        <w:spacing w:line="360" w:lineRule="auto"/>
        <w:ind w:firstLine="48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（六）特别说明</w:t>
      </w:r>
    </w:p>
    <w:p w14:paraId="0F1F6F14">
      <w:pPr>
        <w:snapToGrid w:val="0"/>
        <w:spacing w:line="360" w:lineRule="auto"/>
        <w:ind w:firstLine="480" w:firstLineChars="200"/>
        <w:rPr>
          <w:rFonts w:ascii="宋体" w:hAnsi="宋体" w:cs="宋体"/>
          <w:color w:val="auto"/>
          <w:sz w:val="21"/>
          <w:szCs w:val="21"/>
          <w:highlight w:val="none"/>
          <w:lang w:val="zh-CN"/>
        </w:rPr>
      </w:pPr>
      <w:r>
        <w:rPr>
          <w:rFonts w:hint="eastAsia" w:ascii="宋体" w:hAnsi="宋体" w:cs="宋体"/>
          <w:color w:val="auto"/>
          <w:sz w:val="24"/>
          <w:highlight w:val="none"/>
          <w:lang w:val="zh-CN"/>
        </w:rPr>
        <w:t>▲</w:t>
      </w:r>
      <w:r>
        <w:rPr>
          <w:rFonts w:hint="eastAsia" w:ascii="宋体" w:hAnsi="宋体" w:cs="宋体"/>
          <w:color w:val="auto"/>
          <w:sz w:val="21"/>
          <w:szCs w:val="21"/>
          <w:highlight w:val="none"/>
          <w:lang w:val="zh-CN"/>
        </w:rPr>
        <w:t>1.使用综合评分法的采购项目，提供相同品牌产品且通过资格审查、符合性审查的不同供应商参加同一合同项下</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7BD45946">
      <w:pPr>
        <w:snapToGrid w:val="0"/>
        <w:spacing w:line="360" w:lineRule="auto"/>
        <w:ind w:firstLine="420" w:firstLineChars="200"/>
        <w:rPr>
          <w:rFonts w:ascii="宋体" w:hAnsi="宋体" w:cs="宋体"/>
          <w:color w:val="auto"/>
          <w:sz w:val="24"/>
          <w:highlight w:val="none"/>
          <w:lang w:val="zh-CN"/>
        </w:rPr>
      </w:pPr>
      <w:r>
        <w:rPr>
          <w:rFonts w:hint="eastAsia" w:ascii="宋体" w:hAnsi="宋体" w:cs="宋体"/>
          <w:color w:val="auto"/>
          <w:sz w:val="21"/>
          <w:szCs w:val="21"/>
          <w:highlight w:val="none"/>
          <w:lang w:val="zh-CN"/>
        </w:rPr>
        <w:t>非单一产品采购项目，多家供应商提供的核心产品品牌相同的，按前款规定处理</w:t>
      </w:r>
      <w:r>
        <w:rPr>
          <w:rFonts w:hint="eastAsia" w:ascii="宋体" w:hAnsi="宋体" w:cs="宋体"/>
          <w:color w:val="auto"/>
          <w:sz w:val="24"/>
          <w:highlight w:val="none"/>
          <w:lang w:val="zh-CN"/>
        </w:rPr>
        <w:t>。</w:t>
      </w:r>
    </w:p>
    <w:p w14:paraId="6F0B80E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供应商磋商</w:t>
      </w:r>
      <w:r>
        <w:rPr>
          <w:rFonts w:hint="eastAsia" w:ascii="宋体" w:hAnsi="宋体" w:cs="宋体"/>
          <w:color w:val="auto"/>
          <w:sz w:val="21"/>
          <w:szCs w:val="21"/>
          <w:highlight w:val="none"/>
          <w:lang w:val="zh-CN"/>
        </w:rPr>
        <w:t>所使用的资格、信誉、荣誉、业绩与企业认证必须为本法人所拥有。</w:t>
      </w:r>
      <w:r>
        <w:rPr>
          <w:rFonts w:hint="eastAsia" w:ascii="宋体" w:hAnsi="宋体" w:cs="宋体"/>
          <w:color w:val="auto"/>
          <w:sz w:val="21"/>
          <w:szCs w:val="21"/>
          <w:highlight w:val="none"/>
        </w:rPr>
        <w:t>供应商磋商</w:t>
      </w:r>
      <w:r>
        <w:rPr>
          <w:rFonts w:hint="eastAsia" w:ascii="宋体" w:hAnsi="宋体" w:cs="宋体"/>
          <w:color w:val="auto"/>
          <w:sz w:val="21"/>
          <w:szCs w:val="21"/>
          <w:highlight w:val="none"/>
          <w:lang w:val="zh-CN"/>
        </w:rPr>
        <w:t>所使用的采购项目实施人员必须为本法人员工（或必须为本法人或控股公司正式员工）。</w:t>
      </w:r>
    </w:p>
    <w:p w14:paraId="72587AB6">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3.供应商应仔细阅读磋商文件的所有内容，按照磋商文件的要求提交响应文件，并对所提供的全部资料的真实性承担法律责任。</w:t>
      </w:r>
    </w:p>
    <w:p w14:paraId="47CF5685">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供应商在磋商活动中提供任何虚假材料,其响应无效，并报监管部门查处；成交后发现的,成交人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A312B6">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5.为采购项目提供整体设计、规范编制或者项目管理、监理、检测等服务的供应商，不得再参加该采购项目的其他采购活动。</w:t>
      </w:r>
    </w:p>
    <w:p w14:paraId="62EB5DC4">
      <w:pPr>
        <w:pStyle w:val="42"/>
        <w:snapToGri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6</w:t>
      </w:r>
      <w:r>
        <w:rPr>
          <w:rFonts w:hint="eastAsia" w:ascii="宋体" w:hAnsi="宋体" w:cs="宋体"/>
          <w:color w:val="auto"/>
          <w:szCs w:val="21"/>
          <w:highlight w:val="none"/>
        </w:rPr>
        <w:t>.</w:t>
      </w:r>
      <w:r>
        <w:rPr>
          <w:rFonts w:hint="eastAsia" w:ascii="宋体" w:hAnsi="宋体" w:cs="宋体"/>
          <w:color w:val="auto"/>
          <w:szCs w:val="21"/>
          <w:highlight w:val="none"/>
          <w:lang w:val="zh-CN"/>
        </w:rPr>
        <w:t>磋商响应文件格式中的表格式样可以根据项目差别做适当调整,但应当保持表格样式基本形态不变。</w:t>
      </w:r>
    </w:p>
    <w:p w14:paraId="5FDA4A9F">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单位负责人为同一人或者存在直接控股、管理关系的不同供应商，不得参加同一合同项下的政府采购活动。</w:t>
      </w:r>
    </w:p>
    <w:p w14:paraId="4D3DDBE1">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zh-CN"/>
        </w:rPr>
        <w:t>.</w:t>
      </w:r>
      <w:r>
        <w:rPr>
          <w:rFonts w:hint="eastAsia" w:ascii="宋体" w:hAnsi="宋体" w:cs="宋体"/>
          <w:b/>
          <w:bCs/>
          <w:color w:val="auto"/>
          <w:sz w:val="21"/>
          <w:szCs w:val="21"/>
          <w:highlight w:val="none"/>
        </w:rPr>
        <w:t>供应商</w:t>
      </w:r>
      <w:r>
        <w:rPr>
          <w:rFonts w:hint="eastAsia" w:ascii="宋体" w:hAnsi="宋体" w:cs="宋体"/>
          <w:b/>
          <w:bCs/>
          <w:color w:val="auto"/>
          <w:sz w:val="21"/>
          <w:szCs w:val="21"/>
          <w:highlight w:val="none"/>
          <w:lang w:val="zh-CN"/>
        </w:rPr>
        <w:t>信用信息查询渠道及截止时点、信用信息查询记录和证据留存的具体方式、信用信息的使用规则：</w:t>
      </w:r>
    </w:p>
    <w:p w14:paraId="5C1CB29E">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sym w:font="Wingdings" w:char="0081"/>
      </w:r>
      <w:r>
        <w:rPr>
          <w:rFonts w:hint="eastAsia" w:ascii="宋体" w:hAnsi="宋体" w:cs="宋体"/>
          <w:color w:val="auto"/>
          <w:sz w:val="21"/>
          <w:szCs w:val="21"/>
          <w:highlight w:val="none"/>
          <w:lang w:val="zh-CN"/>
        </w:rPr>
        <w:t>查询渠道：中国政府采购网（网址：http://www.ccgp.gov.cn）、信用中国（网址：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1"/>
          <w:szCs w:val="21"/>
          <w:highlight w:val="none"/>
          <w:lang w:val="zh-CN"/>
        </w:rPr>
        <w:t>http://www.creditchina.gov.cn</w:t>
      </w:r>
      <w:r>
        <w:rPr>
          <w:rFonts w:hint="eastAsia" w:ascii="宋体" w:hAnsi="宋体" w:cs="宋体"/>
          <w:color w:val="auto"/>
          <w:sz w:val="21"/>
          <w:szCs w:val="21"/>
          <w:highlight w:val="none"/>
          <w:lang w:val="zh-CN"/>
        </w:rPr>
        <w:fldChar w:fldCharType="end"/>
      </w:r>
      <w:r>
        <w:rPr>
          <w:rFonts w:hint="eastAsia" w:ascii="宋体" w:hAnsi="宋体" w:cs="宋体"/>
          <w:color w:val="auto"/>
          <w:sz w:val="21"/>
          <w:szCs w:val="21"/>
          <w:highlight w:val="none"/>
          <w:lang w:val="zh-CN"/>
        </w:rPr>
        <w:t>）。</w:t>
      </w:r>
    </w:p>
    <w:p w14:paraId="486AA12D">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sym w:font="Wingdings" w:char="F082"/>
      </w:r>
      <w:r>
        <w:rPr>
          <w:rFonts w:hint="eastAsia" w:ascii="宋体" w:hAnsi="宋体" w:cs="宋体"/>
          <w:color w:val="auto"/>
          <w:sz w:val="21"/>
          <w:szCs w:val="21"/>
          <w:highlight w:val="none"/>
          <w:lang w:val="zh-CN"/>
        </w:rPr>
        <w:t>截止时间：开标后评标前。</w:t>
      </w:r>
    </w:p>
    <w:p w14:paraId="5E10B60B">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sym w:font="Wingdings" w:char="F083"/>
      </w:r>
      <w:r>
        <w:rPr>
          <w:rFonts w:hint="eastAsia" w:ascii="宋体" w:hAnsi="宋体" w:cs="宋体"/>
          <w:color w:val="auto"/>
          <w:sz w:val="21"/>
          <w:szCs w:val="21"/>
          <w:highlight w:val="none"/>
          <w:lang w:val="zh-CN"/>
        </w:rPr>
        <w:t>信用信息查询记录和证据留存的具体方式：将在规定查询时间内打印信用信息查询记录及相关证据，并将与其他采购文件一并保存。</w:t>
      </w:r>
    </w:p>
    <w:p w14:paraId="7C071BA8">
      <w:pPr>
        <w:autoSpaceDE w:val="0"/>
        <w:autoSpaceDN w:val="0"/>
        <w:adjustRightInd w:val="0"/>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lang w:val="zh-CN"/>
        </w:rPr>
        <w:sym w:font="Wingdings" w:char="0084"/>
      </w:r>
      <w:r>
        <w:rPr>
          <w:rFonts w:hint="eastAsia" w:ascii="宋体" w:hAnsi="宋体" w:cs="宋体"/>
          <w:color w:val="auto"/>
          <w:sz w:val="21"/>
          <w:szCs w:val="21"/>
          <w:highlight w:val="none"/>
          <w:lang w:val="zh-CN"/>
        </w:rPr>
        <w:t>使用规则：对列入失信被执行人、重大税收违法案件当事人名单、政府采购严重违法失信行为记录名单的供应商，拒绝其参与采购活动</w:t>
      </w:r>
      <w:r>
        <w:rPr>
          <w:rFonts w:hint="eastAsia" w:ascii="宋体" w:hAnsi="宋体" w:cs="宋体"/>
          <w:color w:val="auto"/>
          <w:sz w:val="21"/>
          <w:szCs w:val="21"/>
          <w:highlight w:val="none"/>
        </w:rPr>
        <w:t>。</w:t>
      </w:r>
    </w:p>
    <w:bookmarkEnd w:id="75"/>
    <w:bookmarkEnd w:id="76"/>
    <w:p w14:paraId="47CD6BAC">
      <w:pPr>
        <w:snapToGrid w:val="0"/>
        <w:spacing w:line="360" w:lineRule="auto"/>
        <w:ind w:firstLine="422" w:firstLineChars="20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lang w:val="zh-CN"/>
        </w:rPr>
        <w:t>政府采购政策：</w:t>
      </w:r>
    </w:p>
    <w:p w14:paraId="449FE108">
      <w:pPr>
        <w:snapToGrid w:val="0"/>
        <w:spacing w:line="360" w:lineRule="auto"/>
        <w:ind w:firstLine="422" w:firstLineChars="20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（1）本次采购专门面向中小企业/小微企业或监狱企业或残疾人福利性单位的采购项目。</w:t>
      </w:r>
    </w:p>
    <w:p w14:paraId="6287D15E">
      <w:pPr>
        <w:snapToGrid w:val="0"/>
        <w:spacing w:line="360" w:lineRule="auto"/>
        <w:ind w:firstLine="422" w:firstLineChars="20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931B6D3">
      <w:pPr>
        <w:snapToGrid w:val="0"/>
        <w:spacing w:line="360" w:lineRule="auto"/>
        <w:ind w:firstLine="422" w:firstLineChars="20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（3）以联合体形式参加政府采购活动，联合体各方均为小微企业的，联合体视同小微企业。（本项目不适用）</w:t>
      </w:r>
    </w:p>
    <w:p w14:paraId="7934033E">
      <w:pPr>
        <w:snapToGrid w:val="0"/>
        <w:spacing w:line="360" w:lineRule="auto"/>
        <w:ind w:firstLine="422" w:firstLineChars="20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（4）符合小微企业划分标准的个体工商户，视同小微企业。</w:t>
      </w:r>
    </w:p>
    <w:p w14:paraId="7152401D">
      <w:pPr>
        <w:snapToGrid w:val="0"/>
        <w:spacing w:line="360" w:lineRule="auto"/>
        <w:ind w:firstLine="422" w:firstLineChars="20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（5）本项目不接受大中型企业与小微企业组成联合体。</w:t>
      </w:r>
    </w:p>
    <w:p w14:paraId="71B2F1E4">
      <w:pPr>
        <w:snapToGrid w:val="0"/>
        <w:spacing w:line="360" w:lineRule="auto"/>
        <w:ind w:firstLine="422" w:firstLineChars="20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（6）本项目不允许大中型企业向一家或者多家小微企业分包。</w:t>
      </w:r>
    </w:p>
    <w:p w14:paraId="622E131A">
      <w:pPr>
        <w:snapToGrid w:val="0"/>
        <w:spacing w:line="360" w:lineRule="auto"/>
        <w:ind w:firstLine="422" w:firstLineChars="20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（7）提供的服务全部由中小微企业承接（包括联合体内的小微企业和接受分包的小微企业）的，供应商应当出具《中小企业声明函》。</w:t>
      </w:r>
    </w:p>
    <w:p w14:paraId="71019E6F">
      <w:pPr>
        <w:snapToGrid w:val="0"/>
        <w:spacing w:line="360" w:lineRule="auto"/>
        <w:ind w:firstLine="422" w:firstLineChars="20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（8）残疾人福利性单位视同小微企业，参加政府采购活动时，应当提供《残疾人福利性单位声明函》。</w:t>
      </w:r>
    </w:p>
    <w:p w14:paraId="0E50F779">
      <w:pPr>
        <w:autoSpaceDE w:val="0"/>
        <w:autoSpaceDN w:val="0"/>
        <w:adjustRightInd w:val="0"/>
        <w:spacing w:line="360" w:lineRule="auto"/>
        <w:ind w:firstLine="48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（9）监狱企业视同小微企业，参加政府采购活动时，应当出具省级以上监狱管理局、戒毒管理局（含新疆生产建设兵团）提供的属于监狱企业的证明文件。</w:t>
      </w:r>
    </w:p>
    <w:p w14:paraId="577DA80D">
      <w:pPr>
        <w:autoSpaceDE w:val="0"/>
        <w:autoSpaceDN w:val="0"/>
        <w:adjustRightInd w:val="0"/>
        <w:spacing w:line="360" w:lineRule="auto"/>
        <w:ind w:firstLine="48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（七）</w:t>
      </w:r>
      <w:r>
        <w:rPr>
          <w:rFonts w:hint="eastAsia" w:ascii="宋体" w:hAnsi="宋体" w:eastAsia="宋体" w:cs="宋体"/>
          <w:b/>
          <w:bCs/>
          <w:color w:val="auto"/>
          <w:sz w:val="21"/>
          <w:szCs w:val="21"/>
          <w:highlight w:val="none"/>
          <w:lang w:val="zh-CN"/>
        </w:rPr>
        <w:t>质疑与投诉</w:t>
      </w:r>
    </w:p>
    <w:p w14:paraId="71A7C04B">
      <w:pPr>
        <w:pStyle w:val="15"/>
        <w:spacing w:line="360" w:lineRule="auto"/>
        <w:ind w:firstLine="420" w:firstLineChars="200"/>
        <w:rPr>
          <w:rFonts w:hAnsi="宋体" w:eastAsia="宋体" w:cs="宋体"/>
          <w:color w:val="auto"/>
          <w:szCs w:val="21"/>
          <w:highlight w:val="none"/>
          <w:lang w:val="zh-CN"/>
        </w:rPr>
      </w:pPr>
      <w:r>
        <w:rPr>
          <w:rFonts w:hint="eastAsia" w:hAnsi="宋体" w:eastAsia="宋体" w:cs="宋体"/>
          <w:color w:val="auto"/>
          <w:szCs w:val="21"/>
          <w:highlight w:val="none"/>
          <w:lang w:val="zh-CN"/>
        </w:rPr>
        <w:t>1、</w:t>
      </w:r>
      <w:r>
        <w:rPr>
          <w:rFonts w:hint="eastAsia" w:hAnsi="宋体" w:eastAsia="宋体" w:cs="宋体"/>
          <w:color w:val="auto"/>
          <w:szCs w:val="21"/>
          <w:highlight w:val="none"/>
        </w:rPr>
        <w:t>供应商</w:t>
      </w:r>
      <w:r>
        <w:rPr>
          <w:rFonts w:hint="eastAsia" w:hAnsi="宋体" w:eastAsia="宋体" w:cs="宋体"/>
          <w:color w:val="auto"/>
          <w:szCs w:val="21"/>
          <w:highlight w:val="none"/>
          <w:lang w:val="zh-CN"/>
        </w:rPr>
        <w:t>认为</w:t>
      </w:r>
      <w:r>
        <w:rPr>
          <w:rFonts w:hint="eastAsia" w:hAnsi="宋体" w:eastAsia="宋体" w:cs="宋体"/>
          <w:color w:val="auto"/>
          <w:szCs w:val="21"/>
          <w:highlight w:val="none"/>
        </w:rPr>
        <w:t>磋商</w:t>
      </w:r>
      <w:r>
        <w:rPr>
          <w:rFonts w:hint="eastAsia" w:hAnsi="宋体" w:eastAsia="宋体" w:cs="宋体"/>
          <w:color w:val="auto"/>
          <w:szCs w:val="21"/>
          <w:highlight w:val="none"/>
          <w:lang w:val="zh-CN"/>
        </w:rPr>
        <w:t>文件、</w:t>
      </w:r>
      <w:r>
        <w:rPr>
          <w:rFonts w:hint="eastAsia" w:hAnsi="宋体" w:eastAsia="宋体" w:cs="宋体"/>
          <w:color w:val="auto"/>
          <w:szCs w:val="21"/>
          <w:highlight w:val="none"/>
        </w:rPr>
        <w:t>磋商</w:t>
      </w:r>
      <w:r>
        <w:rPr>
          <w:rFonts w:hint="eastAsia" w:hAnsi="宋体" w:eastAsia="宋体" w:cs="宋体"/>
          <w:color w:val="auto"/>
          <w:szCs w:val="21"/>
          <w:highlight w:val="none"/>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color w:val="auto"/>
          <w:szCs w:val="21"/>
          <w:highlight w:val="none"/>
        </w:rPr>
        <w:t>采购</w:t>
      </w:r>
      <w:r>
        <w:rPr>
          <w:rFonts w:hint="eastAsia" w:hAnsi="宋体" w:eastAsia="宋体" w:cs="宋体"/>
          <w:color w:val="auto"/>
          <w:szCs w:val="21"/>
          <w:highlight w:val="none"/>
          <w:lang w:val="zh-CN"/>
        </w:rPr>
        <w:t>程序环节的质疑）。</w:t>
      </w:r>
    </w:p>
    <w:p w14:paraId="5ECA285A">
      <w:pPr>
        <w:pStyle w:val="15"/>
        <w:spacing w:line="360" w:lineRule="auto"/>
        <w:ind w:firstLine="420" w:firstLineChars="200"/>
        <w:rPr>
          <w:rFonts w:hAnsi="宋体" w:eastAsia="宋体" w:cs="宋体"/>
          <w:color w:val="auto"/>
          <w:szCs w:val="21"/>
          <w:highlight w:val="none"/>
          <w:lang w:val="zh-CN"/>
        </w:rPr>
      </w:pPr>
      <w:r>
        <w:rPr>
          <w:rFonts w:hint="eastAsia" w:hAnsi="宋体" w:eastAsia="宋体" w:cs="宋体"/>
          <w:color w:val="auto"/>
          <w:szCs w:val="21"/>
          <w:highlight w:val="none"/>
          <w:lang w:val="zh-CN"/>
        </w:rPr>
        <w:t>2、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297C8D0A">
      <w:pPr>
        <w:pStyle w:val="15"/>
        <w:spacing w:line="360" w:lineRule="auto"/>
        <w:ind w:firstLine="420" w:firstLineChars="200"/>
        <w:rPr>
          <w:rFonts w:hAnsi="宋体" w:eastAsia="宋体" w:cs="宋体"/>
          <w:color w:val="auto"/>
          <w:szCs w:val="21"/>
          <w:highlight w:val="none"/>
          <w:lang w:val="zh-CN"/>
        </w:rPr>
      </w:pPr>
      <w:r>
        <w:rPr>
          <w:rFonts w:hint="eastAsia" w:hAnsi="宋体" w:eastAsia="宋体" w:cs="宋体"/>
          <w:color w:val="auto"/>
          <w:szCs w:val="21"/>
          <w:highlight w:val="none"/>
          <w:lang w:val="zh-CN"/>
        </w:rPr>
        <w:t>3、代理机构在收到质疑供应商的书面质疑后7个工作日内作出书面答复（涉及项目</w:t>
      </w:r>
      <w:r>
        <w:rPr>
          <w:rFonts w:hint="eastAsia" w:hAnsi="宋体" w:eastAsia="宋体" w:cs="宋体"/>
          <w:color w:val="auto"/>
          <w:szCs w:val="21"/>
          <w:highlight w:val="none"/>
        </w:rPr>
        <w:t>采购</w:t>
      </w:r>
      <w:r>
        <w:rPr>
          <w:rFonts w:hint="eastAsia" w:hAnsi="宋体" w:eastAsia="宋体" w:cs="宋体"/>
          <w:color w:val="auto"/>
          <w:szCs w:val="21"/>
          <w:highlight w:val="none"/>
          <w:lang w:val="zh-CN"/>
        </w:rPr>
        <w:t>需求内容的由采购人答复），质疑人在收到答复后应于1 日内，以书面或传真形式（签署意见并加盖公章）向代理机构回复予以确认。过期未回复的，视为默认接受。</w:t>
      </w:r>
    </w:p>
    <w:p w14:paraId="0B50092D">
      <w:pPr>
        <w:spacing w:line="360" w:lineRule="auto"/>
        <w:ind w:firstLine="482"/>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4、质疑</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捏造事实、提供虚假材料进行质疑的，代理机构报告同级监督部门。情况属实的，列入不良行为记录并在指定的媒体上公告。</w:t>
      </w:r>
    </w:p>
    <w:p w14:paraId="128A7E6D">
      <w:pPr>
        <w:pStyle w:val="4"/>
        <w:spacing w:before="0" w:after="0" w:line="360" w:lineRule="auto"/>
        <w:ind w:firstLine="420" w:firstLineChars="200"/>
        <w:rPr>
          <w:rFonts w:ascii="宋体" w:hAnsi="宋体" w:eastAsia="宋体" w:cs="宋体"/>
          <w:b w:val="0"/>
          <w:bCs w:val="0"/>
          <w:color w:val="auto"/>
          <w:sz w:val="21"/>
          <w:szCs w:val="21"/>
          <w:highlight w:val="none"/>
          <w:lang w:val="zh-CN"/>
        </w:rPr>
      </w:pPr>
      <w:bookmarkStart w:id="77" w:name="_Toc983"/>
      <w:bookmarkStart w:id="78" w:name="_Toc21109"/>
      <w:bookmarkStart w:id="79" w:name="_Toc2108"/>
      <w:bookmarkStart w:id="80" w:name="_Toc16590"/>
      <w:r>
        <w:rPr>
          <w:rFonts w:hint="eastAsia" w:ascii="宋体" w:hAnsi="宋体" w:eastAsia="宋体" w:cs="宋体"/>
          <w:b w:val="0"/>
          <w:bCs w:val="0"/>
          <w:color w:val="auto"/>
          <w:sz w:val="21"/>
          <w:szCs w:val="21"/>
          <w:highlight w:val="none"/>
          <w:lang w:val="zh-CN"/>
        </w:rPr>
        <w:t>5、</w:t>
      </w:r>
      <w:r>
        <w:rPr>
          <w:rFonts w:hint="eastAsia" w:ascii="宋体" w:hAnsi="宋体" w:eastAsia="宋体" w:cs="宋体"/>
          <w:b w:val="0"/>
          <w:bCs w:val="0"/>
          <w:color w:val="auto"/>
          <w:kern w:val="0"/>
          <w:sz w:val="21"/>
          <w:szCs w:val="21"/>
          <w:highlight w:val="none"/>
        </w:rPr>
        <w:t>质疑供应商对采购人、代理机构的答复不满意或者采购人、代理机构未在规定的时间内作出答复的，可以在答复期满后十五个工作日内向</w:t>
      </w:r>
      <w:r>
        <w:rPr>
          <w:rFonts w:hint="eastAsia" w:ascii="宋体" w:hAnsi="宋体" w:eastAsia="宋体" w:cs="宋体"/>
          <w:b w:val="0"/>
          <w:bCs w:val="0"/>
          <w:color w:val="auto"/>
          <w:sz w:val="21"/>
          <w:szCs w:val="21"/>
          <w:highlight w:val="none"/>
          <w:lang w:val="zh-CN"/>
        </w:rPr>
        <w:t>同级监督部门</w:t>
      </w:r>
      <w:r>
        <w:rPr>
          <w:rFonts w:hint="eastAsia" w:ascii="宋体" w:hAnsi="宋体" w:eastAsia="宋体" w:cs="宋体"/>
          <w:b w:val="0"/>
          <w:bCs w:val="0"/>
          <w:color w:val="auto"/>
          <w:kern w:val="0"/>
          <w:sz w:val="21"/>
          <w:szCs w:val="21"/>
          <w:highlight w:val="none"/>
        </w:rPr>
        <w:t>投诉。</w:t>
      </w:r>
      <w:bookmarkEnd w:id="77"/>
      <w:bookmarkEnd w:id="78"/>
      <w:bookmarkEnd w:id="79"/>
      <w:bookmarkEnd w:id="80"/>
    </w:p>
    <w:p w14:paraId="3DFED268">
      <w:pPr>
        <w:autoSpaceDE w:val="0"/>
        <w:autoSpaceDN w:val="0"/>
        <w:adjustRightInd w:val="0"/>
        <w:spacing w:line="360" w:lineRule="auto"/>
        <w:ind w:firstLine="422" w:firstLineChars="20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二、磋商文件</w:t>
      </w:r>
    </w:p>
    <w:p w14:paraId="24C9F36C">
      <w:pPr>
        <w:autoSpaceDE w:val="0"/>
        <w:autoSpaceDN w:val="0"/>
        <w:adjustRightInd w:val="0"/>
        <w:spacing w:line="360" w:lineRule="auto"/>
        <w:ind w:firstLine="420" w:firstLineChars="200"/>
        <w:rPr>
          <w:rFonts w:ascii="宋体"/>
          <w:b/>
          <w:color w:val="auto"/>
          <w:sz w:val="21"/>
          <w:szCs w:val="21"/>
          <w:highlight w:val="none"/>
          <w:lang w:val="zh-CN"/>
        </w:rPr>
      </w:pPr>
      <w:r>
        <w:rPr>
          <w:rFonts w:hint="eastAsia" w:ascii="宋体"/>
          <w:b/>
          <w:color w:val="auto"/>
          <w:sz w:val="21"/>
          <w:szCs w:val="21"/>
          <w:highlight w:val="none"/>
          <w:lang w:val="zh-CN"/>
        </w:rPr>
        <w:t>（一）</w:t>
      </w:r>
      <w:r>
        <w:rPr>
          <w:rFonts w:hint="eastAsia" w:ascii="宋体"/>
          <w:b/>
          <w:color w:val="auto"/>
          <w:sz w:val="21"/>
          <w:szCs w:val="21"/>
          <w:highlight w:val="none"/>
        </w:rPr>
        <w:t>磋商</w:t>
      </w:r>
      <w:r>
        <w:rPr>
          <w:rFonts w:hint="eastAsia" w:ascii="宋体"/>
          <w:b/>
          <w:color w:val="auto"/>
          <w:sz w:val="21"/>
          <w:szCs w:val="21"/>
          <w:highlight w:val="none"/>
          <w:lang w:val="zh-CN"/>
        </w:rPr>
        <w:t>文件的构成</w:t>
      </w:r>
    </w:p>
    <w:p w14:paraId="60E71F08">
      <w:pPr>
        <w:autoSpaceDE w:val="0"/>
        <w:autoSpaceDN w:val="0"/>
        <w:adjustRightInd w:val="0"/>
        <w:spacing w:line="360" w:lineRule="auto"/>
        <w:ind w:firstLine="420" w:firstLineChars="200"/>
        <w:rPr>
          <w:rFonts w:ascii="宋体"/>
          <w:color w:val="auto"/>
          <w:sz w:val="21"/>
          <w:szCs w:val="21"/>
          <w:highlight w:val="none"/>
          <w:lang w:val="zh-CN"/>
        </w:rPr>
      </w:pPr>
      <w:r>
        <w:rPr>
          <w:rFonts w:hint="eastAsia" w:ascii="宋体"/>
          <w:color w:val="auto"/>
          <w:sz w:val="21"/>
          <w:szCs w:val="21"/>
          <w:highlight w:val="none"/>
          <w:lang w:val="zh-CN"/>
        </w:rPr>
        <w:t>本</w:t>
      </w:r>
      <w:r>
        <w:rPr>
          <w:rFonts w:hint="eastAsia" w:ascii="宋体"/>
          <w:color w:val="auto"/>
          <w:sz w:val="21"/>
          <w:szCs w:val="21"/>
          <w:highlight w:val="none"/>
        </w:rPr>
        <w:t>磋商</w:t>
      </w:r>
      <w:r>
        <w:rPr>
          <w:rFonts w:hint="eastAsia" w:ascii="宋体"/>
          <w:color w:val="auto"/>
          <w:sz w:val="21"/>
          <w:szCs w:val="21"/>
          <w:highlight w:val="none"/>
          <w:lang w:val="zh-CN"/>
        </w:rPr>
        <w:t>文件由以下部份组成：</w:t>
      </w:r>
    </w:p>
    <w:p w14:paraId="0A039B63">
      <w:pPr>
        <w:numPr>
          <w:ilvl w:val="0"/>
          <w:numId w:val="6"/>
        </w:numPr>
        <w:autoSpaceDE w:val="0"/>
        <w:autoSpaceDN w:val="0"/>
        <w:adjustRightInd w:val="0"/>
        <w:spacing w:line="360" w:lineRule="auto"/>
        <w:rPr>
          <w:rFonts w:ascii="宋体"/>
          <w:color w:val="auto"/>
          <w:sz w:val="21"/>
          <w:szCs w:val="21"/>
          <w:highlight w:val="none"/>
          <w:lang w:val="zh-CN"/>
        </w:rPr>
      </w:pPr>
      <w:r>
        <w:rPr>
          <w:rFonts w:hint="eastAsia" w:ascii="宋体"/>
          <w:color w:val="auto"/>
          <w:sz w:val="21"/>
          <w:szCs w:val="21"/>
          <w:highlight w:val="none"/>
        </w:rPr>
        <w:t>竞争性磋商</w:t>
      </w:r>
      <w:r>
        <w:rPr>
          <w:rFonts w:hint="eastAsia" w:ascii="宋体"/>
          <w:color w:val="auto"/>
          <w:sz w:val="21"/>
          <w:szCs w:val="21"/>
          <w:highlight w:val="none"/>
          <w:lang w:val="zh-CN"/>
        </w:rPr>
        <w:t>公告</w:t>
      </w:r>
    </w:p>
    <w:p w14:paraId="4A47AC81">
      <w:pPr>
        <w:numPr>
          <w:ilvl w:val="0"/>
          <w:numId w:val="6"/>
        </w:numPr>
        <w:autoSpaceDE w:val="0"/>
        <w:autoSpaceDN w:val="0"/>
        <w:adjustRightInd w:val="0"/>
        <w:spacing w:line="360" w:lineRule="auto"/>
        <w:rPr>
          <w:rFonts w:ascii="宋体"/>
          <w:color w:val="auto"/>
          <w:sz w:val="21"/>
          <w:szCs w:val="21"/>
          <w:highlight w:val="none"/>
          <w:lang w:val="zh-CN"/>
        </w:rPr>
      </w:pPr>
      <w:r>
        <w:rPr>
          <w:rFonts w:hint="eastAsia" w:ascii="宋体"/>
          <w:color w:val="auto"/>
          <w:sz w:val="21"/>
          <w:szCs w:val="21"/>
          <w:highlight w:val="none"/>
        </w:rPr>
        <w:t>采购</w:t>
      </w:r>
      <w:r>
        <w:rPr>
          <w:rFonts w:hint="eastAsia" w:ascii="宋体"/>
          <w:color w:val="auto"/>
          <w:sz w:val="21"/>
          <w:szCs w:val="21"/>
          <w:highlight w:val="none"/>
          <w:lang w:val="zh-CN"/>
        </w:rPr>
        <w:t>需求</w:t>
      </w:r>
    </w:p>
    <w:p w14:paraId="66A0479E">
      <w:pPr>
        <w:numPr>
          <w:ilvl w:val="0"/>
          <w:numId w:val="6"/>
        </w:numPr>
        <w:autoSpaceDE w:val="0"/>
        <w:autoSpaceDN w:val="0"/>
        <w:adjustRightInd w:val="0"/>
        <w:spacing w:line="360" w:lineRule="auto"/>
        <w:rPr>
          <w:rFonts w:ascii="宋体"/>
          <w:color w:val="auto"/>
          <w:sz w:val="21"/>
          <w:szCs w:val="21"/>
          <w:highlight w:val="none"/>
          <w:lang w:val="zh-CN"/>
        </w:rPr>
      </w:pPr>
      <w:r>
        <w:rPr>
          <w:rFonts w:hint="eastAsia" w:ascii="宋体"/>
          <w:color w:val="auto"/>
          <w:sz w:val="21"/>
          <w:szCs w:val="21"/>
          <w:highlight w:val="none"/>
        </w:rPr>
        <w:t>供应商</w:t>
      </w:r>
      <w:r>
        <w:rPr>
          <w:rFonts w:hint="eastAsia" w:ascii="宋体"/>
          <w:color w:val="auto"/>
          <w:sz w:val="21"/>
          <w:szCs w:val="21"/>
          <w:highlight w:val="none"/>
          <w:lang w:val="zh-CN"/>
        </w:rPr>
        <w:t>须知</w:t>
      </w:r>
    </w:p>
    <w:p w14:paraId="45996DEB">
      <w:pPr>
        <w:numPr>
          <w:ilvl w:val="0"/>
          <w:numId w:val="6"/>
        </w:numPr>
        <w:autoSpaceDE w:val="0"/>
        <w:autoSpaceDN w:val="0"/>
        <w:adjustRightInd w:val="0"/>
        <w:spacing w:line="360" w:lineRule="auto"/>
        <w:rPr>
          <w:rFonts w:ascii="宋体"/>
          <w:color w:val="auto"/>
          <w:sz w:val="21"/>
          <w:szCs w:val="21"/>
          <w:highlight w:val="none"/>
          <w:lang w:val="zh-CN"/>
        </w:rPr>
      </w:pPr>
      <w:r>
        <w:rPr>
          <w:rFonts w:hint="eastAsia" w:ascii="宋体"/>
          <w:color w:val="auto"/>
          <w:sz w:val="21"/>
          <w:szCs w:val="21"/>
          <w:highlight w:val="none"/>
          <w:lang w:val="zh-CN"/>
        </w:rPr>
        <w:t>评标办法及评分标准</w:t>
      </w:r>
    </w:p>
    <w:p w14:paraId="2DDC1265">
      <w:pPr>
        <w:numPr>
          <w:ilvl w:val="0"/>
          <w:numId w:val="6"/>
        </w:numPr>
        <w:autoSpaceDE w:val="0"/>
        <w:autoSpaceDN w:val="0"/>
        <w:adjustRightInd w:val="0"/>
        <w:spacing w:line="360" w:lineRule="auto"/>
        <w:rPr>
          <w:rFonts w:ascii="宋体"/>
          <w:color w:val="auto"/>
          <w:sz w:val="21"/>
          <w:szCs w:val="21"/>
          <w:highlight w:val="none"/>
          <w:lang w:val="zh-CN"/>
        </w:rPr>
      </w:pPr>
      <w:r>
        <w:rPr>
          <w:rFonts w:hint="eastAsia" w:ascii="宋体"/>
          <w:color w:val="auto"/>
          <w:sz w:val="21"/>
          <w:szCs w:val="21"/>
          <w:highlight w:val="none"/>
          <w:lang w:val="zh-CN"/>
        </w:rPr>
        <w:t>合同主要条款</w:t>
      </w:r>
    </w:p>
    <w:p w14:paraId="7162E063">
      <w:pPr>
        <w:numPr>
          <w:ilvl w:val="0"/>
          <w:numId w:val="6"/>
        </w:numPr>
        <w:autoSpaceDE w:val="0"/>
        <w:autoSpaceDN w:val="0"/>
        <w:adjustRightInd w:val="0"/>
        <w:spacing w:line="360" w:lineRule="auto"/>
        <w:rPr>
          <w:rFonts w:ascii="宋体"/>
          <w:color w:val="auto"/>
          <w:sz w:val="21"/>
          <w:szCs w:val="21"/>
          <w:highlight w:val="none"/>
          <w:lang w:val="zh-CN"/>
        </w:rPr>
      </w:pPr>
      <w:r>
        <w:rPr>
          <w:rFonts w:hint="eastAsia" w:ascii="宋体"/>
          <w:color w:val="auto"/>
          <w:sz w:val="21"/>
          <w:szCs w:val="21"/>
          <w:highlight w:val="none"/>
        </w:rPr>
        <w:t>响应文件</w:t>
      </w:r>
      <w:r>
        <w:rPr>
          <w:rFonts w:hint="eastAsia" w:ascii="宋体"/>
          <w:color w:val="auto"/>
          <w:sz w:val="21"/>
          <w:szCs w:val="21"/>
          <w:highlight w:val="none"/>
          <w:lang w:val="zh-CN"/>
        </w:rPr>
        <w:t>格式</w:t>
      </w:r>
    </w:p>
    <w:p w14:paraId="74AF6B58">
      <w:pPr>
        <w:autoSpaceDE w:val="0"/>
        <w:autoSpaceDN w:val="0"/>
        <w:adjustRightInd w:val="0"/>
        <w:spacing w:line="360" w:lineRule="auto"/>
        <w:ind w:firstLine="420" w:firstLineChars="200"/>
        <w:rPr>
          <w:rFonts w:ascii="宋体"/>
          <w:color w:val="auto"/>
          <w:sz w:val="21"/>
          <w:szCs w:val="21"/>
          <w:highlight w:val="none"/>
          <w:lang w:val="zh-CN"/>
        </w:rPr>
      </w:pPr>
      <w:r>
        <w:rPr>
          <w:rFonts w:hint="eastAsia" w:ascii="宋体"/>
          <w:color w:val="auto"/>
          <w:sz w:val="21"/>
          <w:szCs w:val="21"/>
          <w:highlight w:val="none"/>
          <w:lang w:val="zh-CN"/>
        </w:rPr>
        <w:t>7、</w:t>
      </w:r>
      <w:r>
        <w:rPr>
          <w:rFonts w:hint="eastAsia" w:ascii="宋体" w:hAnsi="宋体"/>
          <w:color w:val="auto"/>
          <w:sz w:val="21"/>
          <w:szCs w:val="21"/>
          <w:highlight w:val="none"/>
        </w:rPr>
        <w:t>本项目磋商文件的澄清、答复、修改、补充的内容</w:t>
      </w:r>
    </w:p>
    <w:p w14:paraId="311098BB">
      <w:pPr>
        <w:autoSpaceDE w:val="0"/>
        <w:autoSpaceDN w:val="0"/>
        <w:adjustRightInd w:val="0"/>
        <w:spacing w:line="360" w:lineRule="auto"/>
        <w:ind w:firstLine="420" w:firstLineChars="200"/>
        <w:rPr>
          <w:rFonts w:ascii="宋体"/>
          <w:b/>
          <w:color w:val="auto"/>
          <w:sz w:val="21"/>
          <w:szCs w:val="21"/>
          <w:highlight w:val="none"/>
          <w:lang w:val="zh-CN"/>
        </w:rPr>
      </w:pPr>
      <w:r>
        <w:rPr>
          <w:rFonts w:hint="eastAsia" w:ascii="宋体"/>
          <w:b/>
          <w:color w:val="auto"/>
          <w:sz w:val="21"/>
          <w:szCs w:val="21"/>
          <w:highlight w:val="none"/>
          <w:lang w:val="zh-CN"/>
        </w:rPr>
        <w:t>（二）</w:t>
      </w:r>
      <w:r>
        <w:rPr>
          <w:rFonts w:hint="eastAsia" w:ascii="宋体"/>
          <w:b/>
          <w:color w:val="auto"/>
          <w:sz w:val="21"/>
          <w:szCs w:val="21"/>
          <w:highlight w:val="none"/>
        </w:rPr>
        <w:t>磋商</w:t>
      </w:r>
      <w:r>
        <w:rPr>
          <w:rFonts w:hint="eastAsia" w:ascii="宋体"/>
          <w:b/>
          <w:color w:val="auto"/>
          <w:sz w:val="21"/>
          <w:szCs w:val="21"/>
          <w:highlight w:val="none"/>
          <w:lang w:val="zh-CN"/>
        </w:rPr>
        <w:t>文件的澄清与修改</w:t>
      </w:r>
    </w:p>
    <w:p w14:paraId="3E8CE9B9">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供应商</w:t>
      </w:r>
      <w:r>
        <w:rPr>
          <w:rFonts w:hint="eastAsia" w:ascii="宋体" w:hAnsi="宋体" w:cs="宋体"/>
          <w:color w:val="auto"/>
          <w:sz w:val="21"/>
          <w:szCs w:val="21"/>
          <w:highlight w:val="none"/>
          <w:lang w:val="zh-CN"/>
        </w:rPr>
        <w:t>如发现</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文件及其评标办法中存在含糊不清、相互矛盾、多种含义以及歧视性不公正条款或违法违规等有疑点需要质疑的，可以自收到</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文件之日（发售截止日之后收到采购文件的，以发售截止日为准）或者采购文件公告期限届满之日（即为</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公告发布后的第</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个工作日）起7个工作日内，以书面形式向采购人和采购代理机构提出质疑。逾期不得再对</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文件内容提出质疑，并视为对</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文件内容认可。</w:t>
      </w:r>
    </w:p>
    <w:p w14:paraId="2EE6ABE8">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2.采购代理机构对已发出的</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文件进行必要的澄清或者修改，澄清或者修改内容可能影响</w:t>
      </w:r>
      <w:r>
        <w:rPr>
          <w:rFonts w:hint="eastAsia" w:ascii="宋体" w:hAnsi="宋体" w:cs="宋体"/>
          <w:color w:val="auto"/>
          <w:sz w:val="21"/>
          <w:szCs w:val="21"/>
          <w:highlight w:val="none"/>
        </w:rPr>
        <w:t>响应文件</w:t>
      </w:r>
      <w:r>
        <w:rPr>
          <w:rFonts w:hint="eastAsia" w:ascii="宋体" w:hAnsi="宋体" w:cs="宋体"/>
          <w:color w:val="auto"/>
          <w:sz w:val="21"/>
          <w:szCs w:val="21"/>
          <w:highlight w:val="none"/>
          <w:lang w:val="zh-CN"/>
        </w:rPr>
        <w:t>编制的，采购代理机构于响应文件提交截止时间至少</w:t>
      </w:r>
      <w:r>
        <w:rPr>
          <w:rFonts w:hint="eastAsia" w:ascii="宋体" w:hAnsi="宋体" w:eastAsia="宋体" w:cs="宋体"/>
          <w:color w:val="auto"/>
          <w:sz w:val="21"/>
          <w:szCs w:val="21"/>
          <w:highlight w:val="none"/>
        </w:rPr>
        <w:t>3个工作</w:t>
      </w:r>
      <w:r>
        <w:rPr>
          <w:rFonts w:hint="eastAsia" w:ascii="宋体" w:hAnsi="宋体" w:cs="宋体"/>
          <w:color w:val="auto"/>
          <w:sz w:val="21"/>
          <w:szCs w:val="21"/>
          <w:highlight w:val="none"/>
          <w:lang w:val="zh-CN"/>
        </w:rPr>
        <w:t>日前在“浙江省政府采购网”、“仙居县公共资源交易网”网站上发布澄清或更正公告；不足</w:t>
      </w:r>
      <w:r>
        <w:rPr>
          <w:rFonts w:hint="eastAsia" w:ascii="宋体" w:hAnsi="宋体" w:eastAsia="宋体" w:cs="宋体"/>
          <w:color w:val="auto"/>
          <w:sz w:val="21"/>
          <w:szCs w:val="21"/>
          <w:highlight w:val="none"/>
        </w:rPr>
        <w:t>3个工作</w:t>
      </w:r>
      <w:r>
        <w:rPr>
          <w:rFonts w:hint="eastAsia" w:ascii="宋体" w:hAnsi="宋体" w:cs="宋体"/>
          <w:color w:val="auto"/>
          <w:sz w:val="21"/>
          <w:szCs w:val="21"/>
          <w:highlight w:val="none"/>
          <w:lang w:val="zh-CN"/>
        </w:rPr>
        <w:t>日的，采购代理机构有权顺延提交</w:t>
      </w:r>
      <w:r>
        <w:rPr>
          <w:rFonts w:hint="eastAsia" w:ascii="宋体" w:hAnsi="宋体" w:cs="宋体"/>
          <w:color w:val="auto"/>
          <w:sz w:val="21"/>
          <w:szCs w:val="21"/>
          <w:highlight w:val="none"/>
        </w:rPr>
        <w:t>响应文件</w:t>
      </w:r>
      <w:r>
        <w:rPr>
          <w:rFonts w:hint="eastAsia" w:ascii="宋体" w:hAnsi="宋体" w:cs="宋体"/>
          <w:color w:val="auto"/>
          <w:sz w:val="21"/>
          <w:szCs w:val="21"/>
          <w:highlight w:val="none"/>
          <w:lang w:val="zh-CN"/>
        </w:rPr>
        <w:t>的截止时间。</w:t>
      </w:r>
    </w:p>
    <w:p w14:paraId="0DB8898F">
      <w:pPr>
        <w:autoSpaceDE w:val="0"/>
        <w:autoSpaceDN w:val="0"/>
        <w:adjustRightInd w:val="0"/>
        <w:spacing w:line="360" w:lineRule="auto"/>
        <w:ind w:firstLine="420" w:firstLineChars="200"/>
        <w:rPr>
          <w:rFonts w:ascii="宋体" w:hAnsi="宋体" w:eastAsia="宋体" w:cs="宋体"/>
          <w:b/>
          <w:color w:val="auto"/>
          <w:sz w:val="21"/>
          <w:szCs w:val="21"/>
          <w:highlight w:val="none"/>
          <w:lang w:val="zh-CN"/>
        </w:rPr>
      </w:pPr>
      <w:r>
        <w:rPr>
          <w:rFonts w:hint="eastAsia" w:ascii="宋体" w:hAnsi="宋体" w:cs="宋体"/>
          <w:color w:val="auto"/>
          <w:sz w:val="21"/>
          <w:szCs w:val="21"/>
          <w:highlight w:val="none"/>
          <w:lang w:val="zh-CN"/>
        </w:rPr>
        <w:t>3.当</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文件与</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文件的澄清、修改、补充等在同一内容的表述上不一致时，以最后发出的书面文件为准。</w:t>
      </w:r>
    </w:p>
    <w:p w14:paraId="034909B3">
      <w:pPr>
        <w:autoSpaceDE w:val="0"/>
        <w:autoSpaceDN w:val="0"/>
        <w:adjustRightInd w:val="0"/>
        <w:spacing w:line="360" w:lineRule="auto"/>
        <w:ind w:firstLine="422" w:firstLineChars="20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val="zh-CN"/>
        </w:rPr>
        <w:t>、响应文件</w:t>
      </w:r>
      <w:r>
        <w:rPr>
          <w:rFonts w:hint="eastAsia" w:ascii="宋体" w:hAnsi="宋体" w:eastAsia="宋体" w:cs="宋体"/>
          <w:b/>
          <w:color w:val="auto"/>
          <w:sz w:val="21"/>
          <w:szCs w:val="21"/>
          <w:highlight w:val="none"/>
        </w:rPr>
        <w:t>的编制</w:t>
      </w:r>
    </w:p>
    <w:p w14:paraId="4E8EA6F2">
      <w:pPr>
        <w:autoSpaceDE w:val="0"/>
        <w:autoSpaceDN w:val="0"/>
        <w:adjustRightInd w:val="0"/>
        <w:spacing w:line="360" w:lineRule="auto"/>
        <w:ind w:firstLine="422" w:firstLineChars="200"/>
        <w:rPr>
          <w:rFonts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（一）响应文件的组成</w:t>
      </w:r>
    </w:p>
    <w:p w14:paraId="093E2D7B">
      <w:pPr>
        <w:autoSpaceDE w:val="0"/>
        <w:autoSpaceDN w:val="0"/>
        <w:adjustRightInd w:val="0"/>
        <w:spacing w:line="360" w:lineRule="auto"/>
        <w:ind w:firstLine="420" w:firstLineChars="200"/>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1、供应商</w:t>
      </w:r>
      <w:r>
        <w:rPr>
          <w:rFonts w:hint="eastAsia" w:ascii="宋体" w:hAnsi="宋体" w:eastAsia="宋体" w:cs="宋体"/>
          <w:bCs/>
          <w:color w:val="auto"/>
          <w:sz w:val="21"/>
          <w:szCs w:val="21"/>
          <w:highlight w:val="none"/>
          <w:lang w:val="zh-CN"/>
        </w:rPr>
        <w:t>应仔细阅读</w:t>
      </w:r>
      <w:r>
        <w:rPr>
          <w:rFonts w:hint="eastAsia" w:ascii="宋体" w:hAnsi="宋体" w:eastAsia="宋体" w:cs="宋体"/>
          <w:bCs/>
          <w:color w:val="auto"/>
          <w:sz w:val="21"/>
          <w:szCs w:val="21"/>
          <w:highlight w:val="none"/>
        </w:rPr>
        <w:t>磋商</w:t>
      </w:r>
      <w:r>
        <w:rPr>
          <w:rFonts w:hint="eastAsia" w:ascii="宋体" w:hAnsi="宋体" w:eastAsia="宋体" w:cs="宋体"/>
          <w:bCs/>
          <w:color w:val="auto"/>
          <w:sz w:val="21"/>
          <w:szCs w:val="21"/>
          <w:highlight w:val="none"/>
          <w:lang w:val="zh-CN"/>
        </w:rPr>
        <w:t>文件的所有内容，按照</w:t>
      </w:r>
      <w:r>
        <w:rPr>
          <w:rFonts w:hint="eastAsia" w:ascii="宋体" w:hAnsi="宋体" w:eastAsia="宋体" w:cs="宋体"/>
          <w:bCs/>
          <w:color w:val="auto"/>
          <w:sz w:val="21"/>
          <w:szCs w:val="21"/>
          <w:highlight w:val="none"/>
        </w:rPr>
        <w:t>磋商</w:t>
      </w:r>
      <w:r>
        <w:rPr>
          <w:rFonts w:hint="eastAsia" w:ascii="宋体" w:hAnsi="宋体" w:eastAsia="宋体" w:cs="宋体"/>
          <w:bCs/>
          <w:color w:val="auto"/>
          <w:sz w:val="21"/>
          <w:szCs w:val="21"/>
          <w:highlight w:val="none"/>
          <w:lang w:val="zh-CN"/>
        </w:rPr>
        <w:t>文件的要求编制和提交</w:t>
      </w:r>
      <w:r>
        <w:rPr>
          <w:rFonts w:hint="eastAsia" w:ascii="宋体" w:hAnsi="宋体" w:eastAsia="宋体" w:cs="宋体"/>
          <w:bCs/>
          <w:color w:val="auto"/>
          <w:sz w:val="21"/>
          <w:szCs w:val="21"/>
          <w:highlight w:val="none"/>
        </w:rPr>
        <w:t>响应文件</w:t>
      </w:r>
      <w:r>
        <w:rPr>
          <w:rFonts w:hint="eastAsia" w:ascii="宋体" w:hAnsi="宋体" w:eastAsia="宋体" w:cs="宋体"/>
          <w:bCs/>
          <w:color w:val="auto"/>
          <w:sz w:val="21"/>
          <w:szCs w:val="21"/>
          <w:highlight w:val="none"/>
          <w:lang w:val="zh-CN"/>
        </w:rPr>
        <w:t>，并对所提供的全部资料的真实性承担法律责任。</w:t>
      </w:r>
    </w:p>
    <w:p w14:paraId="6435C65B">
      <w:pPr>
        <w:autoSpaceDE w:val="0"/>
        <w:autoSpaceDN w:val="0"/>
        <w:adjustRightInd w:val="0"/>
        <w:spacing w:line="360" w:lineRule="auto"/>
        <w:ind w:firstLine="420" w:firstLineChars="200"/>
        <w:rPr>
          <w:rFonts w:ascii="宋体" w:hAnsi="宋体" w:eastAsia="宋体" w:cs="宋体"/>
          <w:b/>
          <w:color w:val="auto"/>
          <w:sz w:val="21"/>
          <w:szCs w:val="21"/>
          <w:highlight w:val="none"/>
          <w:lang w:val="zh-CN"/>
        </w:rPr>
      </w:pPr>
      <w:r>
        <w:rPr>
          <w:rFonts w:hint="eastAsia" w:ascii="宋体" w:hAnsi="宋体" w:eastAsia="宋体" w:cs="宋体"/>
          <w:bCs/>
          <w:color w:val="auto"/>
          <w:sz w:val="21"/>
          <w:szCs w:val="21"/>
          <w:highlight w:val="none"/>
        </w:rPr>
        <w:t>2、响应文件由资格证明文件、商务与技术文件、报价文件组成。</w:t>
      </w:r>
      <w:r>
        <w:rPr>
          <w:rFonts w:hint="eastAsia" w:ascii="宋体" w:hAnsi="宋体" w:eastAsia="宋体" w:cs="宋体"/>
          <w:b/>
          <w:color w:val="auto"/>
          <w:sz w:val="21"/>
          <w:szCs w:val="21"/>
          <w:highlight w:val="none"/>
          <w:lang w:val="zh-CN"/>
        </w:rPr>
        <w:t>【特别提示：如有要求提供资料原件的，原件另行包装，并与响应文件一起提交，磋商响应截止时间后所有原件不予接收。资料原件也可以用与原件相符的公证原件替代】</w:t>
      </w:r>
    </w:p>
    <w:p w14:paraId="1298BB47">
      <w:pPr>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▲3、资格证明文件的组成：</w:t>
      </w:r>
    </w:p>
    <w:p w14:paraId="2FFC9F41">
      <w:pPr>
        <w:snapToGrid w:val="0"/>
        <w:spacing w:line="360" w:lineRule="auto"/>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（1）磋商声明书(格式见附件)；</w:t>
      </w:r>
    </w:p>
    <w:p w14:paraId="1F555931">
      <w:pPr>
        <w:snapToGrid w:val="0"/>
        <w:spacing w:line="360" w:lineRule="auto"/>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（2）授权委托书(格式见附件)（若法定代表人亲自办理磋商事宜的或自然人参加磋商的，则无须提供授权委托书</w:t>
      </w:r>
      <w:r>
        <w:rPr>
          <w:rFonts w:hint="eastAsia" w:ascii="宋体" w:hAnsi="宋体" w:eastAsia="宋体" w:cs="宋体"/>
          <w:color w:val="auto"/>
          <w:sz w:val="21"/>
          <w:szCs w:val="21"/>
          <w:highlight w:val="none"/>
        </w:rPr>
        <w:t>，只需提供法定代表人身份证的扫描件或复印件</w:t>
      </w:r>
      <w:r>
        <w:rPr>
          <w:rFonts w:hint="eastAsia" w:ascii="宋体" w:hAnsi="宋体" w:eastAsia="宋体" w:cs="宋体"/>
          <w:color w:val="auto"/>
          <w:sz w:val="21"/>
          <w:szCs w:val="21"/>
          <w:highlight w:val="none"/>
          <w:lang w:val="zh-CN"/>
        </w:rPr>
        <w:t>）；</w:t>
      </w:r>
    </w:p>
    <w:p w14:paraId="236CECCA">
      <w:pPr>
        <w:snapToGrid w:val="0"/>
        <w:spacing w:line="360" w:lineRule="auto"/>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）提供有效的营业执照复印件；如事业单位参加磋商的，则提供有效的《事业单位法人证书》复印件；</w:t>
      </w:r>
    </w:p>
    <w:p w14:paraId="2663F6DB">
      <w:pPr>
        <w:snapToGrid w:val="0"/>
        <w:spacing w:line="360" w:lineRule="auto"/>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zh-CN"/>
        </w:rPr>
        <w:t>依法缴纳税收及社会保障资金的承诺函（格式见附件）</w:t>
      </w:r>
      <w:r>
        <w:rPr>
          <w:rFonts w:hint="eastAsia" w:ascii="宋体" w:hAnsi="宋体" w:eastAsia="宋体" w:cs="宋体"/>
          <w:color w:val="auto"/>
          <w:sz w:val="21"/>
          <w:szCs w:val="21"/>
          <w:highlight w:val="none"/>
          <w:lang w:val="zh-CN"/>
        </w:rPr>
        <w:t>；</w:t>
      </w:r>
    </w:p>
    <w:p w14:paraId="16AECE85">
      <w:pPr>
        <w:snapToGrid w:val="0"/>
        <w:spacing w:line="360" w:lineRule="auto"/>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）有良好的商业信誉、健全的财务状况的承诺函（格式见附件）；</w:t>
      </w:r>
    </w:p>
    <w:p w14:paraId="03B19D39">
      <w:pPr>
        <w:snapToGrid w:val="0"/>
        <w:spacing w:line="360" w:lineRule="auto"/>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）具有履行合同所必需设备和专业技术能力的承诺函（格式见附件）；</w:t>
      </w:r>
    </w:p>
    <w:p w14:paraId="53B50604">
      <w:pPr>
        <w:snapToGrid w:val="0"/>
        <w:spacing w:line="360" w:lineRule="auto"/>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）参加政府采购活动前3年内在经营活动中没有重大违法记录的书面声明（格式见附件）；</w:t>
      </w:r>
    </w:p>
    <w:p w14:paraId="0E8925A0">
      <w:pPr>
        <w:snapToGrid w:val="0"/>
        <w:spacing w:line="360" w:lineRule="auto"/>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）供应商为中小企业/小微企业须提供《中小企业声明函》或供应商为监狱企业的证明文件或残疾人福利性单位须提供《残疾人福利性单位声明函》（格式见附件）；</w:t>
      </w:r>
    </w:p>
    <w:p w14:paraId="488CBA4C">
      <w:pPr>
        <w:snapToGrid w:val="0"/>
        <w:spacing w:line="360" w:lineRule="auto"/>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）提供采购公告中符合供应商特定条件的有效资质证书复印件（供应商特定条件中有要求的必须提供），以及需要说明的其他资料。</w:t>
      </w:r>
    </w:p>
    <w:p w14:paraId="68E7D1DC">
      <w:pPr>
        <w:autoSpaceDE w:val="0"/>
        <w:autoSpaceDN w:val="0"/>
        <w:adjustRightInd w:val="0"/>
        <w:snapToGrid w:val="0"/>
        <w:spacing w:line="360" w:lineRule="auto"/>
        <w:ind w:firstLine="480"/>
        <w:rPr>
          <w:rFonts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▲注：开标前采购机构不安排资格预审，若供应商不按要求提供资格审查材料，其响应文件作无效标处理。</w:t>
      </w:r>
    </w:p>
    <w:p w14:paraId="38AEF2BC">
      <w:pPr>
        <w:tabs>
          <w:tab w:val="left" w:pos="5955"/>
        </w:tabs>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4、商务与技术标的组成：</w:t>
      </w:r>
      <w:r>
        <w:rPr>
          <w:rFonts w:hint="eastAsia" w:ascii="宋体" w:hAnsi="宋体" w:eastAsia="宋体" w:cs="宋体"/>
          <w:b/>
          <w:color w:val="auto"/>
          <w:sz w:val="21"/>
          <w:szCs w:val="21"/>
          <w:highlight w:val="none"/>
        </w:rPr>
        <w:tab/>
      </w:r>
    </w:p>
    <w:p w14:paraId="557B0220">
      <w:pPr>
        <w:spacing w:line="360" w:lineRule="auto"/>
        <w:ind w:firstLine="420" w:firstLineChars="200"/>
        <w:rPr>
          <w:color w:val="auto"/>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rPr>
        <w:t>）商务响应</w:t>
      </w:r>
      <w:r>
        <w:rPr>
          <w:rFonts w:hint="eastAsia" w:ascii="宋体" w:hAnsi="宋体" w:eastAsia="宋体" w:cs="宋体"/>
          <w:color w:val="auto"/>
          <w:sz w:val="21"/>
          <w:szCs w:val="21"/>
          <w:highlight w:val="none"/>
        </w:rPr>
        <w:t>承诺函</w:t>
      </w:r>
      <w:r>
        <w:rPr>
          <w:rFonts w:hint="eastAsia" w:ascii="宋体" w:hAnsi="宋体" w:cs="宋体"/>
          <w:color w:val="auto"/>
          <w:sz w:val="21"/>
          <w:szCs w:val="21"/>
          <w:highlight w:val="none"/>
        </w:rPr>
        <w:t>（见附件）</w:t>
      </w:r>
    </w:p>
    <w:p w14:paraId="51E1C1A2">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rPr>
        <w:t>）类似项目业绩</w:t>
      </w:r>
      <w:r>
        <w:rPr>
          <w:rFonts w:hint="eastAsia" w:ascii="宋体" w:hAnsi="宋体" w:eastAsia="宋体" w:cs="宋体"/>
          <w:color w:val="auto"/>
          <w:sz w:val="21"/>
          <w:szCs w:val="21"/>
          <w:highlight w:val="none"/>
          <w:lang w:eastAsia="zh-CN"/>
        </w:rPr>
        <w:t>（如有）</w:t>
      </w:r>
      <w:r>
        <w:rPr>
          <w:rFonts w:hint="eastAsia" w:ascii="宋体" w:hAnsi="宋体" w:cs="宋体"/>
          <w:color w:val="auto"/>
          <w:sz w:val="21"/>
          <w:szCs w:val="21"/>
          <w:highlight w:val="none"/>
        </w:rPr>
        <w:t>（见附件）；</w:t>
      </w:r>
    </w:p>
    <w:p w14:paraId="167CAD02">
      <w:pPr>
        <w:spacing w:line="360" w:lineRule="auto"/>
        <w:ind w:firstLine="420" w:firstLineChars="200"/>
        <w:rPr>
          <w:color w:val="auto"/>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rPr>
        <w:t>）投入本项目人员（见附件）；</w:t>
      </w:r>
    </w:p>
    <w:p w14:paraId="45EAD38D">
      <w:pPr>
        <w:spacing w:line="360" w:lineRule="auto"/>
        <w:ind w:firstLine="420" w:firstLineChars="200"/>
        <w:jc w:val="left"/>
        <w:rPr>
          <w:rFonts w:ascii="宋体" w:cs="宋体"/>
          <w:color w:val="auto"/>
          <w:sz w:val="21"/>
          <w:szCs w:val="21"/>
          <w:highlight w:val="none"/>
        </w:rPr>
      </w:pPr>
      <w:r>
        <w:rPr>
          <w:rFonts w:hint="eastAsia" w:ascii="宋体" w:hAnsi="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项目经理简历表（见附件）；</w:t>
      </w:r>
    </w:p>
    <w:p w14:paraId="49F21486">
      <w:pPr>
        <w:pStyle w:val="13"/>
        <w:spacing w:line="360" w:lineRule="auto"/>
        <w:ind w:firstLineChars="200"/>
        <w:jc w:val="left"/>
        <w:rPr>
          <w:rFonts w:ascii="宋体" w:cs="仿宋_GB2312"/>
          <w:color w:val="auto"/>
          <w:szCs w:val="21"/>
          <w:highlight w:val="none"/>
          <w:lang w:val="zh-CN"/>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olor w:val="auto"/>
          <w:szCs w:val="21"/>
          <w:highlight w:val="none"/>
        </w:rPr>
        <w:t>项目实施力量配置</w:t>
      </w:r>
      <w:r>
        <w:rPr>
          <w:rFonts w:hint="eastAsia" w:ascii="宋体" w:hAnsi="宋体" w:cs="宋体"/>
          <w:color w:val="auto"/>
          <w:szCs w:val="21"/>
          <w:highlight w:val="none"/>
        </w:rPr>
        <w:t>；拟投入设备、物资一览表</w:t>
      </w:r>
      <w:r>
        <w:rPr>
          <w:rFonts w:hint="eastAsia" w:ascii="宋体" w:hAnsi="宋体" w:cs="宋体"/>
          <w:color w:val="auto"/>
          <w:szCs w:val="21"/>
          <w:highlight w:val="none"/>
          <w:lang w:val="zh-CN"/>
        </w:rPr>
        <w:t>（格式见附件）</w:t>
      </w:r>
      <w:r>
        <w:rPr>
          <w:rFonts w:hint="eastAsia" w:ascii="宋体" w:cs="仿宋_GB2312"/>
          <w:color w:val="auto"/>
          <w:szCs w:val="21"/>
          <w:highlight w:val="none"/>
          <w:lang w:val="zh-CN"/>
        </w:rPr>
        <w:t>；</w:t>
      </w:r>
    </w:p>
    <w:p w14:paraId="7D146009">
      <w:pPr>
        <w:snapToGrid w:val="0"/>
        <w:spacing w:line="360" w:lineRule="auto"/>
        <w:ind w:firstLine="420" w:firstLineChars="200"/>
        <w:jc w:val="left"/>
        <w:rPr>
          <w:rFonts w:ascii="宋体" w:cs="宋体"/>
          <w:color w:val="auto"/>
          <w:kern w:val="0"/>
          <w:sz w:val="21"/>
          <w:szCs w:val="21"/>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供应商认为需要提供的其他资料（包括可能影响供应商商务与技术标评分的各类证明材料）。</w:t>
      </w:r>
    </w:p>
    <w:p w14:paraId="777D790E">
      <w:pPr>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5、报价标的组成：</w:t>
      </w:r>
    </w:p>
    <w:p w14:paraId="5BD3BCF1">
      <w:pPr>
        <w:tabs>
          <w:tab w:val="left" w:pos="3870"/>
          <w:tab w:val="left" w:pos="4085"/>
        </w:tabs>
        <w:snapToGrid w:val="0"/>
        <w:spacing w:line="360" w:lineRule="auto"/>
        <w:ind w:firstLine="422" w:firstLineChars="200"/>
        <w:jc w:val="left"/>
        <w:rPr>
          <w:rFonts w:ascii="宋体"/>
          <w:b/>
          <w:color w:val="auto"/>
          <w:kern w:val="0"/>
          <w:sz w:val="21"/>
          <w:highlight w:val="none"/>
        </w:rPr>
      </w:pPr>
      <w:r>
        <w:rPr>
          <w:rFonts w:hint="eastAsia" w:ascii="宋体" w:hAnsi="宋体" w:eastAsia="宋体"/>
          <w:b/>
          <w:color w:val="auto"/>
          <w:kern w:val="0"/>
          <w:sz w:val="21"/>
          <w:highlight w:val="none"/>
          <w:lang w:eastAsia="zh-CN"/>
        </w:rPr>
        <w:t>（</w:t>
      </w:r>
      <w:r>
        <w:rPr>
          <w:rFonts w:ascii="宋体" w:hAnsi="宋体"/>
          <w:b/>
          <w:color w:val="auto"/>
          <w:kern w:val="0"/>
          <w:sz w:val="21"/>
          <w:highlight w:val="none"/>
        </w:rPr>
        <w:t>1</w:t>
      </w:r>
      <w:r>
        <w:rPr>
          <w:rFonts w:hint="eastAsia" w:ascii="宋体" w:hAnsi="宋体"/>
          <w:b/>
          <w:color w:val="auto"/>
          <w:kern w:val="0"/>
          <w:sz w:val="21"/>
          <w:highlight w:val="none"/>
        </w:rPr>
        <w:t>）报价内容由首次报价一览表以及供应商认为其他需要说明的内容组成。</w:t>
      </w:r>
    </w:p>
    <w:p w14:paraId="7EFCD46E">
      <w:pPr>
        <w:tabs>
          <w:tab w:val="left" w:pos="3870"/>
          <w:tab w:val="left" w:pos="4085"/>
        </w:tabs>
        <w:snapToGrid w:val="0"/>
        <w:spacing w:line="360" w:lineRule="auto"/>
        <w:ind w:firstLine="420" w:firstLineChars="200"/>
        <w:jc w:val="left"/>
        <w:rPr>
          <w:rFonts w:ascii="宋体" w:hAnsi="宋体" w:eastAsia="宋体"/>
          <w:color w:val="auto"/>
          <w:kern w:val="0"/>
          <w:sz w:val="21"/>
          <w:highlight w:val="none"/>
        </w:rPr>
      </w:pPr>
      <w:r>
        <w:rPr>
          <w:rFonts w:hint="eastAsia" w:ascii="宋体" w:hAnsi="宋体" w:eastAsia="宋体"/>
          <w:color w:val="auto"/>
          <w:kern w:val="0"/>
          <w:sz w:val="21"/>
          <w:highlight w:val="none"/>
        </w:rPr>
        <w:t>（2）此报价为供应商针对本项目报出的唯一的首次报价，包含其它一切所要涉及到的费用，有选择的报价将被拒绝。</w:t>
      </w:r>
    </w:p>
    <w:p w14:paraId="2670D1A8">
      <w:pPr>
        <w:tabs>
          <w:tab w:val="left" w:pos="3870"/>
          <w:tab w:val="left" w:pos="4085"/>
        </w:tabs>
        <w:snapToGrid w:val="0"/>
        <w:spacing w:line="360" w:lineRule="auto"/>
        <w:ind w:firstLine="420" w:firstLineChars="200"/>
        <w:jc w:val="left"/>
        <w:rPr>
          <w:rFonts w:ascii="宋体"/>
          <w:color w:val="auto"/>
          <w:kern w:val="0"/>
          <w:sz w:val="21"/>
          <w:highlight w:val="none"/>
        </w:rPr>
      </w:pPr>
      <w:r>
        <w:rPr>
          <w:rFonts w:hint="eastAsia" w:ascii="宋体" w:hAnsi="宋体"/>
          <w:color w:val="auto"/>
          <w:kern w:val="0"/>
          <w:sz w:val="21"/>
          <w:highlight w:val="none"/>
        </w:rPr>
        <w:t>（</w:t>
      </w:r>
      <w:r>
        <w:rPr>
          <w:rFonts w:ascii="宋体" w:hAnsi="宋体"/>
          <w:color w:val="auto"/>
          <w:kern w:val="0"/>
          <w:sz w:val="21"/>
          <w:highlight w:val="none"/>
        </w:rPr>
        <w:t>3</w:t>
      </w:r>
      <w:r>
        <w:rPr>
          <w:rFonts w:hint="eastAsia" w:ascii="宋体" w:hAnsi="宋体"/>
          <w:color w:val="auto"/>
          <w:kern w:val="0"/>
          <w:sz w:val="21"/>
          <w:highlight w:val="none"/>
        </w:rPr>
        <w:t>）此报价应当包括项目实施所需的一切人员工资、奖金、各种加班费、节假日补贴、各种社会保险、安全保险、食宿与交通、设备及工具、器材、消耗材料、管理费用、人工费、材料费、税金、利润、采购代理服务费等完成合同所需的一切本身和不可或缺的所有工作开支、政策性文件规定及合同包含的所有风险、责任等各项全部费用并承担一切风险责任。</w:t>
      </w:r>
    </w:p>
    <w:p w14:paraId="2D492D8D">
      <w:pPr>
        <w:tabs>
          <w:tab w:val="left" w:pos="3870"/>
          <w:tab w:val="left" w:pos="4085"/>
        </w:tabs>
        <w:snapToGrid w:val="0"/>
        <w:spacing w:line="360" w:lineRule="auto"/>
        <w:ind w:firstLine="420" w:firstLineChars="200"/>
        <w:jc w:val="left"/>
        <w:rPr>
          <w:rFonts w:ascii="宋体" w:hAnsi="宋体" w:eastAsia="宋体"/>
          <w:color w:val="auto"/>
          <w:kern w:val="0"/>
          <w:sz w:val="21"/>
          <w:highlight w:val="none"/>
        </w:rPr>
      </w:pPr>
      <w:r>
        <w:rPr>
          <w:rFonts w:hint="eastAsia" w:ascii="宋体" w:hAnsi="宋体" w:eastAsia="宋体"/>
          <w:color w:val="auto"/>
          <w:kern w:val="0"/>
          <w:sz w:val="21"/>
          <w:highlight w:val="none"/>
        </w:rPr>
        <w:t>（4）相关报价表需打印或用不退色的墨水填写， 磋商响应报价表不得涂改和增删，如有错漏必须修改，修改处须由同一签署人签字或盖章。由于字迹模糊或表达不清引起的后果由供应商负责。</w:t>
      </w:r>
    </w:p>
    <w:p w14:paraId="2FFB2881">
      <w:pPr>
        <w:snapToGrid w:val="0"/>
        <w:spacing w:line="360" w:lineRule="auto"/>
        <w:ind w:firstLine="420" w:firstLineChars="200"/>
        <w:jc w:val="left"/>
        <w:rPr>
          <w:rFonts w:ascii="宋体" w:hAnsi="宋体" w:eastAsia="宋体"/>
          <w:color w:val="auto"/>
          <w:sz w:val="21"/>
          <w:highlight w:val="none"/>
        </w:rPr>
      </w:pPr>
      <w:r>
        <w:rPr>
          <w:rFonts w:hint="eastAsia" w:ascii="宋体" w:hAnsi="宋体" w:eastAsia="宋体"/>
          <w:color w:val="auto"/>
          <w:kern w:val="0"/>
          <w:sz w:val="21"/>
          <w:highlight w:val="none"/>
        </w:rPr>
        <w:t>（5）报价有关表格应按磋商采购文件中相关附件格式填写。</w:t>
      </w:r>
    </w:p>
    <w:p w14:paraId="49851260">
      <w:pPr>
        <w:snapToGrid w:val="0"/>
        <w:spacing w:line="360" w:lineRule="auto"/>
        <w:ind w:left="480"/>
        <w:rPr>
          <w:rFonts w:ascii="宋体" w:hAnsi="宋体" w:eastAsia="宋体"/>
          <w:color w:val="auto"/>
          <w:sz w:val="21"/>
          <w:highlight w:val="none"/>
          <w:lang w:val="zh-CN"/>
        </w:rPr>
      </w:pPr>
      <w:r>
        <w:rPr>
          <w:rFonts w:hint="eastAsia" w:ascii="宋体" w:hAnsi="宋体" w:eastAsia="宋体"/>
          <w:b/>
          <w:color w:val="auto"/>
          <w:kern w:val="0"/>
          <w:sz w:val="21"/>
          <w:highlight w:val="none"/>
        </w:rPr>
        <w:t>（二）、响应文件的制作、份数及递交要求</w:t>
      </w:r>
    </w:p>
    <w:p w14:paraId="7A7A2CBF">
      <w:pPr>
        <w:autoSpaceDE w:val="0"/>
        <w:autoSpaceDN w:val="0"/>
        <w:adjustRightInd w:val="0"/>
        <w:snapToGrid w:val="0"/>
        <w:spacing w:line="360" w:lineRule="auto"/>
        <w:ind w:firstLine="480"/>
        <w:rPr>
          <w:rFonts w:ascii="宋体" w:hAnsi="宋体" w:eastAsia="宋体"/>
          <w:b/>
          <w:color w:val="auto"/>
          <w:sz w:val="21"/>
          <w:highlight w:val="none"/>
        </w:rPr>
      </w:pPr>
      <w:r>
        <w:rPr>
          <w:rFonts w:hint="eastAsia" w:ascii="宋体" w:hAnsi="宋体" w:eastAsia="宋体"/>
          <w:b/>
          <w:color w:val="auto"/>
          <w:sz w:val="21"/>
          <w:highlight w:val="none"/>
        </w:rPr>
        <w:t>1、响应文件的制作要求</w:t>
      </w:r>
    </w:p>
    <w:p w14:paraId="29B2CBAA">
      <w:pPr>
        <w:autoSpaceDE w:val="0"/>
        <w:autoSpaceDN w:val="0"/>
        <w:adjustRightInd w:val="0"/>
        <w:snapToGrid w:val="0"/>
        <w:spacing w:line="360" w:lineRule="auto"/>
        <w:ind w:firstLine="480"/>
        <w:rPr>
          <w:rFonts w:ascii="宋体" w:hAnsi="宋体" w:eastAsia="宋体"/>
          <w:color w:val="auto"/>
          <w:kern w:val="0"/>
          <w:sz w:val="21"/>
          <w:highlight w:val="none"/>
        </w:rPr>
      </w:pPr>
      <w:r>
        <w:rPr>
          <w:rFonts w:hint="eastAsia" w:ascii="宋体" w:hAnsi="宋体" w:eastAsia="宋体"/>
          <w:color w:val="auto"/>
          <w:sz w:val="21"/>
          <w:highlight w:val="none"/>
        </w:rPr>
        <w:t>（1）供应商应按照响应文件组成内容及项目磋商需求和浙江政府采购云平台要求制作响应文件，</w:t>
      </w:r>
      <w:r>
        <w:rPr>
          <w:rFonts w:hint="eastAsia" w:ascii="宋体" w:hAnsi="宋体" w:eastAsia="宋体"/>
          <w:color w:val="auto"/>
          <w:kern w:val="0"/>
          <w:sz w:val="21"/>
          <w:highlight w:val="none"/>
        </w:rPr>
        <w:t>不按</w:t>
      </w:r>
      <w:r>
        <w:rPr>
          <w:rFonts w:hint="eastAsia" w:ascii="宋体" w:hAnsi="宋体" w:eastAsia="宋体"/>
          <w:color w:val="auto"/>
          <w:sz w:val="21"/>
          <w:highlight w:val="none"/>
        </w:rPr>
        <w:t>磋商文件</w:t>
      </w:r>
      <w:r>
        <w:rPr>
          <w:rFonts w:hint="eastAsia" w:ascii="宋体" w:hAnsi="宋体" w:eastAsia="宋体"/>
          <w:color w:val="auto"/>
          <w:kern w:val="0"/>
          <w:sz w:val="21"/>
          <w:highlight w:val="none"/>
        </w:rPr>
        <w:t>要求和浙江政府采购云平台要求制作</w:t>
      </w:r>
      <w:r>
        <w:rPr>
          <w:rFonts w:hint="eastAsia" w:ascii="宋体" w:hAnsi="宋体" w:eastAsia="宋体"/>
          <w:color w:val="auto"/>
          <w:sz w:val="21"/>
          <w:highlight w:val="none"/>
        </w:rPr>
        <w:t>响应文件</w:t>
      </w:r>
      <w:r>
        <w:rPr>
          <w:rFonts w:hint="eastAsia" w:ascii="宋体" w:hAnsi="宋体" w:eastAsia="宋体"/>
          <w:color w:val="auto"/>
          <w:kern w:val="0"/>
          <w:sz w:val="21"/>
          <w:highlight w:val="none"/>
        </w:rPr>
        <w:t>的将视情处理（拒收、扣分等），由此产生的责任由</w:t>
      </w:r>
      <w:r>
        <w:rPr>
          <w:rFonts w:hint="eastAsia" w:ascii="宋体" w:hAnsi="宋体" w:eastAsia="宋体"/>
          <w:color w:val="auto"/>
          <w:sz w:val="21"/>
          <w:highlight w:val="none"/>
        </w:rPr>
        <w:t>磋商供应商</w:t>
      </w:r>
      <w:r>
        <w:rPr>
          <w:rFonts w:hint="eastAsia" w:ascii="宋体" w:hAnsi="宋体" w:eastAsia="宋体"/>
          <w:color w:val="auto"/>
          <w:kern w:val="0"/>
          <w:sz w:val="21"/>
          <w:highlight w:val="none"/>
        </w:rPr>
        <w:t>自行承担。</w:t>
      </w:r>
    </w:p>
    <w:p w14:paraId="61559491">
      <w:pPr>
        <w:snapToGrid w:val="0"/>
        <w:spacing w:line="360" w:lineRule="auto"/>
        <w:ind w:firstLine="420"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电子响应文件部分：供应商应根据“供应商-政府采购项目电子交易操作指南”及本磋商文件规定的格式和顺序编制电子响应文件并进行关联定位。</w:t>
      </w:r>
    </w:p>
    <w:p w14:paraId="053ABD2D">
      <w:pPr>
        <w:snapToGrid w:val="0"/>
        <w:spacing w:line="360" w:lineRule="auto"/>
        <w:ind w:firstLine="420" w:firstLineChars="200"/>
        <w:rPr>
          <w:color w:val="auto"/>
          <w:sz w:val="21"/>
          <w:szCs w:val="21"/>
          <w:highlight w:val="none"/>
        </w:rPr>
      </w:pPr>
      <w:r>
        <w:rPr>
          <w:rFonts w:hint="eastAsia" w:ascii="宋体" w:hAnsi="宋体" w:cs="宋体"/>
          <w:b/>
          <w:bCs/>
          <w:color w:val="auto"/>
          <w:sz w:val="21"/>
          <w:szCs w:val="21"/>
          <w:highlight w:val="none"/>
        </w:rPr>
        <w:t>备份响应文件应与政采云平台上传的电子响应文件一致。</w:t>
      </w:r>
    </w:p>
    <w:p w14:paraId="6FDBF84D">
      <w:pPr>
        <w:autoSpaceDE w:val="0"/>
        <w:autoSpaceDN w:val="0"/>
        <w:adjustRightInd w:val="0"/>
        <w:snapToGrid w:val="0"/>
        <w:spacing w:line="360" w:lineRule="auto"/>
        <w:ind w:firstLine="480" w:firstLineChars="200"/>
        <w:rPr>
          <w:rFonts w:ascii="宋体" w:hAnsi="宋体" w:eastAsia="宋体"/>
          <w:color w:val="auto"/>
          <w:kern w:val="0"/>
          <w:sz w:val="21"/>
          <w:highlight w:val="none"/>
          <w:lang w:val="zh-CN"/>
        </w:rPr>
      </w:pPr>
      <w:r>
        <w:rPr>
          <w:rFonts w:hint="eastAsia" w:ascii="宋体" w:hAnsi="宋体" w:cs="宋体"/>
          <w:bCs/>
          <w:color w:val="auto"/>
          <w:sz w:val="24"/>
          <w:highlight w:val="none"/>
        </w:rPr>
        <w:t>▲</w:t>
      </w:r>
      <w:r>
        <w:rPr>
          <w:rFonts w:hint="eastAsia" w:ascii="宋体" w:hAnsi="宋体" w:eastAsia="宋体"/>
          <w:color w:val="auto"/>
          <w:sz w:val="21"/>
          <w:highlight w:val="none"/>
        </w:rPr>
        <w:t>（2）供应商应对所提供的全部资料的真实性承担法律责任，响应文件</w:t>
      </w:r>
      <w:r>
        <w:rPr>
          <w:rFonts w:hint="eastAsia" w:ascii="宋体" w:hAnsi="宋体" w:eastAsia="宋体"/>
          <w:color w:val="auto"/>
          <w:sz w:val="21"/>
          <w:highlight w:val="none"/>
          <w:lang w:val="zh-CN"/>
        </w:rPr>
        <w:t>内容中有要求盖章的地方，</w:t>
      </w:r>
      <w:r>
        <w:rPr>
          <w:rFonts w:hint="eastAsia" w:ascii="宋体" w:hAnsi="宋体" w:eastAsia="宋体"/>
          <w:color w:val="auto"/>
          <w:kern w:val="0"/>
          <w:sz w:val="21"/>
          <w:highlight w:val="none"/>
          <w:lang w:val="zh-CN"/>
        </w:rPr>
        <w:t>必须加盖</w:t>
      </w:r>
      <w:r>
        <w:rPr>
          <w:rFonts w:hint="eastAsia" w:ascii="宋体" w:hAnsi="宋体" w:eastAsia="宋体"/>
          <w:color w:val="auto"/>
          <w:sz w:val="21"/>
          <w:highlight w:val="none"/>
        </w:rPr>
        <w:t>磋商供应商</w:t>
      </w:r>
      <w:r>
        <w:rPr>
          <w:rFonts w:hint="eastAsia" w:ascii="宋体" w:hAnsi="宋体" w:eastAsia="宋体"/>
          <w:color w:val="auto"/>
          <w:kern w:val="0"/>
          <w:sz w:val="21"/>
          <w:highlight w:val="none"/>
          <w:lang w:val="zh-CN"/>
        </w:rPr>
        <w:t>的公章（或CA电子公章），</w:t>
      </w:r>
      <w:r>
        <w:rPr>
          <w:rFonts w:hint="eastAsia" w:ascii="宋体" w:hAnsi="宋体" w:eastAsia="宋体"/>
          <w:color w:val="auto"/>
          <w:sz w:val="21"/>
          <w:highlight w:val="none"/>
        </w:rPr>
        <w:t>响应文件</w:t>
      </w:r>
      <w:r>
        <w:rPr>
          <w:rFonts w:hint="eastAsia" w:ascii="宋体" w:hAnsi="宋体" w:eastAsia="宋体"/>
          <w:color w:val="auto"/>
          <w:sz w:val="21"/>
          <w:highlight w:val="none"/>
          <w:lang w:val="zh-CN"/>
        </w:rPr>
        <w:t>内容中有要求</w:t>
      </w:r>
      <w:r>
        <w:rPr>
          <w:rFonts w:hint="eastAsia" w:ascii="宋体" w:hAnsi="宋体" w:eastAsia="宋体"/>
          <w:color w:val="auto"/>
          <w:kern w:val="0"/>
          <w:sz w:val="21"/>
          <w:highlight w:val="none"/>
          <w:lang w:val="zh-CN"/>
        </w:rPr>
        <w:t>法定代表人或全权代表盖章或签字的，必须有法定代表人或全权代表的盖章或签字（CA电子签章或签字），且必须在有效期内的。</w:t>
      </w:r>
    </w:p>
    <w:p w14:paraId="27702035">
      <w:pPr>
        <w:snapToGrid w:val="0"/>
        <w:spacing w:line="360" w:lineRule="auto"/>
        <w:ind w:firstLine="420" w:firstLineChars="200"/>
        <w:jc w:val="left"/>
        <w:rPr>
          <w:rFonts w:ascii="宋体" w:hAnsi="宋体" w:eastAsia="宋体"/>
          <w:color w:val="auto"/>
          <w:sz w:val="21"/>
          <w:highlight w:val="none"/>
        </w:rPr>
      </w:pPr>
      <w:r>
        <w:rPr>
          <w:rFonts w:hint="eastAsia" w:ascii="宋体" w:hAnsi="宋体" w:eastAsia="宋体"/>
          <w:color w:val="auto"/>
          <w:kern w:val="0"/>
          <w:sz w:val="21"/>
          <w:highlight w:val="none"/>
          <w:lang w:val="zh-CN"/>
        </w:rPr>
        <w:t>（</w:t>
      </w:r>
      <w:r>
        <w:rPr>
          <w:rFonts w:hint="eastAsia" w:ascii="宋体" w:hAnsi="宋体" w:eastAsia="宋体"/>
          <w:color w:val="auto"/>
          <w:kern w:val="0"/>
          <w:sz w:val="21"/>
          <w:highlight w:val="none"/>
        </w:rPr>
        <w:t>3</w:t>
      </w:r>
      <w:r>
        <w:rPr>
          <w:rFonts w:hint="eastAsia" w:ascii="宋体" w:hAnsi="宋体" w:eastAsia="宋体"/>
          <w:color w:val="auto"/>
          <w:kern w:val="0"/>
          <w:sz w:val="21"/>
          <w:highlight w:val="none"/>
          <w:lang w:val="zh-CN"/>
        </w:rPr>
        <w:t>）</w:t>
      </w:r>
      <w:r>
        <w:rPr>
          <w:rFonts w:hint="eastAsia" w:ascii="宋体" w:hAnsi="宋体" w:eastAsia="宋体"/>
          <w:color w:val="auto"/>
          <w:sz w:val="21"/>
          <w:highlight w:val="none"/>
        </w:rPr>
        <w:t>响应文件以及磋商供应商与采购组织机构就有关磋商事宜的所有来往函电，均应以中文汉语书写。除签字、盖章、专用名称等特殊情形外，以中文汉语以外的文字表述的响应文件视同未提供。</w:t>
      </w:r>
    </w:p>
    <w:p w14:paraId="6F2F84AE">
      <w:pPr>
        <w:snapToGrid w:val="0"/>
        <w:spacing w:line="360" w:lineRule="auto"/>
        <w:ind w:firstLine="420" w:firstLineChars="200"/>
        <w:jc w:val="left"/>
        <w:rPr>
          <w:rFonts w:ascii="宋体" w:hAnsi="宋体" w:eastAsia="宋体"/>
          <w:color w:val="auto"/>
          <w:sz w:val="21"/>
          <w:highlight w:val="none"/>
        </w:rPr>
      </w:pPr>
      <w:r>
        <w:rPr>
          <w:rFonts w:hint="eastAsia" w:ascii="宋体" w:hAnsi="宋体" w:eastAsia="宋体"/>
          <w:color w:val="auto"/>
          <w:sz w:val="21"/>
          <w:highlight w:val="none"/>
        </w:rPr>
        <w:t>（4）磋商计量单位，磋商采购文件已有明确规定的，使用磋商采购文件规定的计量单位；磋商采购文件没有规定的，应采用中华人民共和国法定计量单位（货币单位：人民币元），否则视同未响应。</w:t>
      </w:r>
    </w:p>
    <w:p w14:paraId="778C100A">
      <w:pPr>
        <w:autoSpaceDE w:val="0"/>
        <w:autoSpaceDN w:val="0"/>
        <w:adjustRightInd w:val="0"/>
        <w:snapToGrid w:val="0"/>
        <w:spacing w:line="360" w:lineRule="auto"/>
        <w:ind w:firstLine="480"/>
        <w:rPr>
          <w:rFonts w:ascii="宋体" w:hAnsi="宋体" w:eastAsia="宋体"/>
          <w:color w:val="auto"/>
          <w:sz w:val="21"/>
          <w:highlight w:val="none"/>
        </w:rPr>
      </w:pPr>
      <w:r>
        <w:rPr>
          <w:rFonts w:hint="eastAsia" w:ascii="宋体" w:hAnsi="宋体" w:eastAsia="宋体"/>
          <w:color w:val="auto"/>
          <w:sz w:val="21"/>
          <w:highlight w:val="none"/>
        </w:rPr>
        <w:t>（5）若磋商供应商不按采购文件的要求提供资格审查材料，其风险由磋商供应商自行承担。</w:t>
      </w:r>
    </w:p>
    <w:p w14:paraId="26B75437">
      <w:pPr>
        <w:autoSpaceDE w:val="0"/>
        <w:autoSpaceDN w:val="0"/>
        <w:adjustRightInd w:val="0"/>
        <w:snapToGrid w:val="0"/>
        <w:spacing w:line="360" w:lineRule="auto"/>
        <w:ind w:firstLine="480"/>
        <w:rPr>
          <w:rFonts w:ascii="宋体" w:hAnsi="宋体" w:eastAsia="宋体"/>
          <w:color w:val="auto"/>
          <w:sz w:val="21"/>
          <w:highlight w:val="none"/>
        </w:rPr>
      </w:pPr>
      <w:r>
        <w:rPr>
          <w:rFonts w:hint="eastAsia" w:ascii="宋体" w:hAnsi="宋体" w:eastAsia="宋体"/>
          <w:color w:val="auto"/>
          <w:kern w:val="0"/>
          <w:sz w:val="21"/>
          <w:highlight w:val="none"/>
        </w:rPr>
        <w:t>（6）</w:t>
      </w:r>
      <w:r>
        <w:rPr>
          <w:rFonts w:hint="eastAsia" w:ascii="宋体" w:hAnsi="宋体" w:eastAsia="宋体"/>
          <w:color w:val="auto"/>
          <w:sz w:val="21"/>
          <w:highlight w:val="none"/>
        </w:rPr>
        <w:t>与本次磋商无关的内容请不要制作在内，确保响应文件有针对性、简洁明了。</w:t>
      </w:r>
    </w:p>
    <w:p w14:paraId="21369819">
      <w:pPr>
        <w:autoSpaceDE w:val="0"/>
        <w:autoSpaceDN w:val="0"/>
        <w:adjustRightInd w:val="0"/>
        <w:snapToGrid w:val="0"/>
        <w:spacing w:line="360" w:lineRule="auto"/>
        <w:ind w:firstLine="480"/>
        <w:rPr>
          <w:rFonts w:ascii="宋体" w:hAnsi="宋体" w:eastAsia="宋体"/>
          <w:color w:val="auto"/>
          <w:sz w:val="21"/>
          <w:highlight w:val="none"/>
        </w:rPr>
      </w:pPr>
      <w:r>
        <w:rPr>
          <w:rFonts w:hint="eastAsia" w:ascii="宋体" w:hAnsi="宋体" w:eastAsia="宋体"/>
          <w:color w:val="auto"/>
          <w:sz w:val="21"/>
          <w:highlight w:val="none"/>
        </w:rPr>
        <w:t>（7）</w:t>
      </w:r>
      <w:r>
        <w:rPr>
          <w:rFonts w:hint="eastAsia" w:ascii="宋体" w:hAnsi="宋体" w:eastAsia="宋体"/>
          <w:color w:val="auto"/>
          <w:kern w:val="0"/>
          <w:sz w:val="21"/>
          <w:highlight w:val="none"/>
          <w:lang w:val="zh-CN"/>
        </w:rPr>
        <w:t>其中</w:t>
      </w:r>
      <w:r>
        <w:rPr>
          <w:rFonts w:hint="eastAsia" w:ascii="宋体" w:hAnsi="宋体" w:eastAsia="宋体"/>
          <w:color w:val="auto"/>
          <w:sz w:val="21"/>
          <w:highlight w:val="none"/>
        </w:rPr>
        <w:t>所有证书类文件提供的复印件（扫描件）</w:t>
      </w:r>
      <w:r>
        <w:rPr>
          <w:rFonts w:hint="eastAsia" w:ascii="宋体" w:hAnsi="宋体" w:eastAsia="宋体"/>
          <w:color w:val="auto"/>
          <w:kern w:val="0"/>
          <w:sz w:val="21"/>
          <w:highlight w:val="none"/>
        </w:rPr>
        <w:t>必须全部加盖单位公章（或CA电子公章）且</w:t>
      </w:r>
      <w:r>
        <w:rPr>
          <w:rFonts w:hint="eastAsia" w:ascii="宋体" w:hAnsi="宋体" w:eastAsia="宋体"/>
          <w:color w:val="auto"/>
          <w:sz w:val="21"/>
          <w:highlight w:val="none"/>
        </w:rPr>
        <w:t>必须在有效期内的，否则视为未提供。</w:t>
      </w:r>
    </w:p>
    <w:p w14:paraId="66617AE9">
      <w:pPr>
        <w:autoSpaceDE w:val="0"/>
        <w:autoSpaceDN w:val="0"/>
        <w:adjustRightInd w:val="0"/>
        <w:snapToGrid w:val="0"/>
        <w:spacing w:line="360" w:lineRule="auto"/>
        <w:ind w:firstLine="416" w:firstLineChars="198"/>
        <w:rPr>
          <w:rFonts w:ascii="宋体" w:hAnsi="宋体"/>
          <w:b/>
          <w:color w:val="auto"/>
          <w:sz w:val="21"/>
          <w:highlight w:val="none"/>
        </w:rPr>
      </w:pPr>
      <w:r>
        <w:rPr>
          <w:rFonts w:hint="eastAsia" w:ascii="宋体" w:hAnsi="宋体"/>
          <w:b/>
          <w:color w:val="auto"/>
          <w:sz w:val="21"/>
          <w:highlight w:val="none"/>
        </w:rPr>
        <w:t>2、</w:t>
      </w:r>
      <w:r>
        <w:rPr>
          <w:rFonts w:hint="eastAsia" w:ascii="宋体" w:hAnsi="宋体" w:eastAsia="宋体"/>
          <w:b/>
          <w:color w:val="auto"/>
          <w:sz w:val="21"/>
          <w:highlight w:val="none"/>
        </w:rPr>
        <w:t>响应文件</w:t>
      </w:r>
      <w:r>
        <w:rPr>
          <w:rFonts w:hint="eastAsia" w:ascii="宋体" w:hAnsi="宋体"/>
          <w:b/>
          <w:color w:val="auto"/>
          <w:sz w:val="21"/>
          <w:highlight w:val="none"/>
        </w:rPr>
        <w:t>份数：</w:t>
      </w:r>
    </w:p>
    <w:p w14:paraId="5B6A0E80">
      <w:pPr>
        <w:autoSpaceDE w:val="0"/>
        <w:autoSpaceDN w:val="0"/>
        <w:adjustRightInd w:val="0"/>
        <w:snapToGrid w:val="0"/>
        <w:spacing w:line="360" w:lineRule="auto"/>
        <w:ind w:firstLine="416" w:firstLineChars="198"/>
        <w:rPr>
          <w:rFonts w:ascii="宋体" w:hAnsi="宋体"/>
          <w:b/>
          <w:color w:val="auto"/>
          <w:sz w:val="21"/>
          <w:highlight w:val="none"/>
        </w:rPr>
      </w:pPr>
      <w:r>
        <w:rPr>
          <w:rFonts w:hint="eastAsia" w:ascii="宋体" w:hAnsi="宋体"/>
          <w:b/>
          <w:color w:val="auto"/>
          <w:sz w:val="21"/>
          <w:highlight w:val="none"/>
        </w:rPr>
        <w:t>（1）电子响应文件一份：通过政采云平台电子投标工具（政采云电子投标客户端）生成的，一份为加密标书。</w:t>
      </w:r>
    </w:p>
    <w:p w14:paraId="1FECD17F">
      <w:pPr>
        <w:autoSpaceDE w:val="0"/>
        <w:autoSpaceDN w:val="0"/>
        <w:adjustRightInd w:val="0"/>
        <w:snapToGrid w:val="0"/>
        <w:spacing w:line="360" w:lineRule="auto"/>
        <w:ind w:firstLine="416" w:firstLineChars="198"/>
        <w:rPr>
          <w:rFonts w:ascii="宋体" w:hAnsi="宋体"/>
          <w:b/>
          <w:color w:val="auto"/>
          <w:sz w:val="21"/>
          <w:highlight w:val="none"/>
        </w:rPr>
      </w:pPr>
      <w:r>
        <w:rPr>
          <w:rFonts w:hint="eastAsia" w:ascii="宋体" w:hAnsi="宋体"/>
          <w:b/>
          <w:color w:val="auto"/>
          <w:sz w:val="21"/>
          <w:highlight w:val="none"/>
        </w:rPr>
        <w:t>（2）备份响应文件（政采云平台上最后生成的具备电子签章的电子响应文件，文件名后缀为备份文件四字的首字母）：</w:t>
      </w:r>
      <w:r>
        <w:rPr>
          <w:color w:val="auto"/>
          <w:highlight w:val="none"/>
        </w:rPr>
        <w:fldChar w:fldCharType="begin"/>
      </w:r>
      <w:r>
        <w:rPr>
          <w:color w:val="auto"/>
          <w:highlight w:val="none"/>
        </w:rPr>
        <w:instrText xml:space="preserve"> HYPERLINK "mailto:投标人自行确定是否提交；若提交请将备份投标文件打包压缩加密（未加密造成泄密的由投标人自行承担）后以电子邮件的形式发送至xjcg2009@163.com" </w:instrText>
      </w:r>
      <w:r>
        <w:rPr>
          <w:color w:val="auto"/>
          <w:highlight w:val="none"/>
        </w:rPr>
        <w:fldChar w:fldCharType="separate"/>
      </w:r>
      <w:r>
        <w:rPr>
          <w:rFonts w:hint="eastAsia" w:ascii="宋体" w:hAnsi="宋体"/>
          <w:b/>
          <w:color w:val="auto"/>
          <w:sz w:val="21"/>
          <w:highlight w:val="none"/>
        </w:rPr>
        <w:t>供应商自行确定是否提交；若提交请将备份响应文件打包压缩加密（未加密造成泄密的由供应商自行承担）后以电子邮件的形式发送至3050868501@qq.com</w:t>
      </w:r>
      <w:r>
        <w:rPr>
          <w:rFonts w:hint="eastAsia" w:ascii="宋体" w:hAnsi="宋体"/>
          <w:b/>
          <w:color w:val="auto"/>
          <w:sz w:val="21"/>
          <w:highlight w:val="none"/>
        </w:rPr>
        <w:fldChar w:fldCharType="end"/>
      </w:r>
      <w:r>
        <w:rPr>
          <w:rFonts w:hint="eastAsia" w:ascii="宋体" w:hAnsi="宋体"/>
          <w:b/>
          <w:color w:val="auto"/>
          <w:sz w:val="21"/>
          <w:highlight w:val="none"/>
        </w:rPr>
        <w:t xml:space="preserve"> ，备份响应文件在“电子加密响应文件”在线解密失败后启用，否则不予以启用；供应商确认“电子加密响应文件”在线解密失败后，将打包压缩加密的备份响应文件的解密密码在规定的时间发送至上述邮箱内，未在规定时间内发送造成的投标无效或失败由投标人自行承担。</w:t>
      </w:r>
    </w:p>
    <w:p w14:paraId="078034B4">
      <w:pPr>
        <w:autoSpaceDE w:val="0"/>
        <w:autoSpaceDN w:val="0"/>
        <w:adjustRightInd w:val="0"/>
        <w:snapToGrid w:val="0"/>
        <w:spacing w:line="360" w:lineRule="auto"/>
        <w:ind w:firstLine="416" w:firstLineChars="198"/>
        <w:rPr>
          <w:rFonts w:ascii="宋体" w:hAnsi="宋体"/>
          <w:b/>
          <w:color w:val="auto"/>
          <w:sz w:val="21"/>
          <w:highlight w:val="none"/>
        </w:rPr>
      </w:pPr>
      <w:r>
        <w:rPr>
          <w:rFonts w:hint="eastAsia" w:ascii="宋体" w:hAnsi="宋体"/>
          <w:b/>
          <w:color w:val="auto"/>
          <w:sz w:val="21"/>
          <w:highlight w:val="none"/>
        </w:rPr>
        <w:t>（3）中标供应商应提供与电子响应文件内容一致的纸质响应文件各一正三副，装订成册，采用胶订或线订，不得采用活页夹等可随时拆换的方式装订。（胶订或线订以外装订形式视为活页装订）中标人在领取中标通知书时提供纸质响应文件。</w:t>
      </w:r>
    </w:p>
    <w:p w14:paraId="285596B1">
      <w:pPr>
        <w:autoSpaceDE w:val="0"/>
        <w:autoSpaceDN w:val="0"/>
        <w:adjustRightInd w:val="0"/>
        <w:snapToGrid w:val="0"/>
        <w:spacing w:line="360" w:lineRule="auto"/>
        <w:ind w:firstLine="480"/>
        <w:rPr>
          <w:rFonts w:ascii="宋体" w:hAnsi="宋体"/>
          <w:b/>
          <w:color w:val="auto"/>
          <w:sz w:val="21"/>
          <w:highlight w:val="none"/>
        </w:rPr>
      </w:pPr>
      <w:r>
        <w:rPr>
          <w:rFonts w:hint="eastAsia" w:ascii="宋体" w:hAnsi="宋体"/>
          <w:b/>
          <w:color w:val="auto"/>
          <w:kern w:val="0"/>
          <w:sz w:val="21"/>
          <w:highlight w:val="none"/>
        </w:rPr>
        <w:t>3、</w:t>
      </w:r>
      <w:r>
        <w:rPr>
          <w:rFonts w:hint="eastAsia" w:ascii="宋体" w:hAnsi="宋体" w:eastAsia="宋体"/>
          <w:b/>
          <w:color w:val="auto"/>
          <w:sz w:val="21"/>
          <w:highlight w:val="none"/>
        </w:rPr>
        <w:t>响应文件</w:t>
      </w:r>
      <w:r>
        <w:rPr>
          <w:rFonts w:hint="eastAsia" w:ascii="宋体" w:hAnsi="宋体"/>
          <w:b/>
          <w:color w:val="auto"/>
          <w:sz w:val="21"/>
          <w:highlight w:val="none"/>
        </w:rPr>
        <w:t>的递交要求</w:t>
      </w:r>
    </w:p>
    <w:p w14:paraId="7620B5B4">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bookmarkStart w:id="81" w:name="_Toc530551857"/>
      <w:bookmarkStart w:id="82" w:name="_Toc531359012"/>
      <w:bookmarkStart w:id="83" w:name="_Toc34895557"/>
      <w:r>
        <w:rPr>
          <w:rFonts w:hint="eastAsia" w:ascii="宋体" w:hAnsi="宋体"/>
          <w:color w:val="auto"/>
          <w:kern w:val="0"/>
          <w:sz w:val="21"/>
          <w:highlight w:val="none"/>
        </w:rPr>
        <w:t>（1）响应文件导入</w:t>
      </w:r>
      <w:bookmarkEnd w:id="81"/>
      <w:bookmarkEnd w:id="82"/>
      <w:r>
        <w:rPr>
          <w:rFonts w:hint="eastAsia" w:ascii="宋体" w:hAnsi="宋体"/>
          <w:color w:val="auto"/>
          <w:kern w:val="0"/>
          <w:sz w:val="21"/>
          <w:highlight w:val="none"/>
        </w:rPr>
        <w:t>和加密</w:t>
      </w:r>
      <w:bookmarkEnd w:id="83"/>
    </w:p>
    <w:p w14:paraId="272C381B">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①磋商供应商应当按照资格证明文件、商务与技术文件和报价文件三部分分别导入相应位置，各文件之间不得导错位置；</w:t>
      </w:r>
    </w:p>
    <w:p w14:paraId="3D9BA8E4">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②响应文件编制好后应当生成电子加密响应文件，生成电子加密响应文件具体流程详见【浙江省】供应商-政府采购项目电子交易操作指南网址：</w:t>
      </w:r>
      <w:r>
        <w:rPr>
          <w:color w:val="auto"/>
          <w:highlight w:val="none"/>
        </w:rPr>
        <w:fldChar w:fldCharType="begin"/>
      </w:r>
      <w:r>
        <w:rPr>
          <w:color w:val="auto"/>
          <w:highlight w:val="none"/>
        </w:rPr>
        <w:instrText xml:space="preserve"> HYPERLINK "https://service.zcygov.cn/" \l "/knowledges/CW1EtGwBFdiHxlNd6I3m/6IMVAG0BFdiHxlNdQ8Na" </w:instrText>
      </w:r>
      <w:r>
        <w:rPr>
          <w:color w:val="auto"/>
          <w:highlight w:val="none"/>
        </w:rPr>
        <w:fldChar w:fldCharType="separate"/>
      </w:r>
      <w:r>
        <w:rPr>
          <w:rFonts w:hint="eastAsia" w:ascii="宋体" w:hAnsi="宋体"/>
          <w:color w:val="auto"/>
          <w:kern w:val="0"/>
          <w:sz w:val="21"/>
          <w:highlight w:val="none"/>
        </w:rPr>
        <w:t>https://service.zcygov.cn/#/knowledges/CW1EtGwBFdiHxlNd6I3m/6IMVAG0BFdiHxlNdQ8Na</w:t>
      </w:r>
      <w:r>
        <w:rPr>
          <w:rFonts w:hint="eastAsia" w:ascii="宋体" w:hAnsi="宋体"/>
          <w:color w:val="auto"/>
          <w:kern w:val="0"/>
          <w:sz w:val="21"/>
          <w:highlight w:val="none"/>
        </w:rPr>
        <w:fldChar w:fldCharType="end"/>
      </w:r>
    </w:p>
    <w:p w14:paraId="0987B424">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（2）响应文件的提交</w:t>
      </w:r>
    </w:p>
    <w:p w14:paraId="100B3914">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①响应文件提交截止时间：见磋商须知“前附表”；</w:t>
      </w:r>
    </w:p>
    <w:p w14:paraId="3861BF03">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②响应文件提交地点：见磋商须知“前附表”。</w:t>
      </w:r>
    </w:p>
    <w:p w14:paraId="4331D871">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（3）不予接收的</w:t>
      </w:r>
      <w:r>
        <w:rPr>
          <w:rFonts w:hint="eastAsia" w:ascii="宋体" w:hAnsi="宋体" w:eastAsia="宋体"/>
          <w:color w:val="auto"/>
          <w:kern w:val="0"/>
          <w:sz w:val="21"/>
          <w:highlight w:val="none"/>
        </w:rPr>
        <w:t>响应文件</w:t>
      </w:r>
      <w:r>
        <w:rPr>
          <w:rFonts w:hint="eastAsia" w:ascii="宋体" w:hAnsi="宋体"/>
          <w:color w:val="auto"/>
          <w:kern w:val="0"/>
          <w:sz w:val="21"/>
          <w:highlight w:val="none"/>
        </w:rPr>
        <w:t>情形</w:t>
      </w:r>
    </w:p>
    <w:p w14:paraId="0BA82A5E">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①磋商截止时间前未完成传输的</w:t>
      </w:r>
      <w:r>
        <w:rPr>
          <w:rFonts w:hint="eastAsia" w:ascii="宋体" w:hAnsi="宋体" w:eastAsia="宋体"/>
          <w:color w:val="auto"/>
          <w:kern w:val="0"/>
          <w:sz w:val="21"/>
          <w:highlight w:val="none"/>
        </w:rPr>
        <w:t>响应文件</w:t>
      </w:r>
      <w:r>
        <w:rPr>
          <w:rFonts w:hint="eastAsia" w:ascii="宋体" w:hAnsi="宋体"/>
          <w:color w:val="auto"/>
          <w:kern w:val="0"/>
          <w:sz w:val="21"/>
          <w:highlight w:val="none"/>
        </w:rPr>
        <w:t>；</w:t>
      </w:r>
    </w:p>
    <w:p w14:paraId="7AFFBF55">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②未生成加密的</w:t>
      </w:r>
      <w:r>
        <w:rPr>
          <w:rFonts w:hint="eastAsia" w:ascii="宋体" w:hAnsi="宋体" w:eastAsia="宋体"/>
          <w:color w:val="auto"/>
          <w:kern w:val="0"/>
          <w:sz w:val="21"/>
          <w:highlight w:val="none"/>
        </w:rPr>
        <w:t>响应文件</w:t>
      </w:r>
      <w:r>
        <w:rPr>
          <w:rFonts w:hint="eastAsia" w:ascii="宋体" w:hAnsi="宋体"/>
          <w:color w:val="auto"/>
          <w:kern w:val="0"/>
          <w:sz w:val="21"/>
          <w:highlight w:val="none"/>
        </w:rPr>
        <w:t>；</w:t>
      </w:r>
    </w:p>
    <w:p w14:paraId="4342392D">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（4）如有特殊情况，采购代理机构延长截止时间和开标时间，采购代理机构和磋商供应商的权利和义务将受到新的截止时间和开标时间的约束。</w:t>
      </w:r>
    </w:p>
    <w:p w14:paraId="1563A9C3">
      <w:pPr>
        <w:tabs>
          <w:tab w:val="left" w:pos="1898"/>
        </w:tabs>
        <w:autoSpaceDE w:val="0"/>
        <w:autoSpaceDN w:val="0"/>
        <w:adjustRightInd w:val="0"/>
        <w:snapToGrid w:val="0"/>
        <w:spacing w:line="360" w:lineRule="auto"/>
        <w:ind w:firstLine="420" w:firstLineChars="200"/>
        <w:rPr>
          <w:rFonts w:ascii="宋体" w:hAnsi="宋体"/>
          <w:b/>
          <w:color w:val="auto"/>
          <w:kern w:val="0"/>
          <w:sz w:val="21"/>
          <w:highlight w:val="none"/>
        </w:rPr>
      </w:pPr>
      <w:r>
        <w:rPr>
          <w:rFonts w:hint="eastAsia" w:ascii="宋体" w:hAnsi="宋体"/>
          <w:b/>
          <w:color w:val="auto"/>
          <w:kern w:val="0"/>
          <w:sz w:val="21"/>
          <w:highlight w:val="none"/>
        </w:rPr>
        <w:t>4、</w:t>
      </w:r>
      <w:r>
        <w:rPr>
          <w:rFonts w:hint="eastAsia" w:ascii="宋体" w:hAnsi="宋体" w:eastAsia="宋体"/>
          <w:b/>
          <w:color w:val="auto"/>
          <w:kern w:val="0"/>
          <w:sz w:val="21"/>
          <w:highlight w:val="none"/>
        </w:rPr>
        <w:t>响应文件</w:t>
      </w:r>
      <w:r>
        <w:rPr>
          <w:rFonts w:hint="eastAsia" w:ascii="宋体" w:hAnsi="宋体"/>
          <w:b/>
          <w:color w:val="auto"/>
          <w:kern w:val="0"/>
          <w:sz w:val="21"/>
          <w:highlight w:val="none"/>
        </w:rPr>
        <w:t>的补充、修改和撤回。</w:t>
      </w:r>
    </w:p>
    <w:p w14:paraId="097C3204">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（1）在磋商截止时间前，磋商供应商可对已提交的</w:t>
      </w:r>
      <w:r>
        <w:rPr>
          <w:rFonts w:hint="eastAsia" w:ascii="宋体" w:hAnsi="宋体" w:eastAsia="宋体"/>
          <w:color w:val="auto"/>
          <w:kern w:val="0"/>
          <w:sz w:val="21"/>
          <w:highlight w:val="none"/>
        </w:rPr>
        <w:t>响应文件</w:t>
      </w:r>
      <w:r>
        <w:rPr>
          <w:rFonts w:hint="eastAsia" w:ascii="宋体" w:hAnsi="宋体"/>
          <w:color w:val="auto"/>
          <w:kern w:val="0"/>
          <w:sz w:val="21"/>
          <w:highlight w:val="none"/>
        </w:rPr>
        <w:t>进行补充、修改或撤回。补充、修改</w:t>
      </w:r>
      <w:r>
        <w:rPr>
          <w:rFonts w:hint="eastAsia" w:ascii="宋体" w:hAnsi="宋体" w:eastAsia="宋体"/>
          <w:color w:val="auto"/>
          <w:kern w:val="0"/>
          <w:sz w:val="21"/>
          <w:highlight w:val="none"/>
        </w:rPr>
        <w:t>响应文件</w:t>
      </w:r>
      <w:r>
        <w:rPr>
          <w:rFonts w:hint="eastAsia" w:ascii="宋体" w:hAnsi="宋体"/>
          <w:color w:val="auto"/>
          <w:kern w:val="0"/>
          <w:sz w:val="21"/>
          <w:highlight w:val="none"/>
        </w:rPr>
        <w:t>的，应当先行撤回原文件，补充、修改后重新生成加密的</w:t>
      </w:r>
      <w:r>
        <w:rPr>
          <w:rFonts w:hint="eastAsia" w:ascii="宋体" w:hAnsi="宋体" w:eastAsia="宋体"/>
          <w:color w:val="auto"/>
          <w:kern w:val="0"/>
          <w:sz w:val="21"/>
          <w:highlight w:val="none"/>
        </w:rPr>
        <w:t>响应文件</w:t>
      </w:r>
      <w:r>
        <w:rPr>
          <w:rFonts w:hint="eastAsia" w:ascii="宋体" w:hAnsi="宋体"/>
          <w:color w:val="auto"/>
          <w:kern w:val="0"/>
          <w:sz w:val="21"/>
          <w:highlight w:val="none"/>
        </w:rPr>
        <w:t>并重新上传提交；补充、修改后重新提交的</w:t>
      </w:r>
      <w:r>
        <w:rPr>
          <w:rFonts w:hint="eastAsia" w:ascii="宋体" w:hAnsi="宋体" w:eastAsia="宋体"/>
          <w:color w:val="auto"/>
          <w:kern w:val="0"/>
          <w:sz w:val="21"/>
          <w:highlight w:val="none"/>
        </w:rPr>
        <w:t>响应文件</w:t>
      </w:r>
      <w:r>
        <w:rPr>
          <w:rFonts w:hint="eastAsia" w:ascii="宋体" w:hAnsi="宋体"/>
          <w:color w:val="auto"/>
          <w:kern w:val="0"/>
          <w:sz w:val="21"/>
          <w:highlight w:val="none"/>
        </w:rPr>
        <w:t>应按磋商文件的规定编制、加密、导入和提交。</w:t>
      </w:r>
    </w:p>
    <w:p w14:paraId="3C041C42">
      <w:pPr>
        <w:tabs>
          <w:tab w:val="left" w:pos="1418"/>
        </w:tabs>
        <w:autoSpaceDE w:val="0"/>
        <w:autoSpaceDN w:val="0"/>
        <w:adjustRightInd w:val="0"/>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（2）</w:t>
      </w:r>
      <w:r>
        <w:rPr>
          <w:rFonts w:hint="eastAsia" w:ascii="宋体" w:hAnsi="宋体"/>
          <w:color w:val="auto"/>
          <w:kern w:val="0"/>
          <w:sz w:val="21"/>
          <w:highlight w:val="none"/>
          <w:lang w:val="zh-CN"/>
        </w:rPr>
        <w:t>在响应文件递交截止时间后,磋商供应商不得修改或撤回已</w:t>
      </w:r>
      <w:r>
        <w:rPr>
          <w:rFonts w:hint="eastAsia" w:ascii="宋体" w:hAnsi="宋体"/>
          <w:color w:val="auto"/>
          <w:kern w:val="0"/>
          <w:sz w:val="21"/>
          <w:highlight w:val="none"/>
        </w:rPr>
        <w:t>提交</w:t>
      </w:r>
      <w:r>
        <w:rPr>
          <w:rFonts w:hint="eastAsia" w:ascii="宋体" w:hAnsi="宋体"/>
          <w:color w:val="auto"/>
          <w:kern w:val="0"/>
          <w:sz w:val="21"/>
          <w:highlight w:val="none"/>
          <w:lang w:val="zh-CN"/>
        </w:rPr>
        <w:t>的响应文件。</w:t>
      </w:r>
    </w:p>
    <w:p w14:paraId="33A9BF43">
      <w:pPr>
        <w:snapToGrid w:val="0"/>
        <w:spacing w:line="360" w:lineRule="auto"/>
        <w:ind w:firstLine="413" w:firstLineChars="196"/>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▲5、磋商报价</w:t>
      </w:r>
    </w:p>
    <w:p w14:paraId="5E8522D9">
      <w:pPr>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（1）磋商</w:t>
      </w:r>
      <w:r>
        <w:rPr>
          <w:rFonts w:hint="eastAsia" w:ascii="宋体" w:hAnsi="宋体" w:eastAsia="宋体" w:cs="宋体"/>
          <w:color w:val="auto"/>
          <w:sz w:val="21"/>
          <w:szCs w:val="21"/>
          <w:highlight w:val="none"/>
        </w:rPr>
        <w:t>报价</w:t>
      </w:r>
      <w:r>
        <w:rPr>
          <w:rFonts w:hint="eastAsia" w:ascii="宋体" w:hAnsi="宋体"/>
          <w:color w:val="auto"/>
          <w:kern w:val="0"/>
          <w:sz w:val="21"/>
          <w:highlight w:val="none"/>
        </w:rPr>
        <w:t>应当包括项目实施所需的一切人员工资、奖金、各种加班费、节假日补贴、各种社会保险、安全保险、食宿与交通、设备及工具、器材、消耗材料、管理费用、人工费、材料费、税金、利润、采购代理服务费等完成合同所需的一切本身和不可或缺的所有工作开支、政策性文件规定及合同包含的所有风险、责任等各项全部费用并承担一切风险责任。</w:t>
      </w:r>
    </w:p>
    <w:p w14:paraId="51FA61A7">
      <w:pPr>
        <w:snapToGrid w:val="0"/>
        <w:spacing w:line="360" w:lineRule="auto"/>
        <w:ind w:firstLine="420" w:firstLineChars="200"/>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b/>
          <w:color w:val="auto"/>
          <w:sz w:val="21"/>
          <w:szCs w:val="21"/>
          <w:highlight w:val="none"/>
          <w:lang w:bidi="ar"/>
        </w:rPr>
        <w:t>报价分二次进行，首次报价在响应文件中体现；最终报价在本项目磋商结束后由所有有效的磋商供应商在规定的时间内在平台上进行最终报价</w:t>
      </w:r>
      <w:r>
        <w:rPr>
          <w:color w:val="auto"/>
          <w:highlight w:val="none"/>
        </w:rPr>
        <w:fldChar w:fldCharType="begin"/>
      </w:r>
      <w:r>
        <w:rPr>
          <w:color w:val="auto"/>
          <w:highlight w:val="none"/>
        </w:rPr>
        <w:instrText xml:space="preserve"> HYPERLINK "mailto:675642008@qq.com），最后报价不得高于首次报价（谈判文件的采购需求发生实质性变动的情况除外）。" </w:instrText>
      </w:r>
      <w:r>
        <w:rPr>
          <w:color w:val="auto"/>
          <w:highlight w:val="none"/>
        </w:rPr>
        <w:fldChar w:fldCharType="separate"/>
      </w: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zh-CN" w:bidi="ar"/>
        </w:rPr>
        <w:t>最终报价不得高于初次报价，否则将导致无效标（</w:t>
      </w:r>
      <w:r>
        <w:rPr>
          <w:rFonts w:hint="eastAsia" w:ascii="宋体" w:hAnsi="宋体" w:eastAsia="宋体" w:cs="宋体"/>
          <w:b/>
          <w:color w:val="auto"/>
          <w:sz w:val="21"/>
          <w:szCs w:val="21"/>
          <w:highlight w:val="none"/>
          <w:lang w:bidi="ar"/>
        </w:rPr>
        <w:t>磋商</w:t>
      </w:r>
      <w:r>
        <w:rPr>
          <w:rFonts w:hint="eastAsia" w:ascii="宋体" w:hAnsi="宋体" w:eastAsia="宋体" w:cs="宋体"/>
          <w:b/>
          <w:color w:val="auto"/>
          <w:sz w:val="21"/>
          <w:szCs w:val="21"/>
          <w:highlight w:val="none"/>
          <w:lang w:val="zh-CN" w:bidi="ar"/>
        </w:rPr>
        <w:t>文件的采购需求发生实质性变动的情况除外）</w:t>
      </w:r>
      <w:r>
        <w:rPr>
          <w:rFonts w:hint="eastAsia" w:ascii="宋体" w:hAnsi="宋体" w:eastAsia="宋体" w:cs="宋体"/>
          <w:b/>
          <w:color w:val="auto"/>
          <w:sz w:val="21"/>
          <w:szCs w:val="21"/>
          <w:highlight w:val="none"/>
          <w:lang w:val="zh-CN" w:bidi="ar"/>
        </w:rPr>
        <w:fldChar w:fldCharType="end"/>
      </w:r>
      <w:r>
        <w:rPr>
          <w:rFonts w:hint="eastAsia" w:ascii="宋体" w:hAnsi="宋体" w:eastAsia="宋体" w:cs="宋体"/>
          <w:b/>
          <w:color w:val="auto"/>
          <w:sz w:val="21"/>
          <w:szCs w:val="21"/>
          <w:highlight w:val="none"/>
          <w:lang w:bidi="ar"/>
        </w:rPr>
        <w:t>；</w:t>
      </w:r>
    </w:p>
    <w:p w14:paraId="0EF74C63">
      <w:pPr>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（3）响应文件中的所有报价均以人民币（元）为单位；</w:t>
      </w:r>
    </w:p>
    <w:p w14:paraId="5DCC51A1">
      <w:pPr>
        <w:snapToGrid w:val="0"/>
        <w:spacing w:line="360" w:lineRule="auto"/>
        <w:ind w:firstLine="420" w:firstLineChars="200"/>
        <w:rPr>
          <w:rFonts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（4）采购单位不接受备选方案；</w:t>
      </w:r>
    </w:p>
    <w:p w14:paraId="4C0A8329">
      <w:pPr>
        <w:snapToGrid w:val="0"/>
        <w:spacing w:line="360" w:lineRule="auto"/>
        <w:ind w:firstLine="420" w:firstLineChars="200"/>
        <w:rPr>
          <w:rFonts w:ascii="宋体" w:hAnsi="宋体"/>
          <w:b/>
          <w:color w:val="auto"/>
          <w:kern w:val="0"/>
          <w:sz w:val="21"/>
          <w:highlight w:val="none"/>
        </w:rPr>
      </w:pPr>
      <w:r>
        <w:rPr>
          <w:rFonts w:hint="eastAsia" w:ascii="宋体" w:hAnsi="宋体" w:eastAsia="宋体" w:cs="宋体"/>
          <w:color w:val="auto"/>
          <w:sz w:val="21"/>
          <w:szCs w:val="21"/>
          <w:highlight w:val="none"/>
          <w:lang w:bidi="ar"/>
        </w:rPr>
        <w:t>（5）本项目设有最高限价，最高限价见前附表。若磋商报价超过最高限价的，其响应文件作无效标处理。</w:t>
      </w:r>
    </w:p>
    <w:p w14:paraId="74B1CF0F">
      <w:pPr>
        <w:tabs>
          <w:tab w:val="left" w:pos="1418"/>
        </w:tabs>
        <w:autoSpaceDE w:val="0"/>
        <w:autoSpaceDN w:val="0"/>
        <w:adjustRightInd w:val="0"/>
        <w:snapToGrid w:val="0"/>
        <w:spacing w:line="360" w:lineRule="auto"/>
        <w:ind w:left="480"/>
        <w:rPr>
          <w:rFonts w:ascii="宋体" w:hAnsi="宋体"/>
          <w:color w:val="auto"/>
          <w:kern w:val="0"/>
          <w:sz w:val="21"/>
          <w:highlight w:val="none"/>
        </w:rPr>
      </w:pPr>
      <w:r>
        <w:rPr>
          <w:rFonts w:hint="eastAsia" w:ascii="宋体" w:hAnsi="宋体"/>
          <w:b/>
          <w:color w:val="auto"/>
          <w:kern w:val="0"/>
          <w:sz w:val="21"/>
          <w:highlight w:val="none"/>
        </w:rPr>
        <w:t>（三）</w:t>
      </w:r>
      <w:r>
        <w:rPr>
          <w:rFonts w:hint="eastAsia" w:ascii="宋体" w:hAnsi="宋体" w:eastAsia="宋体"/>
          <w:b/>
          <w:color w:val="auto"/>
          <w:kern w:val="0"/>
          <w:sz w:val="21"/>
          <w:highlight w:val="none"/>
        </w:rPr>
        <w:t>响应文件</w:t>
      </w:r>
      <w:r>
        <w:rPr>
          <w:rFonts w:hint="eastAsia" w:ascii="宋体" w:hAnsi="宋体"/>
          <w:b/>
          <w:color w:val="auto"/>
          <w:kern w:val="0"/>
          <w:sz w:val="21"/>
          <w:highlight w:val="none"/>
        </w:rPr>
        <w:t>的有效期</w:t>
      </w:r>
    </w:p>
    <w:p w14:paraId="0A8C56A8">
      <w:pPr>
        <w:snapToGrid w:val="0"/>
        <w:spacing w:line="360" w:lineRule="auto"/>
        <w:ind w:firstLine="422" w:firstLineChars="200"/>
        <w:rPr>
          <w:rFonts w:ascii="宋体" w:hAnsi="宋体"/>
          <w:color w:val="auto"/>
          <w:sz w:val="21"/>
          <w:szCs w:val="21"/>
          <w:highlight w:val="none"/>
          <w:lang w:val="en-GB"/>
        </w:rPr>
      </w:pPr>
      <w:r>
        <w:rPr>
          <w:rFonts w:hint="eastAsia" w:ascii="宋体" w:hAnsi="宋体" w:eastAsia="宋体" w:cs="宋体"/>
          <w:b/>
          <w:color w:val="auto"/>
          <w:sz w:val="21"/>
          <w:szCs w:val="21"/>
          <w:highlight w:val="none"/>
          <w:lang w:bidi="ar"/>
        </w:rPr>
        <w:t>▲</w:t>
      </w:r>
      <w:r>
        <w:rPr>
          <w:rFonts w:hint="eastAsia" w:ascii="宋体" w:hAnsi="宋体"/>
          <w:color w:val="auto"/>
          <w:sz w:val="21"/>
          <w:highlight w:val="none"/>
        </w:rPr>
        <w:t>1、</w:t>
      </w:r>
      <w:r>
        <w:rPr>
          <w:rFonts w:hint="eastAsia" w:ascii="宋体"/>
          <w:color w:val="auto"/>
          <w:sz w:val="21"/>
          <w:szCs w:val="21"/>
          <w:highlight w:val="none"/>
          <w:lang w:val="zh-CN"/>
        </w:rPr>
        <w:t>自响应文件提交截止之日起</w:t>
      </w:r>
      <w:r>
        <w:rPr>
          <w:rFonts w:ascii="宋体"/>
          <w:color w:val="auto"/>
          <w:sz w:val="21"/>
          <w:szCs w:val="21"/>
          <w:highlight w:val="none"/>
          <w:lang w:val="zh-CN"/>
        </w:rPr>
        <w:t>90</w:t>
      </w:r>
      <w:r>
        <w:rPr>
          <w:rFonts w:hint="eastAsia" w:ascii="宋体"/>
          <w:color w:val="auto"/>
          <w:sz w:val="21"/>
          <w:szCs w:val="21"/>
          <w:highlight w:val="none"/>
          <w:lang w:val="zh-CN"/>
        </w:rPr>
        <w:t>天响应文件应保持有效。有效期短于这个规定期限的响应文件将被拒绝。</w:t>
      </w:r>
      <w:r>
        <w:rPr>
          <w:rFonts w:hint="eastAsia" w:ascii="宋体" w:eastAsia="宋体"/>
          <w:color w:val="auto"/>
          <w:sz w:val="21"/>
          <w:szCs w:val="21"/>
          <w:highlight w:val="none"/>
        </w:rPr>
        <w:t>成交</w:t>
      </w:r>
      <w:r>
        <w:rPr>
          <w:rFonts w:hint="eastAsia" w:ascii="宋体"/>
          <w:color w:val="auto"/>
          <w:sz w:val="21"/>
          <w:szCs w:val="21"/>
          <w:highlight w:val="none"/>
          <w:lang w:val="zh-CN"/>
        </w:rPr>
        <w:t>响应文件有</w:t>
      </w:r>
      <w:r>
        <w:rPr>
          <w:rFonts w:hint="eastAsia" w:ascii="宋体" w:hAnsi="宋体"/>
          <w:color w:val="auto"/>
          <w:sz w:val="21"/>
          <w:szCs w:val="21"/>
          <w:highlight w:val="none"/>
          <w:lang w:val="en-GB"/>
        </w:rPr>
        <w:t>效期顺延至合同履行完毕，在此有效期内未经同意，</w:t>
      </w:r>
      <w:r>
        <w:rPr>
          <w:rFonts w:hint="eastAsia" w:ascii="宋体"/>
          <w:color w:val="auto"/>
          <w:sz w:val="21"/>
          <w:szCs w:val="21"/>
          <w:highlight w:val="none"/>
          <w:lang w:val="zh-CN"/>
        </w:rPr>
        <w:t>响应文件</w:t>
      </w:r>
      <w:r>
        <w:rPr>
          <w:rFonts w:hint="eastAsia" w:ascii="宋体" w:hAnsi="宋体"/>
          <w:color w:val="auto"/>
          <w:sz w:val="21"/>
          <w:szCs w:val="21"/>
          <w:highlight w:val="none"/>
          <w:lang w:val="en-GB"/>
        </w:rPr>
        <w:t>的一切内容和补充承诺均为持续有效且不予改变。</w:t>
      </w:r>
    </w:p>
    <w:p w14:paraId="691247CD">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2、在特殊情况下，采购人可与磋商供应商协商延长</w:t>
      </w:r>
      <w:r>
        <w:rPr>
          <w:rFonts w:hint="eastAsia" w:ascii="宋体" w:hAnsi="宋体" w:eastAsia="宋体"/>
          <w:color w:val="auto"/>
          <w:sz w:val="21"/>
          <w:highlight w:val="none"/>
        </w:rPr>
        <w:t>响应文件</w:t>
      </w:r>
      <w:r>
        <w:rPr>
          <w:rFonts w:hint="eastAsia" w:ascii="宋体" w:hAnsi="宋体"/>
          <w:color w:val="auto"/>
          <w:sz w:val="21"/>
          <w:highlight w:val="none"/>
        </w:rPr>
        <w:t>的有效期，这种要求和答复均以书面形式进行。</w:t>
      </w:r>
    </w:p>
    <w:p w14:paraId="4A7C4387">
      <w:pPr>
        <w:tabs>
          <w:tab w:val="left" w:pos="1418"/>
        </w:tabs>
        <w:autoSpaceDE w:val="0"/>
        <w:autoSpaceDN w:val="0"/>
        <w:adjustRightInd w:val="0"/>
        <w:snapToGrid w:val="0"/>
        <w:spacing w:line="360" w:lineRule="auto"/>
        <w:ind w:left="60"/>
        <w:jc w:val="center"/>
        <w:rPr>
          <w:rFonts w:ascii="宋体" w:hAnsi="宋体"/>
          <w:b/>
          <w:color w:val="auto"/>
          <w:kern w:val="0"/>
          <w:sz w:val="21"/>
          <w:highlight w:val="none"/>
        </w:rPr>
      </w:pPr>
      <w:r>
        <w:rPr>
          <w:rFonts w:hint="eastAsia" w:ascii="宋体" w:hAnsi="宋体" w:eastAsia="宋体"/>
          <w:b/>
          <w:color w:val="auto"/>
          <w:kern w:val="0"/>
          <w:sz w:val="21"/>
          <w:highlight w:val="none"/>
        </w:rPr>
        <w:t>四、</w:t>
      </w:r>
      <w:r>
        <w:rPr>
          <w:rFonts w:hint="eastAsia" w:ascii="宋体" w:hAnsi="宋体"/>
          <w:b/>
          <w:color w:val="auto"/>
          <w:kern w:val="0"/>
          <w:sz w:val="21"/>
          <w:highlight w:val="none"/>
        </w:rPr>
        <w:t>磋商</w:t>
      </w:r>
    </w:p>
    <w:p w14:paraId="0F4F99B0">
      <w:pPr>
        <w:pStyle w:val="12"/>
        <w:spacing w:line="360" w:lineRule="auto"/>
        <w:ind w:left="60" w:firstLine="420" w:firstLineChars="200"/>
        <w:rPr>
          <w:color w:val="auto"/>
          <w:highlight w:val="none"/>
        </w:rPr>
      </w:pPr>
      <w:r>
        <w:rPr>
          <w:rFonts w:hint="eastAsia"/>
          <w:color w:val="auto"/>
          <w:highlight w:val="none"/>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20142E90">
      <w:pPr>
        <w:autoSpaceDE w:val="0"/>
        <w:autoSpaceDN w:val="0"/>
        <w:adjustRightInd w:val="0"/>
        <w:snapToGrid w:val="0"/>
        <w:spacing w:line="360" w:lineRule="auto"/>
        <w:rPr>
          <w:rFonts w:ascii="宋体" w:hAnsi="宋体" w:eastAsia="宋体"/>
          <w:b/>
          <w:color w:val="auto"/>
          <w:sz w:val="21"/>
          <w:highlight w:val="none"/>
        </w:rPr>
      </w:pPr>
      <w:r>
        <w:rPr>
          <w:rFonts w:hint="eastAsia" w:ascii="宋体" w:hAnsi="宋体"/>
          <w:color w:val="auto"/>
          <w:kern w:val="0"/>
          <w:sz w:val="21"/>
          <w:highlight w:val="none"/>
        </w:rPr>
        <w:t xml:space="preserve">   </w:t>
      </w:r>
      <w:r>
        <w:rPr>
          <w:rFonts w:hint="eastAsia" w:ascii="宋体" w:hAnsi="宋体"/>
          <w:b/>
          <w:color w:val="auto"/>
          <w:sz w:val="21"/>
          <w:highlight w:val="none"/>
        </w:rPr>
        <w:t>（一）磋商事项</w:t>
      </w:r>
    </w:p>
    <w:p w14:paraId="7A1263DB">
      <w:pPr>
        <w:autoSpaceDE w:val="0"/>
        <w:autoSpaceDN w:val="0"/>
        <w:adjustRightIn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1、采购代理机构在“磋商公告”规定的时间和地点进行开标。供应商的供应商代表应当在线参加，否则视同认可开标结果，事后不得对采购相关人员、开标过程和开标结果提出质疑。</w:t>
      </w:r>
      <w:r>
        <w:rPr>
          <w:rFonts w:hint="eastAsia" w:ascii="宋体" w:hAnsi="宋体" w:eastAsia="宋体" w:cs="宋体"/>
          <w:color w:val="auto"/>
          <w:sz w:val="21"/>
          <w:szCs w:val="21"/>
          <w:highlight w:val="none"/>
        </w:rPr>
        <w:t xml:space="preserve">   </w:t>
      </w:r>
    </w:p>
    <w:p w14:paraId="626E9040">
      <w:pPr>
        <w:autoSpaceDE w:val="0"/>
        <w:autoSpaceDN w:val="0"/>
        <w:adjustRightInd w:val="0"/>
        <w:spacing w:line="360" w:lineRule="auto"/>
        <w:ind w:firstLine="420" w:firstLineChars="200"/>
        <w:jc w:val="left"/>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2、评标委员会成员不得参加开标活动。</w:t>
      </w:r>
    </w:p>
    <w:p w14:paraId="77164BD3">
      <w:pPr>
        <w:autoSpaceDE w:val="0"/>
        <w:autoSpaceDN w:val="0"/>
        <w:adjustRightInd w:val="0"/>
        <w:spacing w:line="360" w:lineRule="auto"/>
        <w:ind w:firstLine="420" w:firstLineChars="200"/>
        <w:jc w:val="left"/>
        <w:rPr>
          <w:color w:val="auto"/>
          <w:sz w:val="21"/>
          <w:szCs w:val="21"/>
          <w:highlight w:val="none"/>
        </w:rPr>
      </w:pPr>
      <w:r>
        <w:rPr>
          <w:rFonts w:hint="eastAsia" w:ascii="宋体" w:hAnsi="宋体" w:eastAsia="宋体" w:cs="宋体"/>
          <w:color w:val="auto"/>
          <w:sz w:val="21"/>
          <w:szCs w:val="21"/>
          <w:highlight w:val="none"/>
          <w:lang w:val="zh-CN"/>
        </w:rPr>
        <w:t>3、本次开标采用先评审资格证明文件和商务与技术文件，后评审报价文件的方式进行。</w:t>
      </w:r>
    </w:p>
    <w:p w14:paraId="4874110B">
      <w:pPr>
        <w:autoSpaceDE w:val="0"/>
        <w:autoSpaceDN w:val="0"/>
        <w:adjustRightInd w:val="0"/>
        <w:snapToGrid w:val="0"/>
        <w:spacing w:line="360" w:lineRule="auto"/>
        <w:ind w:firstLine="210" w:firstLineChars="100"/>
        <w:rPr>
          <w:rFonts w:ascii="宋体" w:hAnsi="宋体"/>
          <w:color w:val="auto"/>
          <w:kern w:val="0"/>
          <w:sz w:val="21"/>
          <w:highlight w:val="none"/>
        </w:rPr>
      </w:pPr>
      <w:r>
        <w:rPr>
          <w:rFonts w:hint="eastAsia" w:ascii="宋体" w:hAnsi="宋体"/>
          <w:b/>
          <w:color w:val="auto"/>
          <w:sz w:val="21"/>
          <w:highlight w:val="none"/>
        </w:rPr>
        <w:t>（二）磋商程序</w:t>
      </w:r>
    </w:p>
    <w:p w14:paraId="1790C014">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1、开启开标场地的录音录像采集设备，并确保其正常运行。</w:t>
      </w:r>
    </w:p>
    <w:p w14:paraId="73D115F4">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2、对提交了电子备份磋商文件的磋商供应商，代理机构工作人员应做好响应文件签收记录并通过发送网络形式及时告知供应商。</w:t>
      </w:r>
    </w:p>
    <w:p w14:paraId="320051E8">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 xml:space="preserve">3、主持人宣布开标，介绍开标现场的人员情况，宣读递交响应文件的供应商名单、开标纪律、应当回避的情形等注意事项。 </w:t>
      </w:r>
    </w:p>
    <w:p w14:paraId="6B819B0C">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4、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41070374">
      <w:pPr>
        <w:snapToGrid w:val="0"/>
        <w:spacing w:line="360" w:lineRule="auto"/>
        <w:ind w:firstLine="420" w:firstLineChars="200"/>
        <w:rPr>
          <w:rFonts w:ascii="宋体" w:hAnsi="宋体"/>
          <w:b/>
          <w:bCs/>
          <w:color w:val="auto"/>
          <w:sz w:val="21"/>
          <w:highlight w:val="none"/>
        </w:rPr>
      </w:pPr>
      <w:r>
        <w:rPr>
          <w:rFonts w:hint="eastAsia" w:ascii="宋体" w:hAnsi="宋体"/>
          <w:b/>
          <w:bCs/>
          <w:color w:val="auto"/>
          <w:sz w:val="21"/>
          <w:highlight w:val="none"/>
        </w:rPr>
        <w:t>5、</w:t>
      </w:r>
      <w:r>
        <w:rPr>
          <w:rFonts w:hint="eastAsia" w:ascii="宋体" w:hAnsi="宋体" w:eastAsia="宋体" w:cs="宋体"/>
          <w:b/>
          <w:bCs/>
          <w:color w:val="auto"/>
          <w:sz w:val="21"/>
          <w:szCs w:val="21"/>
          <w:highlight w:val="none"/>
          <w:lang w:val="zh-CN"/>
        </w:rPr>
        <w:t>解密结束后，供应商签署不存在影响公平竞争的《政府采购活动现场确认声明书》。各供应商代表应提前打印《政府采购活动现场确认声明书》（见附件或政采云平台），签署完毕后上传至</w:t>
      </w:r>
      <w:r>
        <w:rPr>
          <w:rFonts w:hint="eastAsia" w:ascii="宋体" w:hAnsi="宋体" w:eastAsia="宋体" w:cs="宋体"/>
          <w:b/>
          <w:bCs/>
          <w:color w:val="auto"/>
          <w:sz w:val="21"/>
          <w:szCs w:val="21"/>
          <w:highlight w:val="none"/>
        </w:rPr>
        <w:t>邮箱3050868501@qq.com</w:t>
      </w:r>
      <w:r>
        <w:rPr>
          <w:rFonts w:hint="eastAsia" w:ascii="宋体" w:hAnsi="宋体" w:eastAsia="宋体" w:cs="宋体"/>
          <w:b/>
          <w:bCs/>
          <w:color w:val="auto"/>
          <w:sz w:val="21"/>
          <w:szCs w:val="21"/>
          <w:highlight w:val="none"/>
          <w:lang w:val="zh-CN"/>
        </w:rPr>
        <w:t>。</w:t>
      </w:r>
    </w:p>
    <w:p w14:paraId="4B284C52">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6、由磋商小组协助</w:t>
      </w:r>
      <w:r>
        <w:rPr>
          <w:rFonts w:hint="eastAsia" w:ascii="宋体"/>
          <w:color w:val="auto"/>
          <w:sz w:val="21"/>
          <w:szCs w:val="21"/>
          <w:highlight w:val="none"/>
          <w:lang w:val="zh-CN"/>
        </w:rPr>
        <w:t>采购</w:t>
      </w:r>
      <w:r>
        <w:rPr>
          <w:rFonts w:hint="eastAsia" w:ascii="宋体" w:hAnsi="宋体" w:eastAsia="宋体" w:cs="宋体"/>
          <w:color w:val="auto"/>
          <w:sz w:val="21"/>
          <w:szCs w:val="21"/>
          <w:highlight w:val="none"/>
          <w:lang w:val="zh-CN"/>
        </w:rPr>
        <w:t>代理</w:t>
      </w:r>
      <w:r>
        <w:rPr>
          <w:rFonts w:hint="eastAsia" w:ascii="宋体"/>
          <w:color w:val="auto"/>
          <w:sz w:val="21"/>
          <w:szCs w:val="21"/>
          <w:highlight w:val="none"/>
          <w:lang w:val="zh-CN"/>
        </w:rPr>
        <w:t>机构依法对资格证明文件进行审查，</w:t>
      </w:r>
      <w:r>
        <w:rPr>
          <w:rFonts w:hint="eastAsia" w:ascii="宋体" w:hAnsi="宋体"/>
          <w:color w:val="auto"/>
          <w:sz w:val="21"/>
          <w:highlight w:val="none"/>
        </w:rPr>
        <w:t>磋商小组</w:t>
      </w:r>
      <w:r>
        <w:rPr>
          <w:rFonts w:hint="eastAsia" w:ascii="宋体"/>
          <w:color w:val="auto"/>
          <w:sz w:val="21"/>
          <w:szCs w:val="21"/>
          <w:highlight w:val="none"/>
          <w:lang w:val="zh-CN"/>
        </w:rPr>
        <w:t>对商务与技术文件进行评审</w:t>
      </w:r>
      <w:r>
        <w:rPr>
          <w:rFonts w:hint="eastAsia" w:ascii="宋体" w:hAnsi="宋体"/>
          <w:color w:val="auto"/>
          <w:sz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16F762B0">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7、磋商小组所有成员集中与单一供应商分别进行磋商，并给予所有参加磋商的供应商平等的磋商机会。</w:t>
      </w:r>
    </w:p>
    <w:p w14:paraId="48647071">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b/>
          <w:bCs/>
          <w:color w:val="auto"/>
          <w:sz w:val="21"/>
          <w:highlight w:val="none"/>
        </w:rPr>
        <w:t>通过政府采购云平台通知所有参加磋商的供应商</w:t>
      </w:r>
      <w:r>
        <w:rPr>
          <w:rFonts w:hint="eastAsia" w:ascii="宋体" w:hAnsi="宋体"/>
          <w:color w:val="auto"/>
          <w:sz w:val="21"/>
          <w:highlight w:val="none"/>
        </w:rPr>
        <w:t>。供应商应当按照磋商文件的变动情况和磋商小组的要求重新提交响应文件，并加盖单位CA签章，上传政府采购云平台。</w:t>
      </w:r>
    </w:p>
    <w:p w14:paraId="5E1612B0">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9、磋商文件能够详细列明采购标的的技术、服务要求的，磋商结束后，磋商小组将要求所有实质性响应的供应商在规定时间内提交最</w:t>
      </w:r>
      <w:r>
        <w:rPr>
          <w:rFonts w:hint="eastAsia" w:ascii="宋体" w:hAnsi="宋体" w:eastAsia="宋体"/>
          <w:color w:val="auto"/>
          <w:sz w:val="21"/>
          <w:highlight w:val="none"/>
        </w:rPr>
        <w:t>终</w:t>
      </w:r>
      <w:r>
        <w:rPr>
          <w:rFonts w:hint="eastAsia" w:ascii="宋体" w:hAnsi="宋体"/>
          <w:color w:val="auto"/>
          <w:sz w:val="21"/>
          <w:highlight w:val="none"/>
        </w:rPr>
        <w:t>报价，最</w:t>
      </w:r>
      <w:r>
        <w:rPr>
          <w:rFonts w:hint="eastAsia" w:ascii="宋体" w:hAnsi="宋体" w:eastAsia="宋体"/>
          <w:color w:val="auto"/>
          <w:sz w:val="21"/>
          <w:highlight w:val="none"/>
        </w:rPr>
        <w:t>终</w:t>
      </w:r>
      <w:r>
        <w:rPr>
          <w:rFonts w:hint="eastAsia" w:ascii="宋体" w:hAnsi="宋体"/>
          <w:color w:val="auto"/>
          <w:sz w:val="21"/>
          <w:highlight w:val="none"/>
        </w:rPr>
        <w:t xml:space="preserve">报价是供应商响应文件的有效组成部分。 </w:t>
      </w:r>
    </w:p>
    <w:p w14:paraId="1D8B62B5">
      <w:pPr>
        <w:snapToGrid w:val="0"/>
        <w:spacing w:line="360" w:lineRule="auto"/>
        <w:ind w:firstLine="420" w:firstLineChars="200"/>
        <w:rPr>
          <w:rFonts w:ascii="宋体" w:hAnsi="宋体"/>
          <w:color w:val="auto"/>
          <w:sz w:val="21"/>
          <w:highlight w:val="none"/>
        </w:rPr>
      </w:pPr>
      <w:r>
        <w:rPr>
          <w:rFonts w:hint="eastAsia" w:hAnsi="宋体"/>
          <w:color w:val="auto"/>
          <w:sz w:val="21"/>
          <w:highlight w:val="none"/>
        </w:rPr>
        <w:t>10、</w:t>
      </w:r>
      <w:r>
        <w:rPr>
          <w:rFonts w:hint="eastAsia" w:ascii="宋体" w:hAnsi="宋体"/>
          <w:color w:val="auto"/>
          <w:sz w:val="21"/>
          <w:highlight w:val="none"/>
        </w:rPr>
        <w:t>经磋商确定最终采购需求和提交最</w:t>
      </w:r>
      <w:r>
        <w:rPr>
          <w:rFonts w:hint="eastAsia" w:ascii="宋体" w:hAnsi="宋体" w:eastAsia="宋体"/>
          <w:color w:val="auto"/>
          <w:sz w:val="21"/>
          <w:highlight w:val="none"/>
        </w:rPr>
        <w:t>终</w:t>
      </w:r>
      <w:r>
        <w:rPr>
          <w:rFonts w:hint="eastAsia" w:ascii="宋体" w:hAnsi="宋体"/>
          <w:color w:val="auto"/>
          <w:sz w:val="21"/>
          <w:highlight w:val="none"/>
        </w:rPr>
        <w:t>报价的供应商后，由磋商小组采用综合评分法对提交最</w:t>
      </w:r>
      <w:r>
        <w:rPr>
          <w:rFonts w:hint="eastAsia" w:ascii="宋体" w:hAnsi="宋体" w:eastAsia="宋体"/>
          <w:color w:val="auto"/>
          <w:sz w:val="21"/>
          <w:highlight w:val="none"/>
        </w:rPr>
        <w:t>终</w:t>
      </w:r>
      <w:r>
        <w:rPr>
          <w:rFonts w:hint="eastAsia" w:ascii="宋体" w:hAnsi="宋体"/>
          <w:color w:val="auto"/>
          <w:sz w:val="21"/>
          <w:highlight w:val="none"/>
        </w:rPr>
        <w:t>报价的供应商的响应文件和最</w:t>
      </w:r>
      <w:r>
        <w:rPr>
          <w:rFonts w:hint="eastAsia" w:ascii="宋体" w:hAnsi="宋体" w:eastAsia="宋体"/>
          <w:color w:val="auto"/>
          <w:sz w:val="21"/>
          <w:highlight w:val="none"/>
        </w:rPr>
        <w:t>终</w:t>
      </w:r>
      <w:r>
        <w:rPr>
          <w:rFonts w:hint="eastAsia" w:ascii="宋体" w:hAnsi="宋体"/>
          <w:color w:val="auto"/>
          <w:sz w:val="21"/>
          <w:highlight w:val="none"/>
        </w:rPr>
        <w:t>报价进行综合评分。</w:t>
      </w:r>
    </w:p>
    <w:p w14:paraId="1A8FF8E5">
      <w:pPr>
        <w:pStyle w:val="15"/>
        <w:snapToGrid w:val="0"/>
        <w:spacing w:line="360" w:lineRule="auto"/>
        <w:ind w:firstLine="420" w:firstLineChars="200"/>
        <w:rPr>
          <w:rFonts w:hAnsi="宋体"/>
          <w:color w:val="auto"/>
          <w:highlight w:val="none"/>
        </w:rPr>
      </w:pPr>
      <w:r>
        <w:rPr>
          <w:rFonts w:hint="eastAsia" w:hAnsi="宋体"/>
          <w:color w:val="auto"/>
          <w:highlight w:val="none"/>
        </w:rPr>
        <w:t>11、磋商小组根据综合评分情况，按照评审得分由高到低顺序确定预成交供应商，编写评审报告。</w:t>
      </w:r>
    </w:p>
    <w:p w14:paraId="70E08EEB">
      <w:pPr>
        <w:pStyle w:val="15"/>
        <w:snapToGrid w:val="0"/>
        <w:spacing w:line="360" w:lineRule="auto"/>
        <w:ind w:firstLine="420" w:firstLineChars="200"/>
        <w:rPr>
          <w:rFonts w:hAnsi="宋体"/>
          <w:color w:val="auto"/>
          <w:highlight w:val="none"/>
        </w:rPr>
      </w:pPr>
      <w:r>
        <w:rPr>
          <w:rFonts w:hint="eastAsia" w:hAnsi="宋体"/>
          <w:color w:val="auto"/>
          <w:highlight w:val="none"/>
        </w:rPr>
        <w:t>12、采购组织机构对磋商小组专家成员进行评价；</w:t>
      </w:r>
    </w:p>
    <w:p w14:paraId="427AD46F">
      <w:pPr>
        <w:pStyle w:val="15"/>
        <w:snapToGrid w:val="0"/>
        <w:spacing w:line="360" w:lineRule="auto"/>
        <w:ind w:firstLine="420" w:firstLineChars="200"/>
        <w:rPr>
          <w:rFonts w:hAnsi="宋体"/>
          <w:color w:val="auto"/>
          <w:highlight w:val="none"/>
        </w:rPr>
      </w:pPr>
      <w:r>
        <w:rPr>
          <w:rFonts w:hint="eastAsia" w:hAnsi="宋体"/>
          <w:color w:val="auto"/>
          <w:highlight w:val="none"/>
        </w:rPr>
        <w:t>13、主持人到磋商采购会现场宣布磋商结果（含技术得分、最</w:t>
      </w:r>
      <w:r>
        <w:rPr>
          <w:rFonts w:hint="eastAsia" w:hAnsi="宋体" w:eastAsia="宋体"/>
          <w:color w:val="auto"/>
          <w:highlight w:val="none"/>
        </w:rPr>
        <w:t>终</w:t>
      </w:r>
      <w:r>
        <w:rPr>
          <w:rFonts w:hint="eastAsia" w:hAnsi="宋体"/>
          <w:color w:val="auto"/>
          <w:highlight w:val="none"/>
        </w:rPr>
        <w:t>报价、报价得分及总得分），磋商采购会议结束。</w:t>
      </w:r>
    </w:p>
    <w:p w14:paraId="6BEC64BE">
      <w:pPr>
        <w:pStyle w:val="15"/>
        <w:snapToGrid w:val="0"/>
        <w:spacing w:line="360" w:lineRule="auto"/>
        <w:ind w:firstLine="420" w:firstLineChars="200"/>
        <w:rPr>
          <w:rFonts w:hAnsi="宋体"/>
          <w:color w:val="auto"/>
          <w:highlight w:val="none"/>
        </w:rPr>
      </w:pPr>
      <w:r>
        <w:rPr>
          <w:rFonts w:hint="eastAsia" w:hAnsi="宋体"/>
          <w:b/>
          <w:color w:val="auto"/>
          <w:highlight w:val="none"/>
        </w:rPr>
        <w:t>（三）澄清问题的形式</w:t>
      </w:r>
    </w:p>
    <w:p w14:paraId="024BF645">
      <w:pPr>
        <w:snapToGrid w:val="0"/>
        <w:spacing w:line="360" w:lineRule="auto"/>
        <w:ind w:firstLine="420" w:firstLineChars="200"/>
        <w:rPr>
          <w:rFonts w:ascii="宋体" w:hAnsi="宋体"/>
          <w:b/>
          <w:bCs/>
          <w:color w:val="auto"/>
          <w:sz w:val="21"/>
          <w:highlight w:val="none"/>
        </w:rPr>
      </w:pPr>
      <w:r>
        <w:rPr>
          <w:rFonts w:hint="eastAsia" w:ascii="宋体" w:hAnsi="宋体"/>
          <w:b/>
          <w:bCs/>
          <w:color w:val="auto"/>
          <w:sz w:val="21"/>
          <w:highlight w:val="none"/>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7921D508">
      <w:pPr>
        <w:snapToGrid w:val="0"/>
        <w:spacing w:line="360" w:lineRule="auto"/>
        <w:ind w:firstLine="420" w:firstLineChars="200"/>
        <w:rPr>
          <w:rFonts w:ascii="宋体" w:hAnsi="宋体"/>
          <w:color w:val="auto"/>
          <w:sz w:val="21"/>
          <w:highlight w:val="none"/>
        </w:rPr>
      </w:pPr>
      <w:r>
        <w:rPr>
          <w:rFonts w:hint="eastAsia" w:ascii="宋体" w:hAnsi="宋体"/>
          <w:color w:val="auto"/>
          <w:sz w:val="21"/>
          <w:highlight w:val="none"/>
        </w:rPr>
        <w:t>（2）供应商的澄清、说明或补正将作为磋商响应文件的一部分。</w:t>
      </w:r>
    </w:p>
    <w:p w14:paraId="5901C5E0">
      <w:pPr>
        <w:snapToGrid w:val="0"/>
        <w:spacing w:line="360" w:lineRule="auto"/>
        <w:ind w:firstLine="420" w:firstLineChars="200"/>
        <w:rPr>
          <w:rFonts w:ascii="宋体" w:hAnsi="宋体"/>
          <w:color w:val="auto"/>
          <w:sz w:val="21"/>
          <w:highlight w:val="none"/>
        </w:rPr>
      </w:pPr>
      <w:r>
        <w:rPr>
          <w:rFonts w:hint="eastAsia" w:ascii="宋体" w:hAnsi="宋体"/>
          <w:b/>
          <w:color w:val="auto"/>
          <w:sz w:val="21"/>
          <w:highlight w:val="none"/>
        </w:rPr>
        <w:t>（四）错误修正</w:t>
      </w:r>
    </w:p>
    <w:p w14:paraId="7D0A63AE">
      <w:pPr>
        <w:pStyle w:val="25"/>
        <w:snapToGrid w:val="0"/>
        <w:spacing w:before="0" w:beforeAutospacing="0" w:after="0" w:afterAutospacing="0" w:line="360" w:lineRule="auto"/>
        <w:ind w:firstLine="420" w:firstLineChars="200"/>
        <w:jc w:val="both"/>
        <w:rPr>
          <w:rFonts w:hint="default"/>
          <w:color w:val="auto"/>
          <w:sz w:val="21"/>
          <w:highlight w:val="none"/>
        </w:rPr>
      </w:pPr>
      <w:r>
        <w:rPr>
          <w:color w:val="auto"/>
          <w:sz w:val="21"/>
          <w:highlight w:val="none"/>
        </w:rPr>
        <w:t>磋商响应文件报价出现前后不一致的，除磋商采购文件另有规定外，按照下列规定修正：</w:t>
      </w:r>
    </w:p>
    <w:p w14:paraId="3FC96433">
      <w:pPr>
        <w:pStyle w:val="25"/>
        <w:snapToGrid w:val="0"/>
        <w:spacing w:before="0" w:beforeAutospacing="0" w:after="0" w:afterAutospacing="0" w:line="360" w:lineRule="auto"/>
        <w:jc w:val="both"/>
        <w:rPr>
          <w:rFonts w:hint="default"/>
          <w:color w:val="auto"/>
          <w:sz w:val="21"/>
          <w:highlight w:val="none"/>
        </w:rPr>
      </w:pPr>
      <w:r>
        <w:rPr>
          <w:color w:val="auto"/>
          <w:sz w:val="21"/>
          <w:highlight w:val="none"/>
        </w:rPr>
        <w:t>　　1、磋商响应文件中首次报价一览表内容与磋商响应文件中相应内容不一致的，以首次报价一览表为准；</w:t>
      </w:r>
    </w:p>
    <w:p w14:paraId="5309E994">
      <w:pPr>
        <w:pStyle w:val="25"/>
        <w:snapToGrid w:val="0"/>
        <w:spacing w:before="0" w:beforeAutospacing="0" w:after="0" w:afterAutospacing="0" w:line="360" w:lineRule="auto"/>
        <w:jc w:val="both"/>
        <w:rPr>
          <w:rFonts w:hint="default"/>
          <w:color w:val="auto"/>
          <w:sz w:val="21"/>
          <w:highlight w:val="none"/>
        </w:rPr>
      </w:pPr>
      <w:r>
        <w:rPr>
          <w:color w:val="auto"/>
          <w:sz w:val="21"/>
          <w:highlight w:val="none"/>
        </w:rPr>
        <w:t>　　2、大写金额和小写金额不一致的，以大写金额为准；</w:t>
      </w:r>
    </w:p>
    <w:p w14:paraId="266DFF8B">
      <w:pPr>
        <w:pStyle w:val="25"/>
        <w:snapToGrid w:val="0"/>
        <w:spacing w:before="0" w:beforeAutospacing="0" w:after="0" w:afterAutospacing="0" w:line="360" w:lineRule="auto"/>
        <w:jc w:val="both"/>
        <w:rPr>
          <w:rFonts w:hint="default"/>
          <w:color w:val="auto"/>
          <w:sz w:val="21"/>
          <w:highlight w:val="none"/>
        </w:rPr>
      </w:pPr>
      <w:r>
        <w:rPr>
          <w:color w:val="auto"/>
          <w:sz w:val="21"/>
          <w:highlight w:val="none"/>
        </w:rPr>
        <w:t>　　3、单价金额小数点或者百分比有明显错位的，以首次报价一览表的总价为准，并修改单价；</w:t>
      </w:r>
    </w:p>
    <w:p w14:paraId="5D88E5EB">
      <w:pPr>
        <w:pStyle w:val="25"/>
        <w:snapToGrid w:val="0"/>
        <w:spacing w:before="0" w:beforeAutospacing="0" w:after="0" w:afterAutospacing="0" w:line="360" w:lineRule="auto"/>
        <w:jc w:val="both"/>
        <w:rPr>
          <w:rFonts w:hint="default"/>
          <w:color w:val="auto"/>
          <w:sz w:val="21"/>
          <w:highlight w:val="none"/>
        </w:rPr>
      </w:pPr>
      <w:r>
        <w:rPr>
          <w:color w:val="auto"/>
          <w:sz w:val="21"/>
          <w:highlight w:val="none"/>
        </w:rPr>
        <w:t>　　4、总价金额与按单价汇总金额不一致的，以单价金额计算结果为准。</w:t>
      </w:r>
    </w:p>
    <w:p w14:paraId="1D69B788">
      <w:pPr>
        <w:pStyle w:val="25"/>
        <w:snapToGrid w:val="0"/>
        <w:spacing w:before="0" w:beforeAutospacing="0" w:after="0" w:afterAutospacing="0" w:line="360" w:lineRule="auto"/>
        <w:ind w:firstLine="480"/>
        <w:jc w:val="both"/>
        <w:rPr>
          <w:rFonts w:hint="default"/>
          <w:color w:val="auto"/>
          <w:sz w:val="21"/>
          <w:highlight w:val="none"/>
        </w:rPr>
      </w:pPr>
      <w:r>
        <w:rPr>
          <w:color w:val="auto"/>
          <w:sz w:val="21"/>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3F8BFCC9">
      <w:pPr>
        <w:pStyle w:val="25"/>
        <w:snapToGrid w:val="0"/>
        <w:spacing w:before="0" w:beforeAutospacing="0" w:after="0" w:afterAutospacing="0" w:line="360" w:lineRule="auto"/>
        <w:ind w:firstLine="480"/>
        <w:rPr>
          <w:rFonts w:hint="default"/>
          <w:b/>
          <w:color w:val="auto"/>
          <w:sz w:val="21"/>
          <w:highlight w:val="none"/>
        </w:rPr>
      </w:pPr>
      <w:r>
        <w:rPr>
          <w:b/>
          <w:color w:val="auto"/>
          <w:sz w:val="21"/>
          <w:highlight w:val="none"/>
        </w:rPr>
        <w:t>（五）磋商</w:t>
      </w:r>
      <w:r>
        <w:rPr>
          <w:rFonts w:hint="default"/>
          <w:b/>
          <w:color w:val="auto"/>
          <w:sz w:val="21"/>
          <w:highlight w:val="none"/>
        </w:rPr>
        <w:t>过程中出现以下情形，导致电子交易平台无法正常运行，或者无法保证电子交易的公平、公正和安全时，采购组织机构可中止电子交易活动：</w:t>
      </w:r>
    </w:p>
    <w:p w14:paraId="7983F76A">
      <w:pPr>
        <w:adjustRightInd w:val="0"/>
        <w:snapToGrid w:val="0"/>
        <w:spacing w:line="360" w:lineRule="auto"/>
        <w:ind w:firstLine="420" w:firstLineChars="200"/>
        <w:jc w:val="left"/>
        <w:rPr>
          <w:rFonts w:ascii="宋体" w:hAnsi="宋体"/>
          <w:color w:val="auto"/>
          <w:kern w:val="0"/>
          <w:sz w:val="21"/>
          <w:highlight w:val="none"/>
        </w:rPr>
      </w:pPr>
      <w:r>
        <w:rPr>
          <w:rFonts w:hint="eastAsia" w:ascii="宋体" w:hAnsi="宋体"/>
          <w:color w:val="auto"/>
          <w:kern w:val="0"/>
          <w:sz w:val="21"/>
          <w:highlight w:val="none"/>
        </w:rPr>
        <w:t>1、</w:t>
      </w:r>
      <w:r>
        <w:rPr>
          <w:rFonts w:ascii="宋体" w:hAnsi="宋体"/>
          <w:color w:val="auto"/>
          <w:kern w:val="0"/>
          <w:sz w:val="21"/>
          <w:highlight w:val="none"/>
        </w:rPr>
        <w:t>电子交易平台发生故障而无法登录访问的； </w:t>
      </w:r>
    </w:p>
    <w:p w14:paraId="3920153A">
      <w:pPr>
        <w:adjustRightInd w:val="0"/>
        <w:snapToGrid w:val="0"/>
        <w:spacing w:line="360" w:lineRule="auto"/>
        <w:ind w:firstLine="420" w:firstLineChars="200"/>
        <w:jc w:val="left"/>
        <w:rPr>
          <w:rFonts w:ascii="宋体" w:hAnsi="宋体"/>
          <w:color w:val="auto"/>
          <w:kern w:val="0"/>
          <w:sz w:val="21"/>
          <w:highlight w:val="none"/>
        </w:rPr>
      </w:pPr>
      <w:r>
        <w:rPr>
          <w:rFonts w:hint="eastAsia" w:ascii="宋体" w:hAnsi="宋体"/>
          <w:color w:val="auto"/>
          <w:kern w:val="0"/>
          <w:sz w:val="21"/>
          <w:highlight w:val="none"/>
        </w:rPr>
        <w:t>2、</w:t>
      </w:r>
      <w:r>
        <w:rPr>
          <w:rFonts w:ascii="宋体" w:hAnsi="宋体"/>
          <w:color w:val="auto"/>
          <w:kern w:val="0"/>
          <w:sz w:val="21"/>
          <w:highlight w:val="none"/>
        </w:rPr>
        <w:t>电子交易平台应用或数据库出现错误，不能进行正常操作的；</w:t>
      </w:r>
    </w:p>
    <w:p w14:paraId="34A9C107">
      <w:pPr>
        <w:adjustRightInd w:val="0"/>
        <w:snapToGrid w:val="0"/>
        <w:spacing w:line="360" w:lineRule="auto"/>
        <w:ind w:firstLine="420" w:firstLineChars="200"/>
        <w:jc w:val="left"/>
        <w:rPr>
          <w:rFonts w:ascii="宋体" w:hAnsi="宋体"/>
          <w:color w:val="auto"/>
          <w:kern w:val="0"/>
          <w:sz w:val="21"/>
          <w:highlight w:val="none"/>
        </w:rPr>
      </w:pPr>
      <w:r>
        <w:rPr>
          <w:rFonts w:hint="eastAsia" w:ascii="宋体" w:hAnsi="宋体"/>
          <w:color w:val="auto"/>
          <w:kern w:val="0"/>
          <w:sz w:val="21"/>
          <w:highlight w:val="none"/>
        </w:rPr>
        <w:t>3、</w:t>
      </w:r>
      <w:r>
        <w:rPr>
          <w:rFonts w:ascii="宋体" w:hAnsi="宋体"/>
          <w:color w:val="auto"/>
          <w:kern w:val="0"/>
          <w:sz w:val="21"/>
          <w:highlight w:val="none"/>
        </w:rPr>
        <w:t>电子交易平台发现严重安全漏洞，有潜在泄密危险的；</w:t>
      </w:r>
    </w:p>
    <w:p w14:paraId="774D1815">
      <w:pPr>
        <w:adjustRightInd w:val="0"/>
        <w:snapToGrid w:val="0"/>
        <w:spacing w:line="360" w:lineRule="auto"/>
        <w:ind w:firstLine="420" w:firstLineChars="200"/>
        <w:jc w:val="left"/>
        <w:rPr>
          <w:rFonts w:ascii="宋体" w:hAnsi="宋体"/>
          <w:color w:val="auto"/>
          <w:kern w:val="0"/>
          <w:sz w:val="21"/>
          <w:highlight w:val="none"/>
        </w:rPr>
      </w:pPr>
      <w:r>
        <w:rPr>
          <w:rFonts w:hint="eastAsia" w:ascii="宋体" w:hAnsi="宋体"/>
          <w:color w:val="auto"/>
          <w:kern w:val="0"/>
          <w:sz w:val="21"/>
          <w:highlight w:val="none"/>
        </w:rPr>
        <w:t>4、</w:t>
      </w:r>
      <w:r>
        <w:rPr>
          <w:rFonts w:ascii="宋体" w:hAnsi="宋体"/>
          <w:color w:val="auto"/>
          <w:kern w:val="0"/>
          <w:sz w:val="21"/>
          <w:highlight w:val="none"/>
        </w:rPr>
        <w:t>病毒发作导致不能进行正常操作的； </w:t>
      </w:r>
    </w:p>
    <w:p w14:paraId="1A527B72">
      <w:pPr>
        <w:adjustRightInd w:val="0"/>
        <w:snapToGrid w:val="0"/>
        <w:spacing w:line="360" w:lineRule="auto"/>
        <w:ind w:firstLine="420" w:firstLineChars="200"/>
        <w:jc w:val="left"/>
        <w:rPr>
          <w:rFonts w:ascii="宋体" w:hAnsi="宋体"/>
          <w:color w:val="auto"/>
          <w:kern w:val="0"/>
          <w:sz w:val="21"/>
          <w:highlight w:val="none"/>
        </w:rPr>
      </w:pPr>
      <w:r>
        <w:rPr>
          <w:rFonts w:hint="eastAsia" w:ascii="宋体" w:hAnsi="宋体"/>
          <w:color w:val="auto"/>
          <w:kern w:val="0"/>
          <w:sz w:val="21"/>
          <w:highlight w:val="none"/>
        </w:rPr>
        <w:t>5、</w:t>
      </w:r>
      <w:r>
        <w:rPr>
          <w:rFonts w:ascii="宋体" w:hAnsi="宋体"/>
          <w:color w:val="auto"/>
          <w:kern w:val="0"/>
          <w:sz w:val="21"/>
          <w:highlight w:val="none"/>
        </w:rPr>
        <w:t>其他无法保证电子交易的公平、公正和安全的情况。</w:t>
      </w:r>
    </w:p>
    <w:p w14:paraId="79F40B34">
      <w:pPr>
        <w:adjustRightInd w:val="0"/>
        <w:snapToGrid w:val="0"/>
        <w:spacing w:line="360" w:lineRule="auto"/>
        <w:ind w:firstLine="420" w:firstLineChars="200"/>
        <w:jc w:val="left"/>
        <w:rPr>
          <w:color w:val="auto"/>
          <w:sz w:val="21"/>
          <w:highlight w:val="none"/>
        </w:rPr>
      </w:pPr>
      <w:r>
        <w:rPr>
          <w:rFonts w:ascii="宋体" w:hAnsi="宋体"/>
          <w:color w:val="auto"/>
          <w:kern w:val="0"/>
          <w:sz w:val="21"/>
          <w:highlight w:val="none"/>
        </w:rPr>
        <w:t>出现前款规定情形，不影响采购公平、公正性的，采购组织机构可以待上述情形消除后继续组织电子交易活动；影响或可能影响采购公平、公正性的，应当重新采购。</w:t>
      </w:r>
    </w:p>
    <w:p w14:paraId="486B936B">
      <w:pPr>
        <w:pStyle w:val="25"/>
        <w:snapToGrid w:val="0"/>
        <w:spacing w:before="0" w:beforeAutospacing="0" w:after="0" w:afterAutospacing="0" w:line="360" w:lineRule="auto"/>
        <w:ind w:firstLine="480"/>
        <w:rPr>
          <w:rFonts w:hint="default"/>
          <w:color w:val="auto"/>
          <w:sz w:val="21"/>
          <w:highlight w:val="none"/>
        </w:rPr>
      </w:pPr>
      <w:r>
        <w:rPr>
          <w:b/>
          <w:color w:val="auto"/>
          <w:sz w:val="21"/>
          <w:highlight w:val="none"/>
        </w:rPr>
        <w:t>（六）磋商供应商存在下列情况之一的，响应无效，终止磋商</w:t>
      </w:r>
    </w:p>
    <w:p w14:paraId="405EBA51">
      <w:pPr>
        <w:adjustRightInd w:val="0"/>
        <w:snapToGrid w:val="0"/>
        <w:spacing w:line="360" w:lineRule="auto"/>
        <w:ind w:firstLine="420" w:firstLineChars="200"/>
        <w:jc w:val="left"/>
        <w:rPr>
          <w:rFonts w:hAnsi="宋体"/>
          <w:b/>
          <w:color w:val="auto"/>
          <w:sz w:val="21"/>
          <w:highlight w:val="none"/>
        </w:rPr>
      </w:pPr>
      <w:r>
        <w:rPr>
          <w:rFonts w:hAnsi="宋体"/>
          <w:color w:val="auto"/>
          <w:kern w:val="0"/>
          <w:sz w:val="21"/>
          <w:highlight w:val="none"/>
        </w:rPr>
        <w:t>1、磋商响应文件中的报价货物跟商务与技术内容中的供应货物出现重大偏差的。</w:t>
      </w:r>
    </w:p>
    <w:p w14:paraId="7BF3821D">
      <w:pPr>
        <w:pStyle w:val="25"/>
        <w:tabs>
          <w:tab w:val="left" w:pos="7380"/>
        </w:tabs>
        <w:adjustRightInd w:val="0"/>
        <w:snapToGrid w:val="0"/>
        <w:spacing w:before="0" w:beforeAutospacing="0" w:after="0" w:afterAutospacing="0" w:line="360" w:lineRule="auto"/>
        <w:ind w:firstLine="420" w:firstLineChars="200"/>
        <w:rPr>
          <w:rFonts w:hint="default"/>
          <w:color w:val="auto"/>
          <w:sz w:val="21"/>
          <w:highlight w:val="none"/>
        </w:rPr>
      </w:pPr>
      <w:r>
        <w:rPr>
          <w:rFonts w:hint="default"/>
          <w:color w:val="auto"/>
          <w:sz w:val="21"/>
          <w:highlight w:val="none"/>
        </w:rPr>
        <w:t>2、不具备磋商采购文件中规定的资格要求的。</w:t>
      </w:r>
    </w:p>
    <w:p w14:paraId="6DDAEB9D">
      <w:pPr>
        <w:pStyle w:val="25"/>
        <w:adjustRightInd w:val="0"/>
        <w:snapToGrid w:val="0"/>
        <w:spacing w:before="0" w:beforeAutospacing="0" w:after="0" w:afterAutospacing="0" w:line="360" w:lineRule="auto"/>
        <w:ind w:firstLine="420" w:firstLineChars="200"/>
        <w:rPr>
          <w:rFonts w:hint="default"/>
          <w:color w:val="auto"/>
          <w:sz w:val="21"/>
          <w:highlight w:val="none"/>
        </w:rPr>
      </w:pPr>
      <w:r>
        <w:rPr>
          <w:rFonts w:hint="default"/>
          <w:color w:val="auto"/>
          <w:sz w:val="21"/>
          <w:highlight w:val="none"/>
        </w:rPr>
        <w:t>3、未实质性响应磋商文件中打“</w:t>
      </w:r>
      <w:r>
        <w:rPr>
          <w:rFonts w:hint="default"/>
          <w:color w:val="auto"/>
          <w:sz w:val="21"/>
          <w:highlight w:val="none"/>
          <w:lang w:val="zh-CN"/>
        </w:rPr>
        <w:t>▲</w:t>
      </w:r>
      <w:r>
        <w:rPr>
          <w:rFonts w:hint="default"/>
          <w:color w:val="auto"/>
          <w:sz w:val="21"/>
          <w:highlight w:val="none"/>
        </w:rPr>
        <w:t>”条款或者磋商响应文件含有采购人不能接受的附加条件的。</w:t>
      </w:r>
    </w:p>
    <w:p w14:paraId="61A926F8">
      <w:pPr>
        <w:adjustRightInd w:val="0"/>
        <w:snapToGrid w:val="0"/>
        <w:spacing w:line="360" w:lineRule="auto"/>
        <w:ind w:firstLine="420" w:firstLineChars="200"/>
        <w:jc w:val="left"/>
        <w:rPr>
          <w:rFonts w:hAnsi="宋体"/>
          <w:color w:val="auto"/>
          <w:kern w:val="0"/>
          <w:sz w:val="21"/>
          <w:highlight w:val="none"/>
        </w:rPr>
      </w:pPr>
      <w:r>
        <w:rPr>
          <w:rFonts w:hAnsi="宋体"/>
          <w:color w:val="auto"/>
          <w:kern w:val="0"/>
          <w:sz w:val="21"/>
          <w:highlight w:val="none"/>
        </w:rPr>
        <w:t>4</w:t>
      </w:r>
      <w:r>
        <w:rPr>
          <w:rFonts w:hAnsi="宋体"/>
          <w:color w:val="auto"/>
          <w:sz w:val="21"/>
          <w:highlight w:val="none"/>
        </w:rPr>
        <w:t>、磋商响应文件实质性内容填写不全或模糊不清，无法辨认的。</w:t>
      </w:r>
    </w:p>
    <w:p w14:paraId="132C06C5">
      <w:pPr>
        <w:pStyle w:val="25"/>
        <w:adjustRightInd w:val="0"/>
        <w:snapToGrid w:val="0"/>
        <w:spacing w:before="0" w:beforeAutospacing="0" w:after="0" w:afterAutospacing="0" w:line="360" w:lineRule="auto"/>
        <w:ind w:firstLine="420" w:firstLineChars="200"/>
        <w:rPr>
          <w:rFonts w:hint="default"/>
          <w:color w:val="auto"/>
          <w:sz w:val="21"/>
          <w:highlight w:val="none"/>
        </w:rPr>
      </w:pPr>
      <w:r>
        <w:rPr>
          <w:rFonts w:hint="default"/>
          <w:color w:val="auto"/>
          <w:sz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2C65728E">
      <w:pPr>
        <w:pStyle w:val="25"/>
        <w:adjustRightInd w:val="0"/>
        <w:snapToGrid w:val="0"/>
        <w:spacing w:before="0" w:beforeAutospacing="0" w:after="0" w:afterAutospacing="0" w:line="360" w:lineRule="auto"/>
        <w:ind w:firstLine="420" w:firstLineChars="200"/>
        <w:rPr>
          <w:rFonts w:hint="default"/>
          <w:color w:val="auto"/>
          <w:sz w:val="21"/>
          <w:highlight w:val="none"/>
        </w:rPr>
      </w:pPr>
      <w:r>
        <w:rPr>
          <w:rFonts w:hint="default"/>
          <w:color w:val="auto"/>
          <w:sz w:val="21"/>
          <w:highlight w:val="none"/>
        </w:rPr>
        <w:t>6、报价超过磋商文件中规定的预算金额或者最高限价的。</w:t>
      </w:r>
    </w:p>
    <w:p w14:paraId="72B1513E">
      <w:pPr>
        <w:pStyle w:val="25"/>
        <w:adjustRightInd w:val="0"/>
        <w:snapToGrid w:val="0"/>
        <w:spacing w:before="0" w:beforeAutospacing="0" w:after="0" w:afterAutospacing="0" w:line="312" w:lineRule="auto"/>
        <w:ind w:firstLine="420" w:firstLineChars="200"/>
        <w:rPr>
          <w:rFonts w:hint="default"/>
          <w:color w:val="auto"/>
          <w:sz w:val="21"/>
          <w:highlight w:val="none"/>
        </w:rPr>
      </w:pPr>
      <w:r>
        <w:rPr>
          <w:rFonts w:hint="default"/>
          <w:color w:val="auto"/>
          <w:sz w:val="21"/>
          <w:highlight w:val="none"/>
        </w:rPr>
        <w:t>7、最终报价高于首次报价的；</w:t>
      </w:r>
    </w:p>
    <w:p w14:paraId="2B430A50">
      <w:pPr>
        <w:pStyle w:val="25"/>
        <w:adjustRightInd w:val="0"/>
        <w:snapToGrid w:val="0"/>
        <w:spacing w:before="0" w:beforeAutospacing="0" w:after="0" w:afterAutospacing="0" w:line="312" w:lineRule="auto"/>
        <w:ind w:firstLine="420" w:firstLineChars="200"/>
        <w:rPr>
          <w:rFonts w:hint="default"/>
          <w:color w:val="auto"/>
          <w:sz w:val="21"/>
          <w:highlight w:val="none"/>
        </w:rPr>
      </w:pPr>
      <w:r>
        <w:rPr>
          <w:rFonts w:hint="default"/>
          <w:color w:val="auto"/>
          <w:sz w:val="21"/>
          <w:highlight w:val="none"/>
        </w:rPr>
        <w:t>8、磋商供应商仅提交备份磋商响应文件的；</w:t>
      </w:r>
    </w:p>
    <w:p w14:paraId="69F065C9">
      <w:pPr>
        <w:pStyle w:val="25"/>
        <w:adjustRightInd w:val="0"/>
        <w:snapToGrid w:val="0"/>
        <w:spacing w:before="0" w:beforeAutospacing="0" w:after="0" w:afterAutospacing="0" w:line="312" w:lineRule="auto"/>
        <w:ind w:firstLine="420" w:firstLineChars="200"/>
        <w:rPr>
          <w:rFonts w:hint="default"/>
          <w:color w:val="auto"/>
          <w:sz w:val="21"/>
          <w:highlight w:val="none"/>
        </w:rPr>
      </w:pPr>
      <w:r>
        <w:rPr>
          <w:rFonts w:hint="default"/>
          <w:color w:val="auto"/>
          <w:sz w:val="21"/>
          <w:highlight w:val="none"/>
        </w:rPr>
        <w:t>9、电子加密磋商响应文件解密失败或未按时解密的，且未在规定时间内提交备份磋商响应文件的（包括未在解密规定时间内提供备份磋商响应文件解密密码或密码错误的）；</w:t>
      </w:r>
    </w:p>
    <w:p w14:paraId="18EA0004">
      <w:pPr>
        <w:tabs>
          <w:tab w:val="left" w:pos="1898"/>
        </w:tabs>
        <w:autoSpaceDE w:val="0"/>
        <w:autoSpaceDN w:val="0"/>
        <w:adjustRightInd w:val="0"/>
        <w:snapToGrid w:val="0"/>
        <w:spacing w:line="360" w:lineRule="auto"/>
        <w:ind w:firstLine="420" w:firstLineChars="200"/>
        <w:jc w:val="left"/>
        <w:rPr>
          <w:rFonts w:hAnsi="宋体"/>
          <w:color w:val="auto"/>
          <w:kern w:val="0"/>
          <w:sz w:val="21"/>
          <w:highlight w:val="none"/>
        </w:rPr>
      </w:pPr>
      <w:r>
        <w:rPr>
          <w:rFonts w:ascii="宋体" w:hAnsi="宋体" w:eastAsia="宋体"/>
          <w:color w:val="auto"/>
          <w:kern w:val="0"/>
          <w:sz w:val="21"/>
          <w:highlight w:val="none"/>
        </w:rPr>
        <w:t>10</w:t>
      </w:r>
      <w:r>
        <w:rPr>
          <w:rFonts w:hAnsi="宋体"/>
          <w:color w:val="auto"/>
          <w:kern w:val="0"/>
          <w:sz w:val="21"/>
          <w:highlight w:val="none"/>
        </w:rPr>
        <w:t>、磋商参数未如实填写，完全复制粘贴磋商采购参数的。</w:t>
      </w:r>
    </w:p>
    <w:p w14:paraId="701989EE">
      <w:pPr>
        <w:tabs>
          <w:tab w:val="left" w:pos="1898"/>
        </w:tabs>
        <w:autoSpaceDE w:val="0"/>
        <w:autoSpaceDN w:val="0"/>
        <w:adjustRightInd w:val="0"/>
        <w:snapToGrid w:val="0"/>
        <w:spacing w:line="360" w:lineRule="auto"/>
        <w:ind w:firstLine="420" w:firstLineChars="200"/>
        <w:jc w:val="left"/>
        <w:rPr>
          <w:rFonts w:hAnsi="宋体"/>
          <w:color w:val="auto"/>
          <w:kern w:val="0"/>
          <w:sz w:val="21"/>
          <w:highlight w:val="none"/>
        </w:rPr>
      </w:pPr>
      <w:r>
        <w:rPr>
          <w:rFonts w:ascii="宋体" w:hAnsi="宋体" w:eastAsia="宋体"/>
          <w:color w:val="auto"/>
          <w:kern w:val="0"/>
          <w:sz w:val="21"/>
          <w:highlight w:val="none"/>
        </w:rPr>
        <w:t>11</w:t>
      </w:r>
      <w:r>
        <w:rPr>
          <w:rFonts w:hAnsi="宋体"/>
          <w:color w:val="auto"/>
          <w:kern w:val="0"/>
          <w:sz w:val="21"/>
          <w:highlight w:val="none"/>
        </w:rPr>
        <w:t>、</w:t>
      </w:r>
      <w:r>
        <w:rPr>
          <w:rFonts w:hAnsi="宋体"/>
          <w:color w:val="auto"/>
          <w:sz w:val="21"/>
          <w:highlight w:val="none"/>
        </w:rPr>
        <w:t>磋商响应文件中技术方案不明确，存在一个或一个以上备选（替代）方案的</w:t>
      </w:r>
      <w:r>
        <w:rPr>
          <w:rFonts w:hAnsi="宋体"/>
          <w:color w:val="auto"/>
          <w:kern w:val="0"/>
          <w:sz w:val="21"/>
          <w:highlight w:val="none"/>
        </w:rPr>
        <w:t>。</w:t>
      </w:r>
    </w:p>
    <w:p w14:paraId="5262F807">
      <w:pPr>
        <w:tabs>
          <w:tab w:val="left" w:pos="1898"/>
        </w:tabs>
        <w:autoSpaceDE w:val="0"/>
        <w:autoSpaceDN w:val="0"/>
        <w:adjustRightInd w:val="0"/>
        <w:snapToGrid w:val="0"/>
        <w:spacing w:line="360" w:lineRule="auto"/>
        <w:ind w:firstLine="420" w:firstLineChars="200"/>
        <w:jc w:val="left"/>
        <w:rPr>
          <w:rFonts w:hAnsi="宋体"/>
          <w:color w:val="auto"/>
          <w:kern w:val="0"/>
          <w:sz w:val="21"/>
          <w:highlight w:val="none"/>
        </w:rPr>
      </w:pPr>
      <w:r>
        <w:rPr>
          <w:rFonts w:hAnsi="宋体"/>
          <w:color w:val="auto"/>
          <w:kern w:val="0"/>
          <w:sz w:val="21"/>
          <w:highlight w:val="none"/>
        </w:rPr>
        <w:t>12、磋商响应文件提供虚假材料的。</w:t>
      </w:r>
    </w:p>
    <w:p w14:paraId="409B70CE">
      <w:pPr>
        <w:autoSpaceDE w:val="0"/>
        <w:autoSpaceDN w:val="0"/>
        <w:adjustRightInd w:val="0"/>
        <w:snapToGrid w:val="0"/>
        <w:spacing w:line="360" w:lineRule="auto"/>
        <w:ind w:firstLine="420" w:firstLineChars="200"/>
        <w:jc w:val="left"/>
        <w:rPr>
          <w:rFonts w:ascii="宋体" w:hAnsi="宋体" w:eastAsia="宋体"/>
          <w:color w:val="auto"/>
          <w:kern w:val="0"/>
          <w:sz w:val="21"/>
          <w:highlight w:val="none"/>
        </w:rPr>
      </w:pPr>
      <w:r>
        <w:rPr>
          <w:rFonts w:ascii="宋体" w:hAnsi="宋体" w:eastAsia="宋体"/>
          <w:color w:val="auto"/>
          <w:kern w:val="0"/>
          <w:sz w:val="21"/>
          <w:highlight w:val="none"/>
        </w:rPr>
        <w:t>13、不同供应商的磋商响应文件由同一单位或者个人编制；</w:t>
      </w:r>
    </w:p>
    <w:p w14:paraId="4EDFD4A5">
      <w:pPr>
        <w:autoSpaceDE w:val="0"/>
        <w:autoSpaceDN w:val="0"/>
        <w:adjustRightInd w:val="0"/>
        <w:snapToGrid w:val="0"/>
        <w:spacing w:line="360" w:lineRule="auto"/>
        <w:ind w:firstLine="420" w:firstLineChars="200"/>
        <w:jc w:val="left"/>
        <w:rPr>
          <w:rFonts w:ascii="宋体" w:hAnsi="宋体" w:eastAsia="宋体"/>
          <w:color w:val="auto"/>
          <w:kern w:val="0"/>
          <w:sz w:val="21"/>
          <w:highlight w:val="none"/>
        </w:rPr>
      </w:pPr>
      <w:r>
        <w:rPr>
          <w:rFonts w:ascii="宋体" w:hAnsi="宋体" w:eastAsia="宋体"/>
          <w:color w:val="auto"/>
          <w:kern w:val="0"/>
          <w:sz w:val="21"/>
          <w:highlight w:val="none"/>
        </w:rPr>
        <w:t>14、不同供应商委托同一单位或者个人办理磋商事宜；</w:t>
      </w:r>
    </w:p>
    <w:p w14:paraId="243804E5">
      <w:pPr>
        <w:autoSpaceDE w:val="0"/>
        <w:autoSpaceDN w:val="0"/>
        <w:adjustRightInd w:val="0"/>
        <w:snapToGrid w:val="0"/>
        <w:spacing w:line="360" w:lineRule="auto"/>
        <w:ind w:firstLine="420" w:firstLineChars="200"/>
        <w:jc w:val="left"/>
        <w:rPr>
          <w:rFonts w:ascii="宋体" w:hAnsi="宋体" w:eastAsia="宋体"/>
          <w:color w:val="auto"/>
          <w:kern w:val="0"/>
          <w:sz w:val="21"/>
          <w:highlight w:val="none"/>
        </w:rPr>
      </w:pPr>
      <w:r>
        <w:rPr>
          <w:rFonts w:ascii="宋体" w:hAnsi="宋体" w:eastAsia="宋体"/>
          <w:color w:val="auto"/>
          <w:kern w:val="0"/>
          <w:sz w:val="21"/>
          <w:highlight w:val="none"/>
        </w:rPr>
        <w:t>15、不同供应商的磋商响应文件载明的项目管理成员或者联系人员为同一人；</w:t>
      </w:r>
    </w:p>
    <w:p w14:paraId="185611C2">
      <w:pPr>
        <w:autoSpaceDE w:val="0"/>
        <w:autoSpaceDN w:val="0"/>
        <w:adjustRightInd w:val="0"/>
        <w:snapToGrid w:val="0"/>
        <w:spacing w:line="360" w:lineRule="auto"/>
        <w:ind w:firstLine="420" w:firstLineChars="200"/>
        <w:jc w:val="left"/>
        <w:rPr>
          <w:rFonts w:ascii="宋体" w:hAnsi="宋体" w:eastAsia="宋体"/>
          <w:color w:val="auto"/>
          <w:kern w:val="0"/>
          <w:sz w:val="21"/>
          <w:highlight w:val="none"/>
        </w:rPr>
      </w:pPr>
      <w:r>
        <w:rPr>
          <w:rFonts w:ascii="宋体" w:hAnsi="宋体" w:eastAsia="宋体"/>
          <w:color w:val="auto"/>
          <w:kern w:val="0"/>
          <w:sz w:val="21"/>
          <w:highlight w:val="none"/>
        </w:rPr>
        <w:t>16、不同供应商的磋商响应文件异常一致或者报价呈规律性差异；</w:t>
      </w:r>
    </w:p>
    <w:p w14:paraId="733F5DED">
      <w:pPr>
        <w:autoSpaceDE w:val="0"/>
        <w:autoSpaceDN w:val="0"/>
        <w:adjustRightInd w:val="0"/>
        <w:snapToGrid w:val="0"/>
        <w:spacing w:line="360" w:lineRule="auto"/>
        <w:ind w:firstLine="420" w:firstLineChars="200"/>
        <w:jc w:val="left"/>
        <w:rPr>
          <w:rFonts w:ascii="宋体" w:hAnsi="宋体" w:eastAsia="宋体"/>
          <w:color w:val="auto"/>
          <w:kern w:val="0"/>
          <w:sz w:val="21"/>
          <w:highlight w:val="none"/>
        </w:rPr>
      </w:pPr>
      <w:r>
        <w:rPr>
          <w:rFonts w:ascii="宋体" w:hAnsi="宋体" w:eastAsia="宋体"/>
          <w:color w:val="auto"/>
          <w:kern w:val="0"/>
          <w:sz w:val="21"/>
          <w:highlight w:val="none"/>
        </w:rPr>
        <w:t>17、不符合法律、法规和磋商采购文件中规定的其他实质性要求的（磋商采购文件中打“▲”内容及被拒绝的条款）。</w:t>
      </w:r>
    </w:p>
    <w:p w14:paraId="7B5B0276">
      <w:pPr>
        <w:autoSpaceDE w:val="0"/>
        <w:autoSpaceDN w:val="0"/>
        <w:adjustRightInd w:val="0"/>
        <w:snapToGrid w:val="0"/>
        <w:spacing w:line="360" w:lineRule="auto"/>
        <w:ind w:firstLine="420" w:firstLineChars="200"/>
        <w:jc w:val="left"/>
        <w:rPr>
          <w:rFonts w:ascii="宋体" w:hAnsi="宋体"/>
          <w:color w:val="auto"/>
          <w:kern w:val="0"/>
          <w:sz w:val="21"/>
          <w:highlight w:val="none"/>
        </w:rPr>
      </w:pPr>
      <w:r>
        <w:rPr>
          <w:rFonts w:hint="eastAsia" w:ascii="宋体" w:hAnsi="宋体"/>
          <w:b/>
          <w:color w:val="auto"/>
          <w:kern w:val="0"/>
          <w:sz w:val="21"/>
          <w:highlight w:val="none"/>
        </w:rPr>
        <w:t>（七）有下列情况之一的，本次磋商终止。</w:t>
      </w:r>
    </w:p>
    <w:p w14:paraId="3C02935D">
      <w:pPr>
        <w:pStyle w:val="25"/>
        <w:snapToGrid w:val="0"/>
        <w:spacing w:before="0" w:beforeAutospacing="0" w:after="0" w:afterAutospacing="0" w:line="360" w:lineRule="auto"/>
        <w:ind w:firstLine="525" w:firstLineChars="250"/>
        <w:jc w:val="both"/>
        <w:rPr>
          <w:rFonts w:hint="default"/>
          <w:color w:val="auto"/>
          <w:sz w:val="21"/>
          <w:highlight w:val="none"/>
        </w:rPr>
      </w:pPr>
      <w:r>
        <w:rPr>
          <w:color w:val="auto"/>
          <w:sz w:val="21"/>
          <w:highlight w:val="none"/>
        </w:rPr>
        <w:t>1、出现影响采购公正的违法、违规行为的。</w:t>
      </w:r>
    </w:p>
    <w:p w14:paraId="3C902489">
      <w:pPr>
        <w:pStyle w:val="25"/>
        <w:snapToGrid w:val="0"/>
        <w:spacing w:before="0" w:beforeAutospacing="0" w:after="0" w:afterAutospacing="0" w:line="360" w:lineRule="auto"/>
        <w:ind w:firstLine="525" w:firstLineChars="250"/>
        <w:jc w:val="both"/>
        <w:rPr>
          <w:rFonts w:hint="default"/>
          <w:color w:val="auto"/>
          <w:sz w:val="21"/>
          <w:highlight w:val="none"/>
        </w:rPr>
      </w:pPr>
      <w:r>
        <w:rPr>
          <w:color w:val="auto"/>
          <w:sz w:val="21"/>
          <w:highlight w:val="none"/>
        </w:rPr>
        <w:t xml:space="preserve">2、磋商小组发现磋商文件存在歧义、重大缺陷导致评审工作无法进行，或者磋商文件内容违反国家有关强制性规定的。 </w:t>
      </w:r>
    </w:p>
    <w:p w14:paraId="44F0898A">
      <w:pPr>
        <w:pStyle w:val="25"/>
        <w:snapToGrid w:val="0"/>
        <w:spacing w:before="0" w:beforeAutospacing="0" w:after="0" w:afterAutospacing="0" w:line="360" w:lineRule="auto"/>
        <w:ind w:firstLine="525" w:firstLineChars="250"/>
        <w:jc w:val="both"/>
        <w:rPr>
          <w:rFonts w:hint="default"/>
          <w:color w:val="auto"/>
          <w:sz w:val="21"/>
          <w:highlight w:val="none"/>
        </w:rPr>
      </w:pPr>
      <w:r>
        <w:rPr>
          <w:color w:val="auto"/>
          <w:sz w:val="21"/>
          <w:highlight w:val="none"/>
        </w:rPr>
        <w:t>3、因重大变故，采购任务取消的。</w:t>
      </w:r>
    </w:p>
    <w:p w14:paraId="18FF5FBE">
      <w:pPr>
        <w:pStyle w:val="25"/>
        <w:snapToGrid w:val="0"/>
        <w:spacing w:before="0" w:beforeAutospacing="0" w:after="0" w:afterAutospacing="0" w:line="360" w:lineRule="auto"/>
        <w:ind w:firstLine="525" w:firstLineChars="250"/>
        <w:jc w:val="both"/>
        <w:rPr>
          <w:rFonts w:hint="default"/>
          <w:color w:val="auto"/>
          <w:sz w:val="21"/>
          <w:highlight w:val="none"/>
        </w:rPr>
      </w:pPr>
      <w:r>
        <w:rPr>
          <w:color w:val="auto"/>
          <w:sz w:val="21"/>
          <w:highlight w:val="none"/>
        </w:rPr>
        <w:t>4、法律、法规和磋商文件规定的其他导致评审结果无效的。</w:t>
      </w:r>
    </w:p>
    <w:p w14:paraId="488749B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0" w:firstLineChars="200"/>
        <w:jc w:val="left"/>
        <w:rPr>
          <w:rFonts w:ascii="宋体" w:hAnsi="宋体"/>
          <w:b/>
          <w:color w:val="auto"/>
          <w:kern w:val="0"/>
          <w:sz w:val="21"/>
          <w:highlight w:val="none"/>
        </w:rPr>
      </w:pPr>
      <w:r>
        <w:rPr>
          <w:rFonts w:hint="eastAsia" w:ascii="宋体" w:hAnsi="宋体"/>
          <w:b/>
          <w:color w:val="auto"/>
          <w:kern w:val="0"/>
          <w:sz w:val="21"/>
          <w:highlight w:val="none"/>
        </w:rPr>
        <w:t>（八）磋商原则和方法</w:t>
      </w:r>
    </w:p>
    <w:p w14:paraId="32C2A9ED">
      <w:pPr>
        <w:pStyle w:val="15"/>
        <w:snapToGrid w:val="0"/>
        <w:spacing w:line="360" w:lineRule="auto"/>
        <w:ind w:firstLine="525" w:firstLineChars="250"/>
        <w:rPr>
          <w:rFonts w:hAnsi="宋体"/>
          <w:color w:val="auto"/>
          <w:highlight w:val="none"/>
        </w:rPr>
      </w:pPr>
      <w:r>
        <w:rPr>
          <w:rFonts w:hint="eastAsia" w:hAnsi="宋体"/>
          <w:color w:val="auto"/>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483290D">
      <w:pPr>
        <w:pStyle w:val="15"/>
        <w:snapToGrid w:val="0"/>
        <w:spacing w:line="360" w:lineRule="auto"/>
        <w:ind w:firstLine="525" w:firstLineChars="250"/>
        <w:rPr>
          <w:rFonts w:hAnsi="宋体"/>
          <w:color w:val="auto"/>
          <w:highlight w:val="none"/>
        </w:rPr>
      </w:pPr>
      <w:r>
        <w:rPr>
          <w:rFonts w:hint="eastAsia" w:hAnsi="宋体"/>
          <w:color w:val="auto"/>
          <w:highlight w:val="none"/>
        </w:rPr>
        <w:t>2、磋商办法。具体磋商内容及评分标准等详见《评审方法及评分标准》。</w:t>
      </w:r>
    </w:p>
    <w:p w14:paraId="791E38FA">
      <w:pPr>
        <w:pStyle w:val="15"/>
        <w:snapToGrid w:val="0"/>
        <w:spacing w:line="360" w:lineRule="auto"/>
        <w:ind w:firstLine="420" w:firstLineChars="200"/>
        <w:rPr>
          <w:rFonts w:hAnsi="宋体"/>
          <w:color w:val="auto"/>
          <w:highlight w:val="none"/>
        </w:rPr>
      </w:pPr>
      <w:r>
        <w:rPr>
          <w:rFonts w:hint="eastAsia" w:hAnsi="宋体"/>
          <w:b/>
          <w:color w:val="auto"/>
          <w:highlight w:val="none"/>
        </w:rPr>
        <w:t>（九）评审过程的监控</w:t>
      </w:r>
    </w:p>
    <w:p w14:paraId="73E3C26E">
      <w:pPr>
        <w:pStyle w:val="25"/>
        <w:snapToGrid w:val="0"/>
        <w:spacing w:before="0" w:beforeAutospacing="0" w:after="0" w:afterAutospacing="0" w:line="360" w:lineRule="auto"/>
        <w:ind w:firstLine="420" w:firstLineChars="200"/>
        <w:jc w:val="both"/>
        <w:rPr>
          <w:rFonts w:hint="default"/>
          <w:color w:val="auto"/>
          <w:sz w:val="21"/>
          <w:highlight w:val="none"/>
        </w:rPr>
      </w:pPr>
      <w:r>
        <w:rPr>
          <w:color w:val="auto"/>
          <w:sz w:val="21"/>
          <w:highlight w:val="none"/>
        </w:rPr>
        <w:t>本项目评审过程实行全程录音、录像监控，政府采购监管部门视情进行现场监督，供应商在评审过程中所进行的试图影响评审结果的不公正活动，可能导致其被拒绝磋商。</w:t>
      </w:r>
    </w:p>
    <w:p w14:paraId="10185E7F">
      <w:pPr>
        <w:pStyle w:val="25"/>
        <w:snapToGrid w:val="0"/>
        <w:spacing w:before="0" w:beforeAutospacing="0" w:after="0" w:afterAutospacing="0" w:line="360" w:lineRule="auto"/>
        <w:ind w:firstLine="420" w:firstLineChars="200"/>
        <w:jc w:val="both"/>
        <w:rPr>
          <w:rFonts w:hint="default"/>
          <w:color w:val="auto"/>
          <w:sz w:val="21"/>
          <w:highlight w:val="none"/>
        </w:rPr>
      </w:pPr>
      <w:r>
        <w:rPr>
          <w:b/>
          <w:color w:val="auto"/>
          <w:sz w:val="21"/>
          <w:highlight w:val="none"/>
        </w:rPr>
        <w:t>五、磋商结果确定</w:t>
      </w:r>
    </w:p>
    <w:p w14:paraId="31D355D5">
      <w:pPr>
        <w:pStyle w:val="25"/>
        <w:snapToGrid w:val="0"/>
        <w:spacing w:before="0" w:beforeAutospacing="0" w:after="0" w:afterAutospacing="0" w:line="360" w:lineRule="auto"/>
        <w:ind w:firstLine="525" w:firstLineChars="250"/>
        <w:jc w:val="both"/>
        <w:rPr>
          <w:rFonts w:hint="default"/>
          <w:color w:val="auto"/>
          <w:sz w:val="21"/>
          <w:highlight w:val="none"/>
        </w:rPr>
      </w:pPr>
      <w:r>
        <w:rPr>
          <w:color w:val="auto"/>
          <w:sz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B5851B1">
      <w:pPr>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A62055">
      <w:pPr>
        <w:snapToGrid w:val="0"/>
        <w:spacing w:line="360" w:lineRule="auto"/>
        <w:ind w:firstLine="420" w:firstLineChars="200"/>
        <w:rPr>
          <w:rFonts w:ascii="宋体" w:hAnsi="宋体"/>
          <w:color w:val="auto"/>
          <w:kern w:val="0"/>
          <w:sz w:val="21"/>
          <w:highlight w:val="none"/>
        </w:rPr>
      </w:pPr>
      <w:r>
        <w:rPr>
          <w:rFonts w:hint="eastAsia" w:ascii="宋体" w:hAnsi="宋体"/>
          <w:color w:val="auto"/>
          <w:kern w:val="0"/>
          <w:sz w:val="21"/>
          <w:highlight w:val="none"/>
        </w:rPr>
        <w:t>3、发出成交通知书。采购组织机构在发布成交结果同时，向成交供应商发出成交通知书。</w:t>
      </w:r>
    </w:p>
    <w:p w14:paraId="464F2A56">
      <w:pPr>
        <w:snapToGrid w:val="0"/>
        <w:spacing w:line="360" w:lineRule="auto"/>
        <w:ind w:firstLine="420" w:firstLineChars="200"/>
        <w:rPr>
          <w:rFonts w:ascii="宋体" w:hAnsi="宋体"/>
          <w:b/>
          <w:color w:val="auto"/>
          <w:kern w:val="0"/>
          <w:sz w:val="21"/>
          <w:highlight w:val="none"/>
        </w:rPr>
      </w:pPr>
      <w:r>
        <w:rPr>
          <w:rFonts w:hint="eastAsia" w:ascii="宋体" w:hAnsi="宋体"/>
          <w:b/>
          <w:color w:val="auto"/>
          <w:kern w:val="0"/>
          <w:sz w:val="21"/>
          <w:highlight w:val="none"/>
        </w:rPr>
        <w:t>六、合同签订及公告</w:t>
      </w:r>
    </w:p>
    <w:p w14:paraId="14C5176F">
      <w:pPr>
        <w:pStyle w:val="2"/>
        <w:snapToGrid w:val="0"/>
        <w:spacing w:line="360" w:lineRule="auto"/>
        <w:ind w:firstLine="422" w:firstLineChars="200"/>
        <w:rPr>
          <w:rFonts w:ascii="宋体" w:hAnsi="宋体" w:eastAsia="宋体" w:cs="宋体"/>
          <w:b/>
          <w:color w:val="auto"/>
          <w:sz w:val="21"/>
          <w:highlight w:val="none"/>
        </w:rPr>
      </w:pPr>
      <w:r>
        <w:rPr>
          <w:rFonts w:hint="eastAsia" w:ascii="宋体" w:hAnsi="宋体" w:eastAsia="宋体" w:cs="宋体"/>
          <w:b/>
          <w:color w:val="auto"/>
          <w:sz w:val="21"/>
          <w:highlight w:val="none"/>
        </w:rPr>
        <w:t>（一）签订合同</w:t>
      </w:r>
    </w:p>
    <w:p w14:paraId="3A657E74">
      <w:pPr>
        <w:pStyle w:val="25"/>
        <w:snapToGrid w:val="0"/>
        <w:spacing w:before="0" w:beforeAutospacing="0" w:after="0" w:afterAutospacing="0" w:line="360" w:lineRule="auto"/>
        <w:ind w:firstLine="525" w:firstLineChars="250"/>
        <w:jc w:val="both"/>
        <w:rPr>
          <w:rFonts w:hint="default"/>
          <w:color w:val="auto"/>
          <w:sz w:val="21"/>
          <w:highlight w:val="none"/>
        </w:rPr>
      </w:pPr>
      <w:r>
        <w:rPr>
          <w:color w:val="auto"/>
          <w:sz w:val="21"/>
          <w:highlight w:val="none"/>
        </w:rPr>
        <w:t>1、采购人应当自成交通知书发出之日起30个工作日内，按照磋商采购文件确定的合同文本以及采购标的、规格型号、采购金额、采购数量和服务要求等事项签订政府采购合同。</w:t>
      </w:r>
    </w:p>
    <w:p w14:paraId="1E2D3126">
      <w:pPr>
        <w:pStyle w:val="25"/>
        <w:snapToGrid w:val="0"/>
        <w:spacing w:before="0" w:beforeAutospacing="0" w:after="0" w:afterAutospacing="0" w:line="360" w:lineRule="auto"/>
        <w:ind w:firstLine="525" w:firstLineChars="250"/>
        <w:jc w:val="both"/>
        <w:rPr>
          <w:rFonts w:hint="default"/>
          <w:color w:val="auto"/>
          <w:sz w:val="21"/>
          <w:highlight w:val="none"/>
        </w:rPr>
      </w:pPr>
      <w:r>
        <w:rPr>
          <w:color w:val="auto"/>
          <w:sz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BE2F756">
      <w:pPr>
        <w:pStyle w:val="25"/>
        <w:snapToGrid w:val="0"/>
        <w:spacing w:before="0" w:beforeAutospacing="0" w:after="0" w:afterAutospacing="0" w:line="360" w:lineRule="auto"/>
        <w:ind w:firstLine="525" w:firstLineChars="250"/>
        <w:jc w:val="both"/>
        <w:rPr>
          <w:rFonts w:hint="default"/>
          <w:color w:val="auto"/>
          <w:sz w:val="21"/>
          <w:highlight w:val="none"/>
        </w:rPr>
      </w:pPr>
      <w:r>
        <w:rPr>
          <w:color w:val="auto"/>
          <w:sz w:val="21"/>
          <w:highlight w:val="none"/>
        </w:rPr>
        <w:t>3、成交供应商无故拖延、拒签合同的,取消成交资格。</w:t>
      </w:r>
    </w:p>
    <w:p w14:paraId="28D7FB37">
      <w:pPr>
        <w:pStyle w:val="25"/>
        <w:snapToGrid w:val="0"/>
        <w:spacing w:before="0" w:beforeAutospacing="0" w:after="0" w:afterAutospacing="0" w:line="360" w:lineRule="auto"/>
        <w:ind w:firstLine="525" w:firstLineChars="250"/>
        <w:jc w:val="both"/>
        <w:rPr>
          <w:rFonts w:hint="default"/>
          <w:color w:val="auto"/>
          <w:sz w:val="21"/>
          <w:highlight w:val="none"/>
        </w:rPr>
      </w:pPr>
      <w:r>
        <w:rPr>
          <w:color w:val="auto"/>
          <w:sz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CA2E5B1">
      <w:pPr>
        <w:pStyle w:val="25"/>
        <w:snapToGrid w:val="0"/>
        <w:spacing w:before="0" w:beforeAutospacing="0" w:after="0" w:afterAutospacing="0" w:line="360" w:lineRule="auto"/>
        <w:ind w:firstLine="525" w:firstLineChars="250"/>
        <w:jc w:val="both"/>
        <w:rPr>
          <w:rFonts w:hint="default"/>
          <w:color w:val="auto"/>
          <w:sz w:val="21"/>
          <w:highlight w:val="none"/>
        </w:rPr>
      </w:pPr>
      <w:r>
        <w:rPr>
          <w:color w:val="auto"/>
          <w:sz w:val="21"/>
          <w:highlight w:val="none"/>
        </w:rPr>
        <w:t>5、询问或者质疑事项可能影响成交结果的，采购人应当暂停签订合同，已经签订合同的，应当中止履行合同（成交结果的质疑期为成交结果公告期限届满之日起七个工作日）。</w:t>
      </w:r>
    </w:p>
    <w:p w14:paraId="7DFE68FA">
      <w:pPr>
        <w:pStyle w:val="25"/>
        <w:snapToGrid w:val="0"/>
        <w:spacing w:before="0" w:beforeAutospacing="0" w:after="0" w:afterAutospacing="0" w:line="360" w:lineRule="auto"/>
        <w:ind w:firstLine="525" w:firstLineChars="250"/>
        <w:jc w:val="both"/>
        <w:rPr>
          <w:rFonts w:hint="default"/>
          <w:b/>
          <w:color w:val="auto"/>
          <w:sz w:val="21"/>
          <w:highlight w:val="none"/>
        </w:rPr>
      </w:pPr>
      <w:r>
        <w:rPr>
          <w:b/>
          <w:color w:val="auto"/>
          <w:sz w:val="21"/>
          <w:highlight w:val="none"/>
        </w:rPr>
        <w:t>（二）合同公告及备案</w:t>
      </w:r>
    </w:p>
    <w:p w14:paraId="42AE0B68">
      <w:pPr>
        <w:pStyle w:val="25"/>
        <w:snapToGrid w:val="0"/>
        <w:spacing w:before="0" w:beforeAutospacing="0" w:after="0" w:afterAutospacing="0" w:line="360" w:lineRule="auto"/>
        <w:ind w:firstLine="525" w:firstLineChars="250"/>
        <w:jc w:val="both"/>
        <w:rPr>
          <w:rFonts w:hint="default" w:eastAsia="宋体" w:cs="宋体"/>
          <w:b/>
          <w:color w:val="auto"/>
          <w:sz w:val="21"/>
          <w:szCs w:val="21"/>
          <w:highlight w:val="none"/>
        </w:rPr>
      </w:pPr>
      <w:r>
        <w:rPr>
          <w:color w:val="auto"/>
          <w:sz w:val="21"/>
          <w:highlight w:val="none"/>
        </w:rPr>
        <w:t>采购人应当自政府采购合同签订之日起2个工作日内，在省级以上财政部门指定的政府采购信息发布媒体及相关网站上公告。</w:t>
      </w:r>
      <w:bookmarkEnd w:id="53"/>
      <w:bookmarkStart w:id="84" w:name="_Toc173810699"/>
    </w:p>
    <w:p w14:paraId="4F6E8D4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hAnsi="宋体"/>
          <w:b/>
          <w:color w:val="auto"/>
          <w:sz w:val="21"/>
          <w:highlight w:val="none"/>
        </w:rPr>
      </w:pPr>
      <w:bookmarkStart w:id="85" w:name="_Toc12139"/>
      <w:r>
        <w:rPr>
          <w:rFonts w:hint="eastAsia" w:ascii="宋体" w:hAnsi="宋体"/>
          <w:b/>
          <w:color w:val="auto"/>
          <w:sz w:val="21"/>
          <w:highlight w:val="none"/>
        </w:rPr>
        <w:t>七、中标服务费</w:t>
      </w:r>
    </w:p>
    <w:p w14:paraId="6C6D64B0">
      <w:pPr>
        <w:widowControl/>
        <w:snapToGrid w:val="0"/>
        <w:spacing w:before="0" w:beforeAutospacing="0" w:after="0" w:afterAutospacing="0" w:line="360" w:lineRule="auto"/>
        <w:ind w:firstLine="525" w:firstLineChars="25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1、中标人须向招标代理机构按如下标准和规定交纳中标服务费。</w:t>
      </w:r>
    </w:p>
    <w:p w14:paraId="179B0727">
      <w:pPr>
        <w:autoSpaceDE w:val="0"/>
        <w:autoSpaceDN w:val="0"/>
        <w:adjustRightInd w:val="0"/>
        <w:spacing w:line="460" w:lineRule="exact"/>
        <w:ind w:firstLine="630" w:firstLineChars="3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2.本项目代理费用由成交供应商支付，代理服务费按中标价服务类招标费率的70%计取,成交供应商须在领取中标（成交）通知书的同时一次性向代理机构缴清。</w:t>
      </w:r>
    </w:p>
    <w:tbl>
      <w:tblPr>
        <w:tblStyle w:val="27"/>
        <w:tblW w:w="9163" w:type="dxa"/>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5"/>
        <w:gridCol w:w="1625"/>
        <w:gridCol w:w="1613"/>
        <w:gridCol w:w="1700"/>
      </w:tblGrid>
      <w:tr w14:paraId="7952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4225" w:type="dxa"/>
            <w:tcBorders>
              <w:top w:val="single" w:color="000000" w:sz="4" w:space="0"/>
              <w:left w:val="single" w:color="000000" w:sz="4" w:space="0"/>
              <w:bottom w:val="single" w:color="000000" w:sz="4" w:space="0"/>
              <w:right w:val="single" w:color="000000" w:sz="4" w:space="0"/>
            </w:tcBorders>
            <w:noWrap w:val="0"/>
            <w:vAlign w:val="center"/>
          </w:tcPr>
          <w:p w14:paraId="6A108A87">
            <w:pPr>
              <w:keepNext w:val="0"/>
              <w:keepLines w:val="0"/>
              <w:widowControl/>
              <w:suppressLineNumbers w:val="0"/>
              <w:ind w:firstLine="2940" w:firstLineChars="14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highlight w:val="none"/>
                <w:lang w:val="en-US"/>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18415</wp:posOffset>
                      </wp:positionV>
                      <wp:extent cx="2693670" cy="502920"/>
                      <wp:effectExtent l="635" t="4445" r="10795" b="6985"/>
                      <wp:wrapNone/>
                      <wp:docPr id="3" name="直接连接符 3"/>
                      <wp:cNvGraphicFramePr/>
                      <a:graphic xmlns:a="http://schemas.openxmlformats.org/drawingml/2006/main">
                        <a:graphicData uri="http://schemas.microsoft.com/office/word/2010/wordprocessingShape">
                          <wps:wsp>
                            <wps:cNvCnPr/>
                            <wps:spPr>
                              <a:xfrm>
                                <a:off x="0" y="0"/>
                                <a:ext cx="2693670" cy="502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45pt;height:39.6pt;width:212.1pt;z-index:251659264;mso-width-relative:page;mso-height-relative:page;" filled="f" stroked="t" coordsize="21600,21600" o:gfxdata="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j1ANNcAAAAIAQAADwAAAAAAAAABACAAAAAiAAAAZHJzL2Rvd25yZXYu&#10;eG1sUEsBAhQAFAAAAAgAh07iQPa5Ynb8AQAA6QMAAA4AAAAAAAAAAQAgAAAAJgEAAGRycy9lMm9E&#10;b2MueG1sUEsFBgAAAAAGAAYAWQEAAJQFAAAAAA==&#10;">
                      <v:fill on="f" focussize="0,0"/>
                      <v:stroke color="#000000" joinstyle="round"/>
                      <v:imagedata o:title=""/>
                      <o:lock v:ext="edit" aspectratio="f"/>
                    </v:line>
                  </w:pict>
                </mc:Fallback>
              </mc:AlternateContent>
            </w:r>
            <w:r>
              <w:rPr>
                <w:rFonts w:hint="eastAsia" w:ascii="Times New Roman" w:hAnsi="Times New Roman" w:eastAsia="宋体" w:cs="Times New Roman"/>
                <w:color w:val="auto"/>
                <w:sz w:val="21"/>
                <w:highlight w:val="none"/>
                <w:lang w:val="en-US" w:eastAsia="zh-CN"/>
              </w:rPr>
              <w:t>费率</w:t>
            </w:r>
          </w:p>
          <w:p w14:paraId="12562287">
            <w:pPr>
              <w:keepNext w:val="0"/>
              <w:keepLines w:val="0"/>
              <w:widowControl/>
              <w:suppressLineNumbers w:val="0"/>
              <w:ind w:firstLine="1260" w:firstLineChars="600"/>
              <w:jc w:val="left"/>
              <w:textAlignment w:val="center"/>
              <w:rPr>
                <w:rFonts w:hint="eastAsia" w:ascii="宋体" w:hAnsi="宋体" w:eastAsia="宋体" w:cs="宋体"/>
                <w:i w:val="0"/>
                <w:iCs w:val="0"/>
                <w:color w:val="auto"/>
                <w:kern w:val="0"/>
                <w:sz w:val="21"/>
                <w:szCs w:val="21"/>
                <w:highlight w:val="none"/>
                <w:u w:val="none"/>
                <w:lang w:val="en-US" w:eastAsia="zh-CN" w:bidi="ar"/>
              </w:rPr>
            </w:pPr>
          </w:p>
          <w:p w14:paraId="0043A61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中标金额（万元）</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62525F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Cs/>
                <w:color w:val="auto"/>
                <w:sz w:val="21"/>
                <w:szCs w:val="21"/>
                <w:highlight w:val="none"/>
              </w:rPr>
              <w:t>货物招标</w:t>
            </w:r>
          </w:p>
        </w:tc>
        <w:tc>
          <w:tcPr>
            <w:tcW w:w="1613" w:type="dxa"/>
            <w:tcBorders>
              <w:top w:val="single" w:color="000000" w:sz="4" w:space="0"/>
              <w:left w:val="single" w:color="000000" w:sz="4" w:space="0"/>
              <w:bottom w:val="single" w:color="000000" w:sz="4" w:space="0"/>
              <w:right w:val="single" w:color="000000" w:sz="4" w:space="0"/>
            </w:tcBorders>
            <w:noWrap/>
            <w:vAlign w:val="center"/>
          </w:tcPr>
          <w:p w14:paraId="4B330EC4">
            <w:pPr>
              <w:spacing w:line="5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sz w:val="21"/>
                <w:szCs w:val="21"/>
                <w:highlight w:val="none"/>
              </w:rPr>
              <w:t>服务招标</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5285C22B">
            <w:pPr>
              <w:spacing w:line="5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sz w:val="21"/>
                <w:szCs w:val="21"/>
                <w:highlight w:val="none"/>
              </w:rPr>
              <w:t>工程招标</w:t>
            </w:r>
          </w:p>
        </w:tc>
      </w:tr>
      <w:tr w14:paraId="1EE8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25" w:type="dxa"/>
            <w:tcBorders>
              <w:top w:val="single" w:color="000000" w:sz="4" w:space="0"/>
              <w:left w:val="single" w:color="000000" w:sz="4" w:space="0"/>
              <w:bottom w:val="single" w:color="000000" w:sz="4" w:space="0"/>
              <w:right w:val="single" w:color="000000" w:sz="4" w:space="0"/>
            </w:tcBorders>
            <w:noWrap w:val="0"/>
            <w:vAlign w:val="center"/>
          </w:tcPr>
          <w:p w14:paraId="51327C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100以下（含100）</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C7D6B8D">
            <w:pPr>
              <w:spacing w:line="500" w:lineRule="exact"/>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Cs/>
                <w:color w:val="auto"/>
                <w:sz w:val="21"/>
                <w:szCs w:val="21"/>
                <w:highlight w:val="none"/>
              </w:rPr>
              <w:t>1.5%</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14:paraId="24B405F4">
            <w:pPr>
              <w:spacing w:line="5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sz w:val="21"/>
                <w:szCs w:val="21"/>
                <w:highlight w:val="none"/>
              </w:rPr>
              <w:t>1.5%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FA3F368">
            <w:pPr>
              <w:spacing w:line="5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sz w:val="21"/>
                <w:szCs w:val="21"/>
                <w:highlight w:val="none"/>
              </w:rPr>
              <w:t>1.0%</w:t>
            </w:r>
          </w:p>
        </w:tc>
      </w:tr>
      <w:tr w14:paraId="2FA4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25" w:type="dxa"/>
            <w:tcBorders>
              <w:top w:val="single" w:color="000000" w:sz="4" w:space="0"/>
              <w:left w:val="single" w:color="000000" w:sz="4" w:space="0"/>
              <w:bottom w:val="single" w:color="000000" w:sz="4" w:space="0"/>
              <w:right w:val="single" w:color="000000" w:sz="4" w:space="0"/>
            </w:tcBorders>
            <w:noWrap w:val="0"/>
            <w:vAlign w:val="center"/>
          </w:tcPr>
          <w:p w14:paraId="74A062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100-500（含500）</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793C6FD">
            <w:pPr>
              <w:spacing w:line="500" w:lineRule="exact"/>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Cs/>
                <w:color w:val="auto"/>
                <w:sz w:val="21"/>
                <w:szCs w:val="21"/>
                <w:highlight w:val="none"/>
              </w:rPr>
              <w:t>1.1%</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14:paraId="31392449">
            <w:pPr>
              <w:spacing w:line="5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sz w:val="21"/>
                <w:szCs w:val="21"/>
                <w:highlight w:val="none"/>
              </w:rPr>
              <w:t>0.8%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29A1351">
            <w:pPr>
              <w:spacing w:line="5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sz w:val="21"/>
                <w:szCs w:val="21"/>
                <w:highlight w:val="none"/>
              </w:rPr>
              <w:t>0.7%</w:t>
            </w:r>
          </w:p>
        </w:tc>
      </w:tr>
      <w:tr w14:paraId="384A9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25" w:type="dxa"/>
            <w:tcBorders>
              <w:top w:val="single" w:color="000000" w:sz="4" w:space="0"/>
              <w:left w:val="single" w:color="000000" w:sz="4" w:space="0"/>
              <w:bottom w:val="single" w:color="000000" w:sz="4" w:space="0"/>
              <w:right w:val="single" w:color="000000" w:sz="4" w:space="0"/>
            </w:tcBorders>
            <w:noWrap/>
            <w:vAlign w:val="center"/>
          </w:tcPr>
          <w:p w14:paraId="27310C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500-1000（含1000）</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6A969447">
            <w:pPr>
              <w:spacing w:line="500" w:lineRule="exact"/>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Cs/>
                <w:color w:val="auto"/>
                <w:sz w:val="21"/>
                <w:szCs w:val="21"/>
                <w:highlight w:val="none"/>
              </w:rPr>
              <w:t>0.8%</w:t>
            </w:r>
          </w:p>
        </w:tc>
        <w:tc>
          <w:tcPr>
            <w:tcW w:w="1613" w:type="dxa"/>
            <w:tcBorders>
              <w:top w:val="single" w:color="000000" w:sz="4" w:space="0"/>
              <w:left w:val="single" w:color="000000" w:sz="4" w:space="0"/>
              <w:bottom w:val="single" w:color="000000" w:sz="4" w:space="0"/>
              <w:right w:val="single" w:color="000000" w:sz="4" w:space="0"/>
            </w:tcBorders>
            <w:noWrap/>
            <w:vAlign w:val="center"/>
          </w:tcPr>
          <w:p w14:paraId="7F4FA50A">
            <w:pPr>
              <w:spacing w:line="5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sz w:val="21"/>
                <w:szCs w:val="21"/>
                <w:highlight w:val="none"/>
              </w:rPr>
              <w:t>0.45%</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616E2F62">
            <w:pPr>
              <w:spacing w:line="5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sz w:val="21"/>
                <w:szCs w:val="21"/>
                <w:highlight w:val="none"/>
              </w:rPr>
              <w:t>0.55%</w:t>
            </w:r>
          </w:p>
        </w:tc>
      </w:tr>
    </w:tbl>
    <w:p w14:paraId="20BBDBB7">
      <w:pPr>
        <w:pStyle w:val="15"/>
        <w:snapToGrid w:val="0"/>
        <w:spacing w:before="120" w:after="120" w:line="360" w:lineRule="exact"/>
        <w:jc w:val="center"/>
        <w:outlineLvl w:val="0"/>
        <w:rPr>
          <w:rFonts w:ascii="黑体" w:hAnsi="宋体" w:eastAsia="黑体"/>
          <w:color w:val="auto"/>
          <w:sz w:val="30"/>
          <w:szCs w:val="30"/>
          <w:highlight w:val="none"/>
        </w:rPr>
      </w:pP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br w:type="page"/>
      </w:r>
    </w:p>
    <w:p w14:paraId="1296476C">
      <w:pPr>
        <w:pStyle w:val="15"/>
        <w:snapToGrid w:val="0"/>
        <w:spacing w:before="120" w:after="120" w:line="360" w:lineRule="exact"/>
        <w:jc w:val="center"/>
        <w:outlineLvl w:val="0"/>
        <w:rPr>
          <w:rFonts w:ascii="黑体" w:hAnsi="宋体" w:eastAsia="黑体"/>
          <w:color w:val="auto"/>
          <w:sz w:val="30"/>
          <w:szCs w:val="30"/>
          <w:highlight w:val="none"/>
        </w:rPr>
      </w:pPr>
      <w:r>
        <w:rPr>
          <w:rFonts w:hint="eastAsia" w:ascii="黑体" w:hAnsi="宋体" w:eastAsia="黑体"/>
          <w:color w:val="auto"/>
          <w:sz w:val="30"/>
          <w:szCs w:val="30"/>
          <w:highlight w:val="none"/>
        </w:rPr>
        <w:t>第四部分   评标办法及评分标准</w:t>
      </w:r>
      <w:bookmarkEnd w:id="85"/>
    </w:p>
    <w:p w14:paraId="1A1D4260">
      <w:pPr>
        <w:snapToGrid w:val="0"/>
        <w:spacing w:line="360" w:lineRule="auto"/>
        <w:ind w:firstLine="420"/>
        <w:rPr>
          <w:rFonts w:ascii="宋体" w:hAnsi="宋体" w:eastAsia="宋体" w:cs="宋体"/>
          <w:b/>
          <w:i/>
          <w:color w:val="auto"/>
          <w:sz w:val="21"/>
          <w:szCs w:val="21"/>
          <w:highlight w:val="none"/>
        </w:rPr>
      </w:pPr>
      <w:r>
        <w:rPr>
          <w:rFonts w:hint="eastAsia" w:ascii="宋体" w:hAnsi="宋体" w:eastAsia="宋体" w:cs="宋体"/>
          <w:color w:val="auto"/>
          <w:sz w:val="21"/>
          <w:szCs w:val="21"/>
          <w:highlight w:val="none"/>
        </w:rPr>
        <w:t xml:space="preserve">一、采购组织机构将组织磋商小组，对供应商提供的响应文件进行综合评审。   </w:t>
      </w:r>
    </w:p>
    <w:p w14:paraId="4B198C5A">
      <w:pPr>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二、本次磋商项目的评审方法为</w:t>
      </w:r>
      <w:r>
        <w:rPr>
          <w:rFonts w:hint="eastAsia" w:ascii="宋体" w:hAnsi="宋体" w:eastAsia="宋体" w:cs="宋体"/>
          <w:b/>
          <w:color w:val="auto"/>
          <w:sz w:val="21"/>
          <w:szCs w:val="21"/>
          <w:highlight w:val="none"/>
        </w:rPr>
        <w:t>综合评分法</w:t>
      </w:r>
      <w:r>
        <w:rPr>
          <w:rFonts w:hint="eastAsia" w:ascii="宋体" w:hAnsi="宋体" w:eastAsia="宋体" w:cs="宋体"/>
          <w:color w:val="auto"/>
          <w:sz w:val="21"/>
          <w:szCs w:val="21"/>
          <w:highlight w:val="none"/>
        </w:rPr>
        <w:t>，总计100分</w:t>
      </w:r>
      <w:r>
        <w:rPr>
          <w:rFonts w:hint="eastAsia" w:ascii="宋体" w:hAnsi="宋体" w:eastAsia="宋体" w:cs="宋体"/>
          <w:bCs/>
          <w:color w:val="auto"/>
          <w:sz w:val="21"/>
          <w:szCs w:val="21"/>
          <w:highlight w:val="none"/>
          <w:lang w:val="zh-CN"/>
        </w:rPr>
        <w:t>(商务与技术文件为</w:t>
      </w:r>
      <w:r>
        <w:rPr>
          <w:rFonts w:hint="eastAsia" w:ascii="宋体" w:hAnsi="宋体" w:eastAsia="宋体" w:cs="宋体"/>
          <w:b/>
          <w:bCs/>
          <w:color w:val="auto"/>
          <w:sz w:val="21"/>
          <w:szCs w:val="21"/>
          <w:highlight w:val="none"/>
        </w:rPr>
        <w:t>80</w:t>
      </w:r>
      <w:r>
        <w:rPr>
          <w:rFonts w:hint="eastAsia" w:ascii="宋体" w:hAnsi="宋体" w:eastAsia="宋体" w:cs="宋体"/>
          <w:bCs/>
          <w:color w:val="auto"/>
          <w:sz w:val="21"/>
          <w:szCs w:val="21"/>
          <w:highlight w:val="none"/>
          <w:lang w:val="zh-CN"/>
        </w:rPr>
        <w:t>分，报价文件为</w:t>
      </w:r>
      <w:r>
        <w:rPr>
          <w:rFonts w:hint="eastAsia" w:ascii="宋体" w:hAnsi="宋体" w:eastAsia="宋体" w:cs="宋体"/>
          <w:b/>
          <w:bCs/>
          <w:color w:val="auto"/>
          <w:sz w:val="21"/>
          <w:szCs w:val="21"/>
          <w:highlight w:val="none"/>
        </w:rPr>
        <w:t>20</w:t>
      </w:r>
      <w:r>
        <w:rPr>
          <w:rFonts w:hint="eastAsia" w:ascii="宋体" w:hAnsi="宋体" w:eastAsia="宋体" w:cs="宋体"/>
          <w:bCs/>
          <w:color w:val="auto"/>
          <w:sz w:val="21"/>
          <w:szCs w:val="21"/>
          <w:highlight w:val="none"/>
          <w:lang w:val="zh-CN"/>
        </w:rPr>
        <w:t>分)</w:t>
      </w:r>
      <w:r>
        <w:rPr>
          <w:rFonts w:hint="eastAsia" w:ascii="宋体" w:hAnsi="宋体" w:eastAsia="宋体" w:cs="宋体"/>
          <w:color w:val="auto"/>
          <w:sz w:val="21"/>
          <w:szCs w:val="21"/>
          <w:highlight w:val="none"/>
        </w:rPr>
        <w:t>。</w:t>
      </w:r>
    </w:p>
    <w:p w14:paraId="4E174C67">
      <w:pPr>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zh-CN"/>
        </w:rPr>
        <w:t>商务与技术文件中的客观分由磋商小组在规定的分值内单独评定，评分结果不一致时，经磋商小组讨论后统一打分；其余在规定的分值内单独评定打分</w:t>
      </w:r>
      <w:r>
        <w:rPr>
          <w:rFonts w:hint="eastAsia" w:ascii="宋体" w:hAnsi="宋体" w:eastAsia="宋体" w:cs="宋体"/>
          <w:color w:val="auto"/>
          <w:sz w:val="21"/>
          <w:szCs w:val="21"/>
          <w:highlight w:val="none"/>
        </w:rPr>
        <w:t>。</w:t>
      </w:r>
    </w:p>
    <w:p w14:paraId="6E7AEBFF">
      <w:pPr>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（二）各磋商供应商商务与技术文件得分按照磋商小组成员的独立评分结果汇总后的算术平均分计算，计算公式为：</w:t>
      </w:r>
    </w:p>
    <w:p w14:paraId="2789DB34">
      <w:pPr>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商务与技术文件得分=磋商小组所有成员评分合计数/磋商小组组成人员数。</w:t>
      </w:r>
    </w:p>
    <w:p w14:paraId="501E8A81">
      <w:pPr>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（三）综合评分法中的价格分统一采用低价优先法计算，即满足磋商文件要求且最终报价最低的供应商的价格作为磋商基准价，其报价得满分。其他供应商的价格分统一按照下列公式计算：</w:t>
      </w:r>
    </w:p>
    <w:p w14:paraId="6D829E72">
      <w:pPr>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磋商报价得分=(磋商基准价／最终磋商报价)×20%×100 。</w:t>
      </w:r>
    </w:p>
    <w:p w14:paraId="36642FE6">
      <w:pPr>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注：评分过程中采用四舍五入法，并保留小数2位（以政采云系统计算为准）。</w:t>
      </w:r>
    </w:p>
    <w:p w14:paraId="66706310">
      <w:pPr>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三、在最大限度地满足磋商文件实质性要求前提下，磋商小组按照磋商文件中规定的各项因素进行综合评审后，以评审总得分最高的供应商为成交候选供应商。</w:t>
      </w:r>
    </w:p>
    <w:p w14:paraId="01F487C7">
      <w:pPr>
        <w:snapToGrid w:val="0"/>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按评审后综合得分由高到低顺序排列。综合得分相同的，按磋商报价由低到高顺序排列；综合得分且磋商报价相同的，按技术分得分由高到低顺序排列。排名第一的供应商为第一中标候选人，排名第二的供应商为第二中标候选人，并以此类推（如有效供应商超过三家，原则上推荐三家）。</w:t>
      </w:r>
    </w:p>
    <w:p w14:paraId="23E25A58">
      <w:pPr>
        <w:widowControl/>
        <w:spacing w:line="360" w:lineRule="exact"/>
        <w:ind w:firstLine="422" w:firstLineChars="200"/>
        <w:jc w:val="lef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①本项目按标项依次开标，各供应商可参与任一标项或多个标项投标，但最多只能成为其中一个标项的第一中标候选人，若供应商已在之前任一标项中成为第一中标候选人，则将不参加后续标项评审，也不会在后续标项中被推荐为中标候选人。</w:t>
      </w:r>
    </w:p>
    <w:p w14:paraId="413D773B">
      <w:pPr>
        <w:widowControl/>
        <w:spacing w:line="360" w:lineRule="exact"/>
        <w:ind w:firstLine="422" w:firstLineChars="200"/>
        <w:jc w:val="left"/>
        <w:rPr>
          <w:color w:val="auto"/>
          <w:highlight w:val="none"/>
        </w:rPr>
      </w:pPr>
      <w:r>
        <w:rPr>
          <w:rFonts w:hint="eastAsia" w:ascii="宋体" w:hAnsi="宋体" w:eastAsia="宋体" w:cs="宋体"/>
          <w:b/>
          <w:bCs/>
          <w:color w:val="auto"/>
          <w:sz w:val="21"/>
          <w:szCs w:val="21"/>
          <w:highlight w:val="none"/>
        </w:rPr>
        <w:t>②除了已成为前面任一标项的第一中标候选人的供应商外，各标项提交投标文件供应商或实质性响应供应商的家数须满足至少三家才可继续采购活动，否则该标项将作废标处理。</w:t>
      </w:r>
    </w:p>
    <w:p w14:paraId="5BE40063">
      <w:pPr>
        <w:autoSpaceDE w:val="0"/>
        <w:autoSpaceDN w:val="0"/>
        <w:adjustRightInd w:val="0"/>
        <w:snapToGrid w:val="0"/>
        <w:spacing w:line="360"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五、本次评分具体分值细化条款如下表</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标项1、标项2）:</w:t>
      </w:r>
    </w:p>
    <w:p w14:paraId="1D361329">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27"/>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918"/>
        <w:gridCol w:w="6449"/>
        <w:gridCol w:w="888"/>
      </w:tblGrid>
      <w:tr w14:paraId="2682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4" w:type="dxa"/>
            <w:vAlign w:val="center"/>
          </w:tcPr>
          <w:p w14:paraId="038CE115">
            <w:pPr>
              <w:jc w:val="center"/>
              <w:rPr>
                <w:rFonts w:ascii="宋体" w:cs="宋体"/>
                <w:b/>
                <w:bCs/>
                <w:color w:val="auto"/>
                <w:sz w:val="21"/>
                <w:szCs w:val="21"/>
                <w:highlight w:val="none"/>
              </w:rPr>
            </w:pPr>
            <w:r>
              <w:rPr>
                <w:rFonts w:hint="eastAsia" w:ascii="宋体" w:hAnsi="宋体" w:cs="宋体"/>
                <w:b/>
                <w:bCs/>
                <w:color w:val="auto"/>
                <w:sz w:val="21"/>
                <w:szCs w:val="21"/>
                <w:highlight w:val="none"/>
              </w:rPr>
              <w:t>序号</w:t>
            </w:r>
          </w:p>
        </w:tc>
        <w:tc>
          <w:tcPr>
            <w:tcW w:w="1918" w:type="dxa"/>
            <w:vAlign w:val="center"/>
          </w:tcPr>
          <w:p w14:paraId="0CBFA8F8">
            <w:pPr>
              <w:pStyle w:val="23"/>
              <w:ind w:left="720"/>
              <w:jc w:val="center"/>
              <w:rPr>
                <w:rFonts w:ascii="宋体" w:cs="宋体"/>
                <w:b/>
                <w:bCs/>
                <w:color w:val="auto"/>
                <w:sz w:val="21"/>
                <w:szCs w:val="21"/>
                <w:highlight w:val="none"/>
              </w:rPr>
            </w:pPr>
            <w:r>
              <w:rPr>
                <w:rFonts w:hint="eastAsia" w:ascii="宋体" w:hAnsi="宋体" w:cs="宋体"/>
                <w:b/>
                <w:bCs/>
                <w:color w:val="auto"/>
                <w:sz w:val="21"/>
                <w:szCs w:val="21"/>
                <w:highlight w:val="none"/>
              </w:rPr>
              <w:t>评审内容</w:t>
            </w:r>
          </w:p>
        </w:tc>
        <w:tc>
          <w:tcPr>
            <w:tcW w:w="6449" w:type="dxa"/>
            <w:vAlign w:val="center"/>
          </w:tcPr>
          <w:p w14:paraId="7AA95B35">
            <w:pPr>
              <w:pStyle w:val="23"/>
              <w:ind w:left="720" w:firstLine="482"/>
              <w:jc w:val="center"/>
              <w:rPr>
                <w:rFonts w:ascii="宋体" w:cs="宋体"/>
                <w:b/>
                <w:bCs/>
                <w:color w:val="auto"/>
                <w:sz w:val="21"/>
                <w:szCs w:val="21"/>
                <w:highlight w:val="none"/>
              </w:rPr>
            </w:pPr>
            <w:r>
              <w:rPr>
                <w:rFonts w:hint="eastAsia" w:ascii="宋体" w:hAnsi="宋体" w:cs="宋体"/>
                <w:b/>
                <w:bCs/>
                <w:color w:val="auto"/>
                <w:sz w:val="21"/>
                <w:szCs w:val="21"/>
                <w:highlight w:val="none"/>
              </w:rPr>
              <w:t>评分标准</w:t>
            </w:r>
          </w:p>
        </w:tc>
        <w:tc>
          <w:tcPr>
            <w:tcW w:w="888" w:type="dxa"/>
            <w:vAlign w:val="center"/>
          </w:tcPr>
          <w:p w14:paraId="41BE10CD">
            <w:pPr>
              <w:pStyle w:val="23"/>
              <w:ind w:left="0" w:leftChars="0"/>
              <w:jc w:val="center"/>
              <w:rPr>
                <w:rFonts w:ascii="宋体" w:cs="宋体"/>
                <w:b/>
                <w:bCs/>
                <w:color w:val="auto"/>
                <w:sz w:val="21"/>
                <w:szCs w:val="21"/>
                <w:highlight w:val="none"/>
              </w:rPr>
            </w:pPr>
            <w:r>
              <w:rPr>
                <w:rFonts w:hint="eastAsia" w:ascii="宋体" w:hAnsi="宋体" w:cs="宋体"/>
                <w:b/>
                <w:bCs/>
                <w:color w:val="auto"/>
                <w:sz w:val="21"/>
                <w:szCs w:val="21"/>
                <w:highlight w:val="none"/>
              </w:rPr>
              <w:t>分值</w:t>
            </w:r>
          </w:p>
        </w:tc>
      </w:tr>
      <w:tr w14:paraId="4EC3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9151" w:type="dxa"/>
            <w:gridSpan w:val="3"/>
            <w:vAlign w:val="center"/>
          </w:tcPr>
          <w:p w14:paraId="4C333EDD">
            <w:pPr>
              <w:pStyle w:val="23"/>
              <w:ind w:left="720" w:firstLine="3362" w:firstLineChars="1600"/>
              <w:rPr>
                <w:rFonts w:ascii="宋体" w:cs="宋体"/>
                <w:b/>
                <w:color w:val="auto"/>
                <w:sz w:val="21"/>
                <w:szCs w:val="21"/>
                <w:highlight w:val="none"/>
              </w:rPr>
            </w:pPr>
            <w:r>
              <w:rPr>
                <w:rFonts w:hint="eastAsia" w:ascii="宋体" w:hAnsi="宋体" w:cs="宋体"/>
                <w:b/>
                <w:color w:val="auto"/>
                <w:sz w:val="21"/>
                <w:szCs w:val="21"/>
                <w:highlight w:val="none"/>
              </w:rPr>
              <w:t>一、</w:t>
            </w:r>
            <w:r>
              <w:rPr>
                <w:rFonts w:hint="eastAsia" w:ascii="宋体" w:hAnsi="宋体" w:cs="宋体"/>
                <w:b/>
                <w:bCs/>
                <w:color w:val="auto"/>
                <w:sz w:val="21"/>
                <w:szCs w:val="21"/>
                <w:highlight w:val="none"/>
              </w:rPr>
              <w:t>商务资信分</w:t>
            </w:r>
          </w:p>
        </w:tc>
        <w:tc>
          <w:tcPr>
            <w:tcW w:w="888" w:type="dxa"/>
            <w:vAlign w:val="center"/>
          </w:tcPr>
          <w:p w14:paraId="4EDFBF37">
            <w:pPr>
              <w:pStyle w:val="23"/>
              <w:ind w:left="0" w:leftChars="0"/>
              <w:jc w:val="center"/>
              <w:rPr>
                <w:rFonts w:ascii="宋体" w:cs="宋体"/>
                <w:b/>
                <w:color w:val="auto"/>
                <w:sz w:val="21"/>
                <w:szCs w:val="21"/>
                <w:highlight w:val="none"/>
              </w:rPr>
            </w:pPr>
            <w:r>
              <w:rPr>
                <w:rFonts w:hint="eastAsia" w:ascii="宋体" w:hAnsi="宋体" w:eastAsia="宋体" w:cs="宋体"/>
                <w:b/>
                <w:color w:val="auto"/>
                <w:sz w:val="21"/>
                <w:szCs w:val="21"/>
                <w:highlight w:val="none"/>
              </w:rPr>
              <w:t>17</w:t>
            </w:r>
            <w:r>
              <w:rPr>
                <w:rFonts w:hint="eastAsia" w:ascii="宋体" w:hAnsi="宋体" w:cs="宋体"/>
                <w:b/>
                <w:color w:val="auto"/>
                <w:sz w:val="21"/>
                <w:szCs w:val="21"/>
                <w:highlight w:val="none"/>
              </w:rPr>
              <w:t>分</w:t>
            </w:r>
          </w:p>
        </w:tc>
      </w:tr>
      <w:tr w14:paraId="1262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784" w:type="dxa"/>
            <w:vAlign w:val="center"/>
          </w:tcPr>
          <w:p w14:paraId="49FCB4CD">
            <w:pPr>
              <w:widowControl/>
              <w:jc w:val="center"/>
              <w:rPr>
                <w:rFonts w:ascii="宋体" w:cs="宋体"/>
                <w:color w:val="auto"/>
                <w:sz w:val="21"/>
                <w:szCs w:val="21"/>
                <w:highlight w:val="none"/>
              </w:rPr>
            </w:pPr>
            <w:r>
              <w:rPr>
                <w:rFonts w:ascii="宋体" w:hAnsi="宋体" w:cs="宋体"/>
                <w:color w:val="auto"/>
                <w:sz w:val="21"/>
                <w:szCs w:val="21"/>
                <w:highlight w:val="none"/>
              </w:rPr>
              <w:t>1</w:t>
            </w:r>
          </w:p>
        </w:tc>
        <w:tc>
          <w:tcPr>
            <w:tcW w:w="1918" w:type="dxa"/>
            <w:vAlign w:val="center"/>
          </w:tcPr>
          <w:p w14:paraId="2551A272">
            <w:pPr>
              <w:pStyle w:val="23"/>
              <w:ind w:left="0" w:leftChars="0" w:firstLine="420" w:firstLineChars="200"/>
              <w:rPr>
                <w:rFonts w:ascii="宋体" w:cs="宋体"/>
                <w:color w:val="auto"/>
                <w:sz w:val="21"/>
                <w:szCs w:val="21"/>
                <w:highlight w:val="none"/>
              </w:rPr>
            </w:pPr>
            <w:r>
              <w:rPr>
                <w:rFonts w:hint="eastAsia" w:ascii="宋体" w:hAnsi="宋体" w:cs="宋体"/>
                <w:color w:val="auto"/>
                <w:sz w:val="21"/>
                <w:szCs w:val="21"/>
                <w:highlight w:val="none"/>
              </w:rPr>
              <w:t>标书质量</w:t>
            </w:r>
          </w:p>
        </w:tc>
        <w:tc>
          <w:tcPr>
            <w:tcW w:w="6449" w:type="dxa"/>
            <w:vAlign w:val="center"/>
          </w:tcPr>
          <w:p w14:paraId="03A80999">
            <w:pPr>
              <w:rPr>
                <w:rFonts w:ascii="宋体" w:cs="宋体"/>
                <w:b/>
                <w:color w:val="auto"/>
                <w:sz w:val="21"/>
                <w:szCs w:val="21"/>
                <w:highlight w:val="none"/>
              </w:rPr>
            </w:pPr>
            <w:r>
              <w:rPr>
                <w:rFonts w:hint="eastAsia" w:ascii="宋体"/>
                <w:color w:val="auto"/>
                <w:sz w:val="21"/>
                <w:szCs w:val="21"/>
                <w:highlight w:val="none"/>
              </w:rPr>
              <w:t>根据磋商响应文件编制是否完整、电子磋商响应文件关联点设置是否定位准确、磋商响应文件内容简洁明确程度及针对性等情况酌情评分，最高得</w:t>
            </w:r>
            <w:r>
              <w:rPr>
                <w:rFonts w:ascii="宋体"/>
                <w:color w:val="auto"/>
                <w:sz w:val="21"/>
                <w:szCs w:val="21"/>
                <w:highlight w:val="none"/>
              </w:rPr>
              <w:t>2</w:t>
            </w:r>
            <w:r>
              <w:rPr>
                <w:rFonts w:hint="eastAsia" w:ascii="宋体"/>
                <w:color w:val="auto"/>
                <w:sz w:val="21"/>
                <w:szCs w:val="21"/>
                <w:highlight w:val="none"/>
              </w:rPr>
              <w:t>分；磋商响应文件有关内容前后矛盾、与采购文件要求不一致等，评审小组允许且需要通过询标等程序进行澄清的，该项不得分。</w:t>
            </w:r>
          </w:p>
        </w:tc>
        <w:tc>
          <w:tcPr>
            <w:tcW w:w="888" w:type="dxa"/>
            <w:vAlign w:val="center"/>
          </w:tcPr>
          <w:p w14:paraId="07F662D8">
            <w:pPr>
              <w:pStyle w:val="23"/>
              <w:ind w:left="0" w:leftChars="0"/>
              <w:jc w:val="center"/>
              <w:rPr>
                <w:rFonts w:ascii="宋体" w:cs="宋体"/>
                <w:color w:val="auto"/>
                <w:sz w:val="21"/>
                <w:szCs w:val="21"/>
                <w:highlight w:val="none"/>
              </w:rPr>
            </w:pPr>
            <w:r>
              <w:rPr>
                <w:rFonts w:ascii="宋体" w:hAnsi="宋体" w:cs="宋体"/>
                <w:color w:val="auto"/>
                <w:sz w:val="21"/>
                <w:szCs w:val="21"/>
                <w:highlight w:val="none"/>
              </w:rPr>
              <w:t>2</w:t>
            </w:r>
          </w:p>
        </w:tc>
      </w:tr>
      <w:tr w14:paraId="0E59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784" w:type="dxa"/>
            <w:vAlign w:val="center"/>
          </w:tcPr>
          <w:p w14:paraId="3EBB37E6">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918" w:type="dxa"/>
            <w:vAlign w:val="center"/>
          </w:tcPr>
          <w:p w14:paraId="7D258E4A">
            <w:pPr>
              <w:pStyle w:val="23"/>
              <w:ind w:left="0" w:leftChars="0"/>
              <w:jc w:val="center"/>
              <w:rPr>
                <w:rFonts w:ascii="宋体" w:hAnsi="宋体" w:cs="宋体"/>
                <w:color w:val="auto"/>
                <w:sz w:val="21"/>
                <w:szCs w:val="21"/>
                <w:highlight w:val="none"/>
              </w:rPr>
            </w:pPr>
            <w:r>
              <w:rPr>
                <w:rFonts w:hint="eastAsia" w:ascii="宋体" w:hAnsi="宋体" w:eastAsia="宋体" w:cs="宋体"/>
                <w:color w:val="auto"/>
                <w:sz w:val="21"/>
                <w:szCs w:val="21"/>
                <w:highlight w:val="none"/>
              </w:rPr>
              <w:t>管理体系认证</w:t>
            </w:r>
          </w:p>
        </w:tc>
        <w:tc>
          <w:tcPr>
            <w:tcW w:w="6449" w:type="dxa"/>
            <w:vAlign w:val="center"/>
          </w:tcPr>
          <w:p w14:paraId="5E878FE4">
            <w:pP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供应商提供有效期内职业健康安全管理体系认证证书、质量管理体系认证证书、环境体系认证证书且认证范围内具有绿化养护或园林绿化的每个得1分。最高得3分</w:t>
            </w:r>
            <w:r>
              <w:rPr>
                <w:rFonts w:hint="eastAsia" w:ascii="宋体" w:hAnsi="宋体" w:cs="宋体"/>
                <w:bCs/>
                <w:color w:val="auto"/>
                <w:sz w:val="21"/>
                <w:szCs w:val="21"/>
                <w:highlight w:val="none"/>
              </w:rPr>
              <w:t>。</w:t>
            </w:r>
          </w:p>
          <w:p w14:paraId="3DD16F09">
            <w:pPr>
              <w:rPr>
                <w:rFonts w:ascii="宋体"/>
                <w:color w:val="auto"/>
                <w:sz w:val="21"/>
                <w:szCs w:val="21"/>
                <w:highlight w:val="none"/>
              </w:rPr>
            </w:pPr>
            <w:r>
              <w:rPr>
                <w:rFonts w:hint="eastAsia" w:ascii="宋体" w:hAnsi="宋体" w:eastAsia="宋体" w:cs="宋体"/>
                <w:b/>
                <w:bCs/>
                <w:color w:val="auto"/>
                <w:sz w:val="21"/>
                <w:szCs w:val="21"/>
                <w:highlight w:val="none"/>
              </w:rPr>
              <w:t>注：所有证书须在有效期内，证书复印件编入商务与技术文件，否则不得分。</w:t>
            </w:r>
          </w:p>
        </w:tc>
        <w:tc>
          <w:tcPr>
            <w:tcW w:w="888" w:type="dxa"/>
            <w:vAlign w:val="center"/>
          </w:tcPr>
          <w:p w14:paraId="4790E380">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r>
      <w:tr w14:paraId="037F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784" w:type="dxa"/>
            <w:vAlign w:val="center"/>
          </w:tcPr>
          <w:p w14:paraId="2ADBFFD5">
            <w:pPr>
              <w:widowControl/>
              <w:jc w:val="center"/>
              <w:rPr>
                <w:rFonts w:asci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18" w:type="dxa"/>
            <w:vAlign w:val="center"/>
          </w:tcPr>
          <w:p w14:paraId="5214C0A6">
            <w:pPr>
              <w:pStyle w:val="23"/>
              <w:ind w:left="0" w:leftChars="0" w:firstLine="210" w:firstLineChars="100"/>
              <w:jc w:val="left"/>
              <w:rPr>
                <w:rFonts w:ascii="宋体" w:cs="宋体"/>
                <w:color w:val="auto"/>
                <w:sz w:val="21"/>
                <w:szCs w:val="21"/>
                <w:highlight w:val="none"/>
              </w:rPr>
            </w:pPr>
            <w:r>
              <w:rPr>
                <w:rFonts w:hint="eastAsia" w:ascii="宋体" w:cs="宋体"/>
                <w:color w:val="auto"/>
                <w:sz w:val="21"/>
                <w:szCs w:val="21"/>
                <w:highlight w:val="none"/>
              </w:rPr>
              <w:t>类似项目</w:t>
            </w:r>
            <w:r>
              <w:rPr>
                <w:rFonts w:hint="eastAsia" w:ascii="宋体" w:hAnsi="宋体" w:cs="宋体"/>
                <w:color w:val="auto"/>
                <w:sz w:val="21"/>
                <w:szCs w:val="21"/>
                <w:highlight w:val="none"/>
              </w:rPr>
              <w:t>业绩</w:t>
            </w:r>
          </w:p>
        </w:tc>
        <w:tc>
          <w:tcPr>
            <w:tcW w:w="6449" w:type="dxa"/>
            <w:vAlign w:val="center"/>
          </w:tcPr>
          <w:p w14:paraId="5395429D">
            <w:pPr>
              <w:rPr>
                <w:rFonts w:ascii="宋体"/>
                <w:color w:val="auto"/>
                <w:sz w:val="21"/>
                <w:szCs w:val="21"/>
                <w:highlight w:val="none"/>
              </w:rPr>
            </w:pPr>
            <w:r>
              <w:rPr>
                <w:rFonts w:hint="eastAsia" w:ascii="宋体" w:eastAsia="宋体"/>
                <w:color w:val="auto"/>
                <w:sz w:val="21"/>
                <w:szCs w:val="21"/>
                <w:highlight w:val="none"/>
              </w:rPr>
              <w:t>投标人</w:t>
            </w:r>
            <w:r>
              <w:rPr>
                <w:rFonts w:hint="eastAsia" w:ascii="宋体"/>
                <w:color w:val="auto"/>
                <w:sz w:val="21"/>
                <w:szCs w:val="21"/>
                <w:highlight w:val="none"/>
              </w:rPr>
              <w:t>自</w:t>
            </w:r>
            <w:r>
              <w:rPr>
                <w:rFonts w:ascii="宋体"/>
                <w:color w:val="auto"/>
                <w:sz w:val="21"/>
                <w:szCs w:val="21"/>
                <w:highlight w:val="none"/>
              </w:rPr>
              <w:t>20</w:t>
            </w:r>
            <w:r>
              <w:rPr>
                <w:rFonts w:hint="eastAsia" w:ascii="宋体" w:eastAsia="宋体"/>
                <w:color w:val="auto"/>
                <w:sz w:val="21"/>
                <w:szCs w:val="21"/>
                <w:highlight w:val="none"/>
              </w:rPr>
              <w:t>2</w:t>
            </w:r>
            <w:r>
              <w:rPr>
                <w:rFonts w:hint="eastAsia" w:ascii="宋体" w:eastAsia="宋体"/>
                <w:color w:val="auto"/>
                <w:sz w:val="21"/>
                <w:szCs w:val="21"/>
                <w:highlight w:val="none"/>
                <w:lang w:val="en-US" w:eastAsia="zh-CN"/>
              </w:rPr>
              <w:t>1</w:t>
            </w:r>
            <w:r>
              <w:rPr>
                <w:rFonts w:hint="eastAsia" w:ascii="宋体"/>
                <w:color w:val="auto"/>
                <w:sz w:val="21"/>
                <w:szCs w:val="21"/>
                <w:highlight w:val="none"/>
              </w:rPr>
              <w:t>年</w:t>
            </w:r>
            <w:r>
              <w:rPr>
                <w:rFonts w:ascii="宋体"/>
                <w:color w:val="auto"/>
                <w:sz w:val="21"/>
                <w:szCs w:val="21"/>
                <w:highlight w:val="none"/>
              </w:rPr>
              <w:t>1</w:t>
            </w:r>
            <w:r>
              <w:rPr>
                <w:rFonts w:hint="eastAsia" w:ascii="宋体"/>
                <w:color w:val="auto"/>
                <w:sz w:val="21"/>
                <w:szCs w:val="21"/>
                <w:highlight w:val="none"/>
              </w:rPr>
              <w:t>月</w:t>
            </w:r>
            <w:r>
              <w:rPr>
                <w:rFonts w:ascii="宋体"/>
                <w:color w:val="auto"/>
                <w:sz w:val="21"/>
                <w:szCs w:val="21"/>
                <w:highlight w:val="none"/>
              </w:rPr>
              <w:t>1</w:t>
            </w:r>
            <w:r>
              <w:rPr>
                <w:rFonts w:hint="eastAsia" w:ascii="宋体"/>
                <w:color w:val="auto"/>
                <w:sz w:val="21"/>
                <w:szCs w:val="21"/>
                <w:highlight w:val="none"/>
              </w:rPr>
              <w:t>日（以合同签订时间为准）以来，承担过</w:t>
            </w:r>
            <w:r>
              <w:rPr>
                <w:rFonts w:hint="eastAsia" w:ascii="宋体" w:hAnsi="宋体" w:eastAsia="宋体" w:cs="宋体"/>
                <w:bCs/>
                <w:color w:val="auto"/>
                <w:sz w:val="21"/>
                <w:szCs w:val="21"/>
                <w:highlight w:val="none"/>
              </w:rPr>
              <w:t>绿化养护服务</w:t>
            </w:r>
            <w:r>
              <w:rPr>
                <w:rFonts w:hint="eastAsia" w:ascii="宋体"/>
                <w:color w:val="auto"/>
                <w:sz w:val="21"/>
                <w:szCs w:val="21"/>
                <w:highlight w:val="none"/>
              </w:rPr>
              <w:t>业绩的，每个得</w:t>
            </w:r>
            <w:r>
              <w:rPr>
                <w:rFonts w:hint="eastAsia" w:ascii="宋体" w:eastAsia="宋体"/>
                <w:color w:val="auto"/>
                <w:sz w:val="21"/>
                <w:szCs w:val="21"/>
                <w:highlight w:val="none"/>
              </w:rPr>
              <w:t>1</w:t>
            </w:r>
            <w:r>
              <w:rPr>
                <w:rFonts w:hint="eastAsia" w:ascii="宋体"/>
                <w:color w:val="auto"/>
                <w:sz w:val="21"/>
                <w:szCs w:val="21"/>
                <w:highlight w:val="none"/>
              </w:rPr>
              <w:t>分，最高得</w:t>
            </w:r>
            <w:r>
              <w:rPr>
                <w:rFonts w:hint="eastAsia" w:ascii="宋体" w:eastAsia="宋体"/>
                <w:color w:val="auto"/>
                <w:sz w:val="21"/>
                <w:szCs w:val="21"/>
                <w:highlight w:val="none"/>
              </w:rPr>
              <w:t>2</w:t>
            </w:r>
            <w:r>
              <w:rPr>
                <w:rFonts w:hint="eastAsia" w:ascii="宋体"/>
                <w:color w:val="auto"/>
                <w:sz w:val="21"/>
                <w:szCs w:val="21"/>
                <w:highlight w:val="none"/>
              </w:rPr>
              <w:t>分。</w:t>
            </w:r>
          </w:p>
          <w:p w14:paraId="248B71FE">
            <w:pPr>
              <w:rPr>
                <w:rFonts w:ascii="宋体" w:cs="宋体"/>
                <w:b/>
                <w:bCs/>
                <w:color w:val="auto"/>
                <w:sz w:val="21"/>
                <w:szCs w:val="21"/>
                <w:highlight w:val="none"/>
              </w:rPr>
            </w:pPr>
            <w:r>
              <w:rPr>
                <w:rFonts w:hint="eastAsia" w:ascii="宋体" w:hAnsi="宋体" w:cs="宋体"/>
                <w:b/>
                <w:bCs/>
                <w:color w:val="auto"/>
                <w:sz w:val="21"/>
                <w:szCs w:val="21"/>
                <w:highlight w:val="none"/>
              </w:rPr>
              <w:t>注：提供合同复印件和中标通知书复印件编入</w:t>
            </w:r>
            <w:r>
              <w:rPr>
                <w:rFonts w:hint="eastAsia" w:ascii="宋体" w:hAnsi="宋体" w:cs="宋体"/>
                <w:b/>
                <w:color w:val="auto"/>
                <w:sz w:val="21"/>
                <w:szCs w:val="21"/>
                <w:highlight w:val="none"/>
              </w:rPr>
              <w:t>商务与技术标</w:t>
            </w:r>
            <w:r>
              <w:rPr>
                <w:rFonts w:ascii="宋体" w:cs="宋体"/>
                <w:b/>
                <w:bCs/>
                <w:color w:val="auto"/>
                <w:sz w:val="21"/>
                <w:szCs w:val="21"/>
                <w:highlight w:val="none"/>
              </w:rPr>
              <w:t>,</w:t>
            </w:r>
            <w:r>
              <w:rPr>
                <w:rFonts w:hint="eastAsia" w:ascii="宋体" w:hAnsi="宋体" w:cs="宋体"/>
                <w:b/>
                <w:color w:val="auto"/>
                <w:sz w:val="21"/>
                <w:szCs w:val="21"/>
                <w:highlight w:val="none"/>
              </w:rPr>
              <w:t>否则不得分。</w:t>
            </w:r>
          </w:p>
        </w:tc>
        <w:tc>
          <w:tcPr>
            <w:tcW w:w="888" w:type="dxa"/>
            <w:vAlign w:val="center"/>
          </w:tcPr>
          <w:p w14:paraId="37105CA8">
            <w:pPr>
              <w:pStyle w:val="23"/>
              <w:ind w:left="0" w:leftChars="0"/>
              <w:jc w:val="center"/>
              <w:rPr>
                <w:rFonts w:asci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67D1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84" w:type="dxa"/>
            <w:vAlign w:val="center"/>
          </w:tcPr>
          <w:p w14:paraId="12693607">
            <w:pPr>
              <w:widowControl/>
              <w:jc w:val="center"/>
              <w:rPr>
                <w:rFonts w:asci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18" w:type="dxa"/>
            <w:vAlign w:val="center"/>
          </w:tcPr>
          <w:p w14:paraId="393DA674">
            <w:pPr>
              <w:snapToGrid w:val="0"/>
              <w:jc w:val="center"/>
              <w:rPr>
                <w:rFonts w:ascii="宋体" w:cs="宋体"/>
                <w:color w:val="auto"/>
                <w:sz w:val="21"/>
                <w:szCs w:val="21"/>
                <w:highlight w:val="none"/>
              </w:rPr>
            </w:pPr>
            <w:r>
              <w:rPr>
                <w:rFonts w:hint="eastAsia" w:ascii="宋体" w:cs="宋体"/>
                <w:color w:val="auto"/>
                <w:sz w:val="21"/>
                <w:szCs w:val="21"/>
                <w:highlight w:val="none"/>
              </w:rPr>
              <w:t>投入本项目人员</w:t>
            </w:r>
          </w:p>
        </w:tc>
        <w:tc>
          <w:tcPr>
            <w:tcW w:w="6449" w:type="dxa"/>
            <w:vAlign w:val="center"/>
          </w:tcPr>
          <w:p w14:paraId="4DA08C5C">
            <w:pPr>
              <w:snapToGrid w:val="0"/>
              <w:rPr>
                <w:rFonts w:ascii="宋体"/>
                <w:bCs/>
                <w:color w:val="auto"/>
                <w:sz w:val="21"/>
                <w:szCs w:val="21"/>
                <w:highlight w:val="none"/>
              </w:rPr>
            </w:pPr>
            <w:r>
              <w:rPr>
                <w:rFonts w:hint="eastAsia" w:ascii="宋体" w:eastAsia="宋体"/>
                <w:bCs/>
                <w:color w:val="auto"/>
                <w:sz w:val="21"/>
                <w:szCs w:val="21"/>
                <w:highlight w:val="none"/>
              </w:rPr>
              <w:t>在此基础上（</w:t>
            </w:r>
            <w:r>
              <w:rPr>
                <w:rFonts w:hint="eastAsia" w:ascii="宋体"/>
                <w:color w:val="auto"/>
                <w:sz w:val="21"/>
                <w:highlight w:val="none"/>
              </w:rPr>
              <w:t>中标单位须配备绿化管护人员</w:t>
            </w:r>
            <w:r>
              <w:rPr>
                <w:rFonts w:hint="eastAsia" w:ascii="宋体" w:eastAsia="宋体"/>
                <w:color w:val="auto"/>
                <w:sz w:val="21"/>
                <w:highlight w:val="none"/>
              </w:rPr>
              <w:t>5</w:t>
            </w:r>
            <w:r>
              <w:rPr>
                <w:rFonts w:hint="eastAsia" w:ascii="宋体"/>
                <w:color w:val="auto"/>
                <w:sz w:val="21"/>
                <w:highlight w:val="none"/>
              </w:rPr>
              <w:t>人</w:t>
            </w:r>
            <w:r>
              <w:rPr>
                <w:rFonts w:hint="eastAsia" w:ascii="宋体" w:eastAsia="宋体"/>
                <w:color w:val="auto"/>
                <w:sz w:val="21"/>
                <w:highlight w:val="none"/>
              </w:rPr>
              <w:t>）</w:t>
            </w:r>
            <w:r>
              <w:rPr>
                <w:rFonts w:hint="eastAsia" w:ascii="宋体" w:eastAsia="宋体"/>
                <w:bCs/>
                <w:color w:val="auto"/>
                <w:sz w:val="21"/>
                <w:szCs w:val="21"/>
                <w:highlight w:val="none"/>
              </w:rPr>
              <w:t>，每增加一名绿化管护人员</w:t>
            </w:r>
            <w:r>
              <w:rPr>
                <w:rFonts w:hint="eastAsia" w:ascii="宋体"/>
                <w:bCs/>
                <w:color w:val="auto"/>
                <w:sz w:val="21"/>
                <w:szCs w:val="21"/>
                <w:highlight w:val="none"/>
              </w:rPr>
              <w:t>，得</w:t>
            </w:r>
            <w:r>
              <w:rPr>
                <w:rFonts w:hint="eastAsia" w:ascii="宋体" w:eastAsia="宋体"/>
                <w:bCs/>
                <w:color w:val="auto"/>
                <w:sz w:val="21"/>
                <w:szCs w:val="21"/>
                <w:highlight w:val="none"/>
              </w:rPr>
              <w:t>2</w:t>
            </w:r>
            <w:r>
              <w:rPr>
                <w:rFonts w:hint="eastAsia" w:ascii="宋体"/>
                <w:bCs/>
                <w:color w:val="auto"/>
                <w:sz w:val="21"/>
                <w:szCs w:val="21"/>
                <w:highlight w:val="none"/>
              </w:rPr>
              <w:t>分，最多得</w:t>
            </w:r>
            <w:r>
              <w:rPr>
                <w:rFonts w:ascii="宋体"/>
                <w:bCs/>
                <w:color w:val="auto"/>
                <w:sz w:val="21"/>
                <w:szCs w:val="21"/>
                <w:highlight w:val="none"/>
              </w:rPr>
              <w:t>4</w:t>
            </w:r>
            <w:r>
              <w:rPr>
                <w:rFonts w:hint="eastAsia" w:ascii="宋体"/>
                <w:bCs/>
                <w:color w:val="auto"/>
                <w:sz w:val="21"/>
                <w:szCs w:val="21"/>
                <w:highlight w:val="none"/>
              </w:rPr>
              <w:t>分，没有的不得分。</w:t>
            </w:r>
          </w:p>
          <w:p w14:paraId="1153C140">
            <w:pPr>
              <w:snapToGrid w:val="0"/>
              <w:rPr>
                <w:rFonts w:ascii="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cs="宋体"/>
                <w:b/>
                <w:color w:val="auto"/>
                <w:sz w:val="21"/>
                <w:szCs w:val="21"/>
                <w:highlight w:val="none"/>
              </w:rPr>
              <w:t>须提供人员</w:t>
            </w:r>
            <w:r>
              <w:rPr>
                <w:rFonts w:hint="eastAsia" w:ascii="宋体" w:hAnsi="宋体" w:cs="宋体" w:eastAsiaTheme="minorEastAsia"/>
                <w:b/>
                <w:color w:val="auto"/>
                <w:sz w:val="21"/>
                <w:szCs w:val="21"/>
                <w:highlight w:val="none"/>
              </w:rPr>
              <w:t>有效</w:t>
            </w:r>
            <w:r>
              <w:rPr>
                <w:rFonts w:hint="eastAsia" w:ascii="宋体" w:hAnsi="宋体" w:cs="宋体"/>
                <w:b/>
                <w:color w:val="auto"/>
                <w:sz w:val="21"/>
                <w:szCs w:val="21"/>
                <w:highlight w:val="none"/>
              </w:rPr>
              <w:t>身份证复印件，未提供不得分。</w:t>
            </w:r>
          </w:p>
        </w:tc>
        <w:tc>
          <w:tcPr>
            <w:tcW w:w="888" w:type="dxa"/>
            <w:vAlign w:val="center"/>
          </w:tcPr>
          <w:p w14:paraId="5F2E1696">
            <w:pPr>
              <w:pStyle w:val="23"/>
              <w:ind w:left="0" w:leftChars="0"/>
              <w:jc w:val="center"/>
              <w:rPr>
                <w:rFonts w:ascii="宋体" w:cs="宋体"/>
                <w:color w:val="auto"/>
                <w:sz w:val="21"/>
                <w:szCs w:val="21"/>
                <w:highlight w:val="none"/>
              </w:rPr>
            </w:pPr>
            <w:r>
              <w:rPr>
                <w:rFonts w:ascii="宋体" w:hAnsi="宋体" w:cs="宋体"/>
                <w:color w:val="auto"/>
                <w:sz w:val="21"/>
                <w:szCs w:val="21"/>
                <w:highlight w:val="none"/>
              </w:rPr>
              <w:t>4</w:t>
            </w:r>
          </w:p>
        </w:tc>
      </w:tr>
      <w:tr w14:paraId="1703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784" w:type="dxa"/>
            <w:vAlign w:val="center"/>
          </w:tcPr>
          <w:p w14:paraId="5FBF7ED8">
            <w:pPr>
              <w:widowControl/>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18" w:type="dxa"/>
            <w:vAlign w:val="center"/>
          </w:tcPr>
          <w:p w14:paraId="4789890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拟投入实施设备情况</w:t>
            </w:r>
          </w:p>
          <w:p w14:paraId="384558B5">
            <w:pPr>
              <w:snapToGrid w:val="0"/>
              <w:jc w:val="center"/>
              <w:rPr>
                <w:rFonts w:ascii="宋体" w:cs="宋体"/>
                <w:color w:val="auto"/>
                <w:sz w:val="21"/>
                <w:szCs w:val="21"/>
                <w:highlight w:val="none"/>
              </w:rPr>
            </w:pPr>
          </w:p>
        </w:tc>
        <w:tc>
          <w:tcPr>
            <w:tcW w:w="6449" w:type="dxa"/>
            <w:vAlign w:val="center"/>
          </w:tcPr>
          <w:p w14:paraId="0B8C3FC9">
            <w:pPr>
              <w:snapToGrid w:val="0"/>
              <w:rPr>
                <w:rFonts w:hint="eastAsia" w:eastAsia="宋体"/>
                <w:color w:val="auto"/>
                <w:sz w:val="21"/>
                <w:szCs w:val="22"/>
                <w:highlight w:val="none"/>
              </w:rPr>
            </w:pPr>
            <w:r>
              <w:rPr>
                <w:rFonts w:hint="eastAsia" w:ascii="宋体" w:eastAsia="宋体"/>
                <w:bCs/>
                <w:color w:val="auto"/>
                <w:sz w:val="21"/>
                <w:szCs w:val="21"/>
                <w:highlight w:val="none"/>
              </w:rPr>
              <w:t>在此基础上（</w:t>
            </w:r>
            <w:r>
              <w:rPr>
                <w:rFonts w:hint="eastAsia" w:ascii="宋体"/>
                <w:color w:val="auto"/>
                <w:sz w:val="21"/>
                <w:highlight w:val="none"/>
              </w:rPr>
              <w:t>中标单位须配备</w:t>
            </w:r>
            <w:r>
              <w:rPr>
                <w:rFonts w:hint="eastAsia" w:ascii="宋体" w:eastAsia="宋体"/>
                <w:color w:val="auto"/>
                <w:sz w:val="21"/>
                <w:highlight w:val="none"/>
                <w:lang w:eastAsia="zh-CN"/>
              </w:rPr>
              <w:t>载水量</w:t>
            </w:r>
            <w:r>
              <w:rPr>
                <w:rFonts w:ascii="宋体"/>
                <w:color w:val="auto"/>
                <w:sz w:val="21"/>
                <w:highlight w:val="none"/>
              </w:rPr>
              <w:t>7.5</w:t>
            </w:r>
            <w:r>
              <w:rPr>
                <w:rFonts w:hint="eastAsia" w:ascii="宋体"/>
                <w:color w:val="auto"/>
                <w:sz w:val="21"/>
                <w:highlight w:val="none"/>
              </w:rPr>
              <w:t>吨（含）以上洒水车</w:t>
            </w:r>
            <w:r>
              <w:rPr>
                <w:rFonts w:ascii="宋体"/>
                <w:color w:val="auto"/>
                <w:sz w:val="21"/>
                <w:highlight w:val="none"/>
              </w:rPr>
              <w:t xml:space="preserve"> 1 </w:t>
            </w:r>
            <w:r>
              <w:rPr>
                <w:rFonts w:hint="eastAsia" w:ascii="宋体"/>
                <w:color w:val="auto"/>
                <w:sz w:val="21"/>
                <w:highlight w:val="none"/>
              </w:rPr>
              <w:t>辆、手提式绿蓠修剪机至少</w:t>
            </w:r>
            <w:r>
              <w:rPr>
                <w:rFonts w:ascii="宋体"/>
                <w:color w:val="auto"/>
                <w:sz w:val="21"/>
                <w:highlight w:val="none"/>
              </w:rPr>
              <w:t xml:space="preserve"> 3 </w:t>
            </w:r>
            <w:r>
              <w:rPr>
                <w:rFonts w:hint="eastAsia" w:ascii="宋体"/>
                <w:color w:val="auto"/>
                <w:sz w:val="21"/>
                <w:highlight w:val="none"/>
              </w:rPr>
              <w:t>台、</w:t>
            </w:r>
            <w:r>
              <w:rPr>
                <w:rFonts w:hint="eastAsia" w:ascii="宋体" w:eastAsia="宋体"/>
                <w:color w:val="auto"/>
                <w:sz w:val="21"/>
                <w:highlight w:val="none"/>
              </w:rPr>
              <w:t>高枝油锯3台）</w:t>
            </w:r>
            <w:r>
              <w:rPr>
                <w:rFonts w:hint="eastAsia" w:ascii="宋体" w:eastAsia="宋体"/>
                <w:color w:val="auto"/>
                <w:sz w:val="21"/>
                <w:highlight w:val="none"/>
                <w:lang w:eastAsia="zh-CN"/>
              </w:rPr>
              <w:t>，</w:t>
            </w:r>
            <w:r>
              <w:rPr>
                <w:rFonts w:ascii="宋体"/>
                <w:color w:val="auto"/>
                <w:sz w:val="21"/>
                <w:highlight w:val="none"/>
              </w:rPr>
              <w:t>7.5</w:t>
            </w:r>
            <w:r>
              <w:rPr>
                <w:rFonts w:hint="eastAsia" w:ascii="宋体"/>
                <w:color w:val="auto"/>
                <w:sz w:val="21"/>
                <w:highlight w:val="none"/>
              </w:rPr>
              <w:t>吨（含）以上</w:t>
            </w:r>
            <w:r>
              <w:rPr>
                <w:rFonts w:hint="eastAsia"/>
                <w:color w:val="auto"/>
                <w:sz w:val="21"/>
                <w:szCs w:val="22"/>
                <w:highlight w:val="none"/>
              </w:rPr>
              <w:t>洒水车</w:t>
            </w:r>
            <w:r>
              <w:rPr>
                <w:rFonts w:hint="eastAsia" w:eastAsia="宋体"/>
                <w:color w:val="auto"/>
                <w:sz w:val="21"/>
                <w:szCs w:val="22"/>
                <w:highlight w:val="none"/>
              </w:rPr>
              <w:t>每</w:t>
            </w:r>
            <w:r>
              <w:rPr>
                <w:rFonts w:hint="eastAsia" w:ascii="宋体" w:eastAsia="宋体"/>
                <w:bCs/>
                <w:color w:val="auto"/>
                <w:sz w:val="21"/>
                <w:szCs w:val="21"/>
                <w:highlight w:val="none"/>
              </w:rPr>
              <w:t>增加</w:t>
            </w:r>
            <w:r>
              <w:rPr>
                <w:rFonts w:hint="eastAsia" w:eastAsia="宋体"/>
                <w:color w:val="auto"/>
                <w:sz w:val="21"/>
                <w:szCs w:val="22"/>
                <w:highlight w:val="none"/>
                <w:lang w:eastAsia="zh-CN"/>
              </w:rPr>
              <w:t>一</w:t>
            </w:r>
            <w:r>
              <w:rPr>
                <w:rFonts w:hint="eastAsia" w:eastAsia="宋体"/>
                <w:color w:val="auto"/>
                <w:sz w:val="21"/>
                <w:szCs w:val="22"/>
                <w:highlight w:val="none"/>
              </w:rPr>
              <w:t>辆的得2分</w:t>
            </w:r>
            <w:r>
              <w:rPr>
                <w:rFonts w:hint="eastAsia" w:eastAsia="宋体"/>
                <w:color w:val="auto"/>
                <w:sz w:val="21"/>
                <w:szCs w:val="22"/>
                <w:highlight w:val="none"/>
                <w:lang w:eastAsia="zh-CN"/>
              </w:rPr>
              <w:t>，</w:t>
            </w:r>
            <w:r>
              <w:rPr>
                <w:rFonts w:hint="eastAsia" w:eastAsia="宋体"/>
                <w:color w:val="auto"/>
                <w:sz w:val="21"/>
                <w:szCs w:val="22"/>
                <w:highlight w:val="none"/>
              </w:rPr>
              <w:t>最高得2分；</w:t>
            </w:r>
            <w:r>
              <w:rPr>
                <w:rFonts w:hint="eastAsia"/>
                <w:color w:val="auto"/>
                <w:sz w:val="21"/>
                <w:szCs w:val="22"/>
                <w:highlight w:val="none"/>
              </w:rPr>
              <w:t>手提式绿蓠修剪机</w:t>
            </w:r>
            <w:r>
              <w:rPr>
                <w:rFonts w:hint="eastAsia" w:eastAsia="宋体"/>
                <w:color w:val="auto"/>
                <w:sz w:val="21"/>
                <w:szCs w:val="22"/>
                <w:highlight w:val="none"/>
              </w:rPr>
              <w:t>每</w:t>
            </w:r>
            <w:r>
              <w:rPr>
                <w:rFonts w:hint="eastAsia" w:eastAsia="宋体"/>
                <w:color w:val="auto"/>
                <w:sz w:val="21"/>
                <w:szCs w:val="22"/>
                <w:highlight w:val="none"/>
                <w:lang w:eastAsia="zh-CN"/>
              </w:rPr>
              <w:t>增加一</w:t>
            </w:r>
            <w:r>
              <w:rPr>
                <w:rFonts w:hint="eastAsia" w:eastAsia="宋体"/>
                <w:color w:val="auto"/>
                <w:sz w:val="21"/>
                <w:szCs w:val="22"/>
                <w:highlight w:val="none"/>
              </w:rPr>
              <w:t>台得1分，最高得2分；高枝油锯每</w:t>
            </w:r>
            <w:r>
              <w:rPr>
                <w:rFonts w:hint="eastAsia" w:eastAsia="宋体"/>
                <w:color w:val="auto"/>
                <w:sz w:val="21"/>
                <w:szCs w:val="22"/>
                <w:highlight w:val="none"/>
                <w:lang w:eastAsia="zh-CN"/>
              </w:rPr>
              <w:t>增加一</w:t>
            </w:r>
            <w:r>
              <w:rPr>
                <w:rFonts w:hint="eastAsia" w:eastAsia="宋体"/>
                <w:color w:val="auto"/>
                <w:sz w:val="21"/>
                <w:szCs w:val="22"/>
                <w:highlight w:val="none"/>
              </w:rPr>
              <w:t>台得1分，最高得2分。</w:t>
            </w:r>
          </w:p>
          <w:p w14:paraId="1F6E4932">
            <w:pPr>
              <w:snapToGrid w:val="0"/>
              <w:rPr>
                <w:rFonts w:ascii="宋体" w:hAnsi="宋体" w:eastAsia="宋体" w:cs="宋体"/>
                <w:b/>
                <w:bCs/>
                <w:color w:val="auto"/>
                <w:sz w:val="21"/>
                <w:szCs w:val="21"/>
                <w:highlight w:val="none"/>
              </w:rPr>
            </w:pPr>
            <w:r>
              <w:rPr>
                <w:rFonts w:hint="eastAsia" w:eastAsia="宋体"/>
                <w:b/>
                <w:color w:val="auto"/>
                <w:sz w:val="21"/>
                <w:szCs w:val="22"/>
                <w:highlight w:val="none"/>
              </w:rPr>
              <w:t>注：</w:t>
            </w:r>
            <w:r>
              <w:rPr>
                <w:rFonts w:hint="eastAsia" w:eastAsia="宋体"/>
                <w:b/>
                <w:bCs/>
                <w:color w:val="auto"/>
                <w:sz w:val="21"/>
                <w:szCs w:val="22"/>
                <w:highlight w:val="none"/>
              </w:rPr>
              <w:t>以上设备需</w:t>
            </w:r>
            <w:r>
              <w:rPr>
                <w:rFonts w:hint="eastAsia"/>
                <w:b/>
                <w:bCs/>
                <w:color w:val="auto"/>
                <w:sz w:val="21"/>
                <w:szCs w:val="22"/>
                <w:highlight w:val="none"/>
              </w:rPr>
              <w:t>提供相关</w:t>
            </w:r>
            <w:r>
              <w:rPr>
                <w:rFonts w:hint="eastAsia" w:eastAsia="宋体"/>
                <w:b/>
                <w:color w:val="auto"/>
                <w:sz w:val="21"/>
                <w:szCs w:val="22"/>
                <w:highlight w:val="none"/>
              </w:rPr>
              <w:t>租赁合同</w:t>
            </w:r>
            <w:r>
              <w:rPr>
                <w:rFonts w:hint="eastAsia" w:eastAsia="宋体"/>
                <w:b/>
                <w:color w:val="auto"/>
                <w:sz w:val="21"/>
                <w:szCs w:val="22"/>
                <w:highlight w:val="none"/>
                <w:lang w:eastAsia="zh-CN"/>
              </w:rPr>
              <w:t>（不同投标人不得提供同一设备的租赁合同）或</w:t>
            </w:r>
            <w:r>
              <w:rPr>
                <w:rFonts w:hint="eastAsia"/>
                <w:b/>
                <w:bCs/>
                <w:color w:val="auto"/>
                <w:sz w:val="21"/>
                <w:szCs w:val="22"/>
                <w:highlight w:val="none"/>
              </w:rPr>
              <w:t>购买发票</w:t>
            </w:r>
            <w:r>
              <w:rPr>
                <w:rFonts w:hint="eastAsia" w:eastAsia="宋体"/>
                <w:b/>
                <w:bCs/>
                <w:color w:val="auto"/>
                <w:sz w:val="21"/>
                <w:szCs w:val="22"/>
                <w:highlight w:val="none"/>
              </w:rPr>
              <w:t>，</w:t>
            </w:r>
            <w:r>
              <w:rPr>
                <w:rFonts w:hint="eastAsia" w:eastAsia="宋体"/>
                <w:b/>
                <w:color w:val="auto"/>
                <w:sz w:val="21"/>
                <w:szCs w:val="22"/>
                <w:highlight w:val="none"/>
              </w:rPr>
              <w:t>否则</w:t>
            </w:r>
            <w:r>
              <w:rPr>
                <w:rFonts w:hint="eastAsia"/>
                <w:b/>
                <w:color w:val="auto"/>
                <w:sz w:val="21"/>
                <w:szCs w:val="22"/>
                <w:highlight w:val="none"/>
              </w:rPr>
              <w:t>不得分。</w:t>
            </w:r>
          </w:p>
        </w:tc>
        <w:tc>
          <w:tcPr>
            <w:tcW w:w="888" w:type="dxa"/>
            <w:vAlign w:val="center"/>
          </w:tcPr>
          <w:p w14:paraId="6F362D19">
            <w:pPr>
              <w:pStyle w:val="23"/>
              <w:ind w:left="0" w:left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2824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51" w:type="dxa"/>
            <w:gridSpan w:val="3"/>
            <w:vAlign w:val="center"/>
          </w:tcPr>
          <w:p w14:paraId="3C4BE313">
            <w:pPr>
              <w:pStyle w:val="23"/>
              <w:ind w:left="720" w:firstLine="482"/>
              <w:jc w:val="center"/>
              <w:rPr>
                <w:rFonts w:ascii="宋体" w:cs="宋体"/>
                <w:b/>
                <w:bCs/>
                <w:color w:val="auto"/>
                <w:sz w:val="21"/>
                <w:szCs w:val="21"/>
                <w:highlight w:val="none"/>
              </w:rPr>
            </w:pPr>
            <w:r>
              <w:rPr>
                <w:rFonts w:hint="eastAsia" w:ascii="宋体" w:hAnsi="宋体" w:cs="宋体"/>
                <w:b/>
                <w:bCs/>
                <w:color w:val="auto"/>
                <w:sz w:val="21"/>
                <w:szCs w:val="21"/>
                <w:highlight w:val="none"/>
              </w:rPr>
              <w:t>二、技术分</w:t>
            </w:r>
          </w:p>
        </w:tc>
        <w:tc>
          <w:tcPr>
            <w:tcW w:w="888" w:type="dxa"/>
            <w:vAlign w:val="center"/>
          </w:tcPr>
          <w:p w14:paraId="69FEA51C">
            <w:pPr>
              <w:pStyle w:val="23"/>
              <w:ind w:left="0" w:leftChars="0"/>
              <w:jc w:val="center"/>
              <w:rPr>
                <w:rFonts w:ascii="宋体" w:cs="宋体"/>
                <w:b/>
                <w:bCs/>
                <w:color w:val="auto"/>
                <w:sz w:val="21"/>
                <w:szCs w:val="21"/>
                <w:highlight w:val="none"/>
              </w:rPr>
            </w:pPr>
            <w:r>
              <w:rPr>
                <w:rFonts w:hint="eastAsia" w:ascii="宋体" w:hAnsi="宋体" w:eastAsia="宋体" w:cs="宋体"/>
                <w:b/>
                <w:bCs/>
                <w:color w:val="auto"/>
                <w:sz w:val="21"/>
                <w:szCs w:val="21"/>
                <w:highlight w:val="none"/>
              </w:rPr>
              <w:t>63</w:t>
            </w:r>
            <w:r>
              <w:rPr>
                <w:rFonts w:hint="eastAsia" w:ascii="宋体" w:hAnsi="宋体" w:cs="宋体"/>
                <w:b/>
                <w:bCs/>
                <w:color w:val="auto"/>
                <w:sz w:val="21"/>
                <w:szCs w:val="21"/>
                <w:highlight w:val="none"/>
              </w:rPr>
              <w:t>分</w:t>
            </w:r>
          </w:p>
        </w:tc>
      </w:tr>
      <w:tr w14:paraId="4E8C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Merge w:val="restart"/>
            <w:vAlign w:val="center"/>
          </w:tcPr>
          <w:p w14:paraId="244BE7B5">
            <w:pPr>
              <w:pStyle w:val="23"/>
              <w:ind w:left="0" w:leftChars="0"/>
              <w:jc w:val="center"/>
              <w:rPr>
                <w:rFonts w:ascii="宋体" w:cs="宋体"/>
                <w:bCs/>
                <w:color w:val="auto"/>
                <w:sz w:val="21"/>
                <w:szCs w:val="21"/>
                <w:highlight w:val="none"/>
              </w:rPr>
            </w:pPr>
            <w:r>
              <w:rPr>
                <w:rFonts w:hint="eastAsia" w:ascii="宋体" w:hAnsi="宋体" w:eastAsia="宋体" w:cs="宋体"/>
                <w:bCs/>
                <w:color w:val="auto"/>
                <w:sz w:val="21"/>
                <w:szCs w:val="21"/>
                <w:highlight w:val="none"/>
              </w:rPr>
              <w:t>6</w:t>
            </w:r>
          </w:p>
        </w:tc>
        <w:tc>
          <w:tcPr>
            <w:tcW w:w="1918" w:type="dxa"/>
            <w:vMerge w:val="restart"/>
            <w:vAlign w:val="center"/>
          </w:tcPr>
          <w:p w14:paraId="20FC8A76">
            <w:pPr>
              <w:adjustRightInd w:val="0"/>
              <w:snapToGrid w:val="0"/>
              <w:spacing w:before="156"/>
              <w:jc w:val="center"/>
              <w:rPr>
                <w:rFonts w:ascii="宋体" w:cs="宋体"/>
                <w:color w:val="auto"/>
                <w:sz w:val="21"/>
                <w:szCs w:val="21"/>
                <w:highlight w:val="none"/>
              </w:rPr>
            </w:pPr>
            <w:r>
              <w:rPr>
                <w:rFonts w:hint="eastAsia" w:ascii="宋体" w:hAnsi="宋体" w:cs="宋体"/>
                <w:color w:val="auto"/>
                <w:kern w:val="0"/>
                <w:sz w:val="21"/>
                <w:szCs w:val="21"/>
                <w:highlight w:val="none"/>
              </w:rPr>
              <w:t>项目养护管理技术方案</w:t>
            </w:r>
          </w:p>
        </w:tc>
        <w:tc>
          <w:tcPr>
            <w:tcW w:w="6449" w:type="dxa"/>
            <w:vAlign w:val="center"/>
          </w:tcPr>
          <w:p w14:paraId="52F62B97">
            <w:pPr>
              <w:pStyle w:val="23"/>
              <w:ind w:left="0" w:leftChars="0"/>
              <w:jc w:val="left"/>
              <w:rPr>
                <w:rFonts w:ascii="宋体" w:cs="宋体"/>
                <w:b/>
                <w:bCs/>
                <w:color w:val="auto"/>
                <w:sz w:val="21"/>
                <w:szCs w:val="21"/>
                <w:highlight w:val="none"/>
              </w:rPr>
            </w:pPr>
            <w:r>
              <w:rPr>
                <w:rFonts w:hint="eastAsia" w:ascii="宋体" w:hAnsi="宋体" w:cs="宋体"/>
                <w:color w:val="auto"/>
                <w:sz w:val="21"/>
                <w:szCs w:val="21"/>
                <w:highlight w:val="none"/>
                <w:lang w:val="zh-CN"/>
              </w:rPr>
              <w:t>绿化养护技术方案结合季节变化，考虑各类园林植物特性，养护计划周密，措施有效，如养护方案及措施、</w:t>
            </w:r>
            <w:r>
              <w:rPr>
                <w:rFonts w:hint="eastAsia" w:ascii="宋体" w:cs="宋体"/>
                <w:color w:val="auto"/>
                <w:sz w:val="21"/>
                <w:szCs w:val="21"/>
                <w:highlight w:val="none"/>
              </w:rPr>
              <w:t>苗木修剪、</w:t>
            </w:r>
            <w:r>
              <w:rPr>
                <w:rFonts w:hint="eastAsia" w:ascii="宋体" w:hAnsi="宋体" w:cs="宋体"/>
                <w:color w:val="auto"/>
                <w:sz w:val="21"/>
                <w:szCs w:val="21"/>
                <w:highlight w:val="none"/>
                <w:lang w:val="zh-CN"/>
              </w:rPr>
              <w:t>病虫害防治方案等</w:t>
            </w:r>
            <w:r>
              <w:rPr>
                <w:rFonts w:hint="eastAsia" w:ascii="宋体" w:hAnsi="宋体" w:cs="宋体"/>
                <w:color w:val="auto"/>
                <w:sz w:val="21"/>
                <w:szCs w:val="21"/>
                <w:highlight w:val="none"/>
              </w:rPr>
              <w:t>评分</w:t>
            </w:r>
            <w:r>
              <w:rPr>
                <w:rFonts w:hint="eastAsia" w:ascii="宋体" w:hAnsi="宋体" w:cs="宋体"/>
                <w:color w:val="auto"/>
                <w:sz w:val="21"/>
                <w:szCs w:val="21"/>
                <w:highlight w:val="none"/>
                <w:lang w:val="zh-CN"/>
              </w:rPr>
              <w:t>。</w:t>
            </w:r>
          </w:p>
        </w:tc>
        <w:tc>
          <w:tcPr>
            <w:tcW w:w="888" w:type="dxa"/>
            <w:vAlign w:val="center"/>
          </w:tcPr>
          <w:p w14:paraId="6D9AC19E">
            <w:pPr>
              <w:pStyle w:val="23"/>
              <w:ind w:left="0" w:leftChars="0"/>
              <w:jc w:val="center"/>
              <w:rPr>
                <w:rFonts w:asci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6889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84" w:type="dxa"/>
            <w:vMerge w:val="continue"/>
            <w:vAlign w:val="center"/>
          </w:tcPr>
          <w:p w14:paraId="1DD24B69">
            <w:pPr>
              <w:pStyle w:val="23"/>
              <w:ind w:left="0" w:leftChars="0"/>
              <w:jc w:val="center"/>
              <w:rPr>
                <w:rFonts w:ascii="宋体" w:cs="宋体"/>
                <w:bCs/>
                <w:color w:val="auto"/>
                <w:sz w:val="21"/>
                <w:szCs w:val="21"/>
                <w:highlight w:val="none"/>
              </w:rPr>
            </w:pPr>
          </w:p>
        </w:tc>
        <w:tc>
          <w:tcPr>
            <w:tcW w:w="1918" w:type="dxa"/>
            <w:vMerge w:val="continue"/>
            <w:vAlign w:val="center"/>
          </w:tcPr>
          <w:p w14:paraId="3730AA04">
            <w:pPr>
              <w:adjustRightInd w:val="0"/>
              <w:snapToGrid w:val="0"/>
              <w:spacing w:before="156"/>
              <w:jc w:val="center"/>
              <w:rPr>
                <w:rFonts w:ascii="宋体" w:cs="宋体"/>
                <w:color w:val="auto"/>
                <w:sz w:val="21"/>
                <w:szCs w:val="21"/>
                <w:highlight w:val="none"/>
              </w:rPr>
            </w:pPr>
          </w:p>
        </w:tc>
        <w:tc>
          <w:tcPr>
            <w:tcW w:w="6449" w:type="dxa"/>
            <w:vAlign w:val="center"/>
          </w:tcPr>
          <w:p w14:paraId="12438EAD">
            <w:pPr>
              <w:pStyle w:val="23"/>
              <w:ind w:left="0" w:leftChars="0"/>
              <w:jc w:val="left"/>
              <w:rPr>
                <w:rFonts w:ascii="宋体" w:cs="宋体"/>
                <w:color w:val="auto"/>
                <w:sz w:val="21"/>
                <w:szCs w:val="21"/>
                <w:highlight w:val="none"/>
              </w:rPr>
            </w:pPr>
            <w:r>
              <w:rPr>
                <w:rFonts w:hint="eastAsia" w:ascii="宋体" w:hAnsi="宋体" w:cs="宋体"/>
                <w:color w:val="auto"/>
                <w:sz w:val="21"/>
                <w:szCs w:val="21"/>
                <w:highlight w:val="none"/>
              </w:rPr>
              <w:t>绿化养护项目工作人员安排计划合理，组织管理体系科学，能够有效实施养护管理工作。包括各专业工种人员的配备以及劳动力安排等评分</w:t>
            </w:r>
            <w:r>
              <w:rPr>
                <w:rFonts w:hint="eastAsia" w:ascii="宋体" w:hAnsi="宋体" w:cs="宋体"/>
                <w:color w:val="auto"/>
                <w:sz w:val="21"/>
                <w:szCs w:val="21"/>
                <w:highlight w:val="none"/>
                <w:lang w:val="zh-CN"/>
              </w:rPr>
              <w:t>。</w:t>
            </w:r>
          </w:p>
        </w:tc>
        <w:tc>
          <w:tcPr>
            <w:tcW w:w="888" w:type="dxa"/>
            <w:vAlign w:val="center"/>
          </w:tcPr>
          <w:p w14:paraId="05873A34">
            <w:pPr>
              <w:pStyle w:val="23"/>
              <w:ind w:left="0" w:leftChars="0"/>
              <w:jc w:val="center"/>
              <w:rPr>
                <w:rFonts w:asci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07FE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84" w:type="dxa"/>
            <w:vMerge w:val="continue"/>
            <w:vAlign w:val="center"/>
          </w:tcPr>
          <w:p w14:paraId="72FA0CE1">
            <w:pPr>
              <w:pStyle w:val="23"/>
              <w:ind w:left="0" w:leftChars="0"/>
              <w:jc w:val="center"/>
              <w:rPr>
                <w:rFonts w:ascii="宋体" w:cs="宋体"/>
                <w:bCs/>
                <w:color w:val="auto"/>
                <w:sz w:val="21"/>
                <w:szCs w:val="21"/>
                <w:highlight w:val="none"/>
              </w:rPr>
            </w:pPr>
          </w:p>
        </w:tc>
        <w:tc>
          <w:tcPr>
            <w:tcW w:w="1918" w:type="dxa"/>
            <w:vMerge w:val="continue"/>
            <w:vAlign w:val="center"/>
          </w:tcPr>
          <w:p w14:paraId="0B7CF6B1">
            <w:pPr>
              <w:adjustRightInd w:val="0"/>
              <w:snapToGrid w:val="0"/>
              <w:spacing w:before="156"/>
              <w:jc w:val="center"/>
              <w:rPr>
                <w:rFonts w:ascii="宋体" w:cs="宋体"/>
                <w:color w:val="auto"/>
                <w:sz w:val="21"/>
                <w:szCs w:val="21"/>
                <w:highlight w:val="none"/>
              </w:rPr>
            </w:pPr>
          </w:p>
        </w:tc>
        <w:tc>
          <w:tcPr>
            <w:tcW w:w="6449" w:type="dxa"/>
            <w:vAlign w:val="center"/>
          </w:tcPr>
          <w:p w14:paraId="7C4277DE">
            <w:pPr>
              <w:pStyle w:val="23"/>
              <w:ind w:left="0" w:leftChars="0"/>
              <w:jc w:val="left"/>
              <w:rPr>
                <w:rFonts w:ascii="宋体" w:cs="宋体"/>
                <w:color w:val="auto"/>
                <w:sz w:val="21"/>
                <w:szCs w:val="21"/>
                <w:highlight w:val="none"/>
              </w:rPr>
            </w:pPr>
            <w:r>
              <w:rPr>
                <w:rFonts w:hint="eastAsia" w:ascii="宋体" w:hAnsi="宋体" w:cs="宋体"/>
                <w:color w:val="auto"/>
                <w:sz w:val="21"/>
                <w:szCs w:val="21"/>
                <w:highlight w:val="none"/>
              </w:rPr>
              <w:t>绿化养护作业机械设备投入充足，能满足项目机械设备需求。包括拟投入机械设备配备及保障管理措施评分</w:t>
            </w:r>
            <w:r>
              <w:rPr>
                <w:rFonts w:hint="eastAsia" w:ascii="宋体" w:hAnsi="宋体" w:cs="宋体"/>
                <w:color w:val="auto"/>
                <w:sz w:val="21"/>
                <w:szCs w:val="21"/>
                <w:highlight w:val="none"/>
                <w:lang w:val="zh-CN"/>
              </w:rPr>
              <w:t>。</w:t>
            </w:r>
          </w:p>
        </w:tc>
        <w:tc>
          <w:tcPr>
            <w:tcW w:w="888" w:type="dxa"/>
            <w:vAlign w:val="center"/>
          </w:tcPr>
          <w:p w14:paraId="40B2DE35">
            <w:pPr>
              <w:pStyle w:val="23"/>
              <w:ind w:left="0" w:leftChars="0"/>
              <w:jc w:val="center"/>
              <w:rPr>
                <w:rFonts w:asci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0265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4" w:type="dxa"/>
            <w:vMerge w:val="continue"/>
            <w:vAlign w:val="center"/>
          </w:tcPr>
          <w:p w14:paraId="51E232B0">
            <w:pPr>
              <w:pStyle w:val="23"/>
              <w:ind w:left="0" w:leftChars="0"/>
              <w:jc w:val="center"/>
              <w:rPr>
                <w:rFonts w:ascii="宋体" w:cs="宋体"/>
                <w:bCs/>
                <w:color w:val="auto"/>
                <w:sz w:val="21"/>
                <w:szCs w:val="21"/>
                <w:highlight w:val="none"/>
              </w:rPr>
            </w:pPr>
          </w:p>
        </w:tc>
        <w:tc>
          <w:tcPr>
            <w:tcW w:w="1918" w:type="dxa"/>
            <w:vMerge w:val="continue"/>
            <w:vAlign w:val="center"/>
          </w:tcPr>
          <w:p w14:paraId="0F7B92FA">
            <w:pPr>
              <w:adjustRightInd w:val="0"/>
              <w:snapToGrid w:val="0"/>
              <w:spacing w:before="156"/>
              <w:jc w:val="center"/>
              <w:rPr>
                <w:rFonts w:ascii="宋体" w:cs="宋体"/>
                <w:color w:val="auto"/>
                <w:sz w:val="21"/>
                <w:szCs w:val="21"/>
                <w:highlight w:val="none"/>
              </w:rPr>
            </w:pPr>
          </w:p>
        </w:tc>
        <w:tc>
          <w:tcPr>
            <w:tcW w:w="6449" w:type="dxa"/>
            <w:vAlign w:val="center"/>
          </w:tcPr>
          <w:p w14:paraId="3027B638">
            <w:pPr>
              <w:pStyle w:val="23"/>
              <w:ind w:left="0" w:leftChars="0"/>
              <w:jc w:val="left"/>
              <w:rPr>
                <w:rFonts w:ascii="宋体" w:cs="宋体"/>
                <w:color w:val="auto"/>
                <w:sz w:val="21"/>
                <w:szCs w:val="21"/>
                <w:highlight w:val="none"/>
              </w:rPr>
            </w:pPr>
            <w:r>
              <w:rPr>
                <w:rFonts w:hint="eastAsia" w:ascii="宋体" w:hAnsi="宋体" w:cs="宋体"/>
                <w:color w:val="auto"/>
                <w:sz w:val="21"/>
                <w:szCs w:val="21"/>
                <w:highlight w:val="none"/>
                <w:lang w:val="zh-CN"/>
              </w:rPr>
              <w:t>企业绿化养护管理制度完善，程序规范，责任明确，具有可操作性。包括养护档案管理制度、员工各项管理制度等</w:t>
            </w:r>
            <w:r>
              <w:rPr>
                <w:rFonts w:hint="eastAsia" w:ascii="宋体" w:hAnsi="宋体" w:cs="宋体"/>
                <w:color w:val="auto"/>
                <w:sz w:val="21"/>
                <w:szCs w:val="21"/>
                <w:highlight w:val="none"/>
              </w:rPr>
              <w:t>评分</w:t>
            </w:r>
            <w:r>
              <w:rPr>
                <w:rFonts w:hint="eastAsia" w:ascii="宋体" w:hAnsi="宋体" w:cs="宋体"/>
                <w:color w:val="auto"/>
                <w:sz w:val="21"/>
                <w:szCs w:val="21"/>
                <w:highlight w:val="none"/>
                <w:lang w:val="zh-CN"/>
              </w:rPr>
              <w:t>。</w:t>
            </w:r>
          </w:p>
        </w:tc>
        <w:tc>
          <w:tcPr>
            <w:tcW w:w="888" w:type="dxa"/>
            <w:vAlign w:val="center"/>
          </w:tcPr>
          <w:p w14:paraId="185B94B5">
            <w:pPr>
              <w:pStyle w:val="23"/>
              <w:ind w:left="0" w:leftChars="0"/>
              <w:jc w:val="center"/>
              <w:rPr>
                <w:rFonts w:asci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2F5E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84" w:type="dxa"/>
            <w:vAlign w:val="center"/>
          </w:tcPr>
          <w:p w14:paraId="0186B7F1">
            <w:pPr>
              <w:pStyle w:val="23"/>
              <w:ind w:left="0" w:leftChars="0"/>
              <w:jc w:val="center"/>
              <w:rPr>
                <w:rFonts w:asci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1918" w:type="dxa"/>
            <w:vAlign w:val="center"/>
          </w:tcPr>
          <w:p w14:paraId="49785A39">
            <w:pPr>
              <w:adjustRightInd w:val="0"/>
              <w:snapToGrid w:val="0"/>
              <w:spacing w:before="156"/>
              <w:jc w:val="center"/>
              <w:rPr>
                <w:rFonts w:ascii="宋体" w:cs="宋体"/>
                <w:color w:val="auto"/>
                <w:kern w:val="0"/>
                <w:sz w:val="21"/>
                <w:szCs w:val="21"/>
                <w:highlight w:val="none"/>
              </w:rPr>
            </w:pPr>
            <w:r>
              <w:rPr>
                <w:rFonts w:hint="eastAsia" w:ascii="宋体" w:hAnsi="宋体" w:cs="宋体"/>
                <w:color w:val="auto"/>
                <w:kern w:val="0"/>
                <w:sz w:val="21"/>
                <w:szCs w:val="21"/>
                <w:highlight w:val="none"/>
              </w:rPr>
              <w:t>重点难点分析及处理措施</w:t>
            </w:r>
          </w:p>
        </w:tc>
        <w:tc>
          <w:tcPr>
            <w:tcW w:w="6449" w:type="dxa"/>
            <w:vAlign w:val="center"/>
          </w:tcPr>
          <w:p w14:paraId="26F5D926">
            <w:pPr>
              <w:ind w:left="94" w:leftChars="26"/>
              <w:jc w:val="left"/>
              <w:rPr>
                <w:rFonts w:ascii="宋体" w:cs="宋体"/>
                <w:color w:val="auto"/>
                <w:sz w:val="21"/>
                <w:szCs w:val="21"/>
                <w:highlight w:val="none"/>
              </w:rPr>
            </w:pPr>
            <w:r>
              <w:rPr>
                <w:rFonts w:hint="eastAsia" w:ascii="宋体" w:hAnsi="宋体" w:cs="宋体"/>
                <w:color w:val="auto"/>
                <w:kern w:val="0"/>
                <w:sz w:val="21"/>
                <w:szCs w:val="21"/>
                <w:highlight w:val="none"/>
              </w:rPr>
              <w:t>根据供应商对本项目提出的实施重点、难点分析情况并采取相应的处理措施，</w:t>
            </w:r>
            <w:r>
              <w:rPr>
                <w:rFonts w:hint="eastAsia" w:ascii="宋体" w:hAnsi="宋体" w:cs="宋体"/>
                <w:color w:val="auto"/>
                <w:sz w:val="21"/>
                <w:szCs w:val="21"/>
                <w:highlight w:val="none"/>
              </w:rPr>
              <w:t>由评委评分。</w:t>
            </w:r>
          </w:p>
        </w:tc>
        <w:tc>
          <w:tcPr>
            <w:tcW w:w="888" w:type="dxa"/>
            <w:vAlign w:val="center"/>
          </w:tcPr>
          <w:p w14:paraId="6A5B9B73">
            <w:pPr>
              <w:pStyle w:val="23"/>
              <w:ind w:left="0" w:leftChars="0"/>
              <w:jc w:val="center"/>
              <w:rPr>
                <w:rFonts w:asci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42D6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84" w:type="dxa"/>
            <w:vAlign w:val="center"/>
          </w:tcPr>
          <w:p w14:paraId="3C6AA698">
            <w:pPr>
              <w:pStyle w:val="23"/>
              <w:ind w:left="0" w:leftChars="0"/>
              <w:jc w:val="center"/>
              <w:rPr>
                <w:rFonts w:asci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1918" w:type="dxa"/>
            <w:vAlign w:val="center"/>
          </w:tcPr>
          <w:p w14:paraId="29CB3C56">
            <w:pPr>
              <w:adjustRightInd w:val="0"/>
              <w:snapToGrid w:val="0"/>
              <w:spacing w:before="156" w:line="360" w:lineRule="auto"/>
              <w:jc w:val="center"/>
              <w:rPr>
                <w:rFonts w:ascii="宋体" w:cs="宋体"/>
                <w:color w:val="auto"/>
                <w:kern w:val="0"/>
                <w:sz w:val="21"/>
                <w:szCs w:val="21"/>
                <w:highlight w:val="none"/>
              </w:rPr>
            </w:pPr>
            <w:r>
              <w:rPr>
                <w:rFonts w:hint="eastAsia" w:ascii="宋体" w:hAnsi="宋体" w:cs="宋体"/>
                <w:color w:val="auto"/>
                <w:kern w:val="0"/>
                <w:sz w:val="21"/>
                <w:szCs w:val="21"/>
                <w:highlight w:val="none"/>
              </w:rPr>
              <w:t>文明安全</w:t>
            </w:r>
          </w:p>
        </w:tc>
        <w:tc>
          <w:tcPr>
            <w:tcW w:w="6449" w:type="dxa"/>
            <w:vAlign w:val="center"/>
          </w:tcPr>
          <w:p w14:paraId="2E297FD3">
            <w:pPr>
              <w:pStyle w:val="23"/>
              <w:ind w:left="0" w:leftChars="0"/>
              <w:jc w:val="left"/>
              <w:rPr>
                <w:rFonts w:ascii="宋体" w:cs="宋体"/>
                <w:color w:val="auto"/>
                <w:sz w:val="21"/>
                <w:szCs w:val="21"/>
                <w:highlight w:val="none"/>
              </w:rPr>
            </w:pPr>
            <w:r>
              <w:rPr>
                <w:rFonts w:hint="eastAsia" w:ascii="宋体" w:hAnsi="宋体" w:cs="宋体"/>
                <w:color w:val="auto"/>
                <w:sz w:val="21"/>
                <w:szCs w:val="21"/>
                <w:highlight w:val="none"/>
                <w:lang w:val="zh-CN"/>
              </w:rPr>
              <w:t>针对本项目的文明安全保障措施由评委在规定的分值内打分。</w:t>
            </w:r>
          </w:p>
        </w:tc>
        <w:tc>
          <w:tcPr>
            <w:tcW w:w="888" w:type="dxa"/>
            <w:vAlign w:val="center"/>
          </w:tcPr>
          <w:p w14:paraId="428455D5">
            <w:pPr>
              <w:pStyle w:val="23"/>
              <w:ind w:left="0" w:leftChars="0"/>
              <w:jc w:val="center"/>
              <w:rPr>
                <w:rFonts w:asci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4C2A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84" w:type="dxa"/>
            <w:vAlign w:val="center"/>
          </w:tcPr>
          <w:p w14:paraId="34C469BA">
            <w:pPr>
              <w:pStyle w:val="23"/>
              <w:ind w:left="0" w:leftChars="0"/>
              <w:jc w:val="center"/>
              <w:rPr>
                <w:rFonts w:asci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1918" w:type="dxa"/>
            <w:vAlign w:val="center"/>
          </w:tcPr>
          <w:p w14:paraId="572816D3">
            <w:pPr>
              <w:jc w:val="center"/>
              <w:rPr>
                <w:rFonts w:ascii="宋体" w:cs="宋体"/>
                <w:b/>
                <w:bCs/>
                <w:color w:val="auto"/>
                <w:sz w:val="21"/>
                <w:szCs w:val="21"/>
                <w:highlight w:val="none"/>
              </w:rPr>
            </w:pPr>
            <w:r>
              <w:rPr>
                <w:rFonts w:hint="eastAsia" w:ascii="宋体" w:hAnsi="宋体"/>
                <w:color w:val="auto"/>
                <w:sz w:val="21"/>
                <w:szCs w:val="21"/>
                <w:highlight w:val="none"/>
              </w:rPr>
              <w:t>项目质量保证</w:t>
            </w:r>
          </w:p>
        </w:tc>
        <w:tc>
          <w:tcPr>
            <w:tcW w:w="6449" w:type="dxa"/>
            <w:vAlign w:val="center"/>
          </w:tcPr>
          <w:p w14:paraId="757595AA">
            <w:pPr>
              <w:pStyle w:val="12"/>
              <w:jc w:val="left"/>
              <w:rPr>
                <w:rFonts w:ascii="宋体" w:cs="宋体"/>
                <w:b/>
                <w:bCs/>
                <w:color w:val="auto"/>
                <w:szCs w:val="21"/>
                <w:highlight w:val="none"/>
              </w:rPr>
            </w:pPr>
            <w:r>
              <w:rPr>
                <w:rFonts w:hint="eastAsia" w:ascii="宋体" w:hAnsi="宋体" w:cs="Arial"/>
                <w:color w:val="auto"/>
                <w:szCs w:val="21"/>
                <w:highlight w:val="none"/>
              </w:rPr>
              <w:t>根据</w:t>
            </w:r>
            <w:r>
              <w:rPr>
                <w:rFonts w:hint="eastAsia" w:ascii="宋体" w:hAnsi="宋体" w:cs="宋体"/>
                <w:color w:val="auto"/>
                <w:szCs w:val="21"/>
                <w:highlight w:val="none"/>
                <w:lang w:val="zh-CN"/>
              </w:rPr>
              <w:t>绿化养护</w:t>
            </w:r>
            <w:r>
              <w:rPr>
                <w:rFonts w:hint="eastAsia" w:ascii="宋体" w:cs="Arial"/>
                <w:color w:val="auto"/>
                <w:szCs w:val="21"/>
                <w:highlight w:val="none"/>
              </w:rPr>
              <w:t>质量的控制和</w:t>
            </w:r>
            <w:r>
              <w:rPr>
                <w:rFonts w:hint="eastAsia" w:ascii="宋体" w:hAnsi="宋体" w:cs="Arial"/>
                <w:color w:val="auto"/>
                <w:szCs w:val="21"/>
                <w:highlight w:val="none"/>
              </w:rPr>
              <w:t>管理</w:t>
            </w:r>
            <w:r>
              <w:rPr>
                <w:rFonts w:hint="eastAsia" w:ascii="宋体" w:cs="Arial"/>
                <w:color w:val="auto"/>
                <w:szCs w:val="21"/>
                <w:highlight w:val="none"/>
              </w:rPr>
              <w:t>手段是否科学、可靠</w:t>
            </w:r>
            <w:r>
              <w:rPr>
                <w:rFonts w:hint="eastAsia" w:ascii="宋体" w:hAnsi="宋体" w:cs="Arial"/>
                <w:color w:val="auto"/>
                <w:szCs w:val="21"/>
                <w:highlight w:val="none"/>
              </w:rPr>
              <w:t>，进行打分</w:t>
            </w:r>
            <w:r>
              <w:rPr>
                <w:rFonts w:hint="eastAsia" w:ascii="宋体" w:cs="Arial"/>
                <w:color w:val="auto"/>
                <w:szCs w:val="21"/>
                <w:highlight w:val="none"/>
              </w:rPr>
              <w:t>。</w:t>
            </w:r>
          </w:p>
        </w:tc>
        <w:tc>
          <w:tcPr>
            <w:tcW w:w="888" w:type="dxa"/>
            <w:vAlign w:val="center"/>
          </w:tcPr>
          <w:p w14:paraId="569B0A65">
            <w:pPr>
              <w:pStyle w:val="23"/>
              <w:ind w:left="0" w:leftChars="0"/>
              <w:jc w:val="center"/>
              <w:rPr>
                <w:rFonts w:asci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4B53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84" w:type="dxa"/>
            <w:vAlign w:val="center"/>
          </w:tcPr>
          <w:p w14:paraId="508685F7">
            <w:pPr>
              <w:pStyle w:val="23"/>
              <w:ind w:left="0" w:leftChars="0"/>
              <w:jc w:val="center"/>
              <w:rPr>
                <w:rFonts w:asci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1918" w:type="dxa"/>
            <w:vAlign w:val="center"/>
          </w:tcPr>
          <w:p w14:paraId="2B2E7729">
            <w:pPr>
              <w:jc w:val="center"/>
              <w:rPr>
                <w:rFonts w:ascii="宋体"/>
                <w:color w:val="auto"/>
                <w:sz w:val="21"/>
                <w:szCs w:val="21"/>
                <w:highlight w:val="none"/>
              </w:rPr>
            </w:pPr>
            <w:r>
              <w:rPr>
                <w:rFonts w:hint="eastAsia" w:ascii="宋体" w:hAnsi="宋体"/>
                <w:color w:val="auto"/>
                <w:sz w:val="21"/>
                <w:szCs w:val="21"/>
                <w:highlight w:val="none"/>
              </w:rPr>
              <w:t>项目实施力量配置</w:t>
            </w:r>
          </w:p>
        </w:tc>
        <w:tc>
          <w:tcPr>
            <w:tcW w:w="6449" w:type="dxa"/>
            <w:vAlign w:val="center"/>
          </w:tcPr>
          <w:p w14:paraId="17047142">
            <w:pPr>
              <w:pStyle w:val="12"/>
              <w:rPr>
                <w:rFonts w:ascii="宋体" w:cs="Arial"/>
                <w:color w:val="auto"/>
                <w:szCs w:val="21"/>
                <w:highlight w:val="none"/>
              </w:rPr>
            </w:pPr>
            <w:r>
              <w:rPr>
                <w:rFonts w:hint="eastAsia" w:ascii="宋体" w:hAnsi="宋体" w:cs="宋体"/>
                <w:bCs/>
                <w:color w:val="auto"/>
                <w:szCs w:val="21"/>
                <w:highlight w:val="none"/>
              </w:rPr>
              <w:t>根据供应商针对本项目投入的管理养护机器种类、设备安排、设备</w:t>
            </w:r>
            <w:r>
              <w:rPr>
                <w:rFonts w:hint="eastAsia"/>
                <w:color w:val="auto"/>
                <w:highlight w:val="none"/>
              </w:rPr>
              <w:t>到位率</w:t>
            </w:r>
            <w:r>
              <w:rPr>
                <w:rFonts w:hint="eastAsia" w:ascii="宋体" w:hAnsi="宋体" w:cs="宋体"/>
                <w:bCs/>
                <w:color w:val="auto"/>
                <w:szCs w:val="21"/>
                <w:highlight w:val="none"/>
              </w:rPr>
              <w:t>和管理措施的合理性、全面性、科学性，进行</w:t>
            </w:r>
            <w:r>
              <w:rPr>
                <w:rFonts w:hint="eastAsia" w:ascii="宋体" w:hAnsi="宋体" w:cs="Arial"/>
                <w:color w:val="auto"/>
                <w:szCs w:val="21"/>
                <w:highlight w:val="none"/>
              </w:rPr>
              <w:t>打分</w:t>
            </w:r>
            <w:r>
              <w:rPr>
                <w:rFonts w:hint="eastAsia" w:ascii="宋体" w:hAnsi="宋体" w:cs="宋体"/>
                <w:bCs/>
                <w:color w:val="auto"/>
                <w:szCs w:val="21"/>
                <w:highlight w:val="none"/>
              </w:rPr>
              <w:t>。</w:t>
            </w:r>
          </w:p>
        </w:tc>
        <w:tc>
          <w:tcPr>
            <w:tcW w:w="888" w:type="dxa"/>
            <w:vAlign w:val="center"/>
          </w:tcPr>
          <w:p w14:paraId="14F586B4">
            <w:pPr>
              <w:pStyle w:val="23"/>
              <w:ind w:left="0" w:leftChars="0"/>
              <w:jc w:val="center"/>
              <w:rPr>
                <w:rFonts w:asci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0E54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84" w:type="dxa"/>
            <w:vAlign w:val="center"/>
          </w:tcPr>
          <w:p w14:paraId="50CF749D">
            <w:pPr>
              <w:pStyle w:val="23"/>
              <w:ind w:left="0" w:left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1918" w:type="dxa"/>
            <w:vAlign w:val="center"/>
          </w:tcPr>
          <w:p w14:paraId="6EED8344">
            <w:pPr>
              <w:jc w:val="center"/>
              <w:rPr>
                <w:rFonts w:ascii="宋体" w:hAnsi="宋体"/>
                <w:color w:val="auto"/>
                <w:sz w:val="21"/>
                <w:szCs w:val="21"/>
                <w:highlight w:val="none"/>
              </w:rPr>
            </w:pPr>
            <w:r>
              <w:rPr>
                <w:rFonts w:hint="eastAsia" w:ascii="宋体" w:hAnsi="宋体"/>
                <w:color w:val="auto"/>
                <w:sz w:val="21"/>
                <w:szCs w:val="21"/>
                <w:highlight w:val="none"/>
              </w:rPr>
              <w:t>物资装备和使用耗材等配置方案</w:t>
            </w:r>
          </w:p>
        </w:tc>
        <w:tc>
          <w:tcPr>
            <w:tcW w:w="6449" w:type="dxa"/>
            <w:vAlign w:val="center"/>
          </w:tcPr>
          <w:p w14:paraId="0A02FF59">
            <w:pPr>
              <w:snapToGrid w:val="0"/>
              <w:jc w:val="left"/>
              <w:rPr>
                <w:rFonts w:ascii="宋体" w:hAnsi="宋体" w:cs="Arial"/>
                <w:color w:val="auto"/>
                <w:sz w:val="21"/>
                <w:szCs w:val="21"/>
                <w:highlight w:val="none"/>
              </w:rPr>
            </w:pPr>
            <w:r>
              <w:rPr>
                <w:rFonts w:hint="eastAsia" w:ascii="宋体" w:hAnsi="宋体" w:eastAsia="宋体"/>
                <w:bCs/>
                <w:color w:val="auto"/>
                <w:sz w:val="21"/>
                <w:szCs w:val="21"/>
                <w:highlight w:val="none"/>
              </w:rPr>
              <w:t>根据配置方案的完整性、合理性，以及设备、工具、消耗材料配备的满足性、实用性、先进性等</w:t>
            </w:r>
            <w:r>
              <w:rPr>
                <w:rFonts w:hint="eastAsia" w:ascii="宋体" w:hAnsi="宋体" w:eastAsia="宋体" w:cs="宋体"/>
                <w:color w:val="auto"/>
                <w:kern w:val="0"/>
                <w:sz w:val="21"/>
                <w:szCs w:val="21"/>
                <w:highlight w:val="none"/>
              </w:rPr>
              <w:t>酌情打分</w:t>
            </w:r>
            <w:r>
              <w:rPr>
                <w:rFonts w:hint="eastAsia" w:ascii="宋体" w:hAnsi="宋体" w:eastAsia="宋体"/>
                <w:bCs/>
                <w:color w:val="auto"/>
                <w:sz w:val="21"/>
                <w:szCs w:val="21"/>
                <w:highlight w:val="none"/>
              </w:rPr>
              <w:t>。</w:t>
            </w:r>
          </w:p>
        </w:tc>
        <w:tc>
          <w:tcPr>
            <w:tcW w:w="888" w:type="dxa"/>
            <w:vAlign w:val="center"/>
          </w:tcPr>
          <w:p w14:paraId="230421BF">
            <w:pPr>
              <w:pStyle w:val="23"/>
              <w:ind w:left="0" w:left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7800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84" w:type="dxa"/>
            <w:vAlign w:val="center"/>
          </w:tcPr>
          <w:p w14:paraId="54E1155F">
            <w:pPr>
              <w:pStyle w:val="23"/>
              <w:ind w:left="0" w:leftChars="0"/>
              <w:jc w:val="center"/>
              <w:rPr>
                <w:rFonts w:ascii="宋体" w:eastAsia="宋体" w:cs="宋体"/>
                <w:bCs/>
                <w:color w:val="auto"/>
                <w:sz w:val="21"/>
                <w:szCs w:val="21"/>
                <w:highlight w:val="none"/>
              </w:rPr>
            </w:pPr>
            <w:r>
              <w:rPr>
                <w:rFonts w:hint="eastAsia" w:ascii="宋体" w:eastAsia="宋体" w:cs="宋体"/>
                <w:bCs/>
                <w:color w:val="auto"/>
                <w:sz w:val="21"/>
                <w:szCs w:val="21"/>
                <w:highlight w:val="none"/>
              </w:rPr>
              <w:t>12</w:t>
            </w:r>
          </w:p>
        </w:tc>
        <w:tc>
          <w:tcPr>
            <w:tcW w:w="1918" w:type="dxa"/>
            <w:vAlign w:val="center"/>
          </w:tcPr>
          <w:p w14:paraId="42E8A0C0">
            <w:pPr>
              <w:snapToGrid w:val="0"/>
              <w:jc w:val="center"/>
              <w:rPr>
                <w:rFonts w:ascii="宋体" w:hAnsi="宋体" w:eastAsia="宋体"/>
                <w:bCs/>
                <w:color w:val="auto"/>
                <w:sz w:val="21"/>
                <w:szCs w:val="21"/>
                <w:highlight w:val="none"/>
              </w:rPr>
            </w:pPr>
            <w:r>
              <w:rPr>
                <w:rFonts w:hint="eastAsia" w:ascii="宋体" w:hAnsi="宋体" w:eastAsia="宋体"/>
                <w:bCs/>
                <w:color w:val="auto"/>
                <w:sz w:val="21"/>
                <w:szCs w:val="21"/>
                <w:highlight w:val="none"/>
              </w:rPr>
              <w:t>员工队伍</w:t>
            </w:r>
          </w:p>
        </w:tc>
        <w:tc>
          <w:tcPr>
            <w:tcW w:w="6449" w:type="dxa"/>
            <w:vAlign w:val="center"/>
          </w:tcPr>
          <w:p w14:paraId="7C8A50A6">
            <w:pPr>
              <w:snapToGrid w:val="0"/>
              <w:jc w:val="left"/>
              <w:rPr>
                <w:rFonts w:ascii="宋体" w:hAnsi="宋体" w:eastAsia="宋体"/>
                <w:bCs/>
                <w:color w:val="auto"/>
                <w:sz w:val="21"/>
                <w:szCs w:val="21"/>
                <w:highlight w:val="none"/>
              </w:rPr>
            </w:pPr>
            <w:r>
              <w:rPr>
                <w:rFonts w:hint="eastAsia" w:ascii="宋体" w:hAnsi="宋体" w:eastAsia="宋体"/>
                <w:bCs/>
                <w:color w:val="auto"/>
                <w:sz w:val="21"/>
                <w:szCs w:val="21"/>
                <w:highlight w:val="none"/>
              </w:rPr>
              <w:t>根据投标人针对本项目提供的员工招聘、培训、管理、配置及职责分工、稳定措施等计划和方案的科学性、全面性等情况综合打分。</w:t>
            </w:r>
          </w:p>
        </w:tc>
        <w:tc>
          <w:tcPr>
            <w:tcW w:w="888" w:type="dxa"/>
            <w:vAlign w:val="center"/>
          </w:tcPr>
          <w:p w14:paraId="1D6E6AF8">
            <w:pPr>
              <w:pStyle w:val="23"/>
              <w:ind w:left="0" w:left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1305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84" w:type="dxa"/>
            <w:vAlign w:val="center"/>
          </w:tcPr>
          <w:p w14:paraId="5D3036AE">
            <w:pPr>
              <w:pStyle w:val="23"/>
              <w:ind w:left="0" w:leftChars="0"/>
              <w:jc w:val="center"/>
              <w:rPr>
                <w:rFonts w:asci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1918" w:type="dxa"/>
            <w:vAlign w:val="center"/>
          </w:tcPr>
          <w:p w14:paraId="7A250122">
            <w:pPr>
              <w:jc w:val="center"/>
              <w:rPr>
                <w:rFonts w:ascii="宋体"/>
                <w:color w:val="auto"/>
                <w:sz w:val="21"/>
                <w:szCs w:val="21"/>
                <w:highlight w:val="none"/>
              </w:rPr>
            </w:pPr>
            <w:r>
              <w:rPr>
                <w:rFonts w:hint="eastAsia" w:ascii="宋体" w:hAnsi="宋体" w:cs="宋体"/>
                <w:color w:val="auto"/>
                <w:sz w:val="21"/>
                <w:szCs w:val="21"/>
                <w:highlight w:val="none"/>
              </w:rPr>
              <w:t>应急预案及服务响应时间承诺</w:t>
            </w:r>
          </w:p>
        </w:tc>
        <w:tc>
          <w:tcPr>
            <w:tcW w:w="6449" w:type="dxa"/>
            <w:vAlign w:val="center"/>
          </w:tcPr>
          <w:p w14:paraId="2BBB0E71">
            <w:pPr>
              <w:pStyle w:val="12"/>
              <w:jc w:val="left"/>
              <w:rPr>
                <w:rFonts w:ascii="宋体" w:cs="宋体"/>
                <w:bCs/>
                <w:color w:val="auto"/>
                <w:szCs w:val="21"/>
                <w:highlight w:val="none"/>
              </w:rPr>
            </w:pPr>
            <w:r>
              <w:rPr>
                <w:rFonts w:hint="eastAsia" w:ascii="宋体" w:hAnsi="宋体" w:cs="宋体"/>
                <w:bCs/>
                <w:color w:val="auto"/>
                <w:szCs w:val="21"/>
                <w:highlight w:val="none"/>
              </w:rPr>
              <w:t>针对本项目的应急预案及服务响应时间承诺，由评委进行打分。</w:t>
            </w:r>
          </w:p>
        </w:tc>
        <w:tc>
          <w:tcPr>
            <w:tcW w:w="888" w:type="dxa"/>
            <w:vAlign w:val="center"/>
          </w:tcPr>
          <w:p w14:paraId="6CB0BF25">
            <w:pPr>
              <w:pStyle w:val="23"/>
              <w:ind w:left="0" w:left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r>
      <w:tr w14:paraId="608F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84" w:type="dxa"/>
            <w:vAlign w:val="center"/>
          </w:tcPr>
          <w:p w14:paraId="725DCCED">
            <w:pPr>
              <w:pStyle w:val="23"/>
              <w:ind w:left="0" w:leftChars="0"/>
              <w:jc w:val="center"/>
              <w:rPr>
                <w:rFonts w:ascii="宋体" w:eastAsia="宋体"/>
                <w:bCs/>
                <w:color w:val="auto"/>
                <w:sz w:val="21"/>
                <w:szCs w:val="21"/>
                <w:highlight w:val="none"/>
              </w:rPr>
            </w:pPr>
            <w:r>
              <w:rPr>
                <w:rFonts w:hint="eastAsia" w:ascii="宋体" w:eastAsia="宋体"/>
                <w:bCs/>
                <w:color w:val="auto"/>
                <w:sz w:val="21"/>
                <w:szCs w:val="21"/>
                <w:highlight w:val="none"/>
              </w:rPr>
              <w:t>14</w:t>
            </w:r>
          </w:p>
        </w:tc>
        <w:tc>
          <w:tcPr>
            <w:tcW w:w="1918" w:type="dxa"/>
            <w:vAlign w:val="center"/>
          </w:tcPr>
          <w:p w14:paraId="689523CF">
            <w:pPr>
              <w:pStyle w:val="23"/>
              <w:ind w:left="0" w:leftChars="0"/>
              <w:jc w:val="center"/>
              <w:rPr>
                <w:rFonts w:ascii="宋体"/>
                <w:color w:val="auto"/>
                <w:sz w:val="21"/>
                <w:szCs w:val="21"/>
                <w:highlight w:val="none"/>
              </w:rPr>
            </w:pPr>
            <w:r>
              <w:rPr>
                <w:rFonts w:hint="eastAsia" w:ascii="宋体"/>
                <w:color w:val="auto"/>
                <w:sz w:val="21"/>
                <w:szCs w:val="21"/>
                <w:highlight w:val="none"/>
              </w:rPr>
              <w:t>本地化服务</w:t>
            </w:r>
          </w:p>
        </w:tc>
        <w:tc>
          <w:tcPr>
            <w:tcW w:w="6449" w:type="dxa"/>
            <w:vAlign w:val="center"/>
          </w:tcPr>
          <w:p w14:paraId="4EFAC83B">
            <w:pPr>
              <w:widowControl/>
              <w:ind w:right="248" w:rightChars="69"/>
              <w:rPr>
                <w:rFonts w:ascii="宋体" w:cs="宋体"/>
                <w:bCs/>
                <w:color w:val="auto"/>
                <w:sz w:val="21"/>
                <w:szCs w:val="21"/>
                <w:highlight w:val="none"/>
              </w:rPr>
            </w:pPr>
            <w:r>
              <w:rPr>
                <w:rFonts w:hint="eastAsia" w:ascii="宋体" w:hAnsi="宋体" w:cs="宋体"/>
                <w:bCs/>
                <w:color w:val="auto"/>
                <w:sz w:val="21"/>
                <w:szCs w:val="21"/>
                <w:highlight w:val="none"/>
              </w:rPr>
              <w:t>根据供应商承诺设有机构网点，办公场所并能满足机具停放要求和材料仓库，评委</w:t>
            </w:r>
            <w:r>
              <w:rPr>
                <w:rFonts w:hint="eastAsia" w:ascii="宋体" w:hAnsi="宋体" w:cs="宋体"/>
                <w:bCs/>
                <w:color w:val="auto"/>
                <w:sz w:val="21"/>
                <w:szCs w:val="21"/>
                <w:highlight w:val="none"/>
                <w:lang w:val="zh-CN"/>
              </w:rPr>
              <w:t>根据</w:t>
            </w:r>
            <w:r>
              <w:rPr>
                <w:rFonts w:hint="eastAsia" w:ascii="宋体" w:hAnsi="宋体" w:cs="宋体"/>
                <w:bCs/>
                <w:color w:val="auto"/>
                <w:sz w:val="21"/>
                <w:szCs w:val="21"/>
                <w:highlight w:val="none"/>
              </w:rPr>
              <w:t>供应商提供的相关资料</w:t>
            </w:r>
            <w:r>
              <w:rPr>
                <w:rFonts w:hint="eastAsia" w:ascii="宋体" w:hAnsi="宋体" w:cs="宋体"/>
                <w:bCs/>
                <w:color w:val="auto"/>
                <w:sz w:val="21"/>
                <w:szCs w:val="21"/>
                <w:highlight w:val="none"/>
                <w:lang w:val="zh-CN"/>
              </w:rPr>
              <w:t>的完整性、合理性、针对性</w:t>
            </w:r>
            <w:r>
              <w:rPr>
                <w:rFonts w:hint="eastAsia" w:ascii="宋体" w:hAnsi="宋体" w:cs="宋体"/>
                <w:bCs/>
                <w:color w:val="auto"/>
                <w:sz w:val="21"/>
                <w:szCs w:val="21"/>
                <w:highlight w:val="none"/>
              </w:rPr>
              <w:t>进行</w:t>
            </w:r>
            <w:r>
              <w:rPr>
                <w:rFonts w:hint="eastAsia" w:ascii="宋体" w:hAnsi="宋体" w:cs="宋体"/>
                <w:bCs/>
                <w:color w:val="auto"/>
                <w:sz w:val="21"/>
                <w:szCs w:val="21"/>
                <w:highlight w:val="none"/>
                <w:lang w:val="zh-CN"/>
              </w:rPr>
              <w:t>打分</w:t>
            </w:r>
            <w:r>
              <w:rPr>
                <w:rFonts w:hint="eastAsia" w:ascii="宋体" w:hAnsi="宋体" w:cs="宋体"/>
                <w:bCs/>
                <w:color w:val="auto"/>
                <w:sz w:val="21"/>
                <w:szCs w:val="21"/>
                <w:highlight w:val="none"/>
              </w:rPr>
              <w:t>。</w:t>
            </w:r>
          </w:p>
        </w:tc>
        <w:tc>
          <w:tcPr>
            <w:tcW w:w="888" w:type="dxa"/>
            <w:vAlign w:val="center"/>
          </w:tcPr>
          <w:p w14:paraId="582A852E">
            <w:pPr>
              <w:pStyle w:val="23"/>
              <w:ind w:left="0" w:left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r>
      <w:tr w14:paraId="4953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4" w:type="dxa"/>
            <w:vAlign w:val="center"/>
          </w:tcPr>
          <w:p w14:paraId="5E8D7A42">
            <w:pPr>
              <w:pStyle w:val="23"/>
              <w:ind w:left="0" w:leftChars="0"/>
              <w:jc w:val="center"/>
              <w:rPr>
                <w:rFonts w:ascii="宋体" w:eastAsia="宋体"/>
                <w:bCs/>
                <w:color w:val="auto"/>
                <w:sz w:val="21"/>
                <w:szCs w:val="21"/>
                <w:highlight w:val="none"/>
              </w:rPr>
            </w:pPr>
            <w:r>
              <w:rPr>
                <w:rFonts w:hint="eastAsia" w:ascii="宋体" w:eastAsia="宋体"/>
                <w:bCs/>
                <w:color w:val="auto"/>
                <w:sz w:val="21"/>
                <w:szCs w:val="21"/>
                <w:highlight w:val="none"/>
              </w:rPr>
              <w:t>15</w:t>
            </w:r>
          </w:p>
        </w:tc>
        <w:tc>
          <w:tcPr>
            <w:tcW w:w="1918" w:type="dxa"/>
            <w:vAlign w:val="center"/>
          </w:tcPr>
          <w:p w14:paraId="47A78214">
            <w:pPr>
              <w:pStyle w:val="23"/>
              <w:ind w:left="0" w:leftChars="0"/>
              <w:jc w:val="center"/>
              <w:rPr>
                <w:rFonts w:ascii="宋体"/>
                <w:color w:val="auto"/>
                <w:sz w:val="21"/>
                <w:szCs w:val="21"/>
                <w:highlight w:val="none"/>
              </w:rPr>
            </w:pPr>
            <w:r>
              <w:rPr>
                <w:rFonts w:hint="eastAsia" w:ascii="宋体" w:hAnsi="宋体" w:cs="宋体"/>
                <w:color w:val="auto"/>
                <w:sz w:val="21"/>
                <w:szCs w:val="21"/>
                <w:highlight w:val="none"/>
              </w:rPr>
              <w:t>合理性建议</w:t>
            </w:r>
          </w:p>
        </w:tc>
        <w:tc>
          <w:tcPr>
            <w:tcW w:w="6449" w:type="dxa"/>
            <w:vAlign w:val="center"/>
          </w:tcPr>
          <w:p w14:paraId="3FEE44F2">
            <w:pPr>
              <w:widowControl/>
              <w:ind w:right="248" w:rightChars="69"/>
              <w:rPr>
                <w:rFonts w:ascii="宋体" w:cs="宋体"/>
                <w:bCs/>
                <w:color w:val="auto"/>
                <w:sz w:val="21"/>
                <w:szCs w:val="21"/>
                <w:highlight w:val="none"/>
              </w:rPr>
            </w:pPr>
            <w:r>
              <w:rPr>
                <w:rFonts w:hint="eastAsia" w:ascii="宋体" w:cs="宋体"/>
                <w:color w:val="auto"/>
                <w:kern w:val="0"/>
                <w:sz w:val="21"/>
                <w:szCs w:val="21"/>
                <w:highlight w:val="none"/>
                <w:lang w:val="zh-CN"/>
              </w:rPr>
              <w:t>针对本项目提出合理可行的优化措施，</w:t>
            </w:r>
            <w:r>
              <w:rPr>
                <w:rFonts w:hint="eastAsia" w:ascii="宋体" w:cs="宋体"/>
                <w:color w:val="auto"/>
                <w:kern w:val="0"/>
                <w:sz w:val="21"/>
                <w:szCs w:val="21"/>
                <w:highlight w:val="none"/>
              </w:rPr>
              <w:t>根据招标内容的实际现状，总结存在的问题，并提出相应的解决措施，最高得</w:t>
            </w:r>
            <w:r>
              <w:rPr>
                <w:rFonts w:hint="eastAsia" w:ascii="宋体" w:eastAsia="宋体" w:cs="宋体"/>
                <w:color w:val="auto"/>
                <w:kern w:val="0"/>
                <w:sz w:val="21"/>
                <w:szCs w:val="21"/>
                <w:highlight w:val="none"/>
              </w:rPr>
              <w:t>4</w:t>
            </w:r>
            <w:r>
              <w:rPr>
                <w:rFonts w:hint="eastAsia" w:ascii="宋体" w:cs="宋体"/>
                <w:color w:val="auto"/>
                <w:kern w:val="0"/>
                <w:sz w:val="21"/>
                <w:szCs w:val="21"/>
                <w:highlight w:val="none"/>
              </w:rPr>
              <w:t>分。</w:t>
            </w:r>
          </w:p>
        </w:tc>
        <w:tc>
          <w:tcPr>
            <w:tcW w:w="888" w:type="dxa"/>
            <w:vAlign w:val="center"/>
          </w:tcPr>
          <w:p w14:paraId="7ACC62A5">
            <w:pPr>
              <w:pStyle w:val="23"/>
              <w:ind w:left="0" w:left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r>
      <w:tr w14:paraId="41A3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784" w:type="dxa"/>
            <w:vAlign w:val="center"/>
          </w:tcPr>
          <w:p w14:paraId="23EBD5A6">
            <w:pPr>
              <w:widowControl/>
              <w:jc w:val="center"/>
              <w:rPr>
                <w:rFonts w:ascii="宋体" w:cs="宋体"/>
                <w:b/>
                <w:color w:val="auto"/>
                <w:sz w:val="21"/>
                <w:szCs w:val="21"/>
                <w:highlight w:val="none"/>
              </w:rPr>
            </w:pPr>
            <w:r>
              <w:rPr>
                <w:rFonts w:hint="eastAsia" w:ascii="宋体" w:hAnsi="宋体" w:cs="宋体"/>
                <w:b/>
                <w:color w:val="auto"/>
                <w:sz w:val="21"/>
                <w:szCs w:val="21"/>
                <w:highlight w:val="none"/>
              </w:rPr>
              <w:t>备注</w:t>
            </w:r>
          </w:p>
        </w:tc>
        <w:tc>
          <w:tcPr>
            <w:tcW w:w="9255" w:type="dxa"/>
            <w:gridSpan w:val="3"/>
            <w:vAlign w:val="center"/>
          </w:tcPr>
          <w:p w14:paraId="3214211B">
            <w:pPr>
              <w:jc w:val="center"/>
              <w:rPr>
                <w:rFonts w:ascii="宋体" w:cs="宋体"/>
                <w:color w:val="auto"/>
                <w:sz w:val="21"/>
                <w:szCs w:val="21"/>
                <w:highlight w:val="none"/>
              </w:rPr>
            </w:pPr>
            <w:r>
              <w:rPr>
                <w:rFonts w:hint="eastAsia" w:ascii="宋体" w:hAnsi="宋体" w:cs="宋体"/>
                <w:color w:val="auto"/>
                <w:kern w:val="0"/>
                <w:sz w:val="21"/>
                <w:szCs w:val="21"/>
                <w:highlight w:val="none"/>
              </w:rPr>
              <w:t>评委打分小数点后保留一位</w:t>
            </w:r>
          </w:p>
        </w:tc>
      </w:tr>
    </w:tbl>
    <w:p w14:paraId="4E95A300">
      <w:pPr>
        <w:pStyle w:val="13"/>
        <w:ind w:firstLine="210"/>
        <w:rPr>
          <w:color w:val="auto"/>
          <w:highlight w:val="none"/>
        </w:rPr>
      </w:pPr>
    </w:p>
    <w:bookmarkEnd w:id="84"/>
    <w:p w14:paraId="195E943E">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3C41C6D">
      <w:pPr>
        <w:numPr>
          <w:ilvl w:val="0"/>
          <w:numId w:val="7"/>
        </w:numPr>
        <w:autoSpaceDE w:val="0"/>
        <w:autoSpaceDN w:val="0"/>
        <w:adjustRightInd w:val="0"/>
        <w:jc w:val="center"/>
        <w:outlineLvl w:val="0"/>
        <w:rPr>
          <w:rFonts w:ascii="宋体" w:hAnsi="宋体" w:eastAsia="宋体" w:cs="宋体"/>
          <w:b/>
          <w:color w:val="auto"/>
          <w:sz w:val="28"/>
          <w:szCs w:val="28"/>
          <w:highlight w:val="none"/>
        </w:rPr>
      </w:pPr>
      <w:bookmarkStart w:id="86" w:name="_Toc18790"/>
      <w:r>
        <w:rPr>
          <w:rFonts w:hint="eastAsia" w:ascii="宋体" w:hAnsi="宋体" w:eastAsia="宋体" w:cs="宋体"/>
          <w:b/>
          <w:color w:val="auto"/>
          <w:sz w:val="28"/>
          <w:szCs w:val="28"/>
          <w:highlight w:val="none"/>
        </w:rPr>
        <w:t>合同条款及格式</w:t>
      </w:r>
      <w:bookmarkEnd w:id="86"/>
    </w:p>
    <w:p w14:paraId="44FEDA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eastAsia="宋体" w:cs="宋体"/>
          <w:b/>
          <w:color w:val="auto"/>
          <w:sz w:val="24"/>
          <w:highlight w:val="none"/>
        </w:rPr>
      </w:pPr>
      <w:bookmarkStart w:id="87" w:name="_Toc240724385"/>
    </w:p>
    <w:p w14:paraId="1D17FB97">
      <w:pPr>
        <w:adjustRightInd w:val="0"/>
        <w:snapToGrid w:val="0"/>
        <w:spacing w:line="360" w:lineRule="auto"/>
        <w:ind w:firstLine="420" w:firstLineChars="200"/>
        <w:jc w:val="center"/>
        <w:rPr>
          <w:rFonts w:ascii="宋体" w:hAnsi="宋体" w:eastAsia="宋体"/>
          <w:color w:val="auto"/>
          <w:sz w:val="21"/>
          <w:highlight w:val="none"/>
        </w:rPr>
      </w:pPr>
      <w:r>
        <w:rPr>
          <w:rFonts w:hint="eastAsia" w:ascii="宋体" w:hAnsi="宋体" w:eastAsia="宋体"/>
          <w:color w:val="auto"/>
          <w:sz w:val="21"/>
          <w:highlight w:val="none"/>
        </w:rPr>
        <w:t>（仅供参考；本合同为合同样稿，最终稿由甲乙双方协商后确定）</w:t>
      </w:r>
    </w:p>
    <w:p w14:paraId="7E1100E7">
      <w:pPr>
        <w:spacing w:line="360" w:lineRule="auto"/>
        <w:rPr>
          <w:color w:val="auto"/>
          <w:sz w:val="24"/>
          <w:highlight w:val="none"/>
        </w:rPr>
      </w:pPr>
      <w:r>
        <w:rPr>
          <w:rFonts w:hint="eastAsia"/>
          <w:color w:val="auto"/>
          <w:sz w:val="24"/>
          <w:highlight w:val="none"/>
        </w:rPr>
        <w:t>合同编号：</w:t>
      </w:r>
    </w:p>
    <w:p w14:paraId="09082F57">
      <w:pPr>
        <w:spacing w:line="360" w:lineRule="auto"/>
        <w:rPr>
          <w:color w:val="auto"/>
          <w:sz w:val="24"/>
          <w:highlight w:val="none"/>
        </w:rPr>
      </w:pPr>
    </w:p>
    <w:p w14:paraId="613BF7A8">
      <w:pPr>
        <w:spacing w:line="360" w:lineRule="auto"/>
        <w:rPr>
          <w:color w:val="auto"/>
          <w:sz w:val="24"/>
          <w:highlight w:val="none"/>
        </w:rPr>
      </w:pPr>
    </w:p>
    <w:p w14:paraId="76CE63D1">
      <w:pPr>
        <w:spacing w:line="360" w:lineRule="auto"/>
        <w:jc w:val="center"/>
        <w:rPr>
          <w:b/>
          <w:color w:val="auto"/>
          <w:sz w:val="72"/>
          <w:szCs w:val="72"/>
          <w:highlight w:val="none"/>
        </w:rPr>
      </w:pPr>
      <w:r>
        <w:rPr>
          <w:rFonts w:hint="eastAsia"/>
          <w:b/>
          <w:color w:val="auto"/>
          <w:sz w:val="72"/>
          <w:szCs w:val="72"/>
          <w:highlight w:val="none"/>
        </w:rPr>
        <w:t>合  同  书</w:t>
      </w:r>
    </w:p>
    <w:p w14:paraId="26B6B46C">
      <w:pPr>
        <w:spacing w:line="360" w:lineRule="auto"/>
        <w:rPr>
          <w:color w:val="auto"/>
          <w:sz w:val="24"/>
          <w:highlight w:val="none"/>
        </w:rPr>
      </w:pPr>
    </w:p>
    <w:p w14:paraId="22044B37">
      <w:pPr>
        <w:spacing w:line="360" w:lineRule="auto"/>
        <w:rPr>
          <w:color w:val="auto"/>
          <w:sz w:val="24"/>
          <w:highlight w:val="none"/>
        </w:rPr>
      </w:pPr>
    </w:p>
    <w:p w14:paraId="2ACC51F6">
      <w:pPr>
        <w:spacing w:line="360" w:lineRule="auto"/>
        <w:rPr>
          <w:color w:val="auto"/>
          <w:sz w:val="24"/>
          <w:highlight w:val="none"/>
        </w:rPr>
      </w:pPr>
    </w:p>
    <w:p w14:paraId="2AADDA51">
      <w:pPr>
        <w:spacing w:line="360" w:lineRule="auto"/>
        <w:rPr>
          <w:color w:val="auto"/>
          <w:sz w:val="24"/>
          <w:highlight w:val="none"/>
        </w:rPr>
      </w:pPr>
    </w:p>
    <w:p w14:paraId="53EB6FD7">
      <w:pPr>
        <w:spacing w:line="360" w:lineRule="auto"/>
        <w:rPr>
          <w:color w:val="auto"/>
          <w:sz w:val="24"/>
          <w:highlight w:val="none"/>
        </w:rPr>
      </w:pPr>
    </w:p>
    <w:p w14:paraId="02FB5A22">
      <w:pPr>
        <w:spacing w:line="360" w:lineRule="auto"/>
        <w:ind w:firstLine="480" w:firstLineChars="200"/>
        <w:rPr>
          <w:color w:val="auto"/>
          <w:sz w:val="24"/>
          <w:highlight w:val="none"/>
        </w:rPr>
      </w:pPr>
      <w:r>
        <w:rPr>
          <w:rFonts w:hint="eastAsia"/>
          <w:color w:val="auto"/>
          <w:sz w:val="24"/>
          <w:highlight w:val="none"/>
        </w:rPr>
        <w:t>项目名称：</w:t>
      </w:r>
      <w:r>
        <w:rPr>
          <w:rFonts w:hint="eastAsia"/>
          <w:color w:val="auto"/>
          <w:sz w:val="24"/>
          <w:highlight w:val="none"/>
          <w:u w:val="single"/>
        </w:rPr>
        <w:t xml:space="preserve">                                                 </w:t>
      </w:r>
    </w:p>
    <w:p w14:paraId="54496771">
      <w:pPr>
        <w:spacing w:line="360" w:lineRule="auto"/>
        <w:rPr>
          <w:color w:val="auto"/>
          <w:sz w:val="24"/>
          <w:highlight w:val="none"/>
        </w:rPr>
      </w:pPr>
    </w:p>
    <w:p w14:paraId="1C07D58F">
      <w:pPr>
        <w:spacing w:line="360" w:lineRule="auto"/>
        <w:ind w:firstLine="480" w:firstLineChars="200"/>
        <w:rPr>
          <w:color w:val="auto"/>
          <w:sz w:val="24"/>
          <w:highlight w:val="none"/>
        </w:rPr>
      </w:pPr>
      <w:r>
        <w:rPr>
          <w:rFonts w:hint="eastAsia"/>
          <w:color w:val="auto"/>
          <w:sz w:val="24"/>
          <w:highlight w:val="none"/>
        </w:rPr>
        <w:t>甲    方：</w:t>
      </w:r>
      <w:r>
        <w:rPr>
          <w:rFonts w:hint="eastAsia"/>
          <w:color w:val="auto"/>
          <w:sz w:val="24"/>
          <w:highlight w:val="none"/>
          <w:u w:val="single"/>
        </w:rPr>
        <w:t xml:space="preserve">                                                 </w:t>
      </w:r>
    </w:p>
    <w:p w14:paraId="1BB65985">
      <w:pPr>
        <w:spacing w:line="360" w:lineRule="auto"/>
        <w:rPr>
          <w:color w:val="auto"/>
          <w:sz w:val="24"/>
          <w:highlight w:val="none"/>
        </w:rPr>
      </w:pPr>
    </w:p>
    <w:p w14:paraId="558DDE44">
      <w:pPr>
        <w:spacing w:line="360" w:lineRule="auto"/>
        <w:ind w:firstLine="480" w:firstLineChars="200"/>
        <w:rPr>
          <w:color w:val="auto"/>
          <w:sz w:val="24"/>
          <w:highlight w:val="none"/>
        </w:rPr>
      </w:pPr>
      <w:r>
        <w:rPr>
          <w:rFonts w:hint="eastAsia"/>
          <w:color w:val="auto"/>
          <w:sz w:val="24"/>
          <w:highlight w:val="none"/>
        </w:rPr>
        <w:t>乙    方：</w:t>
      </w:r>
      <w:r>
        <w:rPr>
          <w:rFonts w:hint="eastAsia"/>
          <w:color w:val="auto"/>
          <w:sz w:val="24"/>
          <w:highlight w:val="none"/>
          <w:u w:val="single"/>
        </w:rPr>
        <w:t xml:space="preserve">                                                 </w:t>
      </w:r>
      <w:r>
        <w:rPr>
          <w:rFonts w:hint="eastAsia"/>
          <w:color w:val="auto"/>
          <w:sz w:val="24"/>
          <w:highlight w:val="none"/>
        </w:rPr>
        <w:t xml:space="preserve"> </w:t>
      </w:r>
    </w:p>
    <w:p w14:paraId="0D4A2E0C">
      <w:pPr>
        <w:spacing w:line="360" w:lineRule="auto"/>
        <w:rPr>
          <w:color w:val="auto"/>
          <w:sz w:val="24"/>
          <w:highlight w:val="none"/>
        </w:rPr>
      </w:pPr>
    </w:p>
    <w:p w14:paraId="08C3601B">
      <w:pPr>
        <w:spacing w:line="360" w:lineRule="auto"/>
        <w:ind w:firstLine="480" w:firstLineChars="200"/>
        <w:rPr>
          <w:color w:val="auto"/>
          <w:sz w:val="24"/>
          <w:highlight w:val="none"/>
        </w:rPr>
      </w:pPr>
    </w:p>
    <w:p w14:paraId="2F510A4F">
      <w:pPr>
        <w:spacing w:line="360" w:lineRule="auto"/>
        <w:rPr>
          <w:color w:val="auto"/>
          <w:sz w:val="24"/>
          <w:highlight w:val="none"/>
        </w:rPr>
      </w:pPr>
    </w:p>
    <w:p w14:paraId="6CA97476">
      <w:pPr>
        <w:spacing w:line="360" w:lineRule="auto"/>
        <w:rPr>
          <w:color w:val="auto"/>
          <w:sz w:val="24"/>
          <w:highlight w:val="none"/>
        </w:rPr>
      </w:pPr>
    </w:p>
    <w:p w14:paraId="64F4B96E">
      <w:pPr>
        <w:spacing w:line="360" w:lineRule="auto"/>
        <w:rPr>
          <w:color w:val="auto"/>
          <w:sz w:val="24"/>
          <w:highlight w:val="none"/>
        </w:rPr>
      </w:pPr>
    </w:p>
    <w:p w14:paraId="3FD28A57">
      <w:pPr>
        <w:spacing w:line="360" w:lineRule="auto"/>
        <w:rPr>
          <w:color w:val="auto"/>
          <w:sz w:val="24"/>
          <w:highlight w:val="none"/>
        </w:rPr>
      </w:pPr>
    </w:p>
    <w:p w14:paraId="54362956">
      <w:pPr>
        <w:spacing w:line="360" w:lineRule="auto"/>
        <w:ind w:firstLine="2160" w:firstLineChars="900"/>
        <w:rPr>
          <w:color w:val="auto"/>
          <w:sz w:val="24"/>
          <w:highlight w:val="none"/>
        </w:rPr>
      </w:pPr>
      <w:r>
        <w:rPr>
          <w:rFonts w:hint="eastAsia"/>
          <w:color w:val="auto"/>
          <w:sz w:val="24"/>
          <w:highlight w:val="none"/>
        </w:rPr>
        <w:t>签订地点：浙江省仙居县</w:t>
      </w:r>
    </w:p>
    <w:p w14:paraId="2340F90D">
      <w:pPr>
        <w:spacing w:line="360" w:lineRule="auto"/>
        <w:ind w:firstLine="2160" w:firstLineChars="900"/>
        <w:rPr>
          <w:color w:val="auto"/>
          <w:sz w:val="24"/>
          <w:highlight w:val="none"/>
        </w:rPr>
      </w:pPr>
      <w:r>
        <w:rPr>
          <w:rFonts w:hint="eastAsia"/>
          <w:color w:val="auto"/>
          <w:sz w:val="24"/>
          <w:highlight w:val="none"/>
        </w:rPr>
        <w:t xml:space="preserve">签订日期：    年    月 </w:t>
      </w:r>
      <w:r>
        <w:rPr>
          <w:rFonts w:hint="eastAsia" w:eastAsia="宋体"/>
          <w:color w:val="auto"/>
          <w:sz w:val="24"/>
          <w:highlight w:val="none"/>
        </w:rPr>
        <w:t xml:space="preserve"> </w:t>
      </w:r>
      <w:r>
        <w:rPr>
          <w:rFonts w:hint="eastAsia"/>
          <w:color w:val="auto"/>
          <w:sz w:val="24"/>
          <w:highlight w:val="none"/>
        </w:rPr>
        <w:t xml:space="preserve">  日</w:t>
      </w:r>
    </w:p>
    <w:p w14:paraId="4565D8FD">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A0BF3CC">
      <w:pPr>
        <w:pStyle w:val="5"/>
        <w:spacing w:before="360" w:beforeLines="150" w:line="600" w:lineRule="auto"/>
        <w:ind w:firstLine="632" w:firstLineChars="300"/>
        <w:rPr>
          <w:rFonts w:ascii="宋体" w:hAnsi="宋体" w:eastAsia="宋体"/>
          <w:color w:val="auto"/>
          <w:sz w:val="21"/>
          <w:highlight w:val="none"/>
          <w:lang w:val="zh-CN"/>
        </w:rPr>
      </w:pPr>
      <w:r>
        <w:rPr>
          <w:rFonts w:ascii="宋体" w:hAnsi="宋体" w:eastAsia="宋体"/>
          <w:color w:val="auto"/>
          <w:sz w:val="21"/>
          <w:highlight w:val="none"/>
          <w:u w:val="single"/>
          <w:lang w:val="zh-CN"/>
        </w:rPr>
        <w:t xml:space="preserve"> </w:t>
      </w:r>
      <w:r>
        <w:rPr>
          <w:rFonts w:ascii="宋体" w:hAnsi="宋体" w:eastAsia="宋体"/>
          <w:color w:val="auto"/>
          <w:sz w:val="21"/>
          <w:highlight w:val="none"/>
          <w:u w:val="single"/>
        </w:rPr>
        <w:t xml:space="preserve">                 </w:t>
      </w:r>
      <w:r>
        <w:rPr>
          <w:rFonts w:ascii="宋体" w:hAnsi="宋体" w:eastAsia="宋体"/>
          <w:color w:val="auto"/>
          <w:sz w:val="21"/>
          <w:highlight w:val="none"/>
          <w:u w:val="single"/>
          <w:lang w:val="zh-CN"/>
        </w:rPr>
        <w:t xml:space="preserve">                  </w:t>
      </w:r>
      <w:bookmarkStart w:id="88" w:name="_Toc515908899"/>
      <w:r>
        <w:rPr>
          <w:rFonts w:hint="eastAsia" w:ascii="宋体" w:hAnsi="宋体" w:eastAsia="宋体"/>
          <w:color w:val="auto"/>
          <w:sz w:val="21"/>
          <w:highlight w:val="none"/>
          <w:lang w:val="zh-CN"/>
        </w:rPr>
        <w:t>养护承包合同（范本）</w:t>
      </w:r>
      <w:bookmarkEnd w:id="88"/>
    </w:p>
    <w:p w14:paraId="3A56B455">
      <w:pPr>
        <w:widowControl/>
        <w:spacing w:line="480" w:lineRule="auto"/>
        <w:ind w:firstLine="420" w:firstLineChars="200"/>
        <w:jc w:val="left"/>
        <w:rPr>
          <w:rFonts w:ascii="宋体" w:hAnsi="宋体"/>
          <w:color w:val="auto"/>
          <w:sz w:val="21"/>
          <w:highlight w:val="none"/>
        </w:rPr>
      </w:pPr>
      <w:r>
        <w:rPr>
          <w:rFonts w:hint="eastAsia" w:ascii="宋体" w:hAnsi="宋体"/>
          <w:b/>
          <w:color w:val="auto"/>
          <w:sz w:val="21"/>
          <w:highlight w:val="none"/>
        </w:rPr>
        <w:t>甲方（采购人）：</w:t>
      </w:r>
      <w:r>
        <w:rPr>
          <w:rFonts w:hint="eastAsia" w:ascii="宋体" w:hAnsi="宋体"/>
          <w:color w:val="auto"/>
          <w:sz w:val="21"/>
          <w:highlight w:val="none"/>
          <w:u w:val="single"/>
        </w:rPr>
        <w:t>仙居县交通运输局</w:t>
      </w:r>
      <w:r>
        <w:rPr>
          <w:rFonts w:ascii="宋体" w:hAnsi="宋体"/>
          <w:color w:val="auto"/>
          <w:sz w:val="21"/>
          <w:highlight w:val="none"/>
          <w:u w:val="single"/>
        </w:rPr>
        <w:t xml:space="preserve"> </w:t>
      </w:r>
      <w:r>
        <w:rPr>
          <w:rFonts w:ascii="宋体" w:hAnsi="宋体"/>
          <w:color w:val="auto"/>
          <w:sz w:val="21"/>
          <w:highlight w:val="none"/>
        </w:rPr>
        <w:t xml:space="preserve">    </w:t>
      </w:r>
    </w:p>
    <w:p w14:paraId="467184C9">
      <w:pPr>
        <w:widowControl/>
        <w:spacing w:line="480" w:lineRule="auto"/>
        <w:ind w:firstLine="420" w:firstLineChars="200"/>
        <w:jc w:val="left"/>
        <w:rPr>
          <w:rFonts w:ascii="宋体" w:hAnsi="宋体"/>
          <w:b/>
          <w:color w:val="auto"/>
          <w:sz w:val="21"/>
          <w:highlight w:val="none"/>
          <w:u w:val="single"/>
        </w:rPr>
      </w:pPr>
      <w:r>
        <w:rPr>
          <w:rFonts w:hint="eastAsia" w:ascii="宋体" w:hAnsi="宋体"/>
          <w:b/>
          <w:color w:val="auto"/>
          <w:sz w:val="21"/>
          <w:highlight w:val="none"/>
        </w:rPr>
        <w:t>乙方（供应商）：</w:t>
      </w:r>
      <w:r>
        <w:rPr>
          <w:rFonts w:ascii="宋体" w:hAnsi="宋体"/>
          <w:b/>
          <w:color w:val="auto"/>
          <w:sz w:val="21"/>
          <w:highlight w:val="none"/>
          <w:u w:val="single"/>
        </w:rPr>
        <w:t xml:space="preserve">                       </w:t>
      </w:r>
    </w:p>
    <w:p w14:paraId="2476E5D0">
      <w:pPr>
        <w:widowControl/>
        <w:snapToGrid w:val="0"/>
        <w:spacing w:line="360" w:lineRule="auto"/>
        <w:ind w:firstLine="420" w:firstLineChars="200"/>
        <w:jc w:val="left"/>
        <w:rPr>
          <w:rFonts w:ascii="宋体"/>
          <w:color w:val="auto"/>
          <w:sz w:val="21"/>
          <w:highlight w:val="none"/>
        </w:rPr>
      </w:pPr>
      <w:r>
        <w:rPr>
          <w:rFonts w:hint="eastAsia" w:ascii="宋体" w:hAnsi="宋体" w:eastAsia="宋体" w:cs="宋体"/>
          <w:color w:val="auto"/>
          <w:sz w:val="21"/>
          <w:szCs w:val="21"/>
          <w:highlight w:val="none"/>
          <w:u w:val="single"/>
        </w:rPr>
        <w:t>（项目名称、编号及标项   ）</w:t>
      </w:r>
      <w:r>
        <w:rPr>
          <w:rFonts w:ascii="宋体" w:hAnsi="宋体"/>
          <w:color w:val="auto"/>
          <w:sz w:val="21"/>
          <w:highlight w:val="none"/>
          <w:u w:val="single"/>
        </w:rPr>
        <w:t xml:space="preserve"> </w:t>
      </w:r>
      <w:r>
        <w:rPr>
          <w:rFonts w:hint="eastAsia" w:ascii="宋体" w:hAnsi="宋体"/>
          <w:color w:val="auto"/>
          <w:sz w:val="21"/>
          <w:highlight w:val="none"/>
        </w:rPr>
        <w:t>通过竞争性磋商方式落实养管单位，磋商结果，乙方中标。现根据《中华人民共和国民法典》和磋商文件相关规定，甲、乙双方在平等的基础上经充分协商，达成如下协议：</w:t>
      </w:r>
    </w:p>
    <w:p w14:paraId="5D945BA2">
      <w:pPr>
        <w:widowControl/>
        <w:snapToGrid w:val="0"/>
        <w:spacing w:before="120" w:beforeLines="50" w:line="360" w:lineRule="auto"/>
        <w:ind w:firstLine="420" w:firstLineChars="200"/>
        <w:jc w:val="left"/>
        <w:rPr>
          <w:rFonts w:ascii="宋体"/>
          <w:b/>
          <w:color w:val="auto"/>
          <w:sz w:val="21"/>
          <w:highlight w:val="none"/>
        </w:rPr>
      </w:pPr>
      <w:r>
        <w:rPr>
          <w:rFonts w:hint="eastAsia" w:ascii="宋体" w:hAnsi="宋体"/>
          <w:b/>
          <w:color w:val="auto"/>
          <w:sz w:val="21"/>
          <w:highlight w:val="none"/>
        </w:rPr>
        <w:t>一、合同文件</w:t>
      </w:r>
    </w:p>
    <w:p w14:paraId="72BEADD4">
      <w:pPr>
        <w:widowControl/>
        <w:snapToGrid w:val="0"/>
        <w:spacing w:line="360" w:lineRule="auto"/>
        <w:ind w:firstLine="420" w:firstLineChars="200"/>
        <w:jc w:val="left"/>
        <w:rPr>
          <w:rFonts w:ascii="宋体"/>
          <w:color w:val="auto"/>
          <w:sz w:val="21"/>
          <w:highlight w:val="none"/>
        </w:rPr>
      </w:pPr>
      <w:r>
        <w:rPr>
          <w:rFonts w:hint="eastAsia" w:ascii="宋体" w:hAnsi="宋体"/>
          <w:color w:val="auto"/>
          <w:sz w:val="21"/>
          <w:highlight w:val="none"/>
        </w:rPr>
        <w:t>下列文件构成本合同的组成部分：</w:t>
      </w:r>
    </w:p>
    <w:p w14:paraId="0C1EB7FC">
      <w:pPr>
        <w:widowControl/>
        <w:snapToGrid w:val="0"/>
        <w:spacing w:line="360" w:lineRule="auto"/>
        <w:ind w:firstLine="420" w:firstLineChars="200"/>
        <w:jc w:val="left"/>
        <w:rPr>
          <w:rFonts w:ascii="宋体" w:hAnsi="宋体"/>
          <w:color w:val="auto"/>
          <w:sz w:val="21"/>
          <w:highlight w:val="none"/>
        </w:rPr>
      </w:pPr>
      <w:r>
        <w:rPr>
          <w:rFonts w:ascii="宋体" w:hAnsi="宋体"/>
          <w:color w:val="auto"/>
          <w:sz w:val="21"/>
          <w:highlight w:val="none"/>
        </w:rPr>
        <w:t xml:space="preserve"> (1) </w:t>
      </w:r>
      <w:r>
        <w:rPr>
          <w:rFonts w:hint="eastAsia" w:ascii="宋体" w:hAnsi="宋体"/>
          <w:color w:val="auto"/>
          <w:sz w:val="21"/>
          <w:highlight w:val="none"/>
        </w:rPr>
        <w:t>合同主要条款（含附件）</w:t>
      </w:r>
      <w:r>
        <w:rPr>
          <w:rFonts w:ascii="宋体" w:hAnsi="宋体"/>
          <w:color w:val="auto"/>
          <w:sz w:val="21"/>
          <w:highlight w:val="none"/>
        </w:rPr>
        <w:t xml:space="preserve">                </w:t>
      </w:r>
    </w:p>
    <w:p w14:paraId="6F300D6A">
      <w:pPr>
        <w:widowControl/>
        <w:snapToGrid w:val="0"/>
        <w:spacing w:line="360" w:lineRule="auto"/>
        <w:ind w:firstLine="420" w:firstLineChars="200"/>
        <w:jc w:val="left"/>
        <w:rPr>
          <w:rFonts w:ascii="宋体"/>
          <w:color w:val="auto"/>
          <w:sz w:val="21"/>
          <w:highlight w:val="none"/>
        </w:rPr>
      </w:pPr>
      <w:r>
        <w:rPr>
          <w:rFonts w:ascii="宋体" w:hAnsi="宋体"/>
          <w:color w:val="auto"/>
          <w:sz w:val="21"/>
          <w:highlight w:val="none"/>
        </w:rPr>
        <w:t xml:space="preserve"> (2) </w:t>
      </w:r>
      <w:r>
        <w:rPr>
          <w:rFonts w:hint="eastAsia" w:ascii="宋体" w:hAnsi="宋体"/>
          <w:color w:val="auto"/>
          <w:sz w:val="21"/>
          <w:highlight w:val="none"/>
        </w:rPr>
        <w:t>中标通知书</w:t>
      </w:r>
    </w:p>
    <w:p w14:paraId="68E80FD2">
      <w:pPr>
        <w:widowControl/>
        <w:snapToGrid w:val="0"/>
        <w:spacing w:line="360" w:lineRule="auto"/>
        <w:ind w:firstLine="420" w:firstLineChars="200"/>
        <w:jc w:val="left"/>
        <w:rPr>
          <w:rFonts w:ascii="宋体" w:hAnsi="宋体"/>
          <w:color w:val="auto"/>
          <w:sz w:val="21"/>
          <w:highlight w:val="none"/>
        </w:rPr>
      </w:pPr>
      <w:r>
        <w:rPr>
          <w:rFonts w:ascii="宋体" w:hAnsi="宋体"/>
          <w:color w:val="auto"/>
          <w:sz w:val="21"/>
          <w:highlight w:val="none"/>
        </w:rPr>
        <w:t xml:space="preserve"> (3) </w:t>
      </w:r>
      <w:r>
        <w:rPr>
          <w:rFonts w:hint="eastAsia" w:ascii="宋体" w:hAnsi="宋体"/>
          <w:color w:val="auto"/>
          <w:sz w:val="21"/>
          <w:highlight w:val="none"/>
        </w:rPr>
        <w:t>磋商文件</w:t>
      </w:r>
      <w:r>
        <w:rPr>
          <w:rFonts w:ascii="宋体" w:hAnsi="宋体"/>
          <w:color w:val="auto"/>
          <w:sz w:val="21"/>
          <w:highlight w:val="none"/>
        </w:rPr>
        <w:t xml:space="preserve">               </w:t>
      </w:r>
    </w:p>
    <w:p w14:paraId="463CD2A2">
      <w:pPr>
        <w:widowControl/>
        <w:snapToGrid w:val="0"/>
        <w:spacing w:line="360" w:lineRule="auto"/>
        <w:ind w:firstLine="420" w:firstLineChars="200"/>
        <w:jc w:val="left"/>
        <w:rPr>
          <w:rFonts w:ascii="宋体" w:hAnsi="宋体"/>
          <w:color w:val="auto"/>
          <w:sz w:val="21"/>
          <w:highlight w:val="none"/>
        </w:rPr>
      </w:pPr>
      <w:r>
        <w:rPr>
          <w:rFonts w:ascii="宋体" w:hAnsi="宋体"/>
          <w:color w:val="auto"/>
          <w:sz w:val="21"/>
          <w:highlight w:val="none"/>
        </w:rPr>
        <w:t xml:space="preserve"> (4) </w:t>
      </w:r>
      <w:r>
        <w:rPr>
          <w:rFonts w:hint="eastAsia" w:ascii="宋体" w:hAnsi="宋体"/>
          <w:color w:val="auto"/>
          <w:sz w:val="21"/>
          <w:highlight w:val="none"/>
        </w:rPr>
        <w:t>磋商响应文件</w:t>
      </w:r>
      <w:r>
        <w:rPr>
          <w:rFonts w:ascii="宋体" w:hAnsi="宋体"/>
          <w:color w:val="auto"/>
          <w:sz w:val="21"/>
          <w:highlight w:val="none"/>
        </w:rPr>
        <w:t xml:space="preserve">        </w:t>
      </w:r>
    </w:p>
    <w:p w14:paraId="15A7F22D">
      <w:pPr>
        <w:widowControl/>
        <w:snapToGrid w:val="0"/>
        <w:spacing w:line="360" w:lineRule="auto"/>
        <w:ind w:firstLine="420" w:firstLineChars="200"/>
        <w:jc w:val="left"/>
        <w:rPr>
          <w:rFonts w:ascii="宋体" w:hAnsi="宋体"/>
          <w:color w:val="auto"/>
          <w:sz w:val="21"/>
          <w:highlight w:val="none"/>
        </w:rPr>
      </w:pPr>
      <w:r>
        <w:rPr>
          <w:rFonts w:ascii="宋体" w:hAnsi="宋体"/>
          <w:color w:val="auto"/>
          <w:sz w:val="21"/>
          <w:highlight w:val="none"/>
        </w:rPr>
        <w:t xml:space="preserve"> (5) </w:t>
      </w:r>
      <w:r>
        <w:rPr>
          <w:rFonts w:hint="eastAsia" w:ascii="宋体" w:hAnsi="宋体"/>
          <w:color w:val="auto"/>
          <w:sz w:val="21"/>
          <w:highlight w:val="none"/>
        </w:rPr>
        <w:t>合同补充条款或说明（如有）</w:t>
      </w:r>
      <w:r>
        <w:rPr>
          <w:rFonts w:ascii="宋体" w:hAnsi="宋体"/>
          <w:color w:val="auto"/>
          <w:sz w:val="21"/>
          <w:highlight w:val="none"/>
        </w:rPr>
        <w:t xml:space="preserve">     </w:t>
      </w:r>
    </w:p>
    <w:p w14:paraId="0005CAB4">
      <w:pPr>
        <w:widowControl/>
        <w:snapToGrid w:val="0"/>
        <w:spacing w:line="360" w:lineRule="auto"/>
        <w:ind w:firstLine="420" w:firstLineChars="200"/>
        <w:jc w:val="left"/>
        <w:rPr>
          <w:rFonts w:ascii="宋体" w:hAnsi="宋体"/>
          <w:color w:val="auto"/>
          <w:sz w:val="21"/>
          <w:highlight w:val="none"/>
        </w:rPr>
      </w:pPr>
      <w:r>
        <w:rPr>
          <w:rFonts w:ascii="宋体" w:hAnsi="宋体"/>
          <w:color w:val="auto"/>
          <w:sz w:val="21"/>
          <w:highlight w:val="none"/>
        </w:rPr>
        <w:t xml:space="preserve"> (7) </w:t>
      </w:r>
      <w:r>
        <w:rPr>
          <w:rFonts w:hint="eastAsia" w:ascii="宋体" w:hAnsi="宋体"/>
          <w:color w:val="auto"/>
          <w:sz w:val="21"/>
          <w:highlight w:val="none"/>
        </w:rPr>
        <w:t>承诺书（含询标记录和优惠条件）</w:t>
      </w:r>
      <w:r>
        <w:rPr>
          <w:rFonts w:ascii="宋体" w:hAnsi="宋体"/>
          <w:color w:val="auto"/>
          <w:sz w:val="21"/>
          <w:highlight w:val="none"/>
        </w:rPr>
        <w:t xml:space="preserve"> </w:t>
      </w:r>
    </w:p>
    <w:p w14:paraId="5DB2B292">
      <w:pPr>
        <w:widowControl/>
        <w:snapToGrid w:val="0"/>
        <w:spacing w:before="120" w:beforeLines="50" w:line="360" w:lineRule="auto"/>
        <w:ind w:firstLine="420" w:firstLineChars="200"/>
        <w:jc w:val="left"/>
        <w:rPr>
          <w:rFonts w:ascii="宋体"/>
          <w:b/>
          <w:color w:val="auto"/>
          <w:sz w:val="21"/>
          <w:highlight w:val="none"/>
        </w:rPr>
      </w:pPr>
      <w:r>
        <w:rPr>
          <w:rFonts w:hint="eastAsia" w:ascii="宋体" w:hAnsi="宋体"/>
          <w:b/>
          <w:color w:val="auto"/>
          <w:sz w:val="21"/>
          <w:highlight w:val="none"/>
        </w:rPr>
        <w:t>二、养护项目相关情况</w:t>
      </w:r>
    </w:p>
    <w:p w14:paraId="05CCE4BB">
      <w:pPr>
        <w:widowControl/>
        <w:snapToGrid w:val="0"/>
        <w:spacing w:line="360" w:lineRule="auto"/>
        <w:ind w:firstLine="420" w:firstLineChars="200"/>
        <w:jc w:val="left"/>
        <w:rPr>
          <w:rFonts w:ascii="宋体"/>
          <w:color w:val="auto"/>
          <w:sz w:val="21"/>
          <w:highlight w:val="none"/>
        </w:rPr>
      </w:pPr>
      <w:r>
        <w:rPr>
          <w:rFonts w:ascii="宋体" w:hAnsi="宋体"/>
          <w:color w:val="auto"/>
          <w:sz w:val="21"/>
          <w:highlight w:val="none"/>
        </w:rPr>
        <w:t>1.</w:t>
      </w:r>
      <w:r>
        <w:rPr>
          <w:rFonts w:hint="eastAsia" w:ascii="宋体" w:hAnsi="宋体"/>
          <w:color w:val="auto"/>
          <w:sz w:val="21"/>
          <w:highlight w:val="none"/>
        </w:rPr>
        <w:t>养护项目名称：</w:t>
      </w:r>
    </w:p>
    <w:p w14:paraId="082415AF">
      <w:pPr>
        <w:widowControl/>
        <w:snapToGrid w:val="0"/>
        <w:spacing w:line="360" w:lineRule="auto"/>
        <w:ind w:firstLine="420" w:firstLineChars="200"/>
        <w:jc w:val="left"/>
        <w:rPr>
          <w:rFonts w:ascii="宋体"/>
          <w:color w:val="auto"/>
          <w:sz w:val="21"/>
          <w:highlight w:val="none"/>
        </w:rPr>
      </w:pPr>
      <w:r>
        <w:rPr>
          <w:rFonts w:ascii="宋体" w:hAnsi="宋体"/>
          <w:color w:val="auto"/>
          <w:sz w:val="21"/>
          <w:highlight w:val="none"/>
        </w:rPr>
        <w:t>2.</w:t>
      </w:r>
      <w:r>
        <w:rPr>
          <w:rFonts w:hint="eastAsia" w:ascii="宋体" w:hAnsi="宋体"/>
          <w:color w:val="auto"/>
          <w:sz w:val="21"/>
          <w:highlight w:val="none"/>
        </w:rPr>
        <w:t>养护地点：</w:t>
      </w:r>
    </w:p>
    <w:p w14:paraId="26147928">
      <w:pPr>
        <w:widowControl/>
        <w:snapToGrid w:val="0"/>
        <w:spacing w:line="360" w:lineRule="auto"/>
        <w:ind w:firstLine="420" w:firstLineChars="200"/>
        <w:jc w:val="left"/>
        <w:rPr>
          <w:rFonts w:ascii="宋体"/>
          <w:color w:val="auto"/>
          <w:sz w:val="21"/>
          <w:highlight w:val="none"/>
        </w:rPr>
      </w:pPr>
      <w:r>
        <w:rPr>
          <w:rFonts w:ascii="宋体" w:hAnsi="宋体"/>
          <w:color w:val="auto"/>
          <w:sz w:val="21"/>
          <w:highlight w:val="none"/>
        </w:rPr>
        <w:t>3.</w:t>
      </w:r>
      <w:r>
        <w:rPr>
          <w:rFonts w:hint="eastAsia" w:ascii="宋体" w:hAnsi="宋体"/>
          <w:color w:val="auto"/>
          <w:sz w:val="21"/>
          <w:highlight w:val="none"/>
        </w:rPr>
        <w:t>养护范围：</w:t>
      </w:r>
    </w:p>
    <w:p w14:paraId="6991A7F0">
      <w:pPr>
        <w:widowControl/>
        <w:snapToGrid w:val="0"/>
        <w:spacing w:line="360" w:lineRule="auto"/>
        <w:ind w:firstLine="420" w:firstLineChars="200"/>
        <w:jc w:val="left"/>
        <w:rPr>
          <w:rFonts w:ascii="宋体"/>
          <w:color w:val="auto"/>
          <w:sz w:val="21"/>
          <w:highlight w:val="none"/>
        </w:rPr>
      </w:pPr>
      <w:r>
        <w:rPr>
          <w:rFonts w:ascii="宋体" w:hAnsi="宋体"/>
          <w:color w:val="auto"/>
          <w:sz w:val="21"/>
          <w:highlight w:val="none"/>
        </w:rPr>
        <w:t>4.</w:t>
      </w:r>
      <w:r>
        <w:rPr>
          <w:rFonts w:hint="eastAsia" w:ascii="宋体" w:hAnsi="宋体"/>
          <w:color w:val="auto"/>
          <w:sz w:val="21"/>
          <w:highlight w:val="none"/>
        </w:rPr>
        <w:t>养护</w:t>
      </w:r>
      <w:r>
        <w:rPr>
          <w:rFonts w:hint="eastAsia" w:ascii="宋体" w:hAnsi="宋体" w:eastAsia="宋体"/>
          <w:color w:val="auto"/>
          <w:sz w:val="21"/>
          <w:highlight w:val="none"/>
        </w:rPr>
        <w:t>内容</w:t>
      </w:r>
      <w:r>
        <w:rPr>
          <w:rFonts w:hint="eastAsia" w:ascii="宋体" w:hAnsi="宋体"/>
          <w:color w:val="auto"/>
          <w:sz w:val="21"/>
          <w:highlight w:val="none"/>
        </w:rPr>
        <w:t>：</w:t>
      </w:r>
    </w:p>
    <w:p w14:paraId="2F4FC870">
      <w:pPr>
        <w:widowControl/>
        <w:snapToGrid w:val="0"/>
        <w:spacing w:before="120" w:beforeLines="50" w:line="360" w:lineRule="auto"/>
        <w:ind w:firstLine="420" w:firstLineChars="200"/>
        <w:jc w:val="left"/>
        <w:rPr>
          <w:rFonts w:ascii="宋体"/>
          <w:b/>
          <w:color w:val="auto"/>
          <w:sz w:val="21"/>
          <w:highlight w:val="none"/>
        </w:rPr>
      </w:pPr>
      <w:r>
        <w:rPr>
          <w:rFonts w:hint="eastAsia" w:ascii="宋体" w:hAnsi="宋体"/>
          <w:b/>
          <w:color w:val="auto"/>
          <w:sz w:val="21"/>
          <w:highlight w:val="none"/>
        </w:rPr>
        <w:t>三、养护管理服务费</w:t>
      </w:r>
    </w:p>
    <w:p w14:paraId="225DE3DB">
      <w:pPr>
        <w:widowControl/>
        <w:snapToGrid w:val="0"/>
        <w:spacing w:line="360" w:lineRule="auto"/>
        <w:ind w:firstLine="420" w:firstLineChars="200"/>
        <w:jc w:val="left"/>
        <w:rPr>
          <w:color w:val="auto"/>
          <w:highlight w:val="none"/>
        </w:rPr>
      </w:pPr>
      <w:r>
        <w:rPr>
          <w:rFonts w:hint="eastAsia" w:ascii="宋体" w:hAnsi="宋体"/>
          <w:color w:val="auto"/>
          <w:sz w:val="21"/>
          <w:highlight w:val="none"/>
        </w:rPr>
        <w:t>本合同养护项目合同金额人民币大写</w:t>
      </w:r>
      <w:r>
        <w:rPr>
          <w:rFonts w:ascii="宋体" w:hAnsi="宋体"/>
          <w:color w:val="auto"/>
          <w:sz w:val="21"/>
          <w:highlight w:val="none"/>
        </w:rPr>
        <w:t>:</w:t>
      </w:r>
      <w:r>
        <w:rPr>
          <w:rFonts w:ascii="宋体" w:hAnsi="宋体"/>
          <w:color w:val="auto"/>
          <w:sz w:val="21"/>
          <w:highlight w:val="none"/>
          <w:u w:val="single"/>
        </w:rPr>
        <w:t xml:space="preserve">      </w:t>
      </w:r>
      <w:r>
        <w:rPr>
          <w:rFonts w:hint="eastAsia" w:ascii="宋体" w:hAnsi="宋体"/>
          <w:color w:val="auto"/>
          <w:sz w:val="21"/>
          <w:highlight w:val="none"/>
        </w:rPr>
        <w:t>元整（小写：</w:t>
      </w:r>
      <w:r>
        <w:rPr>
          <w:rFonts w:ascii="宋体" w:hAnsi="宋体"/>
          <w:color w:val="auto"/>
          <w:sz w:val="21"/>
          <w:highlight w:val="none"/>
          <w:u w:val="single"/>
        </w:rPr>
        <w:t xml:space="preserve">     </w:t>
      </w:r>
      <w:r>
        <w:rPr>
          <w:rFonts w:hint="eastAsia" w:ascii="宋体" w:hAnsi="宋体"/>
          <w:color w:val="auto"/>
          <w:sz w:val="21"/>
          <w:highlight w:val="none"/>
        </w:rPr>
        <w:t>）。</w:t>
      </w:r>
    </w:p>
    <w:p w14:paraId="4064A7FE">
      <w:pPr>
        <w:widowControl/>
        <w:snapToGrid w:val="0"/>
        <w:spacing w:before="120" w:beforeLines="50" w:line="360" w:lineRule="auto"/>
        <w:ind w:firstLine="420" w:firstLineChars="200"/>
        <w:jc w:val="left"/>
        <w:rPr>
          <w:rFonts w:ascii="宋体"/>
          <w:b/>
          <w:color w:val="auto"/>
          <w:sz w:val="21"/>
          <w:highlight w:val="none"/>
        </w:rPr>
      </w:pPr>
      <w:r>
        <w:rPr>
          <w:rFonts w:hint="eastAsia" w:ascii="宋体" w:hAnsi="宋体"/>
          <w:b/>
          <w:color w:val="auto"/>
          <w:sz w:val="21"/>
          <w:highlight w:val="none"/>
        </w:rPr>
        <w:t>四、承包期限</w:t>
      </w:r>
    </w:p>
    <w:p w14:paraId="7217A464">
      <w:pPr>
        <w:widowControl/>
        <w:snapToGrid w:val="0"/>
        <w:spacing w:line="360" w:lineRule="auto"/>
        <w:ind w:firstLine="420" w:firstLineChars="200"/>
        <w:jc w:val="left"/>
        <w:rPr>
          <w:rFonts w:ascii="宋体"/>
          <w:color w:val="auto"/>
          <w:sz w:val="21"/>
          <w:highlight w:val="none"/>
        </w:rPr>
      </w:pPr>
      <w:r>
        <w:rPr>
          <w:rFonts w:hint="eastAsia" w:ascii="宋体" w:hAnsi="宋体"/>
          <w:color w:val="auto"/>
          <w:sz w:val="21"/>
          <w:highlight w:val="none"/>
        </w:rPr>
        <w:t>承包期自本合同签订之日起计，</w:t>
      </w:r>
      <w:r>
        <w:rPr>
          <w:rFonts w:ascii="宋体" w:hAnsi="宋体"/>
          <w:color w:val="auto"/>
          <w:sz w:val="21"/>
          <w:highlight w:val="none"/>
          <w:u w:val="single"/>
        </w:rPr>
        <w:t xml:space="preserve">     </w:t>
      </w:r>
      <w:r>
        <w:rPr>
          <w:rFonts w:hint="eastAsia" w:ascii="宋体" w:hAnsi="宋体"/>
          <w:color w:val="auto"/>
          <w:sz w:val="21"/>
          <w:highlight w:val="none"/>
        </w:rPr>
        <w:t>年，即</w:t>
      </w:r>
      <w:r>
        <w:rPr>
          <w:rFonts w:ascii="宋体" w:hAnsi="宋体"/>
          <w:color w:val="auto"/>
          <w:sz w:val="21"/>
          <w:highlight w:val="none"/>
          <w:u w:val="single"/>
        </w:rPr>
        <w:t xml:space="preserve">        </w:t>
      </w:r>
      <w:r>
        <w:rPr>
          <w:rFonts w:hint="eastAsia" w:ascii="宋体" w:hAnsi="宋体"/>
          <w:color w:val="auto"/>
          <w:sz w:val="21"/>
          <w:highlight w:val="none"/>
        </w:rPr>
        <w:t>年</w:t>
      </w:r>
      <w:r>
        <w:rPr>
          <w:rFonts w:ascii="宋体" w:hAnsi="宋体"/>
          <w:color w:val="auto"/>
          <w:sz w:val="21"/>
          <w:highlight w:val="none"/>
          <w:u w:val="single"/>
        </w:rPr>
        <w:t xml:space="preserve">    </w:t>
      </w:r>
      <w:r>
        <w:rPr>
          <w:rFonts w:hint="eastAsia" w:ascii="宋体" w:hAnsi="宋体"/>
          <w:color w:val="auto"/>
          <w:sz w:val="21"/>
          <w:highlight w:val="none"/>
        </w:rPr>
        <w:t>月</w:t>
      </w:r>
      <w:r>
        <w:rPr>
          <w:rFonts w:ascii="宋体" w:hAnsi="宋体"/>
          <w:color w:val="auto"/>
          <w:sz w:val="21"/>
          <w:highlight w:val="none"/>
          <w:u w:val="single"/>
        </w:rPr>
        <w:t xml:space="preserve">    </w:t>
      </w:r>
      <w:r>
        <w:rPr>
          <w:rFonts w:hint="eastAsia" w:ascii="宋体" w:hAnsi="宋体"/>
          <w:color w:val="auto"/>
          <w:sz w:val="21"/>
          <w:highlight w:val="none"/>
        </w:rPr>
        <w:t>日至</w:t>
      </w:r>
      <w:r>
        <w:rPr>
          <w:rFonts w:ascii="宋体" w:hAnsi="宋体"/>
          <w:color w:val="auto"/>
          <w:sz w:val="21"/>
          <w:highlight w:val="none"/>
          <w:u w:val="single"/>
        </w:rPr>
        <w:t xml:space="preserve">     </w:t>
      </w:r>
      <w:r>
        <w:rPr>
          <w:rFonts w:hint="eastAsia" w:ascii="宋体" w:hAnsi="宋体"/>
          <w:color w:val="auto"/>
          <w:sz w:val="21"/>
          <w:highlight w:val="none"/>
        </w:rPr>
        <w:t>年</w:t>
      </w:r>
      <w:r>
        <w:rPr>
          <w:rFonts w:ascii="宋体" w:hAnsi="宋体"/>
          <w:color w:val="auto"/>
          <w:sz w:val="21"/>
          <w:highlight w:val="none"/>
          <w:u w:val="single"/>
        </w:rPr>
        <w:t xml:space="preserve">    </w:t>
      </w:r>
      <w:r>
        <w:rPr>
          <w:rFonts w:hint="eastAsia" w:ascii="宋体" w:hAnsi="宋体"/>
          <w:color w:val="auto"/>
          <w:sz w:val="21"/>
          <w:highlight w:val="none"/>
        </w:rPr>
        <w:t>月</w:t>
      </w:r>
      <w:r>
        <w:rPr>
          <w:rFonts w:ascii="宋体" w:hAnsi="宋体"/>
          <w:color w:val="auto"/>
          <w:sz w:val="21"/>
          <w:highlight w:val="none"/>
          <w:u w:val="single"/>
        </w:rPr>
        <w:t xml:space="preserve">     </w:t>
      </w:r>
      <w:r>
        <w:rPr>
          <w:rFonts w:hint="eastAsia" w:ascii="宋体" w:hAnsi="宋体"/>
          <w:color w:val="auto"/>
          <w:sz w:val="21"/>
          <w:highlight w:val="none"/>
        </w:rPr>
        <w:t>日止。</w:t>
      </w:r>
      <w:r>
        <w:rPr>
          <w:rFonts w:hint="eastAsia" w:ascii="宋体" w:hAnsi="宋体" w:eastAsia="宋体" w:cs="宋体"/>
          <w:color w:val="auto"/>
          <w:kern w:val="0"/>
          <w:sz w:val="21"/>
          <w:szCs w:val="21"/>
          <w:highlight w:val="none"/>
        </w:rPr>
        <w:t>当年度考核分达到</w:t>
      </w:r>
      <w:r>
        <w:rPr>
          <w:rFonts w:hint="eastAsia" w:ascii="宋体" w:hAnsi="宋体" w:eastAsia="宋体" w:cs="宋体"/>
          <w:color w:val="auto"/>
          <w:kern w:val="0"/>
          <w:sz w:val="21"/>
          <w:szCs w:val="21"/>
          <w:highlight w:val="none"/>
          <w:lang w:val="en-US" w:eastAsia="zh-CN"/>
        </w:rPr>
        <w:t xml:space="preserve"> 90</w:t>
      </w:r>
      <w:r>
        <w:rPr>
          <w:rFonts w:hint="eastAsia" w:ascii="宋体" w:hAnsi="宋体" w:eastAsia="宋体" w:cs="宋体"/>
          <w:color w:val="auto"/>
          <w:kern w:val="0"/>
          <w:sz w:val="21"/>
          <w:szCs w:val="21"/>
          <w:highlight w:val="none"/>
        </w:rPr>
        <w:t>分及以上，可以</w:t>
      </w:r>
      <w:r>
        <w:rPr>
          <w:rFonts w:hint="eastAsia" w:ascii="宋体" w:hAnsi="宋体" w:eastAsia="宋体" w:cs="宋体"/>
          <w:color w:val="auto"/>
          <w:kern w:val="0"/>
          <w:sz w:val="21"/>
          <w:szCs w:val="21"/>
          <w:highlight w:val="none"/>
          <w:lang w:eastAsia="zh-CN"/>
        </w:rPr>
        <w:t>签订下一年合同。</w:t>
      </w:r>
      <w:r>
        <w:rPr>
          <w:rFonts w:hint="eastAsia" w:ascii="宋体" w:hAnsi="宋体" w:eastAsia="宋体" w:cs="宋体"/>
          <w:color w:val="auto"/>
          <w:kern w:val="0"/>
          <w:sz w:val="21"/>
          <w:szCs w:val="21"/>
          <w:highlight w:val="none"/>
        </w:rPr>
        <w:t>（考核表详见</w:t>
      </w:r>
      <w:r>
        <w:rPr>
          <w:rFonts w:hint="eastAsia" w:ascii="宋体" w:hAnsi="宋体" w:eastAsia="宋体" w:cs="宋体"/>
          <w:color w:val="auto"/>
          <w:kern w:val="0"/>
          <w:sz w:val="21"/>
          <w:szCs w:val="21"/>
          <w:highlight w:val="none"/>
          <w:lang w:val="en-US" w:eastAsia="zh-CN"/>
        </w:rPr>
        <w:t>合同</w:t>
      </w:r>
      <w:r>
        <w:rPr>
          <w:rFonts w:hint="eastAsia" w:ascii="宋体" w:hAnsi="宋体" w:eastAsia="宋体" w:cs="宋体"/>
          <w:color w:val="auto"/>
          <w:kern w:val="0"/>
          <w:sz w:val="21"/>
          <w:szCs w:val="21"/>
          <w:highlight w:val="none"/>
        </w:rPr>
        <w:t>附件）</w:t>
      </w:r>
    </w:p>
    <w:p w14:paraId="41D67F3D">
      <w:pPr>
        <w:widowControl/>
        <w:snapToGrid w:val="0"/>
        <w:spacing w:before="120" w:beforeLines="50" w:line="360" w:lineRule="auto"/>
        <w:ind w:firstLine="420" w:firstLineChars="200"/>
        <w:jc w:val="left"/>
        <w:rPr>
          <w:rFonts w:ascii="宋体"/>
          <w:b/>
          <w:color w:val="auto"/>
          <w:sz w:val="21"/>
          <w:highlight w:val="none"/>
        </w:rPr>
      </w:pPr>
      <w:r>
        <w:rPr>
          <w:rFonts w:hint="eastAsia" w:ascii="宋体" w:hAnsi="宋体"/>
          <w:b/>
          <w:color w:val="auto"/>
          <w:sz w:val="21"/>
          <w:highlight w:val="none"/>
        </w:rPr>
        <w:t>五、双方职责</w:t>
      </w:r>
    </w:p>
    <w:p w14:paraId="7904DFB8">
      <w:pPr>
        <w:widowControl/>
        <w:snapToGrid w:val="0"/>
        <w:spacing w:line="360" w:lineRule="auto"/>
        <w:ind w:firstLine="420" w:firstLineChars="200"/>
        <w:jc w:val="left"/>
        <w:rPr>
          <w:rFonts w:ascii="宋体" w:hAnsi="宋体"/>
          <w:color w:val="auto"/>
          <w:sz w:val="21"/>
          <w:highlight w:val="none"/>
        </w:rPr>
      </w:pPr>
      <w:r>
        <w:rPr>
          <w:rFonts w:hint="eastAsia" w:ascii="宋体" w:hAnsi="宋体"/>
          <w:color w:val="auto"/>
          <w:sz w:val="21"/>
          <w:highlight w:val="none"/>
        </w:rPr>
        <w:t>（一）甲方职责</w:t>
      </w:r>
      <w:r>
        <w:rPr>
          <w:rFonts w:ascii="宋体" w:hAnsi="宋体"/>
          <w:color w:val="auto"/>
          <w:sz w:val="21"/>
          <w:highlight w:val="none"/>
        </w:rPr>
        <w:t xml:space="preserve"> </w:t>
      </w:r>
    </w:p>
    <w:p w14:paraId="293403DF">
      <w:pPr>
        <w:spacing w:line="360" w:lineRule="auto"/>
        <w:ind w:firstLine="420" w:firstLineChars="200"/>
        <w:rPr>
          <w:rFonts w:ascii="宋体"/>
          <w:color w:val="auto"/>
          <w:sz w:val="21"/>
          <w:highlight w:val="none"/>
        </w:rPr>
      </w:pPr>
      <w:r>
        <w:rPr>
          <w:rFonts w:ascii="宋体" w:hAnsi="宋体"/>
          <w:color w:val="auto"/>
          <w:sz w:val="21"/>
          <w:highlight w:val="none"/>
        </w:rPr>
        <w:t>1</w:t>
      </w:r>
      <w:r>
        <w:rPr>
          <w:rFonts w:hint="eastAsia" w:ascii="宋体" w:hAnsi="宋体"/>
          <w:color w:val="auto"/>
          <w:sz w:val="21"/>
          <w:highlight w:val="none"/>
        </w:rPr>
        <w:t>、甲方有权在养护期内对乙方的养护管理进行全程监督、检查；若发现问题，甲方有权向乙方提出整改意见并发出整改通知书，直至乙方整改到位。</w:t>
      </w:r>
    </w:p>
    <w:p w14:paraId="6719AAFF">
      <w:pPr>
        <w:spacing w:line="360" w:lineRule="auto"/>
        <w:ind w:firstLine="420" w:firstLineChars="200"/>
        <w:rPr>
          <w:rFonts w:ascii="宋体"/>
          <w:color w:val="auto"/>
          <w:sz w:val="21"/>
          <w:highlight w:val="none"/>
        </w:rPr>
      </w:pPr>
      <w:r>
        <w:rPr>
          <w:rFonts w:ascii="宋体" w:hAnsi="宋体"/>
          <w:color w:val="auto"/>
          <w:sz w:val="21"/>
          <w:highlight w:val="none"/>
        </w:rPr>
        <w:t>2</w:t>
      </w:r>
      <w:r>
        <w:rPr>
          <w:rFonts w:hint="eastAsia" w:ascii="宋体" w:hAnsi="宋体"/>
          <w:color w:val="auto"/>
          <w:sz w:val="21"/>
          <w:highlight w:val="none"/>
        </w:rPr>
        <w:t>、甲方有权审核乙方的养护管理方案、人员配置、工资发放及投入的设施设备，并检查落实情况。</w:t>
      </w:r>
    </w:p>
    <w:p w14:paraId="347F09F4">
      <w:pPr>
        <w:spacing w:line="360" w:lineRule="auto"/>
        <w:ind w:firstLine="420" w:firstLineChars="200"/>
        <w:rPr>
          <w:rFonts w:ascii="宋体"/>
          <w:color w:val="auto"/>
          <w:sz w:val="21"/>
          <w:highlight w:val="none"/>
        </w:rPr>
      </w:pPr>
      <w:r>
        <w:rPr>
          <w:rFonts w:ascii="宋体" w:hAnsi="宋体"/>
          <w:color w:val="auto"/>
          <w:sz w:val="21"/>
          <w:highlight w:val="none"/>
        </w:rPr>
        <w:t>3</w:t>
      </w:r>
      <w:r>
        <w:rPr>
          <w:rFonts w:hint="eastAsia" w:ascii="宋体" w:hAnsi="宋体"/>
          <w:color w:val="auto"/>
          <w:sz w:val="21"/>
          <w:highlight w:val="none"/>
        </w:rPr>
        <w:t>、甲方有权对乙方管理范围内的绿化养护和管理质量进行不定期考核、月度考核、季度考核汇总评定，并以考核结果作为支付实际服务费用的依据。</w:t>
      </w:r>
    </w:p>
    <w:p w14:paraId="64FDA54B">
      <w:pPr>
        <w:spacing w:line="360" w:lineRule="auto"/>
        <w:ind w:firstLine="420" w:firstLineChars="200"/>
        <w:rPr>
          <w:rFonts w:ascii="宋体"/>
          <w:color w:val="auto"/>
          <w:sz w:val="21"/>
          <w:highlight w:val="none"/>
        </w:rPr>
      </w:pPr>
      <w:r>
        <w:rPr>
          <w:rFonts w:ascii="宋体" w:hAnsi="宋体"/>
          <w:color w:val="auto"/>
          <w:sz w:val="21"/>
          <w:highlight w:val="none"/>
        </w:rPr>
        <w:t>4</w:t>
      </w:r>
      <w:r>
        <w:rPr>
          <w:rFonts w:hint="eastAsia" w:ascii="宋体" w:hAnsi="宋体"/>
          <w:color w:val="auto"/>
          <w:sz w:val="21"/>
          <w:highlight w:val="none"/>
        </w:rPr>
        <w:t>、甲方有权对乙方管理人员进行集中教育和培训。</w:t>
      </w:r>
    </w:p>
    <w:p w14:paraId="57E87D3A">
      <w:pPr>
        <w:spacing w:line="360" w:lineRule="auto"/>
        <w:ind w:firstLine="420" w:firstLineChars="200"/>
        <w:rPr>
          <w:rFonts w:ascii="宋体"/>
          <w:color w:val="auto"/>
          <w:sz w:val="21"/>
          <w:highlight w:val="none"/>
        </w:rPr>
      </w:pPr>
      <w:r>
        <w:rPr>
          <w:rFonts w:ascii="宋体" w:hAnsi="宋体"/>
          <w:color w:val="auto"/>
          <w:sz w:val="21"/>
          <w:highlight w:val="none"/>
        </w:rPr>
        <w:t>5</w:t>
      </w:r>
      <w:r>
        <w:rPr>
          <w:rFonts w:hint="eastAsia" w:ascii="宋体" w:hAnsi="宋体"/>
          <w:color w:val="auto"/>
          <w:sz w:val="21"/>
          <w:highlight w:val="none"/>
        </w:rPr>
        <w:t>、甲方应向乙方提供有关资料和数据（如绿地范围、水源位置等）。</w:t>
      </w:r>
    </w:p>
    <w:p w14:paraId="38DFAAC3">
      <w:pPr>
        <w:spacing w:line="360" w:lineRule="auto"/>
        <w:ind w:firstLine="420" w:firstLineChars="200"/>
        <w:rPr>
          <w:rFonts w:ascii="宋体"/>
          <w:color w:val="auto"/>
          <w:sz w:val="21"/>
          <w:highlight w:val="none"/>
        </w:rPr>
      </w:pPr>
      <w:r>
        <w:rPr>
          <w:rFonts w:ascii="宋体" w:hAnsi="宋体"/>
          <w:color w:val="auto"/>
          <w:sz w:val="21"/>
          <w:highlight w:val="none"/>
        </w:rPr>
        <w:t>6</w:t>
      </w:r>
      <w:r>
        <w:rPr>
          <w:rFonts w:hint="eastAsia" w:ascii="宋体" w:hAnsi="宋体"/>
          <w:color w:val="auto"/>
          <w:sz w:val="21"/>
          <w:highlight w:val="none"/>
        </w:rPr>
        <w:t>、甲方应对乙方的绿地养护工作随时进行检查，以便提高绿地养护质量。</w:t>
      </w:r>
    </w:p>
    <w:p w14:paraId="375E9618">
      <w:pPr>
        <w:spacing w:line="360" w:lineRule="auto"/>
        <w:ind w:firstLine="420" w:firstLineChars="200"/>
        <w:rPr>
          <w:rFonts w:ascii="宋体"/>
          <w:color w:val="auto"/>
          <w:sz w:val="21"/>
          <w:highlight w:val="none"/>
        </w:rPr>
      </w:pPr>
      <w:r>
        <w:rPr>
          <w:rFonts w:ascii="宋体" w:hAnsi="宋体"/>
          <w:color w:val="auto"/>
          <w:sz w:val="21"/>
          <w:highlight w:val="none"/>
        </w:rPr>
        <w:t>7</w:t>
      </w:r>
      <w:r>
        <w:rPr>
          <w:rFonts w:hint="eastAsia" w:ascii="宋体" w:hAnsi="宋体"/>
          <w:color w:val="auto"/>
          <w:sz w:val="21"/>
          <w:highlight w:val="none"/>
        </w:rPr>
        <w:t>、养护考核期内，若乙方考核不合格，甲方有权对乙方解除本养护合同。</w:t>
      </w:r>
    </w:p>
    <w:p w14:paraId="7D89C192">
      <w:pPr>
        <w:spacing w:line="360" w:lineRule="auto"/>
        <w:ind w:firstLine="420" w:firstLineChars="200"/>
        <w:rPr>
          <w:rFonts w:ascii="宋体"/>
          <w:color w:val="auto"/>
          <w:sz w:val="21"/>
          <w:highlight w:val="none"/>
        </w:rPr>
      </w:pPr>
      <w:r>
        <w:rPr>
          <w:rFonts w:ascii="宋体" w:hAnsi="宋体"/>
          <w:color w:val="auto"/>
          <w:sz w:val="21"/>
          <w:highlight w:val="none"/>
        </w:rPr>
        <w:t>8</w:t>
      </w:r>
      <w:r>
        <w:rPr>
          <w:rFonts w:hint="eastAsia" w:ascii="宋体" w:hAnsi="宋体"/>
          <w:color w:val="auto"/>
          <w:sz w:val="21"/>
          <w:highlight w:val="none"/>
        </w:rPr>
        <w:t>、在特殊天气情况或重大活动时，甲方有权对乙方提出增加设备、加大投入人员的要求。</w:t>
      </w:r>
    </w:p>
    <w:p w14:paraId="57A71B63">
      <w:pPr>
        <w:spacing w:line="360" w:lineRule="auto"/>
        <w:ind w:firstLine="420" w:firstLineChars="200"/>
        <w:rPr>
          <w:rFonts w:ascii="宋体"/>
          <w:color w:val="auto"/>
          <w:sz w:val="21"/>
          <w:highlight w:val="none"/>
        </w:rPr>
      </w:pPr>
      <w:r>
        <w:rPr>
          <w:rFonts w:ascii="宋体" w:hAnsi="宋体"/>
          <w:color w:val="auto"/>
          <w:sz w:val="21"/>
          <w:highlight w:val="none"/>
        </w:rPr>
        <w:t>9</w:t>
      </w:r>
      <w:r>
        <w:rPr>
          <w:rFonts w:hint="eastAsia" w:ascii="宋体" w:hAnsi="宋体"/>
          <w:color w:val="auto"/>
          <w:sz w:val="21"/>
          <w:highlight w:val="none"/>
        </w:rPr>
        <w:t>、合同签订后</w:t>
      </w:r>
      <w:r>
        <w:rPr>
          <w:rFonts w:ascii="宋体" w:hAnsi="宋体"/>
          <w:color w:val="auto"/>
          <w:sz w:val="21"/>
          <w:highlight w:val="none"/>
        </w:rPr>
        <w:t>5</w:t>
      </w:r>
      <w:r>
        <w:rPr>
          <w:rFonts w:hint="eastAsia" w:ascii="宋体" w:hAnsi="宋体"/>
          <w:color w:val="auto"/>
          <w:sz w:val="21"/>
          <w:highlight w:val="none"/>
        </w:rPr>
        <w:t>个工作日内甲方应将养护范围现场移交给乙方。</w:t>
      </w:r>
    </w:p>
    <w:p w14:paraId="5161C102">
      <w:pPr>
        <w:widowControl/>
        <w:snapToGrid w:val="0"/>
        <w:spacing w:line="360" w:lineRule="auto"/>
        <w:ind w:firstLine="420" w:firstLineChars="200"/>
        <w:jc w:val="left"/>
        <w:rPr>
          <w:rFonts w:ascii="宋体"/>
          <w:color w:val="auto"/>
          <w:sz w:val="21"/>
          <w:highlight w:val="none"/>
        </w:rPr>
      </w:pPr>
      <w:r>
        <w:rPr>
          <w:rFonts w:hint="eastAsia" w:ascii="宋体" w:hAnsi="宋体"/>
          <w:color w:val="auto"/>
          <w:sz w:val="21"/>
          <w:highlight w:val="none"/>
        </w:rPr>
        <w:t>（二）乙方权利和义务</w:t>
      </w:r>
    </w:p>
    <w:p w14:paraId="5BD84AEA">
      <w:pPr>
        <w:spacing w:line="360" w:lineRule="auto"/>
        <w:ind w:firstLine="420" w:firstLineChars="200"/>
        <w:rPr>
          <w:rFonts w:ascii="宋体"/>
          <w:color w:val="auto"/>
          <w:sz w:val="21"/>
          <w:highlight w:val="none"/>
        </w:rPr>
      </w:pPr>
      <w:r>
        <w:rPr>
          <w:rFonts w:ascii="宋体" w:hAnsi="宋体"/>
          <w:color w:val="auto"/>
          <w:sz w:val="21"/>
          <w:highlight w:val="none"/>
        </w:rPr>
        <w:t>1</w:t>
      </w:r>
      <w:r>
        <w:rPr>
          <w:rFonts w:hint="eastAsia" w:ascii="宋体" w:hAnsi="宋体"/>
          <w:color w:val="auto"/>
          <w:sz w:val="21"/>
          <w:highlight w:val="none"/>
        </w:rPr>
        <w:t>、乙方在达到考核要求的前提下，有权要求甲方按时支付服务费用。</w:t>
      </w:r>
    </w:p>
    <w:p w14:paraId="39CC8A24">
      <w:pPr>
        <w:spacing w:line="360" w:lineRule="auto"/>
        <w:ind w:firstLine="420" w:firstLineChars="200"/>
        <w:rPr>
          <w:rFonts w:ascii="宋体"/>
          <w:color w:val="auto"/>
          <w:sz w:val="21"/>
          <w:highlight w:val="none"/>
        </w:rPr>
      </w:pPr>
      <w:r>
        <w:rPr>
          <w:rFonts w:ascii="宋体" w:hAnsi="宋体"/>
          <w:color w:val="auto"/>
          <w:sz w:val="21"/>
          <w:highlight w:val="none"/>
        </w:rPr>
        <w:t>2</w:t>
      </w:r>
      <w:r>
        <w:rPr>
          <w:rFonts w:hint="eastAsia" w:ascii="宋体" w:hAnsi="宋体"/>
          <w:color w:val="auto"/>
          <w:sz w:val="21"/>
          <w:highlight w:val="none"/>
        </w:rPr>
        <w:t>、乙方对甲方的考核过程、结果存有异议时，可要求甲方复核，复核只进行一次。</w:t>
      </w:r>
    </w:p>
    <w:p w14:paraId="08E10AA5">
      <w:pPr>
        <w:spacing w:line="360" w:lineRule="auto"/>
        <w:ind w:firstLine="420" w:firstLineChars="200"/>
        <w:rPr>
          <w:rFonts w:ascii="宋体"/>
          <w:color w:val="auto"/>
          <w:sz w:val="21"/>
          <w:highlight w:val="none"/>
        </w:rPr>
      </w:pPr>
      <w:r>
        <w:rPr>
          <w:rFonts w:ascii="宋体" w:hAnsi="宋体"/>
          <w:color w:val="auto"/>
          <w:sz w:val="21"/>
          <w:highlight w:val="none"/>
        </w:rPr>
        <w:t>3</w:t>
      </w:r>
      <w:r>
        <w:rPr>
          <w:rFonts w:hint="eastAsia" w:ascii="宋体" w:hAnsi="宋体"/>
          <w:color w:val="auto"/>
          <w:sz w:val="21"/>
          <w:highlight w:val="none"/>
        </w:rPr>
        <w:t>、乙方承担服务期间内一切养护卫生保洁、设施维护、人工水系与水面卫生保洁、中耕除草、抗旱防寒救灾、病虫害防治、绿地施肥、绿化修剪等材料、人工及器具费用，同时按照要求做好紧急抢修、冬季扫雪等突发性事件处置，完成各项检查、评比、创建任务以及服务范围内举行的各类活动的保障工作。</w:t>
      </w:r>
    </w:p>
    <w:p w14:paraId="37761880">
      <w:pPr>
        <w:pStyle w:val="55"/>
        <w:spacing w:line="360" w:lineRule="auto"/>
        <w:rPr>
          <w:rFonts w:ascii="宋体"/>
          <w:color w:val="auto"/>
          <w:szCs w:val="24"/>
          <w:highlight w:val="none"/>
        </w:rPr>
      </w:pPr>
      <w:r>
        <w:rPr>
          <w:rFonts w:ascii="宋体" w:hAnsi="宋体"/>
          <w:color w:val="auto"/>
          <w:highlight w:val="none"/>
        </w:rPr>
        <w:t xml:space="preserve">   </w:t>
      </w:r>
      <w:r>
        <w:rPr>
          <w:rFonts w:ascii="宋体" w:hAnsi="宋体"/>
          <w:color w:val="auto"/>
          <w:szCs w:val="24"/>
          <w:highlight w:val="none"/>
        </w:rPr>
        <w:t xml:space="preserve"> 4</w:t>
      </w:r>
      <w:r>
        <w:rPr>
          <w:rFonts w:hint="eastAsia" w:ascii="宋体" w:hAnsi="宋体"/>
          <w:color w:val="auto"/>
          <w:szCs w:val="24"/>
          <w:highlight w:val="none"/>
        </w:rPr>
        <w:t>、乙方承担项目范围详见采购需求。</w:t>
      </w:r>
    </w:p>
    <w:p w14:paraId="59CFB33F">
      <w:pPr>
        <w:spacing w:line="360" w:lineRule="auto"/>
        <w:ind w:firstLine="420" w:firstLineChars="200"/>
        <w:rPr>
          <w:rFonts w:ascii="宋体"/>
          <w:color w:val="auto"/>
          <w:sz w:val="21"/>
          <w:highlight w:val="none"/>
        </w:rPr>
      </w:pPr>
      <w:r>
        <w:rPr>
          <w:rFonts w:ascii="宋体" w:hAnsi="宋体"/>
          <w:color w:val="auto"/>
          <w:sz w:val="21"/>
          <w:highlight w:val="none"/>
        </w:rPr>
        <w:t>5</w:t>
      </w:r>
      <w:r>
        <w:rPr>
          <w:rFonts w:hint="eastAsia" w:ascii="宋体" w:hAnsi="宋体"/>
          <w:color w:val="auto"/>
          <w:sz w:val="21"/>
          <w:highlight w:val="none"/>
        </w:rPr>
        <w:t>、乙方应充分了解、掌握管理范围内绿地详细情况以及工作内容，进一步完善、细化投标书中承诺的日常养护方案（每周、月、季度提供一次）。</w:t>
      </w:r>
    </w:p>
    <w:p w14:paraId="6F5D6E17">
      <w:pPr>
        <w:spacing w:line="360" w:lineRule="auto"/>
        <w:ind w:firstLine="420" w:firstLineChars="200"/>
        <w:rPr>
          <w:rFonts w:ascii="宋体"/>
          <w:color w:val="auto"/>
          <w:sz w:val="21"/>
          <w:highlight w:val="none"/>
        </w:rPr>
      </w:pPr>
      <w:r>
        <w:rPr>
          <w:rFonts w:ascii="宋体" w:hAnsi="宋体"/>
          <w:color w:val="auto"/>
          <w:sz w:val="21"/>
          <w:highlight w:val="none"/>
        </w:rPr>
        <w:t>5</w:t>
      </w:r>
      <w:r>
        <w:rPr>
          <w:rFonts w:hint="eastAsia" w:ascii="宋体" w:hAnsi="宋体"/>
          <w:color w:val="auto"/>
          <w:sz w:val="21"/>
          <w:highlight w:val="none"/>
        </w:rPr>
        <w:t>、乙方应根据甲方要求提供绿地养护人员配置计划书（包括养护人员姓名、年龄、电话等），完善进场组织和人员管理机制，有紧急情况随叫随到；中途如有人员变动，需制定人员补充计划并报甲方核准。乙方应配备管理人员，做好日常养护、人员、纪律等台账，建立绿化养护技术资料档案。并及时向甲方反馈信息，所有资料、台账应及时进行分析整理，每月底将整理分析后的养护管理档案备份送甲方归档保存。</w:t>
      </w:r>
    </w:p>
    <w:p w14:paraId="664D8D34">
      <w:pPr>
        <w:spacing w:line="360" w:lineRule="auto"/>
        <w:ind w:firstLine="420" w:firstLineChars="200"/>
        <w:rPr>
          <w:rFonts w:ascii="宋体"/>
          <w:color w:val="auto"/>
          <w:sz w:val="21"/>
          <w:highlight w:val="none"/>
        </w:rPr>
      </w:pPr>
      <w:r>
        <w:rPr>
          <w:rFonts w:ascii="宋体" w:hAnsi="宋体"/>
          <w:color w:val="auto"/>
          <w:sz w:val="21"/>
          <w:highlight w:val="none"/>
        </w:rPr>
        <w:t>6</w:t>
      </w:r>
      <w:r>
        <w:rPr>
          <w:rFonts w:hint="eastAsia" w:ascii="宋体" w:hAnsi="宋体"/>
          <w:color w:val="auto"/>
          <w:sz w:val="21"/>
          <w:highlight w:val="none"/>
        </w:rPr>
        <w:t>、乙方必须做好养护人员养老保险、意外险和第三责任险投保工作。</w:t>
      </w:r>
    </w:p>
    <w:p w14:paraId="4E785A5E">
      <w:pPr>
        <w:spacing w:line="360" w:lineRule="auto"/>
        <w:ind w:firstLine="420" w:firstLineChars="200"/>
        <w:rPr>
          <w:rFonts w:ascii="宋体"/>
          <w:color w:val="auto"/>
          <w:sz w:val="21"/>
          <w:highlight w:val="none"/>
        </w:rPr>
      </w:pPr>
      <w:r>
        <w:rPr>
          <w:rFonts w:ascii="宋体" w:hAnsi="宋体"/>
          <w:color w:val="auto"/>
          <w:sz w:val="21"/>
          <w:highlight w:val="none"/>
        </w:rPr>
        <w:t>7</w:t>
      </w:r>
      <w:r>
        <w:rPr>
          <w:rFonts w:hint="eastAsia" w:ascii="宋体" w:hAnsi="宋体"/>
          <w:color w:val="auto"/>
          <w:sz w:val="21"/>
          <w:highlight w:val="none"/>
        </w:rPr>
        <w:t>、乙方必须对所有的养护人员进行安全生产教育和劳动纪律教育，组织养护人员参加技术培训教育。</w:t>
      </w:r>
    </w:p>
    <w:p w14:paraId="1DABFC2D">
      <w:pPr>
        <w:spacing w:line="360" w:lineRule="auto"/>
        <w:ind w:firstLine="420" w:firstLineChars="200"/>
        <w:rPr>
          <w:rFonts w:ascii="宋体"/>
          <w:color w:val="auto"/>
          <w:sz w:val="21"/>
          <w:highlight w:val="none"/>
        </w:rPr>
      </w:pPr>
      <w:r>
        <w:rPr>
          <w:rFonts w:ascii="宋体" w:hAnsi="宋体"/>
          <w:color w:val="auto"/>
          <w:sz w:val="21"/>
          <w:highlight w:val="none"/>
        </w:rPr>
        <w:t>8</w:t>
      </w:r>
      <w:r>
        <w:rPr>
          <w:rFonts w:hint="eastAsia" w:ascii="宋体" w:hAnsi="宋体"/>
          <w:color w:val="auto"/>
          <w:sz w:val="21"/>
          <w:highlight w:val="none"/>
        </w:rPr>
        <w:t>、乙方有责任防止人为毁绿事件发生；如发生绿地被毁，应及时向甲方汇报，并按甲方要求做好修复补植工作。</w:t>
      </w:r>
    </w:p>
    <w:p w14:paraId="2EDDFD87">
      <w:pPr>
        <w:spacing w:line="360" w:lineRule="auto"/>
        <w:ind w:firstLine="420" w:firstLineChars="200"/>
        <w:rPr>
          <w:rFonts w:ascii="宋体"/>
          <w:color w:val="auto"/>
          <w:sz w:val="21"/>
          <w:highlight w:val="none"/>
        </w:rPr>
      </w:pPr>
      <w:r>
        <w:rPr>
          <w:rFonts w:ascii="宋体" w:hAnsi="宋体"/>
          <w:color w:val="auto"/>
          <w:sz w:val="21"/>
          <w:highlight w:val="none"/>
        </w:rPr>
        <w:t>9</w:t>
      </w:r>
      <w:r>
        <w:rPr>
          <w:rFonts w:hint="eastAsia" w:ascii="宋体" w:hAnsi="宋体"/>
          <w:color w:val="auto"/>
          <w:sz w:val="21"/>
          <w:highlight w:val="none"/>
        </w:rPr>
        <w:t>、乙方有义务积极配合甲方完成绿地重新规划及调查工作，不得擅自改变养护绿地的原有面貌和使用性质。</w:t>
      </w:r>
    </w:p>
    <w:p w14:paraId="3AF9FA81">
      <w:pPr>
        <w:spacing w:line="360" w:lineRule="auto"/>
        <w:ind w:firstLine="420" w:firstLineChars="200"/>
        <w:rPr>
          <w:rFonts w:ascii="宋体"/>
          <w:color w:val="auto"/>
          <w:sz w:val="21"/>
          <w:highlight w:val="none"/>
        </w:rPr>
      </w:pPr>
      <w:r>
        <w:rPr>
          <w:rFonts w:ascii="宋体" w:hAnsi="宋体"/>
          <w:color w:val="auto"/>
          <w:sz w:val="21"/>
          <w:highlight w:val="none"/>
        </w:rPr>
        <w:t>10</w:t>
      </w:r>
      <w:r>
        <w:rPr>
          <w:rFonts w:hint="eastAsia" w:ascii="宋体" w:hAnsi="宋体"/>
          <w:color w:val="auto"/>
          <w:sz w:val="21"/>
          <w:highlight w:val="none"/>
        </w:rPr>
        <w:t>、乙方对所属人员的人身安全承担责任。发生任何事故，均由乙方承担全部责任及赔偿一切经济损失。</w:t>
      </w:r>
    </w:p>
    <w:p w14:paraId="226314DD">
      <w:pPr>
        <w:spacing w:line="360" w:lineRule="auto"/>
        <w:ind w:firstLine="420" w:firstLineChars="200"/>
        <w:rPr>
          <w:rFonts w:ascii="宋体"/>
          <w:color w:val="auto"/>
          <w:sz w:val="21"/>
          <w:highlight w:val="none"/>
        </w:rPr>
      </w:pPr>
      <w:r>
        <w:rPr>
          <w:rFonts w:ascii="宋体" w:hAnsi="宋体"/>
          <w:color w:val="auto"/>
          <w:sz w:val="21"/>
          <w:highlight w:val="none"/>
        </w:rPr>
        <w:t>11</w:t>
      </w:r>
      <w:r>
        <w:rPr>
          <w:rFonts w:hint="eastAsia" w:ascii="宋体" w:hAnsi="宋体"/>
          <w:color w:val="auto"/>
          <w:sz w:val="21"/>
          <w:highlight w:val="none"/>
        </w:rPr>
        <w:t>、乙方要加强法制宣传教育，做到遵纪守法，教育员工不参与赌博、流氓斗殴等社会“六害”行为，杜绝治安、民事、刑事案件的发生，对外来人口做到管理措施到位，否则一切责任由乙方承担。</w:t>
      </w:r>
    </w:p>
    <w:p w14:paraId="49B98EBF">
      <w:pPr>
        <w:spacing w:line="360" w:lineRule="auto"/>
        <w:ind w:firstLine="420" w:firstLineChars="200"/>
        <w:rPr>
          <w:rFonts w:ascii="宋体"/>
          <w:color w:val="auto"/>
          <w:sz w:val="21"/>
          <w:highlight w:val="none"/>
        </w:rPr>
      </w:pPr>
      <w:r>
        <w:rPr>
          <w:rFonts w:ascii="宋体" w:hAnsi="宋体"/>
          <w:color w:val="auto"/>
          <w:sz w:val="21"/>
          <w:highlight w:val="none"/>
        </w:rPr>
        <w:t>12</w:t>
      </w:r>
      <w:r>
        <w:rPr>
          <w:rFonts w:hint="eastAsia" w:ascii="宋体" w:hAnsi="宋体"/>
          <w:color w:val="auto"/>
          <w:sz w:val="21"/>
          <w:highlight w:val="none"/>
        </w:rPr>
        <w:t>、乙方应每周抄水表一次，每月将抄表记录报处甲方职能科室，作为考核依据之一。如因乙方失责引起漏水而造成的损失，由乙方负责赔偿。</w:t>
      </w:r>
    </w:p>
    <w:p w14:paraId="39CDC17B">
      <w:pPr>
        <w:spacing w:line="360" w:lineRule="auto"/>
        <w:ind w:firstLine="420" w:firstLineChars="200"/>
        <w:rPr>
          <w:rFonts w:ascii="宋体"/>
          <w:color w:val="auto"/>
          <w:sz w:val="21"/>
          <w:highlight w:val="none"/>
        </w:rPr>
      </w:pPr>
      <w:r>
        <w:rPr>
          <w:rFonts w:ascii="宋体" w:hAnsi="宋体"/>
          <w:color w:val="auto"/>
          <w:sz w:val="21"/>
          <w:highlight w:val="none"/>
        </w:rPr>
        <w:t>13</w:t>
      </w:r>
      <w:r>
        <w:rPr>
          <w:rFonts w:hint="eastAsia" w:ascii="宋体" w:hAnsi="宋体"/>
          <w:color w:val="auto"/>
          <w:sz w:val="21"/>
          <w:highlight w:val="none"/>
        </w:rPr>
        <w:t>、乙方应服从和接受双方约定的考核方式及由此产生的考核结果。</w:t>
      </w:r>
    </w:p>
    <w:p w14:paraId="29CB694E">
      <w:pPr>
        <w:spacing w:line="360" w:lineRule="auto"/>
        <w:ind w:firstLine="420" w:firstLineChars="200"/>
        <w:rPr>
          <w:rFonts w:ascii="宋体"/>
          <w:color w:val="auto"/>
          <w:sz w:val="21"/>
          <w:highlight w:val="none"/>
        </w:rPr>
      </w:pPr>
      <w:r>
        <w:rPr>
          <w:rFonts w:ascii="宋体" w:hAnsi="宋体"/>
          <w:color w:val="auto"/>
          <w:sz w:val="21"/>
          <w:highlight w:val="none"/>
        </w:rPr>
        <w:t>14</w:t>
      </w:r>
      <w:r>
        <w:rPr>
          <w:rFonts w:hint="eastAsia" w:ascii="宋体" w:hAnsi="宋体"/>
          <w:color w:val="auto"/>
          <w:sz w:val="21"/>
          <w:highlight w:val="none"/>
        </w:rPr>
        <w:t>、乙方不得将本服务项目转包、分包给他人。</w:t>
      </w:r>
    </w:p>
    <w:p w14:paraId="3BBC40D3">
      <w:pPr>
        <w:spacing w:line="360" w:lineRule="auto"/>
        <w:ind w:firstLine="420" w:firstLineChars="200"/>
        <w:rPr>
          <w:rFonts w:ascii="宋体"/>
          <w:color w:val="auto"/>
          <w:sz w:val="21"/>
          <w:highlight w:val="none"/>
        </w:rPr>
      </w:pPr>
      <w:r>
        <w:rPr>
          <w:rFonts w:ascii="宋体" w:hAnsi="宋体"/>
          <w:color w:val="auto"/>
          <w:sz w:val="21"/>
          <w:highlight w:val="none"/>
        </w:rPr>
        <w:t>15</w:t>
      </w:r>
      <w:r>
        <w:rPr>
          <w:rFonts w:hint="eastAsia" w:ascii="宋体" w:hAnsi="宋体"/>
          <w:color w:val="auto"/>
          <w:sz w:val="21"/>
          <w:highlight w:val="none"/>
        </w:rPr>
        <w:t>、乙方人员不得在从事绿地养护工作时与人争吵。如果发生争吵，造成重大不良社会影响的，乙方当月考核即为不合格。</w:t>
      </w:r>
    </w:p>
    <w:p w14:paraId="0EF0D75E">
      <w:pPr>
        <w:spacing w:line="360" w:lineRule="auto"/>
        <w:ind w:firstLine="420" w:firstLineChars="200"/>
        <w:rPr>
          <w:rFonts w:ascii="宋体" w:hAnsi="宋体"/>
          <w:color w:val="auto"/>
          <w:sz w:val="21"/>
          <w:highlight w:val="none"/>
        </w:rPr>
      </w:pPr>
      <w:r>
        <w:rPr>
          <w:rFonts w:ascii="宋体" w:hAnsi="宋体"/>
          <w:color w:val="auto"/>
          <w:sz w:val="21"/>
          <w:highlight w:val="none"/>
        </w:rPr>
        <w:t>16</w:t>
      </w:r>
      <w:r>
        <w:rPr>
          <w:rFonts w:hint="eastAsia" w:ascii="宋体" w:hAnsi="宋体"/>
          <w:color w:val="auto"/>
          <w:sz w:val="21"/>
          <w:highlight w:val="none"/>
        </w:rPr>
        <w:t>、因乙方绿地养护工作不到位而接到各类投诉或被曝光，情况属实的，甲方将根据考核细则扣除乙方考核分，且乙方必须在规定时间内整改到位。</w:t>
      </w:r>
    </w:p>
    <w:p w14:paraId="0BEF4AC8">
      <w:pPr>
        <w:spacing w:line="360" w:lineRule="auto"/>
        <w:ind w:firstLine="420" w:firstLineChars="200"/>
        <w:rPr>
          <w:rFonts w:ascii="宋体" w:hAnsi="宋体"/>
          <w:color w:val="auto"/>
          <w:sz w:val="21"/>
          <w:highlight w:val="none"/>
        </w:rPr>
      </w:pPr>
      <w:r>
        <w:rPr>
          <w:rFonts w:ascii="宋体" w:hAnsi="宋体"/>
          <w:color w:val="auto"/>
          <w:sz w:val="21"/>
          <w:highlight w:val="none"/>
        </w:rPr>
        <w:t>17</w:t>
      </w:r>
      <w:r>
        <w:rPr>
          <w:rFonts w:hint="eastAsia" w:ascii="宋体" w:hAnsi="宋体"/>
          <w:color w:val="auto"/>
          <w:sz w:val="21"/>
          <w:highlight w:val="none"/>
        </w:rPr>
        <w:t>、在各种检查、创建等活动期间，甲方需要增加乙方工作量时，乙方须无条件服从。</w:t>
      </w:r>
    </w:p>
    <w:p w14:paraId="59469085">
      <w:pPr>
        <w:spacing w:line="360" w:lineRule="auto"/>
        <w:ind w:firstLine="420" w:firstLineChars="200"/>
        <w:rPr>
          <w:rFonts w:ascii="宋体" w:hAnsi="宋体"/>
          <w:color w:val="auto"/>
          <w:sz w:val="21"/>
          <w:highlight w:val="none"/>
        </w:rPr>
      </w:pPr>
      <w:r>
        <w:rPr>
          <w:rFonts w:hint="eastAsia" w:ascii="宋体" w:hAnsi="宋体"/>
          <w:color w:val="auto"/>
          <w:sz w:val="21"/>
          <w:highlight w:val="none"/>
        </w:rPr>
        <w:t>18、乙方在养护范围现场移交后3天内，机械设备及人员须全部到位。</w:t>
      </w:r>
    </w:p>
    <w:p w14:paraId="56CF4B7B">
      <w:pPr>
        <w:widowControl/>
        <w:snapToGrid w:val="0"/>
        <w:spacing w:before="120" w:beforeLines="50" w:line="360" w:lineRule="auto"/>
        <w:ind w:firstLine="420" w:firstLineChars="200"/>
        <w:jc w:val="left"/>
        <w:rPr>
          <w:rFonts w:ascii="宋体"/>
          <w:b/>
          <w:color w:val="auto"/>
          <w:sz w:val="21"/>
          <w:highlight w:val="none"/>
        </w:rPr>
      </w:pPr>
      <w:r>
        <w:rPr>
          <w:rFonts w:hint="eastAsia" w:ascii="宋体" w:hAnsi="宋体"/>
          <w:b/>
          <w:color w:val="auto"/>
          <w:sz w:val="21"/>
          <w:highlight w:val="none"/>
        </w:rPr>
        <w:t>六、考核验收</w:t>
      </w:r>
    </w:p>
    <w:p w14:paraId="2FC1B407">
      <w:pPr>
        <w:spacing w:line="360" w:lineRule="auto"/>
        <w:ind w:firstLine="420" w:firstLineChars="200"/>
        <w:rPr>
          <w:rFonts w:ascii="宋体"/>
          <w:color w:val="auto"/>
          <w:sz w:val="21"/>
          <w:highlight w:val="none"/>
        </w:rPr>
      </w:pPr>
      <w:r>
        <w:rPr>
          <w:rFonts w:ascii="宋体" w:hAnsi="宋体"/>
          <w:color w:val="auto"/>
          <w:sz w:val="21"/>
          <w:highlight w:val="none"/>
        </w:rPr>
        <w:t>1</w:t>
      </w:r>
      <w:r>
        <w:rPr>
          <w:rFonts w:hint="eastAsia" w:ascii="宋体" w:hAnsi="宋体"/>
          <w:color w:val="auto"/>
          <w:sz w:val="21"/>
          <w:highlight w:val="none"/>
        </w:rPr>
        <w:t>、甲方采取不定期考核、</w:t>
      </w:r>
      <w:r>
        <w:rPr>
          <w:rFonts w:hint="eastAsia" w:ascii="宋体" w:cs="微软雅黑"/>
          <w:color w:val="auto"/>
          <w:sz w:val="21"/>
          <w:szCs w:val="21"/>
          <w:highlight w:val="none"/>
        </w:rPr>
        <w:t>月度</w:t>
      </w:r>
      <w:r>
        <w:rPr>
          <w:rFonts w:hint="eastAsia" w:ascii="宋体" w:hAnsi="宋体"/>
          <w:color w:val="auto"/>
          <w:sz w:val="21"/>
          <w:highlight w:val="none"/>
        </w:rPr>
        <w:t>考核及季度考核汇总评定，对乙方养护质量进行考核验收，并以考核结果作为支付养护服务费依据。</w:t>
      </w:r>
    </w:p>
    <w:p w14:paraId="16ED3A14">
      <w:pPr>
        <w:spacing w:line="360" w:lineRule="auto"/>
        <w:ind w:firstLine="420" w:firstLineChars="200"/>
        <w:rPr>
          <w:rFonts w:ascii="宋体"/>
          <w:color w:val="auto"/>
          <w:sz w:val="21"/>
          <w:highlight w:val="none"/>
        </w:rPr>
      </w:pPr>
      <w:r>
        <w:rPr>
          <w:rFonts w:ascii="宋体" w:hAnsi="宋体"/>
          <w:color w:val="auto"/>
          <w:sz w:val="21"/>
          <w:highlight w:val="none"/>
        </w:rPr>
        <w:t>2</w:t>
      </w:r>
      <w:r>
        <w:rPr>
          <w:rFonts w:hint="eastAsia" w:ascii="宋体" w:hAnsi="宋体"/>
          <w:color w:val="auto"/>
          <w:sz w:val="21"/>
          <w:highlight w:val="none"/>
        </w:rPr>
        <w:t>、考核验收按照《仙居县公路绿化养护管理考核办法》执行。</w:t>
      </w:r>
    </w:p>
    <w:p w14:paraId="76546B8E">
      <w:pPr>
        <w:widowControl/>
        <w:snapToGrid w:val="0"/>
        <w:spacing w:before="120" w:beforeLines="50" w:line="360" w:lineRule="auto"/>
        <w:ind w:firstLine="420" w:firstLineChars="200"/>
        <w:jc w:val="left"/>
        <w:rPr>
          <w:rFonts w:ascii="宋体"/>
          <w:b/>
          <w:color w:val="auto"/>
          <w:sz w:val="21"/>
          <w:highlight w:val="none"/>
        </w:rPr>
      </w:pPr>
      <w:r>
        <w:rPr>
          <w:rFonts w:hint="eastAsia" w:ascii="宋体" w:hAnsi="宋体"/>
          <w:b/>
          <w:color w:val="auto"/>
          <w:sz w:val="21"/>
          <w:highlight w:val="none"/>
        </w:rPr>
        <w:t>七、养护服务费核拨方式</w:t>
      </w:r>
    </w:p>
    <w:p w14:paraId="566193CA">
      <w:pPr>
        <w:widowControl/>
        <w:snapToGrid w:val="0"/>
        <w:spacing w:before="120" w:beforeLines="50" w:line="360" w:lineRule="auto"/>
        <w:ind w:firstLine="420" w:firstLineChars="200"/>
        <w:jc w:val="left"/>
        <w:rPr>
          <w:rFonts w:ascii="宋体" w:cs="宋体"/>
          <w:color w:val="auto"/>
          <w:sz w:val="21"/>
          <w:szCs w:val="21"/>
          <w:highlight w:val="none"/>
        </w:rPr>
      </w:pPr>
      <w:r>
        <w:rPr>
          <w:rFonts w:hint="eastAsia" w:ascii="宋体" w:cs="宋体"/>
          <w:color w:val="auto"/>
          <w:sz w:val="21"/>
          <w:szCs w:val="21"/>
          <w:highlight w:val="none"/>
        </w:rPr>
        <w:t>在合同签订后，机械设备到位</w:t>
      </w:r>
      <w:r>
        <w:rPr>
          <w:rFonts w:hint="eastAsia" w:ascii="宋体" w:eastAsia="宋体" w:cs="宋体"/>
          <w:color w:val="auto"/>
          <w:sz w:val="21"/>
          <w:szCs w:val="21"/>
          <w:highlight w:val="none"/>
          <w:lang w:eastAsia="zh-CN"/>
        </w:rPr>
        <w:t>正式开工</w:t>
      </w:r>
      <w:r>
        <w:rPr>
          <w:rFonts w:hint="eastAsia" w:ascii="宋体" w:cs="宋体"/>
          <w:color w:val="auto"/>
          <w:sz w:val="21"/>
          <w:szCs w:val="21"/>
          <w:highlight w:val="none"/>
        </w:rPr>
        <w:t>后</w:t>
      </w:r>
      <w:r>
        <w:rPr>
          <w:rFonts w:hint="eastAsia" w:ascii="宋体" w:eastAsia="宋体" w:cs="宋体"/>
          <w:color w:val="auto"/>
          <w:sz w:val="21"/>
          <w:szCs w:val="21"/>
          <w:highlight w:val="none"/>
        </w:rPr>
        <w:t>7个工作日</w:t>
      </w:r>
      <w:r>
        <w:rPr>
          <w:rFonts w:hint="eastAsia" w:ascii="宋体" w:cs="宋体"/>
          <w:color w:val="auto"/>
          <w:sz w:val="21"/>
          <w:szCs w:val="21"/>
          <w:highlight w:val="none"/>
        </w:rPr>
        <w:t>内预付合同价的</w:t>
      </w:r>
      <w:r>
        <w:rPr>
          <w:rFonts w:hint="eastAsia" w:ascii="宋体" w:eastAsia="宋体" w:cs="宋体"/>
          <w:color w:val="auto"/>
          <w:sz w:val="21"/>
          <w:szCs w:val="21"/>
          <w:highlight w:val="none"/>
        </w:rPr>
        <w:t>20</w:t>
      </w:r>
      <w:r>
        <w:rPr>
          <w:rFonts w:ascii="宋体" w:cs="宋体"/>
          <w:color w:val="auto"/>
          <w:sz w:val="21"/>
          <w:szCs w:val="21"/>
          <w:highlight w:val="none"/>
        </w:rPr>
        <w:t>%</w:t>
      </w:r>
      <w:r>
        <w:rPr>
          <w:rFonts w:hint="eastAsia" w:ascii="宋体" w:cs="宋体"/>
          <w:color w:val="auto"/>
          <w:sz w:val="21"/>
          <w:szCs w:val="21"/>
          <w:highlight w:val="none"/>
        </w:rPr>
        <w:t>。剩余经费采用先作业后拨付的方式，按季度支付，每季度按剩余的</w:t>
      </w:r>
      <w:r>
        <w:rPr>
          <w:rFonts w:hint="eastAsia" w:ascii="宋体" w:eastAsia="宋体" w:cs="宋体"/>
          <w:color w:val="auto"/>
          <w:sz w:val="21"/>
          <w:szCs w:val="21"/>
          <w:highlight w:val="none"/>
        </w:rPr>
        <w:t>80</w:t>
      </w:r>
      <w:r>
        <w:rPr>
          <w:rFonts w:ascii="宋体" w:cs="宋体"/>
          <w:color w:val="auto"/>
          <w:sz w:val="21"/>
          <w:szCs w:val="21"/>
          <w:highlight w:val="none"/>
        </w:rPr>
        <w:t>%</w:t>
      </w:r>
      <w:r>
        <w:rPr>
          <w:rFonts w:hint="eastAsia" w:ascii="宋体" w:cs="宋体"/>
          <w:color w:val="auto"/>
          <w:sz w:val="21"/>
          <w:szCs w:val="21"/>
          <w:highlight w:val="none"/>
        </w:rPr>
        <w:t>经费为基数平均计算，依据仙居县公路绿化养护管理考核办法的考核结果支付。乙方应按甲方要求开具相应金额的正规发票。</w:t>
      </w:r>
    </w:p>
    <w:p w14:paraId="2D9A3C5B">
      <w:pPr>
        <w:widowControl/>
        <w:snapToGrid w:val="0"/>
        <w:spacing w:before="120" w:beforeLines="50" w:line="360" w:lineRule="auto"/>
        <w:ind w:firstLine="420" w:firstLineChars="200"/>
        <w:jc w:val="left"/>
        <w:rPr>
          <w:rFonts w:ascii="宋体"/>
          <w:b/>
          <w:color w:val="auto"/>
          <w:sz w:val="21"/>
          <w:highlight w:val="none"/>
        </w:rPr>
      </w:pPr>
      <w:r>
        <w:rPr>
          <w:rFonts w:hint="eastAsia" w:ascii="宋体" w:hAnsi="宋体"/>
          <w:b/>
          <w:color w:val="auto"/>
          <w:sz w:val="21"/>
          <w:highlight w:val="none"/>
        </w:rPr>
        <w:t>八、履约保证金及违约责任</w:t>
      </w:r>
    </w:p>
    <w:p w14:paraId="393295FB">
      <w:pPr>
        <w:snapToGrid w:val="0"/>
        <w:spacing w:line="360" w:lineRule="auto"/>
        <w:ind w:firstLine="420" w:firstLineChars="200"/>
        <w:outlineLvl w:val="0"/>
        <w:rPr>
          <w:rFonts w:ascii="宋体" w:hAnsi="Courier New" w:eastAsia="宋体"/>
          <w:color w:val="auto"/>
          <w:sz w:val="21"/>
          <w:highlight w:val="none"/>
        </w:rPr>
      </w:pPr>
      <w:r>
        <w:rPr>
          <w:rFonts w:ascii="宋体" w:hAnsi="宋体"/>
          <w:color w:val="auto"/>
          <w:kern w:val="0"/>
          <w:sz w:val="21"/>
          <w:highlight w:val="none"/>
        </w:rPr>
        <w:t>1</w:t>
      </w:r>
      <w:r>
        <w:rPr>
          <w:rFonts w:hint="eastAsia" w:ascii="宋体" w:hAnsi="宋体"/>
          <w:color w:val="auto"/>
          <w:kern w:val="0"/>
          <w:sz w:val="21"/>
          <w:highlight w:val="none"/>
        </w:rPr>
        <w:t>、在签订合同时，乙方应上缴甲方合同总价的</w:t>
      </w:r>
      <w:r>
        <w:rPr>
          <w:rFonts w:hint="eastAsia" w:ascii="宋体" w:hAnsi="宋体" w:eastAsia="宋体"/>
          <w:color w:val="auto"/>
          <w:kern w:val="0"/>
          <w:sz w:val="21"/>
          <w:highlight w:val="none"/>
          <w:u w:val="single"/>
        </w:rPr>
        <w:t>1</w:t>
      </w:r>
      <w:r>
        <w:rPr>
          <w:rFonts w:ascii="宋体" w:hAnsi="宋体"/>
          <w:color w:val="auto"/>
          <w:kern w:val="0"/>
          <w:sz w:val="21"/>
          <w:highlight w:val="none"/>
          <w:u w:val="single"/>
        </w:rPr>
        <w:t xml:space="preserve">%  </w:t>
      </w:r>
      <w:r>
        <w:rPr>
          <w:rFonts w:hint="eastAsia" w:ascii="宋体" w:hAnsi="宋体"/>
          <w:color w:val="auto"/>
          <w:kern w:val="0"/>
          <w:sz w:val="21"/>
          <w:highlight w:val="none"/>
        </w:rPr>
        <w:t>作为履约保证金。</w:t>
      </w:r>
      <w:r>
        <w:rPr>
          <w:rFonts w:ascii="宋体" w:hAnsi="宋体" w:eastAsia="宋体"/>
          <w:color w:val="auto"/>
          <w:sz w:val="21"/>
          <w:highlight w:val="none"/>
        </w:rPr>
        <w:t>方式为：</w:t>
      </w:r>
      <w:r>
        <w:rPr>
          <w:rFonts w:ascii="宋体" w:hAnsi="宋体" w:eastAsia="宋体"/>
          <w:color w:val="auto"/>
          <w:sz w:val="21"/>
          <w:highlight w:val="none"/>
          <w:u w:val="single"/>
        </w:rPr>
        <w:t xml:space="preserve"> 转账、及甲方认可的包含形式（如银行保函、保险机构保证保险保单和融资担保公司保函） </w:t>
      </w:r>
      <w:r>
        <w:rPr>
          <w:rFonts w:ascii="宋体" w:hAnsi="宋体" w:eastAsia="宋体"/>
          <w:color w:val="auto"/>
          <w:sz w:val="21"/>
          <w:highlight w:val="none"/>
        </w:rPr>
        <w:t>。</w:t>
      </w:r>
    </w:p>
    <w:p w14:paraId="1D40537E">
      <w:pPr>
        <w:pStyle w:val="66"/>
        <w:spacing w:after="0" w:afterLines="0" w:line="360" w:lineRule="auto"/>
        <w:ind w:firstLine="420"/>
        <w:rPr>
          <w:rFonts w:ascii="宋体"/>
          <w:color w:val="auto"/>
          <w:sz w:val="21"/>
          <w:highlight w:val="none"/>
        </w:rPr>
      </w:pPr>
      <w:r>
        <w:rPr>
          <w:rFonts w:hint="eastAsia" w:ascii="宋体" w:hAnsi="宋体" w:eastAsia="宋体"/>
          <w:color w:val="auto"/>
          <w:sz w:val="21"/>
          <w:highlight w:val="none"/>
        </w:rPr>
        <w:t>2、</w:t>
      </w:r>
      <w:r>
        <w:rPr>
          <w:rFonts w:hint="eastAsia" w:ascii="宋体" w:hAnsi="宋体"/>
          <w:color w:val="auto"/>
          <w:sz w:val="21"/>
          <w:szCs w:val="21"/>
          <w:highlight w:val="none"/>
        </w:rPr>
        <w:t>履约保证金在</w:t>
      </w:r>
      <w:r>
        <w:rPr>
          <w:rFonts w:hint="eastAsia" w:ascii="宋体" w:hAnsi="宋体"/>
          <w:color w:val="auto"/>
          <w:sz w:val="21"/>
          <w:highlight w:val="none"/>
        </w:rPr>
        <w:t>合同期限届满后</w:t>
      </w:r>
      <w:r>
        <w:rPr>
          <w:rFonts w:hint="eastAsia" w:ascii="宋体" w:hAnsi="宋体"/>
          <w:color w:val="auto"/>
          <w:sz w:val="21"/>
          <w:szCs w:val="21"/>
          <w:highlight w:val="none"/>
        </w:rPr>
        <w:t>15个工作日内无息退还。如乙方原因造成合同中止，履约担保金不返还，如乙方不能按投标承诺和合同要求履约，甲方将有权扣除相应甚至全部履约保证金。承包人应保证履约担保在</w:t>
      </w:r>
      <w:r>
        <w:rPr>
          <w:rFonts w:hint="eastAsia" w:ascii="宋体" w:hAnsi="宋体"/>
          <w:color w:val="auto"/>
          <w:sz w:val="21"/>
          <w:highlight w:val="none"/>
        </w:rPr>
        <w:t>合同期限届满</w:t>
      </w:r>
      <w:r>
        <w:rPr>
          <w:rFonts w:hint="eastAsia" w:ascii="宋体" w:hAnsi="宋体"/>
          <w:color w:val="auto"/>
          <w:sz w:val="21"/>
          <w:szCs w:val="21"/>
          <w:highlight w:val="none"/>
        </w:rPr>
        <w:t>前持续有效。</w:t>
      </w:r>
    </w:p>
    <w:p w14:paraId="0365416C">
      <w:pPr>
        <w:widowControl/>
        <w:snapToGrid w:val="0"/>
        <w:spacing w:line="360" w:lineRule="auto"/>
        <w:ind w:firstLine="420" w:firstLineChars="200"/>
        <w:jc w:val="left"/>
        <w:rPr>
          <w:rFonts w:ascii="宋体"/>
          <w:color w:val="auto"/>
          <w:kern w:val="0"/>
          <w:sz w:val="21"/>
          <w:highlight w:val="none"/>
        </w:rPr>
      </w:pPr>
      <w:r>
        <w:rPr>
          <w:rFonts w:hint="eastAsia" w:ascii="宋体" w:hAnsi="宋体"/>
          <w:color w:val="auto"/>
          <w:kern w:val="0"/>
          <w:sz w:val="21"/>
          <w:highlight w:val="none"/>
        </w:rPr>
        <w:t>3、合同期限内，甲、乙双方任何一方不得单方解除合同，不得擅自将合同全部或部分转让给第三方，若乙方违反，甲方有权提前解除合同，并没收履约保证金；若甲方违反，甲方应双倍返还履约保证金。</w:t>
      </w:r>
    </w:p>
    <w:p w14:paraId="2FFC79FA">
      <w:pPr>
        <w:widowControl/>
        <w:snapToGrid w:val="0"/>
        <w:spacing w:line="360" w:lineRule="auto"/>
        <w:ind w:firstLine="420" w:firstLineChars="200"/>
        <w:jc w:val="left"/>
        <w:rPr>
          <w:rFonts w:hint="eastAsia" w:ascii="宋体" w:hAnsi="宋体"/>
          <w:color w:val="auto"/>
          <w:kern w:val="0"/>
          <w:sz w:val="21"/>
          <w:highlight w:val="none"/>
        </w:rPr>
      </w:pPr>
      <w:r>
        <w:rPr>
          <w:rFonts w:hint="eastAsia" w:ascii="宋体" w:hAnsi="宋体"/>
          <w:color w:val="auto"/>
          <w:kern w:val="0"/>
          <w:sz w:val="21"/>
          <w:highlight w:val="none"/>
        </w:rPr>
        <w:t>4、合同期限内发生下列情况之一的，甲方有权提前解除合同，没收全额履约保证金，造成损失大于履约保证金的，甲方有权要求乙方赔偿，损失特别重大的，还应当追究有关责任人的经济责任。因提前解除合同所造成的一切损失，由乙方自行承担。</w:t>
      </w:r>
    </w:p>
    <w:p w14:paraId="7007DFA4">
      <w:pPr>
        <w:widowControl/>
        <w:snapToGrid w:val="0"/>
        <w:spacing w:line="360" w:lineRule="auto"/>
        <w:ind w:firstLine="420" w:firstLineChars="200"/>
        <w:jc w:val="left"/>
        <w:rPr>
          <w:rFonts w:ascii="宋体" w:hAnsi="宋体"/>
          <w:color w:val="auto"/>
          <w:kern w:val="0"/>
          <w:sz w:val="21"/>
          <w:highlight w:val="none"/>
        </w:rPr>
      </w:pPr>
      <w:r>
        <w:rPr>
          <w:rFonts w:hint="eastAsia" w:ascii="宋体" w:hAnsi="宋体"/>
          <w:color w:val="auto"/>
          <w:kern w:val="0"/>
          <w:sz w:val="21"/>
          <w:highlight w:val="none"/>
        </w:rPr>
        <w:t>（</w:t>
      </w:r>
      <w:r>
        <w:rPr>
          <w:rFonts w:ascii="宋体" w:hAnsi="宋体"/>
          <w:color w:val="auto"/>
          <w:kern w:val="0"/>
          <w:sz w:val="21"/>
          <w:highlight w:val="none"/>
        </w:rPr>
        <w:t>1</w:t>
      </w:r>
      <w:r>
        <w:rPr>
          <w:rFonts w:hint="eastAsia" w:ascii="宋体" w:hAnsi="宋体"/>
          <w:color w:val="auto"/>
          <w:kern w:val="0"/>
          <w:sz w:val="21"/>
          <w:highlight w:val="none"/>
        </w:rPr>
        <w:t>）服务期内</w:t>
      </w:r>
      <w:r>
        <w:rPr>
          <w:rFonts w:hint="eastAsia" w:ascii="宋体" w:hAnsi="宋体" w:eastAsia="宋体" w:cs="宋体"/>
          <w:color w:val="auto"/>
          <w:kern w:val="0"/>
          <w:sz w:val="21"/>
          <w:highlight w:val="none"/>
        </w:rPr>
        <w:t>季度考核考核结果在</w:t>
      </w:r>
      <w:r>
        <w:rPr>
          <w:rFonts w:ascii="宋体" w:hAnsi="宋体"/>
          <w:color w:val="auto"/>
          <w:kern w:val="0"/>
          <w:sz w:val="21"/>
          <w:highlight w:val="none"/>
        </w:rPr>
        <w:t>70</w:t>
      </w:r>
      <w:r>
        <w:rPr>
          <w:rFonts w:hint="eastAsia" w:ascii="宋体" w:hAnsi="宋体"/>
          <w:color w:val="auto"/>
          <w:kern w:val="0"/>
          <w:sz w:val="21"/>
          <w:highlight w:val="none"/>
        </w:rPr>
        <w:t>分以下</w:t>
      </w:r>
      <w:r>
        <w:rPr>
          <w:rFonts w:hint="eastAsia" w:ascii="宋体" w:hAnsi="宋体" w:eastAsia="宋体" w:cs="宋体"/>
          <w:color w:val="auto"/>
          <w:kern w:val="0"/>
          <w:sz w:val="21"/>
          <w:highlight w:val="none"/>
        </w:rPr>
        <w:t>或连续三次考核</w:t>
      </w:r>
      <w:r>
        <w:rPr>
          <w:rFonts w:ascii="宋体" w:hAnsi="宋体"/>
          <w:color w:val="auto"/>
          <w:kern w:val="0"/>
          <w:sz w:val="21"/>
          <w:highlight w:val="none"/>
        </w:rPr>
        <w:t>80</w:t>
      </w:r>
      <w:r>
        <w:rPr>
          <w:rFonts w:hint="eastAsia" w:ascii="宋体" w:hAnsi="宋体" w:eastAsia="宋体" w:cs="宋体"/>
          <w:color w:val="auto"/>
          <w:kern w:val="0"/>
          <w:sz w:val="21"/>
          <w:highlight w:val="none"/>
        </w:rPr>
        <w:t>分（含）以下</w:t>
      </w:r>
      <w:r>
        <w:rPr>
          <w:rFonts w:hint="eastAsia" w:ascii="宋体" w:hAnsi="宋体"/>
          <w:color w:val="auto"/>
          <w:kern w:val="0"/>
          <w:sz w:val="21"/>
          <w:highlight w:val="none"/>
        </w:rPr>
        <w:t>；</w:t>
      </w:r>
      <w:r>
        <w:rPr>
          <w:rFonts w:ascii="宋体" w:hAnsi="宋体"/>
          <w:color w:val="auto"/>
          <w:kern w:val="0"/>
          <w:sz w:val="21"/>
          <w:highlight w:val="none"/>
        </w:rPr>
        <w:t xml:space="preserve"> </w:t>
      </w:r>
    </w:p>
    <w:p w14:paraId="78E85C64">
      <w:pPr>
        <w:widowControl/>
        <w:snapToGrid w:val="0"/>
        <w:spacing w:line="360" w:lineRule="auto"/>
        <w:ind w:firstLine="420" w:firstLineChars="200"/>
        <w:jc w:val="left"/>
        <w:rPr>
          <w:rFonts w:ascii="宋体" w:hAnsi="宋体"/>
          <w:color w:val="auto"/>
          <w:kern w:val="0"/>
          <w:sz w:val="21"/>
          <w:highlight w:val="none"/>
        </w:rPr>
      </w:pPr>
      <w:r>
        <w:rPr>
          <w:rFonts w:hint="eastAsia" w:ascii="宋体" w:hAnsi="宋体"/>
          <w:color w:val="auto"/>
          <w:kern w:val="0"/>
          <w:sz w:val="21"/>
          <w:highlight w:val="none"/>
        </w:rPr>
        <w:t>（</w:t>
      </w:r>
      <w:r>
        <w:rPr>
          <w:rFonts w:ascii="宋体" w:hAnsi="宋体"/>
          <w:color w:val="auto"/>
          <w:kern w:val="0"/>
          <w:sz w:val="21"/>
          <w:highlight w:val="none"/>
        </w:rPr>
        <w:t>2</w:t>
      </w:r>
      <w:r>
        <w:rPr>
          <w:rFonts w:hint="eastAsia" w:ascii="宋体" w:hAnsi="宋体"/>
          <w:color w:val="auto"/>
          <w:kern w:val="0"/>
          <w:sz w:val="21"/>
          <w:highlight w:val="none"/>
        </w:rPr>
        <w:t>）非自然原因一次性造成绿地设施重大损失（</w:t>
      </w:r>
      <w:r>
        <w:rPr>
          <w:rFonts w:ascii="宋体" w:hAnsi="宋体"/>
          <w:color w:val="auto"/>
          <w:kern w:val="0"/>
          <w:sz w:val="21"/>
          <w:highlight w:val="none"/>
          <w:u w:val="single"/>
        </w:rPr>
        <w:t xml:space="preserve"> 50000 </w:t>
      </w:r>
      <w:r>
        <w:rPr>
          <w:rFonts w:hint="eastAsia" w:ascii="宋体" w:hAnsi="宋体"/>
          <w:color w:val="auto"/>
          <w:kern w:val="0"/>
          <w:sz w:val="21"/>
          <w:highlight w:val="none"/>
        </w:rPr>
        <w:t>元以上）或植物大规模（</w:t>
      </w:r>
      <w:r>
        <w:rPr>
          <w:rFonts w:ascii="宋体" w:hAnsi="宋体"/>
          <w:color w:val="auto"/>
          <w:kern w:val="0"/>
          <w:sz w:val="21"/>
          <w:highlight w:val="none"/>
          <w:u w:val="single"/>
        </w:rPr>
        <w:t xml:space="preserve"> 3000</w:t>
      </w:r>
      <w:r>
        <w:rPr>
          <w:rFonts w:hint="eastAsia" w:ascii="宋体" w:hAnsi="宋体"/>
          <w:color w:val="auto"/>
          <w:kern w:val="0"/>
          <w:sz w:val="21"/>
          <w:highlight w:val="none"/>
          <w:u w:val="single"/>
        </w:rPr>
        <w:t>㎡</w:t>
      </w:r>
      <w:r>
        <w:rPr>
          <w:rFonts w:hint="eastAsia" w:ascii="宋体" w:hAnsi="宋体"/>
          <w:color w:val="auto"/>
          <w:kern w:val="0"/>
          <w:sz w:val="21"/>
          <w:highlight w:val="none"/>
        </w:rPr>
        <w:t>或乔木胸径</w:t>
      </w:r>
      <w:r>
        <w:rPr>
          <w:rFonts w:ascii="宋体" w:hAnsi="宋体"/>
          <w:color w:val="auto"/>
          <w:kern w:val="0"/>
          <w:sz w:val="21"/>
          <w:highlight w:val="none"/>
        </w:rPr>
        <w:t>15cm</w:t>
      </w:r>
      <w:r>
        <w:rPr>
          <w:rFonts w:hint="eastAsia" w:ascii="宋体" w:hAnsi="宋体"/>
          <w:color w:val="auto"/>
          <w:kern w:val="0"/>
          <w:sz w:val="21"/>
          <w:highlight w:val="none"/>
        </w:rPr>
        <w:t>以上</w:t>
      </w:r>
      <w:r>
        <w:rPr>
          <w:rFonts w:ascii="宋体" w:hAnsi="宋体"/>
          <w:color w:val="auto"/>
          <w:kern w:val="0"/>
          <w:sz w:val="21"/>
          <w:highlight w:val="none"/>
          <w:u w:val="single"/>
        </w:rPr>
        <w:t xml:space="preserve"> 30</w:t>
      </w:r>
      <w:r>
        <w:rPr>
          <w:rFonts w:hint="eastAsia" w:ascii="宋体" w:hAnsi="宋体"/>
          <w:color w:val="auto"/>
          <w:kern w:val="0"/>
          <w:sz w:val="21"/>
          <w:highlight w:val="none"/>
        </w:rPr>
        <w:t>株以上或乔木胸径</w:t>
      </w:r>
      <w:r>
        <w:rPr>
          <w:rFonts w:ascii="宋体" w:hAnsi="宋体"/>
          <w:color w:val="auto"/>
          <w:kern w:val="0"/>
          <w:sz w:val="21"/>
          <w:highlight w:val="none"/>
        </w:rPr>
        <w:t>15cm</w:t>
      </w:r>
      <w:r>
        <w:rPr>
          <w:rFonts w:hint="eastAsia" w:ascii="宋体" w:hAnsi="宋体"/>
          <w:color w:val="auto"/>
          <w:kern w:val="0"/>
          <w:sz w:val="21"/>
          <w:highlight w:val="none"/>
        </w:rPr>
        <w:t>以下含</w:t>
      </w:r>
      <w:r>
        <w:rPr>
          <w:rFonts w:ascii="宋体" w:hAnsi="宋体"/>
          <w:color w:val="auto"/>
          <w:kern w:val="0"/>
          <w:sz w:val="21"/>
          <w:highlight w:val="none"/>
        </w:rPr>
        <w:t xml:space="preserve">15cm </w:t>
      </w:r>
      <w:r>
        <w:rPr>
          <w:rFonts w:ascii="宋体" w:hAnsi="宋体"/>
          <w:color w:val="auto"/>
          <w:kern w:val="0"/>
          <w:sz w:val="21"/>
          <w:highlight w:val="none"/>
          <w:u w:val="single"/>
        </w:rPr>
        <w:t>50</w:t>
      </w:r>
      <w:r>
        <w:rPr>
          <w:rFonts w:hint="eastAsia" w:ascii="宋体" w:hAnsi="宋体"/>
          <w:color w:val="auto"/>
          <w:kern w:val="0"/>
          <w:sz w:val="21"/>
          <w:highlight w:val="none"/>
        </w:rPr>
        <w:t>株以上）死株的。</w:t>
      </w:r>
    </w:p>
    <w:p w14:paraId="18E3685D">
      <w:pPr>
        <w:widowControl/>
        <w:snapToGrid w:val="0"/>
        <w:spacing w:line="360" w:lineRule="auto"/>
        <w:ind w:firstLine="420" w:firstLineChars="200"/>
        <w:jc w:val="left"/>
        <w:rPr>
          <w:rFonts w:hint="eastAsia" w:ascii="宋体" w:hAnsi="宋体"/>
          <w:color w:val="auto"/>
          <w:kern w:val="0"/>
          <w:sz w:val="21"/>
          <w:highlight w:val="none"/>
        </w:rPr>
      </w:pPr>
      <w:r>
        <w:rPr>
          <w:rFonts w:hint="eastAsia" w:ascii="宋体" w:hAnsi="宋体"/>
          <w:color w:val="auto"/>
          <w:kern w:val="0"/>
          <w:sz w:val="21"/>
          <w:highlight w:val="none"/>
        </w:rPr>
        <w:t>（</w:t>
      </w:r>
      <w:r>
        <w:rPr>
          <w:rFonts w:ascii="宋体" w:hAnsi="宋体"/>
          <w:color w:val="auto"/>
          <w:kern w:val="0"/>
          <w:sz w:val="21"/>
          <w:highlight w:val="none"/>
        </w:rPr>
        <w:t>3</w:t>
      </w:r>
      <w:r>
        <w:rPr>
          <w:rFonts w:hint="eastAsia" w:ascii="宋体" w:hAnsi="宋体"/>
          <w:color w:val="auto"/>
          <w:kern w:val="0"/>
          <w:sz w:val="21"/>
          <w:highlight w:val="none"/>
        </w:rPr>
        <w:t>）中标人因管理或养护不力被县级以上媒体曝光的或其他原因造成养护人员及其他人员群体性上访或信访事件的，累计二次及以上；</w:t>
      </w:r>
    </w:p>
    <w:p w14:paraId="4748F8FA">
      <w:pPr>
        <w:widowControl/>
        <w:snapToGrid w:val="0"/>
        <w:spacing w:before="120" w:beforeLines="50" w:line="360" w:lineRule="auto"/>
        <w:ind w:firstLine="422" w:firstLineChars="200"/>
        <w:jc w:val="left"/>
        <w:rPr>
          <w:rFonts w:hint="eastAsia" w:ascii="宋体" w:hAnsi="宋体" w:eastAsia="宋体"/>
          <w:b/>
          <w:color w:val="auto"/>
          <w:sz w:val="21"/>
          <w:highlight w:val="none"/>
        </w:rPr>
      </w:pPr>
      <w:r>
        <w:rPr>
          <w:rFonts w:hint="eastAsia" w:ascii="宋体" w:hAnsi="宋体" w:eastAsia="宋体"/>
          <w:b/>
          <w:color w:val="auto"/>
          <w:sz w:val="21"/>
          <w:highlight w:val="none"/>
        </w:rPr>
        <w:t>九、争议解决</w:t>
      </w:r>
    </w:p>
    <w:p w14:paraId="41664855">
      <w:pPr>
        <w:pStyle w:val="66"/>
        <w:spacing w:after="0" w:afterLines="0" w:line="360" w:lineRule="auto"/>
        <w:ind w:firstLine="420"/>
        <w:rPr>
          <w:rFonts w:ascii="宋体" w:hAnsi="宋体"/>
          <w:color w:val="auto"/>
          <w:sz w:val="21"/>
          <w:szCs w:val="21"/>
          <w:highlight w:val="none"/>
        </w:rPr>
      </w:pPr>
      <w:r>
        <w:rPr>
          <w:rFonts w:ascii="宋体" w:hAnsi="宋体"/>
          <w:color w:val="auto"/>
          <w:sz w:val="21"/>
          <w:szCs w:val="21"/>
          <w:highlight w:val="none"/>
        </w:rPr>
        <w:t xml:space="preserve">1 </w:t>
      </w:r>
      <w:r>
        <w:rPr>
          <w:rFonts w:hint="eastAsia" w:ascii="宋体" w:hAnsi="宋体"/>
          <w:color w:val="auto"/>
          <w:sz w:val="21"/>
          <w:szCs w:val="21"/>
          <w:highlight w:val="none"/>
        </w:rPr>
        <w:t>、争议的解决方式</w:t>
      </w:r>
    </w:p>
    <w:p w14:paraId="7E027760">
      <w:pPr>
        <w:pStyle w:val="66"/>
        <w:spacing w:after="0" w:afterLines="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发包人和承包人在履行合同中发生争议的，可以友好协商解决或者提请争议评审组评审。合同当事人友好协商解决不成、不愿提请争议评审或者不接受争议评审组意见的，可向台州仲裁委员会申请仲裁。</w:t>
      </w:r>
    </w:p>
    <w:p w14:paraId="58D3AC17">
      <w:pPr>
        <w:pStyle w:val="66"/>
        <w:spacing w:after="0" w:afterLines="0" w:line="360" w:lineRule="auto"/>
        <w:ind w:firstLine="420"/>
        <w:rPr>
          <w:rFonts w:ascii="宋体" w:hAnsi="宋体"/>
          <w:color w:val="auto"/>
          <w:sz w:val="21"/>
          <w:szCs w:val="21"/>
          <w:highlight w:val="none"/>
        </w:rPr>
      </w:pPr>
    </w:p>
    <w:p w14:paraId="2FFAF6C9">
      <w:pPr>
        <w:pStyle w:val="66"/>
        <w:spacing w:after="0" w:afterLines="0" w:line="360" w:lineRule="auto"/>
        <w:ind w:firstLine="420"/>
        <w:rPr>
          <w:rFonts w:ascii="宋体" w:hAnsi="宋体"/>
          <w:color w:val="auto"/>
          <w:sz w:val="21"/>
          <w:szCs w:val="21"/>
          <w:highlight w:val="none"/>
        </w:rPr>
      </w:pPr>
      <w:bookmarkStart w:id="89" w:name="_Toc108452668"/>
      <w:bookmarkStart w:id="90" w:name="_Toc19711"/>
      <w:r>
        <w:rPr>
          <w:rFonts w:ascii="宋体" w:hAnsi="宋体"/>
          <w:color w:val="auto"/>
          <w:sz w:val="21"/>
          <w:szCs w:val="21"/>
          <w:highlight w:val="none"/>
        </w:rPr>
        <w:t xml:space="preserve">2 </w:t>
      </w:r>
      <w:r>
        <w:rPr>
          <w:rFonts w:hint="eastAsia" w:ascii="宋体" w:hAnsi="宋体"/>
          <w:color w:val="auto"/>
          <w:sz w:val="21"/>
          <w:szCs w:val="21"/>
          <w:highlight w:val="none"/>
        </w:rPr>
        <w:t>、友好解决</w:t>
      </w:r>
    </w:p>
    <w:p w14:paraId="20A6593A">
      <w:pPr>
        <w:pStyle w:val="66"/>
        <w:spacing w:after="0" w:afterLines="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在提请争议评审、仲裁前，以及在争议评审、仲裁过程中，发包人和承包人均可共同努力友好协商解决争议。</w:t>
      </w:r>
    </w:p>
    <w:p w14:paraId="2B2A61E7">
      <w:pPr>
        <w:pStyle w:val="66"/>
        <w:spacing w:after="0" w:afterLines="0" w:line="360" w:lineRule="auto"/>
        <w:ind w:firstLine="420"/>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、争议评审</w:t>
      </w:r>
      <w:bookmarkEnd w:id="89"/>
      <w:bookmarkEnd w:id="90"/>
    </w:p>
    <w:p w14:paraId="6DEB7E1F">
      <w:pPr>
        <w:pStyle w:val="66"/>
        <w:spacing w:after="0"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采用争议评审的，发包人和承包人应在开工日后的</w:t>
      </w:r>
      <w:r>
        <w:rPr>
          <w:rFonts w:ascii="宋体" w:hAnsi="宋体"/>
          <w:color w:val="auto"/>
          <w:sz w:val="21"/>
          <w:szCs w:val="21"/>
          <w:highlight w:val="none"/>
        </w:rPr>
        <w:t>28</w:t>
      </w:r>
      <w:r>
        <w:rPr>
          <w:rFonts w:hint="eastAsia" w:ascii="宋体" w:hAnsi="宋体"/>
          <w:color w:val="auto"/>
          <w:sz w:val="21"/>
          <w:szCs w:val="21"/>
          <w:highlight w:val="none"/>
        </w:rPr>
        <w:t>天内或在争议发生后，争议评审组由</w:t>
      </w:r>
      <w:r>
        <w:rPr>
          <w:rFonts w:ascii="宋体" w:hAnsi="宋体"/>
          <w:color w:val="auto"/>
          <w:sz w:val="21"/>
          <w:szCs w:val="21"/>
          <w:highlight w:val="none"/>
        </w:rPr>
        <w:t>3</w:t>
      </w:r>
      <w:r>
        <w:rPr>
          <w:rFonts w:hint="eastAsia" w:ascii="宋体" w:hAnsi="宋体"/>
          <w:color w:val="auto"/>
          <w:sz w:val="21"/>
          <w:szCs w:val="21"/>
          <w:highlight w:val="none"/>
        </w:rPr>
        <w:t>人或</w:t>
      </w:r>
      <w:r>
        <w:rPr>
          <w:rFonts w:ascii="宋体" w:hAnsi="宋体"/>
          <w:color w:val="auto"/>
          <w:sz w:val="21"/>
          <w:szCs w:val="21"/>
          <w:highlight w:val="none"/>
        </w:rPr>
        <w:t>5</w:t>
      </w:r>
      <w:r>
        <w:rPr>
          <w:rFonts w:hint="eastAsia" w:ascii="宋体" w:hAnsi="宋体"/>
          <w:color w:val="auto"/>
          <w:sz w:val="21"/>
          <w:szCs w:val="21"/>
          <w:highlight w:val="none"/>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644EC1AA">
      <w:pPr>
        <w:pStyle w:val="66"/>
        <w:spacing w:after="0" w:afterLines="0" w:line="360" w:lineRule="auto"/>
        <w:ind w:firstLine="420"/>
        <w:rPr>
          <w:rFonts w:ascii="宋体" w:hAnsi="宋体"/>
          <w:color w:val="auto"/>
          <w:sz w:val="21"/>
          <w:szCs w:val="21"/>
          <w:highlight w:val="none"/>
        </w:rPr>
      </w:pPr>
      <w:bookmarkStart w:id="91" w:name="_Toc26833"/>
      <w:bookmarkStart w:id="92" w:name="_Toc108452669"/>
      <w:r>
        <w:rPr>
          <w:rFonts w:ascii="宋体" w:hAnsi="宋体"/>
          <w:color w:val="auto"/>
          <w:sz w:val="21"/>
          <w:szCs w:val="21"/>
          <w:highlight w:val="none"/>
        </w:rPr>
        <w:t xml:space="preserve">4 </w:t>
      </w:r>
      <w:r>
        <w:rPr>
          <w:rFonts w:hint="eastAsia" w:ascii="宋体" w:hAnsi="宋体"/>
          <w:color w:val="auto"/>
          <w:sz w:val="21"/>
          <w:szCs w:val="21"/>
          <w:highlight w:val="none"/>
        </w:rPr>
        <w:t>、仲裁</w:t>
      </w:r>
      <w:bookmarkEnd w:id="91"/>
      <w:bookmarkEnd w:id="92"/>
    </w:p>
    <w:p w14:paraId="0C11F1B5">
      <w:pPr>
        <w:pStyle w:val="66"/>
        <w:spacing w:after="0"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）对于未能友好解决或未能通过争议评审解决的争议，发包人或承包人任一方均有权提交给台州仲裁委员会仲裁。</w:t>
      </w:r>
    </w:p>
    <w:p w14:paraId="785C4442">
      <w:pPr>
        <w:pStyle w:val="66"/>
        <w:spacing w:after="0"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）仲裁可在交工之前或之后进行，但发包人、监理人和承包人各自的义务不得因在工程实施期间进行仲裁而有所改变。如果仲裁是在终止合同的情况下进行，则对合同工程应采取保护措施，措施费由败诉方承担。</w:t>
      </w:r>
    </w:p>
    <w:p w14:paraId="3B26E6C6">
      <w:pPr>
        <w:pStyle w:val="66"/>
        <w:spacing w:after="0"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）仲裁裁决是终局性的并对发包人和承包人双方具有约束力。</w:t>
      </w:r>
    </w:p>
    <w:p w14:paraId="4CD0DB4D">
      <w:pPr>
        <w:pStyle w:val="66"/>
        <w:spacing w:after="0"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）全部仲裁费用应由败诉方承担；或按仲裁委员会裁决的比例分担。</w:t>
      </w:r>
    </w:p>
    <w:p w14:paraId="2073CBDD">
      <w:pPr>
        <w:pStyle w:val="66"/>
        <w:spacing w:after="0" w:afterLines="0" w:line="360" w:lineRule="auto"/>
        <w:ind w:firstLine="420"/>
        <w:rPr>
          <w:rFonts w:ascii="宋体" w:hAnsi="宋体"/>
          <w:color w:val="auto"/>
          <w:sz w:val="21"/>
          <w:szCs w:val="21"/>
          <w:highlight w:val="none"/>
        </w:rPr>
      </w:pPr>
      <w:bookmarkStart w:id="93" w:name="_Toc108452670"/>
      <w:bookmarkStart w:id="94" w:name="_Toc18154"/>
      <w:r>
        <w:rPr>
          <w:rFonts w:ascii="宋体" w:hAnsi="宋体"/>
          <w:color w:val="auto"/>
          <w:sz w:val="21"/>
          <w:szCs w:val="21"/>
          <w:highlight w:val="none"/>
        </w:rPr>
        <w:t xml:space="preserve">5 </w:t>
      </w:r>
      <w:r>
        <w:rPr>
          <w:rFonts w:hint="eastAsia" w:ascii="宋体" w:hAnsi="宋体"/>
          <w:color w:val="auto"/>
          <w:sz w:val="21"/>
          <w:szCs w:val="21"/>
          <w:highlight w:val="none"/>
        </w:rPr>
        <w:t>、仲裁的执行</w:t>
      </w:r>
      <w:bookmarkEnd w:id="93"/>
      <w:bookmarkEnd w:id="94"/>
    </w:p>
    <w:p w14:paraId="0C7A7999">
      <w:pPr>
        <w:pStyle w:val="66"/>
        <w:spacing w:after="0"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）任何一方不履行仲裁机构的裁决的，另一方可以向发包人所在地的人民法院申请执行。</w:t>
      </w:r>
    </w:p>
    <w:p w14:paraId="7275FCE8">
      <w:pPr>
        <w:pStyle w:val="66"/>
        <w:spacing w:after="0"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5D374EAA">
      <w:pPr>
        <w:widowControl/>
        <w:snapToGrid w:val="0"/>
        <w:spacing w:before="120" w:beforeLines="50" w:line="360" w:lineRule="auto"/>
        <w:ind w:firstLine="422" w:firstLineChars="200"/>
        <w:jc w:val="left"/>
        <w:rPr>
          <w:rFonts w:ascii="宋体" w:hAnsi="宋体" w:eastAsia="宋体"/>
          <w:b/>
          <w:color w:val="auto"/>
          <w:sz w:val="21"/>
          <w:highlight w:val="none"/>
        </w:rPr>
      </w:pPr>
      <w:r>
        <w:rPr>
          <w:rFonts w:hint="eastAsia" w:ascii="宋体" w:hAnsi="宋体" w:eastAsia="宋体"/>
          <w:b/>
          <w:color w:val="auto"/>
          <w:sz w:val="21"/>
          <w:highlight w:val="none"/>
        </w:rPr>
        <w:t>十、附则</w:t>
      </w:r>
    </w:p>
    <w:p w14:paraId="4E17115F">
      <w:pPr>
        <w:widowControl/>
        <w:snapToGrid w:val="0"/>
        <w:spacing w:line="360" w:lineRule="auto"/>
        <w:ind w:firstLine="420" w:firstLineChars="200"/>
        <w:jc w:val="left"/>
        <w:rPr>
          <w:rFonts w:ascii="宋体" w:hAnsi="宋体" w:eastAsia="宋体"/>
          <w:color w:val="auto"/>
          <w:sz w:val="21"/>
          <w:highlight w:val="none"/>
        </w:rPr>
      </w:pPr>
      <w:r>
        <w:rPr>
          <w:rFonts w:hint="eastAsia" w:ascii="宋体" w:hAnsi="宋体" w:eastAsia="宋体"/>
          <w:color w:val="auto"/>
          <w:sz w:val="21"/>
          <w:highlight w:val="none"/>
        </w:rPr>
        <w:t xml:space="preserve">1．因自然灾害等不可抗力因素造成本合同养护项目经济损失的，甲、乙双方共同协商妥善解决。 </w:t>
      </w:r>
    </w:p>
    <w:p w14:paraId="299EA562">
      <w:pPr>
        <w:widowControl/>
        <w:snapToGrid w:val="0"/>
        <w:spacing w:line="360" w:lineRule="auto"/>
        <w:ind w:firstLine="420" w:firstLineChars="200"/>
        <w:jc w:val="left"/>
        <w:rPr>
          <w:rFonts w:ascii="宋体" w:hAnsi="宋体" w:eastAsia="宋体"/>
          <w:color w:val="auto"/>
          <w:sz w:val="21"/>
          <w:highlight w:val="none"/>
        </w:rPr>
      </w:pPr>
      <w:r>
        <w:rPr>
          <w:rFonts w:hint="eastAsia" w:ascii="宋体" w:hAnsi="宋体" w:eastAsia="宋体"/>
          <w:color w:val="auto"/>
          <w:sz w:val="21"/>
          <w:highlight w:val="none"/>
        </w:rPr>
        <w:t>2.合同执行中涉及采购资金和采购内容修改或补充的，须经财政部门审批，并签书面补充协议报政府采购监督管理部门备案，方可作为主合同不可分割的一部分。</w:t>
      </w:r>
    </w:p>
    <w:p w14:paraId="2A1059DC">
      <w:pPr>
        <w:widowControl/>
        <w:snapToGrid w:val="0"/>
        <w:spacing w:line="360" w:lineRule="auto"/>
        <w:ind w:firstLine="420" w:firstLineChars="200"/>
        <w:jc w:val="left"/>
        <w:rPr>
          <w:rFonts w:ascii="宋体" w:hAnsi="宋体" w:eastAsia="宋体"/>
          <w:color w:val="auto"/>
          <w:sz w:val="21"/>
          <w:highlight w:val="none"/>
        </w:rPr>
      </w:pPr>
      <w:r>
        <w:rPr>
          <w:rFonts w:hint="eastAsia" w:ascii="宋体" w:hAnsi="宋体" w:eastAsia="宋体"/>
          <w:color w:val="auto"/>
          <w:sz w:val="21"/>
          <w:highlight w:val="none"/>
        </w:rPr>
        <w:t>3.本合同招标文件作为合同附件，对合同条款具有补充作用。</w:t>
      </w:r>
    </w:p>
    <w:p w14:paraId="6EF50185">
      <w:pPr>
        <w:widowControl/>
        <w:snapToGrid w:val="0"/>
        <w:spacing w:line="360" w:lineRule="auto"/>
        <w:ind w:firstLine="420" w:firstLineChars="200"/>
        <w:jc w:val="left"/>
        <w:rPr>
          <w:rFonts w:ascii="宋体" w:hAnsi="宋体" w:eastAsia="宋体"/>
          <w:color w:val="auto"/>
          <w:sz w:val="21"/>
          <w:highlight w:val="none"/>
        </w:rPr>
      </w:pPr>
      <w:r>
        <w:rPr>
          <w:rFonts w:hint="eastAsia" w:ascii="宋体" w:hAnsi="宋体" w:eastAsia="宋体"/>
          <w:color w:val="auto"/>
          <w:sz w:val="21"/>
          <w:highlight w:val="none"/>
        </w:rPr>
        <w:t>4.未尽事宜，甲、乙双方协商解决，并作出书面补充协议。补充协议与本合同具有同等效力。</w:t>
      </w:r>
    </w:p>
    <w:p w14:paraId="0E6FBD39">
      <w:pPr>
        <w:widowControl/>
        <w:snapToGrid w:val="0"/>
        <w:spacing w:line="360" w:lineRule="auto"/>
        <w:ind w:firstLine="420" w:firstLineChars="200"/>
        <w:jc w:val="left"/>
        <w:rPr>
          <w:rFonts w:ascii="宋体" w:hAnsi="宋体" w:eastAsia="宋体"/>
          <w:color w:val="auto"/>
          <w:sz w:val="21"/>
          <w:highlight w:val="none"/>
        </w:rPr>
      </w:pPr>
      <w:r>
        <w:rPr>
          <w:rFonts w:hint="eastAsia" w:ascii="宋体" w:hAnsi="宋体" w:eastAsia="宋体"/>
          <w:color w:val="auto"/>
          <w:sz w:val="21"/>
          <w:highlight w:val="none"/>
        </w:rPr>
        <w:t>5.本合同一式六份，浙江广通工程咨询有限公司、</w:t>
      </w:r>
      <w:r>
        <w:rPr>
          <w:rFonts w:ascii="宋体" w:hAnsi="宋体"/>
          <w:color w:val="auto"/>
          <w:sz w:val="21"/>
          <w:highlight w:val="none"/>
          <w:lang w:val="zh-CN"/>
        </w:rPr>
        <w:t>仙居县财政局</w:t>
      </w:r>
      <w:r>
        <w:rPr>
          <w:rFonts w:hint="eastAsia" w:ascii="宋体" w:hAnsi="宋体" w:eastAsia="宋体"/>
          <w:color w:val="auto"/>
          <w:sz w:val="21"/>
          <w:highlight w:val="none"/>
        </w:rPr>
        <w:t>各执一份，甲、乙双方各执二份，其都具有同等法律效力。经甲、乙双方法定代表人签字或授权人签章后生效。</w:t>
      </w:r>
    </w:p>
    <w:p w14:paraId="375F8069">
      <w:pPr>
        <w:widowControl/>
        <w:snapToGrid w:val="0"/>
        <w:spacing w:line="360" w:lineRule="auto"/>
        <w:ind w:firstLine="420" w:firstLineChars="200"/>
        <w:jc w:val="left"/>
        <w:rPr>
          <w:rFonts w:ascii="宋体" w:hAnsi="宋体" w:eastAsia="宋体"/>
          <w:color w:val="auto"/>
          <w:sz w:val="21"/>
          <w:highlight w:val="none"/>
        </w:rPr>
      </w:pPr>
    </w:p>
    <w:p w14:paraId="0E01F59F">
      <w:pPr>
        <w:pStyle w:val="58"/>
        <w:widowControl/>
        <w:spacing w:beforeLines="0" w:afterLines="0" w:line="360" w:lineRule="auto"/>
        <w:ind w:firstLine="422"/>
        <w:rPr>
          <w:rFonts w:hAnsi="宋体" w:eastAsia="宋体" w:cs="宋体"/>
          <w:color w:val="auto"/>
          <w:sz w:val="21"/>
          <w:highlight w:val="none"/>
        </w:rPr>
      </w:pPr>
      <w:r>
        <w:rPr>
          <w:rFonts w:hint="eastAsia" w:hAnsi="宋体" w:eastAsia="宋体" w:cs="宋体"/>
          <w:color w:val="auto"/>
          <w:sz w:val="21"/>
          <w:highlight w:val="none"/>
        </w:rPr>
        <w:t>甲    方：    （盖章）                 乙    方：        （盖章）</w:t>
      </w:r>
    </w:p>
    <w:p w14:paraId="3F944F75">
      <w:pPr>
        <w:pStyle w:val="58"/>
        <w:widowControl/>
        <w:spacing w:beforeLines="0" w:afterLines="0" w:line="360" w:lineRule="auto"/>
        <w:ind w:firstLine="422"/>
        <w:rPr>
          <w:rFonts w:hAnsi="宋体" w:eastAsia="宋体" w:cs="宋体"/>
          <w:color w:val="auto"/>
          <w:sz w:val="21"/>
          <w:highlight w:val="none"/>
        </w:rPr>
      </w:pPr>
      <w:r>
        <w:rPr>
          <w:rFonts w:hint="eastAsia" w:hAnsi="宋体" w:eastAsia="宋体" w:cs="宋体"/>
          <w:color w:val="auto"/>
          <w:sz w:val="21"/>
          <w:highlight w:val="none"/>
        </w:rPr>
        <w:t>法定代表人：                           法定代表人：</w:t>
      </w:r>
    </w:p>
    <w:p w14:paraId="0EB08518">
      <w:pPr>
        <w:pStyle w:val="58"/>
        <w:widowControl/>
        <w:spacing w:beforeLines="0" w:afterLines="0" w:line="360" w:lineRule="auto"/>
        <w:ind w:firstLine="422"/>
        <w:rPr>
          <w:rFonts w:hAnsi="宋体" w:eastAsia="宋体" w:cs="宋体"/>
          <w:color w:val="auto"/>
          <w:sz w:val="21"/>
          <w:highlight w:val="none"/>
        </w:rPr>
      </w:pPr>
      <w:r>
        <w:rPr>
          <w:rFonts w:hint="eastAsia" w:hAnsi="宋体" w:eastAsia="宋体" w:cs="宋体"/>
          <w:color w:val="auto"/>
          <w:sz w:val="21"/>
          <w:highlight w:val="none"/>
        </w:rPr>
        <w:t>或委托代理人（签字）：                  或委托代理人（签字）：</w:t>
      </w:r>
    </w:p>
    <w:p w14:paraId="127FCB3B">
      <w:pPr>
        <w:pStyle w:val="58"/>
        <w:widowControl/>
        <w:spacing w:beforeLines="0" w:afterLines="0" w:line="360" w:lineRule="auto"/>
        <w:ind w:firstLine="422"/>
        <w:rPr>
          <w:rFonts w:hAnsi="宋体" w:eastAsia="宋体" w:cs="宋体"/>
          <w:color w:val="auto"/>
          <w:sz w:val="21"/>
          <w:highlight w:val="none"/>
        </w:rPr>
      </w:pPr>
      <w:r>
        <w:rPr>
          <w:rFonts w:hint="eastAsia" w:hAnsi="宋体" w:eastAsia="宋体" w:cs="宋体"/>
          <w:color w:val="auto"/>
          <w:sz w:val="21"/>
          <w:highlight w:val="none"/>
        </w:rPr>
        <w:t>地    址：                             地    址：</w:t>
      </w:r>
    </w:p>
    <w:p w14:paraId="2D365F6E">
      <w:pPr>
        <w:pStyle w:val="58"/>
        <w:widowControl/>
        <w:spacing w:beforeLines="0" w:afterLines="0" w:line="360" w:lineRule="auto"/>
        <w:ind w:firstLine="422"/>
        <w:rPr>
          <w:rFonts w:hAnsi="宋体" w:eastAsia="宋体" w:cs="宋体"/>
          <w:color w:val="auto"/>
          <w:sz w:val="21"/>
          <w:highlight w:val="none"/>
        </w:rPr>
      </w:pPr>
      <w:r>
        <w:rPr>
          <w:rFonts w:hint="eastAsia" w:hAnsi="宋体" w:eastAsia="宋体" w:cs="宋体"/>
          <w:color w:val="auto"/>
          <w:sz w:val="21"/>
          <w:highlight w:val="none"/>
        </w:rPr>
        <w:t>联系电话：                             联系电话：</w:t>
      </w:r>
    </w:p>
    <w:p w14:paraId="3076715C">
      <w:pPr>
        <w:pStyle w:val="58"/>
        <w:widowControl/>
        <w:spacing w:beforeLines="0" w:afterLines="0" w:line="360" w:lineRule="auto"/>
        <w:ind w:firstLine="422"/>
        <w:rPr>
          <w:rFonts w:hAnsi="宋体" w:eastAsia="宋体" w:cs="宋体"/>
          <w:color w:val="auto"/>
          <w:sz w:val="21"/>
          <w:highlight w:val="none"/>
        </w:rPr>
      </w:pPr>
      <w:r>
        <w:rPr>
          <w:rFonts w:hint="eastAsia" w:hAnsi="宋体" w:eastAsia="宋体" w:cs="宋体"/>
          <w:color w:val="auto"/>
          <w:sz w:val="21"/>
          <w:highlight w:val="none"/>
        </w:rPr>
        <w:t>签订地点：                             签订日期：      年    月    日</w:t>
      </w:r>
    </w:p>
    <w:p w14:paraId="455D3BA8">
      <w:pPr>
        <w:spacing w:line="338" w:lineRule="exact"/>
        <w:rPr>
          <w:color w:val="auto"/>
          <w:sz w:val="21"/>
          <w:highlight w:val="none"/>
        </w:rPr>
      </w:pPr>
      <w:r>
        <w:rPr>
          <w:rFonts w:hint="eastAsia" w:eastAsia="宋体"/>
          <w:color w:val="auto"/>
          <w:sz w:val="21"/>
          <w:highlight w:val="none"/>
        </w:rPr>
        <w:t>注：此合同样本仅作参考，采购人、供应商可根据采购项目的实际情况进行修改。</w:t>
      </w:r>
    </w:p>
    <w:p w14:paraId="25292C68">
      <w:pPr>
        <w:pStyle w:val="58"/>
        <w:spacing w:beforeLines="0" w:afterLines="0" w:line="360" w:lineRule="auto"/>
        <w:ind w:firstLine="422"/>
        <w:outlineLvl w:val="0"/>
        <w:rPr>
          <w:rFonts w:hAnsi="宋体"/>
          <w:color w:val="auto"/>
          <w:sz w:val="21"/>
          <w:highlight w:val="none"/>
        </w:rPr>
      </w:pPr>
    </w:p>
    <w:p w14:paraId="77E1E991">
      <w:pPr>
        <w:pStyle w:val="58"/>
        <w:spacing w:beforeLines="0" w:afterLines="0" w:line="360" w:lineRule="auto"/>
        <w:ind w:firstLine="422"/>
        <w:outlineLvl w:val="0"/>
        <w:rPr>
          <w:rFonts w:hAnsi="宋体"/>
          <w:color w:val="auto"/>
          <w:sz w:val="21"/>
          <w:highlight w:val="none"/>
        </w:rPr>
      </w:pPr>
    </w:p>
    <w:p w14:paraId="024102EF">
      <w:pPr>
        <w:spacing w:line="338" w:lineRule="exact"/>
        <w:rPr>
          <w:b/>
          <w:color w:val="auto"/>
          <w:sz w:val="21"/>
          <w:highlight w:val="none"/>
        </w:rPr>
      </w:pPr>
    </w:p>
    <w:p w14:paraId="4F67FEED">
      <w:pPr>
        <w:spacing w:line="338" w:lineRule="exact"/>
        <w:rPr>
          <w:b/>
          <w:color w:val="auto"/>
          <w:sz w:val="21"/>
          <w:highlight w:val="none"/>
        </w:rPr>
      </w:pPr>
    </w:p>
    <w:p w14:paraId="253D9809">
      <w:pPr>
        <w:spacing w:line="338" w:lineRule="exact"/>
        <w:rPr>
          <w:b/>
          <w:color w:val="auto"/>
          <w:sz w:val="21"/>
          <w:highlight w:val="none"/>
        </w:rPr>
      </w:pPr>
    </w:p>
    <w:p w14:paraId="178A147C">
      <w:pPr>
        <w:spacing w:line="338" w:lineRule="exact"/>
        <w:rPr>
          <w:b/>
          <w:color w:val="auto"/>
          <w:sz w:val="21"/>
          <w:highlight w:val="none"/>
        </w:rPr>
      </w:pPr>
    </w:p>
    <w:p w14:paraId="1943D6CF">
      <w:pPr>
        <w:spacing w:line="338" w:lineRule="exact"/>
        <w:rPr>
          <w:b/>
          <w:color w:val="auto"/>
          <w:sz w:val="21"/>
          <w:highlight w:val="none"/>
        </w:rPr>
      </w:pPr>
    </w:p>
    <w:p w14:paraId="178FBE37">
      <w:pPr>
        <w:spacing w:line="338" w:lineRule="exact"/>
        <w:rPr>
          <w:b/>
          <w:color w:val="auto"/>
          <w:sz w:val="21"/>
          <w:highlight w:val="none"/>
        </w:rPr>
      </w:pPr>
    </w:p>
    <w:p w14:paraId="5998CF8E">
      <w:pPr>
        <w:spacing w:line="338" w:lineRule="exact"/>
        <w:rPr>
          <w:b/>
          <w:color w:val="auto"/>
          <w:sz w:val="21"/>
          <w:highlight w:val="none"/>
        </w:rPr>
      </w:pPr>
    </w:p>
    <w:p w14:paraId="4153AD94">
      <w:pPr>
        <w:spacing w:line="338" w:lineRule="exact"/>
        <w:rPr>
          <w:b/>
          <w:color w:val="auto"/>
          <w:sz w:val="21"/>
          <w:highlight w:val="none"/>
        </w:rPr>
      </w:pPr>
    </w:p>
    <w:p w14:paraId="329A936A">
      <w:pPr>
        <w:spacing w:line="338" w:lineRule="exact"/>
        <w:rPr>
          <w:b/>
          <w:color w:val="auto"/>
          <w:sz w:val="21"/>
          <w:highlight w:val="none"/>
        </w:rPr>
      </w:pPr>
    </w:p>
    <w:p w14:paraId="7761810C">
      <w:pPr>
        <w:spacing w:line="338" w:lineRule="exact"/>
        <w:rPr>
          <w:b/>
          <w:color w:val="auto"/>
          <w:sz w:val="21"/>
          <w:highlight w:val="none"/>
        </w:rPr>
      </w:pPr>
    </w:p>
    <w:p w14:paraId="01254E74">
      <w:pPr>
        <w:spacing w:line="338" w:lineRule="exact"/>
        <w:rPr>
          <w:b/>
          <w:color w:val="auto"/>
          <w:sz w:val="21"/>
          <w:highlight w:val="none"/>
        </w:rPr>
      </w:pPr>
    </w:p>
    <w:p w14:paraId="626D266A">
      <w:pPr>
        <w:spacing w:line="338" w:lineRule="exact"/>
        <w:rPr>
          <w:b/>
          <w:color w:val="auto"/>
          <w:sz w:val="21"/>
          <w:highlight w:val="none"/>
        </w:rPr>
      </w:pPr>
    </w:p>
    <w:p w14:paraId="16369DFE">
      <w:pPr>
        <w:spacing w:line="338" w:lineRule="exact"/>
        <w:rPr>
          <w:b/>
          <w:color w:val="auto"/>
          <w:sz w:val="21"/>
          <w:highlight w:val="none"/>
        </w:rPr>
      </w:pPr>
    </w:p>
    <w:p w14:paraId="1E16720A">
      <w:pPr>
        <w:spacing w:line="338" w:lineRule="exact"/>
        <w:rPr>
          <w:b/>
          <w:color w:val="auto"/>
          <w:sz w:val="21"/>
          <w:highlight w:val="none"/>
        </w:rPr>
      </w:pPr>
    </w:p>
    <w:p w14:paraId="06D6F2D8">
      <w:pPr>
        <w:spacing w:line="338" w:lineRule="exact"/>
        <w:rPr>
          <w:b/>
          <w:color w:val="auto"/>
          <w:sz w:val="21"/>
          <w:highlight w:val="none"/>
        </w:rPr>
      </w:pPr>
    </w:p>
    <w:p w14:paraId="72042794">
      <w:pPr>
        <w:spacing w:line="338" w:lineRule="exact"/>
        <w:rPr>
          <w:b/>
          <w:color w:val="auto"/>
          <w:sz w:val="21"/>
          <w:highlight w:val="none"/>
        </w:rPr>
      </w:pPr>
    </w:p>
    <w:p w14:paraId="78B1B51A">
      <w:pPr>
        <w:spacing w:line="338" w:lineRule="exact"/>
        <w:rPr>
          <w:b/>
          <w:color w:val="auto"/>
          <w:sz w:val="21"/>
          <w:highlight w:val="none"/>
        </w:rPr>
      </w:pPr>
    </w:p>
    <w:p w14:paraId="5340410E">
      <w:pPr>
        <w:spacing w:line="338" w:lineRule="exact"/>
        <w:rPr>
          <w:b/>
          <w:color w:val="auto"/>
          <w:sz w:val="21"/>
          <w:highlight w:val="none"/>
        </w:rPr>
      </w:pPr>
    </w:p>
    <w:p w14:paraId="0178ED88">
      <w:pPr>
        <w:spacing w:line="338" w:lineRule="exact"/>
        <w:rPr>
          <w:b/>
          <w:color w:val="auto"/>
          <w:sz w:val="21"/>
          <w:highlight w:val="none"/>
        </w:rPr>
      </w:pPr>
    </w:p>
    <w:p w14:paraId="634C5E94">
      <w:pPr>
        <w:spacing w:line="338" w:lineRule="exact"/>
        <w:rPr>
          <w:b/>
          <w:color w:val="auto"/>
          <w:sz w:val="21"/>
          <w:highlight w:val="none"/>
        </w:rPr>
      </w:pPr>
    </w:p>
    <w:p w14:paraId="6BFB7024">
      <w:pPr>
        <w:spacing w:line="338" w:lineRule="exact"/>
        <w:rPr>
          <w:b/>
          <w:color w:val="auto"/>
          <w:sz w:val="21"/>
          <w:highlight w:val="none"/>
        </w:rPr>
      </w:pPr>
    </w:p>
    <w:p w14:paraId="553F45C9">
      <w:pPr>
        <w:spacing w:line="338" w:lineRule="exact"/>
        <w:rPr>
          <w:b/>
          <w:color w:val="auto"/>
          <w:sz w:val="21"/>
          <w:highlight w:val="none"/>
        </w:rPr>
      </w:pPr>
    </w:p>
    <w:p w14:paraId="3DAC98F2">
      <w:pPr>
        <w:widowControl/>
        <w:jc w:val="left"/>
        <w:rPr>
          <w:b/>
          <w:color w:val="auto"/>
          <w:sz w:val="21"/>
          <w:highlight w:val="none"/>
        </w:rPr>
      </w:pPr>
      <w:r>
        <w:rPr>
          <w:b/>
          <w:color w:val="auto"/>
          <w:sz w:val="21"/>
          <w:highlight w:val="none"/>
        </w:rPr>
        <w:br w:type="page"/>
      </w:r>
    </w:p>
    <w:p w14:paraId="59ED1C96">
      <w:pPr>
        <w:spacing w:line="338" w:lineRule="exact"/>
        <w:rPr>
          <w:b/>
          <w:color w:val="auto"/>
          <w:sz w:val="21"/>
          <w:highlight w:val="none"/>
        </w:rPr>
      </w:pPr>
      <w:r>
        <w:rPr>
          <w:rFonts w:hint="eastAsia"/>
          <w:b/>
          <w:color w:val="auto"/>
          <w:sz w:val="21"/>
          <w:highlight w:val="none"/>
        </w:rPr>
        <w:t>合同附件：</w:t>
      </w:r>
    </w:p>
    <w:p w14:paraId="78353B5F">
      <w:pPr>
        <w:spacing w:line="338" w:lineRule="exact"/>
        <w:rPr>
          <w:b/>
          <w:color w:val="auto"/>
          <w:sz w:val="21"/>
          <w:highlight w:val="none"/>
        </w:rPr>
      </w:pPr>
    </w:p>
    <w:p w14:paraId="046497D6">
      <w:pPr>
        <w:spacing w:line="338" w:lineRule="exact"/>
        <w:rPr>
          <w:color w:val="auto"/>
          <w:sz w:val="21"/>
          <w:highlight w:val="none"/>
        </w:rPr>
      </w:pPr>
      <w:r>
        <w:rPr>
          <w:rFonts w:hint="eastAsia"/>
          <w:color w:val="auto"/>
          <w:sz w:val="21"/>
          <w:highlight w:val="none"/>
        </w:rPr>
        <w:t>附</w:t>
      </w:r>
      <w:r>
        <w:rPr>
          <w:color w:val="auto"/>
          <w:sz w:val="21"/>
          <w:highlight w:val="none"/>
        </w:rPr>
        <w:t xml:space="preserve">1. </w:t>
      </w:r>
      <w:r>
        <w:rPr>
          <w:rFonts w:hint="eastAsia"/>
          <w:color w:val="auto"/>
          <w:sz w:val="21"/>
          <w:highlight w:val="none"/>
        </w:rPr>
        <w:t>仙居县公路绿化养护服务质量标准</w:t>
      </w:r>
    </w:p>
    <w:p w14:paraId="1C04AA1C">
      <w:pPr>
        <w:spacing w:line="338" w:lineRule="exact"/>
        <w:rPr>
          <w:color w:val="auto"/>
          <w:sz w:val="21"/>
          <w:highlight w:val="none"/>
        </w:rPr>
      </w:pPr>
      <w:r>
        <w:rPr>
          <w:rFonts w:hint="eastAsia"/>
          <w:color w:val="auto"/>
          <w:sz w:val="21"/>
          <w:highlight w:val="none"/>
        </w:rPr>
        <w:t>附</w:t>
      </w:r>
      <w:r>
        <w:rPr>
          <w:color w:val="auto"/>
          <w:sz w:val="21"/>
          <w:highlight w:val="none"/>
        </w:rPr>
        <w:t xml:space="preserve">2. </w:t>
      </w:r>
      <w:r>
        <w:rPr>
          <w:rFonts w:hint="eastAsia"/>
          <w:color w:val="auto"/>
          <w:sz w:val="21"/>
          <w:highlight w:val="none"/>
        </w:rPr>
        <w:t>仙居县公路绿化养护管理考核办法</w:t>
      </w:r>
    </w:p>
    <w:p w14:paraId="63741DB8">
      <w:pPr>
        <w:spacing w:line="338" w:lineRule="exact"/>
        <w:rPr>
          <w:color w:val="auto"/>
          <w:sz w:val="21"/>
          <w:highlight w:val="none"/>
        </w:rPr>
      </w:pPr>
      <w:r>
        <w:rPr>
          <w:rFonts w:hint="eastAsia"/>
          <w:color w:val="auto"/>
          <w:sz w:val="21"/>
          <w:highlight w:val="none"/>
        </w:rPr>
        <w:t>附</w:t>
      </w:r>
      <w:r>
        <w:rPr>
          <w:color w:val="auto"/>
          <w:sz w:val="21"/>
          <w:highlight w:val="none"/>
        </w:rPr>
        <w:t xml:space="preserve">3. </w:t>
      </w:r>
      <w:r>
        <w:rPr>
          <w:rFonts w:hint="eastAsia"/>
          <w:color w:val="auto"/>
          <w:sz w:val="21"/>
          <w:highlight w:val="none"/>
        </w:rPr>
        <w:t>仙居县公路绿化养护考核表</w:t>
      </w:r>
    </w:p>
    <w:p w14:paraId="411D8886">
      <w:pPr>
        <w:spacing w:line="338" w:lineRule="exact"/>
        <w:rPr>
          <w:color w:val="auto"/>
          <w:sz w:val="21"/>
          <w:highlight w:val="none"/>
        </w:rPr>
      </w:pPr>
    </w:p>
    <w:p w14:paraId="3216A1A7">
      <w:pPr>
        <w:spacing w:line="338" w:lineRule="exact"/>
        <w:rPr>
          <w:color w:val="auto"/>
          <w:sz w:val="21"/>
          <w:highlight w:val="none"/>
        </w:rPr>
        <w:sectPr>
          <w:pgSz w:w="11906" w:h="16838"/>
          <w:pgMar w:top="1304" w:right="1418" w:bottom="1304" w:left="1418" w:header="851" w:footer="992" w:gutter="0"/>
          <w:cols w:space="720" w:num="1"/>
          <w:docGrid w:linePitch="312" w:charSpace="0"/>
        </w:sectPr>
      </w:pPr>
    </w:p>
    <w:p w14:paraId="4F1E6649">
      <w:pPr>
        <w:snapToGrid w:val="0"/>
        <w:jc w:val="left"/>
        <w:rPr>
          <w:rFonts w:ascii="宋体"/>
          <w:b/>
          <w:color w:val="auto"/>
          <w:highlight w:val="none"/>
        </w:rPr>
      </w:pPr>
      <w:r>
        <w:rPr>
          <w:rFonts w:hint="eastAsia" w:ascii="宋体" w:hAnsi="宋体"/>
          <w:b/>
          <w:color w:val="auto"/>
          <w:sz w:val="18"/>
          <w:szCs w:val="18"/>
          <w:highlight w:val="none"/>
        </w:rPr>
        <w:t>附件</w:t>
      </w:r>
      <w:r>
        <w:rPr>
          <w:rFonts w:ascii="宋体" w:hAnsi="宋体"/>
          <w:b/>
          <w:color w:val="auto"/>
          <w:sz w:val="18"/>
          <w:szCs w:val="18"/>
          <w:highlight w:val="none"/>
        </w:rPr>
        <w:t xml:space="preserve">1 </w:t>
      </w:r>
      <w:r>
        <w:rPr>
          <w:rFonts w:ascii="宋体" w:hAnsi="宋体"/>
          <w:b/>
          <w:color w:val="auto"/>
          <w:highlight w:val="none"/>
        </w:rPr>
        <w:t xml:space="preserve">      </w:t>
      </w:r>
      <w:r>
        <w:rPr>
          <w:rFonts w:hint="eastAsia" w:ascii="宋体" w:hAnsi="宋体" w:eastAsia="宋体"/>
          <w:b/>
          <w:color w:val="auto"/>
          <w:highlight w:val="none"/>
        </w:rPr>
        <w:t xml:space="preserve">    </w:t>
      </w:r>
      <w:r>
        <w:rPr>
          <w:rFonts w:hint="eastAsia" w:ascii="宋体"/>
          <w:b/>
          <w:color w:val="auto"/>
          <w:sz w:val="32"/>
          <w:szCs w:val="32"/>
          <w:highlight w:val="none"/>
        </w:rPr>
        <w:t>仙居县公路绿化养护服务质量标准</w:t>
      </w:r>
    </w:p>
    <w:p w14:paraId="2141829C">
      <w:pPr>
        <w:snapToGrid w:val="0"/>
        <w:spacing w:line="360" w:lineRule="auto"/>
        <w:rPr>
          <w:rFonts w:ascii="宋体"/>
          <w:b/>
          <w:color w:val="auto"/>
          <w:sz w:val="21"/>
          <w:highlight w:val="none"/>
        </w:rPr>
      </w:pPr>
      <w:r>
        <w:rPr>
          <w:rFonts w:hint="eastAsia" w:ascii="宋体"/>
          <w:b/>
          <w:color w:val="auto"/>
          <w:sz w:val="21"/>
          <w:highlight w:val="none"/>
        </w:rPr>
        <w:t>一、总则</w:t>
      </w:r>
    </w:p>
    <w:p w14:paraId="2E57EBDB">
      <w:pPr>
        <w:snapToGrid w:val="0"/>
        <w:spacing w:line="360" w:lineRule="auto"/>
        <w:ind w:firstLine="420" w:firstLineChars="200"/>
        <w:rPr>
          <w:rFonts w:ascii="宋体"/>
          <w:color w:val="auto"/>
          <w:sz w:val="21"/>
          <w:highlight w:val="none"/>
        </w:rPr>
      </w:pPr>
      <w:r>
        <w:rPr>
          <w:rFonts w:ascii="宋体"/>
          <w:color w:val="auto"/>
          <w:sz w:val="21"/>
          <w:highlight w:val="none"/>
        </w:rPr>
        <w:t>1.</w:t>
      </w:r>
      <w:r>
        <w:rPr>
          <w:rFonts w:hint="eastAsia" w:ascii="宋体"/>
          <w:color w:val="auto"/>
          <w:sz w:val="21"/>
          <w:highlight w:val="none"/>
        </w:rPr>
        <w:t>为加强仙居县公路绿化管理，提高公路绿化养护质量和公路整体品位，根据《公路养护技术规范》等相关文件要求，结合实际情况，特制订本标准。</w:t>
      </w:r>
    </w:p>
    <w:p w14:paraId="721DF84C">
      <w:pPr>
        <w:snapToGrid w:val="0"/>
        <w:spacing w:line="360" w:lineRule="auto"/>
        <w:ind w:firstLine="420" w:firstLineChars="200"/>
        <w:rPr>
          <w:rFonts w:ascii="宋体"/>
          <w:color w:val="auto"/>
          <w:sz w:val="21"/>
          <w:highlight w:val="none"/>
        </w:rPr>
      </w:pPr>
      <w:r>
        <w:rPr>
          <w:rFonts w:ascii="宋体"/>
          <w:color w:val="auto"/>
          <w:sz w:val="21"/>
          <w:highlight w:val="none"/>
        </w:rPr>
        <w:t>2.</w:t>
      </w:r>
      <w:r>
        <w:rPr>
          <w:rFonts w:hint="eastAsia" w:ascii="宋体"/>
          <w:color w:val="auto"/>
          <w:sz w:val="21"/>
          <w:highlight w:val="none"/>
        </w:rPr>
        <w:t>本标准适用于仙居县域内所有公路绿化及公路服务站、局场地管理和养护等。</w:t>
      </w:r>
    </w:p>
    <w:p w14:paraId="50415028">
      <w:pPr>
        <w:snapToGrid w:val="0"/>
        <w:spacing w:line="360" w:lineRule="auto"/>
        <w:rPr>
          <w:rFonts w:ascii="宋体"/>
          <w:b/>
          <w:color w:val="auto"/>
          <w:sz w:val="21"/>
          <w:highlight w:val="none"/>
        </w:rPr>
      </w:pPr>
      <w:r>
        <w:rPr>
          <w:rFonts w:hint="eastAsia" w:ascii="宋体"/>
          <w:b/>
          <w:color w:val="auto"/>
          <w:sz w:val="21"/>
          <w:highlight w:val="none"/>
        </w:rPr>
        <w:t>二、绿化养护标准</w:t>
      </w:r>
    </w:p>
    <w:p w14:paraId="0DD6666C">
      <w:pPr>
        <w:snapToGrid w:val="0"/>
        <w:spacing w:line="360" w:lineRule="auto"/>
        <w:ind w:firstLine="412" w:firstLineChars="196"/>
        <w:rPr>
          <w:rFonts w:ascii="宋体"/>
          <w:b/>
          <w:color w:val="auto"/>
          <w:sz w:val="21"/>
          <w:highlight w:val="none"/>
        </w:rPr>
      </w:pPr>
      <w:r>
        <w:rPr>
          <w:rFonts w:ascii="宋体"/>
          <w:b/>
          <w:color w:val="auto"/>
          <w:sz w:val="21"/>
          <w:highlight w:val="none"/>
        </w:rPr>
        <w:t>1</w:t>
      </w:r>
      <w:r>
        <w:rPr>
          <w:rFonts w:hint="eastAsia" w:ascii="宋体"/>
          <w:b/>
          <w:color w:val="auto"/>
          <w:sz w:val="21"/>
          <w:highlight w:val="none"/>
        </w:rPr>
        <w:t>、绿化带养护标准：</w:t>
      </w:r>
    </w:p>
    <w:p w14:paraId="121B61C6">
      <w:pPr>
        <w:adjustRightInd w:val="0"/>
        <w:snapToGrid w:val="0"/>
        <w:spacing w:line="360" w:lineRule="auto"/>
        <w:ind w:firstLine="420" w:firstLineChars="200"/>
        <w:jc w:val="left"/>
        <w:rPr>
          <w:rFonts w:ascii="宋体"/>
          <w:color w:val="auto"/>
          <w:sz w:val="21"/>
          <w:highlight w:val="none"/>
        </w:rPr>
      </w:pPr>
      <w:r>
        <w:rPr>
          <w:rFonts w:ascii="宋体"/>
          <w:color w:val="auto"/>
          <w:sz w:val="21"/>
          <w:highlight w:val="none"/>
        </w:rPr>
        <w:t>1.1</w:t>
      </w:r>
      <w:r>
        <w:rPr>
          <w:rFonts w:hint="eastAsia" w:ascii="宋体"/>
          <w:color w:val="auto"/>
          <w:sz w:val="21"/>
          <w:highlight w:val="none"/>
        </w:rPr>
        <w:t>绿化带必须及时修剪保持形态，修剪要求整齐美观、轮廓清楚、线条整齐、外援面平整、枯枝剪除、保持整形的几何面基本平整，枝条之间高差不超过</w:t>
      </w:r>
      <w:r>
        <w:rPr>
          <w:rFonts w:ascii="宋体"/>
          <w:color w:val="auto"/>
          <w:sz w:val="21"/>
          <w:highlight w:val="none"/>
        </w:rPr>
        <w:t>5cm</w:t>
      </w:r>
      <w:r>
        <w:rPr>
          <w:rFonts w:hint="eastAsia" w:ascii="宋体"/>
          <w:color w:val="auto"/>
          <w:sz w:val="21"/>
          <w:highlight w:val="none"/>
        </w:rPr>
        <w:t>。绿化带常年保持无杂草，必须符合《公路养护技术规范》的要求。</w:t>
      </w:r>
    </w:p>
    <w:p w14:paraId="75C98995">
      <w:pPr>
        <w:adjustRightInd w:val="0"/>
        <w:snapToGrid w:val="0"/>
        <w:spacing w:line="360" w:lineRule="auto"/>
        <w:ind w:firstLine="420" w:firstLineChars="200"/>
        <w:rPr>
          <w:rFonts w:ascii="Arial" w:hAnsi="Arial"/>
          <w:color w:val="auto"/>
          <w:sz w:val="21"/>
          <w:highlight w:val="none"/>
        </w:rPr>
      </w:pPr>
      <w:r>
        <w:rPr>
          <w:rFonts w:ascii="宋体"/>
          <w:color w:val="auto"/>
          <w:sz w:val="21"/>
          <w:highlight w:val="none"/>
        </w:rPr>
        <w:t>1.2</w:t>
      </w:r>
      <w:r>
        <w:rPr>
          <w:rFonts w:ascii="Arial" w:hAnsi="宋体" w:eastAsia="Times New Roman"/>
          <w:color w:val="auto"/>
          <w:sz w:val="21"/>
          <w:highlight w:val="none"/>
        </w:rPr>
        <w:t>绿化带常年保持无明显杂草，必须符合《公路养护技术规范》的要求。</w:t>
      </w:r>
    </w:p>
    <w:p w14:paraId="16F4ED25">
      <w:pPr>
        <w:adjustRightInd w:val="0"/>
        <w:snapToGrid w:val="0"/>
        <w:spacing w:line="360" w:lineRule="auto"/>
        <w:ind w:firstLine="420" w:firstLineChars="200"/>
        <w:rPr>
          <w:rFonts w:ascii="Arial" w:hAnsi="Arial"/>
          <w:color w:val="auto"/>
          <w:sz w:val="21"/>
          <w:highlight w:val="none"/>
        </w:rPr>
      </w:pPr>
      <w:r>
        <w:rPr>
          <w:rFonts w:ascii="宋体"/>
          <w:color w:val="auto"/>
          <w:sz w:val="21"/>
          <w:highlight w:val="none"/>
        </w:rPr>
        <w:t>1.3</w:t>
      </w:r>
      <w:r>
        <w:rPr>
          <w:rFonts w:hint="eastAsia" w:ascii="宋体"/>
          <w:color w:val="auto"/>
          <w:sz w:val="21"/>
          <w:highlight w:val="none"/>
        </w:rPr>
        <w:t>绿地内无枯枝残叶、无杂草，植物叶面无陈旧积尘。</w:t>
      </w:r>
      <w:r>
        <w:rPr>
          <w:rFonts w:ascii="Arial" w:hAnsi="宋体" w:eastAsia="Times New Roman"/>
          <w:color w:val="auto"/>
          <w:sz w:val="21"/>
          <w:highlight w:val="none"/>
        </w:rPr>
        <w:t>及时清理绿化修剪的树枝、树叶。</w:t>
      </w:r>
    </w:p>
    <w:p w14:paraId="1C7132C1">
      <w:pPr>
        <w:snapToGrid w:val="0"/>
        <w:spacing w:line="360" w:lineRule="auto"/>
        <w:ind w:firstLine="420" w:firstLineChars="200"/>
        <w:rPr>
          <w:rFonts w:ascii="宋体"/>
          <w:color w:val="auto"/>
          <w:sz w:val="21"/>
          <w:highlight w:val="none"/>
        </w:rPr>
      </w:pPr>
      <w:r>
        <w:rPr>
          <w:rFonts w:ascii="宋体"/>
          <w:color w:val="auto"/>
          <w:sz w:val="21"/>
          <w:highlight w:val="none"/>
        </w:rPr>
        <w:t>1.4</w:t>
      </w:r>
      <w:r>
        <w:rPr>
          <w:rFonts w:hint="eastAsia" w:ascii="宋体"/>
          <w:color w:val="auto"/>
          <w:sz w:val="21"/>
          <w:highlight w:val="none"/>
        </w:rPr>
        <w:t>花灌木应按其开花习性修剪、花期见花，树形自然，高度适中、内膛不乱。</w:t>
      </w:r>
    </w:p>
    <w:p w14:paraId="2CE8A04C">
      <w:pPr>
        <w:snapToGrid w:val="0"/>
        <w:spacing w:line="360" w:lineRule="auto"/>
        <w:ind w:firstLine="412" w:firstLineChars="196"/>
        <w:rPr>
          <w:rFonts w:ascii="宋体"/>
          <w:b/>
          <w:color w:val="auto"/>
          <w:sz w:val="21"/>
          <w:highlight w:val="none"/>
        </w:rPr>
      </w:pPr>
      <w:r>
        <w:rPr>
          <w:rFonts w:ascii="宋体"/>
          <w:b/>
          <w:color w:val="auto"/>
          <w:sz w:val="21"/>
          <w:highlight w:val="none"/>
        </w:rPr>
        <w:t>2</w:t>
      </w:r>
      <w:r>
        <w:rPr>
          <w:rFonts w:hint="eastAsia" w:ascii="宋体"/>
          <w:b/>
          <w:color w:val="auto"/>
          <w:sz w:val="21"/>
          <w:highlight w:val="none"/>
        </w:rPr>
        <w:t>、行道树（乔木）养护标准：</w:t>
      </w:r>
    </w:p>
    <w:p w14:paraId="35BCC11C">
      <w:pPr>
        <w:snapToGrid w:val="0"/>
        <w:spacing w:line="360" w:lineRule="auto"/>
        <w:ind w:firstLine="420" w:firstLineChars="200"/>
        <w:rPr>
          <w:rFonts w:ascii="Arial" w:hAnsi="宋体"/>
          <w:color w:val="auto"/>
          <w:kern w:val="0"/>
          <w:sz w:val="21"/>
          <w:highlight w:val="none"/>
        </w:rPr>
      </w:pPr>
      <w:r>
        <w:rPr>
          <w:rFonts w:ascii="宋体"/>
          <w:color w:val="auto"/>
          <w:sz w:val="21"/>
          <w:highlight w:val="none"/>
        </w:rPr>
        <w:t>2.1</w:t>
      </w:r>
      <w:r>
        <w:rPr>
          <w:rFonts w:ascii="Arial" w:hAnsi="宋体" w:eastAsia="Times New Roman"/>
          <w:color w:val="auto"/>
          <w:kern w:val="0"/>
          <w:sz w:val="21"/>
          <w:highlight w:val="none"/>
        </w:rPr>
        <w:t>整枝。行道树（乔木）应及时及时修剪，常绿树种整枝每年不少于1次；落叶树种整枝二年一次。冠形优美，内膛通透，主侧枝条分布匀称、修剪强度适宜，疏密得当；剪除枯死枝、内膛乱枝、交叉枝、下垂枝、劈裂枝、病虫枝和其他影响交通安全的枝条。工具要求齐全，剪口、锯口平滑；与周围环境相协调，较好地解决树木与电线、建筑物、交通等之间的矛盾；及时清理公路标牌遮挡的行道树和悬挂物。</w:t>
      </w:r>
    </w:p>
    <w:p w14:paraId="1E611CE5">
      <w:pPr>
        <w:adjustRightInd w:val="0"/>
        <w:snapToGrid w:val="0"/>
        <w:spacing w:line="360" w:lineRule="auto"/>
        <w:ind w:firstLine="420" w:firstLineChars="200"/>
        <w:rPr>
          <w:rFonts w:ascii="Arial" w:hAnsi="Arial"/>
          <w:color w:val="auto"/>
          <w:sz w:val="21"/>
          <w:highlight w:val="none"/>
        </w:rPr>
      </w:pPr>
      <w:r>
        <w:rPr>
          <w:rFonts w:ascii="宋体"/>
          <w:color w:val="auto"/>
          <w:sz w:val="21"/>
          <w:highlight w:val="none"/>
        </w:rPr>
        <w:t>2.2</w:t>
      </w:r>
      <w:r>
        <w:rPr>
          <w:rFonts w:ascii="Arial" w:hAnsi="宋体" w:eastAsia="Times New Roman"/>
          <w:color w:val="auto"/>
          <w:kern w:val="0"/>
          <w:sz w:val="21"/>
          <w:highlight w:val="none"/>
        </w:rPr>
        <w:t>抹芽：行道树要及时抹芽，</w:t>
      </w:r>
      <w:r>
        <w:rPr>
          <w:rFonts w:hint="eastAsia" w:ascii="宋体"/>
          <w:color w:val="auto"/>
          <w:sz w:val="21"/>
          <w:highlight w:val="none"/>
        </w:rPr>
        <w:t>抹芽除萌及时彻底，创口平滑，</w:t>
      </w:r>
      <w:r>
        <w:rPr>
          <w:rFonts w:hint="eastAsia" w:ascii="宋体"/>
          <w:color w:val="auto"/>
          <w:kern w:val="0"/>
          <w:sz w:val="21"/>
          <w:highlight w:val="none"/>
        </w:rPr>
        <w:t>去除</w:t>
      </w:r>
      <w:r>
        <w:rPr>
          <w:rFonts w:ascii="宋体"/>
          <w:color w:val="auto"/>
          <w:kern w:val="0"/>
          <w:sz w:val="21"/>
          <w:highlight w:val="none"/>
        </w:rPr>
        <w:t>3</w:t>
      </w:r>
      <w:r>
        <w:rPr>
          <w:rFonts w:hint="eastAsia" w:ascii="宋体"/>
          <w:color w:val="auto"/>
          <w:kern w:val="0"/>
          <w:sz w:val="21"/>
          <w:highlight w:val="none"/>
        </w:rPr>
        <w:t>米以</w:t>
      </w:r>
      <w:r>
        <w:rPr>
          <w:rFonts w:ascii="Arial" w:hAnsi="宋体" w:eastAsia="Times New Roman"/>
          <w:color w:val="auto"/>
          <w:kern w:val="0"/>
          <w:sz w:val="21"/>
          <w:highlight w:val="none"/>
        </w:rPr>
        <w:t>下不必要的树芽，抹下的芽及时清除。</w:t>
      </w:r>
    </w:p>
    <w:p w14:paraId="0A80CA15">
      <w:pPr>
        <w:snapToGrid w:val="0"/>
        <w:spacing w:line="360" w:lineRule="auto"/>
        <w:ind w:firstLine="420" w:firstLineChars="200"/>
        <w:rPr>
          <w:rFonts w:ascii="宋体"/>
          <w:color w:val="auto"/>
          <w:sz w:val="21"/>
          <w:highlight w:val="none"/>
        </w:rPr>
      </w:pPr>
      <w:r>
        <w:rPr>
          <w:rFonts w:ascii="宋体"/>
          <w:color w:val="auto"/>
          <w:sz w:val="21"/>
          <w:highlight w:val="none"/>
        </w:rPr>
        <w:t>2.3</w:t>
      </w:r>
      <w:r>
        <w:rPr>
          <w:rFonts w:hint="eastAsia" w:ascii="宋体"/>
          <w:color w:val="auto"/>
          <w:sz w:val="21"/>
          <w:highlight w:val="none"/>
        </w:rPr>
        <w:t>刷白：一年一次，要求行道树刷白高低一致，刷白均称，整齐美观；如要求增加刷白次数，费用另计。</w:t>
      </w:r>
      <w:r>
        <w:rPr>
          <w:rFonts w:ascii="宋体"/>
          <w:color w:val="auto"/>
          <w:sz w:val="21"/>
          <w:highlight w:val="none"/>
        </w:rPr>
        <w:t xml:space="preserve">    </w:t>
      </w:r>
    </w:p>
    <w:p w14:paraId="7A02B84C">
      <w:pPr>
        <w:snapToGrid w:val="0"/>
        <w:spacing w:line="360" w:lineRule="auto"/>
        <w:ind w:firstLine="420" w:firstLineChars="200"/>
        <w:rPr>
          <w:rFonts w:ascii="宋体"/>
          <w:color w:val="auto"/>
          <w:sz w:val="21"/>
          <w:highlight w:val="none"/>
        </w:rPr>
      </w:pPr>
      <w:r>
        <w:rPr>
          <w:rFonts w:ascii="宋体"/>
          <w:color w:val="auto"/>
          <w:sz w:val="21"/>
          <w:highlight w:val="none"/>
        </w:rPr>
        <w:t>2.4</w:t>
      </w:r>
      <w:r>
        <w:rPr>
          <w:rFonts w:hint="eastAsia" w:ascii="宋体"/>
          <w:color w:val="auto"/>
          <w:sz w:val="21"/>
          <w:highlight w:val="none"/>
        </w:rPr>
        <w:t>扶正：由于各种原因，造成行道树倾斜的必须及时予以扶正，并及时做好抗台准备工作，台风等导致树木倾倒，必须在</w:t>
      </w:r>
      <w:r>
        <w:rPr>
          <w:rFonts w:ascii="宋体"/>
          <w:color w:val="auto"/>
          <w:sz w:val="21"/>
          <w:highlight w:val="none"/>
        </w:rPr>
        <w:t>2</w:t>
      </w:r>
      <w:r>
        <w:rPr>
          <w:rFonts w:hint="eastAsia" w:ascii="宋体"/>
          <w:color w:val="auto"/>
          <w:sz w:val="21"/>
          <w:highlight w:val="none"/>
        </w:rPr>
        <w:t>天内予以扶正。</w:t>
      </w:r>
      <w:r>
        <w:rPr>
          <w:rFonts w:ascii="宋体"/>
          <w:color w:val="auto"/>
          <w:sz w:val="21"/>
          <w:highlight w:val="none"/>
        </w:rPr>
        <w:t xml:space="preserve">   </w:t>
      </w:r>
    </w:p>
    <w:p w14:paraId="5DC6B7BA">
      <w:pPr>
        <w:snapToGrid w:val="0"/>
        <w:spacing w:line="360" w:lineRule="auto"/>
        <w:ind w:firstLine="420" w:firstLineChars="200"/>
        <w:rPr>
          <w:rFonts w:ascii="宋体"/>
          <w:color w:val="auto"/>
          <w:sz w:val="21"/>
          <w:highlight w:val="none"/>
        </w:rPr>
      </w:pPr>
      <w:r>
        <w:rPr>
          <w:rFonts w:ascii="宋体"/>
          <w:color w:val="auto"/>
          <w:sz w:val="21"/>
          <w:highlight w:val="none"/>
        </w:rPr>
        <w:t>2.5</w:t>
      </w:r>
      <w:r>
        <w:rPr>
          <w:rFonts w:hint="eastAsia" w:ascii="宋体"/>
          <w:color w:val="auto"/>
          <w:sz w:val="21"/>
          <w:highlight w:val="none"/>
        </w:rPr>
        <w:t>长势：枝壮叶茂；生长量超过均值；叶色正常，有光泽，无黄叶、焦叶、卷叶，生长季节不落叶</w:t>
      </w:r>
      <w:r>
        <w:rPr>
          <w:rFonts w:ascii="宋体"/>
          <w:color w:val="auto"/>
          <w:sz w:val="21"/>
          <w:highlight w:val="none"/>
        </w:rPr>
        <w:t>,</w:t>
      </w:r>
      <w:r>
        <w:rPr>
          <w:rFonts w:hint="eastAsia" w:ascii="宋体"/>
          <w:color w:val="auto"/>
          <w:sz w:val="21"/>
          <w:highlight w:val="none"/>
        </w:rPr>
        <w:t>无明显病症和虫害遗留物（虫网、虫粪、蜜露等）</w:t>
      </w:r>
      <w:r>
        <w:rPr>
          <w:rFonts w:ascii="宋体"/>
          <w:color w:val="auto"/>
          <w:sz w:val="21"/>
          <w:highlight w:val="none"/>
        </w:rPr>
        <w:t>,</w:t>
      </w:r>
      <w:r>
        <w:rPr>
          <w:rFonts w:hint="eastAsia" w:ascii="宋体"/>
          <w:color w:val="auto"/>
          <w:sz w:val="21"/>
          <w:highlight w:val="none"/>
        </w:rPr>
        <w:t>枝干健壮</w:t>
      </w:r>
      <w:r>
        <w:rPr>
          <w:rFonts w:ascii="宋体"/>
          <w:color w:val="auto"/>
          <w:sz w:val="21"/>
          <w:highlight w:val="none"/>
        </w:rPr>
        <w:t>,</w:t>
      </w:r>
      <w:r>
        <w:rPr>
          <w:rFonts w:hint="eastAsia" w:ascii="宋体"/>
          <w:color w:val="auto"/>
          <w:sz w:val="21"/>
          <w:highlight w:val="none"/>
        </w:rPr>
        <w:t>无明显枯死枝杈；冠形完整</w:t>
      </w:r>
      <w:r>
        <w:rPr>
          <w:rFonts w:ascii="宋体"/>
          <w:color w:val="auto"/>
          <w:sz w:val="21"/>
          <w:highlight w:val="none"/>
        </w:rPr>
        <w:t>,</w:t>
      </w:r>
      <w:r>
        <w:rPr>
          <w:rFonts w:hint="eastAsia" w:ascii="宋体"/>
          <w:color w:val="auto"/>
          <w:sz w:val="21"/>
          <w:highlight w:val="none"/>
        </w:rPr>
        <w:t>分枝点合适</w:t>
      </w:r>
      <w:r>
        <w:rPr>
          <w:rFonts w:ascii="宋体"/>
          <w:color w:val="auto"/>
          <w:sz w:val="21"/>
          <w:highlight w:val="none"/>
        </w:rPr>
        <w:t>,</w:t>
      </w:r>
      <w:r>
        <w:rPr>
          <w:rFonts w:hint="eastAsia" w:ascii="宋体"/>
          <w:color w:val="auto"/>
          <w:sz w:val="21"/>
          <w:highlight w:val="none"/>
        </w:rPr>
        <w:t>主侧枝分布匀称、数量适宜</w:t>
      </w:r>
      <w:r>
        <w:rPr>
          <w:rFonts w:ascii="宋体"/>
          <w:color w:val="auto"/>
          <w:sz w:val="21"/>
          <w:highlight w:val="none"/>
        </w:rPr>
        <w:t>,</w:t>
      </w:r>
      <w:r>
        <w:rPr>
          <w:rFonts w:hint="eastAsia" w:ascii="宋体"/>
          <w:color w:val="auto"/>
          <w:sz w:val="21"/>
          <w:highlight w:val="none"/>
        </w:rPr>
        <w:t>内膛通风透光。</w:t>
      </w:r>
    </w:p>
    <w:p w14:paraId="4609BF2A">
      <w:pPr>
        <w:snapToGrid w:val="0"/>
        <w:spacing w:line="360" w:lineRule="auto"/>
        <w:ind w:firstLine="412" w:firstLineChars="196"/>
        <w:rPr>
          <w:rFonts w:ascii="宋体"/>
          <w:b/>
          <w:color w:val="auto"/>
          <w:sz w:val="21"/>
          <w:highlight w:val="none"/>
        </w:rPr>
      </w:pPr>
      <w:r>
        <w:rPr>
          <w:rFonts w:ascii="宋体"/>
          <w:b/>
          <w:color w:val="auto"/>
          <w:sz w:val="21"/>
          <w:highlight w:val="none"/>
        </w:rPr>
        <w:t>3</w:t>
      </w:r>
      <w:r>
        <w:rPr>
          <w:rFonts w:hint="eastAsia" w:ascii="宋体"/>
          <w:b/>
          <w:color w:val="auto"/>
          <w:sz w:val="21"/>
          <w:highlight w:val="none"/>
        </w:rPr>
        <w:t>、草坪养护标准：</w:t>
      </w:r>
    </w:p>
    <w:p w14:paraId="223F031B">
      <w:pPr>
        <w:snapToGrid w:val="0"/>
        <w:spacing w:line="360" w:lineRule="auto"/>
        <w:ind w:firstLine="420" w:firstLineChars="200"/>
        <w:rPr>
          <w:rFonts w:ascii="宋体"/>
          <w:color w:val="auto"/>
          <w:sz w:val="21"/>
          <w:highlight w:val="none"/>
        </w:rPr>
      </w:pPr>
      <w:r>
        <w:rPr>
          <w:rFonts w:ascii="宋体"/>
          <w:color w:val="auto"/>
          <w:sz w:val="21"/>
          <w:highlight w:val="none"/>
        </w:rPr>
        <w:t>3.1</w:t>
      </w:r>
      <w:r>
        <w:rPr>
          <w:rFonts w:hint="eastAsia" w:ascii="宋体"/>
          <w:color w:val="auto"/>
          <w:sz w:val="21"/>
          <w:highlight w:val="none"/>
        </w:rPr>
        <w:t>草坪生长茂盛，无空秃，无明显杂草；</w:t>
      </w:r>
      <w:r>
        <w:rPr>
          <w:rFonts w:hint="eastAsia" w:ascii="宋体"/>
          <w:color w:val="auto"/>
          <w:spacing w:val="-18"/>
          <w:sz w:val="21"/>
          <w:highlight w:val="none"/>
        </w:rPr>
        <w:t>及时修剪，平整、均匀、</w:t>
      </w:r>
      <w:r>
        <w:rPr>
          <w:rFonts w:hint="eastAsia" w:ascii="宋体"/>
          <w:color w:val="auto"/>
          <w:sz w:val="21"/>
          <w:highlight w:val="none"/>
        </w:rPr>
        <w:t>无漏草，适时适度。暖季草坪高度不超过</w:t>
      </w:r>
      <w:r>
        <w:rPr>
          <w:rFonts w:ascii="宋体"/>
          <w:color w:val="auto"/>
          <w:sz w:val="21"/>
          <w:highlight w:val="none"/>
        </w:rPr>
        <w:t>8cm</w:t>
      </w:r>
      <w:r>
        <w:rPr>
          <w:rFonts w:hint="eastAsia" w:ascii="宋体"/>
          <w:color w:val="auto"/>
          <w:sz w:val="21"/>
          <w:highlight w:val="none"/>
        </w:rPr>
        <w:t>，冷季草坪高度不超过</w:t>
      </w:r>
      <w:r>
        <w:rPr>
          <w:rFonts w:ascii="宋体"/>
          <w:color w:val="auto"/>
          <w:sz w:val="21"/>
          <w:highlight w:val="none"/>
        </w:rPr>
        <w:t>6cm</w:t>
      </w:r>
      <w:r>
        <w:rPr>
          <w:rFonts w:hint="eastAsia" w:ascii="宋体"/>
          <w:color w:val="auto"/>
          <w:sz w:val="21"/>
          <w:highlight w:val="none"/>
        </w:rPr>
        <w:t>。边线宽窄适宜、边线清晰、线条流畅（草坪与侧石结合部切出</w:t>
      </w:r>
      <w:r>
        <w:rPr>
          <w:rFonts w:ascii="宋体"/>
          <w:color w:val="auto"/>
          <w:sz w:val="21"/>
          <w:highlight w:val="none"/>
        </w:rPr>
        <w:t>6—8cm</w:t>
      </w:r>
      <w:r>
        <w:rPr>
          <w:rFonts w:hint="eastAsia" w:ascii="宋体"/>
          <w:color w:val="auto"/>
          <w:sz w:val="21"/>
          <w:highlight w:val="none"/>
        </w:rPr>
        <w:t>整齐美观的边缘带，坡体草坪边缘修剪整齐；草坪与绿篱间切出</w:t>
      </w:r>
      <w:r>
        <w:rPr>
          <w:rFonts w:ascii="宋体"/>
          <w:color w:val="auto"/>
          <w:sz w:val="21"/>
          <w:highlight w:val="none"/>
        </w:rPr>
        <w:t>10cm</w:t>
      </w:r>
      <w:r>
        <w:rPr>
          <w:rFonts w:hint="eastAsia" w:ascii="宋体"/>
          <w:color w:val="auto"/>
          <w:sz w:val="21"/>
          <w:highlight w:val="none"/>
        </w:rPr>
        <w:t>整齐美观的边缘带）。</w:t>
      </w:r>
    </w:p>
    <w:p w14:paraId="1F97ABD9">
      <w:pPr>
        <w:snapToGrid w:val="0"/>
        <w:ind w:firstLine="412" w:firstLineChars="196"/>
        <w:rPr>
          <w:rFonts w:ascii="宋体"/>
          <w:b/>
          <w:color w:val="auto"/>
          <w:sz w:val="21"/>
          <w:highlight w:val="none"/>
        </w:rPr>
      </w:pPr>
      <w:r>
        <w:rPr>
          <w:rFonts w:ascii="宋体"/>
          <w:b/>
          <w:color w:val="auto"/>
          <w:sz w:val="21"/>
          <w:highlight w:val="none"/>
        </w:rPr>
        <w:t>4</w:t>
      </w:r>
      <w:r>
        <w:rPr>
          <w:rFonts w:hint="eastAsia" w:ascii="宋体"/>
          <w:b/>
          <w:color w:val="auto"/>
          <w:sz w:val="21"/>
          <w:highlight w:val="none"/>
        </w:rPr>
        <w:t>、树木保存率标准：</w:t>
      </w:r>
    </w:p>
    <w:p w14:paraId="59307C8E">
      <w:pPr>
        <w:adjustRightInd w:val="0"/>
        <w:snapToGrid w:val="0"/>
        <w:spacing w:line="360" w:lineRule="auto"/>
        <w:ind w:firstLine="420" w:firstLineChars="200"/>
        <w:rPr>
          <w:rFonts w:hint="eastAsia" w:ascii="宋体" w:hAnsi="宋体" w:eastAsiaTheme="minorEastAsia"/>
          <w:color w:val="auto"/>
          <w:sz w:val="21"/>
          <w:highlight w:val="none"/>
        </w:rPr>
      </w:pPr>
      <w:r>
        <w:rPr>
          <w:rFonts w:ascii="宋体"/>
          <w:color w:val="auto"/>
          <w:sz w:val="21"/>
          <w:highlight w:val="none"/>
        </w:rPr>
        <w:t>4.1</w:t>
      </w:r>
      <w:r>
        <w:rPr>
          <w:rFonts w:hint="eastAsia" w:ascii="宋体"/>
          <w:color w:val="auto"/>
          <w:sz w:val="21"/>
          <w:highlight w:val="none"/>
        </w:rPr>
        <w:t>绿化带（灌木）保存率：除交通事故损坏和人为破坏外，原苗木保存率到合同期满后必须达到</w:t>
      </w:r>
      <w:r>
        <w:rPr>
          <w:rFonts w:ascii="宋体"/>
          <w:color w:val="auto"/>
          <w:sz w:val="21"/>
          <w:highlight w:val="none"/>
        </w:rPr>
        <w:t>90</w:t>
      </w:r>
      <w:r>
        <w:rPr>
          <w:rFonts w:hint="eastAsia" w:ascii="宋体"/>
          <w:color w:val="auto"/>
          <w:sz w:val="21"/>
          <w:highlight w:val="none"/>
        </w:rPr>
        <w:t>％以上，不足</w:t>
      </w:r>
      <w:r>
        <w:rPr>
          <w:rFonts w:ascii="宋体"/>
          <w:color w:val="auto"/>
          <w:sz w:val="21"/>
          <w:highlight w:val="none"/>
        </w:rPr>
        <w:t>90</w:t>
      </w:r>
      <w:r>
        <w:rPr>
          <w:rFonts w:hint="eastAsia" w:ascii="宋体"/>
          <w:color w:val="auto"/>
          <w:sz w:val="21"/>
          <w:highlight w:val="none"/>
        </w:rPr>
        <w:t>％的，由供应商负责补植，否则履约保证金不予退还。</w:t>
      </w:r>
      <w:r>
        <w:rPr>
          <w:rFonts w:ascii="宋体"/>
          <w:color w:val="auto"/>
          <w:sz w:val="21"/>
          <w:highlight w:val="none"/>
        </w:rPr>
        <w:t xml:space="preserve">    </w:t>
      </w:r>
      <w:r>
        <w:rPr>
          <w:rFonts w:ascii="宋体" w:hAnsi="宋体"/>
          <w:color w:val="auto"/>
          <w:sz w:val="21"/>
          <w:highlight w:val="none"/>
        </w:rPr>
        <w:t xml:space="preserve">        </w:t>
      </w:r>
    </w:p>
    <w:p w14:paraId="0B630A44">
      <w:pPr>
        <w:adjustRightInd w:val="0"/>
        <w:snapToGrid w:val="0"/>
        <w:spacing w:line="360" w:lineRule="auto"/>
        <w:ind w:firstLine="420" w:firstLineChars="200"/>
        <w:rPr>
          <w:rFonts w:ascii="宋体"/>
          <w:color w:val="auto"/>
          <w:sz w:val="21"/>
          <w:highlight w:val="none"/>
        </w:rPr>
      </w:pPr>
      <w:r>
        <w:rPr>
          <w:rFonts w:ascii="宋体"/>
          <w:color w:val="auto"/>
          <w:sz w:val="21"/>
          <w:highlight w:val="none"/>
        </w:rPr>
        <w:t>4.2</w:t>
      </w:r>
      <w:r>
        <w:rPr>
          <w:rFonts w:hint="eastAsia" w:ascii="宋体"/>
          <w:color w:val="auto"/>
          <w:sz w:val="21"/>
          <w:highlight w:val="none"/>
        </w:rPr>
        <w:t>行道树（乔木）保存率：除交通事故损坏和人为破坏外，原树木保存率到合同期满后必须达到</w:t>
      </w:r>
      <w:r>
        <w:rPr>
          <w:rFonts w:ascii="宋体"/>
          <w:color w:val="auto"/>
          <w:sz w:val="21"/>
          <w:highlight w:val="none"/>
        </w:rPr>
        <w:t>95</w:t>
      </w:r>
      <w:r>
        <w:rPr>
          <w:rFonts w:hint="eastAsia" w:ascii="宋体"/>
          <w:color w:val="auto"/>
          <w:sz w:val="21"/>
          <w:highlight w:val="none"/>
        </w:rPr>
        <w:t>％以上，不足</w:t>
      </w:r>
      <w:r>
        <w:rPr>
          <w:rFonts w:ascii="宋体"/>
          <w:color w:val="auto"/>
          <w:sz w:val="21"/>
          <w:highlight w:val="none"/>
        </w:rPr>
        <w:t>95</w:t>
      </w:r>
      <w:r>
        <w:rPr>
          <w:rFonts w:hint="eastAsia" w:ascii="宋体"/>
          <w:color w:val="auto"/>
          <w:sz w:val="21"/>
          <w:highlight w:val="none"/>
        </w:rPr>
        <w:t>％的，由供应商负责补植，否则履约保证金不予退还。</w:t>
      </w:r>
    </w:p>
    <w:p w14:paraId="14223245">
      <w:pPr>
        <w:snapToGrid w:val="0"/>
        <w:spacing w:line="360" w:lineRule="auto"/>
        <w:ind w:firstLine="412" w:firstLineChars="196"/>
        <w:rPr>
          <w:rFonts w:ascii="宋体"/>
          <w:b/>
          <w:color w:val="auto"/>
          <w:sz w:val="21"/>
          <w:highlight w:val="none"/>
        </w:rPr>
      </w:pPr>
      <w:r>
        <w:rPr>
          <w:rFonts w:ascii="宋体"/>
          <w:b/>
          <w:color w:val="auto"/>
          <w:sz w:val="21"/>
          <w:highlight w:val="none"/>
        </w:rPr>
        <w:t>5</w:t>
      </w:r>
      <w:r>
        <w:rPr>
          <w:rFonts w:hint="eastAsia" w:ascii="宋体"/>
          <w:b/>
          <w:color w:val="auto"/>
          <w:sz w:val="21"/>
          <w:highlight w:val="none"/>
        </w:rPr>
        <w:t>、路肩杂草修剪标准：</w:t>
      </w:r>
    </w:p>
    <w:p w14:paraId="6E672C69">
      <w:pPr>
        <w:adjustRightInd w:val="0"/>
        <w:snapToGrid w:val="0"/>
        <w:spacing w:line="360" w:lineRule="auto"/>
        <w:ind w:firstLine="420" w:firstLineChars="200"/>
        <w:rPr>
          <w:rFonts w:ascii="宋体"/>
          <w:color w:val="auto"/>
          <w:sz w:val="21"/>
          <w:highlight w:val="none"/>
        </w:rPr>
      </w:pPr>
      <w:r>
        <w:rPr>
          <w:rFonts w:ascii="宋体"/>
          <w:color w:val="auto"/>
          <w:sz w:val="21"/>
          <w:highlight w:val="none"/>
        </w:rPr>
        <w:t>5.1</w:t>
      </w:r>
      <w:r>
        <w:rPr>
          <w:rFonts w:hint="eastAsia" w:ascii="宋体"/>
          <w:color w:val="auto"/>
          <w:sz w:val="21"/>
          <w:highlight w:val="none"/>
        </w:rPr>
        <w:t>国、省道路肩、边坡常年保持无高草（</w:t>
      </w:r>
      <w:r>
        <w:rPr>
          <w:rFonts w:ascii="宋体"/>
          <w:color w:val="auto"/>
          <w:sz w:val="21"/>
          <w:highlight w:val="none"/>
        </w:rPr>
        <w:t>10cm</w:t>
      </w:r>
      <w:r>
        <w:rPr>
          <w:rFonts w:hint="eastAsia" w:ascii="宋体"/>
          <w:color w:val="auto"/>
          <w:sz w:val="21"/>
          <w:highlight w:val="none"/>
        </w:rPr>
        <w:t>以下），确保路容美观。</w:t>
      </w:r>
    </w:p>
    <w:p w14:paraId="3A1F179D">
      <w:pPr>
        <w:snapToGrid w:val="0"/>
        <w:spacing w:line="360" w:lineRule="auto"/>
        <w:ind w:firstLine="410" w:firstLineChars="195"/>
        <w:rPr>
          <w:rFonts w:ascii="宋体"/>
          <w:b/>
          <w:color w:val="auto"/>
          <w:sz w:val="21"/>
          <w:highlight w:val="none"/>
        </w:rPr>
      </w:pPr>
      <w:r>
        <w:rPr>
          <w:rFonts w:ascii="宋体"/>
          <w:b/>
          <w:color w:val="auto"/>
          <w:sz w:val="21"/>
          <w:highlight w:val="none"/>
        </w:rPr>
        <w:t>6</w:t>
      </w:r>
      <w:r>
        <w:rPr>
          <w:rFonts w:hint="eastAsia" w:ascii="宋体"/>
          <w:b/>
          <w:color w:val="auto"/>
          <w:sz w:val="21"/>
          <w:highlight w:val="none"/>
        </w:rPr>
        <w:t>、肥、水标准：</w:t>
      </w:r>
    </w:p>
    <w:p w14:paraId="4F2B12B2">
      <w:pPr>
        <w:snapToGrid w:val="0"/>
        <w:spacing w:line="360" w:lineRule="auto"/>
        <w:ind w:firstLine="420" w:firstLineChars="200"/>
        <w:rPr>
          <w:rFonts w:ascii="宋体"/>
          <w:color w:val="auto"/>
          <w:sz w:val="21"/>
          <w:highlight w:val="none"/>
        </w:rPr>
      </w:pPr>
      <w:r>
        <w:rPr>
          <w:rFonts w:ascii="宋体"/>
          <w:color w:val="auto"/>
          <w:sz w:val="21"/>
          <w:highlight w:val="none"/>
        </w:rPr>
        <w:t>6.1</w:t>
      </w:r>
      <w:r>
        <w:rPr>
          <w:rFonts w:hint="eastAsia" w:ascii="宋体"/>
          <w:color w:val="auto"/>
          <w:sz w:val="21"/>
          <w:highlight w:val="none"/>
        </w:rPr>
        <w:t>根据不同树种、树木生长情况，按标准合理施肥，每次复合肥不少于</w:t>
      </w:r>
      <w:r>
        <w:rPr>
          <w:rFonts w:ascii="宋体"/>
          <w:color w:val="auto"/>
          <w:sz w:val="21"/>
          <w:highlight w:val="none"/>
        </w:rPr>
        <w:t>180</w:t>
      </w:r>
      <w:r>
        <w:rPr>
          <w:rFonts w:hint="eastAsia" w:ascii="宋体"/>
          <w:color w:val="auto"/>
          <w:sz w:val="21"/>
          <w:highlight w:val="none"/>
        </w:rPr>
        <w:t>包。</w:t>
      </w:r>
    </w:p>
    <w:p w14:paraId="26CF3452">
      <w:pPr>
        <w:snapToGrid w:val="0"/>
        <w:spacing w:line="360" w:lineRule="auto"/>
        <w:ind w:firstLine="420" w:firstLineChars="200"/>
        <w:rPr>
          <w:rFonts w:ascii="宋体"/>
          <w:color w:val="auto"/>
          <w:sz w:val="21"/>
          <w:highlight w:val="none"/>
        </w:rPr>
      </w:pPr>
      <w:r>
        <w:rPr>
          <w:rFonts w:ascii="宋体"/>
          <w:color w:val="auto"/>
          <w:sz w:val="21"/>
          <w:highlight w:val="none"/>
        </w:rPr>
        <w:t>6.2</w:t>
      </w:r>
      <w:r>
        <w:rPr>
          <w:rFonts w:hint="eastAsia" w:ascii="宋体"/>
          <w:color w:val="auto"/>
          <w:sz w:val="21"/>
          <w:highlight w:val="none"/>
        </w:rPr>
        <w:t>树穴内有植被的乔木适当增加量和次数。</w:t>
      </w:r>
    </w:p>
    <w:p w14:paraId="2698D360">
      <w:pPr>
        <w:snapToGrid w:val="0"/>
        <w:spacing w:line="360" w:lineRule="auto"/>
        <w:ind w:firstLine="420" w:firstLineChars="200"/>
        <w:rPr>
          <w:rFonts w:ascii="宋体"/>
          <w:color w:val="auto"/>
          <w:sz w:val="21"/>
          <w:highlight w:val="none"/>
        </w:rPr>
      </w:pPr>
      <w:r>
        <w:rPr>
          <w:rFonts w:ascii="宋体"/>
          <w:color w:val="auto"/>
          <w:sz w:val="21"/>
          <w:highlight w:val="none"/>
        </w:rPr>
        <w:t>6.3</w:t>
      </w:r>
      <w:r>
        <w:rPr>
          <w:rFonts w:hint="eastAsia" w:ascii="宋体"/>
          <w:color w:val="auto"/>
          <w:sz w:val="21"/>
          <w:highlight w:val="none"/>
        </w:rPr>
        <w:t>根据植物生长特性及时施肥，每年施肥不少于</w:t>
      </w:r>
      <w:r>
        <w:rPr>
          <w:rFonts w:ascii="宋体"/>
          <w:color w:val="auto"/>
          <w:sz w:val="21"/>
          <w:highlight w:val="none"/>
        </w:rPr>
        <w:t>2</w:t>
      </w:r>
      <w:r>
        <w:rPr>
          <w:rFonts w:hint="eastAsia" w:ascii="宋体"/>
          <w:color w:val="auto"/>
          <w:sz w:val="21"/>
          <w:highlight w:val="none"/>
        </w:rPr>
        <w:t>次，方法合理；无缺肥、无漏肥、无肥害现象。充分利用有机肥，也可用复合肥，增强土壤肥力，改善土壤理化性状。有机肥和无机肥交替使用，改善土壤板结状况，生长期宜用无机肥，休眠期宜用有机肥，施肥前需先清除杂草。</w:t>
      </w:r>
    </w:p>
    <w:p w14:paraId="253290C4">
      <w:pPr>
        <w:snapToGrid w:val="0"/>
        <w:spacing w:line="360" w:lineRule="auto"/>
        <w:ind w:firstLine="420" w:firstLineChars="200"/>
        <w:rPr>
          <w:rFonts w:ascii="宋体"/>
          <w:color w:val="auto"/>
          <w:sz w:val="21"/>
          <w:highlight w:val="none"/>
        </w:rPr>
      </w:pPr>
      <w:r>
        <w:rPr>
          <w:rFonts w:ascii="宋体"/>
          <w:color w:val="auto"/>
          <w:sz w:val="21"/>
          <w:highlight w:val="none"/>
        </w:rPr>
        <w:t>6.4</w:t>
      </w:r>
      <w:r>
        <w:rPr>
          <w:rFonts w:hint="eastAsia" w:ascii="宋体"/>
          <w:color w:val="auto"/>
          <w:sz w:val="21"/>
          <w:highlight w:val="none"/>
        </w:rPr>
        <w:t>高温干旱天气应及时浇水保湿，确保绿化的保存率，道路浇水应注意不要让水溢出，避免造成路面污泥水溢流。</w:t>
      </w:r>
    </w:p>
    <w:p w14:paraId="0204CA88">
      <w:pPr>
        <w:snapToGrid w:val="0"/>
        <w:spacing w:line="360" w:lineRule="auto"/>
        <w:ind w:firstLine="412" w:firstLineChars="196"/>
        <w:rPr>
          <w:rFonts w:ascii="宋体"/>
          <w:b/>
          <w:color w:val="auto"/>
          <w:sz w:val="21"/>
          <w:highlight w:val="none"/>
        </w:rPr>
      </w:pPr>
      <w:r>
        <w:rPr>
          <w:rFonts w:ascii="宋体"/>
          <w:b/>
          <w:color w:val="auto"/>
          <w:sz w:val="21"/>
          <w:highlight w:val="none"/>
        </w:rPr>
        <w:t>7</w:t>
      </w:r>
      <w:r>
        <w:rPr>
          <w:rFonts w:hint="eastAsia" w:ascii="宋体"/>
          <w:b/>
          <w:color w:val="auto"/>
          <w:sz w:val="21"/>
          <w:highlight w:val="none"/>
        </w:rPr>
        <w:t>、病虫害防治标准：</w:t>
      </w:r>
    </w:p>
    <w:p w14:paraId="1052A526">
      <w:pPr>
        <w:adjustRightInd w:val="0"/>
        <w:snapToGrid w:val="0"/>
        <w:spacing w:line="360" w:lineRule="auto"/>
        <w:ind w:firstLine="420" w:firstLineChars="200"/>
        <w:rPr>
          <w:rFonts w:ascii="Arial" w:hAnsi="Arial"/>
          <w:color w:val="auto"/>
          <w:sz w:val="21"/>
          <w:highlight w:val="none"/>
        </w:rPr>
      </w:pPr>
      <w:r>
        <w:rPr>
          <w:rFonts w:ascii="宋体"/>
          <w:color w:val="auto"/>
          <w:sz w:val="21"/>
          <w:highlight w:val="none"/>
        </w:rPr>
        <w:t>7.1</w:t>
      </w:r>
      <w:r>
        <w:rPr>
          <w:rFonts w:ascii="Arial" w:hAnsi="宋体" w:eastAsia="Times New Roman"/>
          <w:color w:val="auto"/>
          <w:sz w:val="21"/>
          <w:highlight w:val="none"/>
        </w:rPr>
        <w:t>常规病虫消杀要求</w:t>
      </w:r>
      <w:r>
        <w:rPr>
          <w:rFonts w:ascii="Arial" w:hAnsi="宋体" w:eastAsia="Times New Roman"/>
          <w:color w:val="auto"/>
          <w:kern w:val="0"/>
          <w:sz w:val="21"/>
          <w:highlight w:val="none"/>
        </w:rPr>
        <w:t>一年不小于二次，平时根据虫害情况进行随时消杀工作，具体视病虫发生情况及时进行</w:t>
      </w:r>
      <w:r>
        <w:rPr>
          <w:rFonts w:ascii="Arial" w:hAnsi="宋体" w:eastAsia="Times New Roman"/>
          <w:color w:val="auto"/>
          <w:sz w:val="21"/>
          <w:highlight w:val="none"/>
        </w:rPr>
        <w:t>。</w:t>
      </w:r>
    </w:p>
    <w:p w14:paraId="712C3ECA">
      <w:pPr>
        <w:snapToGrid w:val="0"/>
        <w:spacing w:line="360" w:lineRule="auto"/>
        <w:ind w:firstLine="420" w:firstLineChars="200"/>
        <w:rPr>
          <w:rFonts w:ascii="宋体"/>
          <w:color w:val="auto"/>
          <w:sz w:val="21"/>
          <w:highlight w:val="none"/>
        </w:rPr>
      </w:pPr>
      <w:r>
        <w:rPr>
          <w:rFonts w:ascii="宋体"/>
          <w:color w:val="auto"/>
          <w:sz w:val="21"/>
          <w:highlight w:val="none"/>
        </w:rPr>
        <w:t>7.2</w:t>
      </w:r>
      <w:r>
        <w:rPr>
          <w:rFonts w:hint="eastAsia" w:ascii="宋体"/>
          <w:color w:val="auto"/>
          <w:sz w:val="21"/>
          <w:highlight w:val="none"/>
        </w:rPr>
        <w:t>提倡综合防治，以防为主，病虫害危害应控制在不影响观赏效果的范围之内。</w:t>
      </w:r>
    </w:p>
    <w:p w14:paraId="53DFB059">
      <w:pPr>
        <w:snapToGrid w:val="0"/>
        <w:spacing w:line="360" w:lineRule="auto"/>
        <w:rPr>
          <w:rFonts w:ascii="宋体"/>
          <w:b/>
          <w:color w:val="auto"/>
          <w:sz w:val="21"/>
          <w:highlight w:val="none"/>
        </w:rPr>
      </w:pPr>
      <w:r>
        <w:rPr>
          <w:rFonts w:hint="eastAsia" w:ascii="宋体"/>
          <w:b/>
          <w:color w:val="auto"/>
          <w:sz w:val="21"/>
          <w:highlight w:val="none"/>
        </w:rPr>
        <w:t>三、管理标准：</w:t>
      </w:r>
    </w:p>
    <w:p w14:paraId="1FFC4A4D">
      <w:pPr>
        <w:snapToGrid w:val="0"/>
        <w:spacing w:line="360" w:lineRule="auto"/>
        <w:ind w:firstLine="412" w:firstLineChars="196"/>
        <w:rPr>
          <w:rFonts w:ascii="宋体"/>
          <w:b/>
          <w:color w:val="auto"/>
          <w:sz w:val="21"/>
          <w:highlight w:val="none"/>
        </w:rPr>
      </w:pPr>
      <w:r>
        <w:rPr>
          <w:rFonts w:ascii="宋体"/>
          <w:b/>
          <w:color w:val="auto"/>
          <w:sz w:val="21"/>
          <w:highlight w:val="none"/>
        </w:rPr>
        <w:t>1</w:t>
      </w:r>
      <w:r>
        <w:rPr>
          <w:rFonts w:hint="eastAsia" w:ascii="宋体"/>
          <w:b/>
          <w:color w:val="auto"/>
          <w:sz w:val="21"/>
          <w:highlight w:val="none"/>
        </w:rPr>
        <w:t>、作业标准：</w:t>
      </w:r>
    </w:p>
    <w:p w14:paraId="6FB718B7">
      <w:pPr>
        <w:snapToGrid w:val="0"/>
        <w:spacing w:line="360" w:lineRule="auto"/>
        <w:ind w:firstLine="420" w:firstLineChars="200"/>
        <w:rPr>
          <w:rFonts w:ascii="宋体"/>
          <w:color w:val="auto"/>
          <w:sz w:val="21"/>
          <w:highlight w:val="none"/>
        </w:rPr>
      </w:pPr>
      <w:r>
        <w:rPr>
          <w:rFonts w:ascii="宋体"/>
          <w:color w:val="auto"/>
          <w:sz w:val="21"/>
          <w:highlight w:val="none"/>
        </w:rPr>
        <w:t>1.1.</w:t>
      </w:r>
      <w:r>
        <w:rPr>
          <w:rFonts w:hint="eastAsia" w:ascii="宋体"/>
          <w:color w:val="auto"/>
          <w:sz w:val="21"/>
          <w:highlight w:val="none"/>
        </w:rPr>
        <w:t>道路绿化养护作业必须设置警示区及警示牌，作业人员统一着装上岗，穿着规范的公路作业工作服，做到文明作业，尽量减少对行车的干扰。</w:t>
      </w:r>
    </w:p>
    <w:p w14:paraId="5B786C36">
      <w:pPr>
        <w:snapToGrid w:val="0"/>
        <w:spacing w:line="360" w:lineRule="auto"/>
        <w:ind w:firstLine="412" w:firstLineChars="196"/>
        <w:jc w:val="left"/>
        <w:rPr>
          <w:rFonts w:ascii="宋体"/>
          <w:b/>
          <w:color w:val="auto"/>
          <w:sz w:val="21"/>
          <w:highlight w:val="none"/>
        </w:rPr>
      </w:pPr>
      <w:r>
        <w:rPr>
          <w:rFonts w:ascii="宋体"/>
          <w:b/>
          <w:color w:val="auto"/>
          <w:sz w:val="21"/>
          <w:highlight w:val="none"/>
        </w:rPr>
        <w:t>2</w:t>
      </w:r>
      <w:r>
        <w:rPr>
          <w:rFonts w:hint="eastAsia" w:ascii="宋体"/>
          <w:b/>
          <w:color w:val="auto"/>
          <w:sz w:val="21"/>
          <w:highlight w:val="none"/>
        </w:rPr>
        <w:t>、人员、机械配备标准：</w:t>
      </w:r>
    </w:p>
    <w:p w14:paraId="6F5CC641">
      <w:pPr>
        <w:snapToGrid w:val="0"/>
        <w:spacing w:line="360" w:lineRule="auto"/>
        <w:ind w:firstLine="210" w:firstLineChars="100"/>
        <w:jc w:val="left"/>
        <w:rPr>
          <w:rFonts w:ascii="宋体"/>
          <w:color w:val="auto"/>
          <w:sz w:val="21"/>
          <w:highlight w:val="none"/>
        </w:rPr>
      </w:pPr>
      <w:r>
        <w:rPr>
          <w:rFonts w:ascii="宋体"/>
          <w:color w:val="auto"/>
          <w:sz w:val="21"/>
          <w:highlight w:val="none"/>
        </w:rPr>
        <w:t>2.1</w:t>
      </w:r>
      <w:r>
        <w:rPr>
          <w:rFonts w:hint="eastAsia" w:ascii="宋体"/>
          <w:color w:val="auto"/>
          <w:sz w:val="21"/>
          <w:highlight w:val="none"/>
        </w:rPr>
        <w:t>人员配备：中标单位须配备管理人员</w:t>
      </w:r>
      <w:r>
        <w:rPr>
          <w:rFonts w:ascii="宋体"/>
          <w:color w:val="auto"/>
          <w:sz w:val="21"/>
          <w:highlight w:val="none"/>
        </w:rPr>
        <w:t>1</w:t>
      </w:r>
      <w:r>
        <w:rPr>
          <w:rFonts w:hint="eastAsia" w:ascii="宋体"/>
          <w:color w:val="auto"/>
          <w:sz w:val="21"/>
          <w:highlight w:val="none"/>
        </w:rPr>
        <w:t>人（具有园林绿化工程师及以上</w:t>
      </w:r>
      <w:r>
        <w:rPr>
          <w:rFonts w:hint="eastAsia" w:ascii="宋体" w:eastAsia="宋体"/>
          <w:color w:val="auto"/>
          <w:sz w:val="21"/>
          <w:highlight w:val="none"/>
        </w:rPr>
        <w:t>；</w:t>
      </w:r>
      <w:r>
        <w:rPr>
          <w:rFonts w:hint="eastAsia" w:ascii="宋体"/>
          <w:color w:val="auto"/>
          <w:sz w:val="21"/>
          <w:highlight w:val="none"/>
        </w:rPr>
        <w:t>需</w:t>
      </w:r>
      <w:r>
        <w:rPr>
          <w:rFonts w:hint="eastAsia" w:ascii="宋体" w:eastAsia="宋体"/>
          <w:color w:val="auto"/>
          <w:sz w:val="21"/>
          <w:highlight w:val="none"/>
          <w:lang w:val="en-US" w:eastAsia="zh-CN"/>
        </w:rPr>
        <w:t>提供在投标截止时间前3个月内任意一个月的在本单位社保缴纳证明</w:t>
      </w:r>
      <w:r>
        <w:rPr>
          <w:rFonts w:hint="eastAsia" w:ascii="宋体"/>
          <w:color w:val="auto"/>
          <w:sz w:val="21"/>
          <w:highlight w:val="none"/>
        </w:rPr>
        <w:t>），绿化管护人员</w:t>
      </w:r>
      <w:r>
        <w:rPr>
          <w:rFonts w:hint="eastAsia" w:ascii="宋体" w:eastAsia="宋体"/>
          <w:color w:val="auto"/>
          <w:sz w:val="21"/>
          <w:highlight w:val="none"/>
        </w:rPr>
        <w:t>5</w:t>
      </w:r>
      <w:r>
        <w:rPr>
          <w:rFonts w:hint="eastAsia" w:ascii="宋体"/>
          <w:color w:val="auto"/>
          <w:sz w:val="21"/>
          <w:highlight w:val="none"/>
        </w:rPr>
        <w:t>人，</w:t>
      </w:r>
      <w:r>
        <w:rPr>
          <w:rFonts w:hint="eastAsia" w:ascii="宋体" w:eastAsia="宋体"/>
          <w:color w:val="auto"/>
          <w:sz w:val="21"/>
          <w:highlight w:val="none"/>
        </w:rPr>
        <w:t>以上人员</w:t>
      </w:r>
      <w:r>
        <w:rPr>
          <w:rFonts w:hint="eastAsia" w:ascii="宋体"/>
          <w:color w:val="auto"/>
          <w:sz w:val="21"/>
          <w:highlight w:val="none"/>
        </w:rPr>
        <w:t>必须享有高、低温补贴，工资必须每月按时发放。</w:t>
      </w:r>
      <w:r>
        <w:rPr>
          <w:rFonts w:ascii="宋体"/>
          <w:color w:val="auto"/>
          <w:sz w:val="21"/>
          <w:highlight w:val="none"/>
        </w:rPr>
        <w:t xml:space="preserve">    </w:t>
      </w:r>
    </w:p>
    <w:p w14:paraId="2636AF4D">
      <w:pPr>
        <w:snapToGrid w:val="0"/>
        <w:spacing w:line="360" w:lineRule="auto"/>
        <w:ind w:firstLine="420" w:firstLineChars="200"/>
        <w:rPr>
          <w:rFonts w:ascii="宋体"/>
          <w:color w:val="auto"/>
          <w:sz w:val="21"/>
          <w:highlight w:val="none"/>
        </w:rPr>
      </w:pPr>
      <w:r>
        <w:rPr>
          <w:rFonts w:ascii="宋体"/>
          <w:color w:val="auto"/>
          <w:sz w:val="21"/>
          <w:highlight w:val="none"/>
        </w:rPr>
        <w:t>2.2</w:t>
      </w:r>
      <w:r>
        <w:rPr>
          <w:rFonts w:hint="eastAsia" w:ascii="宋体"/>
          <w:color w:val="auto"/>
          <w:sz w:val="21"/>
          <w:highlight w:val="none"/>
        </w:rPr>
        <w:t>机械配备：须配备</w:t>
      </w:r>
      <w:r>
        <w:rPr>
          <w:rFonts w:hint="eastAsia" w:ascii="宋体" w:eastAsia="宋体"/>
          <w:color w:val="auto"/>
          <w:sz w:val="21"/>
          <w:highlight w:val="none"/>
          <w:lang w:eastAsia="zh-CN"/>
        </w:rPr>
        <w:t>载水量</w:t>
      </w:r>
      <w:r>
        <w:rPr>
          <w:rFonts w:ascii="宋体"/>
          <w:color w:val="auto"/>
          <w:sz w:val="21"/>
          <w:highlight w:val="none"/>
        </w:rPr>
        <w:t>7.5</w:t>
      </w:r>
      <w:r>
        <w:rPr>
          <w:rFonts w:hint="eastAsia" w:ascii="宋体"/>
          <w:color w:val="auto"/>
          <w:sz w:val="21"/>
          <w:highlight w:val="none"/>
        </w:rPr>
        <w:t>吨（含）以上洒水车</w:t>
      </w:r>
      <w:r>
        <w:rPr>
          <w:rFonts w:ascii="宋体"/>
          <w:color w:val="auto"/>
          <w:sz w:val="21"/>
          <w:highlight w:val="none"/>
        </w:rPr>
        <w:t xml:space="preserve"> 1 </w:t>
      </w:r>
      <w:r>
        <w:rPr>
          <w:rFonts w:hint="eastAsia" w:ascii="宋体"/>
          <w:color w:val="auto"/>
          <w:sz w:val="21"/>
          <w:highlight w:val="none"/>
        </w:rPr>
        <w:t>辆、日常巡查、养护作业车</w:t>
      </w:r>
      <w:r>
        <w:rPr>
          <w:rFonts w:ascii="宋体"/>
          <w:color w:val="auto"/>
          <w:sz w:val="21"/>
          <w:highlight w:val="none"/>
        </w:rPr>
        <w:t xml:space="preserve">1 </w:t>
      </w:r>
      <w:r>
        <w:rPr>
          <w:rFonts w:hint="eastAsia" w:ascii="宋体"/>
          <w:color w:val="auto"/>
          <w:sz w:val="21"/>
          <w:highlight w:val="none"/>
        </w:rPr>
        <w:t>辆、手提式绿蓠修剪机至少</w:t>
      </w:r>
      <w:r>
        <w:rPr>
          <w:rFonts w:ascii="宋体"/>
          <w:color w:val="auto"/>
          <w:sz w:val="21"/>
          <w:highlight w:val="none"/>
        </w:rPr>
        <w:t xml:space="preserve"> 3 </w:t>
      </w:r>
      <w:r>
        <w:rPr>
          <w:rFonts w:hint="eastAsia" w:ascii="宋体"/>
          <w:color w:val="auto"/>
          <w:sz w:val="21"/>
          <w:highlight w:val="none"/>
        </w:rPr>
        <w:t>台、</w:t>
      </w:r>
      <w:r>
        <w:rPr>
          <w:rFonts w:hint="eastAsia" w:ascii="宋体" w:eastAsia="宋体"/>
          <w:color w:val="auto"/>
          <w:sz w:val="21"/>
          <w:highlight w:val="none"/>
        </w:rPr>
        <w:t>高枝油锯3台、</w:t>
      </w:r>
      <w:r>
        <w:rPr>
          <w:rFonts w:hint="eastAsia" w:ascii="宋体"/>
          <w:color w:val="auto"/>
          <w:sz w:val="21"/>
          <w:highlight w:val="none"/>
        </w:rPr>
        <w:t>剪草设备</w:t>
      </w:r>
      <w:r>
        <w:rPr>
          <w:rFonts w:ascii="宋体"/>
          <w:color w:val="auto"/>
          <w:sz w:val="21"/>
          <w:highlight w:val="none"/>
        </w:rPr>
        <w:t xml:space="preserve"> 10 </w:t>
      </w:r>
      <w:r>
        <w:rPr>
          <w:rFonts w:hint="eastAsia" w:ascii="宋体"/>
          <w:color w:val="auto"/>
          <w:sz w:val="21"/>
          <w:highlight w:val="none"/>
        </w:rPr>
        <w:t>台、安全标志</w:t>
      </w:r>
      <w:r>
        <w:rPr>
          <w:rFonts w:ascii="宋体"/>
          <w:color w:val="auto"/>
          <w:sz w:val="21"/>
          <w:highlight w:val="none"/>
        </w:rPr>
        <w:t xml:space="preserve"> 20 </w:t>
      </w:r>
      <w:r>
        <w:rPr>
          <w:rFonts w:hint="eastAsia" w:ascii="宋体"/>
          <w:color w:val="auto"/>
          <w:sz w:val="21"/>
          <w:highlight w:val="none"/>
        </w:rPr>
        <w:t>套</w:t>
      </w:r>
      <w:r>
        <w:rPr>
          <w:rFonts w:hint="eastAsia" w:ascii="宋体" w:eastAsia="宋体"/>
          <w:b/>
          <w:bCs/>
          <w:color w:val="auto"/>
          <w:sz w:val="21"/>
          <w:highlight w:val="none"/>
          <w:lang w:val="en-US" w:eastAsia="zh-CN"/>
        </w:rPr>
        <w:t>(一套需包含锥形桶、警示牌）</w:t>
      </w:r>
      <w:r>
        <w:rPr>
          <w:rFonts w:hint="eastAsia" w:ascii="宋体"/>
          <w:color w:val="auto"/>
          <w:sz w:val="21"/>
          <w:highlight w:val="none"/>
        </w:rPr>
        <w:t>、安全标志服</w:t>
      </w:r>
      <w:r>
        <w:rPr>
          <w:rFonts w:ascii="宋体"/>
          <w:color w:val="auto"/>
          <w:sz w:val="21"/>
          <w:highlight w:val="none"/>
        </w:rPr>
        <w:t xml:space="preserve"> 20</w:t>
      </w:r>
      <w:r>
        <w:rPr>
          <w:rFonts w:hint="eastAsia" w:ascii="宋体"/>
          <w:color w:val="auto"/>
          <w:sz w:val="21"/>
          <w:highlight w:val="none"/>
        </w:rPr>
        <w:t>套等。</w:t>
      </w:r>
    </w:p>
    <w:p w14:paraId="2FBB41FB">
      <w:pPr>
        <w:snapToGrid w:val="0"/>
        <w:spacing w:line="360" w:lineRule="auto"/>
        <w:ind w:firstLine="412" w:firstLineChars="196"/>
        <w:rPr>
          <w:rFonts w:ascii="宋体"/>
          <w:b/>
          <w:color w:val="auto"/>
          <w:sz w:val="21"/>
          <w:highlight w:val="none"/>
        </w:rPr>
      </w:pPr>
      <w:r>
        <w:rPr>
          <w:rFonts w:ascii="宋体"/>
          <w:b/>
          <w:color w:val="auto"/>
          <w:sz w:val="21"/>
          <w:highlight w:val="none"/>
        </w:rPr>
        <w:t>3</w:t>
      </w:r>
      <w:r>
        <w:rPr>
          <w:rFonts w:hint="eastAsia" w:ascii="宋体"/>
          <w:b/>
          <w:color w:val="auto"/>
          <w:sz w:val="21"/>
          <w:highlight w:val="none"/>
        </w:rPr>
        <w:t>、制度、台账标准：</w:t>
      </w:r>
    </w:p>
    <w:p w14:paraId="0948236A">
      <w:pPr>
        <w:snapToGrid w:val="0"/>
        <w:spacing w:line="360" w:lineRule="auto"/>
        <w:ind w:firstLine="420" w:firstLineChars="200"/>
        <w:rPr>
          <w:rFonts w:ascii="宋体"/>
          <w:color w:val="auto"/>
          <w:sz w:val="21"/>
          <w:highlight w:val="none"/>
        </w:rPr>
      </w:pPr>
      <w:r>
        <w:rPr>
          <w:rFonts w:ascii="宋体"/>
          <w:color w:val="auto"/>
          <w:sz w:val="21"/>
          <w:highlight w:val="none"/>
        </w:rPr>
        <w:t>3.1</w:t>
      </w:r>
      <w:r>
        <w:rPr>
          <w:rFonts w:hint="eastAsia" w:ascii="宋体"/>
          <w:color w:val="auto"/>
          <w:sz w:val="21"/>
          <w:highlight w:val="none"/>
        </w:rPr>
        <w:t>道路绿化管理有制度、有计划，工作有规范的台帐。道路绿化地的基础资料、变更情况及时记录入档。</w:t>
      </w:r>
    </w:p>
    <w:p w14:paraId="44F46C3F">
      <w:pPr>
        <w:rPr>
          <w:rFonts w:ascii="宋体"/>
          <w:color w:val="auto"/>
          <w:sz w:val="21"/>
          <w:highlight w:val="none"/>
        </w:rPr>
      </w:pPr>
      <w:r>
        <w:rPr>
          <w:rFonts w:hint="eastAsia" w:ascii="宋体"/>
          <w:b/>
          <w:color w:val="auto"/>
          <w:sz w:val="21"/>
          <w:highlight w:val="none"/>
        </w:rPr>
        <w:t>四、其他标准：</w:t>
      </w:r>
    </w:p>
    <w:p w14:paraId="5CB9D0DB">
      <w:pPr>
        <w:spacing w:line="360" w:lineRule="auto"/>
        <w:ind w:firstLine="420" w:firstLineChars="200"/>
        <w:rPr>
          <w:color w:val="auto"/>
          <w:kern w:val="0"/>
          <w:sz w:val="21"/>
          <w:highlight w:val="none"/>
        </w:rPr>
      </w:pPr>
      <w:r>
        <w:rPr>
          <w:rFonts w:hint="eastAsia" w:ascii="宋体" w:hAnsi="宋体" w:cs="宋体"/>
          <w:color w:val="auto"/>
          <w:sz w:val="21"/>
          <w:highlight w:val="none"/>
        </w:rPr>
        <w:t>做好防台、防冻、抗雪等措施。遇灾害性天气及时组织进行抢扶，对危树及时修枝、加固等。</w:t>
      </w:r>
      <w:bookmarkStart w:id="95" w:name="_Toc468862529"/>
      <w:bookmarkStart w:id="96" w:name="_Toc454196092"/>
    </w:p>
    <w:bookmarkEnd w:id="95"/>
    <w:bookmarkEnd w:id="96"/>
    <w:p w14:paraId="2EB90DA1">
      <w:pPr>
        <w:snapToGrid w:val="0"/>
        <w:spacing w:line="360" w:lineRule="auto"/>
        <w:jc w:val="left"/>
        <w:rPr>
          <w:rFonts w:ascii="宋体" w:hAnsi="宋体"/>
          <w:b/>
          <w:color w:val="auto"/>
          <w:sz w:val="21"/>
          <w:szCs w:val="21"/>
          <w:highlight w:val="none"/>
        </w:rPr>
      </w:pPr>
    </w:p>
    <w:p w14:paraId="03E6AF1F">
      <w:pPr>
        <w:snapToGrid w:val="0"/>
        <w:spacing w:line="360" w:lineRule="auto"/>
        <w:jc w:val="left"/>
        <w:rPr>
          <w:rFonts w:ascii="宋体"/>
          <w:color w:val="auto"/>
          <w:sz w:val="21"/>
          <w:highlight w:val="none"/>
        </w:rPr>
      </w:pPr>
      <w:r>
        <w:rPr>
          <w:rFonts w:hint="eastAsia" w:ascii="宋体" w:hAnsi="宋体"/>
          <w:b/>
          <w:color w:val="auto"/>
          <w:sz w:val="21"/>
          <w:szCs w:val="21"/>
          <w:highlight w:val="none"/>
        </w:rPr>
        <w:t>附件</w:t>
      </w:r>
      <w:r>
        <w:rPr>
          <w:rFonts w:ascii="宋体" w:hAnsi="宋体"/>
          <w:b/>
          <w:color w:val="auto"/>
          <w:sz w:val="21"/>
          <w:szCs w:val="21"/>
          <w:highlight w:val="none"/>
        </w:rPr>
        <w:t xml:space="preserve">2           </w:t>
      </w:r>
      <w:r>
        <w:rPr>
          <w:rFonts w:hint="eastAsia" w:ascii="宋体"/>
          <w:b/>
          <w:color w:val="auto"/>
          <w:highlight w:val="none"/>
        </w:rPr>
        <w:t>仙居县公路绿化养护管理考核办法</w:t>
      </w:r>
    </w:p>
    <w:p w14:paraId="68466FC4">
      <w:pPr>
        <w:snapToGrid w:val="0"/>
        <w:spacing w:line="360" w:lineRule="auto"/>
        <w:ind w:firstLine="420" w:firstLineChars="200"/>
        <w:rPr>
          <w:rFonts w:ascii="宋体"/>
          <w:b/>
          <w:color w:val="auto"/>
          <w:sz w:val="21"/>
          <w:highlight w:val="none"/>
        </w:rPr>
      </w:pPr>
      <w:r>
        <w:rPr>
          <w:rFonts w:hint="eastAsia" w:ascii="宋体"/>
          <w:b/>
          <w:color w:val="auto"/>
          <w:sz w:val="21"/>
          <w:highlight w:val="none"/>
        </w:rPr>
        <w:t>一、总则</w:t>
      </w:r>
    </w:p>
    <w:p w14:paraId="58D03F0C">
      <w:pPr>
        <w:snapToGrid w:val="0"/>
        <w:spacing w:line="360" w:lineRule="auto"/>
        <w:ind w:firstLine="420" w:firstLineChars="200"/>
        <w:rPr>
          <w:rFonts w:ascii="宋体"/>
          <w:color w:val="auto"/>
          <w:sz w:val="21"/>
          <w:highlight w:val="none"/>
        </w:rPr>
      </w:pPr>
      <w:r>
        <w:rPr>
          <w:rFonts w:ascii="宋体"/>
          <w:color w:val="auto"/>
          <w:sz w:val="21"/>
          <w:highlight w:val="none"/>
        </w:rPr>
        <w:t>1.</w:t>
      </w:r>
      <w:r>
        <w:rPr>
          <w:rFonts w:hint="eastAsia" w:ascii="宋体"/>
          <w:color w:val="auto"/>
          <w:sz w:val="21"/>
          <w:highlight w:val="none"/>
        </w:rPr>
        <w:t>为加强仙居县公路绿化管理，提高公路绿化养护质量和公路整体品位，根据《公路养护技术规范》《仙居县公路绿化养护质量标准》等相关文件要求，结合实际情况，特制订本办法。</w:t>
      </w:r>
    </w:p>
    <w:p w14:paraId="66F73265">
      <w:pPr>
        <w:snapToGrid w:val="0"/>
        <w:spacing w:line="360" w:lineRule="auto"/>
        <w:ind w:firstLine="420" w:firstLineChars="200"/>
        <w:rPr>
          <w:rFonts w:ascii="宋体"/>
          <w:color w:val="auto"/>
          <w:sz w:val="21"/>
          <w:highlight w:val="none"/>
        </w:rPr>
      </w:pPr>
      <w:r>
        <w:rPr>
          <w:rFonts w:ascii="宋体"/>
          <w:color w:val="auto"/>
          <w:sz w:val="21"/>
          <w:highlight w:val="none"/>
        </w:rPr>
        <w:t>2.</w:t>
      </w:r>
      <w:r>
        <w:rPr>
          <w:rFonts w:hint="eastAsia" w:ascii="宋体"/>
          <w:color w:val="auto"/>
          <w:sz w:val="21"/>
          <w:highlight w:val="none"/>
        </w:rPr>
        <w:t>本标准适用于仙居县域内所有公路绿化及公路服务站、局场地管理和养护等。</w:t>
      </w:r>
    </w:p>
    <w:p w14:paraId="3837502D">
      <w:pPr>
        <w:snapToGrid w:val="0"/>
        <w:spacing w:line="360" w:lineRule="auto"/>
        <w:ind w:firstLine="210" w:firstLineChars="100"/>
        <w:rPr>
          <w:rFonts w:ascii="宋体"/>
          <w:b/>
          <w:color w:val="auto"/>
          <w:sz w:val="21"/>
          <w:highlight w:val="none"/>
        </w:rPr>
      </w:pPr>
      <w:r>
        <w:rPr>
          <w:rFonts w:hint="eastAsia" w:ascii="宋体"/>
          <w:b/>
          <w:color w:val="auto"/>
          <w:sz w:val="21"/>
          <w:highlight w:val="none"/>
        </w:rPr>
        <w:t>二、考核办法</w:t>
      </w:r>
    </w:p>
    <w:p w14:paraId="0AEB8395">
      <w:pPr>
        <w:snapToGrid w:val="0"/>
        <w:spacing w:line="360" w:lineRule="auto"/>
        <w:ind w:firstLine="420" w:firstLineChars="200"/>
        <w:rPr>
          <w:rFonts w:ascii="宋体"/>
          <w:color w:val="auto"/>
          <w:sz w:val="21"/>
          <w:highlight w:val="none"/>
        </w:rPr>
      </w:pPr>
      <w:r>
        <w:rPr>
          <w:rFonts w:ascii="宋体"/>
          <w:color w:val="auto"/>
          <w:sz w:val="21"/>
          <w:highlight w:val="none"/>
        </w:rPr>
        <w:t>1.</w:t>
      </w:r>
      <w:r>
        <w:rPr>
          <w:rFonts w:hint="eastAsia" w:ascii="宋体"/>
          <w:color w:val="auto"/>
          <w:sz w:val="21"/>
          <w:highlight w:val="none"/>
        </w:rPr>
        <w:t>本办法采取定期和不定期两种方式对公路绿化管养质量进行考核。</w:t>
      </w:r>
    </w:p>
    <w:p w14:paraId="2FFDE7C7">
      <w:pPr>
        <w:snapToGrid w:val="0"/>
        <w:spacing w:line="360" w:lineRule="auto"/>
        <w:ind w:firstLine="420" w:firstLineChars="200"/>
        <w:rPr>
          <w:rFonts w:ascii="宋体"/>
          <w:color w:val="auto"/>
          <w:sz w:val="21"/>
          <w:highlight w:val="none"/>
        </w:rPr>
      </w:pPr>
      <w:r>
        <w:rPr>
          <w:rFonts w:ascii="宋体"/>
          <w:color w:val="auto"/>
          <w:sz w:val="21"/>
          <w:highlight w:val="none"/>
        </w:rPr>
        <w:t>2.</w:t>
      </w:r>
      <w:r>
        <w:rPr>
          <w:rFonts w:hint="eastAsia" w:ascii="宋体"/>
          <w:color w:val="auto"/>
          <w:sz w:val="21"/>
          <w:highlight w:val="none"/>
        </w:rPr>
        <w:t>责任科室每</w:t>
      </w:r>
      <w:r>
        <w:rPr>
          <w:rFonts w:hint="eastAsia" w:ascii="宋体" w:eastAsia="宋体"/>
          <w:color w:val="auto"/>
          <w:sz w:val="21"/>
          <w:highlight w:val="none"/>
        </w:rPr>
        <w:t>季</w:t>
      </w:r>
      <w:r>
        <w:rPr>
          <w:rFonts w:hint="eastAsia" w:ascii="宋体"/>
          <w:color w:val="auto"/>
          <w:sz w:val="21"/>
          <w:highlight w:val="none"/>
        </w:rPr>
        <w:t>考核不少于一次，并不定期对养护质量进行抽检考核，每次考核人员不得少于三人，取平均分确定考核结果，</w:t>
      </w:r>
      <w:r>
        <w:rPr>
          <w:rFonts w:hint="eastAsia" w:ascii="宋体" w:eastAsia="宋体"/>
          <w:color w:val="auto"/>
          <w:sz w:val="21"/>
          <w:highlight w:val="none"/>
        </w:rPr>
        <w:t>季</w:t>
      </w:r>
      <w:r>
        <w:rPr>
          <w:rFonts w:hint="eastAsia" w:ascii="宋体"/>
          <w:color w:val="auto"/>
          <w:sz w:val="21"/>
          <w:highlight w:val="none"/>
        </w:rPr>
        <w:t>末考核累计分值作为当</w:t>
      </w:r>
      <w:r>
        <w:rPr>
          <w:rFonts w:hint="eastAsia" w:ascii="宋体" w:eastAsia="宋体"/>
          <w:color w:val="auto"/>
          <w:sz w:val="21"/>
          <w:highlight w:val="none"/>
        </w:rPr>
        <w:t>季</w:t>
      </w:r>
      <w:r>
        <w:rPr>
          <w:rFonts w:hint="eastAsia" w:ascii="宋体"/>
          <w:color w:val="auto"/>
          <w:sz w:val="21"/>
          <w:highlight w:val="none"/>
        </w:rPr>
        <w:t>考核分。</w:t>
      </w:r>
    </w:p>
    <w:p w14:paraId="690F188B">
      <w:pPr>
        <w:snapToGrid w:val="0"/>
        <w:spacing w:line="360" w:lineRule="auto"/>
        <w:ind w:firstLine="420" w:firstLineChars="200"/>
        <w:rPr>
          <w:rFonts w:ascii="宋体"/>
          <w:b/>
          <w:color w:val="auto"/>
          <w:highlight w:val="none"/>
        </w:rPr>
      </w:pPr>
      <w:r>
        <w:rPr>
          <w:rFonts w:ascii="宋体"/>
          <w:color w:val="auto"/>
          <w:sz w:val="21"/>
          <w:highlight w:val="none"/>
        </w:rPr>
        <w:t>3.</w:t>
      </w:r>
      <w:r>
        <w:rPr>
          <w:rFonts w:hint="eastAsia" w:ascii="宋体"/>
          <w:color w:val="auto"/>
          <w:sz w:val="21"/>
          <w:highlight w:val="none"/>
        </w:rPr>
        <w:t>根据《仙居县公路绿化养护服务质量标准》进行绿化养护质量考核。</w:t>
      </w:r>
    </w:p>
    <w:p w14:paraId="708ADD35">
      <w:pPr>
        <w:snapToGrid w:val="0"/>
        <w:spacing w:line="360" w:lineRule="auto"/>
        <w:ind w:firstLine="420" w:firstLineChars="200"/>
        <w:rPr>
          <w:rFonts w:ascii="宋体"/>
          <w:color w:val="auto"/>
          <w:sz w:val="21"/>
          <w:highlight w:val="none"/>
        </w:rPr>
      </w:pPr>
      <w:r>
        <w:rPr>
          <w:rFonts w:ascii="宋体"/>
          <w:color w:val="auto"/>
          <w:sz w:val="21"/>
          <w:highlight w:val="none"/>
        </w:rPr>
        <w:t>4.</w:t>
      </w:r>
      <w:r>
        <w:rPr>
          <w:rFonts w:hint="eastAsia" w:ascii="宋体"/>
          <w:color w:val="auto"/>
          <w:sz w:val="21"/>
          <w:highlight w:val="none"/>
        </w:rPr>
        <w:t>养护经费按季度支付，由考核小组根据考评结果，提出付款建议，报领导审核批准后于下一季度上旬按合同规定拨付相应的管护经费。</w:t>
      </w:r>
    </w:p>
    <w:p w14:paraId="3F6B3E4F">
      <w:pPr>
        <w:snapToGrid w:val="0"/>
        <w:spacing w:line="360" w:lineRule="auto"/>
        <w:ind w:firstLine="420" w:firstLineChars="200"/>
        <w:jc w:val="left"/>
        <w:rPr>
          <w:rFonts w:ascii="宋体"/>
          <w:color w:val="auto"/>
          <w:sz w:val="21"/>
          <w:highlight w:val="none"/>
        </w:rPr>
      </w:pPr>
      <w:r>
        <w:rPr>
          <w:rFonts w:ascii="宋体"/>
          <w:color w:val="auto"/>
          <w:sz w:val="21"/>
          <w:highlight w:val="none"/>
        </w:rPr>
        <w:t>5.</w:t>
      </w:r>
      <w:r>
        <w:rPr>
          <w:rFonts w:hint="eastAsia" w:ascii="宋体"/>
          <w:color w:val="auto"/>
          <w:sz w:val="21"/>
          <w:highlight w:val="none"/>
        </w:rPr>
        <w:t>考核人员在考核中发现问题，向中标单位进行通报，发出整改通知书，中标单位应及时按要求整改。</w:t>
      </w:r>
    </w:p>
    <w:p w14:paraId="645FA0C4">
      <w:pPr>
        <w:snapToGrid w:val="0"/>
        <w:spacing w:line="360" w:lineRule="auto"/>
        <w:ind w:firstLine="420" w:firstLineChars="200"/>
        <w:jc w:val="left"/>
        <w:rPr>
          <w:rFonts w:ascii="宋体"/>
          <w:color w:val="auto"/>
          <w:sz w:val="21"/>
          <w:highlight w:val="none"/>
        </w:rPr>
      </w:pPr>
      <w:r>
        <w:rPr>
          <w:rFonts w:ascii="宋体"/>
          <w:color w:val="auto"/>
          <w:sz w:val="21"/>
          <w:highlight w:val="none"/>
        </w:rPr>
        <w:t>6.</w:t>
      </w:r>
      <w:r>
        <w:rPr>
          <w:rFonts w:hint="eastAsia" w:ascii="宋体"/>
          <w:color w:val="auto"/>
          <w:sz w:val="21"/>
          <w:highlight w:val="none"/>
        </w:rPr>
        <w:t>如遇重大活动，或上级部门要求突击完成某项工作，或业主交办的临时和应急突发任务，中标单位在接到通知后，应积极配合完成，并及时反馈。</w:t>
      </w:r>
    </w:p>
    <w:p w14:paraId="04677DE2">
      <w:pPr>
        <w:snapToGrid w:val="0"/>
        <w:spacing w:line="360" w:lineRule="auto"/>
        <w:rPr>
          <w:rFonts w:ascii="宋体"/>
          <w:b/>
          <w:color w:val="auto"/>
          <w:sz w:val="21"/>
          <w:highlight w:val="none"/>
        </w:rPr>
      </w:pPr>
      <w:r>
        <w:rPr>
          <w:rFonts w:hint="eastAsia" w:ascii="宋体"/>
          <w:b/>
          <w:color w:val="auto"/>
          <w:sz w:val="21"/>
          <w:highlight w:val="none"/>
        </w:rPr>
        <w:t>三、奖惩</w:t>
      </w:r>
    </w:p>
    <w:p w14:paraId="0B0DAA0A">
      <w:pPr>
        <w:snapToGrid w:val="0"/>
        <w:spacing w:line="360" w:lineRule="auto"/>
        <w:ind w:firstLine="420" w:firstLineChars="200"/>
        <w:rPr>
          <w:rFonts w:ascii="宋体"/>
          <w:color w:val="auto"/>
          <w:sz w:val="21"/>
          <w:highlight w:val="none"/>
        </w:rPr>
      </w:pPr>
      <w:r>
        <w:rPr>
          <w:rFonts w:ascii="宋体"/>
          <w:color w:val="auto"/>
          <w:sz w:val="21"/>
          <w:highlight w:val="none"/>
        </w:rPr>
        <w:t>1.</w:t>
      </w:r>
      <w:r>
        <w:rPr>
          <w:rFonts w:hint="eastAsia" w:ascii="宋体"/>
          <w:color w:val="auto"/>
          <w:kern w:val="0"/>
          <w:sz w:val="21"/>
          <w:highlight w:val="none"/>
        </w:rPr>
        <w:t>季度考核累计结果在</w:t>
      </w:r>
      <w:r>
        <w:rPr>
          <w:rFonts w:ascii="宋体"/>
          <w:color w:val="auto"/>
          <w:kern w:val="0"/>
          <w:sz w:val="21"/>
          <w:highlight w:val="none"/>
        </w:rPr>
        <w:t>90</w:t>
      </w:r>
      <w:r>
        <w:rPr>
          <w:rFonts w:hint="eastAsia" w:ascii="宋体"/>
          <w:color w:val="auto"/>
          <w:kern w:val="0"/>
          <w:sz w:val="21"/>
          <w:highlight w:val="none"/>
        </w:rPr>
        <w:t>（含）分以上的，全额支付该季度的管理养护经费；单次质量考核结果在</w:t>
      </w:r>
      <w:r>
        <w:rPr>
          <w:rFonts w:ascii="宋体"/>
          <w:color w:val="auto"/>
          <w:kern w:val="0"/>
          <w:sz w:val="21"/>
          <w:highlight w:val="none"/>
        </w:rPr>
        <w:t>80</w:t>
      </w:r>
      <w:r>
        <w:rPr>
          <w:rFonts w:hint="eastAsia" w:ascii="宋体"/>
          <w:color w:val="auto"/>
          <w:kern w:val="0"/>
          <w:sz w:val="21"/>
          <w:highlight w:val="none"/>
        </w:rPr>
        <w:t>分以上，</w:t>
      </w:r>
      <w:r>
        <w:rPr>
          <w:rFonts w:ascii="宋体"/>
          <w:color w:val="auto"/>
          <w:kern w:val="0"/>
          <w:sz w:val="21"/>
          <w:highlight w:val="none"/>
        </w:rPr>
        <w:t>90</w:t>
      </w:r>
      <w:r>
        <w:rPr>
          <w:rFonts w:hint="eastAsia" w:ascii="宋体"/>
          <w:color w:val="auto"/>
          <w:kern w:val="0"/>
          <w:sz w:val="21"/>
          <w:highlight w:val="none"/>
        </w:rPr>
        <w:t>分以下，为初级警告，扣除当</w:t>
      </w:r>
      <w:r>
        <w:rPr>
          <w:rFonts w:hint="eastAsia" w:ascii="宋体" w:eastAsia="宋体"/>
          <w:color w:val="auto"/>
          <w:kern w:val="0"/>
          <w:sz w:val="21"/>
          <w:highlight w:val="none"/>
        </w:rPr>
        <w:t>季</w:t>
      </w:r>
      <w:r>
        <w:rPr>
          <w:rFonts w:hint="eastAsia" w:ascii="宋体"/>
          <w:color w:val="auto"/>
          <w:kern w:val="0"/>
          <w:sz w:val="21"/>
          <w:highlight w:val="none"/>
        </w:rPr>
        <w:t>管理养护费</w:t>
      </w:r>
      <w:r>
        <w:rPr>
          <w:rFonts w:ascii="宋体"/>
          <w:color w:val="auto"/>
          <w:kern w:val="0"/>
          <w:sz w:val="21"/>
          <w:highlight w:val="none"/>
        </w:rPr>
        <w:t>10%</w:t>
      </w:r>
      <w:r>
        <w:rPr>
          <w:rFonts w:hint="eastAsia" w:ascii="宋体"/>
          <w:color w:val="auto"/>
          <w:kern w:val="0"/>
          <w:sz w:val="21"/>
          <w:highlight w:val="none"/>
        </w:rPr>
        <w:t>，并责令整改；单次质量考核结果在</w:t>
      </w:r>
      <w:r>
        <w:rPr>
          <w:rFonts w:ascii="宋体"/>
          <w:color w:val="auto"/>
          <w:kern w:val="0"/>
          <w:sz w:val="21"/>
          <w:highlight w:val="none"/>
        </w:rPr>
        <w:t>70</w:t>
      </w:r>
      <w:r>
        <w:rPr>
          <w:rFonts w:hint="eastAsia" w:ascii="宋体"/>
          <w:color w:val="auto"/>
          <w:kern w:val="0"/>
          <w:sz w:val="21"/>
          <w:highlight w:val="none"/>
        </w:rPr>
        <w:t>分以上，</w:t>
      </w:r>
      <w:r>
        <w:rPr>
          <w:rFonts w:ascii="宋体"/>
          <w:color w:val="auto"/>
          <w:kern w:val="0"/>
          <w:sz w:val="21"/>
          <w:highlight w:val="none"/>
        </w:rPr>
        <w:t>80</w:t>
      </w:r>
      <w:r>
        <w:rPr>
          <w:rFonts w:hint="eastAsia" w:ascii="宋体"/>
          <w:color w:val="auto"/>
          <w:kern w:val="0"/>
          <w:sz w:val="21"/>
          <w:highlight w:val="none"/>
        </w:rPr>
        <w:t>分以下，为二级警告，扣除当</w:t>
      </w:r>
      <w:r>
        <w:rPr>
          <w:rFonts w:hint="eastAsia" w:ascii="宋体" w:eastAsia="宋体"/>
          <w:color w:val="auto"/>
          <w:kern w:val="0"/>
          <w:sz w:val="21"/>
          <w:highlight w:val="none"/>
        </w:rPr>
        <w:t>季</w:t>
      </w:r>
      <w:r>
        <w:rPr>
          <w:rFonts w:hint="eastAsia" w:ascii="宋体"/>
          <w:color w:val="auto"/>
          <w:kern w:val="0"/>
          <w:sz w:val="21"/>
          <w:highlight w:val="none"/>
        </w:rPr>
        <w:t>管理养护经费的</w:t>
      </w:r>
      <w:r>
        <w:rPr>
          <w:rFonts w:ascii="宋体"/>
          <w:color w:val="auto"/>
          <w:kern w:val="0"/>
          <w:sz w:val="21"/>
          <w:highlight w:val="none"/>
        </w:rPr>
        <w:t>20%</w:t>
      </w:r>
      <w:r>
        <w:rPr>
          <w:rFonts w:hint="eastAsia" w:ascii="宋体"/>
          <w:color w:val="auto"/>
          <w:kern w:val="0"/>
          <w:sz w:val="21"/>
          <w:highlight w:val="none"/>
        </w:rPr>
        <w:t>，并责令整改；单次质量考核结果在</w:t>
      </w:r>
      <w:r>
        <w:rPr>
          <w:rFonts w:ascii="宋体"/>
          <w:color w:val="auto"/>
          <w:kern w:val="0"/>
          <w:sz w:val="21"/>
          <w:highlight w:val="none"/>
        </w:rPr>
        <w:t>70</w:t>
      </w:r>
      <w:r>
        <w:rPr>
          <w:rFonts w:hint="eastAsia" w:ascii="宋体"/>
          <w:color w:val="auto"/>
          <w:kern w:val="0"/>
          <w:sz w:val="21"/>
          <w:highlight w:val="none"/>
        </w:rPr>
        <w:t>分以下或连续三次考核</w:t>
      </w:r>
      <w:r>
        <w:rPr>
          <w:rFonts w:ascii="宋体"/>
          <w:color w:val="auto"/>
          <w:kern w:val="0"/>
          <w:sz w:val="21"/>
          <w:highlight w:val="none"/>
        </w:rPr>
        <w:t>80</w:t>
      </w:r>
      <w:r>
        <w:rPr>
          <w:rFonts w:hint="eastAsia" w:ascii="宋体"/>
          <w:color w:val="auto"/>
          <w:kern w:val="0"/>
          <w:sz w:val="21"/>
          <w:highlight w:val="none"/>
        </w:rPr>
        <w:t>分（含）以下，采购人有权终止合同；每</w:t>
      </w:r>
      <w:r>
        <w:rPr>
          <w:rFonts w:hint="eastAsia" w:ascii="宋体" w:eastAsia="宋体"/>
          <w:color w:val="auto"/>
          <w:kern w:val="0"/>
          <w:sz w:val="21"/>
          <w:highlight w:val="none"/>
        </w:rPr>
        <w:t>季</w:t>
      </w:r>
      <w:r>
        <w:rPr>
          <w:rFonts w:hint="eastAsia" w:ascii="宋体"/>
          <w:color w:val="auto"/>
          <w:kern w:val="0"/>
          <w:sz w:val="21"/>
          <w:highlight w:val="none"/>
        </w:rPr>
        <w:t>定期考核一次，</w:t>
      </w:r>
      <w:r>
        <w:rPr>
          <w:rFonts w:hint="eastAsia" w:ascii="宋体" w:eastAsia="宋体"/>
          <w:color w:val="auto"/>
          <w:kern w:val="0"/>
          <w:sz w:val="21"/>
          <w:highlight w:val="none"/>
        </w:rPr>
        <w:t>并结合</w:t>
      </w:r>
      <w:r>
        <w:rPr>
          <w:rFonts w:hint="eastAsia" w:ascii="宋体"/>
          <w:color w:val="auto"/>
          <w:kern w:val="0"/>
          <w:sz w:val="21"/>
          <w:highlight w:val="none"/>
        </w:rPr>
        <w:t>不定期抽</w:t>
      </w:r>
      <w:r>
        <w:rPr>
          <w:rFonts w:hint="eastAsia" w:ascii="宋体" w:eastAsia="宋体"/>
          <w:color w:val="auto"/>
          <w:kern w:val="0"/>
          <w:sz w:val="21"/>
          <w:highlight w:val="none"/>
        </w:rPr>
        <w:t>查结果</w:t>
      </w:r>
      <w:r>
        <w:rPr>
          <w:rFonts w:hint="eastAsia" w:ascii="宋体"/>
          <w:color w:val="auto"/>
          <w:kern w:val="0"/>
          <w:sz w:val="21"/>
          <w:highlight w:val="none"/>
        </w:rPr>
        <w:t>汇总一次</w:t>
      </w:r>
      <w:r>
        <w:rPr>
          <w:rFonts w:hint="eastAsia" w:ascii="宋体"/>
          <w:color w:val="auto"/>
          <w:sz w:val="21"/>
          <w:highlight w:val="none"/>
        </w:rPr>
        <w:t>。</w:t>
      </w:r>
    </w:p>
    <w:p w14:paraId="32F9B861">
      <w:pPr>
        <w:snapToGrid w:val="0"/>
        <w:spacing w:line="360" w:lineRule="auto"/>
        <w:ind w:left="209" w:leftChars="58" w:firstLine="210" w:firstLineChars="100"/>
        <w:rPr>
          <w:rFonts w:ascii="宋体"/>
          <w:color w:val="auto"/>
          <w:sz w:val="21"/>
          <w:highlight w:val="none"/>
        </w:rPr>
      </w:pPr>
      <w:r>
        <w:rPr>
          <w:rFonts w:ascii="宋体"/>
          <w:color w:val="auto"/>
          <w:sz w:val="21"/>
          <w:highlight w:val="none"/>
        </w:rPr>
        <w:t>2.</w:t>
      </w:r>
      <w:r>
        <w:rPr>
          <w:rFonts w:hint="eastAsia" w:ascii="宋体"/>
          <w:color w:val="auto"/>
          <w:sz w:val="21"/>
          <w:highlight w:val="none"/>
        </w:rPr>
        <w:t>养护单位须按《仙居县公路绿化养护服务质量标准》所规定的配备绿化管护人员不少于  人，专业绿化职称（具有园林绿化工程师及以上）管理人员</w:t>
      </w:r>
      <w:r>
        <w:rPr>
          <w:rFonts w:ascii="宋体"/>
          <w:color w:val="auto"/>
          <w:sz w:val="21"/>
          <w:highlight w:val="none"/>
        </w:rPr>
        <w:t>1</w:t>
      </w:r>
      <w:r>
        <w:rPr>
          <w:rFonts w:hint="eastAsia" w:ascii="宋体"/>
          <w:color w:val="auto"/>
          <w:sz w:val="21"/>
          <w:highlight w:val="none"/>
        </w:rPr>
        <w:t>人；检查中发现管护人员缺少</w:t>
      </w:r>
      <w:r>
        <w:rPr>
          <w:rFonts w:ascii="宋体"/>
          <w:color w:val="auto"/>
          <w:sz w:val="21"/>
          <w:highlight w:val="none"/>
        </w:rPr>
        <w:t>1</w:t>
      </w:r>
      <w:r>
        <w:rPr>
          <w:rFonts w:hint="eastAsia" w:ascii="宋体"/>
          <w:color w:val="auto"/>
          <w:sz w:val="21"/>
          <w:highlight w:val="none"/>
        </w:rPr>
        <w:t>人，从养护经费中扣除</w:t>
      </w:r>
      <w:r>
        <w:rPr>
          <w:rFonts w:ascii="宋体"/>
          <w:color w:val="auto"/>
          <w:sz w:val="21"/>
          <w:highlight w:val="none"/>
        </w:rPr>
        <w:t>200.00</w:t>
      </w:r>
      <w:r>
        <w:rPr>
          <w:rFonts w:hint="eastAsia" w:ascii="宋体"/>
          <w:color w:val="auto"/>
          <w:sz w:val="21"/>
          <w:highlight w:val="none"/>
        </w:rPr>
        <w:t>元</w:t>
      </w:r>
      <w:r>
        <w:rPr>
          <w:rFonts w:ascii="宋体"/>
          <w:color w:val="auto"/>
          <w:sz w:val="21"/>
          <w:highlight w:val="none"/>
        </w:rPr>
        <w:t>/</w:t>
      </w:r>
      <w:r>
        <w:rPr>
          <w:rFonts w:hint="eastAsia" w:ascii="宋体"/>
          <w:color w:val="auto"/>
          <w:sz w:val="21"/>
          <w:highlight w:val="none"/>
        </w:rPr>
        <w:t>天。管理人员缺少</w:t>
      </w:r>
      <w:r>
        <w:rPr>
          <w:rFonts w:ascii="宋体"/>
          <w:color w:val="auto"/>
          <w:sz w:val="21"/>
          <w:highlight w:val="none"/>
        </w:rPr>
        <w:t>1</w:t>
      </w:r>
      <w:r>
        <w:rPr>
          <w:rFonts w:hint="eastAsia" w:ascii="宋体"/>
          <w:color w:val="auto"/>
          <w:sz w:val="21"/>
          <w:highlight w:val="none"/>
        </w:rPr>
        <w:t>人，从养护经费中扣除</w:t>
      </w:r>
      <w:r>
        <w:rPr>
          <w:rFonts w:ascii="宋体"/>
          <w:color w:val="auto"/>
          <w:sz w:val="21"/>
          <w:highlight w:val="none"/>
        </w:rPr>
        <w:t>500.00</w:t>
      </w:r>
      <w:r>
        <w:rPr>
          <w:rFonts w:hint="eastAsia" w:ascii="宋体"/>
          <w:color w:val="auto"/>
          <w:sz w:val="21"/>
          <w:highlight w:val="none"/>
        </w:rPr>
        <w:t>元</w:t>
      </w:r>
      <w:r>
        <w:rPr>
          <w:rFonts w:ascii="宋体"/>
          <w:color w:val="auto"/>
          <w:sz w:val="21"/>
          <w:highlight w:val="none"/>
        </w:rPr>
        <w:t>/</w:t>
      </w:r>
      <w:r>
        <w:rPr>
          <w:rFonts w:hint="eastAsia" w:ascii="宋体"/>
          <w:color w:val="auto"/>
          <w:sz w:val="21"/>
          <w:highlight w:val="none"/>
        </w:rPr>
        <w:t>天。因故暂时造成在岗人数不足的，在缺人</w:t>
      </w:r>
      <w:r>
        <w:rPr>
          <w:rFonts w:ascii="宋体"/>
          <w:color w:val="auto"/>
          <w:sz w:val="21"/>
          <w:highlight w:val="none"/>
        </w:rPr>
        <w:t>5</w:t>
      </w:r>
      <w:r>
        <w:rPr>
          <w:rFonts w:hint="eastAsia" w:ascii="宋体"/>
          <w:color w:val="auto"/>
          <w:sz w:val="21"/>
          <w:highlight w:val="none"/>
        </w:rPr>
        <w:t>个工作日后仍未有新人到岗的，从养护经费中扣除3000.00元/月。缺少管理人员的，从养护经费中扣除10000.00元/月。</w:t>
      </w:r>
    </w:p>
    <w:p w14:paraId="5372980F">
      <w:pPr>
        <w:snapToGrid w:val="0"/>
        <w:spacing w:line="360" w:lineRule="auto"/>
        <w:ind w:firstLine="420" w:firstLineChars="200"/>
        <w:rPr>
          <w:rFonts w:ascii="宋体"/>
          <w:color w:val="auto"/>
          <w:sz w:val="21"/>
          <w:highlight w:val="none"/>
        </w:rPr>
      </w:pPr>
      <w:r>
        <w:rPr>
          <w:rFonts w:hint="eastAsia" w:ascii="宋体"/>
          <w:color w:val="auto"/>
          <w:sz w:val="21"/>
          <w:highlight w:val="none"/>
        </w:rPr>
        <w:t>3.其它奖惩详见《仙居县公路绿化养护考核表》。</w:t>
      </w:r>
    </w:p>
    <w:p w14:paraId="4CDFBB55">
      <w:pPr>
        <w:snapToGrid w:val="0"/>
        <w:spacing w:line="360" w:lineRule="auto"/>
        <w:ind w:left="3072" w:hanging="3061" w:hangingChars="850"/>
        <w:jc w:val="left"/>
        <w:rPr>
          <w:rFonts w:ascii="宋体"/>
          <w:b/>
          <w:color w:val="auto"/>
          <w:highlight w:val="none"/>
        </w:rPr>
      </w:pPr>
    </w:p>
    <w:p w14:paraId="01B1319B">
      <w:pPr>
        <w:snapToGrid w:val="0"/>
        <w:spacing w:line="360" w:lineRule="auto"/>
        <w:ind w:left="3072" w:hanging="3061" w:hangingChars="850"/>
        <w:jc w:val="left"/>
        <w:rPr>
          <w:rFonts w:ascii="宋体"/>
          <w:b/>
          <w:color w:val="auto"/>
          <w:highlight w:val="none"/>
        </w:rPr>
      </w:pPr>
    </w:p>
    <w:p w14:paraId="5F19813D">
      <w:pPr>
        <w:pStyle w:val="3"/>
        <w:ind w:left="720"/>
        <w:rPr>
          <w:color w:val="auto"/>
          <w:highlight w:val="none"/>
        </w:rPr>
      </w:pPr>
    </w:p>
    <w:p w14:paraId="44E124BC">
      <w:pPr>
        <w:snapToGrid w:val="0"/>
        <w:spacing w:line="360" w:lineRule="auto"/>
        <w:jc w:val="left"/>
        <w:rPr>
          <w:rFonts w:ascii="宋体"/>
          <w:color w:val="auto"/>
          <w:sz w:val="21"/>
          <w:highlight w:val="none"/>
        </w:rPr>
      </w:pPr>
      <w:r>
        <w:rPr>
          <w:rFonts w:hint="eastAsia" w:ascii="宋体" w:hAnsi="宋体"/>
          <w:b/>
          <w:color w:val="auto"/>
          <w:sz w:val="21"/>
          <w:szCs w:val="21"/>
          <w:highlight w:val="none"/>
        </w:rPr>
        <w:t>附件</w:t>
      </w:r>
      <w:r>
        <w:rPr>
          <w:rFonts w:ascii="宋体" w:hAnsi="宋体"/>
          <w:b/>
          <w:color w:val="auto"/>
          <w:sz w:val="21"/>
          <w:szCs w:val="21"/>
          <w:highlight w:val="none"/>
        </w:rPr>
        <w:t xml:space="preserve">3                </w:t>
      </w:r>
      <w:r>
        <w:rPr>
          <w:rFonts w:hint="eastAsia" w:ascii="宋体"/>
          <w:b/>
          <w:color w:val="auto"/>
          <w:highlight w:val="none"/>
        </w:rPr>
        <w:t>仙居县公路绿化养护考核表</w:t>
      </w:r>
    </w:p>
    <w:p w14:paraId="6042F3B3">
      <w:pPr>
        <w:snapToGrid w:val="0"/>
        <w:jc w:val="left"/>
        <w:rPr>
          <w:rFonts w:ascii="宋体"/>
          <w:color w:val="auto"/>
          <w:sz w:val="21"/>
          <w:highlight w:val="none"/>
        </w:rPr>
      </w:pPr>
      <w:r>
        <w:rPr>
          <w:rFonts w:hint="eastAsia" w:ascii="宋体"/>
          <w:color w:val="auto"/>
          <w:sz w:val="21"/>
          <w:highlight w:val="none"/>
        </w:rPr>
        <w:t>检查线路：</w:t>
      </w:r>
      <w:r>
        <w:rPr>
          <w:rFonts w:ascii="宋体"/>
          <w:color w:val="auto"/>
          <w:sz w:val="21"/>
          <w:highlight w:val="none"/>
        </w:rPr>
        <w:t xml:space="preserve">                                              </w:t>
      </w:r>
      <w:r>
        <w:rPr>
          <w:rFonts w:hint="eastAsia" w:ascii="宋体"/>
          <w:color w:val="auto"/>
          <w:sz w:val="21"/>
          <w:highlight w:val="none"/>
        </w:rPr>
        <w:t>考核时间：</w:t>
      </w:r>
    </w:p>
    <w:tbl>
      <w:tblPr>
        <w:tblStyle w:val="27"/>
        <w:tblpPr w:leftFromText="180" w:rightFromText="180" w:vertAnchor="text" w:horzAnchor="margin" w:tblpX="-68" w:tblpY="158"/>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
        <w:gridCol w:w="6272"/>
        <w:gridCol w:w="962"/>
        <w:gridCol w:w="1064"/>
      </w:tblGrid>
      <w:tr w14:paraId="7935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52" w:type="dxa"/>
          </w:tcPr>
          <w:p w14:paraId="1F7A52BF">
            <w:pPr>
              <w:spacing w:line="400" w:lineRule="exact"/>
              <w:jc w:val="center"/>
              <w:rPr>
                <w:rFonts w:ascii="宋体"/>
                <w:b/>
                <w:color w:val="auto"/>
                <w:sz w:val="18"/>
                <w:highlight w:val="none"/>
              </w:rPr>
            </w:pPr>
            <w:r>
              <w:rPr>
                <w:rFonts w:ascii="宋体"/>
                <w:b/>
                <w:color w:val="auto"/>
                <w:sz w:val="18"/>
                <w:highlight w:val="none"/>
              </w:rPr>
              <w:t xml:space="preserve"> </w:t>
            </w:r>
            <w:r>
              <w:rPr>
                <w:rFonts w:hint="eastAsia" w:ascii="宋体"/>
                <w:b/>
                <w:color w:val="auto"/>
                <w:sz w:val="18"/>
                <w:highlight w:val="none"/>
              </w:rPr>
              <w:t>项目</w:t>
            </w:r>
          </w:p>
        </w:tc>
        <w:tc>
          <w:tcPr>
            <w:tcW w:w="6280" w:type="dxa"/>
            <w:gridSpan w:val="2"/>
            <w:vAlign w:val="center"/>
          </w:tcPr>
          <w:p w14:paraId="079ECBE6">
            <w:pPr>
              <w:spacing w:line="400" w:lineRule="exact"/>
              <w:jc w:val="center"/>
              <w:rPr>
                <w:rFonts w:ascii="宋体"/>
                <w:b/>
                <w:color w:val="auto"/>
                <w:sz w:val="18"/>
                <w:highlight w:val="none"/>
              </w:rPr>
            </w:pPr>
            <w:r>
              <w:rPr>
                <w:rFonts w:hint="eastAsia" w:ascii="宋体"/>
                <w:b/>
                <w:color w:val="auto"/>
                <w:sz w:val="18"/>
                <w:highlight w:val="none"/>
              </w:rPr>
              <w:t>考核评分办法</w:t>
            </w:r>
          </w:p>
        </w:tc>
        <w:tc>
          <w:tcPr>
            <w:tcW w:w="962" w:type="dxa"/>
            <w:vAlign w:val="center"/>
          </w:tcPr>
          <w:p w14:paraId="214671D0">
            <w:pPr>
              <w:spacing w:line="400" w:lineRule="exact"/>
              <w:jc w:val="center"/>
              <w:rPr>
                <w:rFonts w:ascii="宋体"/>
                <w:b/>
                <w:color w:val="auto"/>
                <w:sz w:val="18"/>
                <w:highlight w:val="none"/>
              </w:rPr>
            </w:pPr>
            <w:r>
              <w:rPr>
                <w:rFonts w:hint="eastAsia" w:ascii="宋体"/>
                <w:b/>
                <w:color w:val="auto"/>
                <w:sz w:val="18"/>
                <w:highlight w:val="none"/>
              </w:rPr>
              <w:t>扣分</w:t>
            </w:r>
          </w:p>
        </w:tc>
        <w:tc>
          <w:tcPr>
            <w:tcW w:w="1064" w:type="dxa"/>
            <w:vAlign w:val="center"/>
          </w:tcPr>
          <w:p w14:paraId="1F3DEDD4">
            <w:pPr>
              <w:spacing w:line="400" w:lineRule="exact"/>
              <w:jc w:val="center"/>
              <w:rPr>
                <w:rFonts w:ascii="宋体"/>
                <w:b/>
                <w:color w:val="auto"/>
                <w:sz w:val="18"/>
                <w:highlight w:val="none"/>
              </w:rPr>
            </w:pPr>
            <w:r>
              <w:rPr>
                <w:rFonts w:hint="eastAsia" w:ascii="宋体"/>
                <w:b/>
                <w:color w:val="auto"/>
                <w:sz w:val="18"/>
                <w:highlight w:val="none"/>
              </w:rPr>
              <w:t>得分</w:t>
            </w:r>
          </w:p>
        </w:tc>
      </w:tr>
      <w:tr w14:paraId="05D9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52" w:type="dxa"/>
            <w:vMerge w:val="restart"/>
            <w:textDirection w:val="tbRlV"/>
            <w:vAlign w:val="center"/>
          </w:tcPr>
          <w:p w14:paraId="5D107A25">
            <w:pPr>
              <w:spacing w:line="300" w:lineRule="exact"/>
              <w:ind w:left="113" w:right="113"/>
              <w:jc w:val="center"/>
              <w:rPr>
                <w:rFonts w:ascii="宋体"/>
                <w:color w:val="auto"/>
                <w:sz w:val="21"/>
                <w:highlight w:val="none"/>
              </w:rPr>
            </w:pPr>
            <w:r>
              <w:rPr>
                <w:rFonts w:hint="eastAsia" w:ascii="宋体"/>
                <w:b/>
                <w:color w:val="auto"/>
                <w:sz w:val="21"/>
                <w:highlight w:val="none"/>
              </w:rPr>
              <w:t>（一）行道树、乔木养护（</w:t>
            </w:r>
            <w:r>
              <w:rPr>
                <w:rFonts w:ascii="宋体"/>
                <w:b/>
                <w:color w:val="auto"/>
                <w:sz w:val="21"/>
                <w:highlight w:val="none"/>
              </w:rPr>
              <w:t>30</w:t>
            </w:r>
            <w:r>
              <w:rPr>
                <w:rFonts w:hint="eastAsia" w:ascii="宋体"/>
                <w:b/>
                <w:color w:val="auto"/>
                <w:sz w:val="21"/>
                <w:highlight w:val="none"/>
              </w:rPr>
              <w:t>）</w:t>
            </w:r>
          </w:p>
        </w:tc>
        <w:tc>
          <w:tcPr>
            <w:tcW w:w="6280" w:type="dxa"/>
            <w:gridSpan w:val="2"/>
            <w:vAlign w:val="center"/>
          </w:tcPr>
          <w:p w14:paraId="50D1D20B">
            <w:pPr>
              <w:spacing w:line="300" w:lineRule="exact"/>
              <w:jc w:val="left"/>
              <w:rPr>
                <w:rFonts w:ascii="宋体"/>
                <w:color w:val="auto"/>
                <w:sz w:val="21"/>
                <w:highlight w:val="none"/>
              </w:rPr>
            </w:pPr>
            <w:r>
              <w:rPr>
                <w:rFonts w:ascii="宋体"/>
                <w:color w:val="auto"/>
                <w:sz w:val="18"/>
                <w:highlight w:val="none"/>
              </w:rPr>
              <w:t>1.</w:t>
            </w:r>
            <w:r>
              <w:rPr>
                <w:rFonts w:hint="eastAsia" w:ascii="宋体"/>
                <w:color w:val="auto"/>
                <w:sz w:val="18"/>
                <w:highlight w:val="none"/>
              </w:rPr>
              <w:t>未按要求做好行道树整枝，</w:t>
            </w:r>
            <w:r>
              <w:rPr>
                <w:rFonts w:ascii="宋体"/>
                <w:color w:val="auto"/>
                <w:sz w:val="18"/>
                <w:highlight w:val="none"/>
              </w:rPr>
              <w:t>(</w:t>
            </w:r>
            <w:r>
              <w:rPr>
                <w:rFonts w:hint="eastAsia" w:ascii="宋体"/>
                <w:color w:val="auto"/>
                <w:sz w:val="18"/>
                <w:highlight w:val="none"/>
              </w:rPr>
              <w:t>每年</w:t>
            </w:r>
            <w:r>
              <w:rPr>
                <w:rFonts w:ascii="宋体"/>
                <w:color w:val="auto"/>
                <w:sz w:val="18"/>
                <w:highlight w:val="none"/>
              </w:rPr>
              <w:t>1</w:t>
            </w:r>
            <w:r>
              <w:rPr>
                <w:rFonts w:hint="eastAsia" w:ascii="宋体"/>
                <w:color w:val="auto"/>
                <w:sz w:val="18"/>
                <w:highlight w:val="none"/>
              </w:rPr>
              <w:t>次</w:t>
            </w:r>
            <w:r>
              <w:rPr>
                <w:rFonts w:ascii="宋体"/>
                <w:color w:val="auto"/>
                <w:sz w:val="18"/>
                <w:highlight w:val="none"/>
              </w:rPr>
              <w:t>)</w:t>
            </w:r>
            <w:r>
              <w:rPr>
                <w:rFonts w:hint="eastAsia" w:ascii="宋体"/>
                <w:color w:val="auto"/>
                <w:sz w:val="18"/>
                <w:highlight w:val="none"/>
              </w:rPr>
              <w:t>工作，扣考核分</w:t>
            </w:r>
            <w:r>
              <w:rPr>
                <w:rFonts w:ascii="宋体"/>
                <w:color w:val="auto"/>
                <w:sz w:val="18"/>
                <w:highlight w:val="none"/>
              </w:rPr>
              <w:t>5</w:t>
            </w:r>
            <w:r>
              <w:rPr>
                <w:rFonts w:hint="eastAsia" w:ascii="宋体"/>
                <w:color w:val="auto"/>
                <w:sz w:val="18"/>
                <w:highlight w:val="none"/>
              </w:rPr>
              <w:t>分∕次；未按要求做好行道树抹芽</w:t>
            </w:r>
            <w:r>
              <w:rPr>
                <w:rFonts w:ascii="宋体"/>
                <w:color w:val="auto"/>
                <w:sz w:val="18"/>
                <w:highlight w:val="none"/>
              </w:rPr>
              <w:t>(</w:t>
            </w:r>
            <w:r>
              <w:rPr>
                <w:rFonts w:hint="eastAsia" w:ascii="宋体"/>
                <w:color w:val="auto"/>
                <w:sz w:val="18"/>
                <w:highlight w:val="none"/>
              </w:rPr>
              <w:t>每年</w:t>
            </w:r>
            <w:r>
              <w:rPr>
                <w:rFonts w:ascii="宋体"/>
                <w:color w:val="auto"/>
                <w:sz w:val="18"/>
                <w:highlight w:val="none"/>
              </w:rPr>
              <w:t>3</w:t>
            </w:r>
            <w:r>
              <w:rPr>
                <w:rFonts w:hint="eastAsia" w:ascii="宋体"/>
                <w:color w:val="auto"/>
                <w:sz w:val="18"/>
                <w:highlight w:val="none"/>
              </w:rPr>
              <w:t>－</w:t>
            </w:r>
            <w:r>
              <w:rPr>
                <w:rFonts w:ascii="宋体"/>
                <w:color w:val="auto"/>
                <w:sz w:val="18"/>
                <w:highlight w:val="none"/>
              </w:rPr>
              <w:t>4</w:t>
            </w:r>
            <w:r>
              <w:rPr>
                <w:rFonts w:hint="eastAsia" w:ascii="宋体"/>
                <w:color w:val="auto"/>
                <w:sz w:val="18"/>
                <w:highlight w:val="none"/>
              </w:rPr>
              <w:t>次</w:t>
            </w:r>
            <w:r>
              <w:rPr>
                <w:rFonts w:ascii="宋体"/>
                <w:color w:val="auto"/>
                <w:sz w:val="18"/>
                <w:highlight w:val="none"/>
              </w:rPr>
              <w:t>)</w:t>
            </w:r>
            <w:r>
              <w:rPr>
                <w:rFonts w:hint="eastAsia" w:ascii="宋体"/>
                <w:color w:val="auto"/>
                <w:sz w:val="18"/>
                <w:highlight w:val="none"/>
              </w:rPr>
              <w:t>、刷白</w:t>
            </w:r>
            <w:r>
              <w:rPr>
                <w:rFonts w:ascii="宋体"/>
                <w:color w:val="auto"/>
                <w:sz w:val="18"/>
                <w:highlight w:val="none"/>
              </w:rPr>
              <w:t>(</w:t>
            </w:r>
            <w:r>
              <w:rPr>
                <w:rFonts w:hint="eastAsia" w:ascii="宋体"/>
                <w:color w:val="auto"/>
                <w:sz w:val="18"/>
                <w:highlight w:val="none"/>
              </w:rPr>
              <w:t>每年</w:t>
            </w:r>
            <w:r>
              <w:rPr>
                <w:rFonts w:ascii="宋体"/>
                <w:color w:val="auto"/>
                <w:sz w:val="18"/>
                <w:highlight w:val="none"/>
              </w:rPr>
              <w:t>1</w:t>
            </w:r>
            <w:r>
              <w:rPr>
                <w:rFonts w:hint="eastAsia" w:ascii="宋体"/>
                <w:color w:val="auto"/>
                <w:sz w:val="18"/>
                <w:highlight w:val="none"/>
              </w:rPr>
              <w:t>次</w:t>
            </w:r>
            <w:r>
              <w:rPr>
                <w:rFonts w:ascii="宋体"/>
                <w:color w:val="auto"/>
                <w:sz w:val="18"/>
                <w:highlight w:val="none"/>
              </w:rPr>
              <w:t>)</w:t>
            </w:r>
            <w:r>
              <w:rPr>
                <w:rFonts w:hint="eastAsia" w:ascii="宋体"/>
                <w:color w:val="auto"/>
                <w:sz w:val="18"/>
                <w:highlight w:val="none"/>
              </w:rPr>
              <w:t>工作，并扣考核分</w:t>
            </w:r>
            <w:r>
              <w:rPr>
                <w:rFonts w:ascii="宋体"/>
                <w:color w:val="auto"/>
                <w:sz w:val="18"/>
                <w:highlight w:val="none"/>
              </w:rPr>
              <w:t>5</w:t>
            </w:r>
            <w:r>
              <w:rPr>
                <w:rFonts w:hint="eastAsia" w:ascii="宋体"/>
                <w:color w:val="auto"/>
                <w:sz w:val="18"/>
                <w:highlight w:val="none"/>
              </w:rPr>
              <w:t>分∕次；</w:t>
            </w:r>
            <w:r>
              <w:rPr>
                <w:rFonts w:hint="eastAsia" w:ascii="宋体"/>
                <w:color w:val="auto"/>
                <w:kern w:val="0"/>
                <w:sz w:val="18"/>
                <w:highlight w:val="none"/>
              </w:rPr>
              <w:t>行道树对公路标志遮挡未及时清理，</w:t>
            </w:r>
            <w:r>
              <w:rPr>
                <w:rFonts w:hint="eastAsia" w:ascii="宋体"/>
                <w:color w:val="auto"/>
                <w:sz w:val="18"/>
                <w:highlight w:val="none"/>
              </w:rPr>
              <w:t>扣考核分</w:t>
            </w:r>
            <w:r>
              <w:rPr>
                <w:rFonts w:ascii="宋体"/>
                <w:color w:val="auto"/>
                <w:sz w:val="18"/>
                <w:highlight w:val="none"/>
              </w:rPr>
              <w:t>1</w:t>
            </w:r>
            <w:r>
              <w:rPr>
                <w:rFonts w:hint="eastAsia" w:ascii="宋体"/>
                <w:color w:val="auto"/>
                <w:sz w:val="18"/>
                <w:highlight w:val="none"/>
              </w:rPr>
              <w:t>分∕处；扣完为止。</w:t>
            </w:r>
          </w:p>
        </w:tc>
        <w:tc>
          <w:tcPr>
            <w:tcW w:w="962" w:type="dxa"/>
            <w:vAlign w:val="center"/>
          </w:tcPr>
          <w:p w14:paraId="58BAFD3B">
            <w:pPr>
              <w:spacing w:line="300" w:lineRule="exact"/>
              <w:jc w:val="center"/>
              <w:rPr>
                <w:rFonts w:ascii="宋体"/>
                <w:color w:val="auto"/>
                <w:sz w:val="21"/>
                <w:highlight w:val="none"/>
              </w:rPr>
            </w:pPr>
          </w:p>
        </w:tc>
        <w:tc>
          <w:tcPr>
            <w:tcW w:w="1064" w:type="dxa"/>
            <w:vMerge w:val="restart"/>
          </w:tcPr>
          <w:p w14:paraId="67DA3295">
            <w:pPr>
              <w:spacing w:line="300" w:lineRule="exact"/>
              <w:jc w:val="center"/>
              <w:rPr>
                <w:rFonts w:ascii="宋体"/>
                <w:color w:val="auto"/>
                <w:sz w:val="21"/>
                <w:highlight w:val="none"/>
              </w:rPr>
            </w:pPr>
          </w:p>
        </w:tc>
      </w:tr>
      <w:tr w14:paraId="3243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2" w:type="dxa"/>
            <w:vMerge w:val="continue"/>
          </w:tcPr>
          <w:p w14:paraId="34C57F6C">
            <w:pPr>
              <w:spacing w:line="300" w:lineRule="exact"/>
              <w:rPr>
                <w:rFonts w:ascii="宋体"/>
                <w:color w:val="auto"/>
                <w:sz w:val="21"/>
                <w:highlight w:val="none"/>
              </w:rPr>
            </w:pPr>
          </w:p>
        </w:tc>
        <w:tc>
          <w:tcPr>
            <w:tcW w:w="6280" w:type="dxa"/>
            <w:gridSpan w:val="2"/>
            <w:vAlign w:val="center"/>
          </w:tcPr>
          <w:p w14:paraId="30F6D9BE">
            <w:pPr>
              <w:spacing w:line="300" w:lineRule="exact"/>
              <w:jc w:val="left"/>
              <w:rPr>
                <w:rFonts w:ascii="宋体"/>
                <w:color w:val="auto"/>
                <w:sz w:val="21"/>
                <w:highlight w:val="none"/>
              </w:rPr>
            </w:pPr>
            <w:r>
              <w:rPr>
                <w:rFonts w:ascii="宋体"/>
                <w:color w:val="auto"/>
                <w:sz w:val="18"/>
                <w:highlight w:val="none"/>
              </w:rPr>
              <w:t>2.</w:t>
            </w:r>
            <w:r>
              <w:rPr>
                <w:rFonts w:hint="eastAsia" w:ascii="宋体"/>
                <w:color w:val="auto"/>
                <w:sz w:val="18"/>
                <w:highlight w:val="none"/>
              </w:rPr>
              <w:t>树木未及时修剪，有病虫枝、徒长枝、枯枝、伤残枝、过密枝，该抹芽树种未及时抹芽扣</w:t>
            </w:r>
            <w:r>
              <w:rPr>
                <w:rFonts w:ascii="宋体"/>
                <w:color w:val="auto"/>
                <w:sz w:val="18"/>
                <w:highlight w:val="none"/>
              </w:rPr>
              <w:t>2-3</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株；修剪操作不规范，截口不平、拉皮，内膛过密、过度重剪等扣</w:t>
            </w:r>
            <w:r>
              <w:rPr>
                <w:rFonts w:ascii="宋体"/>
                <w:color w:val="auto"/>
                <w:sz w:val="18"/>
                <w:highlight w:val="none"/>
              </w:rPr>
              <w:t>1-2</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株；扣完为止。</w:t>
            </w:r>
          </w:p>
        </w:tc>
        <w:tc>
          <w:tcPr>
            <w:tcW w:w="962" w:type="dxa"/>
            <w:vAlign w:val="center"/>
          </w:tcPr>
          <w:p w14:paraId="48E3BE9C">
            <w:pPr>
              <w:spacing w:line="300" w:lineRule="exact"/>
              <w:jc w:val="center"/>
              <w:rPr>
                <w:rFonts w:ascii="宋体"/>
                <w:color w:val="auto"/>
                <w:sz w:val="21"/>
                <w:highlight w:val="none"/>
              </w:rPr>
            </w:pPr>
          </w:p>
        </w:tc>
        <w:tc>
          <w:tcPr>
            <w:tcW w:w="1064" w:type="dxa"/>
            <w:vMerge w:val="continue"/>
          </w:tcPr>
          <w:p w14:paraId="39F08287">
            <w:pPr>
              <w:spacing w:line="300" w:lineRule="exact"/>
              <w:jc w:val="center"/>
              <w:rPr>
                <w:rFonts w:ascii="宋体"/>
                <w:color w:val="auto"/>
                <w:sz w:val="21"/>
                <w:highlight w:val="none"/>
              </w:rPr>
            </w:pPr>
          </w:p>
        </w:tc>
      </w:tr>
      <w:tr w14:paraId="0B55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2" w:type="dxa"/>
            <w:vMerge w:val="continue"/>
          </w:tcPr>
          <w:p w14:paraId="0A8C9A52">
            <w:pPr>
              <w:spacing w:line="300" w:lineRule="exact"/>
              <w:rPr>
                <w:rFonts w:ascii="宋体"/>
                <w:color w:val="auto"/>
                <w:sz w:val="21"/>
                <w:highlight w:val="none"/>
              </w:rPr>
            </w:pPr>
          </w:p>
        </w:tc>
        <w:tc>
          <w:tcPr>
            <w:tcW w:w="6280" w:type="dxa"/>
            <w:gridSpan w:val="2"/>
            <w:vAlign w:val="center"/>
          </w:tcPr>
          <w:p w14:paraId="1AE5DDC6">
            <w:pPr>
              <w:spacing w:line="300" w:lineRule="exact"/>
              <w:jc w:val="left"/>
              <w:rPr>
                <w:rFonts w:ascii="宋体"/>
                <w:color w:val="auto"/>
                <w:sz w:val="21"/>
                <w:highlight w:val="none"/>
              </w:rPr>
            </w:pPr>
            <w:r>
              <w:rPr>
                <w:rFonts w:ascii="宋体"/>
                <w:color w:val="auto"/>
                <w:sz w:val="18"/>
                <w:highlight w:val="none"/>
              </w:rPr>
              <w:t>3.</w:t>
            </w:r>
            <w:r>
              <w:rPr>
                <w:rFonts w:hint="eastAsia" w:ascii="宋体"/>
                <w:color w:val="auto"/>
                <w:sz w:val="18"/>
                <w:highlight w:val="none"/>
              </w:rPr>
              <w:t>树木因缺水出现萎</w:t>
            </w:r>
            <w:r>
              <w:rPr>
                <w:rFonts w:hint="eastAsia" w:ascii="宋体"/>
                <w:color w:val="auto"/>
                <w:kern w:val="0"/>
                <w:sz w:val="18"/>
                <w:highlight w:val="none"/>
              </w:rPr>
              <w:t>蔫</w:t>
            </w:r>
            <w:r>
              <w:rPr>
                <w:rFonts w:hint="eastAsia" w:ascii="宋体"/>
                <w:color w:val="auto"/>
                <w:sz w:val="18"/>
                <w:highlight w:val="none"/>
              </w:rPr>
              <w:t>扣</w:t>
            </w:r>
            <w:r>
              <w:rPr>
                <w:rFonts w:ascii="宋体"/>
                <w:color w:val="auto"/>
                <w:sz w:val="18"/>
                <w:highlight w:val="none"/>
              </w:rPr>
              <w:t>1-2</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株；因缺肥导致树木叶黄叶长势不良的扣</w:t>
            </w:r>
            <w:r>
              <w:rPr>
                <w:rFonts w:ascii="宋体"/>
                <w:color w:val="auto"/>
                <w:sz w:val="18"/>
                <w:highlight w:val="none"/>
              </w:rPr>
              <w:t>1-2</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株，因施肥不当出现肥害的扣</w:t>
            </w:r>
            <w:r>
              <w:rPr>
                <w:rFonts w:ascii="宋体"/>
                <w:color w:val="auto"/>
                <w:sz w:val="18"/>
                <w:highlight w:val="none"/>
              </w:rPr>
              <w:t>1-2</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株；扣完为止。</w:t>
            </w:r>
          </w:p>
        </w:tc>
        <w:tc>
          <w:tcPr>
            <w:tcW w:w="962" w:type="dxa"/>
            <w:vAlign w:val="center"/>
          </w:tcPr>
          <w:p w14:paraId="50B315A5">
            <w:pPr>
              <w:spacing w:line="300" w:lineRule="exact"/>
              <w:jc w:val="center"/>
              <w:rPr>
                <w:rFonts w:ascii="宋体"/>
                <w:color w:val="auto"/>
                <w:sz w:val="21"/>
                <w:highlight w:val="none"/>
              </w:rPr>
            </w:pPr>
          </w:p>
        </w:tc>
        <w:tc>
          <w:tcPr>
            <w:tcW w:w="1064" w:type="dxa"/>
            <w:vMerge w:val="continue"/>
          </w:tcPr>
          <w:p w14:paraId="388B6993">
            <w:pPr>
              <w:spacing w:line="300" w:lineRule="exact"/>
              <w:jc w:val="center"/>
              <w:rPr>
                <w:rFonts w:ascii="宋体"/>
                <w:color w:val="auto"/>
                <w:sz w:val="21"/>
                <w:highlight w:val="none"/>
              </w:rPr>
            </w:pPr>
          </w:p>
        </w:tc>
      </w:tr>
      <w:tr w14:paraId="4945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52" w:type="dxa"/>
            <w:vMerge w:val="continue"/>
          </w:tcPr>
          <w:p w14:paraId="523DC9AF">
            <w:pPr>
              <w:spacing w:line="300" w:lineRule="exact"/>
              <w:rPr>
                <w:rFonts w:ascii="宋体"/>
                <w:color w:val="auto"/>
                <w:sz w:val="21"/>
                <w:highlight w:val="none"/>
              </w:rPr>
            </w:pPr>
          </w:p>
        </w:tc>
        <w:tc>
          <w:tcPr>
            <w:tcW w:w="6280" w:type="dxa"/>
            <w:gridSpan w:val="2"/>
            <w:vAlign w:val="center"/>
          </w:tcPr>
          <w:p w14:paraId="7A860FFB">
            <w:pPr>
              <w:spacing w:line="300" w:lineRule="exact"/>
              <w:jc w:val="left"/>
              <w:rPr>
                <w:rFonts w:ascii="宋体"/>
                <w:color w:val="auto"/>
                <w:sz w:val="21"/>
                <w:highlight w:val="none"/>
              </w:rPr>
            </w:pPr>
            <w:r>
              <w:rPr>
                <w:rFonts w:ascii="宋体"/>
                <w:color w:val="auto"/>
                <w:sz w:val="18"/>
                <w:highlight w:val="none"/>
              </w:rPr>
              <w:t>4.</w:t>
            </w:r>
            <w:r>
              <w:rPr>
                <w:rFonts w:hint="eastAsia" w:ascii="宋体"/>
                <w:color w:val="auto"/>
                <w:sz w:val="18"/>
                <w:highlight w:val="none"/>
              </w:rPr>
              <w:t>植株长势不良，树干歪斜或倒伏，按规格大小扣</w:t>
            </w:r>
            <w:r>
              <w:rPr>
                <w:rFonts w:ascii="宋体"/>
                <w:color w:val="auto"/>
                <w:sz w:val="18"/>
                <w:highlight w:val="none"/>
              </w:rPr>
              <w:t>0.5-1</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株。</w:t>
            </w:r>
          </w:p>
        </w:tc>
        <w:tc>
          <w:tcPr>
            <w:tcW w:w="962" w:type="dxa"/>
            <w:vAlign w:val="center"/>
          </w:tcPr>
          <w:p w14:paraId="45F21414">
            <w:pPr>
              <w:spacing w:line="300" w:lineRule="exact"/>
              <w:jc w:val="center"/>
              <w:rPr>
                <w:rFonts w:ascii="宋体"/>
                <w:color w:val="auto"/>
                <w:sz w:val="21"/>
                <w:highlight w:val="none"/>
              </w:rPr>
            </w:pPr>
          </w:p>
        </w:tc>
        <w:tc>
          <w:tcPr>
            <w:tcW w:w="1064" w:type="dxa"/>
            <w:vMerge w:val="continue"/>
          </w:tcPr>
          <w:p w14:paraId="2BA0CA9C">
            <w:pPr>
              <w:spacing w:line="300" w:lineRule="exact"/>
              <w:jc w:val="center"/>
              <w:rPr>
                <w:rFonts w:ascii="宋体"/>
                <w:color w:val="auto"/>
                <w:sz w:val="21"/>
                <w:highlight w:val="none"/>
              </w:rPr>
            </w:pPr>
          </w:p>
        </w:tc>
      </w:tr>
      <w:tr w14:paraId="1324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52" w:type="dxa"/>
            <w:vMerge w:val="continue"/>
          </w:tcPr>
          <w:p w14:paraId="6FA5EE7D">
            <w:pPr>
              <w:spacing w:line="300" w:lineRule="exact"/>
              <w:rPr>
                <w:rFonts w:ascii="宋体"/>
                <w:color w:val="auto"/>
                <w:sz w:val="21"/>
                <w:highlight w:val="none"/>
              </w:rPr>
            </w:pPr>
          </w:p>
        </w:tc>
        <w:tc>
          <w:tcPr>
            <w:tcW w:w="6280" w:type="dxa"/>
            <w:gridSpan w:val="2"/>
            <w:vAlign w:val="center"/>
          </w:tcPr>
          <w:p w14:paraId="4E51F7E7">
            <w:pPr>
              <w:spacing w:line="300" w:lineRule="exact"/>
              <w:jc w:val="left"/>
              <w:rPr>
                <w:rFonts w:ascii="宋体"/>
                <w:color w:val="auto"/>
                <w:sz w:val="21"/>
                <w:highlight w:val="none"/>
              </w:rPr>
            </w:pPr>
            <w:r>
              <w:rPr>
                <w:rFonts w:ascii="宋体"/>
                <w:color w:val="auto"/>
                <w:sz w:val="18"/>
                <w:highlight w:val="none"/>
              </w:rPr>
              <w:t>5.</w:t>
            </w:r>
            <w:r>
              <w:rPr>
                <w:rFonts w:hint="eastAsia" w:ascii="宋体"/>
                <w:color w:val="auto"/>
                <w:sz w:val="18"/>
                <w:highlight w:val="none"/>
              </w:rPr>
              <w:t>有明显病虫害未及时有效地处理扣</w:t>
            </w:r>
            <w:r>
              <w:rPr>
                <w:rFonts w:ascii="宋体"/>
                <w:color w:val="auto"/>
                <w:sz w:val="18"/>
                <w:highlight w:val="none"/>
              </w:rPr>
              <w:t>2-5</w:t>
            </w:r>
            <w:r>
              <w:rPr>
                <w:rFonts w:hint="eastAsia" w:ascii="宋体"/>
                <w:color w:val="auto"/>
                <w:sz w:val="18"/>
                <w:highlight w:val="none"/>
              </w:rPr>
              <w:t>分；扣完为止。</w:t>
            </w:r>
          </w:p>
        </w:tc>
        <w:tc>
          <w:tcPr>
            <w:tcW w:w="962" w:type="dxa"/>
            <w:vAlign w:val="center"/>
          </w:tcPr>
          <w:p w14:paraId="6CE27123">
            <w:pPr>
              <w:spacing w:line="300" w:lineRule="exact"/>
              <w:jc w:val="center"/>
              <w:rPr>
                <w:rFonts w:ascii="宋体"/>
                <w:color w:val="auto"/>
                <w:sz w:val="21"/>
                <w:highlight w:val="none"/>
              </w:rPr>
            </w:pPr>
          </w:p>
        </w:tc>
        <w:tc>
          <w:tcPr>
            <w:tcW w:w="1064" w:type="dxa"/>
            <w:vMerge w:val="continue"/>
          </w:tcPr>
          <w:p w14:paraId="266EE7C0">
            <w:pPr>
              <w:spacing w:line="300" w:lineRule="exact"/>
              <w:jc w:val="center"/>
              <w:rPr>
                <w:rFonts w:ascii="宋体"/>
                <w:color w:val="auto"/>
                <w:sz w:val="21"/>
                <w:highlight w:val="none"/>
              </w:rPr>
            </w:pPr>
          </w:p>
        </w:tc>
      </w:tr>
      <w:tr w14:paraId="7EB3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52" w:type="dxa"/>
            <w:vMerge w:val="restart"/>
            <w:textDirection w:val="tbRlV"/>
            <w:vAlign w:val="center"/>
          </w:tcPr>
          <w:p w14:paraId="7A4ECD4C">
            <w:pPr>
              <w:spacing w:line="300" w:lineRule="exact"/>
              <w:ind w:left="113" w:right="113"/>
              <w:jc w:val="center"/>
              <w:rPr>
                <w:rFonts w:ascii="宋体"/>
                <w:color w:val="auto"/>
                <w:sz w:val="21"/>
                <w:highlight w:val="none"/>
              </w:rPr>
            </w:pPr>
            <w:r>
              <w:rPr>
                <w:rFonts w:hint="eastAsia" w:ascii="宋体"/>
                <w:b/>
                <w:color w:val="auto"/>
                <w:sz w:val="21"/>
                <w:highlight w:val="none"/>
              </w:rPr>
              <w:t>（三）花灌木、地被植物养护（</w:t>
            </w:r>
            <w:r>
              <w:rPr>
                <w:rFonts w:ascii="宋体"/>
                <w:b/>
                <w:color w:val="auto"/>
                <w:sz w:val="21"/>
                <w:highlight w:val="none"/>
              </w:rPr>
              <w:t>40</w:t>
            </w:r>
            <w:r>
              <w:rPr>
                <w:rFonts w:hint="eastAsia" w:ascii="宋体"/>
                <w:b/>
                <w:color w:val="auto"/>
                <w:sz w:val="21"/>
                <w:highlight w:val="none"/>
              </w:rPr>
              <w:t>）</w:t>
            </w:r>
          </w:p>
        </w:tc>
        <w:tc>
          <w:tcPr>
            <w:tcW w:w="6280" w:type="dxa"/>
            <w:gridSpan w:val="2"/>
            <w:vAlign w:val="center"/>
          </w:tcPr>
          <w:p w14:paraId="0FAFDC4C">
            <w:pPr>
              <w:spacing w:line="300" w:lineRule="exact"/>
              <w:jc w:val="left"/>
              <w:rPr>
                <w:rFonts w:ascii="宋体"/>
                <w:color w:val="auto"/>
                <w:sz w:val="21"/>
                <w:highlight w:val="none"/>
              </w:rPr>
            </w:pPr>
            <w:r>
              <w:rPr>
                <w:rFonts w:ascii="宋体"/>
                <w:color w:val="auto"/>
                <w:sz w:val="18"/>
                <w:highlight w:val="none"/>
              </w:rPr>
              <w:t>1.</w:t>
            </w:r>
            <w:r>
              <w:rPr>
                <w:rFonts w:hint="eastAsia" w:ascii="宋体"/>
                <w:color w:val="auto"/>
                <w:sz w:val="18"/>
                <w:highlight w:val="none"/>
              </w:rPr>
              <w:t>因养护不当造成花灌木</w:t>
            </w:r>
            <w:r>
              <w:rPr>
                <w:rFonts w:hint="eastAsia" w:ascii="宋体"/>
                <w:color w:val="auto"/>
                <w:kern w:val="0"/>
                <w:sz w:val="18"/>
                <w:highlight w:val="none"/>
              </w:rPr>
              <w:t>、</w:t>
            </w:r>
            <w:r>
              <w:rPr>
                <w:rFonts w:hint="eastAsia" w:ascii="宋体"/>
                <w:color w:val="auto"/>
                <w:sz w:val="18"/>
                <w:highlight w:val="none"/>
              </w:rPr>
              <w:t>草坪长势不良</w:t>
            </w:r>
            <w:r>
              <w:rPr>
                <w:rFonts w:hint="eastAsia" w:ascii="宋体"/>
                <w:color w:val="auto"/>
                <w:kern w:val="0"/>
                <w:sz w:val="18"/>
                <w:highlight w:val="none"/>
              </w:rPr>
              <w:t>、</w:t>
            </w:r>
            <w:r>
              <w:rPr>
                <w:rFonts w:hint="eastAsia" w:ascii="宋体"/>
                <w:color w:val="auto"/>
                <w:sz w:val="18"/>
                <w:highlight w:val="none"/>
              </w:rPr>
              <w:t>缺株死株、绿地内黄土裸露，严重影响美观的扣</w:t>
            </w:r>
            <w:r>
              <w:rPr>
                <w:rFonts w:ascii="宋体"/>
                <w:color w:val="auto"/>
                <w:sz w:val="18"/>
                <w:highlight w:val="none"/>
              </w:rPr>
              <w:t>1</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㎡；扣完为止。</w:t>
            </w:r>
          </w:p>
        </w:tc>
        <w:tc>
          <w:tcPr>
            <w:tcW w:w="962" w:type="dxa"/>
            <w:vAlign w:val="center"/>
          </w:tcPr>
          <w:p w14:paraId="39884E00">
            <w:pPr>
              <w:spacing w:line="300" w:lineRule="exact"/>
              <w:jc w:val="center"/>
              <w:rPr>
                <w:rFonts w:ascii="宋体"/>
                <w:color w:val="auto"/>
                <w:sz w:val="21"/>
                <w:highlight w:val="none"/>
              </w:rPr>
            </w:pPr>
          </w:p>
        </w:tc>
        <w:tc>
          <w:tcPr>
            <w:tcW w:w="1064" w:type="dxa"/>
            <w:vMerge w:val="restart"/>
          </w:tcPr>
          <w:p w14:paraId="7512B7E7">
            <w:pPr>
              <w:spacing w:line="300" w:lineRule="exact"/>
              <w:jc w:val="center"/>
              <w:rPr>
                <w:rFonts w:ascii="宋体"/>
                <w:color w:val="auto"/>
                <w:sz w:val="21"/>
                <w:highlight w:val="none"/>
              </w:rPr>
            </w:pPr>
          </w:p>
        </w:tc>
      </w:tr>
      <w:tr w14:paraId="3EA3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2" w:type="dxa"/>
            <w:vMerge w:val="continue"/>
          </w:tcPr>
          <w:p w14:paraId="6F2FD455">
            <w:pPr>
              <w:spacing w:line="300" w:lineRule="exact"/>
              <w:ind w:firstLine="1"/>
              <w:jc w:val="center"/>
              <w:rPr>
                <w:rFonts w:ascii="宋体"/>
                <w:color w:val="auto"/>
                <w:sz w:val="21"/>
                <w:highlight w:val="none"/>
              </w:rPr>
            </w:pPr>
          </w:p>
        </w:tc>
        <w:tc>
          <w:tcPr>
            <w:tcW w:w="6280" w:type="dxa"/>
            <w:gridSpan w:val="2"/>
            <w:vAlign w:val="center"/>
          </w:tcPr>
          <w:p w14:paraId="766EF967">
            <w:pPr>
              <w:spacing w:line="300" w:lineRule="exact"/>
              <w:jc w:val="left"/>
              <w:rPr>
                <w:rFonts w:ascii="宋体"/>
                <w:color w:val="auto"/>
                <w:sz w:val="21"/>
                <w:highlight w:val="none"/>
              </w:rPr>
            </w:pPr>
            <w:r>
              <w:rPr>
                <w:rFonts w:ascii="宋体"/>
                <w:color w:val="auto"/>
                <w:sz w:val="18"/>
                <w:highlight w:val="none"/>
              </w:rPr>
              <w:t>2.</w:t>
            </w:r>
            <w:r>
              <w:rPr>
                <w:rFonts w:hint="eastAsia" w:ascii="宋体"/>
                <w:color w:val="auto"/>
                <w:sz w:val="18"/>
                <w:highlight w:val="none"/>
              </w:rPr>
              <w:t>绿化带</w:t>
            </w:r>
            <w:r>
              <w:rPr>
                <w:rFonts w:hint="eastAsia" w:ascii="宋体"/>
                <w:color w:val="auto"/>
                <w:kern w:val="0"/>
                <w:sz w:val="18"/>
                <w:highlight w:val="none"/>
              </w:rPr>
              <w:t>未及时修剪或未按照《整改通知书》要求整改的，扣</w:t>
            </w:r>
            <w:r>
              <w:rPr>
                <w:rFonts w:ascii="宋体"/>
                <w:color w:val="auto"/>
                <w:kern w:val="0"/>
                <w:sz w:val="18"/>
                <w:highlight w:val="none"/>
              </w:rPr>
              <w:t>500-1000</w:t>
            </w:r>
            <w:r>
              <w:rPr>
                <w:rFonts w:hint="eastAsia" w:ascii="宋体"/>
                <w:color w:val="auto"/>
                <w:kern w:val="0"/>
                <w:sz w:val="18"/>
                <w:highlight w:val="none"/>
              </w:rPr>
              <w:t>元</w:t>
            </w:r>
            <w:r>
              <w:rPr>
                <w:rFonts w:ascii="宋体"/>
                <w:color w:val="auto"/>
                <w:kern w:val="0"/>
                <w:sz w:val="18"/>
                <w:highlight w:val="none"/>
              </w:rPr>
              <w:t>/</w:t>
            </w:r>
            <w:r>
              <w:rPr>
                <w:rFonts w:hint="eastAsia" w:ascii="宋体"/>
                <w:color w:val="auto"/>
                <w:kern w:val="0"/>
                <w:sz w:val="18"/>
                <w:highlight w:val="none"/>
              </w:rPr>
              <w:t>次；</w:t>
            </w:r>
            <w:r>
              <w:rPr>
                <w:rFonts w:hint="eastAsia" w:ascii="宋体"/>
                <w:color w:val="auto"/>
                <w:sz w:val="18"/>
                <w:highlight w:val="none"/>
              </w:rPr>
              <w:t>灌木修剪不规范（篱面残留废弃枝叶、反季节重剪等），剪后严重影响景观；扣</w:t>
            </w:r>
            <w:r>
              <w:rPr>
                <w:rFonts w:ascii="宋体"/>
                <w:color w:val="auto"/>
                <w:sz w:val="18"/>
                <w:highlight w:val="none"/>
              </w:rPr>
              <w:t>1</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w:t>
            </w:r>
            <w:r>
              <w:rPr>
                <w:rFonts w:hint="eastAsia" w:ascii="宋体"/>
                <w:color w:val="auto"/>
                <w:kern w:val="0"/>
                <w:sz w:val="18"/>
                <w:highlight w:val="none"/>
              </w:rPr>
              <w:t>；色块轮廓不明显，层次不清，每</w:t>
            </w:r>
            <w:r>
              <w:rPr>
                <w:rFonts w:ascii="宋体"/>
                <w:color w:val="auto"/>
                <w:kern w:val="0"/>
                <w:sz w:val="18"/>
                <w:highlight w:val="none"/>
              </w:rPr>
              <w:t>100m</w:t>
            </w:r>
            <w:r>
              <w:rPr>
                <w:rFonts w:hint="eastAsia" w:ascii="宋体"/>
                <w:color w:val="auto"/>
                <w:kern w:val="0"/>
                <w:sz w:val="18"/>
                <w:highlight w:val="none"/>
              </w:rPr>
              <w:t>扣</w:t>
            </w:r>
            <w:r>
              <w:rPr>
                <w:rFonts w:ascii="宋体"/>
                <w:color w:val="auto"/>
                <w:kern w:val="0"/>
                <w:sz w:val="18"/>
                <w:highlight w:val="none"/>
              </w:rPr>
              <w:t>2</w:t>
            </w:r>
            <w:r>
              <w:rPr>
                <w:rFonts w:hint="eastAsia" w:ascii="宋体"/>
                <w:color w:val="auto"/>
                <w:kern w:val="0"/>
                <w:sz w:val="18"/>
                <w:highlight w:val="none"/>
              </w:rPr>
              <w:t>分；</w:t>
            </w:r>
            <w:r>
              <w:rPr>
                <w:rFonts w:hint="eastAsia" w:ascii="宋体"/>
                <w:color w:val="auto"/>
                <w:sz w:val="18"/>
                <w:highlight w:val="none"/>
              </w:rPr>
              <w:t>扣完为止。</w:t>
            </w:r>
            <w:r>
              <w:rPr>
                <w:rFonts w:ascii="宋体"/>
                <w:color w:val="auto"/>
                <w:sz w:val="21"/>
                <w:highlight w:val="none"/>
              </w:rPr>
              <w:t xml:space="preserve"> </w:t>
            </w:r>
          </w:p>
        </w:tc>
        <w:tc>
          <w:tcPr>
            <w:tcW w:w="962" w:type="dxa"/>
            <w:vAlign w:val="center"/>
          </w:tcPr>
          <w:p w14:paraId="44FEF409">
            <w:pPr>
              <w:spacing w:line="300" w:lineRule="exact"/>
              <w:jc w:val="center"/>
              <w:rPr>
                <w:rFonts w:ascii="宋体"/>
                <w:color w:val="auto"/>
                <w:sz w:val="21"/>
                <w:highlight w:val="none"/>
              </w:rPr>
            </w:pPr>
          </w:p>
        </w:tc>
        <w:tc>
          <w:tcPr>
            <w:tcW w:w="1064" w:type="dxa"/>
            <w:vMerge w:val="continue"/>
          </w:tcPr>
          <w:p w14:paraId="61DB60BD">
            <w:pPr>
              <w:spacing w:line="300" w:lineRule="exact"/>
              <w:jc w:val="center"/>
              <w:rPr>
                <w:rFonts w:ascii="宋体"/>
                <w:color w:val="auto"/>
                <w:sz w:val="21"/>
                <w:highlight w:val="none"/>
              </w:rPr>
            </w:pPr>
          </w:p>
        </w:tc>
      </w:tr>
      <w:tr w14:paraId="3224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2" w:type="dxa"/>
            <w:vMerge w:val="continue"/>
          </w:tcPr>
          <w:p w14:paraId="5AEE4BAD">
            <w:pPr>
              <w:spacing w:line="300" w:lineRule="exact"/>
              <w:ind w:firstLine="1"/>
              <w:jc w:val="center"/>
              <w:rPr>
                <w:rFonts w:ascii="宋体"/>
                <w:color w:val="auto"/>
                <w:sz w:val="21"/>
                <w:highlight w:val="none"/>
              </w:rPr>
            </w:pPr>
          </w:p>
        </w:tc>
        <w:tc>
          <w:tcPr>
            <w:tcW w:w="6280" w:type="dxa"/>
            <w:gridSpan w:val="2"/>
            <w:vAlign w:val="center"/>
          </w:tcPr>
          <w:p w14:paraId="1E77354A">
            <w:pPr>
              <w:spacing w:line="300" w:lineRule="exact"/>
              <w:jc w:val="left"/>
              <w:rPr>
                <w:rFonts w:ascii="宋体"/>
                <w:color w:val="auto"/>
                <w:sz w:val="21"/>
                <w:highlight w:val="none"/>
              </w:rPr>
            </w:pPr>
            <w:r>
              <w:rPr>
                <w:rFonts w:ascii="宋体"/>
                <w:color w:val="auto"/>
                <w:sz w:val="18"/>
                <w:highlight w:val="none"/>
              </w:rPr>
              <w:t>3.</w:t>
            </w:r>
            <w:r>
              <w:rPr>
                <w:rFonts w:hint="eastAsia" w:ascii="宋体"/>
                <w:color w:val="auto"/>
                <w:sz w:val="18"/>
                <w:highlight w:val="none"/>
              </w:rPr>
              <w:t>草坪修剪不及时，超过高度（冷季草</w:t>
            </w:r>
            <w:r>
              <w:rPr>
                <w:rFonts w:ascii="宋体"/>
                <w:color w:val="auto"/>
                <w:sz w:val="18"/>
                <w:highlight w:val="none"/>
              </w:rPr>
              <w:t>6</w:t>
            </w:r>
            <w:r>
              <w:rPr>
                <w:rFonts w:hint="eastAsia" w:ascii="宋体"/>
                <w:color w:val="auto"/>
                <w:sz w:val="18"/>
                <w:highlight w:val="none"/>
              </w:rPr>
              <w:t>㎝，暖季草</w:t>
            </w:r>
            <w:r>
              <w:rPr>
                <w:rFonts w:ascii="宋体"/>
                <w:color w:val="auto"/>
                <w:sz w:val="18"/>
                <w:highlight w:val="none"/>
              </w:rPr>
              <w:t>8</w:t>
            </w:r>
            <w:r>
              <w:rPr>
                <w:rFonts w:hint="eastAsia" w:ascii="宋体"/>
                <w:color w:val="auto"/>
                <w:sz w:val="18"/>
                <w:highlight w:val="none"/>
              </w:rPr>
              <w:t>㎝），扣</w:t>
            </w:r>
            <w:r>
              <w:rPr>
                <w:rFonts w:ascii="宋体"/>
                <w:color w:val="auto"/>
                <w:sz w:val="18"/>
                <w:highlight w:val="none"/>
              </w:rPr>
              <w:t>0.1</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㎡；草坪</w:t>
            </w:r>
            <w:r>
              <w:rPr>
                <w:rFonts w:hint="eastAsia" w:ascii="宋体"/>
                <w:color w:val="auto"/>
                <w:kern w:val="0"/>
                <w:sz w:val="18"/>
                <w:highlight w:val="none"/>
              </w:rPr>
              <w:t>修剪面不平整</w:t>
            </w:r>
            <w:r>
              <w:rPr>
                <w:rFonts w:hint="eastAsia" w:ascii="宋体"/>
                <w:color w:val="auto"/>
                <w:sz w:val="18"/>
                <w:highlight w:val="none"/>
              </w:rPr>
              <w:t>扣</w:t>
            </w:r>
            <w:r>
              <w:rPr>
                <w:rFonts w:ascii="宋体"/>
                <w:color w:val="auto"/>
                <w:sz w:val="18"/>
                <w:highlight w:val="none"/>
              </w:rPr>
              <w:t>0.1</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㎡；扣完为止。</w:t>
            </w:r>
          </w:p>
        </w:tc>
        <w:tc>
          <w:tcPr>
            <w:tcW w:w="962" w:type="dxa"/>
            <w:vAlign w:val="center"/>
          </w:tcPr>
          <w:p w14:paraId="4DD94D6F">
            <w:pPr>
              <w:spacing w:line="300" w:lineRule="exact"/>
              <w:jc w:val="center"/>
              <w:rPr>
                <w:rFonts w:ascii="宋体"/>
                <w:color w:val="auto"/>
                <w:sz w:val="21"/>
                <w:highlight w:val="none"/>
              </w:rPr>
            </w:pPr>
          </w:p>
        </w:tc>
        <w:tc>
          <w:tcPr>
            <w:tcW w:w="1064" w:type="dxa"/>
            <w:vMerge w:val="continue"/>
          </w:tcPr>
          <w:p w14:paraId="776226AA">
            <w:pPr>
              <w:spacing w:line="300" w:lineRule="exact"/>
              <w:jc w:val="center"/>
              <w:rPr>
                <w:rFonts w:ascii="宋体"/>
                <w:color w:val="auto"/>
                <w:sz w:val="21"/>
                <w:highlight w:val="none"/>
              </w:rPr>
            </w:pPr>
          </w:p>
        </w:tc>
      </w:tr>
      <w:tr w14:paraId="0653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2" w:type="dxa"/>
            <w:vMerge w:val="continue"/>
          </w:tcPr>
          <w:p w14:paraId="1B4D525A">
            <w:pPr>
              <w:spacing w:line="300" w:lineRule="exact"/>
              <w:ind w:firstLine="1"/>
              <w:jc w:val="center"/>
              <w:rPr>
                <w:rFonts w:ascii="宋体"/>
                <w:color w:val="auto"/>
                <w:kern w:val="0"/>
                <w:sz w:val="21"/>
                <w:highlight w:val="none"/>
              </w:rPr>
            </w:pPr>
          </w:p>
        </w:tc>
        <w:tc>
          <w:tcPr>
            <w:tcW w:w="6280" w:type="dxa"/>
            <w:gridSpan w:val="2"/>
            <w:vAlign w:val="center"/>
          </w:tcPr>
          <w:p w14:paraId="3A8428B1">
            <w:pPr>
              <w:spacing w:line="300" w:lineRule="exact"/>
              <w:jc w:val="left"/>
              <w:rPr>
                <w:rFonts w:ascii="宋体"/>
                <w:color w:val="auto"/>
                <w:sz w:val="21"/>
                <w:highlight w:val="none"/>
              </w:rPr>
            </w:pPr>
            <w:r>
              <w:rPr>
                <w:rFonts w:ascii="宋体"/>
                <w:color w:val="auto"/>
                <w:kern w:val="0"/>
                <w:sz w:val="18"/>
                <w:highlight w:val="none"/>
              </w:rPr>
              <w:t>4.</w:t>
            </w:r>
            <w:r>
              <w:rPr>
                <w:rFonts w:hint="eastAsia" w:ascii="宋体"/>
                <w:color w:val="auto"/>
                <w:kern w:val="0"/>
                <w:sz w:val="18"/>
                <w:highlight w:val="none"/>
              </w:rPr>
              <w:t>草坪及灌木内杂草高于灌木</w:t>
            </w:r>
            <w:r>
              <w:rPr>
                <w:rFonts w:ascii="宋体"/>
                <w:color w:val="auto"/>
                <w:kern w:val="0"/>
                <w:sz w:val="18"/>
                <w:highlight w:val="none"/>
              </w:rPr>
              <w:t>5cm</w:t>
            </w:r>
            <w:r>
              <w:rPr>
                <w:rFonts w:hint="eastAsia" w:ascii="宋体"/>
                <w:color w:val="auto"/>
                <w:kern w:val="0"/>
                <w:sz w:val="18"/>
                <w:highlight w:val="none"/>
              </w:rPr>
              <w:t>以上未及时清理的扣</w:t>
            </w:r>
            <w:r>
              <w:rPr>
                <w:rFonts w:ascii="宋体"/>
                <w:color w:val="auto"/>
                <w:kern w:val="0"/>
                <w:sz w:val="18"/>
                <w:highlight w:val="none"/>
              </w:rPr>
              <w:t>0.5</w:t>
            </w:r>
            <w:r>
              <w:rPr>
                <w:rFonts w:hint="eastAsia" w:ascii="宋体"/>
                <w:color w:val="auto"/>
                <w:kern w:val="0"/>
                <w:sz w:val="18"/>
                <w:highlight w:val="none"/>
              </w:rPr>
              <w:t>分</w:t>
            </w:r>
            <w:r>
              <w:rPr>
                <w:rFonts w:ascii="宋体"/>
                <w:color w:val="auto"/>
                <w:kern w:val="0"/>
                <w:sz w:val="18"/>
                <w:highlight w:val="none"/>
              </w:rPr>
              <w:t>/</w:t>
            </w:r>
            <w:r>
              <w:rPr>
                <w:rFonts w:hint="eastAsia" w:ascii="宋体"/>
                <w:color w:val="auto"/>
                <w:kern w:val="0"/>
                <w:sz w:val="18"/>
                <w:highlight w:val="none"/>
              </w:rPr>
              <w:t>㎡；省道路肩</w:t>
            </w:r>
            <w:r>
              <w:rPr>
                <w:rFonts w:hint="eastAsia" w:ascii="宋体"/>
                <w:color w:val="auto"/>
                <w:sz w:val="18"/>
                <w:highlight w:val="none"/>
              </w:rPr>
              <w:t>、边坡杂草高于</w:t>
            </w:r>
            <w:r>
              <w:rPr>
                <w:rFonts w:ascii="宋体"/>
                <w:color w:val="auto"/>
                <w:sz w:val="18"/>
                <w:highlight w:val="none"/>
              </w:rPr>
              <w:t>15cm</w:t>
            </w:r>
            <w:r>
              <w:rPr>
                <w:rFonts w:hint="eastAsia" w:ascii="宋体"/>
                <w:color w:val="auto"/>
                <w:sz w:val="18"/>
                <w:highlight w:val="none"/>
              </w:rPr>
              <w:t>未及时修剪的</w:t>
            </w:r>
            <w:r>
              <w:rPr>
                <w:rFonts w:hint="eastAsia" w:ascii="宋体"/>
                <w:color w:val="auto"/>
                <w:kern w:val="0"/>
                <w:sz w:val="18"/>
                <w:highlight w:val="none"/>
              </w:rPr>
              <w:t>扣</w:t>
            </w:r>
            <w:r>
              <w:rPr>
                <w:rFonts w:ascii="宋体"/>
                <w:color w:val="auto"/>
                <w:kern w:val="0"/>
                <w:sz w:val="18"/>
                <w:highlight w:val="none"/>
              </w:rPr>
              <w:t>0.5</w:t>
            </w:r>
            <w:r>
              <w:rPr>
                <w:rFonts w:hint="eastAsia" w:ascii="宋体"/>
                <w:color w:val="auto"/>
                <w:kern w:val="0"/>
                <w:sz w:val="18"/>
                <w:highlight w:val="none"/>
              </w:rPr>
              <w:t>分</w:t>
            </w:r>
            <w:r>
              <w:rPr>
                <w:rFonts w:ascii="宋体"/>
                <w:color w:val="auto"/>
                <w:kern w:val="0"/>
                <w:sz w:val="18"/>
                <w:highlight w:val="none"/>
              </w:rPr>
              <w:t>/</w:t>
            </w:r>
            <w:r>
              <w:rPr>
                <w:rFonts w:hint="eastAsia" w:ascii="宋体"/>
                <w:color w:val="auto"/>
                <w:kern w:val="0"/>
                <w:sz w:val="18"/>
                <w:highlight w:val="none"/>
              </w:rPr>
              <w:t>㎡；</w:t>
            </w:r>
            <w:r>
              <w:rPr>
                <w:rFonts w:hint="eastAsia" w:ascii="宋体"/>
                <w:color w:val="auto"/>
                <w:sz w:val="18"/>
                <w:highlight w:val="none"/>
              </w:rPr>
              <w:t>扣完为止</w:t>
            </w:r>
            <w:r>
              <w:rPr>
                <w:rFonts w:hint="eastAsia" w:ascii="宋体"/>
                <w:color w:val="auto"/>
                <w:kern w:val="0"/>
                <w:sz w:val="18"/>
                <w:highlight w:val="none"/>
              </w:rPr>
              <w:t>。</w:t>
            </w:r>
          </w:p>
        </w:tc>
        <w:tc>
          <w:tcPr>
            <w:tcW w:w="962" w:type="dxa"/>
            <w:vAlign w:val="center"/>
          </w:tcPr>
          <w:p w14:paraId="1AB3C71F">
            <w:pPr>
              <w:spacing w:line="300" w:lineRule="exact"/>
              <w:jc w:val="center"/>
              <w:rPr>
                <w:rFonts w:ascii="宋体"/>
                <w:color w:val="auto"/>
                <w:sz w:val="21"/>
                <w:highlight w:val="none"/>
              </w:rPr>
            </w:pPr>
          </w:p>
        </w:tc>
        <w:tc>
          <w:tcPr>
            <w:tcW w:w="1064" w:type="dxa"/>
            <w:vMerge w:val="continue"/>
          </w:tcPr>
          <w:p w14:paraId="7EBA0F21">
            <w:pPr>
              <w:spacing w:line="300" w:lineRule="exact"/>
              <w:jc w:val="center"/>
              <w:rPr>
                <w:rFonts w:ascii="宋体"/>
                <w:color w:val="auto"/>
                <w:sz w:val="21"/>
                <w:highlight w:val="none"/>
              </w:rPr>
            </w:pPr>
          </w:p>
        </w:tc>
      </w:tr>
      <w:tr w14:paraId="05D3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52" w:type="dxa"/>
            <w:vMerge w:val="continue"/>
          </w:tcPr>
          <w:p w14:paraId="42B495A8">
            <w:pPr>
              <w:spacing w:line="300" w:lineRule="exact"/>
              <w:rPr>
                <w:rFonts w:ascii="宋体"/>
                <w:color w:val="auto"/>
                <w:kern w:val="0"/>
                <w:sz w:val="21"/>
                <w:highlight w:val="none"/>
              </w:rPr>
            </w:pPr>
          </w:p>
        </w:tc>
        <w:tc>
          <w:tcPr>
            <w:tcW w:w="6280" w:type="dxa"/>
            <w:gridSpan w:val="2"/>
            <w:vAlign w:val="center"/>
          </w:tcPr>
          <w:p w14:paraId="6D57BD25">
            <w:pPr>
              <w:spacing w:line="300" w:lineRule="exact"/>
              <w:jc w:val="left"/>
              <w:rPr>
                <w:rFonts w:ascii="宋体"/>
                <w:color w:val="auto"/>
                <w:sz w:val="21"/>
                <w:highlight w:val="none"/>
              </w:rPr>
            </w:pPr>
            <w:r>
              <w:rPr>
                <w:rFonts w:ascii="宋体"/>
                <w:color w:val="auto"/>
                <w:kern w:val="0"/>
                <w:sz w:val="18"/>
                <w:highlight w:val="none"/>
              </w:rPr>
              <w:t>5.</w:t>
            </w:r>
            <w:r>
              <w:rPr>
                <w:rFonts w:hint="eastAsia" w:ascii="宋体"/>
                <w:color w:val="auto"/>
                <w:kern w:val="0"/>
                <w:sz w:val="18"/>
                <w:highlight w:val="none"/>
              </w:rPr>
              <w:t>因缺水出现灌木萎蔫每</w:t>
            </w:r>
            <w:r>
              <w:rPr>
                <w:rFonts w:ascii="宋体"/>
                <w:color w:val="auto"/>
                <w:kern w:val="0"/>
                <w:sz w:val="18"/>
                <w:highlight w:val="none"/>
              </w:rPr>
              <w:t>10</w:t>
            </w:r>
            <w:r>
              <w:rPr>
                <w:rFonts w:hint="eastAsia" w:ascii="宋体"/>
                <w:color w:val="auto"/>
                <w:kern w:val="0"/>
                <w:sz w:val="18"/>
                <w:highlight w:val="none"/>
              </w:rPr>
              <w:t>㎡扣</w:t>
            </w:r>
            <w:r>
              <w:rPr>
                <w:rFonts w:ascii="宋体"/>
                <w:color w:val="auto"/>
                <w:kern w:val="0"/>
                <w:sz w:val="18"/>
                <w:highlight w:val="none"/>
              </w:rPr>
              <w:t>1</w:t>
            </w:r>
            <w:r>
              <w:rPr>
                <w:rFonts w:hint="eastAsia" w:ascii="宋体"/>
                <w:color w:val="auto"/>
                <w:kern w:val="0"/>
                <w:sz w:val="18"/>
                <w:highlight w:val="none"/>
              </w:rPr>
              <w:t>分，草坪每</w:t>
            </w:r>
            <w:r>
              <w:rPr>
                <w:rFonts w:ascii="宋体"/>
                <w:color w:val="auto"/>
                <w:kern w:val="0"/>
                <w:sz w:val="18"/>
                <w:highlight w:val="none"/>
              </w:rPr>
              <w:t>10</w:t>
            </w:r>
            <w:r>
              <w:rPr>
                <w:rFonts w:hint="eastAsia" w:ascii="宋体"/>
                <w:color w:val="auto"/>
                <w:kern w:val="0"/>
                <w:sz w:val="18"/>
                <w:highlight w:val="none"/>
              </w:rPr>
              <w:t>㎡扣</w:t>
            </w:r>
            <w:r>
              <w:rPr>
                <w:rFonts w:ascii="宋体"/>
                <w:color w:val="auto"/>
                <w:kern w:val="0"/>
                <w:sz w:val="18"/>
                <w:highlight w:val="none"/>
              </w:rPr>
              <w:t>0.5</w:t>
            </w:r>
            <w:r>
              <w:rPr>
                <w:rFonts w:hint="eastAsia" w:ascii="宋体"/>
                <w:color w:val="auto"/>
                <w:kern w:val="0"/>
                <w:sz w:val="18"/>
                <w:highlight w:val="none"/>
              </w:rPr>
              <w:t>分，出现枯死乔木每株扣</w:t>
            </w:r>
            <w:r>
              <w:rPr>
                <w:rFonts w:ascii="宋体"/>
                <w:color w:val="auto"/>
                <w:kern w:val="0"/>
                <w:sz w:val="18"/>
                <w:highlight w:val="none"/>
              </w:rPr>
              <w:t>5</w:t>
            </w:r>
            <w:r>
              <w:rPr>
                <w:rFonts w:hint="eastAsia" w:ascii="宋体"/>
                <w:color w:val="auto"/>
                <w:kern w:val="0"/>
                <w:sz w:val="18"/>
                <w:highlight w:val="none"/>
              </w:rPr>
              <w:t>分，灌木每</w:t>
            </w:r>
            <w:r>
              <w:rPr>
                <w:rFonts w:ascii="宋体"/>
                <w:color w:val="auto"/>
                <w:kern w:val="0"/>
                <w:sz w:val="18"/>
                <w:highlight w:val="none"/>
              </w:rPr>
              <w:t>10</w:t>
            </w:r>
            <w:r>
              <w:rPr>
                <w:rFonts w:hint="eastAsia" w:ascii="宋体"/>
                <w:color w:val="auto"/>
                <w:kern w:val="0"/>
                <w:sz w:val="18"/>
                <w:highlight w:val="none"/>
              </w:rPr>
              <w:t>㎡扣</w:t>
            </w:r>
            <w:r>
              <w:rPr>
                <w:rFonts w:ascii="宋体"/>
                <w:color w:val="auto"/>
                <w:kern w:val="0"/>
                <w:sz w:val="18"/>
                <w:highlight w:val="none"/>
              </w:rPr>
              <w:t>3</w:t>
            </w:r>
            <w:r>
              <w:rPr>
                <w:rFonts w:hint="eastAsia" w:ascii="宋体"/>
                <w:color w:val="auto"/>
                <w:kern w:val="0"/>
                <w:sz w:val="18"/>
                <w:highlight w:val="none"/>
              </w:rPr>
              <w:t>分，草坪每</w:t>
            </w:r>
            <w:r>
              <w:rPr>
                <w:rFonts w:ascii="宋体"/>
                <w:color w:val="auto"/>
                <w:kern w:val="0"/>
                <w:sz w:val="18"/>
                <w:highlight w:val="none"/>
              </w:rPr>
              <w:t>10</w:t>
            </w:r>
            <w:r>
              <w:rPr>
                <w:rFonts w:hint="eastAsia" w:ascii="宋体"/>
                <w:color w:val="auto"/>
                <w:kern w:val="0"/>
                <w:sz w:val="18"/>
                <w:highlight w:val="none"/>
              </w:rPr>
              <w:t>㎡扣</w:t>
            </w:r>
            <w:r>
              <w:rPr>
                <w:rFonts w:ascii="宋体"/>
                <w:color w:val="auto"/>
                <w:kern w:val="0"/>
                <w:sz w:val="18"/>
                <w:highlight w:val="none"/>
              </w:rPr>
              <w:t>2</w:t>
            </w:r>
            <w:r>
              <w:rPr>
                <w:rFonts w:hint="eastAsia" w:ascii="宋体"/>
                <w:color w:val="auto"/>
                <w:kern w:val="0"/>
                <w:sz w:val="18"/>
                <w:highlight w:val="none"/>
              </w:rPr>
              <w:t>分；</w:t>
            </w:r>
            <w:r>
              <w:rPr>
                <w:rFonts w:hint="eastAsia" w:ascii="宋体"/>
                <w:color w:val="auto"/>
                <w:sz w:val="18"/>
                <w:highlight w:val="none"/>
              </w:rPr>
              <w:t>扣完为止</w:t>
            </w:r>
            <w:r>
              <w:rPr>
                <w:rFonts w:hint="eastAsia" w:ascii="宋体"/>
                <w:color w:val="auto"/>
                <w:kern w:val="0"/>
                <w:sz w:val="18"/>
                <w:highlight w:val="none"/>
              </w:rPr>
              <w:t>。</w:t>
            </w:r>
          </w:p>
        </w:tc>
        <w:tc>
          <w:tcPr>
            <w:tcW w:w="962" w:type="dxa"/>
            <w:vAlign w:val="center"/>
          </w:tcPr>
          <w:p w14:paraId="7670B4D7">
            <w:pPr>
              <w:spacing w:line="300" w:lineRule="exact"/>
              <w:jc w:val="center"/>
              <w:rPr>
                <w:rFonts w:ascii="宋体"/>
                <w:color w:val="auto"/>
                <w:sz w:val="21"/>
                <w:highlight w:val="none"/>
              </w:rPr>
            </w:pPr>
          </w:p>
        </w:tc>
        <w:tc>
          <w:tcPr>
            <w:tcW w:w="1064" w:type="dxa"/>
            <w:vMerge w:val="continue"/>
          </w:tcPr>
          <w:p w14:paraId="6B6BB5D4">
            <w:pPr>
              <w:spacing w:line="300" w:lineRule="exact"/>
              <w:jc w:val="center"/>
              <w:rPr>
                <w:rFonts w:ascii="宋体"/>
                <w:color w:val="auto"/>
                <w:sz w:val="21"/>
                <w:highlight w:val="none"/>
              </w:rPr>
            </w:pPr>
          </w:p>
        </w:tc>
      </w:tr>
      <w:tr w14:paraId="4550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52" w:type="dxa"/>
            <w:vMerge w:val="continue"/>
          </w:tcPr>
          <w:p w14:paraId="5F95D978">
            <w:pPr>
              <w:spacing w:line="300" w:lineRule="exact"/>
              <w:rPr>
                <w:rFonts w:ascii="宋体"/>
                <w:color w:val="auto"/>
                <w:kern w:val="0"/>
                <w:sz w:val="21"/>
                <w:highlight w:val="none"/>
              </w:rPr>
            </w:pPr>
          </w:p>
        </w:tc>
        <w:tc>
          <w:tcPr>
            <w:tcW w:w="6280" w:type="dxa"/>
            <w:gridSpan w:val="2"/>
            <w:vAlign w:val="center"/>
          </w:tcPr>
          <w:p w14:paraId="39C2BF85">
            <w:pPr>
              <w:spacing w:line="300" w:lineRule="exact"/>
              <w:jc w:val="left"/>
              <w:rPr>
                <w:rFonts w:ascii="宋体"/>
                <w:color w:val="auto"/>
                <w:sz w:val="21"/>
                <w:highlight w:val="none"/>
              </w:rPr>
            </w:pPr>
            <w:r>
              <w:rPr>
                <w:rFonts w:ascii="宋体"/>
                <w:color w:val="auto"/>
                <w:kern w:val="0"/>
                <w:sz w:val="18"/>
                <w:highlight w:val="none"/>
              </w:rPr>
              <w:t>6.</w:t>
            </w:r>
            <w:r>
              <w:rPr>
                <w:rFonts w:hint="eastAsia" w:ascii="宋体"/>
                <w:color w:val="auto"/>
                <w:kern w:val="0"/>
                <w:sz w:val="18"/>
                <w:highlight w:val="none"/>
              </w:rPr>
              <w:t>病虫害：灌木及草坪发生病虫害未及时防治扣</w:t>
            </w:r>
            <w:r>
              <w:rPr>
                <w:rFonts w:ascii="宋体"/>
                <w:color w:val="auto"/>
                <w:kern w:val="0"/>
                <w:sz w:val="18"/>
                <w:highlight w:val="none"/>
              </w:rPr>
              <w:t>0.5</w:t>
            </w:r>
            <w:r>
              <w:rPr>
                <w:rFonts w:hint="eastAsia" w:ascii="宋体"/>
                <w:color w:val="auto"/>
                <w:kern w:val="0"/>
                <w:sz w:val="18"/>
                <w:highlight w:val="none"/>
              </w:rPr>
              <w:t>分</w:t>
            </w:r>
            <w:r>
              <w:rPr>
                <w:rFonts w:ascii="宋体"/>
                <w:color w:val="auto"/>
                <w:kern w:val="0"/>
                <w:sz w:val="18"/>
                <w:highlight w:val="none"/>
              </w:rPr>
              <w:t>/</w:t>
            </w:r>
            <w:r>
              <w:rPr>
                <w:rFonts w:hint="eastAsia" w:ascii="宋体"/>
                <w:color w:val="auto"/>
                <w:kern w:val="0"/>
                <w:sz w:val="18"/>
                <w:highlight w:val="none"/>
              </w:rPr>
              <w:t>㎡；严重导致死亡扣</w:t>
            </w:r>
            <w:r>
              <w:rPr>
                <w:rFonts w:ascii="宋体"/>
                <w:color w:val="auto"/>
                <w:kern w:val="0"/>
                <w:sz w:val="18"/>
                <w:highlight w:val="none"/>
              </w:rPr>
              <w:t>2</w:t>
            </w:r>
            <w:r>
              <w:rPr>
                <w:rFonts w:hint="eastAsia" w:ascii="宋体"/>
                <w:color w:val="auto"/>
                <w:kern w:val="0"/>
                <w:sz w:val="18"/>
                <w:highlight w:val="none"/>
              </w:rPr>
              <w:t>分</w:t>
            </w:r>
            <w:r>
              <w:rPr>
                <w:rFonts w:ascii="宋体"/>
                <w:color w:val="auto"/>
                <w:kern w:val="0"/>
                <w:sz w:val="18"/>
                <w:highlight w:val="none"/>
              </w:rPr>
              <w:t>/</w:t>
            </w:r>
            <w:r>
              <w:rPr>
                <w:rFonts w:hint="eastAsia" w:ascii="宋体"/>
                <w:color w:val="auto"/>
                <w:kern w:val="0"/>
                <w:sz w:val="18"/>
                <w:highlight w:val="none"/>
              </w:rPr>
              <w:t>㎡；使用不当发生药害，致使灌木、草坪落叶死亡，扣</w:t>
            </w:r>
            <w:r>
              <w:rPr>
                <w:rFonts w:ascii="宋体"/>
                <w:color w:val="auto"/>
                <w:kern w:val="0"/>
                <w:sz w:val="18"/>
                <w:highlight w:val="none"/>
              </w:rPr>
              <w:t>1</w:t>
            </w:r>
            <w:r>
              <w:rPr>
                <w:rFonts w:hint="eastAsia" w:ascii="宋体"/>
                <w:color w:val="auto"/>
                <w:kern w:val="0"/>
                <w:sz w:val="18"/>
                <w:highlight w:val="none"/>
              </w:rPr>
              <w:t>分</w:t>
            </w:r>
            <w:r>
              <w:rPr>
                <w:rFonts w:ascii="宋体"/>
                <w:color w:val="auto"/>
                <w:kern w:val="0"/>
                <w:sz w:val="18"/>
                <w:highlight w:val="none"/>
              </w:rPr>
              <w:t>/</w:t>
            </w:r>
            <w:r>
              <w:rPr>
                <w:rFonts w:hint="eastAsia" w:ascii="宋体"/>
                <w:color w:val="auto"/>
                <w:kern w:val="0"/>
                <w:sz w:val="18"/>
                <w:highlight w:val="none"/>
              </w:rPr>
              <w:t>㎡；</w:t>
            </w:r>
            <w:r>
              <w:rPr>
                <w:rFonts w:hint="eastAsia" w:ascii="宋体"/>
                <w:color w:val="auto"/>
                <w:sz w:val="18"/>
                <w:highlight w:val="none"/>
              </w:rPr>
              <w:t>扣完为止</w:t>
            </w:r>
            <w:r>
              <w:rPr>
                <w:rFonts w:hint="eastAsia" w:ascii="宋体"/>
                <w:color w:val="auto"/>
                <w:kern w:val="0"/>
                <w:sz w:val="18"/>
                <w:highlight w:val="none"/>
              </w:rPr>
              <w:t>。</w:t>
            </w:r>
          </w:p>
        </w:tc>
        <w:tc>
          <w:tcPr>
            <w:tcW w:w="962" w:type="dxa"/>
            <w:vAlign w:val="center"/>
          </w:tcPr>
          <w:p w14:paraId="078D4E7C">
            <w:pPr>
              <w:spacing w:line="300" w:lineRule="exact"/>
              <w:jc w:val="center"/>
              <w:rPr>
                <w:rFonts w:ascii="宋体"/>
                <w:color w:val="auto"/>
                <w:sz w:val="21"/>
                <w:highlight w:val="none"/>
              </w:rPr>
            </w:pPr>
          </w:p>
        </w:tc>
        <w:tc>
          <w:tcPr>
            <w:tcW w:w="1064" w:type="dxa"/>
            <w:vMerge w:val="continue"/>
          </w:tcPr>
          <w:p w14:paraId="048011A8">
            <w:pPr>
              <w:spacing w:line="300" w:lineRule="exact"/>
              <w:jc w:val="center"/>
              <w:rPr>
                <w:rFonts w:ascii="宋体"/>
                <w:color w:val="auto"/>
                <w:sz w:val="21"/>
                <w:highlight w:val="none"/>
              </w:rPr>
            </w:pPr>
          </w:p>
        </w:tc>
      </w:tr>
      <w:tr w14:paraId="2214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2" w:type="dxa"/>
            <w:vMerge w:val="continue"/>
          </w:tcPr>
          <w:p w14:paraId="5566C371">
            <w:pPr>
              <w:spacing w:line="300" w:lineRule="exact"/>
              <w:rPr>
                <w:rFonts w:ascii="宋体"/>
                <w:color w:val="auto"/>
                <w:sz w:val="21"/>
                <w:highlight w:val="none"/>
              </w:rPr>
            </w:pPr>
          </w:p>
        </w:tc>
        <w:tc>
          <w:tcPr>
            <w:tcW w:w="6280" w:type="dxa"/>
            <w:gridSpan w:val="2"/>
            <w:vAlign w:val="center"/>
          </w:tcPr>
          <w:p w14:paraId="6D318695">
            <w:pPr>
              <w:spacing w:line="300" w:lineRule="exact"/>
              <w:jc w:val="left"/>
              <w:rPr>
                <w:rFonts w:ascii="宋体"/>
                <w:color w:val="auto"/>
                <w:sz w:val="18"/>
                <w:highlight w:val="none"/>
              </w:rPr>
            </w:pPr>
            <w:r>
              <w:rPr>
                <w:rFonts w:ascii="宋体"/>
                <w:color w:val="auto"/>
                <w:sz w:val="18"/>
                <w:highlight w:val="none"/>
              </w:rPr>
              <w:t>7.</w:t>
            </w:r>
            <w:r>
              <w:rPr>
                <w:rFonts w:hint="eastAsia" w:ascii="宋体"/>
                <w:color w:val="auto"/>
                <w:sz w:val="18"/>
                <w:highlight w:val="none"/>
              </w:rPr>
              <w:t>施肥：未按《仙居县公路绿化养护服务质量标准》规定施肥的，每缺一次扣总承包款的</w:t>
            </w:r>
            <w:r>
              <w:rPr>
                <w:rFonts w:ascii="宋体"/>
                <w:color w:val="auto"/>
                <w:sz w:val="18"/>
                <w:highlight w:val="none"/>
              </w:rPr>
              <w:t>10</w:t>
            </w:r>
            <w:r>
              <w:rPr>
                <w:rFonts w:hint="eastAsia" w:ascii="宋体"/>
                <w:color w:val="auto"/>
                <w:sz w:val="18"/>
                <w:highlight w:val="none"/>
              </w:rPr>
              <w:t>﹪</w:t>
            </w:r>
            <w:r>
              <w:rPr>
                <w:rFonts w:hint="eastAsia" w:ascii="宋体"/>
                <w:color w:val="auto"/>
                <w:kern w:val="0"/>
                <w:sz w:val="18"/>
                <w:highlight w:val="none"/>
              </w:rPr>
              <w:t>；施肥量未达到标准的</w:t>
            </w:r>
            <w:r>
              <w:rPr>
                <w:rFonts w:hint="eastAsia" w:ascii="宋体"/>
                <w:color w:val="auto"/>
                <w:sz w:val="18"/>
                <w:highlight w:val="none"/>
              </w:rPr>
              <w:t>每缺一次扣总承包款的</w:t>
            </w:r>
            <w:r>
              <w:rPr>
                <w:rFonts w:ascii="宋体"/>
                <w:color w:val="auto"/>
                <w:sz w:val="18"/>
                <w:highlight w:val="none"/>
              </w:rPr>
              <w:t>1-5</w:t>
            </w:r>
            <w:r>
              <w:rPr>
                <w:rFonts w:hint="eastAsia" w:ascii="宋体"/>
                <w:color w:val="auto"/>
                <w:sz w:val="18"/>
                <w:highlight w:val="none"/>
              </w:rPr>
              <w:t>﹪；酌情扣分。</w:t>
            </w:r>
          </w:p>
        </w:tc>
        <w:tc>
          <w:tcPr>
            <w:tcW w:w="962" w:type="dxa"/>
            <w:vAlign w:val="center"/>
          </w:tcPr>
          <w:p w14:paraId="7FD99921">
            <w:pPr>
              <w:spacing w:line="300" w:lineRule="exact"/>
              <w:jc w:val="center"/>
              <w:rPr>
                <w:rFonts w:ascii="宋体"/>
                <w:color w:val="auto"/>
                <w:sz w:val="21"/>
                <w:highlight w:val="none"/>
              </w:rPr>
            </w:pPr>
          </w:p>
        </w:tc>
        <w:tc>
          <w:tcPr>
            <w:tcW w:w="1064" w:type="dxa"/>
            <w:vMerge w:val="continue"/>
          </w:tcPr>
          <w:p w14:paraId="0A38E9D6">
            <w:pPr>
              <w:spacing w:line="300" w:lineRule="exact"/>
              <w:jc w:val="center"/>
              <w:rPr>
                <w:rFonts w:ascii="宋体"/>
                <w:color w:val="auto"/>
                <w:sz w:val="21"/>
                <w:highlight w:val="none"/>
              </w:rPr>
            </w:pPr>
          </w:p>
        </w:tc>
      </w:tr>
      <w:tr w14:paraId="75D9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52" w:type="dxa"/>
            <w:vMerge w:val="restart"/>
            <w:textDirection w:val="tbRlV"/>
            <w:vAlign w:val="center"/>
          </w:tcPr>
          <w:p w14:paraId="13E69501">
            <w:pPr>
              <w:spacing w:line="300" w:lineRule="exact"/>
              <w:ind w:left="113" w:right="113"/>
              <w:jc w:val="center"/>
              <w:rPr>
                <w:rFonts w:ascii="宋体"/>
                <w:color w:val="auto"/>
                <w:sz w:val="21"/>
                <w:highlight w:val="none"/>
              </w:rPr>
            </w:pPr>
            <w:r>
              <w:rPr>
                <w:rFonts w:hint="eastAsia" w:ascii="宋体"/>
                <w:b/>
                <w:color w:val="auto"/>
                <w:sz w:val="21"/>
                <w:highlight w:val="none"/>
              </w:rPr>
              <w:t>（三）安全管理（</w:t>
            </w:r>
            <w:r>
              <w:rPr>
                <w:rFonts w:ascii="宋体"/>
                <w:b/>
                <w:color w:val="auto"/>
                <w:sz w:val="21"/>
                <w:highlight w:val="none"/>
              </w:rPr>
              <w:t>20</w:t>
            </w:r>
            <w:r>
              <w:rPr>
                <w:rFonts w:hint="eastAsia" w:ascii="宋体"/>
                <w:b/>
                <w:color w:val="auto"/>
                <w:sz w:val="21"/>
                <w:highlight w:val="none"/>
              </w:rPr>
              <w:t>）</w:t>
            </w:r>
          </w:p>
        </w:tc>
        <w:tc>
          <w:tcPr>
            <w:tcW w:w="6280" w:type="dxa"/>
            <w:gridSpan w:val="2"/>
            <w:vAlign w:val="center"/>
          </w:tcPr>
          <w:p w14:paraId="0B5CA434">
            <w:pPr>
              <w:spacing w:line="300" w:lineRule="exact"/>
              <w:jc w:val="left"/>
              <w:rPr>
                <w:rFonts w:ascii="宋体"/>
                <w:color w:val="auto"/>
                <w:sz w:val="18"/>
                <w:highlight w:val="none"/>
              </w:rPr>
            </w:pPr>
            <w:r>
              <w:rPr>
                <w:rFonts w:ascii="宋体"/>
                <w:color w:val="auto"/>
                <w:sz w:val="18"/>
                <w:highlight w:val="none"/>
              </w:rPr>
              <w:t>1.</w:t>
            </w:r>
            <w:r>
              <w:rPr>
                <w:rFonts w:hint="eastAsia" w:ascii="宋体"/>
                <w:color w:val="auto"/>
                <w:sz w:val="18"/>
                <w:highlight w:val="none"/>
              </w:rPr>
              <w:t>没有安全生产管理制度和计划的扣</w:t>
            </w:r>
            <w:r>
              <w:rPr>
                <w:rFonts w:ascii="宋体"/>
                <w:color w:val="auto"/>
                <w:sz w:val="18"/>
                <w:highlight w:val="none"/>
              </w:rPr>
              <w:t>20</w:t>
            </w:r>
            <w:r>
              <w:rPr>
                <w:rFonts w:hint="eastAsia" w:ascii="宋体"/>
                <w:color w:val="auto"/>
                <w:sz w:val="18"/>
                <w:highlight w:val="none"/>
              </w:rPr>
              <w:t>分。</w:t>
            </w:r>
          </w:p>
        </w:tc>
        <w:tc>
          <w:tcPr>
            <w:tcW w:w="962" w:type="dxa"/>
            <w:vAlign w:val="center"/>
          </w:tcPr>
          <w:p w14:paraId="38FF9DBD">
            <w:pPr>
              <w:spacing w:line="300" w:lineRule="exact"/>
              <w:jc w:val="center"/>
              <w:rPr>
                <w:rFonts w:ascii="宋体"/>
                <w:color w:val="auto"/>
                <w:sz w:val="21"/>
                <w:highlight w:val="none"/>
              </w:rPr>
            </w:pPr>
            <w:r>
              <w:rPr>
                <w:rFonts w:ascii="宋体"/>
                <w:color w:val="auto"/>
                <w:sz w:val="21"/>
                <w:highlight w:val="none"/>
              </w:rPr>
              <w:t xml:space="preserve">   </w:t>
            </w:r>
          </w:p>
        </w:tc>
        <w:tc>
          <w:tcPr>
            <w:tcW w:w="1064" w:type="dxa"/>
            <w:vMerge w:val="restart"/>
          </w:tcPr>
          <w:p w14:paraId="186D9053">
            <w:pPr>
              <w:spacing w:line="300" w:lineRule="exact"/>
              <w:jc w:val="center"/>
              <w:rPr>
                <w:rFonts w:ascii="宋体"/>
                <w:color w:val="auto"/>
                <w:sz w:val="21"/>
                <w:highlight w:val="none"/>
              </w:rPr>
            </w:pPr>
          </w:p>
        </w:tc>
      </w:tr>
      <w:tr w14:paraId="79FF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2" w:type="dxa"/>
            <w:vMerge w:val="continue"/>
            <w:vAlign w:val="center"/>
          </w:tcPr>
          <w:p w14:paraId="64353ADF">
            <w:pPr>
              <w:spacing w:line="300" w:lineRule="exact"/>
              <w:jc w:val="center"/>
              <w:rPr>
                <w:rFonts w:ascii="宋体"/>
                <w:b/>
                <w:color w:val="auto"/>
                <w:sz w:val="21"/>
                <w:highlight w:val="none"/>
              </w:rPr>
            </w:pPr>
          </w:p>
        </w:tc>
        <w:tc>
          <w:tcPr>
            <w:tcW w:w="6280" w:type="dxa"/>
            <w:gridSpan w:val="2"/>
            <w:vAlign w:val="center"/>
          </w:tcPr>
          <w:p w14:paraId="460AC2BD">
            <w:pPr>
              <w:spacing w:line="300" w:lineRule="exact"/>
              <w:jc w:val="left"/>
              <w:rPr>
                <w:rFonts w:ascii="宋体"/>
                <w:color w:val="auto"/>
                <w:sz w:val="18"/>
                <w:highlight w:val="none"/>
              </w:rPr>
            </w:pPr>
            <w:r>
              <w:rPr>
                <w:rFonts w:ascii="宋体"/>
                <w:color w:val="auto"/>
                <w:sz w:val="18"/>
                <w:highlight w:val="none"/>
              </w:rPr>
              <w:t>2.</w:t>
            </w:r>
            <w:r>
              <w:rPr>
                <w:rFonts w:hint="eastAsia" w:ascii="宋体"/>
                <w:color w:val="auto"/>
                <w:sz w:val="18"/>
                <w:highlight w:val="none"/>
              </w:rPr>
              <w:t>未按规定为上路作业人员办理人身意外伤害保险的，扣</w:t>
            </w:r>
            <w:r>
              <w:rPr>
                <w:rFonts w:ascii="宋体"/>
                <w:color w:val="auto"/>
                <w:sz w:val="18"/>
                <w:highlight w:val="none"/>
              </w:rPr>
              <w:t>5</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人；扣完为止。</w:t>
            </w:r>
          </w:p>
        </w:tc>
        <w:tc>
          <w:tcPr>
            <w:tcW w:w="962" w:type="dxa"/>
            <w:vAlign w:val="center"/>
          </w:tcPr>
          <w:p w14:paraId="3DB19308">
            <w:pPr>
              <w:spacing w:line="300" w:lineRule="exact"/>
              <w:jc w:val="center"/>
              <w:rPr>
                <w:rFonts w:ascii="宋体"/>
                <w:color w:val="auto"/>
                <w:sz w:val="21"/>
                <w:highlight w:val="none"/>
              </w:rPr>
            </w:pPr>
          </w:p>
        </w:tc>
        <w:tc>
          <w:tcPr>
            <w:tcW w:w="1064" w:type="dxa"/>
            <w:vMerge w:val="continue"/>
          </w:tcPr>
          <w:p w14:paraId="78F87B11">
            <w:pPr>
              <w:spacing w:line="300" w:lineRule="exact"/>
              <w:jc w:val="center"/>
              <w:rPr>
                <w:rFonts w:ascii="宋体"/>
                <w:color w:val="auto"/>
                <w:sz w:val="21"/>
                <w:highlight w:val="none"/>
              </w:rPr>
            </w:pPr>
          </w:p>
        </w:tc>
      </w:tr>
      <w:tr w14:paraId="0B73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52" w:type="dxa"/>
            <w:vMerge w:val="continue"/>
            <w:vAlign w:val="center"/>
          </w:tcPr>
          <w:p w14:paraId="350BF190">
            <w:pPr>
              <w:spacing w:line="300" w:lineRule="exact"/>
              <w:jc w:val="center"/>
              <w:rPr>
                <w:rFonts w:ascii="宋体"/>
                <w:b/>
                <w:color w:val="auto"/>
                <w:sz w:val="21"/>
                <w:highlight w:val="none"/>
              </w:rPr>
            </w:pPr>
          </w:p>
        </w:tc>
        <w:tc>
          <w:tcPr>
            <w:tcW w:w="6280" w:type="dxa"/>
            <w:gridSpan w:val="2"/>
            <w:vAlign w:val="center"/>
          </w:tcPr>
          <w:p w14:paraId="6D50ABF6">
            <w:pPr>
              <w:spacing w:line="300" w:lineRule="exact"/>
              <w:jc w:val="left"/>
              <w:rPr>
                <w:rFonts w:ascii="宋体"/>
                <w:color w:val="auto"/>
                <w:sz w:val="18"/>
                <w:highlight w:val="none"/>
              </w:rPr>
            </w:pPr>
            <w:r>
              <w:rPr>
                <w:rFonts w:ascii="宋体"/>
                <w:color w:val="auto"/>
                <w:sz w:val="18"/>
                <w:highlight w:val="none"/>
              </w:rPr>
              <w:t>2.</w:t>
            </w:r>
            <w:r>
              <w:rPr>
                <w:rFonts w:hint="eastAsia" w:ascii="宋体"/>
                <w:color w:val="auto"/>
                <w:sz w:val="18"/>
                <w:highlight w:val="none"/>
              </w:rPr>
              <w:t>上路作业人员未按规定穿着安全标志服</w:t>
            </w:r>
            <w:r>
              <w:rPr>
                <w:rFonts w:hint="eastAsia" w:ascii="宋体"/>
                <w:color w:val="auto"/>
                <w:kern w:val="0"/>
                <w:sz w:val="18"/>
                <w:highlight w:val="none"/>
              </w:rPr>
              <w:t>、佩戴安全帽</w:t>
            </w:r>
            <w:r>
              <w:rPr>
                <w:rFonts w:hint="eastAsia" w:ascii="宋体"/>
                <w:color w:val="auto"/>
                <w:sz w:val="18"/>
                <w:highlight w:val="none"/>
              </w:rPr>
              <w:t>的扣</w:t>
            </w:r>
            <w:r>
              <w:rPr>
                <w:rFonts w:ascii="宋体"/>
                <w:color w:val="auto"/>
                <w:sz w:val="18"/>
                <w:highlight w:val="none"/>
              </w:rPr>
              <w:t>2</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人；作业施工现场未设置安全警示牌的扣</w:t>
            </w:r>
            <w:r>
              <w:rPr>
                <w:rFonts w:ascii="宋体"/>
                <w:color w:val="auto"/>
                <w:sz w:val="18"/>
                <w:highlight w:val="none"/>
              </w:rPr>
              <w:t>10</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处；扣完为止。</w:t>
            </w:r>
          </w:p>
        </w:tc>
        <w:tc>
          <w:tcPr>
            <w:tcW w:w="962" w:type="dxa"/>
            <w:vAlign w:val="center"/>
          </w:tcPr>
          <w:p w14:paraId="6FA93599">
            <w:pPr>
              <w:spacing w:line="300" w:lineRule="exact"/>
              <w:jc w:val="center"/>
              <w:rPr>
                <w:rFonts w:ascii="宋体"/>
                <w:color w:val="auto"/>
                <w:sz w:val="21"/>
                <w:highlight w:val="none"/>
              </w:rPr>
            </w:pPr>
          </w:p>
        </w:tc>
        <w:tc>
          <w:tcPr>
            <w:tcW w:w="1064" w:type="dxa"/>
            <w:vMerge w:val="continue"/>
          </w:tcPr>
          <w:p w14:paraId="2045B12E">
            <w:pPr>
              <w:spacing w:line="300" w:lineRule="exact"/>
              <w:jc w:val="center"/>
              <w:rPr>
                <w:rFonts w:ascii="宋体"/>
                <w:color w:val="auto"/>
                <w:sz w:val="21"/>
                <w:highlight w:val="none"/>
              </w:rPr>
            </w:pPr>
          </w:p>
        </w:tc>
      </w:tr>
      <w:tr w14:paraId="44D9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52" w:type="dxa"/>
            <w:vMerge w:val="continue"/>
            <w:vAlign w:val="center"/>
          </w:tcPr>
          <w:p w14:paraId="44028D8F">
            <w:pPr>
              <w:spacing w:line="300" w:lineRule="exact"/>
              <w:jc w:val="center"/>
              <w:rPr>
                <w:rFonts w:ascii="宋体"/>
                <w:b/>
                <w:color w:val="auto"/>
                <w:sz w:val="21"/>
                <w:highlight w:val="none"/>
              </w:rPr>
            </w:pPr>
          </w:p>
        </w:tc>
        <w:tc>
          <w:tcPr>
            <w:tcW w:w="6280" w:type="dxa"/>
            <w:gridSpan w:val="2"/>
            <w:vAlign w:val="center"/>
          </w:tcPr>
          <w:p w14:paraId="19567405">
            <w:pPr>
              <w:spacing w:line="300" w:lineRule="exact"/>
              <w:jc w:val="left"/>
              <w:rPr>
                <w:rFonts w:ascii="宋体"/>
                <w:color w:val="auto"/>
                <w:sz w:val="18"/>
                <w:highlight w:val="none"/>
              </w:rPr>
            </w:pPr>
            <w:r>
              <w:rPr>
                <w:rFonts w:ascii="宋体"/>
                <w:color w:val="auto"/>
                <w:sz w:val="18"/>
                <w:highlight w:val="none"/>
              </w:rPr>
              <w:t>3.</w:t>
            </w:r>
            <w:r>
              <w:rPr>
                <w:rFonts w:hint="eastAsia" w:ascii="宋体"/>
                <w:color w:val="auto"/>
                <w:sz w:val="18"/>
                <w:highlight w:val="none"/>
              </w:rPr>
              <w:t>洒水车、养护作业车辆及驾驶人员必须手续齐全合法，如发现无证驾驶或使用不合法车辆，扣</w:t>
            </w:r>
            <w:r>
              <w:rPr>
                <w:rFonts w:ascii="宋体"/>
                <w:color w:val="auto"/>
                <w:sz w:val="18"/>
                <w:highlight w:val="none"/>
              </w:rPr>
              <w:t>1000</w:t>
            </w:r>
            <w:r>
              <w:rPr>
                <w:rFonts w:hint="eastAsia" w:ascii="宋体"/>
                <w:color w:val="auto"/>
                <w:sz w:val="18"/>
                <w:highlight w:val="none"/>
              </w:rPr>
              <w:t>元</w:t>
            </w:r>
            <w:r>
              <w:rPr>
                <w:rFonts w:ascii="宋体"/>
                <w:color w:val="auto"/>
                <w:sz w:val="18"/>
                <w:highlight w:val="none"/>
              </w:rPr>
              <w:t>/</w:t>
            </w:r>
            <w:r>
              <w:rPr>
                <w:rFonts w:hint="eastAsia" w:ascii="宋体"/>
                <w:color w:val="auto"/>
                <w:sz w:val="18"/>
                <w:highlight w:val="none"/>
              </w:rPr>
              <w:t>人·次；驾驶车辆及油锯、</w:t>
            </w:r>
            <w:r>
              <w:rPr>
                <w:rFonts w:hint="eastAsia" w:ascii="宋体"/>
                <w:color w:val="auto"/>
                <w:kern w:val="0"/>
                <w:sz w:val="18"/>
                <w:highlight w:val="none"/>
              </w:rPr>
              <w:t>绿篱机、割灌机、草坪机、剪枝机等</w:t>
            </w:r>
            <w:r>
              <w:rPr>
                <w:rFonts w:hint="eastAsia" w:ascii="宋体"/>
                <w:color w:val="auto"/>
                <w:sz w:val="18"/>
                <w:highlight w:val="none"/>
              </w:rPr>
              <w:t>养护机械</w:t>
            </w:r>
            <w:r>
              <w:rPr>
                <w:rFonts w:hint="eastAsia" w:ascii="宋体"/>
                <w:color w:val="auto"/>
                <w:kern w:val="0"/>
                <w:sz w:val="18"/>
                <w:highlight w:val="none"/>
              </w:rPr>
              <w:t>作业</w:t>
            </w:r>
            <w:r>
              <w:rPr>
                <w:rFonts w:hint="eastAsia" w:ascii="宋体"/>
                <w:color w:val="auto"/>
                <w:sz w:val="18"/>
                <w:highlight w:val="none"/>
              </w:rPr>
              <w:t>时，不按安全规范要求操作的扣</w:t>
            </w:r>
            <w:r>
              <w:rPr>
                <w:rFonts w:ascii="宋体"/>
                <w:color w:val="auto"/>
                <w:sz w:val="18"/>
                <w:highlight w:val="none"/>
              </w:rPr>
              <w:t>10</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人·次；扣完为止。</w:t>
            </w:r>
          </w:p>
        </w:tc>
        <w:tc>
          <w:tcPr>
            <w:tcW w:w="962" w:type="dxa"/>
            <w:vAlign w:val="center"/>
          </w:tcPr>
          <w:p w14:paraId="5FD3E97D">
            <w:pPr>
              <w:spacing w:line="300" w:lineRule="exact"/>
              <w:jc w:val="center"/>
              <w:rPr>
                <w:rFonts w:ascii="宋体"/>
                <w:color w:val="auto"/>
                <w:sz w:val="21"/>
                <w:highlight w:val="none"/>
              </w:rPr>
            </w:pPr>
          </w:p>
        </w:tc>
        <w:tc>
          <w:tcPr>
            <w:tcW w:w="1064" w:type="dxa"/>
            <w:vMerge w:val="continue"/>
          </w:tcPr>
          <w:p w14:paraId="016CF288">
            <w:pPr>
              <w:spacing w:line="300" w:lineRule="exact"/>
              <w:jc w:val="center"/>
              <w:rPr>
                <w:rFonts w:ascii="宋体"/>
                <w:color w:val="auto"/>
                <w:sz w:val="21"/>
                <w:highlight w:val="none"/>
              </w:rPr>
            </w:pPr>
          </w:p>
        </w:tc>
      </w:tr>
      <w:tr w14:paraId="7E69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52" w:type="dxa"/>
            <w:vMerge w:val="continue"/>
            <w:vAlign w:val="center"/>
          </w:tcPr>
          <w:p w14:paraId="310E7C8C">
            <w:pPr>
              <w:spacing w:line="300" w:lineRule="exact"/>
              <w:jc w:val="center"/>
              <w:rPr>
                <w:rFonts w:ascii="宋体"/>
                <w:b/>
                <w:color w:val="auto"/>
                <w:sz w:val="21"/>
                <w:highlight w:val="none"/>
              </w:rPr>
            </w:pPr>
          </w:p>
        </w:tc>
        <w:tc>
          <w:tcPr>
            <w:tcW w:w="6280" w:type="dxa"/>
            <w:gridSpan w:val="2"/>
            <w:vAlign w:val="center"/>
          </w:tcPr>
          <w:p w14:paraId="2C9814A6">
            <w:pPr>
              <w:widowControl/>
              <w:shd w:val="clear" w:color="auto" w:fill="FFFFFF"/>
              <w:spacing w:beforeAutospacing="1" w:line="300" w:lineRule="exact"/>
              <w:jc w:val="left"/>
              <w:rPr>
                <w:rFonts w:ascii="宋体"/>
                <w:color w:val="auto"/>
                <w:kern w:val="0"/>
                <w:sz w:val="18"/>
                <w:highlight w:val="none"/>
              </w:rPr>
            </w:pPr>
            <w:r>
              <w:rPr>
                <w:rFonts w:ascii="宋体"/>
                <w:color w:val="auto"/>
                <w:sz w:val="18"/>
                <w:highlight w:val="none"/>
              </w:rPr>
              <w:t>4.</w:t>
            </w:r>
            <w:r>
              <w:rPr>
                <w:rFonts w:hint="eastAsia" w:ascii="宋体"/>
                <w:color w:val="auto"/>
                <w:sz w:val="18"/>
                <w:highlight w:val="none"/>
              </w:rPr>
              <w:t>喷药作业时未戴口罩、手套、着长衣长裤作业的扣</w:t>
            </w:r>
            <w:r>
              <w:rPr>
                <w:rFonts w:ascii="宋体"/>
                <w:color w:val="auto"/>
                <w:sz w:val="18"/>
                <w:highlight w:val="none"/>
              </w:rPr>
              <w:t>2</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人·次；</w:t>
            </w:r>
            <w:r>
              <w:rPr>
                <w:rFonts w:hint="eastAsia" w:ascii="宋体"/>
                <w:color w:val="auto"/>
                <w:kern w:val="0"/>
                <w:sz w:val="18"/>
                <w:highlight w:val="none"/>
              </w:rPr>
              <w:t>喷药时未注意来往行人车辆及路边农田作物，没有做好防护措施，造成损失或引起纠纷的扣</w:t>
            </w:r>
            <w:r>
              <w:rPr>
                <w:rFonts w:ascii="宋体"/>
                <w:color w:val="auto"/>
                <w:kern w:val="0"/>
                <w:sz w:val="18"/>
                <w:highlight w:val="none"/>
              </w:rPr>
              <w:t>10</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次；扣完为止。</w:t>
            </w:r>
          </w:p>
        </w:tc>
        <w:tc>
          <w:tcPr>
            <w:tcW w:w="962" w:type="dxa"/>
            <w:vAlign w:val="center"/>
          </w:tcPr>
          <w:p w14:paraId="38EE89FB">
            <w:pPr>
              <w:spacing w:line="300" w:lineRule="exact"/>
              <w:jc w:val="center"/>
              <w:rPr>
                <w:rFonts w:ascii="宋体"/>
                <w:color w:val="auto"/>
                <w:sz w:val="21"/>
                <w:highlight w:val="none"/>
              </w:rPr>
            </w:pPr>
          </w:p>
        </w:tc>
        <w:tc>
          <w:tcPr>
            <w:tcW w:w="1064" w:type="dxa"/>
            <w:vMerge w:val="continue"/>
          </w:tcPr>
          <w:p w14:paraId="47441238">
            <w:pPr>
              <w:spacing w:line="300" w:lineRule="exact"/>
              <w:jc w:val="center"/>
              <w:rPr>
                <w:rFonts w:ascii="宋体"/>
                <w:color w:val="auto"/>
                <w:sz w:val="21"/>
                <w:highlight w:val="none"/>
              </w:rPr>
            </w:pPr>
          </w:p>
        </w:tc>
      </w:tr>
      <w:tr w14:paraId="0CF8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852" w:type="dxa"/>
            <w:vMerge w:val="continue"/>
            <w:vAlign w:val="center"/>
          </w:tcPr>
          <w:p w14:paraId="74A79E53">
            <w:pPr>
              <w:spacing w:line="300" w:lineRule="exact"/>
              <w:jc w:val="center"/>
              <w:rPr>
                <w:rFonts w:ascii="宋体"/>
                <w:color w:val="auto"/>
                <w:sz w:val="21"/>
                <w:highlight w:val="none"/>
              </w:rPr>
            </w:pPr>
          </w:p>
        </w:tc>
        <w:tc>
          <w:tcPr>
            <w:tcW w:w="6280" w:type="dxa"/>
            <w:gridSpan w:val="2"/>
            <w:vAlign w:val="center"/>
          </w:tcPr>
          <w:p w14:paraId="52CD2CCE">
            <w:pPr>
              <w:spacing w:line="300" w:lineRule="exact"/>
              <w:jc w:val="left"/>
              <w:rPr>
                <w:rFonts w:ascii="宋体"/>
                <w:color w:val="auto"/>
                <w:sz w:val="18"/>
                <w:highlight w:val="none"/>
              </w:rPr>
            </w:pPr>
            <w:r>
              <w:rPr>
                <w:rFonts w:ascii="宋体"/>
                <w:color w:val="auto"/>
                <w:sz w:val="18"/>
                <w:highlight w:val="none"/>
              </w:rPr>
              <w:t>5.</w:t>
            </w:r>
            <w:r>
              <w:rPr>
                <w:rFonts w:hint="eastAsia" w:ascii="宋体"/>
                <w:color w:val="auto"/>
                <w:sz w:val="18"/>
                <w:highlight w:val="none"/>
              </w:rPr>
              <w:t>发生生产安全事故的，视情节轻重，扣</w:t>
            </w:r>
            <w:r>
              <w:rPr>
                <w:rFonts w:ascii="宋体"/>
                <w:color w:val="auto"/>
                <w:sz w:val="18"/>
                <w:highlight w:val="none"/>
              </w:rPr>
              <w:t>5-10</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次；扣完为止。</w:t>
            </w:r>
          </w:p>
        </w:tc>
        <w:tc>
          <w:tcPr>
            <w:tcW w:w="962" w:type="dxa"/>
            <w:vAlign w:val="center"/>
          </w:tcPr>
          <w:p w14:paraId="0F88CA11">
            <w:pPr>
              <w:spacing w:line="300" w:lineRule="exact"/>
              <w:jc w:val="center"/>
              <w:rPr>
                <w:rFonts w:ascii="宋体"/>
                <w:color w:val="auto"/>
                <w:sz w:val="21"/>
                <w:highlight w:val="none"/>
              </w:rPr>
            </w:pPr>
          </w:p>
        </w:tc>
        <w:tc>
          <w:tcPr>
            <w:tcW w:w="1064" w:type="dxa"/>
            <w:vMerge w:val="continue"/>
          </w:tcPr>
          <w:p w14:paraId="362DFB8F">
            <w:pPr>
              <w:spacing w:line="300" w:lineRule="exact"/>
              <w:jc w:val="center"/>
              <w:rPr>
                <w:rFonts w:ascii="宋体"/>
                <w:color w:val="auto"/>
                <w:sz w:val="21"/>
                <w:highlight w:val="none"/>
              </w:rPr>
            </w:pPr>
          </w:p>
        </w:tc>
      </w:tr>
      <w:tr w14:paraId="1950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52" w:type="dxa"/>
            <w:vMerge w:val="restart"/>
            <w:textDirection w:val="tbRlV"/>
            <w:vAlign w:val="center"/>
          </w:tcPr>
          <w:p w14:paraId="78D08FA2">
            <w:pPr>
              <w:spacing w:line="300" w:lineRule="exact"/>
              <w:ind w:left="113" w:right="113"/>
              <w:jc w:val="center"/>
              <w:rPr>
                <w:rFonts w:ascii="宋体"/>
                <w:b/>
                <w:color w:val="auto"/>
                <w:sz w:val="21"/>
                <w:highlight w:val="none"/>
              </w:rPr>
            </w:pPr>
            <w:r>
              <w:rPr>
                <w:rFonts w:hint="eastAsia" w:ascii="宋体"/>
                <w:b/>
                <w:color w:val="auto"/>
                <w:sz w:val="21"/>
                <w:highlight w:val="none"/>
              </w:rPr>
              <w:t>（四）管理制度（</w:t>
            </w:r>
            <w:r>
              <w:rPr>
                <w:rFonts w:ascii="宋体"/>
                <w:b/>
                <w:color w:val="auto"/>
                <w:sz w:val="21"/>
                <w:highlight w:val="none"/>
              </w:rPr>
              <w:t>10</w:t>
            </w:r>
            <w:r>
              <w:rPr>
                <w:rFonts w:hint="eastAsia" w:ascii="宋体"/>
                <w:b/>
                <w:color w:val="auto"/>
                <w:sz w:val="21"/>
                <w:highlight w:val="none"/>
              </w:rPr>
              <w:t>）</w:t>
            </w:r>
          </w:p>
        </w:tc>
        <w:tc>
          <w:tcPr>
            <w:tcW w:w="6280" w:type="dxa"/>
            <w:gridSpan w:val="2"/>
            <w:vAlign w:val="center"/>
          </w:tcPr>
          <w:p w14:paraId="5064A528">
            <w:pPr>
              <w:spacing w:line="300" w:lineRule="exact"/>
              <w:jc w:val="left"/>
              <w:rPr>
                <w:rFonts w:ascii="宋体"/>
                <w:color w:val="auto"/>
                <w:sz w:val="18"/>
                <w:highlight w:val="none"/>
              </w:rPr>
            </w:pPr>
            <w:r>
              <w:rPr>
                <w:rFonts w:ascii="宋体"/>
                <w:color w:val="auto"/>
                <w:sz w:val="18"/>
                <w:highlight w:val="none"/>
              </w:rPr>
              <w:t>1.</w:t>
            </w:r>
            <w:r>
              <w:rPr>
                <w:rFonts w:hint="eastAsia" w:ascii="宋体"/>
                <w:color w:val="auto"/>
                <w:sz w:val="18"/>
                <w:highlight w:val="none"/>
              </w:rPr>
              <w:t>无日常养护记录、无工作台帐扣</w:t>
            </w:r>
            <w:r>
              <w:rPr>
                <w:rFonts w:ascii="宋体"/>
                <w:color w:val="auto"/>
                <w:sz w:val="18"/>
                <w:highlight w:val="none"/>
              </w:rPr>
              <w:t>5</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周；扣完为止。</w:t>
            </w:r>
          </w:p>
        </w:tc>
        <w:tc>
          <w:tcPr>
            <w:tcW w:w="962" w:type="dxa"/>
            <w:vAlign w:val="center"/>
          </w:tcPr>
          <w:p w14:paraId="6F79CBFF">
            <w:pPr>
              <w:spacing w:line="300" w:lineRule="exact"/>
              <w:jc w:val="center"/>
              <w:rPr>
                <w:rFonts w:ascii="宋体"/>
                <w:color w:val="auto"/>
                <w:sz w:val="21"/>
                <w:highlight w:val="none"/>
              </w:rPr>
            </w:pPr>
          </w:p>
        </w:tc>
        <w:tc>
          <w:tcPr>
            <w:tcW w:w="1064" w:type="dxa"/>
            <w:vMerge w:val="restart"/>
          </w:tcPr>
          <w:p w14:paraId="20CCEF4A">
            <w:pPr>
              <w:spacing w:line="300" w:lineRule="exact"/>
              <w:jc w:val="center"/>
              <w:rPr>
                <w:rFonts w:ascii="宋体"/>
                <w:color w:val="auto"/>
                <w:sz w:val="21"/>
                <w:highlight w:val="none"/>
              </w:rPr>
            </w:pPr>
          </w:p>
        </w:tc>
      </w:tr>
      <w:tr w14:paraId="1DCA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52" w:type="dxa"/>
            <w:vMerge w:val="continue"/>
            <w:vAlign w:val="center"/>
          </w:tcPr>
          <w:p w14:paraId="75FAC269">
            <w:pPr>
              <w:spacing w:line="300" w:lineRule="exact"/>
              <w:jc w:val="center"/>
              <w:rPr>
                <w:rFonts w:ascii="宋体"/>
                <w:b/>
                <w:color w:val="auto"/>
                <w:sz w:val="21"/>
                <w:highlight w:val="none"/>
              </w:rPr>
            </w:pPr>
          </w:p>
        </w:tc>
        <w:tc>
          <w:tcPr>
            <w:tcW w:w="6280" w:type="dxa"/>
            <w:gridSpan w:val="2"/>
            <w:vAlign w:val="center"/>
          </w:tcPr>
          <w:p w14:paraId="22EE4337">
            <w:pPr>
              <w:spacing w:line="300" w:lineRule="exact"/>
              <w:jc w:val="left"/>
              <w:rPr>
                <w:rFonts w:ascii="宋体"/>
                <w:color w:val="auto"/>
                <w:sz w:val="18"/>
                <w:highlight w:val="none"/>
              </w:rPr>
            </w:pPr>
            <w:r>
              <w:rPr>
                <w:rFonts w:ascii="宋体"/>
                <w:color w:val="auto"/>
                <w:sz w:val="18"/>
                <w:highlight w:val="none"/>
              </w:rPr>
              <w:t>2.</w:t>
            </w:r>
            <w:r>
              <w:rPr>
                <w:rFonts w:hint="eastAsia" w:ascii="宋体"/>
                <w:color w:val="auto"/>
                <w:sz w:val="18"/>
                <w:highlight w:val="none"/>
              </w:rPr>
              <w:t>阶段性工作，如抹芽、整枝、施肥、抗旱、抗灾等工作，工作计划必须在开展前上报采购方，未提前上报的扣</w:t>
            </w:r>
            <w:r>
              <w:rPr>
                <w:rFonts w:ascii="宋体"/>
                <w:color w:val="auto"/>
                <w:sz w:val="18"/>
                <w:highlight w:val="none"/>
              </w:rPr>
              <w:t>3</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次，上报内容不符合要求又不及时补报的扣</w:t>
            </w:r>
            <w:r>
              <w:rPr>
                <w:rFonts w:ascii="宋体"/>
                <w:color w:val="auto"/>
                <w:sz w:val="18"/>
                <w:highlight w:val="none"/>
              </w:rPr>
              <w:t>3</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次，未按工作计划进度完成的每次扣</w:t>
            </w:r>
            <w:r>
              <w:rPr>
                <w:rFonts w:ascii="宋体"/>
                <w:color w:val="auto"/>
                <w:sz w:val="18"/>
                <w:highlight w:val="none"/>
              </w:rPr>
              <w:t>2</w:t>
            </w:r>
            <w:r>
              <w:rPr>
                <w:rFonts w:hint="eastAsia" w:ascii="宋体"/>
                <w:color w:val="auto"/>
                <w:sz w:val="18"/>
                <w:highlight w:val="none"/>
              </w:rPr>
              <w:t>－</w:t>
            </w:r>
            <w:r>
              <w:rPr>
                <w:rFonts w:ascii="宋体"/>
                <w:color w:val="auto"/>
                <w:sz w:val="18"/>
                <w:highlight w:val="none"/>
              </w:rPr>
              <w:t>5</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次；扣完为止。</w:t>
            </w:r>
          </w:p>
        </w:tc>
        <w:tc>
          <w:tcPr>
            <w:tcW w:w="962" w:type="dxa"/>
            <w:vAlign w:val="center"/>
          </w:tcPr>
          <w:p w14:paraId="4EC90A81">
            <w:pPr>
              <w:spacing w:line="300" w:lineRule="exact"/>
              <w:jc w:val="center"/>
              <w:rPr>
                <w:rFonts w:ascii="宋体"/>
                <w:color w:val="auto"/>
                <w:sz w:val="21"/>
                <w:highlight w:val="none"/>
              </w:rPr>
            </w:pPr>
          </w:p>
        </w:tc>
        <w:tc>
          <w:tcPr>
            <w:tcW w:w="1064" w:type="dxa"/>
            <w:vMerge w:val="continue"/>
          </w:tcPr>
          <w:p w14:paraId="1AFCAC6F">
            <w:pPr>
              <w:spacing w:line="300" w:lineRule="exact"/>
              <w:jc w:val="center"/>
              <w:rPr>
                <w:rFonts w:ascii="宋体"/>
                <w:color w:val="auto"/>
                <w:sz w:val="21"/>
                <w:highlight w:val="none"/>
              </w:rPr>
            </w:pPr>
          </w:p>
        </w:tc>
      </w:tr>
      <w:tr w14:paraId="472B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2" w:type="dxa"/>
            <w:vMerge w:val="continue"/>
            <w:vAlign w:val="center"/>
          </w:tcPr>
          <w:p w14:paraId="25A65846">
            <w:pPr>
              <w:spacing w:line="300" w:lineRule="exact"/>
              <w:jc w:val="center"/>
              <w:rPr>
                <w:rFonts w:ascii="宋体"/>
                <w:b/>
                <w:color w:val="auto"/>
                <w:sz w:val="21"/>
                <w:highlight w:val="none"/>
              </w:rPr>
            </w:pPr>
          </w:p>
        </w:tc>
        <w:tc>
          <w:tcPr>
            <w:tcW w:w="6280" w:type="dxa"/>
            <w:gridSpan w:val="2"/>
            <w:vAlign w:val="center"/>
          </w:tcPr>
          <w:p w14:paraId="3AFEA846">
            <w:pPr>
              <w:spacing w:line="300" w:lineRule="exact"/>
              <w:jc w:val="left"/>
              <w:rPr>
                <w:rFonts w:ascii="宋体"/>
                <w:color w:val="auto"/>
                <w:sz w:val="18"/>
                <w:highlight w:val="none"/>
              </w:rPr>
            </w:pPr>
            <w:r>
              <w:rPr>
                <w:rFonts w:ascii="宋体"/>
                <w:color w:val="auto"/>
                <w:sz w:val="18"/>
                <w:highlight w:val="none"/>
              </w:rPr>
              <w:t>3.</w:t>
            </w:r>
            <w:r>
              <w:rPr>
                <w:rFonts w:hint="eastAsia" w:ascii="宋体"/>
                <w:color w:val="auto"/>
                <w:sz w:val="18"/>
                <w:highlight w:val="none"/>
              </w:rPr>
              <w:t>抗旱、抗台、抗雪、防冻措施不力，视情节轻重，扣</w:t>
            </w:r>
            <w:r>
              <w:rPr>
                <w:rFonts w:ascii="宋体"/>
                <w:color w:val="auto"/>
                <w:sz w:val="18"/>
                <w:highlight w:val="none"/>
              </w:rPr>
              <w:t>5-10</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次。</w:t>
            </w:r>
          </w:p>
        </w:tc>
        <w:tc>
          <w:tcPr>
            <w:tcW w:w="962" w:type="dxa"/>
            <w:vAlign w:val="center"/>
          </w:tcPr>
          <w:p w14:paraId="3AB92BF8">
            <w:pPr>
              <w:spacing w:line="300" w:lineRule="exact"/>
              <w:jc w:val="center"/>
              <w:rPr>
                <w:rFonts w:ascii="宋体"/>
                <w:color w:val="auto"/>
                <w:sz w:val="21"/>
                <w:highlight w:val="none"/>
              </w:rPr>
            </w:pPr>
          </w:p>
        </w:tc>
        <w:tc>
          <w:tcPr>
            <w:tcW w:w="1064" w:type="dxa"/>
            <w:vMerge w:val="continue"/>
          </w:tcPr>
          <w:p w14:paraId="3C7E2CF4">
            <w:pPr>
              <w:spacing w:line="300" w:lineRule="exact"/>
              <w:jc w:val="center"/>
              <w:rPr>
                <w:rFonts w:ascii="宋体"/>
                <w:color w:val="auto"/>
                <w:sz w:val="21"/>
                <w:highlight w:val="none"/>
              </w:rPr>
            </w:pPr>
          </w:p>
        </w:tc>
      </w:tr>
      <w:tr w14:paraId="3B11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2" w:type="dxa"/>
            <w:vMerge w:val="continue"/>
            <w:vAlign w:val="center"/>
          </w:tcPr>
          <w:p w14:paraId="13A04E5D">
            <w:pPr>
              <w:spacing w:line="300" w:lineRule="exact"/>
              <w:jc w:val="center"/>
              <w:rPr>
                <w:rFonts w:ascii="宋体"/>
                <w:b/>
                <w:color w:val="auto"/>
                <w:sz w:val="21"/>
                <w:highlight w:val="none"/>
              </w:rPr>
            </w:pPr>
          </w:p>
        </w:tc>
        <w:tc>
          <w:tcPr>
            <w:tcW w:w="6280" w:type="dxa"/>
            <w:gridSpan w:val="2"/>
            <w:vAlign w:val="center"/>
          </w:tcPr>
          <w:p w14:paraId="651E32E1">
            <w:pPr>
              <w:spacing w:line="300" w:lineRule="exact"/>
              <w:jc w:val="left"/>
              <w:rPr>
                <w:rFonts w:ascii="宋体" w:eastAsia="宋体"/>
                <w:color w:val="auto"/>
                <w:sz w:val="18"/>
                <w:highlight w:val="none"/>
              </w:rPr>
            </w:pPr>
            <w:r>
              <w:rPr>
                <w:rFonts w:ascii="宋体"/>
                <w:color w:val="auto"/>
                <w:sz w:val="18"/>
                <w:highlight w:val="none"/>
              </w:rPr>
              <w:t>4.</w:t>
            </w:r>
            <w:r>
              <w:rPr>
                <w:rFonts w:hint="eastAsia" w:ascii="宋体"/>
                <w:color w:val="auto"/>
                <w:sz w:val="18"/>
                <w:highlight w:val="none"/>
              </w:rPr>
              <w:t>养护人员少于规定最低人数的，每少一人扣</w:t>
            </w:r>
            <w:r>
              <w:rPr>
                <w:rFonts w:ascii="宋体"/>
                <w:color w:val="auto"/>
                <w:sz w:val="18"/>
                <w:highlight w:val="none"/>
              </w:rPr>
              <w:t>200</w:t>
            </w:r>
            <w:r>
              <w:rPr>
                <w:rFonts w:hint="eastAsia" w:ascii="宋体"/>
                <w:color w:val="auto"/>
                <w:sz w:val="18"/>
                <w:highlight w:val="none"/>
              </w:rPr>
              <w:t>元</w:t>
            </w:r>
            <w:r>
              <w:rPr>
                <w:rFonts w:ascii="宋体"/>
                <w:color w:val="auto"/>
                <w:sz w:val="18"/>
                <w:highlight w:val="none"/>
              </w:rPr>
              <w:t>/</w:t>
            </w:r>
            <w:r>
              <w:rPr>
                <w:rFonts w:hint="eastAsia" w:ascii="宋体"/>
                <w:color w:val="auto"/>
                <w:sz w:val="18"/>
                <w:highlight w:val="none"/>
              </w:rPr>
              <w:t>人·天；管理人员扣</w:t>
            </w:r>
            <w:r>
              <w:rPr>
                <w:rFonts w:ascii="宋体"/>
                <w:color w:val="auto"/>
                <w:sz w:val="18"/>
                <w:highlight w:val="none"/>
              </w:rPr>
              <w:t>500</w:t>
            </w:r>
            <w:r>
              <w:rPr>
                <w:rFonts w:hint="eastAsia" w:ascii="宋体"/>
                <w:color w:val="auto"/>
                <w:sz w:val="18"/>
                <w:highlight w:val="none"/>
              </w:rPr>
              <w:t>元</w:t>
            </w:r>
            <w:r>
              <w:rPr>
                <w:rFonts w:ascii="宋体"/>
                <w:color w:val="auto"/>
                <w:sz w:val="18"/>
                <w:highlight w:val="none"/>
              </w:rPr>
              <w:t>/</w:t>
            </w:r>
            <w:r>
              <w:rPr>
                <w:rFonts w:hint="eastAsia" w:ascii="宋体"/>
                <w:color w:val="auto"/>
                <w:sz w:val="18"/>
                <w:highlight w:val="none"/>
              </w:rPr>
              <w:t>人·天；因故暂时造成在岗人数不足的，在缺人</w:t>
            </w:r>
            <w:r>
              <w:rPr>
                <w:rFonts w:ascii="宋体"/>
                <w:color w:val="auto"/>
                <w:sz w:val="18"/>
                <w:highlight w:val="none"/>
              </w:rPr>
              <w:t>5</w:t>
            </w:r>
            <w:r>
              <w:rPr>
                <w:rFonts w:hint="eastAsia" w:ascii="宋体"/>
                <w:color w:val="auto"/>
                <w:sz w:val="18"/>
                <w:highlight w:val="none"/>
              </w:rPr>
              <w:t>个工作日后仍未补充到岗的，从养护经费中扣除</w:t>
            </w:r>
            <w:r>
              <w:rPr>
                <w:rFonts w:ascii="宋体"/>
                <w:color w:val="auto"/>
                <w:sz w:val="18"/>
                <w:highlight w:val="none"/>
              </w:rPr>
              <w:t>3000</w:t>
            </w:r>
            <w:r>
              <w:rPr>
                <w:rFonts w:hint="eastAsia" w:ascii="宋体"/>
                <w:color w:val="auto"/>
                <w:sz w:val="18"/>
                <w:highlight w:val="none"/>
              </w:rPr>
              <w:t>元</w:t>
            </w:r>
            <w:r>
              <w:rPr>
                <w:rFonts w:ascii="宋体"/>
                <w:color w:val="auto"/>
                <w:sz w:val="18"/>
                <w:highlight w:val="none"/>
              </w:rPr>
              <w:t>/</w:t>
            </w:r>
            <w:r>
              <w:rPr>
                <w:rFonts w:hint="eastAsia" w:ascii="宋体"/>
                <w:color w:val="auto"/>
                <w:sz w:val="18"/>
                <w:highlight w:val="none"/>
              </w:rPr>
              <w:t>人·月，以此类推，扣完为止。</w:t>
            </w:r>
          </w:p>
        </w:tc>
        <w:tc>
          <w:tcPr>
            <w:tcW w:w="962" w:type="dxa"/>
            <w:vAlign w:val="center"/>
          </w:tcPr>
          <w:p w14:paraId="3244FDEA">
            <w:pPr>
              <w:spacing w:line="300" w:lineRule="exact"/>
              <w:jc w:val="center"/>
              <w:rPr>
                <w:rFonts w:ascii="宋体"/>
                <w:color w:val="auto"/>
                <w:sz w:val="21"/>
                <w:highlight w:val="none"/>
              </w:rPr>
            </w:pPr>
          </w:p>
        </w:tc>
        <w:tc>
          <w:tcPr>
            <w:tcW w:w="1064" w:type="dxa"/>
            <w:vMerge w:val="continue"/>
          </w:tcPr>
          <w:p w14:paraId="30037D95">
            <w:pPr>
              <w:spacing w:line="300" w:lineRule="exact"/>
              <w:jc w:val="center"/>
              <w:rPr>
                <w:rFonts w:ascii="宋体"/>
                <w:color w:val="auto"/>
                <w:sz w:val="21"/>
                <w:highlight w:val="none"/>
              </w:rPr>
            </w:pPr>
          </w:p>
        </w:tc>
      </w:tr>
      <w:tr w14:paraId="165E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2" w:type="dxa"/>
            <w:vMerge w:val="continue"/>
            <w:vAlign w:val="center"/>
          </w:tcPr>
          <w:p w14:paraId="4D306AA8">
            <w:pPr>
              <w:spacing w:line="300" w:lineRule="exact"/>
              <w:jc w:val="center"/>
              <w:rPr>
                <w:rFonts w:ascii="宋体"/>
                <w:b/>
                <w:color w:val="auto"/>
                <w:sz w:val="21"/>
                <w:highlight w:val="none"/>
              </w:rPr>
            </w:pPr>
          </w:p>
        </w:tc>
        <w:tc>
          <w:tcPr>
            <w:tcW w:w="6280" w:type="dxa"/>
            <w:gridSpan w:val="2"/>
            <w:vAlign w:val="center"/>
          </w:tcPr>
          <w:p w14:paraId="373A6BFF">
            <w:pPr>
              <w:spacing w:line="300" w:lineRule="exact"/>
              <w:rPr>
                <w:rFonts w:ascii="宋体"/>
                <w:color w:val="auto"/>
                <w:sz w:val="18"/>
                <w:highlight w:val="none"/>
              </w:rPr>
            </w:pPr>
            <w:r>
              <w:rPr>
                <w:rFonts w:ascii="宋体"/>
                <w:color w:val="auto"/>
                <w:sz w:val="18"/>
                <w:highlight w:val="none"/>
              </w:rPr>
              <w:t>5.</w:t>
            </w:r>
            <w:r>
              <w:rPr>
                <w:rFonts w:hint="eastAsia" w:ascii="宋体"/>
                <w:color w:val="auto"/>
                <w:sz w:val="18"/>
                <w:highlight w:val="none"/>
              </w:rPr>
              <w:t>发现擅自侵占绿地现象或突发事件损坏绿化与设施，未及时制止并上报的扣</w:t>
            </w:r>
            <w:r>
              <w:rPr>
                <w:rFonts w:ascii="宋体"/>
                <w:color w:val="auto"/>
                <w:sz w:val="18"/>
                <w:highlight w:val="none"/>
              </w:rPr>
              <w:t>5-10</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次；扣完为止。</w:t>
            </w:r>
          </w:p>
        </w:tc>
        <w:tc>
          <w:tcPr>
            <w:tcW w:w="962" w:type="dxa"/>
            <w:vAlign w:val="center"/>
          </w:tcPr>
          <w:p w14:paraId="79E21AD6">
            <w:pPr>
              <w:spacing w:line="300" w:lineRule="exact"/>
              <w:jc w:val="center"/>
              <w:rPr>
                <w:rFonts w:ascii="宋体"/>
                <w:color w:val="auto"/>
                <w:sz w:val="21"/>
                <w:highlight w:val="none"/>
              </w:rPr>
            </w:pPr>
          </w:p>
        </w:tc>
        <w:tc>
          <w:tcPr>
            <w:tcW w:w="1064" w:type="dxa"/>
            <w:vMerge w:val="continue"/>
          </w:tcPr>
          <w:p w14:paraId="1374F0F2">
            <w:pPr>
              <w:spacing w:line="300" w:lineRule="exact"/>
              <w:jc w:val="center"/>
              <w:rPr>
                <w:rFonts w:ascii="宋体"/>
                <w:color w:val="auto"/>
                <w:sz w:val="21"/>
                <w:highlight w:val="none"/>
              </w:rPr>
            </w:pPr>
          </w:p>
        </w:tc>
      </w:tr>
      <w:tr w14:paraId="2273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52" w:type="dxa"/>
            <w:vMerge w:val="continue"/>
            <w:vAlign w:val="center"/>
          </w:tcPr>
          <w:p w14:paraId="2CE2AE38">
            <w:pPr>
              <w:spacing w:line="300" w:lineRule="exact"/>
              <w:jc w:val="center"/>
              <w:rPr>
                <w:rFonts w:ascii="宋体"/>
                <w:color w:val="auto"/>
                <w:sz w:val="21"/>
                <w:highlight w:val="none"/>
              </w:rPr>
            </w:pPr>
          </w:p>
        </w:tc>
        <w:tc>
          <w:tcPr>
            <w:tcW w:w="6280" w:type="dxa"/>
            <w:gridSpan w:val="2"/>
            <w:vAlign w:val="center"/>
          </w:tcPr>
          <w:p w14:paraId="10B3B043">
            <w:pPr>
              <w:spacing w:line="300" w:lineRule="exact"/>
              <w:rPr>
                <w:rFonts w:ascii="宋体"/>
                <w:color w:val="auto"/>
                <w:sz w:val="18"/>
                <w:highlight w:val="none"/>
              </w:rPr>
            </w:pPr>
            <w:r>
              <w:rPr>
                <w:rFonts w:ascii="宋体"/>
                <w:color w:val="auto"/>
                <w:sz w:val="18"/>
                <w:highlight w:val="none"/>
              </w:rPr>
              <w:t>6.</w:t>
            </w:r>
            <w:r>
              <w:rPr>
                <w:rFonts w:hint="eastAsia" w:ascii="宋体"/>
                <w:color w:val="auto"/>
                <w:sz w:val="18"/>
                <w:highlight w:val="none"/>
              </w:rPr>
              <w:t>被群众投诉、上级交办件中因管理不到位造成的，每件扣</w:t>
            </w:r>
            <w:r>
              <w:rPr>
                <w:rFonts w:ascii="宋体"/>
                <w:color w:val="auto"/>
                <w:sz w:val="18"/>
                <w:highlight w:val="none"/>
              </w:rPr>
              <w:t>5</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次；未按要求整改，或逾期未完成整改的另扣</w:t>
            </w:r>
            <w:r>
              <w:rPr>
                <w:rFonts w:ascii="宋体"/>
                <w:color w:val="auto"/>
                <w:sz w:val="18"/>
                <w:highlight w:val="none"/>
              </w:rPr>
              <w:t>5-10</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次；</w:t>
            </w:r>
            <w:r>
              <w:rPr>
                <w:rFonts w:ascii="宋体"/>
                <w:color w:val="auto"/>
                <w:sz w:val="18"/>
                <w:highlight w:val="none"/>
              </w:rPr>
              <w:t xml:space="preserve"> </w:t>
            </w:r>
            <w:r>
              <w:rPr>
                <w:rFonts w:hint="eastAsia" w:ascii="宋体"/>
                <w:color w:val="auto"/>
                <w:sz w:val="18"/>
                <w:highlight w:val="none"/>
              </w:rPr>
              <w:t>扣完为止。</w:t>
            </w:r>
          </w:p>
        </w:tc>
        <w:tc>
          <w:tcPr>
            <w:tcW w:w="962" w:type="dxa"/>
            <w:vAlign w:val="center"/>
          </w:tcPr>
          <w:p w14:paraId="437215E3">
            <w:pPr>
              <w:spacing w:line="300" w:lineRule="exact"/>
              <w:jc w:val="center"/>
              <w:rPr>
                <w:rFonts w:ascii="宋体"/>
                <w:color w:val="auto"/>
                <w:sz w:val="21"/>
                <w:highlight w:val="none"/>
              </w:rPr>
            </w:pPr>
          </w:p>
        </w:tc>
        <w:tc>
          <w:tcPr>
            <w:tcW w:w="1064" w:type="dxa"/>
            <w:vMerge w:val="continue"/>
          </w:tcPr>
          <w:p w14:paraId="7D6DB27B">
            <w:pPr>
              <w:spacing w:line="300" w:lineRule="exact"/>
              <w:jc w:val="center"/>
              <w:rPr>
                <w:rFonts w:ascii="宋体"/>
                <w:color w:val="auto"/>
                <w:sz w:val="21"/>
                <w:highlight w:val="none"/>
              </w:rPr>
            </w:pPr>
          </w:p>
        </w:tc>
      </w:tr>
      <w:tr w14:paraId="3729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52" w:type="dxa"/>
            <w:vMerge w:val="continue"/>
            <w:vAlign w:val="center"/>
          </w:tcPr>
          <w:p w14:paraId="150EDD48">
            <w:pPr>
              <w:spacing w:line="300" w:lineRule="exact"/>
              <w:jc w:val="center"/>
              <w:rPr>
                <w:rFonts w:ascii="宋体"/>
                <w:color w:val="auto"/>
                <w:sz w:val="21"/>
                <w:highlight w:val="none"/>
              </w:rPr>
            </w:pPr>
          </w:p>
        </w:tc>
        <w:tc>
          <w:tcPr>
            <w:tcW w:w="6280" w:type="dxa"/>
            <w:gridSpan w:val="2"/>
            <w:vAlign w:val="center"/>
          </w:tcPr>
          <w:p w14:paraId="2D9458F8">
            <w:pPr>
              <w:spacing w:line="300" w:lineRule="exact"/>
              <w:rPr>
                <w:rFonts w:ascii="宋体"/>
                <w:color w:val="auto"/>
                <w:sz w:val="18"/>
                <w:highlight w:val="none"/>
              </w:rPr>
            </w:pPr>
            <w:r>
              <w:rPr>
                <w:rFonts w:ascii="宋体"/>
                <w:color w:val="auto"/>
                <w:sz w:val="18"/>
                <w:highlight w:val="none"/>
              </w:rPr>
              <w:t>7.</w:t>
            </w:r>
            <w:r>
              <w:rPr>
                <w:rFonts w:hint="eastAsia" w:ascii="宋体"/>
                <w:color w:val="auto"/>
                <w:sz w:val="18"/>
                <w:highlight w:val="none"/>
              </w:rPr>
              <w:t>对在重大活动、上级交办的临时和应急突发任务过程中，配合不力、消极应对，未及时完成或完成后达不到要求的每项扣</w:t>
            </w:r>
            <w:r>
              <w:rPr>
                <w:rFonts w:ascii="宋体"/>
                <w:color w:val="auto"/>
                <w:sz w:val="18"/>
                <w:highlight w:val="none"/>
              </w:rPr>
              <w:t>5</w:t>
            </w:r>
            <w:r>
              <w:rPr>
                <w:rFonts w:hint="eastAsia" w:ascii="宋体"/>
                <w:color w:val="auto"/>
                <w:sz w:val="18"/>
                <w:highlight w:val="none"/>
              </w:rPr>
              <w:t>－</w:t>
            </w:r>
            <w:r>
              <w:rPr>
                <w:rFonts w:ascii="宋体"/>
                <w:color w:val="auto"/>
                <w:sz w:val="18"/>
                <w:highlight w:val="none"/>
              </w:rPr>
              <w:t>10</w:t>
            </w:r>
            <w:r>
              <w:rPr>
                <w:rFonts w:hint="eastAsia" w:ascii="宋体"/>
                <w:color w:val="auto"/>
                <w:sz w:val="18"/>
                <w:highlight w:val="none"/>
              </w:rPr>
              <w:t>分</w:t>
            </w:r>
            <w:r>
              <w:rPr>
                <w:rFonts w:ascii="宋体"/>
                <w:color w:val="auto"/>
                <w:sz w:val="18"/>
                <w:highlight w:val="none"/>
              </w:rPr>
              <w:t>/</w:t>
            </w:r>
            <w:r>
              <w:rPr>
                <w:rFonts w:hint="eastAsia" w:ascii="宋体"/>
                <w:color w:val="auto"/>
                <w:sz w:val="18"/>
                <w:highlight w:val="none"/>
              </w:rPr>
              <w:t>次（情节严重的扣分加倍）；扣完为止。</w:t>
            </w:r>
          </w:p>
        </w:tc>
        <w:tc>
          <w:tcPr>
            <w:tcW w:w="962" w:type="dxa"/>
            <w:vAlign w:val="center"/>
          </w:tcPr>
          <w:p w14:paraId="435383DE">
            <w:pPr>
              <w:spacing w:line="300" w:lineRule="exact"/>
              <w:jc w:val="center"/>
              <w:rPr>
                <w:rFonts w:ascii="宋体"/>
                <w:color w:val="auto"/>
                <w:sz w:val="21"/>
                <w:highlight w:val="none"/>
              </w:rPr>
            </w:pPr>
          </w:p>
        </w:tc>
        <w:tc>
          <w:tcPr>
            <w:tcW w:w="1064" w:type="dxa"/>
            <w:vMerge w:val="continue"/>
          </w:tcPr>
          <w:p w14:paraId="23DE87BA">
            <w:pPr>
              <w:spacing w:line="300" w:lineRule="exact"/>
              <w:jc w:val="center"/>
              <w:rPr>
                <w:rFonts w:ascii="宋体"/>
                <w:color w:val="auto"/>
                <w:sz w:val="21"/>
                <w:highlight w:val="none"/>
              </w:rPr>
            </w:pPr>
          </w:p>
        </w:tc>
      </w:tr>
      <w:tr w14:paraId="251C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52" w:type="dxa"/>
            <w:vMerge w:val="continue"/>
            <w:vAlign w:val="center"/>
          </w:tcPr>
          <w:p w14:paraId="1E127F66">
            <w:pPr>
              <w:spacing w:line="300" w:lineRule="exact"/>
              <w:jc w:val="center"/>
              <w:rPr>
                <w:rFonts w:ascii="宋体"/>
                <w:color w:val="auto"/>
                <w:sz w:val="21"/>
                <w:highlight w:val="none"/>
              </w:rPr>
            </w:pPr>
          </w:p>
        </w:tc>
        <w:tc>
          <w:tcPr>
            <w:tcW w:w="6280" w:type="dxa"/>
            <w:gridSpan w:val="2"/>
            <w:vAlign w:val="center"/>
          </w:tcPr>
          <w:p w14:paraId="7F182DEF">
            <w:pPr>
              <w:spacing w:line="300" w:lineRule="exact"/>
              <w:rPr>
                <w:rFonts w:ascii="宋体"/>
                <w:color w:val="auto"/>
                <w:sz w:val="18"/>
                <w:highlight w:val="none"/>
              </w:rPr>
            </w:pPr>
            <w:r>
              <w:rPr>
                <w:rFonts w:ascii="宋体"/>
                <w:color w:val="auto"/>
                <w:sz w:val="18"/>
                <w:highlight w:val="none"/>
              </w:rPr>
              <w:t>8.</w:t>
            </w:r>
            <w:r>
              <w:rPr>
                <w:rFonts w:hint="eastAsia" w:ascii="宋体"/>
                <w:color w:val="auto"/>
                <w:sz w:val="18"/>
                <w:highlight w:val="none"/>
              </w:rPr>
              <w:t>上级部门检查时因绿化原因被扣分、通报批评或不达标的；或因绿化管养严重不到位，被各类媒体曝光并查实的，每件扣</w:t>
            </w:r>
            <w:r>
              <w:rPr>
                <w:rFonts w:ascii="宋体"/>
                <w:color w:val="auto"/>
                <w:sz w:val="18"/>
                <w:highlight w:val="none"/>
              </w:rPr>
              <w:t>5000</w:t>
            </w:r>
            <w:r>
              <w:rPr>
                <w:rFonts w:hint="eastAsia" w:ascii="宋体"/>
                <w:color w:val="auto"/>
                <w:sz w:val="18"/>
                <w:highlight w:val="none"/>
              </w:rPr>
              <w:t>元</w:t>
            </w:r>
            <w:r>
              <w:rPr>
                <w:rFonts w:ascii="宋体"/>
                <w:color w:val="auto"/>
                <w:sz w:val="18"/>
                <w:highlight w:val="none"/>
              </w:rPr>
              <w:t>/</w:t>
            </w:r>
            <w:r>
              <w:rPr>
                <w:rFonts w:hint="eastAsia" w:ascii="宋体"/>
                <w:color w:val="auto"/>
                <w:sz w:val="18"/>
                <w:highlight w:val="none"/>
              </w:rPr>
              <w:t>次；酌情扣分。</w:t>
            </w:r>
          </w:p>
        </w:tc>
        <w:tc>
          <w:tcPr>
            <w:tcW w:w="962" w:type="dxa"/>
            <w:vAlign w:val="center"/>
          </w:tcPr>
          <w:p w14:paraId="47E6ADC8">
            <w:pPr>
              <w:spacing w:line="300" w:lineRule="exact"/>
              <w:jc w:val="center"/>
              <w:rPr>
                <w:rFonts w:ascii="宋体"/>
                <w:color w:val="auto"/>
                <w:sz w:val="21"/>
                <w:highlight w:val="none"/>
              </w:rPr>
            </w:pPr>
          </w:p>
        </w:tc>
        <w:tc>
          <w:tcPr>
            <w:tcW w:w="1064" w:type="dxa"/>
            <w:vMerge w:val="continue"/>
          </w:tcPr>
          <w:p w14:paraId="002B3D66">
            <w:pPr>
              <w:spacing w:line="300" w:lineRule="exact"/>
              <w:jc w:val="center"/>
              <w:rPr>
                <w:rFonts w:ascii="宋体"/>
                <w:color w:val="auto"/>
                <w:sz w:val="21"/>
                <w:highlight w:val="none"/>
              </w:rPr>
            </w:pPr>
          </w:p>
        </w:tc>
      </w:tr>
      <w:tr w14:paraId="3F30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132" w:type="dxa"/>
            <w:gridSpan w:val="3"/>
            <w:vAlign w:val="center"/>
          </w:tcPr>
          <w:p w14:paraId="0F9F5488">
            <w:pPr>
              <w:spacing w:line="300" w:lineRule="exact"/>
              <w:jc w:val="center"/>
              <w:rPr>
                <w:rFonts w:ascii="宋体"/>
                <w:b/>
                <w:color w:val="auto"/>
                <w:sz w:val="21"/>
                <w:highlight w:val="none"/>
              </w:rPr>
            </w:pPr>
            <w:r>
              <w:rPr>
                <w:rFonts w:hint="eastAsia" w:ascii="宋体"/>
                <w:b/>
                <w:color w:val="auto"/>
                <w:sz w:val="21"/>
                <w:highlight w:val="none"/>
              </w:rPr>
              <w:t>合</w:t>
            </w:r>
            <w:r>
              <w:rPr>
                <w:rFonts w:ascii="宋体"/>
                <w:b/>
                <w:color w:val="auto"/>
                <w:sz w:val="21"/>
                <w:highlight w:val="none"/>
              </w:rPr>
              <w:t xml:space="preserve"> </w:t>
            </w:r>
            <w:r>
              <w:rPr>
                <w:rFonts w:hint="eastAsia" w:ascii="宋体"/>
                <w:b/>
                <w:color w:val="auto"/>
                <w:sz w:val="21"/>
                <w:highlight w:val="none"/>
              </w:rPr>
              <w:t>计</w:t>
            </w:r>
          </w:p>
        </w:tc>
        <w:tc>
          <w:tcPr>
            <w:tcW w:w="962" w:type="dxa"/>
            <w:vAlign w:val="center"/>
          </w:tcPr>
          <w:p w14:paraId="53A980B3">
            <w:pPr>
              <w:spacing w:line="300" w:lineRule="exact"/>
              <w:jc w:val="center"/>
              <w:rPr>
                <w:rFonts w:ascii="宋体"/>
                <w:color w:val="auto"/>
                <w:sz w:val="21"/>
                <w:highlight w:val="none"/>
              </w:rPr>
            </w:pPr>
          </w:p>
        </w:tc>
        <w:tc>
          <w:tcPr>
            <w:tcW w:w="1064" w:type="dxa"/>
          </w:tcPr>
          <w:p w14:paraId="71F9FE37">
            <w:pPr>
              <w:spacing w:line="300" w:lineRule="exact"/>
              <w:jc w:val="center"/>
              <w:rPr>
                <w:rFonts w:ascii="宋体"/>
                <w:color w:val="auto"/>
                <w:sz w:val="21"/>
                <w:highlight w:val="none"/>
              </w:rPr>
            </w:pPr>
          </w:p>
        </w:tc>
      </w:tr>
      <w:tr w14:paraId="5888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0" w:type="dxa"/>
            <w:gridSpan w:val="2"/>
            <w:vAlign w:val="center"/>
          </w:tcPr>
          <w:p w14:paraId="5577F8F2">
            <w:pPr>
              <w:spacing w:line="300" w:lineRule="exact"/>
              <w:jc w:val="center"/>
              <w:rPr>
                <w:rFonts w:ascii="宋体"/>
                <w:b/>
                <w:color w:val="auto"/>
                <w:sz w:val="21"/>
                <w:highlight w:val="none"/>
              </w:rPr>
            </w:pPr>
            <w:r>
              <w:rPr>
                <w:rFonts w:hint="eastAsia" w:ascii="宋体"/>
                <w:b/>
                <w:color w:val="auto"/>
                <w:sz w:val="21"/>
                <w:highlight w:val="none"/>
              </w:rPr>
              <w:t>考核人员</w:t>
            </w:r>
            <w:r>
              <w:rPr>
                <w:rFonts w:ascii="宋体"/>
                <w:b/>
                <w:color w:val="auto"/>
                <w:sz w:val="21"/>
                <w:highlight w:val="none"/>
              </w:rPr>
              <w:t xml:space="preserve">  </w:t>
            </w:r>
            <w:r>
              <w:rPr>
                <w:rFonts w:hint="eastAsia" w:ascii="宋体"/>
                <w:b/>
                <w:color w:val="auto"/>
                <w:sz w:val="21"/>
                <w:highlight w:val="none"/>
              </w:rPr>
              <w:t>签名</w:t>
            </w:r>
          </w:p>
        </w:tc>
        <w:tc>
          <w:tcPr>
            <w:tcW w:w="8298" w:type="dxa"/>
            <w:gridSpan w:val="3"/>
            <w:vAlign w:val="center"/>
          </w:tcPr>
          <w:p w14:paraId="5875DD94">
            <w:pPr>
              <w:spacing w:line="300" w:lineRule="exact"/>
              <w:jc w:val="center"/>
              <w:rPr>
                <w:rFonts w:ascii="宋体"/>
                <w:color w:val="auto"/>
                <w:sz w:val="21"/>
                <w:highlight w:val="none"/>
              </w:rPr>
            </w:pPr>
          </w:p>
          <w:p w14:paraId="62C834C0">
            <w:pPr>
              <w:rPr>
                <w:rFonts w:ascii="宋体"/>
                <w:color w:val="auto"/>
                <w:sz w:val="21"/>
                <w:highlight w:val="none"/>
              </w:rPr>
            </w:pPr>
          </w:p>
          <w:p w14:paraId="793217A1">
            <w:pPr>
              <w:rPr>
                <w:rFonts w:ascii="宋体"/>
                <w:color w:val="auto"/>
                <w:sz w:val="21"/>
                <w:highlight w:val="none"/>
              </w:rPr>
            </w:pPr>
            <w:r>
              <w:rPr>
                <w:rFonts w:ascii="宋体"/>
                <w:color w:val="auto"/>
                <w:sz w:val="21"/>
                <w:highlight w:val="none"/>
              </w:rPr>
              <w:t xml:space="preserve">                                            </w:t>
            </w:r>
            <w:r>
              <w:rPr>
                <w:rFonts w:hint="eastAsia" w:ascii="宋体"/>
                <w:color w:val="auto"/>
                <w:sz w:val="21"/>
                <w:highlight w:val="none"/>
              </w:rPr>
              <w:t>时间：</w:t>
            </w:r>
          </w:p>
        </w:tc>
      </w:tr>
    </w:tbl>
    <w:p w14:paraId="0C0E51BC">
      <w:pPr>
        <w:autoSpaceDE w:val="0"/>
        <w:autoSpaceDN w:val="0"/>
        <w:spacing w:line="360" w:lineRule="exact"/>
        <w:ind w:firstLine="482"/>
        <w:jc w:val="right"/>
        <w:rPr>
          <w:rFonts w:ascii="宋体" w:hAnsi="宋体" w:eastAsia="宋体" w:cs="宋体"/>
          <w:color w:val="auto"/>
          <w:sz w:val="21"/>
          <w:szCs w:val="21"/>
          <w:highlight w:val="none"/>
        </w:rPr>
      </w:pPr>
      <w:r>
        <w:rPr>
          <w:rFonts w:hint="eastAsia" w:ascii="宋体"/>
          <w:color w:val="auto"/>
          <w:sz w:val="21"/>
          <w:highlight w:val="none"/>
        </w:rPr>
        <w:t>备注：本考核办法（考核表内容）由</w:t>
      </w:r>
      <w:r>
        <w:rPr>
          <w:rFonts w:hint="eastAsia" w:ascii="宋体" w:hAnsi="宋体"/>
          <w:color w:val="auto"/>
          <w:sz w:val="21"/>
          <w:highlight w:val="none"/>
        </w:rPr>
        <w:t>仙居县交通运输局</w:t>
      </w:r>
      <w:r>
        <w:rPr>
          <w:rFonts w:hint="eastAsia" w:ascii="宋体"/>
          <w:color w:val="auto"/>
          <w:sz w:val="21"/>
          <w:highlight w:val="none"/>
        </w:rPr>
        <w:t>负责解释。</w:t>
      </w:r>
      <w:r>
        <w:rPr>
          <w:rFonts w:ascii="宋体"/>
          <w:color w:val="auto"/>
          <w:sz w:val="21"/>
          <w:highlight w:val="none"/>
        </w:rPr>
        <w:tab/>
      </w:r>
      <w:r>
        <w:rPr>
          <w:rFonts w:ascii="宋体"/>
          <w:color w:val="auto"/>
          <w:sz w:val="21"/>
          <w:highlight w:val="none"/>
        </w:rPr>
        <w:t xml:space="preserve">      </w:t>
      </w:r>
    </w:p>
    <w:p w14:paraId="2FF7D5B7">
      <w:pPr>
        <w:spacing w:line="400" w:lineRule="exact"/>
        <w:ind w:firstLine="2711" w:firstLineChars="900"/>
        <w:rPr>
          <w:rFonts w:ascii="宋体" w:hAnsi="宋体" w:eastAsia="宋体" w:cs="宋体"/>
          <w:b/>
          <w:bCs/>
          <w:color w:val="auto"/>
          <w:sz w:val="30"/>
          <w:szCs w:val="30"/>
          <w:highlight w:val="none"/>
        </w:rPr>
      </w:pPr>
    </w:p>
    <w:p w14:paraId="07E356CE">
      <w:pP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6627330A">
      <w:pPr>
        <w:numPr>
          <w:ilvl w:val="0"/>
          <w:numId w:val="7"/>
        </w:numPr>
        <w:autoSpaceDE w:val="0"/>
        <w:autoSpaceDN w:val="0"/>
        <w:adjustRightInd w:val="0"/>
        <w:jc w:val="center"/>
        <w:outlineLvl w:val="0"/>
        <w:rPr>
          <w:rFonts w:ascii="宋体" w:hAnsi="宋体" w:eastAsia="宋体" w:cs="宋体"/>
          <w:b/>
          <w:color w:val="auto"/>
          <w:sz w:val="28"/>
          <w:szCs w:val="28"/>
          <w:highlight w:val="none"/>
        </w:rPr>
      </w:pPr>
      <w:r>
        <w:rPr>
          <w:rFonts w:hint="eastAsia" w:ascii="宋体" w:hAnsi="宋体" w:eastAsia="宋体" w:cs="宋体"/>
          <w:b/>
          <w:bCs/>
          <w:color w:val="auto"/>
          <w:sz w:val="30"/>
          <w:szCs w:val="30"/>
          <w:highlight w:val="none"/>
        </w:rPr>
        <w:t>　</w:t>
      </w:r>
      <w:bookmarkStart w:id="97" w:name="_Toc11807"/>
      <w:r>
        <w:rPr>
          <w:rFonts w:hint="eastAsia" w:ascii="宋体" w:hAnsi="宋体" w:eastAsia="宋体" w:cs="宋体"/>
          <w:b/>
          <w:bCs/>
          <w:color w:val="auto"/>
          <w:sz w:val="30"/>
          <w:szCs w:val="30"/>
          <w:highlight w:val="none"/>
        </w:rPr>
        <w:t>响应文件格式</w:t>
      </w:r>
      <w:bookmarkEnd w:id="97"/>
    </w:p>
    <w:bookmarkEnd w:id="87"/>
    <w:p w14:paraId="4DA07EC1">
      <w:pPr>
        <w:pStyle w:val="15"/>
        <w:adjustRightInd w:val="0"/>
        <w:snapToGrid w:val="0"/>
        <w:spacing w:before="120" w:after="120"/>
        <w:rPr>
          <w:rFonts w:hAnsi="宋体" w:eastAsia="宋体" w:cs="宋体"/>
          <w:b/>
          <w:bCs/>
          <w:color w:val="auto"/>
          <w:sz w:val="24"/>
          <w:szCs w:val="24"/>
          <w:highlight w:val="none"/>
        </w:rPr>
      </w:pPr>
      <w:bookmarkStart w:id="98" w:name="_Toc194223719"/>
      <w:bookmarkStart w:id="99" w:name="_Toc205087903"/>
      <w:bookmarkStart w:id="100" w:name="_Toc199314553"/>
      <w:bookmarkStart w:id="101" w:name="_Toc205087913"/>
      <w:bookmarkStart w:id="102" w:name="_Toc199314545"/>
      <w:bookmarkStart w:id="103" w:name="_Toc295986635"/>
      <w:bookmarkStart w:id="104" w:name="_Toc240724400"/>
    </w:p>
    <w:p w14:paraId="2AA78913">
      <w:pPr>
        <w:pStyle w:val="15"/>
        <w:adjustRightInd w:val="0"/>
        <w:snapToGrid w:val="0"/>
        <w:spacing w:before="120" w:after="120"/>
        <w:rPr>
          <w:rFonts w:hAnsi="宋体" w:eastAsia="宋体" w:cs="宋体"/>
          <w:b/>
          <w:bCs/>
          <w:color w:val="auto"/>
          <w:sz w:val="24"/>
          <w:szCs w:val="24"/>
          <w:highlight w:val="none"/>
        </w:rPr>
      </w:pPr>
    </w:p>
    <w:p w14:paraId="725F71A6">
      <w:pPr>
        <w:pStyle w:val="15"/>
        <w:adjustRightInd w:val="0"/>
        <w:snapToGrid w:val="0"/>
        <w:spacing w:before="120" w:after="120"/>
        <w:rPr>
          <w:rFonts w:hAnsi="宋体" w:eastAsia="宋体" w:cs="宋体"/>
          <w:b/>
          <w:bCs/>
          <w:color w:val="auto"/>
          <w:sz w:val="24"/>
          <w:szCs w:val="24"/>
          <w:highlight w:val="none"/>
        </w:rPr>
      </w:pPr>
    </w:p>
    <w:p w14:paraId="42944C21">
      <w:pPr>
        <w:pStyle w:val="15"/>
        <w:adjustRightInd w:val="0"/>
        <w:snapToGrid w:val="0"/>
        <w:spacing w:before="120" w:after="120"/>
        <w:rPr>
          <w:rFonts w:hAnsi="宋体" w:eastAsia="宋体" w:cs="宋体"/>
          <w:b/>
          <w:bCs/>
          <w:color w:val="auto"/>
          <w:sz w:val="24"/>
          <w:szCs w:val="24"/>
          <w:highlight w:val="none"/>
        </w:rPr>
      </w:pPr>
    </w:p>
    <w:p w14:paraId="2C1E6805">
      <w:pPr>
        <w:pStyle w:val="15"/>
        <w:adjustRightInd w:val="0"/>
        <w:snapToGrid w:val="0"/>
        <w:spacing w:before="120" w:after="120"/>
        <w:rPr>
          <w:rFonts w:hAnsi="宋体" w:eastAsia="宋体" w:cs="宋体"/>
          <w:b/>
          <w:bCs/>
          <w:color w:val="auto"/>
          <w:sz w:val="24"/>
          <w:szCs w:val="24"/>
          <w:highlight w:val="none"/>
        </w:rPr>
      </w:pPr>
    </w:p>
    <w:p w14:paraId="760DAB7D">
      <w:pPr>
        <w:pStyle w:val="15"/>
        <w:adjustRightInd w:val="0"/>
        <w:snapToGrid w:val="0"/>
        <w:spacing w:before="120" w:after="120"/>
        <w:rPr>
          <w:rFonts w:hAnsi="宋体" w:eastAsia="宋体" w:cs="宋体"/>
          <w:b/>
          <w:bCs/>
          <w:color w:val="auto"/>
          <w:sz w:val="24"/>
          <w:szCs w:val="24"/>
          <w:highlight w:val="none"/>
        </w:rPr>
      </w:pPr>
    </w:p>
    <w:p w14:paraId="4FA0CA1B">
      <w:pPr>
        <w:pStyle w:val="15"/>
        <w:adjustRightInd w:val="0"/>
        <w:snapToGrid w:val="0"/>
        <w:spacing w:before="120" w:after="120"/>
        <w:rPr>
          <w:rFonts w:hAnsi="宋体" w:eastAsia="宋体" w:cs="宋体"/>
          <w:b/>
          <w:bCs/>
          <w:color w:val="auto"/>
          <w:sz w:val="24"/>
          <w:szCs w:val="24"/>
          <w:highlight w:val="none"/>
        </w:rPr>
      </w:pPr>
    </w:p>
    <w:p w14:paraId="7E7D5A4B">
      <w:pPr>
        <w:pStyle w:val="5"/>
        <w:spacing w:before="240" w:beforeLines="100" w:after="0" w:line="360" w:lineRule="auto"/>
        <w:jc w:val="center"/>
        <w:rPr>
          <w:rFonts w:ascii="宋体" w:hAnsi="宋体" w:eastAsia="宋体"/>
          <w:bCs w:val="0"/>
          <w:color w:val="auto"/>
          <w:highlight w:val="none"/>
          <w:lang w:val="zh-CN"/>
        </w:rPr>
      </w:pPr>
      <w:bookmarkStart w:id="105" w:name="_Toc528578413"/>
      <w:bookmarkStart w:id="106" w:name="_Toc10914"/>
      <w:bookmarkStart w:id="107" w:name="_Toc528927455"/>
      <w:bookmarkStart w:id="108" w:name="_Toc20095"/>
      <w:r>
        <w:rPr>
          <w:rFonts w:hint="eastAsia" w:ascii="宋体" w:hAnsi="宋体" w:eastAsia="宋体"/>
          <w:bCs w:val="0"/>
          <w:color w:val="auto"/>
          <w:highlight w:val="none"/>
          <w:lang w:val="zh-CN"/>
        </w:rPr>
        <w:t>1、资格证明文件格式</w:t>
      </w:r>
      <w:bookmarkEnd w:id="105"/>
      <w:bookmarkEnd w:id="106"/>
      <w:bookmarkEnd w:id="107"/>
      <w:bookmarkEnd w:id="108"/>
    </w:p>
    <w:p w14:paraId="7676A9D3">
      <w:pPr>
        <w:spacing w:before="100" w:beforeAutospacing="1"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目  录</w:t>
      </w:r>
    </w:p>
    <w:p w14:paraId="449C1E9F">
      <w:pPr>
        <w:pStyle w:val="15"/>
        <w:adjustRightInd w:val="0"/>
        <w:snapToGrid w:val="0"/>
        <w:spacing w:before="120" w:after="120"/>
        <w:ind w:firstLine="1200" w:firstLineChars="500"/>
        <w:rPr>
          <w:rFonts w:hAnsi="宋体" w:eastAsia="宋体" w:cs="宋体"/>
          <w:b/>
          <w:bCs/>
          <w:color w:val="auto"/>
          <w:sz w:val="24"/>
          <w:szCs w:val="24"/>
          <w:highlight w:val="none"/>
        </w:rPr>
      </w:pPr>
      <w:r>
        <w:rPr>
          <w:rFonts w:hint="eastAsia" w:hAnsi="宋体"/>
          <w:color w:val="auto"/>
          <w:sz w:val="24"/>
          <w:highlight w:val="none"/>
        </w:rPr>
        <w:t>（按照“第三部分 磋商须知”有关资格证明文件组成要求编排）</w:t>
      </w:r>
    </w:p>
    <w:p w14:paraId="678E777E">
      <w:pPr>
        <w:pStyle w:val="15"/>
        <w:adjustRightInd w:val="0"/>
        <w:snapToGrid w:val="0"/>
        <w:spacing w:before="120" w:after="120"/>
        <w:rPr>
          <w:rFonts w:hAnsi="宋体" w:eastAsia="宋体" w:cs="宋体"/>
          <w:b/>
          <w:bCs/>
          <w:color w:val="auto"/>
          <w:sz w:val="24"/>
          <w:szCs w:val="24"/>
          <w:highlight w:val="none"/>
        </w:rPr>
      </w:pPr>
    </w:p>
    <w:p w14:paraId="33BB7634">
      <w:pPr>
        <w:pStyle w:val="13"/>
        <w:ind w:firstLine="210"/>
        <w:rPr>
          <w:color w:val="auto"/>
          <w:highlight w:val="none"/>
        </w:rPr>
      </w:pPr>
    </w:p>
    <w:p w14:paraId="58FA8351">
      <w:pPr>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1C8B943">
      <w:pPr>
        <w:pStyle w:val="15"/>
        <w:adjustRightInd w:val="0"/>
        <w:snapToGrid w:val="0"/>
        <w:spacing w:before="120" w:after="120"/>
        <w:rPr>
          <w:rFonts w:hAnsi="宋体" w:eastAsia="宋体" w:cs="宋体"/>
          <w:color w:val="auto"/>
          <w:sz w:val="24"/>
          <w:szCs w:val="24"/>
          <w:highlight w:val="none"/>
        </w:rPr>
      </w:pPr>
      <w:r>
        <w:rPr>
          <w:rFonts w:hint="eastAsia" w:hAnsi="宋体" w:eastAsia="宋体" w:cs="宋体"/>
          <w:b/>
          <w:bCs/>
          <w:color w:val="auto"/>
          <w:sz w:val="24"/>
          <w:szCs w:val="24"/>
          <w:highlight w:val="none"/>
        </w:rPr>
        <w:t>附件一：</w:t>
      </w:r>
      <w:r>
        <w:rPr>
          <w:rFonts w:hint="eastAsia" w:hAnsi="宋体" w:eastAsia="宋体" w:cs="宋体"/>
          <w:color w:val="auto"/>
          <w:sz w:val="24"/>
          <w:szCs w:val="24"/>
          <w:highlight w:val="none"/>
        </w:rPr>
        <w:t xml:space="preserve">                     </w:t>
      </w:r>
    </w:p>
    <w:p w14:paraId="03AB97E2">
      <w:pPr>
        <w:pStyle w:val="15"/>
        <w:adjustRightInd w:val="0"/>
        <w:snapToGrid w:val="0"/>
        <w:spacing w:before="120" w:after="120"/>
        <w:jc w:val="center"/>
        <w:rPr>
          <w:rFonts w:hAnsi="宋体" w:eastAsia="宋体" w:cs="宋体"/>
          <w:color w:val="auto"/>
          <w:sz w:val="24"/>
          <w:szCs w:val="24"/>
          <w:highlight w:val="none"/>
        </w:rPr>
      </w:pPr>
      <w:r>
        <w:rPr>
          <w:rFonts w:hint="eastAsia" w:hAnsi="宋体" w:eastAsia="宋体" w:cs="宋体"/>
          <w:b/>
          <w:bCs/>
          <w:color w:val="auto"/>
          <w:sz w:val="24"/>
          <w:szCs w:val="24"/>
          <w:highlight w:val="none"/>
        </w:rPr>
        <w:t>磋商声明书</w:t>
      </w:r>
    </w:p>
    <w:p w14:paraId="1351B485">
      <w:pPr>
        <w:adjustRightInd w:val="0"/>
        <w:snapToGrid w:val="0"/>
        <w:spacing w:line="360" w:lineRule="auto"/>
        <w:ind w:firstLine="120" w:firstLineChars="50"/>
        <w:rPr>
          <w:rFonts w:ascii="宋体" w:hAnsi="宋体" w:eastAsia="宋体" w:cs="宋体"/>
          <w:color w:val="auto"/>
          <w:sz w:val="24"/>
          <w:highlight w:val="none"/>
        </w:rPr>
      </w:pPr>
      <w:r>
        <w:rPr>
          <w:rFonts w:hint="eastAsia" w:ascii="宋体" w:hAnsi="宋体" w:eastAsia="宋体" w:cs="宋体"/>
          <w:color w:val="auto"/>
          <w:sz w:val="24"/>
          <w:highlight w:val="none"/>
          <w:u w:val="single"/>
        </w:rPr>
        <w:t>仙居县交通运输局</w:t>
      </w:r>
      <w:r>
        <w:rPr>
          <w:rFonts w:hint="eastAsia" w:ascii="宋体" w:hAnsi="宋体" w:eastAsia="宋体" w:cs="宋体"/>
          <w:color w:val="auto"/>
          <w:sz w:val="24"/>
          <w:highlight w:val="none"/>
        </w:rPr>
        <w:t>：</w:t>
      </w:r>
    </w:p>
    <w:p w14:paraId="3CB39E28">
      <w:pPr>
        <w:snapToGrid w:val="0"/>
        <w:spacing w:line="4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系中华人民共和国合法企业，经营地址为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271EC12">
      <w:pPr>
        <w:snapToGrid w:val="0"/>
        <w:spacing w:line="4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u w:val="single"/>
        </w:rPr>
        <w:t xml:space="preserve">     姓名      </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xml:space="preserve">     供应商名称    </w:t>
      </w:r>
      <w:r>
        <w:rPr>
          <w:rFonts w:hint="eastAsia" w:ascii="宋体" w:hAnsi="宋体" w:eastAsia="宋体" w:cs="宋体"/>
          <w:color w:val="auto"/>
          <w:kern w:val="0"/>
          <w:sz w:val="24"/>
          <w:highlight w:val="none"/>
        </w:rPr>
        <w:t>）的法定代表人，我公司自愿参加贵方组织的</w:t>
      </w:r>
      <w:r>
        <w:rPr>
          <w:rFonts w:hint="eastAsia" w:hAnsi="宋体" w:eastAsia="宋体"/>
          <w:color w:val="auto"/>
          <w:sz w:val="24"/>
          <w:highlight w:val="none"/>
          <w:u w:val="single"/>
          <w:lang w:eastAsia="zh-CN"/>
        </w:rPr>
        <w:t>2024年-2025年仙居县所有国、省道及县道公路绿化管护服务项目(重新招标）</w:t>
      </w:r>
      <w:r>
        <w:rPr>
          <w:rFonts w:hint="eastAsia" w:ascii="宋体" w:hAnsi="宋体" w:eastAsia="宋体" w:cs="宋体"/>
          <w:color w:val="auto"/>
          <w:kern w:val="0"/>
          <w:sz w:val="24"/>
          <w:highlight w:val="none"/>
        </w:rPr>
        <w:t>[编号：</w:t>
      </w:r>
      <w:r>
        <w:rPr>
          <w:rFonts w:hint="eastAsia" w:ascii="宋体" w:hAnsi="宋体" w:eastAsia="宋体" w:cs="宋体"/>
          <w:color w:val="auto"/>
          <w:kern w:val="0"/>
          <w:sz w:val="24"/>
          <w:highlight w:val="none"/>
          <w:u w:val="single"/>
          <w:lang w:eastAsia="zh-CN"/>
        </w:rPr>
        <w:t>GTXJ(采购）-24009-1</w:t>
      </w:r>
      <w:r>
        <w:rPr>
          <w:rFonts w:hint="eastAsia" w:ascii="宋体" w:hAnsi="宋体" w:eastAsia="宋体" w:cs="宋体"/>
          <w:color w:val="auto"/>
          <w:kern w:val="0"/>
          <w:sz w:val="24"/>
          <w:highlight w:val="none"/>
        </w:rPr>
        <w:t>]的磋商，为此，我公司就本次磋商有关事项郑重声明如下：</w:t>
      </w:r>
    </w:p>
    <w:p w14:paraId="150A8BC0">
      <w:pPr>
        <w:snapToGrid w:val="0"/>
        <w:spacing w:line="460" w:lineRule="exact"/>
        <w:ind w:firstLine="480" w:firstLineChars="200"/>
        <w:rPr>
          <w:rFonts w:ascii="宋体" w:hAnsi="宋体" w:eastAsia="宋体" w:cs="宋体"/>
          <w:b/>
          <w:color w:val="auto"/>
          <w:kern w:val="0"/>
          <w:sz w:val="24"/>
          <w:highlight w:val="none"/>
        </w:rPr>
      </w:pPr>
      <w:r>
        <w:rPr>
          <w:rFonts w:hint="eastAsia" w:ascii="宋体" w:hAnsi="宋体" w:eastAsia="宋体" w:cs="宋体"/>
          <w:color w:val="auto"/>
          <w:sz w:val="24"/>
          <w:highlight w:val="none"/>
        </w:rPr>
        <w:t>1、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584AEE4E">
      <w:pPr>
        <w:snapToGrid w:val="0"/>
        <w:spacing w:line="4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72AF8DBA">
      <w:pPr>
        <w:snapToGrid w:val="0"/>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sz w:val="24"/>
          <w:highlight w:val="none"/>
        </w:rPr>
        <w:t>不是采购人的附属机构；在获知本项目采购信息后，与采购人聘请的为此项目提供咨询服务的公司及其附属机构没有任何联系。</w:t>
      </w:r>
    </w:p>
    <w:p w14:paraId="500CEEDC">
      <w:pPr>
        <w:snapToGrid w:val="0"/>
        <w:spacing w:line="460" w:lineRule="exact"/>
        <w:ind w:firstLine="480" w:firstLineChars="200"/>
        <w:rPr>
          <w:rFonts w:ascii="宋体" w:hAnsi="宋体" w:eastAsia="宋体" w:cs="宋体"/>
          <w:color w:val="auto"/>
          <w:kern w:val="0"/>
          <w:sz w:val="24"/>
          <w:highlight w:val="none"/>
          <w:lang w:val="af-ZA"/>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rPr>
        <w:t>保证，</w:t>
      </w:r>
      <w:r>
        <w:rPr>
          <w:rFonts w:hint="eastAsia" w:ascii="宋体" w:hAnsi="宋体" w:eastAsia="宋体" w:cs="宋体"/>
          <w:color w:val="auto"/>
          <w:kern w:val="0"/>
          <w:sz w:val="24"/>
          <w:highlight w:val="none"/>
          <w:lang w:val="af-ZA"/>
        </w:rPr>
        <w:t>采购人在中华人民共和国境内使用</w:t>
      </w: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72FF6BE9">
      <w:pPr>
        <w:snapToGrid w:val="0"/>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lang w:val="af-ZA"/>
        </w:rPr>
        <w:t>5、我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lang w:val="af-ZA"/>
        </w:rPr>
        <w:t>严格履行政府采购合同，不降低合同约定的产品质量和服务，不擅自变更、中止、终止合同，或拒绝履行合同义务；</w:t>
      </w:r>
    </w:p>
    <w:p w14:paraId="6474C633">
      <w:pPr>
        <w:snapToGrid w:val="0"/>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6、以上事项如有虚假或隐瞒，我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sz w:val="24"/>
          <w:highlight w:val="none"/>
        </w:rPr>
        <w:t>愿意承担一切后果，并不再寻求任何旨在减轻或免除法律责任的辩解。</w:t>
      </w:r>
    </w:p>
    <w:p w14:paraId="7A38D5AF">
      <w:pPr>
        <w:adjustRightInd w:val="0"/>
        <w:snapToGrid w:val="0"/>
        <w:spacing w:line="360" w:lineRule="auto"/>
        <w:ind w:firstLine="480"/>
        <w:rPr>
          <w:rFonts w:ascii="宋体" w:hAnsi="宋体" w:eastAsia="宋体" w:cs="宋体"/>
          <w:color w:val="auto"/>
          <w:kern w:val="0"/>
          <w:sz w:val="24"/>
          <w:highlight w:val="none"/>
        </w:rPr>
      </w:pPr>
    </w:p>
    <w:p w14:paraId="407D055F">
      <w:pPr>
        <w:adjustRightInd w:val="0"/>
        <w:snapToGrid w:val="0"/>
        <w:spacing w:line="360" w:lineRule="auto"/>
        <w:ind w:firstLine="4680" w:firstLineChars="1950"/>
        <w:jc w:val="righ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rPr>
        <w:t>磋商供应商</w:t>
      </w:r>
      <w:r>
        <w:rPr>
          <w:rFonts w:hint="eastAsia" w:ascii="宋体" w:hAnsi="宋体" w:eastAsia="宋体" w:cs="宋体"/>
          <w:color w:val="auto"/>
          <w:kern w:val="0"/>
          <w:sz w:val="24"/>
          <w:highlight w:val="none"/>
          <w:lang w:val="zh-CN"/>
        </w:rPr>
        <w:t>名称(公章)：</w:t>
      </w:r>
    </w:p>
    <w:p w14:paraId="37951215">
      <w:pPr>
        <w:adjustRightInd w:val="0"/>
        <w:snapToGrid w:val="0"/>
        <w:spacing w:line="360" w:lineRule="auto"/>
        <w:jc w:val="righ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14:paraId="1C34E0F0">
      <w:pPr>
        <w:adjustRightInd w:val="0"/>
        <w:snapToGrid w:val="0"/>
        <w:spacing w:line="360" w:lineRule="auto"/>
        <w:ind w:right="126"/>
        <w:jc w:val="righ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    日期：     年   月   日</w:t>
      </w:r>
    </w:p>
    <w:p w14:paraId="70256592">
      <w:pPr>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2B4FF566">
      <w:pPr>
        <w:snapToGrid w:val="0"/>
        <w:spacing w:before="120" w:beforeLines="50" w:after="5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 xml:space="preserve">附件二：                    </w:t>
      </w:r>
    </w:p>
    <w:p w14:paraId="5540625B">
      <w:pPr>
        <w:snapToGrid w:val="0"/>
        <w:spacing w:before="120" w:beforeLines="50" w:after="5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法定代表人授权委托书</w:t>
      </w:r>
    </w:p>
    <w:p w14:paraId="6DF7D3C1">
      <w:pPr>
        <w:snapToGrid w:val="0"/>
        <w:spacing w:before="120" w:beforeLines="50" w:after="50"/>
        <w:rPr>
          <w:rFonts w:ascii="宋体" w:hAnsi="宋体" w:eastAsia="宋体" w:cs="宋体"/>
          <w:bCs/>
          <w:color w:val="auto"/>
          <w:sz w:val="24"/>
          <w:highlight w:val="none"/>
        </w:rPr>
      </w:pPr>
    </w:p>
    <w:p w14:paraId="7DA6C8C1">
      <w:pPr>
        <w:snapToGrid w:val="0"/>
        <w:spacing w:before="120" w:beforeLines="50" w:after="50"/>
        <w:rPr>
          <w:rFonts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仙居县交通运输局</w:t>
      </w:r>
      <w:r>
        <w:rPr>
          <w:rFonts w:hint="eastAsia" w:ascii="宋体" w:hAnsi="宋体" w:eastAsia="宋体" w:cs="宋体"/>
          <w:color w:val="auto"/>
          <w:sz w:val="24"/>
          <w:highlight w:val="none"/>
        </w:rPr>
        <w:t>：</w:t>
      </w:r>
    </w:p>
    <w:p w14:paraId="58AE4E6A">
      <w:pPr>
        <w:pStyle w:val="15"/>
        <w:spacing w:line="360" w:lineRule="auto"/>
        <w:ind w:left="0" w:firstLine="480" w:firstLineChars="200"/>
        <w:rPr>
          <w:rFonts w:hAnsi="宋体"/>
          <w:color w:val="auto"/>
          <w:sz w:val="24"/>
          <w:highlight w:val="none"/>
        </w:rPr>
      </w:pPr>
      <w:r>
        <w:rPr>
          <w:rFonts w:hAnsi="宋体"/>
          <w:color w:val="auto"/>
          <w:sz w:val="24"/>
          <w:highlight w:val="none"/>
          <w:u w:val="single"/>
        </w:rPr>
        <w:t>（</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hAnsi="宋体" w:eastAsia="宋体"/>
          <w:color w:val="auto"/>
          <w:sz w:val="24"/>
          <w:highlight w:val="none"/>
          <w:u w:val="single"/>
        </w:rPr>
        <w:t xml:space="preserve"> </w:t>
      </w:r>
      <w:r>
        <w:rPr>
          <w:rFonts w:hint="eastAsia" w:hAnsi="宋体" w:eastAsia="宋体"/>
          <w:color w:val="auto"/>
          <w:sz w:val="24"/>
          <w:highlight w:val="none"/>
          <w:u w:val="single"/>
          <w:lang w:eastAsia="zh-CN"/>
        </w:rPr>
        <w:t>2024年-2025年仙居县所有国、省道及县道公路绿化管护服务项目(重新招标）</w:t>
      </w:r>
      <w:r>
        <w:rPr>
          <w:rFonts w:hint="eastAsia" w:ascii="宋体" w:hAnsi="宋体" w:eastAsia="宋体" w:cs="宋体"/>
          <w:color w:val="auto"/>
          <w:kern w:val="0"/>
          <w:sz w:val="24"/>
          <w:highlight w:val="none"/>
          <w:u w:val="single"/>
        </w:rPr>
        <w:t>[编号：</w:t>
      </w:r>
      <w:r>
        <w:rPr>
          <w:rFonts w:hint="eastAsia" w:hAnsi="宋体" w:eastAsia="宋体" w:cs="宋体"/>
          <w:color w:val="auto"/>
          <w:kern w:val="0"/>
          <w:sz w:val="24"/>
          <w:highlight w:val="none"/>
          <w:u w:val="single"/>
          <w:lang w:eastAsia="zh-CN"/>
        </w:rPr>
        <w:t>GTXJ(采购）-24009-1</w:t>
      </w:r>
      <w:r>
        <w:rPr>
          <w:rFonts w:hint="eastAsia" w:ascii="宋体" w:hAnsi="宋体" w:eastAsia="宋体" w:cs="宋体"/>
          <w:color w:val="auto"/>
          <w:kern w:val="0"/>
          <w:sz w:val="24"/>
          <w:highlight w:val="none"/>
          <w:u w:val="single"/>
        </w:rPr>
        <w:t>]</w:t>
      </w:r>
      <w:r>
        <w:rPr>
          <w:rFonts w:hAnsi="宋体"/>
          <w:color w:val="auto"/>
          <w:sz w:val="24"/>
          <w:highlight w:val="none"/>
        </w:rPr>
        <w:t>的采购活动，并代表我方全权办理针对上述项目的磋商、签约等具体事务和签署相关文件。</w:t>
      </w:r>
      <w:r>
        <w:rPr>
          <w:rFonts w:hint="eastAsia" w:hAnsi="宋体"/>
          <w:color w:val="auto"/>
          <w:sz w:val="24"/>
          <w:highlight w:val="none"/>
        </w:rPr>
        <w:t>我方对全权代表的签字事项负全部责任。</w:t>
      </w:r>
    </w:p>
    <w:p w14:paraId="027C64CC">
      <w:pPr>
        <w:pStyle w:val="15"/>
        <w:spacing w:line="500" w:lineRule="exact"/>
        <w:ind w:left="238"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4DBE8B58">
      <w:pPr>
        <w:pStyle w:val="15"/>
        <w:spacing w:line="500" w:lineRule="exact"/>
        <w:ind w:left="238"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0264395F">
      <w:pPr>
        <w:spacing w:line="360" w:lineRule="auto"/>
        <w:rPr>
          <w:color w:val="auto"/>
          <w:sz w:val="24"/>
          <w:highlight w:val="none"/>
        </w:rPr>
      </w:pPr>
    </w:p>
    <w:p w14:paraId="1990C07B">
      <w:pPr>
        <w:spacing w:line="360" w:lineRule="auto"/>
        <w:rPr>
          <w:color w:val="auto"/>
          <w:sz w:val="24"/>
          <w:highlight w:val="none"/>
        </w:rPr>
      </w:pPr>
      <w:r>
        <w:rPr>
          <w:rFonts w:hint="eastAsia" w:ascii="宋体"/>
          <w:color w:val="auto"/>
          <w:sz w:val="24"/>
          <w:highlight w:val="none"/>
        </w:rPr>
        <w:t>法定代表人签字或盖章：</w:t>
      </w:r>
    </w:p>
    <w:p w14:paraId="4EDD84C6">
      <w:pPr>
        <w:spacing w:line="360" w:lineRule="auto"/>
        <w:rPr>
          <w:color w:val="auto"/>
          <w:sz w:val="24"/>
          <w:highlight w:val="none"/>
        </w:rPr>
      </w:pPr>
    </w:p>
    <w:p w14:paraId="355C115D">
      <w:pPr>
        <w:spacing w:line="360" w:lineRule="auto"/>
        <w:rPr>
          <w:color w:val="auto"/>
          <w:sz w:val="24"/>
          <w:highlight w:val="none"/>
        </w:rPr>
      </w:pPr>
      <w:r>
        <w:rPr>
          <w:rFonts w:hint="eastAsia" w:ascii="宋体"/>
          <w:color w:val="auto"/>
          <w:sz w:val="24"/>
          <w:highlight w:val="none"/>
        </w:rPr>
        <w:t>供应商全称（公章）：                              日期：</w:t>
      </w:r>
    </w:p>
    <w:p w14:paraId="2422CACE">
      <w:pPr>
        <w:spacing w:line="360" w:lineRule="auto"/>
        <w:rPr>
          <w:color w:val="auto"/>
          <w:sz w:val="24"/>
          <w:highlight w:val="none"/>
        </w:rPr>
      </w:pPr>
    </w:p>
    <w:p w14:paraId="7FF21372">
      <w:pPr>
        <w:spacing w:line="360" w:lineRule="auto"/>
        <w:rPr>
          <w:b/>
          <w:color w:val="auto"/>
          <w:sz w:val="24"/>
          <w:highlight w:val="none"/>
        </w:rPr>
      </w:pPr>
      <w:r>
        <w:rPr>
          <w:rFonts w:hint="eastAsia" w:ascii="宋体"/>
          <w:b/>
          <w:color w:val="auto"/>
          <w:sz w:val="24"/>
          <w:highlight w:val="none"/>
        </w:rPr>
        <w:t>附：</w:t>
      </w: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7B8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CCCA16D">
            <w:pPr>
              <w:spacing w:line="360" w:lineRule="auto"/>
              <w:rPr>
                <w:rFonts w:ascii="宋体"/>
                <w:b/>
                <w:color w:val="auto"/>
                <w:sz w:val="24"/>
                <w:highlight w:val="none"/>
              </w:rPr>
            </w:pPr>
          </w:p>
          <w:p w14:paraId="020EF3BD">
            <w:pPr>
              <w:spacing w:line="360" w:lineRule="auto"/>
              <w:ind w:firstLine="360" w:firstLineChars="150"/>
              <w:rPr>
                <w:rFonts w:ascii="宋体"/>
                <w:b/>
                <w:color w:val="auto"/>
                <w:sz w:val="24"/>
                <w:highlight w:val="none"/>
              </w:rPr>
            </w:pPr>
            <w:r>
              <w:rPr>
                <w:rFonts w:hint="eastAsia" w:ascii="宋体"/>
                <w:b/>
                <w:color w:val="auto"/>
                <w:sz w:val="24"/>
                <w:highlight w:val="none"/>
              </w:rPr>
              <w:t>法定代表身份证复印件粘帖处</w:t>
            </w:r>
          </w:p>
        </w:tc>
      </w:tr>
    </w:tbl>
    <w:p w14:paraId="109B5A76">
      <w:pPr>
        <w:spacing w:line="360" w:lineRule="auto"/>
        <w:rPr>
          <w:color w:val="auto"/>
          <w:sz w:val="24"/>
          <w:highlight w:val="none"/>
        </w:rPr>
      </w:pPr>
      <w:r>
        <w:rPr>
          <w:rFonts w:hint="eastAsia" w:ascii="宋体"/>
          <w:color w:val="auto"/>
          <w:sz w:val="24"/>
          <w:highlight w:val="none"/>
        </w:rPr>
        <w:t xml:space="preserve">法定代表人姓名：                                 </w:t>
      </w:r>
    </w:p>
    <w:p w14:paraId="18B1ABB0">
      <w:pPr>
        <w:spacing w:line="360" w:lineRule="auto"/>
        <w:rPr>
          <w:color w:val="auto"/>
          <w:sz w:val="24"/>
          <w:highlight w:val="none"/>
        </w:rPr>
      </w:pPr>
      <w:r>
        <w:rPr>
          <w:rFonts w:hint="eastAsia" w:ascii="宋体"/>
          <w:color w:val="auto"/>
          <w:sz w:val="24"/>
          <w:highlight w:val="none"/>
        </w:rPr>
        <w:t>传真：</w:t>
      </w:r>
    </w:p>
    <w:p w14:paraId="3BE45FE2">
      <w:pPr>
        <w:spacing w:line="360" w:lineRule="auto"/>
        <w:rPr>
          <w:rFonts w:ascii="宋体"/>
          <w:color w:val="auto"/>
          <w:sz w:val="24"/>
          <w:highlight w:val="none"/>
        </w:rPr>
      </w:pPr>
      <w:r>
        <w:rPr>
          <w:rFonts w:hint="eastAsia" w:ascii="宋体"/>
          <w:color w:val="auto"/>
          <w:sz w:val="24"/>
          <w:highlight w:val="none"/>
        </w:rPr>
        <w:t>电话：</w:t>
      </w:r>
    </w:p>
    <w:p w14:paraId="6F8CE2ED">
      <w:pPr>
        <w:spacing w:line="360" w:lineRule="auto"/>
        <w:rPr>
          <w:color w:val="auto"/>
          <w:sz w:val="24"/>
          <w:highlight w:val="none"/>
        </w:rPr>
      </w:pPr>
      <w:r>
        <w:rPr>
          <w:rFonts w:hint="eastAsia" w:ascii="宋体"/>
          <w:color w:val="auto"/>
          <w:sz w:val="24"/>
          <w:highlight w:val="none"/>
        </w:rPr>
        <w:t>详细通讯地址：</w:t>
      </w:r>
    </w:p>
    <w:p w14:paraId="1253D871">
      <w:pPr>
        <w:spacing w:line="360" w:lineRule="auto"/>
        <w:rPr>
          <w:rFonts w:ascii="宋体"/>
          <w:color w:val="auto"/>
          <w:sz w:val="24"/>
          <w:highlight w:val="none"/>
        </w:rPr>
      </w:pPr>
      <w:r>
        <w:rPr>
          <w:rFonts w:hint="eastAsia" w:ascii="宋体"/>
          <w:color w:val="auto"/>
          <w:sz w:val="24"/>
          <w:highlight w:val="none"/>
        </w:rPr>
        <w:t>邮政编码：</w:t>
      </w:r>
    </w:p>
    <w:p w14:paraId="2878C792">
      <w:pPr>
        <w:spacing w:line="360" w:lineRule="auto"/>
        <w:rPr>
          <w:b/>
          <w:color w:val="auto"/>
          <w:sz w:val="24"/>
          <w:highlight w:val="none"/>
        </w:rPr>
      </w:pP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C3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EB1FEC4">
            <w:pPr>
              <w:spacing w:line="360" w:lineRule="auto"/>
              <w:rPr>
                <w:rFonts w:ascii="宋体"/>
                <w:b/>
                <w:color w:val="auto"/>
                <w:sz w:val="24"/>
                <w:highlight w:val="none"/>
              </w:rPr>
            </w:pPr>
          </w:p>
          <w:p w14:paraId="3E8D3578">
            <w:pPr>
              <w:spacing w:line="360" w:lineRule="auto"/>
              <w:ind w:firstLine="360" w:firstLineChars="150"/>
              <w:rPr>
                <w:rFonts w:ascii="宋体"/>
                <w:b/>
                <w:color w:val="auto"/>
                <w:sz w:val="24"/>
                <w:highlight w:val="none"/>
              </w:rPr>
            </w:pPr>
            <w:r>
              <w:rPr>
                <w:rFonts w:hint="eastAsia" w:ascii="宋体"/>
                <w:b/>
                <w:color w:val="auto"/>
                <w:sz w:val="24"/>
                <w:highlight w:val="none"/>
              </w:rPr>
              <w:t>全权代表身份证复印件粘帖处</w:t>
            </w:r>
          </w:p>
        </w:tc>
      </w:tr>
    </w:tbl>
    <w:p w14:paraId="744A14C6">
      <w:pPr>
        <w:spacing w:line="360" w:lineRule="auto"/>
        <w:rPr>
          <w:rFonts w:ascii="宋体"/>
          <w:color w:val="auto"/>
          <w:sz w:val="24"/>
          <w:highlight w:val="none"/>
        </w:rPr>
      </w:pPr>
      <w:r>
        <w:rPr>
          <w:rFonts w:hint="eastAsia" w:ascii="宋体"/>
          <w:color w:val="auto"/>
          <w:sz w:val="24"/>
          <w:highlight w:val="none"/>
        </w:rPr>
        <w:t xml:space="preserve">全权代表姓名：       </w:t>
      </w:r>
    </w:p>
    <w:p w14:paraId="7B7D0209">
      <w:pPr>
        <w:spacing w:line="360" w:lineRule="auto"/>
        <w:rPr>
          <w:color w:val="auto"/>
          <w:sz w:val="24"/>
          <w:highlight w:val="none"/>
        </w:rPr>
      </w:pPr>
      <w:r>
        <w:rPr>
          <w:rFonts w:hint="eastAsia" w:ascii="宋体"/>
          <w:color w:val="auto"/>
          <w:sz w:val="24"/>
          <w:highlight w:val="none"/>
        </w:rPr>
        <w:t xml:space="preserve">职务：                           </w:t>
      </w:r>
    </w:p>
    <w:p w14:paraId="51D93255">
      <w:pPr>
        <w:spacing w:line="360" w:lineRule="auto"/>
        <w:rPr>
          <w:color w:val="auto"/>
          <w:sz w:val="24"/>
          <w:highlight w:val="none"/>
        </w:rPr>
      </w:pPr>
      <w:r>
        <w:rPr>
          <w:rFonts w:hint="eastAsia" w:ascii="宋体"/>
          <w:color w:val="auto"/>
          <w:sz w:val="24"/>
          <w:highlight w:val="none"/>
        </w:rPr>
        <w:t>传真：</w:t>
      </w:r>
    </w:p>
    <w:p w14:paraId="142DB580">
      <w:pPr>
        <w:spacing w:line="360" w:lineRule="auto"/>
        <w:rPr>
          <w:rFonts w:ascii="宋体"/>
          <w:color w:val="auto"/>
          <w:sz w:val="24"/>
          <w:highlight w:val="none"/>
        </w:rPr>
      </w:pPr>
      <w:r>
        <w:rPr>
          <w:rFonts w:hint="eastAsia" w:ascii="宋体"/>
          <w:color w:val="auto"/>
          <w:sz w:val="24"/>
          <w:highlight w:val="none"/>
        </w:rPr>
        <w:t>电话：</w:t>
      </w:r>
    </w:p>
    <w:p w14:paraId="50A22801">
      <w:pPr>
        <w:spacing w:line="360" w:lineRule="auto"/>
        <w:rPr>
          <w:color w:val="auto"/>
          <w:sz w:val="24"/>
          <w:highlight w:val="none"/>
        </w:rPr>
      </w:pPr>
      <w:r>
        <w:rPr>
          <w:rFonts w:hint="eastAsia" w:ascii="宋体"/>
          <w:color w:val="auto"/>
          <w:sz w:val="24"/>
          <w:highlight w:val="none"/>
        </w:rPr>
        <w:t>详细通讯地址：</w:t>
      </w:r>
    </w:p>
    <w:p w14:paraId="217B328B">
      <w:pPr>
        <w:pStyle w:val="15"/>
        <w:adjustRightInd w:val="0"/>
        <w:snapToGrid w:val="0"/>
        <w:spacing w:before="120" w:after="120"/>
        <w:rPr>
          <w:rFonts w:hAnsi="宋体" w:eastAsia="宋体" w:cs="宋体"/>
          <w:b/>
          <w:bCs/>
          <w:color w:val="auto"/>
          <w:sz w:val="24"/>
          <w:szCs w:val="24"/>
          <w:highlight w:val="none"/>
          <w:lang w:val="zh-CN"/>
        </w:rPr>
      </w:pPr>
    </w:p>
    <w:p w14:paraId="47D99257">
      <w:pPr>
        <w:rPr>
          <w:rFonts w:ascii="宋体" w:hAnsi="宋体" w:eastAsia="宋体" w:cs="宋体"/>
          <w:b/>
          <w:color w:val="auto"/>
          <w:sz w:val="32"/>
          <w:szCs w:val="32"/>
          <w:highlight w:val="none"/>
        </w:rPr>
      </w:pPr>
      <w:r>
        <w:rPr>
          <w:rFonts w:hint="eastAsia" w:ascii="宋体" w:hAnsi="宋体" w:eastAsia="宋体" w:cs="宋体"/>
          <w:b/>
          <w:bCs/>
          <w:color w:val="auto"/>
          <w:sz w:val="24"/>
          <w:highlight w:val="none"/>
        </w:rPr>
        <w:t>附件三：</w:t>
      </w:r>
    </w:p>
    <w:p w14:paraId="6A1AD3A4">
      <w:pPr>
        <w:pStyle w:val="11"/>
        <w:ind w:left="1080" w:leftChars="300" w:right="1080" w:rightChars="300" w:firstLine="0"/>
        <w:jc w:val="center"/>
        <w:rPr>
          <w:rFonts w:ascii="宋体" w:hAnsi="宋体" w:cs="宋体"/>
          <w:b/>
          <w:color w:val="auto"/>
          <w:sz w:val="24"/>
          <w:szCs w:val="24"/>
          <w:highlight w:val="none"/>
        </w:rPr>
      </w:pPr>
    </w:p>
    <w:p w14:paraId="7BFA6F98">
      <w:pPr>
        <w:pStyle w:val="11"/>
        <w:ind w:left="1080" w:leftChars="300" w:right="1080" w:rightChars="300" w:firstLine="0"/>
        <w:jc w:val="center"/>
        <w:rPr>
          <w:rFonts w:ascii="宋体" w:hAnsi="宋体" w:eastAsia="宋体" w:cs="宋体"/>
          <w:b/>
          <w:color w:val="auto"/>
          <w:sz w:val="32"/>
          <w:szCs w:val="32"/>
          <w:highlight w:val="none"/>
        </w:rPr>
      </w:pPr>
      <w:r>
        <w:rPr>
          <w:rFonts w:hint="eastAsia" w:ascii="宋体" w:hAnsi="宋体" w:cs="宋体"/>
          <w:b/>
          <w:color w:val="auto"/>
          <w:sz w:val="24"/>
          <w:szCs w:val="24"/>
          <w:highlight w:val="none"/>
        </w:rPr>
        <w:t>依法缴纳税收及社会保障资金的承诺函</w:t>
      </w:r>
    </w:p>
    <w:p w14:paraId="07929EA5">
      <w:pPr>
        <w:pStyle w:val="56"/>
        <w:spacing w:line="360" w:lineRule="auto"/>
        <w:rPr>
          <w:rFonts w:ascii="宋体" w:hAnsi="宋体" w:cs="宋体"/>
          <w:color w:val="auto"/>
          <w:sz w:val="24"/>
          <w:highlight w:val="none"/>
          <w:u w:val="single"/>
        </w:rPr>
      </w:pPr>
    </w:p>
    <w:p w14:paraId="2F04B6EA">
      <w:pPr>
        <w:pStyle w:val="56"/>
        <w:spacing w:line="360" w:lineRule="auto"/>
        <w:rPr>
          <w:rFonts w:ascii="宋体" w:hAnsi="宋体" w:cs="宋体"/>
          <w:color w:val="auto"/>
          <w:spacing w:val="6"/>
          <w:sz w:val="24"/>
          <w:highlight w:val="none"/>
        </w:rPr>
      </w:pPr>
      <w:r>
        <w:rPr>
          <w:rFonts w:hint="eastAsia" w:hAnsi="宋体" w:cs="宋体"/>
          <w:color w:val="auto"/>
          <w:sz w:val="24"/>
          <w:highlight w:val="none"/>
          <w:u w:val="single"/>
        </w:rPr>
        <w:t>仙居县交通运输局</w:t>
      </w:r>
      <w:r>
        <w:rPr>
          <w:rFonts w:hint="eastAsia" w:ascii="宋体" w:hAnsi="宋体" w:cs="宋体"/>
          <w:color w:val="auto"/>
          <w:spacing w:val="6"/>
          <w:sz w:val="24"/>
          <w:highlight w:val="none"/>
        </w:rPr>
        <w:t>：</w:t>
      </w:r>
    </w:p>
    <w:p w14:paraId="0F77E3F1">
      <w:pPr>
        <w:pStyle w:val="11"/>
        <w:spacing w:line="360" w:lineRule="auto"/>
        <w:ind w:firstLine="504" w:firstLineChars="200"/>
        <w:jc w:val="left"/>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我方参与的</w:t>
      </w:r>
      <w:r>
        <w:rPr>
          <w:rFonts w:hint="eastAsia" w:hAnsi="宋体" w:cs="宋体"/>
          <w:color w:val="auto"/>
          <w:sz w:val="24"/>
          <w:highlight w:val="none"/>
          <w:u w:val="single"/>
        </w:rPr>
        <w:t xml:space="preserve"> </w:t>
      </w:r>
      <w:r>
        <w:rPr>
          <w:rFonts w:hint="eastAsia" w:hAnsi="宋体" w:eastAsia="宋体" w:cs="宋体"/>
          <w:color w:val="auto"/>
          <w:sz w:val="24"/>
          <w:highlight w:val="none"/>
          <w:u w:val="single"/>
          <w:lang w:eastAsia="zh-CN"/>
        </w:rPr>
        <w:t>2024年-2025年仙居县所有国、省道及县道公路绿化管护服务项目(重新招标）</w:t>
      </w:r>
      <w:r>
        <w:rPr>
          <w:rFonts w:hint="eastAsia" w:ascii="宋体" w:hAnsi="宋体" w:eastAsia="宋体" w:cs="宋体"/>
          <w:color w:val="auto"/>
          <w:kern w:val="0"/>
          <w:sz w:val="24"/>
          <w:highlight w:val="none"/>
          <w:u w:val="single"/>
        </w:rPr>
        <w:t>[编号：</w:t>
      </w:r>
      <w:r>
        <w:rPr>
          <w:rFonts w:hint="eastAsia" w:ascii="宋体" w:hAnsi="宋体" w:eastAsia="宋体" w:cs="宋体"/>
          <w:color w:val="auto"/>
          <w:kern w:val="0"/>
          <w:sz w:val="24"/>
          <w:highlight w:val="none"/>
          <w:u w:val="single"/>
          <w:lang w:eastAsia="zh-CN"/>
        </w:rPr>
        <w:t>GTXJ(采购）-24009-1</w:t>
      </w:r>
      <w:r>
        <w:rPr>
          <w:rFonts w:hint="eastAsia" w:ascii="宋体" w:hAnsi="宋体" w:eastAsia="宋体" w:cs="宋体"/>
          <w:color w:val="auto"/>
          <w:kern w:val="0"/>
          <w:sz w:val="24"/>
          <w:highlight w:val="none"/>
          <w:u w:val="single"/>
        </w:rPr>
        <w:t>]</w:t>
      </w:r>
      <w:r>
        <w:rPr>
          <w:rFonts w:hint="eastAsia" w:ascii="宋体" w:hAnsi="宋体" w:eastAsia="宋体" w:cs="宋体"/>
          <w:color w:val="auto"/>
          <w:spacing w:val="6"/>
          <w:sz w:val="24"/>
          <w:szCs w:val="24"/>
          <w:highlight w:val="none"/>
        </w:rPr>
        <w:t>的磋商活动，</w:t>
      </w:r>
      <w:r>
        <w:rPr>
          <w:rFonts w:hint="eastAsia" w:ascii="宋体" w:hAnsi="宋体" w:eastAsia="宋体" w:cs="宋体"/>
          <w:color w:val="auto"/>
          <w:kern w:val="0"/>
          <w:sz w:val="24"/>
          <w:szCs w:val="24"/>
          <w:highlight w:val="none"/>
        </w:rPr>
        <w:t>我方郑重承诺：我公司已依法缴纳税收及社会保障资金，符合参与政府采购活动的资格条件，不存在税收缴纳、社会保障等方面的失信记录。如有虚假，愿承担一切法律责任，采购组织机构可取消我方任何资格（磋商/中标/签订合同），我方对此无任何异议。</w:t>
      </w:r>
    </w:p>
    <w:p w14:paraId="3ABB4065">
      <w:pPr>
        <w:pStyle w:val="56"/>
        <w:spacing w:line="360" w:lineRule="auto"/>
        <w:ind w:firstLine="504" w:firstLineChars="200"/>
        <w:rPr>
          <w:rFonts w:ascii="宋体" w:hAnsi="宋体" w:cs="宋体"/>
          <w:color w:val="auto"/>
          <w:spacing w:val="6"/>
          <w:sz w:val="24"/>
          <w:highlight w:val="none"/>
        </w:rPr>
      </w:pPr>
    </w:p>
    <w:p w14:paraId="34FB4AC3">
      <w:pPr>
        <w:pStyle w:val="15"/>
        <w:spacing w:before="60" w:after="60" w:line="500" w:lineRule="exact"/>
        <w:ind w:firstLine="480" w:firstLineChars="200"/>
        <w:rPr>
          <w:rFonts w:hAnsi="宋体" w:cs="宋体"/>
          <w:color w:val="auto"/>
          <w:sz w:val="24"/>
          <w:highlight w:val="none"/>
        </w:rPr>
      </w:pPr>
      <w:r>
        <w:rPr>
          <w:rFonts w:hint="eastAsia" w:hAnsi="宋体" w:cs="宋体"/>
          <w:color w:val="auto"/>
          <w:sz w:val="24"/>
          <w:highlight w:val="none"/>
        </w:rPr>
        <w:t>特此承诺！</w:t>
      </w:r>
    </w:p>
    <w:p w14:paraId="0A705FDD">
      <w:pPr>
        <w:pStyle w:val="15"/>
        <w:spacing w:before="60" w:after="60" w:line="500" w:lineRule="exact"/>
        <w:ind w:firstLine="480" w:firstLineChars="200"/>
        <w:rPr>
          <w:rFonts w:hAnsi="宋体" w:cs="宋体"/>
          <w:color w:val="auto"/>
          <w:sz w:val="24"/>
          <w:highlight w:val="none"/>
        </w:rPr>
      </w:pPr>
    </w:p>
    <w:p w14:paraId="2E8E1B92">
      <w:pPr>
        <w:spacing w:line="450" w:lineRule="atLeast"/>
        <w:ind w:firstLine="460" w:firstLineChars="200"/>
        <w:jc w:val="right"/>
        <w:rPr>
          <w:rFonts w:ascii="宋体" w:hAnsi="宋体" w:eastAsia="宋体" w:cs="宋体"/>
          <w:color w:val="auto"/>
          <w:sz w:val="24"/>
          <w:highlight w:val="none"/>
          <w:lang w:val="zh-CN"/>
        </w:rPr>
      </w:pPr>
      <w:r>
        <w:rPr>
          <w:rFonts w:hint="eastAsia" w:ascii="宋体" w:hAnsi="宋体" w:cs="宋体"/>
          <w:color w:val="auto"/>
          <w:sz w:val="23"/>
          <w:szCs w:val="23"/>
          <w:highlight w:val="none"/>
        </w:rPr>
        <w:t xml:space="preserve">                                     </w:t>
      </w:r>
      <w:r>
        <w:rPr>
          <w:rFonts w:hint="eastAsia" w:ascii="宋体" w:hAnsi="宋体" w:eastAsia="宋体" w:cs="宋体"/>
          <w:color w:val="auto"/>
          <w:sz w:val="24"/>
          <w:highlight w:val="none"/>
        </w:rPr>
        <w:t xml:space="preserve"> 磋商人名称</w:t>
      </w:r>
      <w:r>
        <w:rPr>
          <w:rFonts w:hint="eastAsia" w:ascii="宋体" w:hAnsi="宋体" w:eastAsia="宋体" w:cs="宋体"/>
          <w:color w:val="auto"/>
          <w:sz w:val="24"/>
          <w:highlight w:val="none"/>
          <w:lang w:val="zh-CN"/>
        </w:rPr>
        <w:t>（盖单位章）：</w:t>
      </w:r>
    </w:p>
    <w:p w14:paraId="20E34FEA">
      <w:pPr>
        <w:spacing w:line="450" w:lineRule="atLeast"/>
        <w:ind w:firstLine="480" w:firstLineChars="200"/>
        <w:jc w:val="righ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 xml:space="preserve"> 日  期：      年    月    日</w:t>
      </w:r>
    </w:p>
    <w:p w14:paraId="1453B452">
      <w:pPr>
        <w:spacing w:line="360" w:lineRule="auto"/>
        <w:ind w:firstLine="5760" w:firstLineChars="2400"/>
        <w:jc w:val="left"/>
        <w:rPr>
          <w:rFonts w:ascii="宋体" w:hAnsi="宋体" w:cs="宋体"/>
          <w:color w:val="auto"/>
          <w:sz w:val="24"/>
          <w:highlight w:val="none"/>
        </w:rPr>
      </w:pPr>
    </w:p>
    <w:p w14:paraId="049D2CD1">
      <w:pPr>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A09D7B4">
      <w:pPr>
        <w:pStyle w:val="11"/>
        <w:spacing w:line="360" w:lineRule="auto"/>
        <w:ind w:firstLine="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附件四：</w:t>
      </w:r>
    </w:p>
    <w:p w14:paraId="404175F7">
      <w:pPr>
        <w:pStyle w:val="11"/>
        <w:ind w:left="1080" w:leftChars="300" w:right="1080" w:rightChars="300" w:firstLine="0"/>
        <w:jc w:val="center"/>
        <w:rPr>
          <w:rFonts w:ascii="宋体" w:hAnsi="宋体" w:cs="宋体"/>
          <w:b/>
          <w:color w:val="auto"/>
          <w:sz w:val="24"/>
          <w:szCs w:val="24"/>
          <w:highlight w:val="none"/>
        </w:rPr>
      </w:pPr>
    </w:p>
    <w:p w14:paraId="6F537F19">
      <w:pPr>
        <w:pStyle w:val="11"/>
        <w:ind w:left="1080" w:leftChars="300" w:right="1080" w:rightChars="300" w:firstLine="0"/>
        <w:jc w:val="center"/>
        <w:rPr>
          <w:rFonts w:ascii="宋体" w:hAnsi="宋体" w:eastAsia="宋体" w:cs="宋体"/>
          <w:b/>
          <w:color w:val="auto"/>
          <w:sz w:val="32"/>
          <w:szCs w:val="32"/>
          <w:highlight w:val="none"/>
        </w:rPr>
      </w:pPr>
      <w:r>
        <w:rPr>
          <w:rFonts w:hint="eastAsia" w:ascii="宋体" w:hAnsi="宋体" w:cs="宋体"/>
          <w:b/>
          <w:color w:val="auto"/>
          <w:sz w:val="24"/>
          <w:szCs w:val="24"/>
          <w:highlight w:val="none"/>
        </w:rPr>
        <w:t>具有良好的商业信誉和健全的财务会计制度的承诺函</w:t>
      </w:r>
    </w:p>
    <w:p w14:paraId="38F66629">
      <w:pPr>
        <w:pStyle w:val="56"/>
        <w:spacing w:line="360" w:lineRule="auto"/>
        <w:rPr>
          <w:rFonts w:ascii="宋体" w:hAnsi="宋体" w:cs="宋体"/>
          <w:color w:val="auto"/>
          <w:sz w:val="24"/>
          <w:highlight w:val="none"/>
          <w:u w:val="single"/>
        </w:rPr>
      </w:pPr>
    </w:p>
    <w:p w14:paraId="52B4DF0C">
      <w:pPr>
        <w:pStyle w:val="56"/>
        <w:spacing w:line="360" w:lineRule="auto"/>
        <w:rPr>
          <w:rFonts w:ascii="宋体" w:hAnsi="宋体" w:cs="宋体"/>
          <w:color w:val="auto"/>
          <w:spacing w:val="6"/>
          <w:sz w:val="24"/>
          <w:highlight w:val="none"/>
        </w:rPr>
      </w:pPr>
      <w:r>
        <w:rPr>
          <w:rFonts w:hint="eastAsia" w:hAnsi="宋体" w:cs="宋体"/>
          <w:color w:val="auto"/>
          <w:sz w:val="24"/>
          <w:highlight w:val="none"/>
          <w:u w:val="single"/>
        </w:rPr>
        <w:t>仙居县交通运输局</w:t>
      </w:r>
      <w:r>
        <w:rPr>
          <w:rFonts w:hint="eastAsia" w:ascii="宋体" w:hAnsi="宋体" w:cs="宋体"/>
          <w:color w:val="auto"/>
          <w:spacing w:val="6"/>
          <w:sz w:val="24"/>
          <w:highlight w:val="none"/>
        </w:rPr>
        <w:t>：</w:t>
      </w:r>
    </w:p>
    <w:p w14:paraId="38C8DD9F">
      <w:pPr>
        <w:pStyle w:val="11"/>
        <w:spacing w:line="360" w:lineRule="auto"/>
        <w:ind w:firstLine="504" w:firstLineChars="200"/>
        <w:jc w:val="left"/>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我方参与的</w:t>
      </w:r>
      <w:r>
        <w:rPr>
          <w:rFonts w:hint="eastAsia" w:hAnsi="宋体" w:cs="宋体"/>
          <w:color w:val="auto"/>
          <w:sz w:val="24"/>
          <w:highlight w:val="none"/>
          <w:u w:val="single"/>
        </w:rPr>
        <w:t xml:space="preserve"> </w:t>
      </w:r>
      <w:r>
        <w:rPr>
          <w:rFonts w:hint="eastAsia" w:hAnsi="宋体" w:eastAsia="宋体" w:cs="宋体"/>
          <w:color w:val="auto"/>
          <w:sz w:val="24"/>
          <w:highlight w:val="none"/>
          <w:u w:val="single"/>
          <w:lang w:eastAsia="zh-CN"/>
        </w:rPr>
        <w:t>2024年-2025年仙居县所有国、省道及县道公路绿化管护服务项目(重新招标）</w:t>
      </w:r>
      <w:r>
        <w:rPr>
          <w:rFonts w:hint="eastAsia" w:hAnsi="宋体" w:cs="宋体"/>
          <w:color w:val="auto"/>
          <w:sz w:val="24"/>
          <w:highlight w:val="none"/>
          <w:u w:val="single"/>
        </w:rPr>
        <w:t xml:space="preserve">  </w:t>
      </w:r>
      <w:r>
        <w:rPr>
          <w:rFonts w:hint="eastAsia" w:ascii="宋体" w:hAnsi="宋体" w:eastAsia="宋体" w:cs="宋体"/>
          <w:color w:val="auto"/>
          <w:kern w:val="0"/>
          <w:sz w:val="24"/>
          <w:highlight w:val="none"/>
          <w:u w:val="single"/>
        </w:rPr>
        <w:t>[编号：</w:t>
      </w:r>
      <w:r>
        <w:rPr>
          <w:rFonts w:hint="eastAsia" w:ascii="宋体" w:hAnsi="宋体" w:eastAsia="宋体" w:cs="宋体"/>
          <w:color w:val="auto"/>
          <w:kern w:val="0"/>
          <w:sz w:val="24"/>
          <w:highlight w:val="none"/>
          <w:u w:val="single"/>
          <w:lang w:eastAsia="zh-CN"/>
        </w:rPr>
        <w:t>GTXJ(采购）-24009-1</w:t>
      </w:r>
      <w:r>
        <w:rPr>
          <w:rFonts w:hint="eastAsia" w:ascii="宋体" w:hAnsi="宋体" w:eastAsia="宋体" w:cs="宋体"/>
          <w:color w:val="auto"/>
          <w:kern w:val="0"/>
          <w:sz w:val="24"/>
          <w:highlight w:val="none"/>
          <w:u w:val="single"/>
        </w:rPr>
        <w:t>]</w:t>
      </w:r>
      <w:r>
        <w:rPr>
          <w:rFonts w:hint="eastAsia" w:ascii="宋体" w:hAnsi="宋体" w:eastAsia="宋体" w:cs="宋体"/>
          <w:color w:val="auto"/>
          <w:spacing w:val="6"/>
          <w:sz w:val="24"/>
          <w:szCs w:val="24"/>
          <w:highlight w:val="none"/>
        </w:rPr>
        <w:t>的磋商活动，</w:t>
      </w:r>
      <w:r>
        <w:rPr>
          <w:rFonts w:hint="eastAsia" w:ascii="宋体" w:hAnsi="宋体" w:eastAsia="宋体" w:cs="宋体"/>
          <w:color w:val="auto"/>
          <w:kern w:val="0"/>
          <w:sz w:val="24"/>
          <w:szCs w:val="24"/>
          <w:highlight w:val="none"/>
        </w:rPr>
        <w:t>我方郑重承诺：</w:t>
      </w:r>
      <w:r>
        <w:rPr>
          <w:rFonts w:hint="eastAsia" w:hAnsi="宋体" w:cs="宋体"/>
          <w:color w:val="auto"/>
          <w:sz w:val="24"/>
          <w:highlight w:val="none"/>
        </w:rPr>
        <w:t>我公司在参加本项目政府采购活动前，我公司具有良好的商业信誉和健全的财务会计制度</w:t>
      </w:r>
      <w:r>
        <w:rPr>
          <w:rFonts w:hint="eastAsia" w:hAnsi="宋体" w:eastAsia="宋体" w:cs="宋体"/>
          <w:color w:val="auto"/>
          <w:sz w:val="24"/>
          <w:highlight w:val="none"/>
        </w:rPr>
        <w:t>；</w:t>
      </w:r>
      <w:r>
        <w:rPr>
          <w:rFonts w:hint="eastAsia" w:hAnsi="宋体" w:cs="宋体"/>
          <w:color w:val="auto"/>
          <w:sz w:val="24"/>
          <w:highlight w:val="none"/>
        </w:rPr>
        <w:t>没有处于被责令停产、财产被接管、冻结或破产状态，具有足够的流动资金，有能力履行合同</w:t>
      </w:r>
      <w:r>
        <w:rPr>
          <w:rFonts w:hint="eastAsia" w:ascii="宋体" w:hAnsi="宋体" w:eastAsia="宋体" w:cs="宋体"/>
          <w:color w:val="auto"/>
          <w:kern w:val="0"/>
          <w:sz w:val="24"/>
          <w:szCs w:val="24"/>
          <w:highlight w:val="none"/>
        </w:rPr>
        <w:t>。如有虚假，愿承担一切法律责任，采购组织机构可取消我方任何资格（磋商/中标/签订合同），我方对此无任何异议。</w:t>
      </w:r>
    </w:p>
    <w:p w14:paraId="4CE0BD03">
      <w:pPr>
        <w:pStyle w:val="56"/>
        <w:spacing w:line="360" w:lineRule="auto"/>
        <w:ind w:firstLine="504" w:firstLineChars="200"/>
        <w:rPr>
          <w:rFonts w:ascii="宋体" w:hAnsi="宋体" w:cs="宋体"/>
          <w:color w:val="auto"/>
          <w:spacing w:val="6"/>
          <w:sz w:val="24"/>
          <w:highlight w:val="none"/>
        </w:rPr>
      </w:pPr>
    </w:p>
    <w:p w14:paraId="68E4FF35">
      <w:pPr>
        <w:pStyle w:val="15"/>
        <w:spacing w:before="60" w:after="60" w:line="500" w:lineRule="exact"/>
        <w:ind w:firstLine="480" w:firstLineChars="200"/>
        <w:rPr>
          <w:rFonts w:hAnsi="宋体" w:cs="宋体"/>
          <w:color w:val="auto"/>
          <w:sz w:val="24"/>
          <w:highlight w:val="none"/>
        </w:rPr>
      </w:pPr>
      <w:r>
        <w:rPr>
          <w:rFonts w:hint="eastAsia" w:hAnsi="宋体" w:cs="宋体"/>
          <w:color w:val="auto"/>
          <w:sz w:val="24"/>
          <w:highlight w:val="none"/>
        </w:rPr>
        <w:t>特此承诺！</w:t>
      </w:r>
    </w:p>
    <w:p w14:paraId="032AB5D4">
      <w:pPr>
        <w:spacing w:line="450" w:lineRule="atLeast"/>
        <w:ind w:firstLine="480" w:firstLineChars="200"/>
        <w:jc w:val="right"/>
        <w:rPr>
          <w:rFonts w:ascii="宋体" w:hAnsi="宋体" w:eastAsia="宋体" w:cs="宋体"/>
          <w:color w:val="auto"/>
          <w:sz w:val="24"/>
          <w:highlight w:val="none"/>
          <w:lang w:val="zh-CN"/>
        </w:rPr>
      </w:pPr>
      <w:r>
        <w:rPr>
          <w:rFonts w:hint="eastAsia" w:ascii="宋体" w:hAnsi="宋体" w:eastAsia="宋体" w:cs="宋体"/>
          <w:color w:val="auto"/>
          <w:sz w:val="24"/>
          <w:highlight w:val="none"/>
        </w:rPr>
        <w:t xml:space="preserve"> 磋商人名称</w:t>
      </w:r>
      <w:r>
        <w:rPr>
          <w:rFonts w:hint="eastAsia" w:ascii="宋体" w:hAnsi="宋体" w:eastAsia="宋体" w:cs="宋体"/>
          <w:color w:val="auto"/>
          <w:sz w:val="24"/>
          <w:highlight w:val="none"/>
          <w:lang w:val="zh-CN"/>
        </w:rPr>
        <w:t>（盖单位章）：</w:t>
      </w:r>
    </w:p>
    <w:p w14:paraId="0734B1BF">
      <w:pPr>
        <w:spacing w:line="450" w:lineRule="atLeast"/>
        <w:ind w:firstLine="480" w:firstLineChars="200"/>
        <w:jc w:val="righ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 xml:space="preserve"> 日  期：      年    月    日</w:t>
      </w:r>
    </w:p>
    <w:p w14:paraId="0B24A7D6">
      <w:pPr>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5C21C331">
      <w:pPr>
        <w:pStyle w:val="11"/>
        <w:spacing w:line="360" w:lineRule="auto"/>
        <w:ind w:firstLine="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附件五：</w:t>
      </w:r>
    </w:p>
    <w:p w14:paraId="5A1C3853">
      <w:pPr>
        <w:pStyle w:val="11"/>
        <w:spacing w:line="360" w:lineRule="auto"/>
        <w:ind w:firstLine="0"/>
        <w:jc w:val="center"/>
        <w:rPr>
          <w:rFonts w:ascii="仿宋_GB2312" w:hAnsi="宋体" w:eastAsia="仿宋_GB2312"/>
          <w:b/>
          <w:color w:val="auto"/>
          <w:sz w:val="32"/>
          <w:szCs w:val="32"/>
          <w:highlight w:val="none"/>
        </w:rPr>
      </w:pPr>
      <w:r>
        <w:rPr>
          <w:rFonts w:hint="eastAsia" w:ascii="宋体" w:hAnsi="宋体" w:cs="宋体"/>
          <w:b/>
          <w:color w:val="auto"/>
          <w:sz w:val="24"/>
          <w:szCs w:val="24"/>
          <w:highlight w:val="none"/>
        </w:rPr>
        <w:t>具有履行合同所必需设备和专业技术能力的承诺函</w:t>
      </w:r>
    </w:p>
    <w:p w14:paraId="586538F0">
      <w:pPr>
        <w:pStyle w:val="15"/>
        <w:spacing w:before="60" w:after="60" w:line="500" w:lineRule="exact"/>
        <w:rPr>
          <w:rFonts w:hAnsi="宋体" w:cs="宋体"/>
          <w:b/>
          <w:bCs/>
          <w:color w:val="auto"/>
          <w:sz w:val="24"/>
          <w:highlight w:val="none"/>
          <w:u w:val="single"/>
        </w:rPr>
      </w:pPr>
      <w:r>
        <w:rPr>
          <w:rFonts w:hint="eastAsia" w:hAnsi="宋体" w:eastAsia="宋体" w:cs="宋体"/>
          <w:color w:val="auto"/>
          <w:sz w:val="24"/>
          <w:szCs w:val="24"/>
          <w:highlight w:val="none"/>
          <w:u w:val="single"/>
        </w:rPr>
        <w:t>仙居县交通运输局</w:t>
      </w:r>
      <w:r>
        <w:rPr>
          <w:rFonts w:hint="eastAsia" w:hAnsi="宋体" w:cs="宋体"/>
          <w:b/>
          <w:bCs/>
          <w:color w:val="auto"/>
          <w:sz w:val="24"/>
          <w:highlight w:val="none"/>
          <w:u w:val="single"/>
        </w:rPr>
        <w:t>：</w:t>
      </w:r>
    </w:p>
    <w:p w14:paraId="72BDC721">
      <w:pPr>
        <w:pStyle w:val="15"/>
        <w:spacing w:before="60" w:after="60" w:line="500" w:lineRule="exact"/>
        <w:ind w:firstLine="480" w:firstLineChars="200"/>
        <w:rPr>
          <w:rFonts w:hAnsi="宋体" w:cs="宋体"/>
          <w:color w:val="auto"/>
          <w:sz w:val="24"/>
          <w:highlight w:val="none"/>
        </w:rPr>
      </w:pPr>
      <w:r>
        <w:rPr>
          <w:rFonts w:hint="eastAsia" w:hAnsi="宋体" w:cs="宋体"/>
          <w:color w:val="auto"/>
          <w:sz w:val="24"/>
          <w:highlight w:val="none"/>
        </w:rPr>
        <w:t>我方参与的</w:t>
      </w:r>
      <w:r>
        <w:rPr>
          <w:rFonts w:hint="eastAsia" w:hAnsi="宋体" w:cs="宋体"/>
          <w:color w:val="auto"/>
          <w:sz w:val="24"/>
          <w:highlight w:val="none"/>
          <w:u w:val="single"/>
        </w:rPr>
        <w:t xml:space="preserve"> </w:t>
      </w:r>
      <w:r>
        <w:rPr>
          <w:rFonts w:hint="eastAsia" w:hAnsi="宋体" w:eastAsia="宋体" w:cs="宋体"/>
          <w:color w:val="auto"/>
          <w:sz w:val="24"/>
          <w:highlight w:val="none"/>
          <w:u w:val="single"/>
          <w:lang w:eastAsia="zh-CN"/>
        </w:rPr>
        <w:t>2024年-2025年仙居县所有国、省道及县道公路绿化管护服务项目(重新招标）</w:t>
      </w:r>
      <w:r>
        <w:rPr>
          <w:rFonts w:hint="eastAsia" w:hAnsi="宋体" w:cs="宋体"/>
          <w:color w:val="auto"/>
          <w:sz w:val="24"/>
          <w:highlight w:val="none"/>
          <w:u w:val="single"/>
        </w:rPr>
        <w:t xml:space="preserve">  </w:t>
      </w:r>
      <w:r>
        <w:rPr>
          <w:rFonts w:hint="eastAsia" w:ascii="宋体" w:hAnsi="宋体" w:eastAsia="宋体" w:cs="宋体"/>
          <w:color w:val="auto"/>
          <w:kern w:val="0"/>
          <w:sz w:val="24"/>
          <w:highlight w:val="none"/>
          <w:u w:val="single"/>
        </w:rPr>
        <w:t>[编号：</w:t>
      </w:r>
      <w:r>
        <w:rPr>
          <w:rFonts w:hint="eastAsia" w:hAnsi="宋体" w:eastAsia="宋体" w:cs="宋体"/>
          <w:color w:val="auto"/>
          <w:kern w:val="0"/>
          <w:sz w:val="24"/>
          <w:highlight w:val="none"/>
          <w:u w:val="single"/>
          <w:lang w:eastAsia="zh-CN"/>
        </w:rPr>
        <w:t>GTXJ(采购）-24009-1</w:t>
      </w:r>
      <w:r>
        <w:rPr>
          <w:rFonts w:hint="eastAsia" w:ascii="宋体" w:hAnsi="宋体" w:eastAsia="宋体" w:cs="宋体"/>
          <w:color w:val="auto"/>
          <w:kern w:val="0"/>
          <w:sz w:val="24"/>
          <w:highlight w:val="none"/>
          <w:u w:val="single"/>
        </w:rPr>
        <w:t>]</w:t>
      </w:r>
      <w:r>
        <w:rPr>
          <w:rFonts w:hint="eastAsia" w:hAnsi="宋体" w:cs="宋体"/>
          <w:color w:val="auto"/>
          <w:sz w:val="24"/>
          <w:highlight w:val="none"/>
        </w:rPr>
        <w:t>的磋商活动，我方郑重承诺，我方承诺具有履行合同所必需设备和专业技术能力。如有虚假，采购组织机构可取消我方任何资格（磋商/中标/签订合同），我方对此无任何异议。</w:t>
      </w:r>
    </w:p>
    <w:p w14:paraId="6E1AAD0B">
      <w:pPr>
        <w:pStyle w:val="15"/>
        <w:spacing w:before="60" w:after="60" w:line="500" w:lineRule="exact"/>
        <w:ind w:firstLine="480" w:firstLineChars="200"/>
        <w:rPr>
          <w:rFonts w:hAnsi="宋体" w:cs="宋体"/>
          <w:color w:val="auto"/>
          <w:sz w:val="24"/>
          <w:highlight w:val="none"/>
        </w:rPr>
      </w:pPr>
    </w:p>
    <w:p w14:paraId="486E919D">
      <w:pPr>
        <w:pStyle w:val="15"/>
        <w:spacing w:before="60" w:after="60" w:line="500" w:lineRule="exact"/>
        <w:ind w:firstLine="480" w:firstLineChars="200"/>
        <w:rPr>
          <w:rFonts w:hAnsi="宋体" w:cs="宋体"/>
          <w:color w:val="auto"/>
          <w:sz w:val="24"/>
          <w:highlight w:val="none"/>
        </w:rPr>
      </w:pPr>
      <w:r>
        <w:rPr>
          <w:rFonts w:hint="eastAsia" w:hAnsi="宋体" w:cs="宋体"/>
          <w:color w:val="auto"/>
          <w:sz w:val="24"/>
          <w:highlight w:val="none"/>
        </w:rPr>
        <w:t>特此承诺！</w:t>
      </w:r>
    </w:p>
    <w:p w14:paraId="75C92B1E">
      <w:pPr>
        <w:pStyle w:val="15"/>
        <w:spacing w:before="60" w:after="60" w:line="500" w:lineRule="exact"/>
        <w:ind w:firstLine="480" w:firstLineChars="200"/>
        <w:rPr>
          <w:rFonts w:hAnsi="宋体" w:cs="宋体"/>
          <w:color w:val="auto"/>
          <w:sz w:val="24"/>
          <w:highlight w:val="none"/>
        </w:rPr>
      </w:pPr>
    </w:p>
    <w:p w14:paraId="28E707AB">
      <w:pPr>
        <w:spacing w:line="450" w:lineRule="atLeast"/>
        <w:ind w:firstLine="460" w:firstLineChars="200"/>
        <w:jc w:val="right"/>
        <w:rPr>
          <w:rFonts w:ascii="宋体" w:hAnsi="宋体" w:eastAsia="宋体" w:cs="宋体"/>
          <w:color w:val="auto"/>
          <w:sz w:val="24"/>
          <w:highlight w:val="none"/>
          <w:lang w:val="zh-CN"/>
        </w:rPr>
      </w:pPr>
      <w:r>
        <w:rPr>
          <w:rFonts w:hint="eastAsia" w:ascii="宋体" w:hAnsi="宋体" w:cs="宋体"/>
          <w:color w:val="auto"/>
          <w:sz w:val="23"/>
          <w:szCs w:val="23"/>
          <w:highlight w:val="none"/>
        </w:rPr>
        <w:t xml:space="preserve">                                      </w:t>
      </w:r>
      <w:r>
        <w:rPr>
          <w:rFonts w:hint="eastAsia" w:ascii="宋体" w:hAnsi="宋体" w:eastAsia="宋体" w:cs="宋体"/>
          <w:color w:val="auto"/>
          <w:sz w:val="24"/>
          <w:highlight w:val="none"/>
        </w:rPr>
        <w:t xml:space="preserve"> 磋商人名称</w:t>
      </w:r>
      <w:r>
        <w:rPr>
          <w:rFonts w:hint="eastAsia" w:ascii="宋体" w:hAnsi="宋体" w:eastAsia="宋体" w:cs="宋体"/>
          <w:color w:val="auto"/>
          <w:sz w:val="24"/>
          <w:highlight w:val="none"/>
          <w:lang w:val="zh-CN"/>
        </w:rPr>
        <w:t>（盖单位章）：</w:t>
      </w:r>
    </w:p>
    <w:p w14:paraId="41946549">
      <w:pPr>
        <w:spacing w:line="450" w:lineRule="atLeast"/>
        <w:ind w:firstLine="480" w:firstLineChars="200"/>
        <w:jc w:val="righ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 xml:space="preserve"> 日  期：      年    月    日</w:t>
      </w:r>
    </w:p>
    <w:p w14:paraId="64ECB747">
      <w:pPr>
        <w:pStyle w:val="15"/>
        <w:adjustRightInd w:val="0"/>
        <w:snapToGrid w:val="0"/>
        <w:spacing w:before="120" w:after="120"/>
        <w:jc w:val="center"/>
        <w:rPr>
          <w:rFonts w:hAnsi="宋体" w:cs="宋体"/>
          <w:color w:val="auto"/>
          <w:sz w:val="24"/>
          <w:highlight w:val="none"/>
        </w:rPr>
      </w:pPr>
    </w:p>
    <w:p w14:paraId="463BAB17">
      <w:pPr>
        <w:pStyle w:val="15"/>
        <w:adjustRightInd w:val="0"/>
        <w:snapToGrid w:val="0"/>
        <w:spacing w:before="120" w:after="120"/>
        <w:jc w:val="center"/>
        <w:rPr>
          <w:rFonts w:hAnsi="宋体" w:cs="宋体"/>
          <w:color w:val="auto"/>
          <w:sz w:val="24"/>
          <w:highlight w:val="none"/>
        </w:rPr>
      </w:pPr>
    </w:p>
    <w:p w14:paraId="506B9350">
      <w:pPr>
        <w:pStyle w:val="15"/>
        <w:adjustRightInd w:val="0"/>
        <w:snapToGrid w:val="0"/>
        <w:spacing w:before="120" w:after="120"/>
        <w:jc w:val="center"/>
        <w:rPr>
          <w:rFonts w:hAnsi="宋体" w:cs="宋体"/>
          <w:color w:val="auto"/>
          <w:sz w:val="24"/>
          <w:highlight w:val="none"/>
        </w:rPr>
      </w:pPr>
    </w:p>
    <w:p w14:paraId="26C7329D">
      <w:pPr>
        <w:pStyle w:val="15"/>
        <w:adjustRightInd w:val="0"/>
        <w:snapToGrid w:val="0"/>
        <w:spacing w:before="120" w:after="120"/>
        <w:jc w:val="center"/>
        <w:rPr>
          <w:rFonts w:hAnsi="宋体" w:cs="宋体"/>
          <w:color w:val="auto"/>
          <w:sz w:val="24"/>
          <w:highlight w:val="none"/>
        </w:rPr>
      </w:pPr>
    </w:p>
    <w:p w14:paraId="78CFB222">
      <w:pPr>
        <w:pStyle w:val="15"/>
        <w:adjustRightInd w:val="0"/>
        <w:snapToGrid w:val="0"/>
        <w:spacing w:before="120" w:after="120"/>
        <w:jc w:val="center"/>
        <w:rPr>
          <w:rFonts w:hAnsi="宋体" w:cs="宋体"/>
          <w:color w:val="auto"/>
          <w:sz w:val="24"/>
          <w:highlight w:val="none"/>
        </w:rPr>
      </w:pPr>
    </w:p>
    <w:p w14:paraId="21248D90">
      <w:pPr>
        <w:pStyle w:val="15"/>
        <w:adjustRightInd w:val="0"/>
        <w:snapToGrid w:val="0"/>
        <w:spacing w:before="120" w:after="120"/>
        <w:jc w:val="center"/>
        <w:rPr>
          <w:rFonts w:hAnsi="宋体" w:cs="宋体"/>
          <w:color w:val="auto"/>
          <w:sz w:val="24"/>
          <w:highlight w:val="none"/>
        </w:rPr>
      </w:pPr>
    </w:p>
    <w:p w14:paraId="121CC185">
      <w:pPr>
        <w:pStyle w:val="15"/>
        <w:adjustRightInd w:val="0"/>
        <w:snapToGrid w:val="0"/>
        <w:spacing w:before="120" w:after="120"/>
        <w:jc w:val="center"/>
        <w:rPr>
          <w:rFonts w:hAnsi="宋体" w:cs="宋体"/>
          <w:color w:val="auto"/>
          <w:sz w:val="24"/>
          <w:highlight w:val="none"/>
        </w:rPr>
      </w:pPr>
    </w:p>
    <w:p w14:paraId="4FAEF3F9">
      <w:pPr>
        <w:pStyle w:val="15"/>
        <w:adjustRightInd w:val="0"/>
        <w:snapToGrid w:val="0"/>
        <w:spacing w:before="120" w:after="120"/>
        <w:jc w:val="center"/>
        <w:rPr>
          <w:rFonts w:hAnsi="宋体" w:cs="宋体"/>
          <w:color w:val="auto"/>
          <w:sz w:val="24"/>
          <w:highlight w:val="none"/>
        </w:rPr>
      </w:pPr>
    </w:p>
    <w:p w14:paraId="1460FC06">
      <w:pPr>
        <w:pStyle w:val="15"/>
        <w:adjustRightInd w:val="0"/>
        <w:snapToGrid w:val="0"/>
        <w:spacing w:before="120" w:after="120"/>
        <w:jc w:val="center"/>
        <w:rPr>
          <w:rFonts w:hAnsi="宋体" w:cs="宋体"/>
          <w:color w:val="auto"/>
          <w:sz w:val="24"/>
          <w:highlight w:val="none"/>
        </w:rPr>
      </w:pPr>
    </w:p>
    <w:p w14:paraId="2184FC61">
      <w:pPr>
        <w:pStyle w:val="15"/>
        <w:adjustRightInd w:val="0"/>
        <w:snapToGrid w:val="0"/>
        <w:spacing w:before="120" w:after="120"/>
        <w:jc w:val="center"/>
        <w:rPr>
          <w:rFonts w:hAnsi="宋体" w:cs="宋体"/>
          <w:color w:val="auto"/>
          <w:sz w:val="24"/>
          <w:highlight w:val="none"/>
        </w:rPr>
      </w:pPr>
    </w:p>
    <w:p w14:paraId="2DB07000">
      <w:pPr>
        <w:pStyle w:val="15"/>
        <w:adjustRightInd w:val="0"/>
        <w:snapToGrid w:val="0"/>
        <w:spacing w:before="120" w:after="120"/>
        <w:jc w:val="center"/>
        <w:rPr>
          <w:rFonts w:hAnsi="宋体" w:cs="宋体"/>
          <w:color w:val="auto"/>
          <w:sz w:val="24"/>
          <w:highlight w:val="none"/>
        </w:rPr>
      </w:pPr>
    </w:p>
    <w:p w14:paraId="1A944764">
      <w:pPr>
        <w:pStyle w:val="15"/>
        <w:adjustRightInd w:val="0"/>
        <w:snapToGrid w:val="0"/>
        <w:spacing w:before="120" w:after="120"/>
        <w:jc w:val="center"/>
        <w:rPr>
          <w:rFonts w:hAnsi="宋体" w:cs="宋体"/>
          <w:color w:val="auto"/>
          <w:sz w:val="24"/>
          <w:highlight w:val="none"/>
        </w:rPr>
      </w:pPr>
    </w:p>
    <w:p w14:paraId="0832BABE">
      <w:pPr>
        <w:pStyle w:val="15"/>
        <w:adjustRightInd w:val="0"/>
        <w:snapToGrid w:val="0"/>
        <w:spacing w:before="120" w:after="120"/>
        <w:jc w:val="center"/>
        <w:rPr>
          <w:rFonts w:hAnsi="宋体" w:eastAsia="宋体" w:cs="宋体"/>
          <w:b/>
          <w:bCs/>
          <w:color w:val="auto"/>
          <w:sz w:val="24"/>
          <w:szCs w:val="24"/>
          <w:highlight w:val="none"/>
          <w:lang w:val="zh-CN"/>
        </w:rPr>
      </w:pPr>
    </w:p>
    <w:p w14:paraId="077BAE3A">
      <w:pPr>
        <w:pStyle w:val="15"/>
        <w:adjustRightInd w:val="0"/>
        <w:snapToGrid w:val="0"/>
        <w:spacing w:before="120" w:after="120"/>
        <w:jc w:val="center"/>
        <w:rPr>
          <w:rFonts w:hAnsi="宋体" w:eastAsia="宋体" w:cs="宋体"/>
          <w:b/>
          <w:bCs/>
          <w:color w:val="auto"/>
          <w:sz w:val="24"/>
          <w:szCs w:val="24"/>
          <w:highlight w:val="none"/>
          <w:lang w:val="zh-CN"/>
        </w:rPr>
      </w:pPr>
    </w:p>
    <w:p w14:paraId="35F876CB">
      <w:pPr>
        <w:pStyle w:val="15"/>
        <w:adjustRightInd w:val="0"/>
        <w:snapToGrid w:val="0"/>
        <w:spacing w:before="120" w:after="120"/>
        <w:jc w:val="center"/>
        <w:rPr>
          <w:rFonts w:hAnsi="宋体" w:eastAsia="宋体" w:cs="宋体"/>
          <w:b/>
          <w:bCs/>
          <w:color w:val="auto"/>
          <w:sz w:val="24"/>
          <w:szCs w:val="24"/>
          <w:highlight w:val="none"/>
          <w:lang w:val="zh-CN"/>
        </w:rPr>
      </w:pPr>
    </w:p>
    <w:p w14:paraId="145B7F05">
      <w:pPr>
        <w:pStyle w:val="15"/>
        <w:adjustRightInd w:val="0"/>
        <w:snapToGrid w:val="0"/>
        <w:spacing w:before="120" w:after="120"/>
        <w:jc w:val="center"/>
        <w:rPr>
          <w:rFonts w:hAnsi="宋体" w:eastAsia="宋体" w:cs="宋体"/>
          <w:b/>
          <w:bCs/>
          <w:color w:val="auto"/>
          <w:sz w:val="24"/>
          <w:szCs w:val="24"/>
          <w:highlight w:val="none"/>
          <w:lang w:val="zh-CN"/>
        </w:rPr>
      </w:pPr>
    </w:p>
    <w:p w14:paraId="3BF5E56E">
      <w:pPr>
        <w:pStyle w:val="15"/>
        <w:adjustRightInd w:val="0"/>
        <w:snapToGrid w:val="0"/>
        <w:spacing w:before="120" w:after="120"/>
        <w:jc w:val="center"/>
        <w:rPr>
          <w:rFonts w:hAnsi="宋体" w:eastAsia="宋体" w:cs="宋体"/>
          <w:b/>
          <w:bCs/>
          <w:color w:val="auto"/>
          <w:sz w:val="24"/>
          <w:szCs w:val="24"/>
          <w:highlight w:val="none"/>
          <w:lang w:val="zh-CN"/>
        </w:rPr>
      </w:pPr>
    </w:p>
    <w:p w14:paraId="3D0D5614">
      <w:pPr>
        <w:pStyle w:val="15"/>
        <w:adjustRightInd w:val="0"/>
        <w:snapToGrid w:val="0"/>
        <w:spacing w:before="120" w:after="120"/>
        <w:jc w:val="center"/>
        <w:rPr>
          <w:rFonts w:hAnsi="宋体" w:eastAsia="宋体" w:cs="宋体"/>
          <w:b/>
          <w:bCs/>
          <w:color w:val="auto"/>
          <w:sz w:val="24"/>
          <w:szCs w:val="24"/>
          <w:highlight w:val="none"/>
          <w:lang w:val="zh-CN"/>
        </w:rPr>
      </w:pPr>
    </w:p>
    <w:p w14:paraId="71D89265">
      <w:pPr>
        <w:rPr>
          <w:rFonts w:hAnsi="宋体" w:eastAsia="宋体" w:cs="宋体"/>
          <w:b/>
          <w:bCs/>
          <w:color w:val="auto"/>
          <w:sz w:val="24"/>
          <w:highlight w:val="none"/>
          <w:lang w:val="zh-CN"/>
        </w:rPr>
      </w:pPr>
      <w:r>
        <w:rPr>
          <w:rFonts w:hint="eastAsia" w:hAnsi="宋体" w:eastAsia="宋体" w:cs="宋体"/>
          <w:b/>
          <w:bCs/>
          <w:color w:val="auto"/>
          <w:sz w:val="24"/>
          <w:highlight w:val="none"/>
          <w:lang w:val="zh-CN"/>
        </w:rPr>
        <w:br w:type="page"/>
      </w:r>
    </w:p>
    <w:p w14:paraId="7EE9AC7D">
      <w:pPr>
        <w:pStyle w:val="15"/>
        <w:adjustRightInd w:val="0"/>
        <w:snapToGrid w:val="0"/>
        <w:spacing w:before="120" w:after="120"/>
        <w:rPr>
          <w:rFonts w:hAnsi="宋体" w:eastAsia="宋体" w:cs="宋体"/>
          <w:b/>
          <w:bCs/>
          <w:color w:val="auto"/>
          <w:sz w:val="24"/>
          <w:szCs w:val="24"/>
          <w:highlight w:val="none"/>
          <w:lang w:val="zh-CN"/>
        </w:rPr>
      </w:pPr>
      <w:r>
        <w:rPr>
          <w:rFonts w:hint="eastAsia" w:hAnsi="宋体" w:eastAsia="宋体" w:cs="宋体"/>
          <w:b/>
          <w:bCs/>
          <w:color w:val="auto"/>
          <w:sz w:val="24"/>
          <w:szCs w:val="24"/>
          <w:highlight w:val="none"/>
          <w:lang w:val="zh-CN"/>
        </w:rPr>
        <w:t>附件六：</w:t>
      </w:r>
    </w:p>
    <w:p w14:paraId="674474A3">
      <w:pPr>
        <w:pStyle w:val="15"/>
        <w:adjustRightInd w:val="0"/>
        <w:snapToGrid w:val="0"/>
        <w:spacing w:before="120" w:after="120"/>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lang w:val="zh-CN"/>
        </w:rPr>
        <w:t>无重大违法记录声明书</w:t>
      </w:r>
    </w:p>
    <w:p w14:paraId="22F2AE6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仙居县交通运输局：</w:t>
      </w:r>
    </w:p>
    <w:p w14:paraId="44D47B19">
      <w:pPr>
        <w:spacing w:line="450" w:lineRule="atLeas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60217A09">
      <w:pPr>
        <w:spacing w:line="450" w:lineRule="atLeast"/>
        <w:ind w:firstLine="480" w:firstLineChars="200"/>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特此声明。</w:t>
      </w:r>
    </w:p>
    <w:p w14:paraId="2360A429">
      <w:pPr>
        <w:pStyle w:val="15"/>
        <w:jc w:val="center"/>
        <w:rPr>
          <w:rFonts w:hAnsi="宋体" w:eastAsia="宋体" w:cs="宋体"/>
          <w:color w:val="auto"/>
          <w:sz w:val="24"/>
          <w:szCs w:val="24"/>
          <w:highlight w:val="none"/>
        </w:rPr>
      </w:pPr>
    </w:p>
    <w:p w14:paraId="580E4E60">
      <w:pPr>
        <w:spacing w:line="450" w:lineRule="atLeast"/>
        <w:ind w:firstLine="480" w:firstLineChars="200"/>
        <w:jc w:val="right"/>
        <w:rPr>
          <w:rFonts w:ascii="宋体" w:hAnsi="宋体" w:eastAsia="宋体" w:cs="宋体"/>
          <w:color w:val="auto"/>
          <w:sz w:val="24"/>
          <w:highlight w:val="none"/>
          <w:lang w:val="zh-CN"/>
        </w:rPr>
      </w:pPr>
      <w:r>
        <w:rPr>
          <w:rFonts w:hint="eastAsia" w:ascii="宋体" w:hAnsi="宋体" w:eastAsia="宋体" w:cs="宋体"/>
          <w:color w:val="auto"/>
          <w:sz w:val="24"/>
          <w:highlight w:val="none"/>
        </w:rPr>
        <w:t>                                                                                 磋商人名称</w:t>
      </w:r>
      <w:r>
        <w:rPr>
          <w:rFonts w:hint="eastAsia" w:ascii="宋体" w:hAnsi="宋体" w:eastAsia="宋体" w:cs="宋体"/>
          <w:color w:val="auto"/>
          <w:sz w:val="24"/>
          <w:highlight w:val="none"/>
          <w:lang w:val="zh-CN"/>
        </w:rPr>
        <w:t>（盖单位章）：</w:t>
      </w:r>
    </w:p>
    <w:p w14:paraId="02C04DB2">
      <w:pPr>
        <w:spacing w:line="450" w:lineRule="atLeast"/>
        <w:ind w:firstLine="480" w:firstLineChars="200"/>
        <w:jc w:val="righ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 xml:space="preserve"> 日  期：      年    月    日</w:t>
      </w:r>
    </w:p>
    <w:p w14:paraId="5162C041">
      <w:pPr>
        <w:pStyle w:val="15"/>
        <w:adjustRightInd w:val="0"/>
        <w:snapToGrid w:val="0"/>
        <w:spacing w:before="120" w:after="120" w:line="360" w:lineRule="auto"/>
        <w:rPr>
          <w:rFonts w:hAnsi="宋体" w:eastAsia="宋体" w:cs="宋体"/>
          <w:color w:val="auto"/>
          <w:sz w:val="24"/>
          <w:szCs w:val="24"/>
          <w:highlight w:val="none"/>
        </w:rPr>
      </w:pPr>
    </w:p>
    <w:p w14:paraId="287CCBCF">
      <w:pPr>
        <w:pStyle w:val="15"/>
        <w:spacing w:line="360" w:lineRule="auto"/>
        <w:outlineLvl w:val="1"/>
        <w:rPr>
          <w:rFonts w:hAnsi="宋体" w:eastAsia="宋体" w:cs="宋体"/>
          <w:b/>
          <w:color w:val="auto"/>
          <w:sz w:val="24"/>
          <w:szCs w:val="24"/>
          <w:highlight w:val="none"/>
        </w:rPr>
      </w:pPr>
    </w:p>
    <w:p w14:paraId="28B5C6C1">
      <w:pPr>
        <w:pStyle w:val="15"/>
        <w:spacing w:line="360" w:lineRule="auto"/>
        <w:outlineLvl w:val="1"/>
        <w:rPr>
          <w:rFonts w:hAnsi="宋体" w:eastAsia="宋体" w:cs="宋体"/>
          <w:b/>
          <w:color w:val="auto"/>
          <w:szCs w:val="21"/>
          <w:highlight w:val="none"/>
        </w:rPr>
      </w:pPr>
    </w:p>
    <w:p w14:paraId="1CD1EC1F">
      <w:pPr>
        <w:pStyle w:val="15"/>
        <w:spacing w:line="360" w:lineRule="auto"/>
        <w:outlineLvl w:val="1"/>
        <w:rPr>
          <w:rFonts w:hAnsi="宋体" w:eastAsia="宋体" w:cs="宋体"/>
          <w:b/>
          <w:color w:val="auto"/>
          <w:szCs w:val="21"/>
          <w:highlight w:val="none"/>
        </w:rPr>
      </w:pPr>
    </w:p>
    <w:p w14:paraId="74FFA060">
      <w:pPr>
        <w:pStyle w:val="15"/>
        <w:spacing w:line="360" w:lineRule="auto"/>
        <w:outlineLvl w:val="1"/>
        <w:rPr>
          <w:rFonts w:hAnsi="宋体" w:eastAsia="宋体" w:cs="宋体"/>
          <w:b/>
          <w:color w:val="auto"/>
          <w:szCs w:val="21"/>
          <w:highlight w:val="none"/>
        </w:rPr>
      </w:pPr>
    </w:p>
    <w:p w14:paraId="7D85190E">
      <w:pPr>
        <w:pStyle w:val="15"/>
        <w:spacing w:line="360" w:lineRule="auto"/>
        <w:outlineLvl w:val="1"/>
        <w:rPr>
          <w:rFonts w:hAnsi="宋体" w:eastAsia="宋体" w:cs="宋体"/>
          <w:b/>
          <w:color w:val="auto"/>
          <w:szCs w:val="21"/>
          <w:highlight w:val="none"/>
        </w:rPr>
      </w:pPr>
    </w:p>
    <w:p w14:paraId="3B84BC98">
      <w:pPr>
        <w:pStyle w:val="15"/>
        <w:spacing w:line="360" w:lineRule="auto"/>
        <w:outlineLvl w:val="1"/>
        <w:rPr>
          <w:rFonts w:hAnsi="宋体" w:eastAsia="宋体" w:cs="宋体"/>
          <w:b/>
          <w:color w:val="auto"/>
          <w:szCs w:val="21"/>
          <w:highlight w:val="none"/>
        </w:rPr>
      </w:pPr>
    </w:p>
    <w:p w14:paraId="156D1BC5">
      <w:pPr>
        <w:pStyle w:val="15"/>
        <w:spacing w:line="360" w:lineRule="auto"/>
        <w:outlineLvl w:val="1"/>
        <w:rPr>
          <w:rFonts w:hAnsi="宋体" w:eastAsia="宋体" w:cs="宋体"/>
          <w:b/>
          <w:color w:val="auto"/>
          <w:szCs w:val="21"/>
          <w:highlight w:val="none"/>
        </w:rPr>
      </w:pPr>
    </w:p>
    <w:p w14:paraId="1FA6C0AF">
      <w:pPr>
        <w:pStyle w:val="15"/>
        <w:spacing w:line="360" w:lineRule="auto"/>
        <w:outlineLvl w:val="1"/>
        <w:rPr>
          <w:rFonts w:hAnsi="宋体" w:eastAsia="宋体" w:cs="宋体"/>
          <w:b/>
          <w:color w:val="auto"/>
          <w:szCs w:val="21"/>
          <w:highlight w:val="none"/>
        </w:rPr>
      </w:pPr>
    </w:p>
    <w:p w14:paraId="21C8B807">
      <w:pPr>
        <w:pStyle w:val="15"/>
        <w:spacing w:line="360" w:lineRule="auto"/>
        <w:outlineLvl w:val="1"/>
        <w:rPr>
          <w:rFonts w:hAnsi="宋体" w:eastAsia="宋体" w:cs="宋体"/>
          <w:b/>
          <w:color w:val="auto"/>
          <w:szCs w:val="21"/>
          <w:highlight w:val="none"/>
        </w:rPr>
      </w:pPr>
    </w:p>
    <w:p w14:paraId="550331C8">
      <w:pPr>
        <w:pStyle w:val="15"/>
        <w:spacing w:line="360" w:lineRule="auto"/>
        <w:outlineLvl w:val="1"/>
        <w:rPr>
          <w:rFonts w:hAnsi="宋体" w:eastAsia="宋体" w:cs="宋体"/>
          <w:b/>
          <w:color w:val="auto"/>
          <w:szCs w:val="21"/>
          <w:highlight w:val="none"/>
        </w:rPr>
      </w:pPr>
    </w:p>
    <w:p w14:paraId="070F2000">
      <w:pPr>
        <w:pStyle w:val="15"/>
        <w:spacing w:line="360" w:lineRule="auto"/>
        <w:outlineLvl w:val="1"/>
        <w:rPr>
          <w:rFonts w:hAnsi="宋体" w:eastAsia="宋体" w:cs="宋体"/>
          <w:b/>
          <w:color w:val="auto"/>
          <w:szCs w:val="21"/>
          <w:highlight w:val="none"/>
        </w:rPr>
      </w:pPr>
    </w:p>
    <w:p w14:paraId="274069E8">
      <w:pPr>
        <w:pStyle w:val="15"/>
        <w:spacing w:line="360" w:lineRule="auto"/>
        <w:outlineLvl w:val="1"/>
        <w:rPr>
          <w:rFonts w:hAnsi="宋体" w:eastAsia="宋体" w:cs="宋体"/>
          <w:b/>
          <w:color w:val="auto"/>
          <w:szCs w:val="21"/>
          <w:highlight w:val="none"/>
        </w:rPr>
      </w:pPr>
    </w:p>
    <w:p w14:paraId="78DCE5D0">
      <w:pPr>
        <w:pStyle w:val="15"/>
        <w:spacing w:line="360" w:lineRule="auto"/>
        <w:outlineLvl w:val="1"/>
        <w:rPr>
          <w:rFonts w:hAnsi="宋体" w:eastAsia="宋体" w:cs="宋体"/>
          <w:b/>
          <w:color w:val="auto"/>
          <w:szCs w:val="21"/>
          <w:highlight w:val="none"/>
        </w:rPr>
      </w:pPr>
    </w:p>
    <w:p w14:paraId="21A343B3">
      <w:pPr>
        <w:pStyle w:val="15"/>
        <w:spacing w:line="360" w:lineRule="auto"/>
        <w:outlineLvl w:val="1"/>
        <w:rPr>
          <w:rFonts w:hAnsi="宋体" w:eastAsia="宋体" w:cs="宋体"/>
          <w:b/>
          <w:color w:val="auto"/>
          <w:szCs w:val="21"/>
          <w:highlight w:val="none"/>
        </w:rPr>
      </w:pPr>
    </w:p>
    <w:p w14:paraId="69C91173">
      <w:pPr>
        <w:pStyle w:val="15"/>
        <w:adjustRightInd w:val="0"/>
        <w:snapToGrid w:val="0"/>
        <w:spacing w:before="120" w:after="120"/>
        <w:rPr>
          <w:rFonts w:hAnsi="宋体" w:eastAsia="宋体" w:cs="宋体"/>
          <w:b/>
          <w:bCs/>
          <w:color w:val="auto"/>
          <w:szCs w:val="21"/>
          <w:highlight w:val="none"/>
        </w:rPr>
      </w:pPr>
    </w:p>
    <w:p w14:paraId="1D343712">
      <w:pPr>
        <w:pStyle w:val="16"/>
        <w:ind w:left="9000"/>
        <w:rPr>
          <w:rFonts w:ascii="宋体" w:hAnsi="宋体" w:eastAsia="宋体" w:cs="宋体"/>
          <w:b/>
          <w:bCs/>
          <w:color w:val="auto"/>
          <w:sz w:val="21"/>
          <w:szCs w:val="21"/>
          <w:highlight w:val="none"/>
        </w:rPr>
      </w:pPr>
    </w:p>
    <w:p w14:paraId="42599DEC">
      <w:pPr>
        <w:rPr>
          <w:rFonts w:ascii="宋体" w:hAnsi="宋体" w:eastAsia="宋体" w:cs="宋体"/>
          <w:b/>
          <w:bCs/>
          <w:color w:val="auto"/>
          <w:sz w:val="21"/>
          <w:szCs w:val="21"/>
          <w:highlight w:val="none"/>
        </w:rPr>
      </w:pPr>
    </w:p>
    <w:p w14:paraId="36EDE0FE">
      <w:pPr>
        <w:pStyle w:val="12"/>
        <w:rPr>
          <w:rFonts w:ascii="宋体" w:hAnsi="宋体" w:eastAsia="宋体" w:cs="宋体"/>
          <w:b/>
          <w:bCs/>
          <w:color w:val="auto"/>
          <w:szCs w:val="21"/>
          <w:highlight w:val="none"/>
        </w:rPr>
      </w:pPr>
    </w:p>
    <w:p w14:paraId="1A02A5BF">
      <w:pPr>
        <w:pStyle w:val="13"/>
        <w:ind w:firstLine="210"/>
        <w:rPr>
          <w:color w:val="auto"/>
          <w:highlight w:val="none"/>
        </w:rPr>
      </w:pPr>
    </w:p>
    <w:p w14:paraId="3485F19F">
      <w:pPr>
        <w:pStyle w:val="15"/>
        <w:adjustRightInd w:val="0"/>
        <w:snapToGrid w:val="0"/>
        <w:spacing w:before="120" w:after="120"/>
        <w:rPr>
          <w:rFonts w:hAnsi="宋体" w:eastAsia="宋体" w:cs="宋体"/>
          <w:b/>
          <w:bCs/>
          <w:color w:val="auto"/>
          <w:szCs w:val="21"/>
          <w:highlight w:val="none"/>
        </w:rPr>
      </w:pPr>
    </w:p>
    <w:p w14:paraId="1EE829A1">
      <w:pPr>
        <w:pStyle w:val="15"/>
        <w:adjustRightInd w:val="0"/>
        <w:snapToGrid w:val="0"/>
        <w:spacing w:before="120" w:after="120"/>
        <w:rPr>
          <w:rFonts w:hAnsi="宋体" w:eastAsia="宋体" w:cs="宋体"/>
          <w:b/>
          <w:bCs/>
          <w:color w:val="auto"/>
          <w:szCs w:val="21"/>
          <w:highlight w:val="none"/>
        </w:rPr>
      </w:pPr>
    </w:p>
    <w:p w14:paraId="7AECCF16">
      <w:pPr>
        <w:pStyle w:val="11"/>
        <w:spacing w:line="360" w:lineRule="auto"/>
        <w:ind w:firstLine="0"/>
        <w:jc w:val="left"/>
        <w:rPr>
          <w:rFonts w:ascii="宋体" w:hAnsi="宋体" w:eastAsia="宋体" w:cs="宋体"/>
          <w:b/>
          <w:bCs/>
          <w:color w:val="auto"/>
          <w:sz w:val="24"/>
          <w:szCs w:val="24"/>
          <w:highlight w:val="none"/>
        </w:rPr>
      </w:pPr>
    </w:p>
    <w:p w14:paraId="71D7D1CF">
      <w:pPr>
        <w:widowControl/>
        <w:spacing w:line="360" w:lineRule="auto"/>
        <w:rPr>
          <w:rFonts w:ascii="宋体" w:hAnsi="宋体" w:eastAsia="宋体" w:cs="宋体"/>
          <w:color w:val="auto"/>
          <w:sz w:val="30"/>
          <w:szCs w:val="30"/>
          <w:highlight w:val="none"/>
        </w:rPr>
      </w:pPr>
      <w:r>
        <w:rPr>
          <w:rFonts w:hint="eastAsia" w:hAnsi="宋体" w:eastAsia="宋体" w:cs="宋体"/>
          <w:b/>
          <w:bCs/>
          <w:color w:val="auto"/>
          <w:sz w:val="24"/>
          <w:highlight w:val="none"/>
          <w:lang w:val="zh-CN"/>
        </w:rPr>
        <w:t>附件七：</w:t>
      </w:r>
      <w:r>
        <w:rPr>
          <w:rFonts w:hint="eastAsia" w:hAnsi="宋体" w:eastAsia="宋体" w:cs="宋体"/>
          <w:b/>
          <w:bCs/>
          <w:color w:val="auto"/>
          <w:sz w:val="24"/>
          <w:highlight w:val="none"/>
        </w:rPr>
        <w:t xml:space="preserve">                </w:t>
      </w:r>
      <w:r>
        <w:rPr>
          <w:rFonts w:hint="eastAsia" w:ascii="宋体" w:hAnsi="宋体" w:eastAsia="宋体" w:cs="宋体"/>
          <w:b/>
          <w:color w:val="auto"/>
          <w:kern w:val="0"/>
          <w:sz w:val="30"/>
          <w:szCs w:val="30"/>
          <w:highlight w:val="none"/>
          <w:lang w:bidi="ar"/>
        </w:rPr>
        <w:t>中小企业声明函（如有）</w:t>
      </w:r>
    </w:p>
    <w:p w14:paraId="039AC824">
      <w:pPr>
        <w:widowControl/>
        <w:spacing w:line="500" w:lineRule="exact"/>
        <w:ind w:firstLine="480" w:firstLineChars="200"/>
        <w:jc w:val="left"/>
        <w:rPr>
          <w:rFonts w:ascii="宋体" w:hAnsi="宋体" w:eastAsia="宋体"/>
          <w:color w:val="auto"/>
          <w:sz w:val="24"/>
          <w:highlight w:val="none"/>
        </w:rPr>
      </w:pPr>
      <w:r>
        <w:rPr>
          <w:rFonts w:ascii="宋体" w:hAnsi="宋体" w:eastAsia="宋体"/>
          <w:color w:val="auto"/>
          <w:kern w:val="0"/>
          <w:sz w:val="24"/>
          <w:highlight w:val="none"/>
        </w:rPr>
        <w:t>本公司（联合体）郑重声明，根据《政府采购促进中小企业发展管理办法》（财库﹝2020﹞46号）的规定，本公司（联合体）参加</w:t>
      </w:r>
      <w:r>
        <w:rPr>
          <w:rFonts w:ascii="宋体" w:hAnsi="宋体" w:eastAsia="宋体"/>
          <w:i/>
          <w:color w:val="auto"/>
          <w:kern w:val="0"/>
          <w:sz w:val="24"/>
          <w:highlight w:val="none"/>
          <w:u w:val="single"/>
        </w:rPr>
        <w:t xml:space="preserve">    </w:t>
      </w:r>
      <w:r>
        <w:rPr>
          <w:rFonts w:hint="eastAsia" w:ascii="宋体" w:hAnsi="宋体" w:eastAsia="宋体"/>
          <w:color w:val="auto"/>
          <w:kern w:val="0"/>
          <w:sz w:val="24"/>
          <w:highlight w:val="none"/>
          <w:u w:val="single"/>
          <w:lang w:eastAsia="zh-CN"/>
        </w:rPr>
        <w:t>仙居县交通运输局</w:t>
      </w:r>
      <w:r>
        <w:rPr>
          <w:rFonts w:ascii="宋体" w:hAnsi="宋体" w:eastAsia="宋体"/>
          <w:i/>
          <w:color w:val="auto"/>
          <w:kern w:val="0"/>
          <w:sz w:val="24"/>
          <w:highlight w:val="none"/>
          <w:u w:val="single"/>
        </w:rPr>
        <w:t xml:space="preserve">    </w:t>
      </w:r>
      <w:r>
        <w:rPr>
          <w:rFonts w:ascii="宋体" w:hAnsi="宋体" w:eastAsia="宋体"/>
          <w:color w:val="auto"/>
          <w:kern w:val="0"/>
          <w:sz w:val="24"/>
          <w:highlight w:val="none"/>
        </w:rPr>
        <w:t>的</w:t>
      </w:r>
      <w:r>
        <w:rPr>
          <w:rFonts w:ascii="宋体" w:hAnsi="宋体" w:eastAsia="宋体"/>
          <w:color w:val="auto"/>
          <w:kern w:val="0"/>
          <w:sz w:val="24"/>
          <w:highlight w:val="none"/>
          <w:u w:val="single"/>
        </w:rPr>
        <w:t xml:space="preserve">  </w:t>
      </w:r>
      <w:r>
        <w:rPr>
          <w:rFonts w:hint="eastAsia" w:ascii="宋体" w:hAnsi="宋体" w:eastAsia="宋体"/>
          <w:color w:val="auto"/>
          <w:kern w:val="0"/>
          <w:sz w:val="24"/>
          <w:highlight w:val="none"/>
          <w:u w:val="single"/>
          <w:lang w:eastAsia="zh-CN"/>
        </w:rPr>
        <w:t>2024年-2025年仙居县所有国、省道及县道公路绿化管护服务项目(重新招标）</w:t>
      </w:r>
      <w:r>
        <w:rPr>
          <w:rFonts w:ascii="宋体" w:hAnsi="宋体" w:eastAsia="宋体"/>
          <w:i/>
          <w:color w:val="auto"/>
          <w:kern w:val="0"/>
          <w:sz w:val="24"/>
          <w:highlight w:val="none"/>
          <w:u w:val="single"/>
        </w:rPr>
        <w:t xml:space="preserve"> </w:t>
      </w:r>
      <w:r>
        <w:rPr>
          <w:rFonts w:ascii="宋体" w:hAnsi="宋体" w:eastAsia="宋体"/>
          <w:color w:val="auto"/>
          <w:kern w:val="0"/>
          <w:sz w:val="24"/>
          <w:highlight w:val="none"/>
        </w:rPr>
        <w:t>采购活动，工程的施工单位全部为符合政策要求的中小企业</w:t>
      </w:r>
      <w:r>
        <w:rPr>
          <w:rFonts w:hint="eastAsia" w:ascii="宋体" w:hAnsi="宋体"/>
          <w:color w:val="auto"/>
          <w:sz w:val="24"/>
          <w:highlight w:val="none"/>
          <w:lang w:val="zh-CN"/>
        </w:rPr>
        <w:t>（或者：服务全部由符合政策要求的中小企业承接）</w:t>
      </w:r>
      <w:r>
        <w:rPr>
          <w:rFonts w:ascii="宋体" w:hAnsi="宋体" w:eastAsia="宋体"/>
          <w:color w:val="auto"/>
          <w:kern w:val="0"/>
          <w:sz w:val="24"/>
          <w:highlight w:val="none"/>
        </w:rPr>
        <w:t>。相关企业（含联合体中的中小企业、签订分包意向协议的中小企业）的具体情况如下：</w:t>
      </w:r>
    </w:p>
    <w:p w14:paraId="59C5D649">
      <w:pPr>
        <w:widowControl/>
        <w:spacing w:line="500" w:lineRule="exact"/>
        <w:ind w:firstLine="480" w:firstLineChars="200"/>
        <w:jc w:val="left"/>
        <w:rPr>
          <w:rFonts w:ascii="宋体" w:hAnsi="宋体" w:eastAsia="宋体"/>
          <w:color w:val="auto"/>
          <w:sz w:val="24"/>
          <w:highlight w:val="none"/>
        </w:rPr>
      </w:pPr>
      <w:r>
        <w:rPr>
          <w:rFonts w:ascii="宋体" w:hAnsi="宋体" w:eastAsia="宋体"/>
          <w:color w:val="auto"/>
          <w:kern w:val="0"/>
          <w:sz w:val="24"/>
          <w:highlight w:val="none"/>
        </w:rPr>
        <w:t>1.</w:t>
      </w:r>
      <w:r>
        <w:rPr>
          <w:rFonts w:ascii="宋体" w:hAnsi="宋体" w:eastAsia="宋体"/>
          <w:color w:val="auto"/>
          <w:kern w:val="0"/>
          <w:sz w:val="24"/>
          <w:highlight w:val="none"/>
          <w:u w:val="single"/>
        </w:rPr>
        <w:t xml:space="preserve"> </w:t>
      </w:r>
      <w:r>
        <w:rPr>
          <w:rFonts w:hint="eastAsia" w:ascii="宋体" w:hAnsi="宋体" w:eastAsia="宋体"/>
          <w:color w:val="auto"/>
          <w:kern w:val="0"/>
          <w:sz w:val="24"/>
          <w:highlight w:val="none"/>
          <w:u w:val="single"/>
          <w:lang w:eastAsia="zh-CN"/>
        </w:rPr>
        <w:t>2024年-2025年仙居县所有国、省道及县道公路绿化管护服务项目(重新招标）</w:t>
      </w:r>
      <w:r>
        <w:rPr>
          <w:rFonts w:ascii="宋体" w:hAnsi="宋体" w:eastAsia="宋体"/>
          <w:color w:val="auto"/>
          <w:kern w:val="0"/>
          <w:sz w:val="24"/>
          <w:highlight w:val="none"/>
        </w:rPr>
        <w:t>，属于</w:t>
      </w:r>
      <w:r>
        <w:rPr>
          <w:rFonts w:ascii="宋体" w:hAnsi="宋体" w:eastAsia="宋体"/>
          <w:color w:val="auto"/>
          <w:kern w:val="0"/>
          <w:sz w:val="24"/>
          <w:highlight w:val="none"/>
          <w:u w:val="single"/>
        </w:rPr>
        <w:t>公共设施管理业</w:t>
      </w:r>
      <w:r>
        <w:rPr>
          <w:rFonts w:ascii="宋体" w:hAnsi="宋体" w:eastAsia="宋体"/>
          <w:color w:val="auto"/>
          <w:kern w:val="0"/>
          <w:sz w:val="24"/>
          <w:highlight w:val="none"/>
        </w:rPr>
        <w:t>；承建</w:t>
      </w:r>
      <w:r>
        <w:rPr>
          <w:rFonts w:hint="eastAsia" w:ascii="宋体" w:hAnsi="宋体" w:eastAsia="宋体"/>
          <w:color w:val="auto"/>
          <w:kern w:val="0"/>
          <w:sz w:val="24"/>
          <w:highlight w:val="none"/>
        </w:rPr>
        <w:t>（承接）</w:t>
      </w:r>
      <w:r>
        <w:rPr>
          <w:rFonts w:ascii="宋体" w:hAnsi="宋体" w:eastAsia="宋体"/>
          <w:color w:val="auto"/>
          <w:kern w:val="0"/>
          <w:sz w:val="24"/>
          <w:highlight w:val="none"/>
        </w:rPr>
        <w:t>企业为</w:t>
      </w:r>
      <w:r>
        <w:rPr>
          <w:rFonts w:hint="eastAsia" w:ascii="宋体" w:hAnsi="宋体" w:eastAsia="宋体"/>
          <w:color w:val="auto"/>
          <w:kern w:val="0"/>
          <w:sz w:val="24"/>
          <w:highlight w:val="none"/>
          <w:u w:val="single"/>
          <w:lang w:eastAsia="zh-CN"/>
        </w:rPr>
        <w:t>（企业名称）</w:t>
      </w:r>
      <w:r>
        <w:rPr>
          <w:rFonts w:ascii="宋体" w:hAnsi="宋体" w:eastAsia="宋体"/>
          <w:color w:val="auto"/>
          <w:kern w:val="0"/>
          <w:sz w:val="24"/>
          <w:highlight w:val="none"/>
        </w:rPr>
        <w:t>，从业人员</w:t>
      </w:r>
      <w:r>
        <w:rPr>
          <w:rFonts w:ascii="宋体" w:hAnsi="宋体" w:eastAsia="宋体"/>
          <w:color w:val="auto"/>
          <w:kern w:val="0"/>
          <w:sz w:val="24"/>
          <w:highlight w:val="none"/>
          <w:u w:val="single"/>
        </w:rPr>
        <w:t xml:space="preserve">    </w:t>
      </w:r>
      <w:r>
        <w:rPr>
          <w:rFonts w:ascii="宋体" w:hAnsi="宋体" w:eastAsia="宋体"/>
          <w:color w:val="auto"/>
          <w:kern w:val="0"/>
          <w:sz w:val="24"/>
          <w:highlight w:val="none"/>
        </w:rPr>
        <w:t>人，营业收入为</w:t>
      </w:r>
      <w:r>
        <w:rPr>
          <w:rFonts w:ascii="宋体" w:hAnsi="宋体" w:eastAsia="宋体"/>
          <w:color w:val="auto"/>
          <w:kern w:val="0"/>
          <w:sz w:val="24"/>
          <w:highlight w:val="none"/>
          <w:u w:val="single"/>
        </w:rPr>
        <w:t xml:space="preserve">    </w:t>
      </w:r>
      <w:r>
        <w:rPr>
          <w:rFonts w:ascii="宋体" w:hAnsi="宋体" w:eastAsia="宋体"/>
          <w:color w:val="auto"/>
          <w:kern w:val="0"/>
          <w:sz w:val="24"/>
          <w:highlight w:val="none"/>
        </w:rPr>
        <w:t>万元，资产总额为</w:t>
      </w:r>
      <w:r>
        <w:rPr>
          <w:rFonts w:ascii="宋体" w:hAnsi="宋体" w:eastAsia="宋体"/>
          <w:color w:val="auto"/>
          <w:kern w:val="0"/>
          <w:sz w:val="24"/>
          <w:highlight w:val="none"/>
          <w:u w:val="single"/>
        </w:rPr>
        <w:t xml:space="preserve">    </w:t>
      </w:r>
      <w:r>
        <w:rPr>
          <w:rFonts w:ascii="宋体" w:hAnsi="宋体" w:eastAsia="宋体"/>
          <w:color w:val="auto"/>
          <w:kern w:val="0"/>
          <w:sz w:val="24"/>
          <w:highlight w:val="none"/>
        </w:rPr>
        <w:t>万元</w:t>
      </w:r>
      <w:r>
        <w:rPr>
          <w:rFonts w:ascii="宋体" w:hAnsi="宋体" w:eastAsia="宋体"/>
          <w:color w:val="auto"/>
          <w:kern w:val="0"/>
          <w:sz w:val="24"/>
          <w:highlight w:val="none"/>
          <w:vertAlign w:val="superscript"/>
        </w:rPr>
        <w:t>1</w:t>
      </w:r>
      <w:r>
        <w:rPr>
          <w:rFonts w:ascii="宋体" w:hAnsi="宋体" w:eastAsia="宋体"/>
          <w:color w:val="auto"/>
          <w:kern w:val="0"/>
          <w:sz w:val="24"/>
          <w:highlight w:val="none"/>
        </w:rPr>
        <w:t>，属于</w:t>
      </w:r>
      <w:r>
        <w:rPr>
          <w:rFonts w:hint="eastAsia" w:ascii="宋体" w:hAnsi="宋体" w:eastAsia="宋体"/>
          <w:color w:val="auto"/>
          <w:kern w:val="0"/>
          <w:sz w:val="24"/>
          <w:highlight w:val="none"/>
          <w:u w:val="single"/>
          <w:lang w:eastAsia="zh-CN"/>
        </w:rPr>
        <w:t>（中型企业、小型企业、微型企业）</w:t>
      </w:r>
      <w:r>
        <w:rPr>
          <w:rFonts w:ascii="宋体" w:hAnsi="宋体" w:eastAsia="宋体"/>
          <w:color w:val="auto"/>
          <w:kern w:val="0"/>
          <w:sz w:val="24"/>
          <w:highlight w:val="none"/>
        </w:rPr>
        <w:t xml:space="preserve">； </w:t>
      </w:r>
    </w:p>
    <w:p w14:paraId="50816F5D">
      <w:pPr>
        <w:widowControl/>
        <w:spacing w:line="500" w:lineRule="exact"/>
        <w:ind w:firstLine="480" w:firstLineChars="200"/>
        <w:jc w:val="left"/>
        <w:rPr>
          <w:rFonts w:ascii="宋体" w:hAnsi="宋体" w:eastAsia="宋体"/>
          <w:color w:val="auto"/>
          <w:sz w:val="24"/>
          <w:highlight w:val="none"/>
        </w:rPr>
      </w:pPr>
      <w:r>
        <w:rPr>
          <w:rFonts w:ascii="宋体" w:hAnsi="宋体" w:eastAsia="宋体"/>
          <w:color w:val="auto"/>
          <w:kern w:val="0"/>
          <w:sz w:val="24"/>
          <w:highlight w:val="none"/>
        </w:rPr>
        <w:t xml:space="preserve">2. </w:t>
      </w:r>
      <w:r>
        <w:rPr>
          <w:rFonts w:ascii="宋体" w:hAnsi="宋体" w:eastAsia="宋体"/>
          <w:color w:val="auto"/>
          <w:kern w:val="0"/>
          <w:sz w:val="24"/>
          <w:highlight w:val="none"/>
          <w:u w:val="single"/>
        </w:rPr>
        <w:t xml:space="preserve"> </w:t>
      </w:r>
      <w:r>
        <w:rPr>
          <w:rFonts w:hint="eastAsia" w:ascii="宋体" w:hAnsi="宋体" w:eastAsia="宋体"/>
          <w:color w:val="auto"/>
          <w:kern w:val="0"/>
          <w:sz w:val="24"/>
          <w:highlight w:val="none"/>
          <w:u w:val="single"/>
          <w:lang w:eastAsia="zh-CN"/>
        </w:rPr>
        <w:t>（标的名称）</w:t>
      </w:r>
      <w:r>
        <w:rPr>
          <w:rFonts w:ascii="宋体" w:hAnsi="宋体" w:eastAsia="宋体"/>
          <w:i/>
          <w:color w:val="auto"/>
          <w:kern w:val="0"/>
          <w:sz w:val="24"/>
          <w:highlight w:val="none"/>
          <w:u w:val="single"/>
        </w:rPr>
        <w:t xml:space="preserve"> </w:t>
      </w:r>
      <w:r>
        <w:rPr>
          <w:rFonts w:ascii="宋体" w:hAnsi="宋体" w:eastAsia="宋体"/>
          <w:color w:val="auto"/>
          <w:kern w:val="0"/>
          <w:sz w:val="24"/>
          <w:highlight w:val="none"/>
        </w:rPr>
        <w:t>，属于</w:t>
      </w:r>
      <w:r>
        <w:rPr>
          <w:rFonts w:ascii="宋体" w:hAnsi="宋体" w:eastAsia="宋体"/>
          <w:i/>
          <w:color w:val="auto"/>
          <w:kern w:val="0"/>
          <w:sz w:val="24"/>
          <w:highlight w:val="none"/>
          <w:u w:val="single"/>
        </w:rPr>
        <w:t>（</w:t>
      </w:r>
      <w:r>
        <w:rPr>
          <w:rFonts w:hint="eastAsia" w:ascii="宋体" w:hAnsi="宋体" w:eastAsia="宋体" w:cs="宋体"/>
          <w:color w:val="auto"/>
          <w:kern w:val="0"/>
          <w:sz w:val="24"/>
          <w:highlight w:val="none"/>
          <w:u w:val="single"/>
        </w:rPr>
        <w:t>采购文件中明确的所属行业</w:t>
      </w:r>
      <w:r>
        <w:rPr>
          <w:rFonts w:ascii="宋体" w:hAnsi="宋体" w:eastAsia="宋体"/>
          <w:i/>
          <w:color w:val="auto"/>
          <w:kern w:val="0"/>
          <w:sz w:val="24"/>
          <w:highlight w:val="none"/>
          <w:u w:val="single"/>
        </w:rPr>
        <w:t>）</w:t>
      </w:r>
      <w:r>
        <w:rPr>
          <w:rFonts w:ascii="宋体" w:hAnsi="宋体" w:eastAsia="宋体"/>
          <w:color w:val="auto"/>
          <w:kern w:val="0"/>
          <w:sz w:val="24"/>
          <w:highlight w:val="none"/>
        </w:rPr>
        <w:t>；承建</w:t>
      </w:r>
      <w:r>
        <w:rPr>
          <w:rFonts w:hint="eastAsia" w:ascii="宋体" w:hAnsi="宋体" w:eastAsia="宋体"/>
          <w:color w:val="auto"/>
          <w:kern w:val="0"/>
          <w:sz w:val="24"/>
          <w:highlight w:val="none"/>
        </w:rPr>
        <w:t>（承接）</w:t>
      </w:r>
      <w:r>
        <w:rPr>
          <w:rFonts w:ascii="宋体" w:hAnsi="宋体" w:eastAsia="宋体"/>
          <w:color w:val="auto"/>
          <w:kern w:val="0"/>
          <w:sz w:val="24"/>
          <w:highlight w:val="none"/>
        </w:rPr>
        <w:t>企业为</w:t>
      </w:r>
      <w:r>
        <w:rPr>
          <w:rFonts w:ascii="宋体" w:hAnsi="宋体" w:eastAsia="宋体"/>
          <w:i w:val="0"/>
          <w:iCs/>
          <w:color w:val="auto"/>
          <w:kern w:val="0"/>
          <w:sz w:val="24"/>
          <w:highlight w:val="none"/>
          <w:u w:val="single"/>
        </w:rPr>
        <w:t>（企业名称）</w:t>
      </w:r>
      <w:r>
        <w:rPr>
          <w:rFonts w:ascii="宋体" w:hAnsi="宋体" w:eastAsia="宋体"/>
          <w:i/>
          <w:color w:val="auto"/>
          <w:kern w:val="0"/>
          <w:sz w:val="24"/>
          <w:highlight w:val="none"/>
          <w:u w:val="single"/>
        </w:rPr>
        <w:t xml:space="preserve"> </w:t>
      </w:r>
      <w:r>
        <w:rPr>
          <w:rFonts w:ascii="宋体" w:hAnsi="宋体" w:eastAsia="宋体"/>
          <w:color w:val="auto"/>
          <w:kern w:val="0"/>
          <w:sz w:val="24"/>
          <w:highlight w:val="none"/>
        </w:rPr>
        <w:t>，从业人员</w:t>
      </w:r>
      <w:r>
        <w:rPr>
          <w:rFonts w:ascii="宋体" w:hAnsi="宋体" w:eastAsia="宋体"/>
          <w:color w:val="auto"/>
          <w:kern w:val="0"/>
          <w:sz w:val="24"/>
          <w:highlight w:val="none"/>
          <w:u w:val="single"/>
        </w:rPr>
        <w:t xml:space="preserve">    </w:t>
      </w:r>
      <w:r>
        <w:rPr>
          <w:rFonts w:ascii="宋体" w:hAnsi="宋体" w:eastAsia="宋体"/>
          <w:color w:val="auto"/>
          <w:kern w:val="0"/>
          <w:sz w:val="24"/>
          <w:highlight w:val="none"/>
        </w:rPr>
        <w:t>人，营业收入为</w:t>
      </w:r>
      <w:r>
        <w:rPr>
          <w:rFonts w:ascii="宋体" w:hAnsi="宋体" w:eastAsia="宋体"/>
          <w:color w:val="auto"/>
          <w:kern w:val="0"/>
          <w:sz w:val="24"/>
          <w:highlight w:val="none"/>
          <w:u w:val="single"/>
        </w:rPr>
        <w:t xml:space="preserve">    </w:t>
      </w:r>
      <w:r>
        <w:rPr>
          <w:rFonts w:ascii="宋体" w:hAnsi="宋体" w:eastAsia="宋体"/>
          <w:color w:val="auto"/>
          <w:kern w:val="0"/>
          <w:sz w:val="24"/>
          <w:highlight w:val="none"/>
        </w:rPr>
        <w:t>万元，资产总额为</w:t>
      </w:r>
      <w:r>
        <w:rPr>
          <w:rFonts w:ascii="宋体" w:hAnsi="宋体" w:eastAsia="宋体"/>
          <w:color w:val="auto"/>
          <w:kern w:val="0"/>
          <w:sz w:val="24"/>
          <w:highlight w:val="none"/>
          <w:u w:val="single"/>
        </w:rPr>
        <w:t xml:space="preserve">    </w:t>
      </w:r>
      <w:r>
        <w:rPr>
          <w:rFonts w:ascii="宋体" w:hAnsi="宋体" w:eastAsia="宋体"/>
          <w:color w:val="auto"/>
          <w:kern w:val="0"/>
          <w:sz w:val="24"/>
          <w:highlight w:val="none"/>
        </w:rPr>
        <w:t>万元，属于</w:t>
      </w:r>
      <w:r>
        <w:rPr>
          <w:rFonts w:ascii="宋体" w:hAnsi="宋体" w:eastAsia="宋体"/>
          <w:i w:val="0"/>
          <w:iCs/>
          <w:color w:val="auto"/>
          <w:kern w:val="0"/>
          <w:sz w:val="24"/>
          <w:highlight w:val="none"/>
        </w:rPr>
        <w:t>（</w:t>
      </w:r>
      <w:r>
        <w:rPr>
          <w:rFonts w:ascii="宋体" w:hAnsi="宋体" w:eastAsia="宋体"/>
          <w:i w:val="0"/>
          <w:iCs/>
          <w:color w:val="auto"/>
          <w:kern w:val="0"/>
          <w:sz w:val="24"/>
          <w:highlight w:val="none"/>
          <w:u w:val="single"/>
        </w:rPr>
        <w:t>中型企业、小型企业、微型企业）</w:t>
      </w:r>
      <w:r>
        <w:rPr>
          <w:rFonts w:ascii="宋体" w:hAnsi="宋体" w:eastAsia="宋体"/>
          <w:color w:val="auto"/>
          <w:kern w:val="0"/>
          <w:sz w:val="24"/>
          <w:highlight w:val="none"/>
        </w:rPr>
        <w:t xml:space="preserve">； </w:t>
      </w:r>
    </w:p>
    <w:p w14:paraId="6703F23A">
      <w:pPr>
        <w:widowControl/>
        <w:spacing w:line="500" w:lineRule="exact"/>
        <w:ind w:firstLine="480" w:firstLineChars="200"/>
        <w:jc w:val="left"/>
        <w:rPr>
          <w:rFonts w:ascii="宋体" w:hAnsi="宋体" w:eastAsia="宋体"/>
          <w:color w:val="auto"/>
          <w:sz w:val="24"/>
          <w:highlight w:val="none"/>
        </w:rPr>
      </w:pPr>
      <w:r>
        <w:rPr>
          <w:rFonts w:ascii="宋体" w:hAnsi="宋体" w:eastAsia="宋体"/>
          <w:color w:val="auto"/>
          <w:kern w:val="0"/>
          <w:sz w:val="24"/>
          <w:highlight w:val="none"/>
        </w:rPr>
        <w:t>……</w:t>
      </w:r>
    </w:p>
    <w:p w14:paraId="3F051C4E">
      <w:pPr>
        <w:widowControl/>
        <w:spacing w:line="500" w:lineRule="exact"/>
        <w:ind w:firstLine="480" w:firstLineChars="200"/>
        <w:jc w:val="left"/>
        <w:rPr>
          <w:rFonts w:ascii="宋体" w:hAnsi="宋体" w:eastAsia="宋体"/>
          <w:color w:val="auto"/>
          <w:sz w:val="24"/>
          <w:highlight w:val="none"/>
        </w:rPr>
      </w:pPr>
      <w:r>
        <w:rPr>
          <w:rFonts w:ascii="宋体" w:hAnsi="宋体" w:eastAsia="宋体"/>
          <w:color w:val="auto"/>
          <w:kern w:val="0"/>
          <w:sz w:val="24"/>
          <w:highlight w:val="none"/>
        </w:rPr>
        <w:t>以上企业，不属于大企业的分支机构，不存在控股股东为大企业的情形，也不存在与大企业的负责人为同一人的情形。</w:t>
      </w:r>
    </w:p>
    <w:p w14:paraId="1BB0BDF0">
      <w:pPr>
        <w:widowControl/>
        <w:spacing w:line="500" w:lineRule="exact"/>
        <w:ind w:firstLine="480" w:firstLineChars="200"/>
        <w:jc w:val="left"/>
        <w:rPr>
          <w:rFonts w:ascii="宋体" w:hAnsi="宋体" w:eastAsia="宋体" w:cs="宋体"/>
          <w:color w:val="auto"/>
          <w:sz w:val="24"/>
          <w:highlight w:val="none"/>
        </w:rPr>
      </w:pPr>
      <w:r>
        <w:rPr>
          <w:rFonts w:ascii="宋体" w:hAnsi="宋体" w:eastAsia="宋体"/>
          <w:color w:val="auto"/>
          <w:kern w:val="0"/>
          <w:sz w:val="24"/>
          <w:highlight w:val="none"/>
        </w:rPr>
        <w:t>本企业对上述声明内容的真实性负责。如有虚假，将依法承担相应责任</w:t>
      </w:r>
      <w:r>
        <w:rPr>
          <w:rFonts w:hint="eastAsia" w:ascii="宋体" w:hAnsi="宋体" w:eastAsia="宋体" w:cs="宋体"/>
          <w:color w:val="auto"/>
          <w:kern w:val="0"/>
          <w:sz w:val="24"/>
          <w:highlight w:val="none"/>
          <w:lang w:bidi="ar"/>
        </w:rPr>
        <w:t xml:space="preserve">。 </w:t>
      </w:r>
    </w:p>
    <w:p w14:paraId="5BE0E583">
      <w:pPr>
        <w:widowControl/>
        <w:spacing w:line="500" w:lineRule="exact"/>
        <w:jc w:val="center"/>
        <w:rPr>
          <w:rFonts w:ascii="宋体" w:hAnsi="宋体" w:eastAsia="宋体" w:cs="宋体"/>
          <w:color w:val="auto"/>
          <w:kern w:val="0"/>
          <w:sz w:val="24"/>
          <w:highlight w:val="none"/>
          <w:lang w:bidi="ar"/>
        </w:rPr>
      </w:pPr>
    </w:p>
    <w:p w14:paraId="32557914">
      <w:pPr>
        <w:widowControl/>
        <w:spacing w:line="500" w:lineRule="exact"/>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企业名称（盖章）：</w:t>
      </w:r>
    </w:p>
    <w:p w14:paraId="3E4EC5EA">
      <w:pPr>
        <w:widowControl/>
        <w:spacing w:line="500" w:lineRule="exact"/>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4"/>
          <w:highlight w:val="none"/>
          <w:lang w:bidi="ar"/>
        </w:rPr>
        <w:t xml:space="preserve">          日 期：</w:t>
      </w:r>
    </w:p>
    <w:p w14:paraId="01E390E3">
      <w:pPr>
        <w:widowControl/>
        <w:jc w:val="left"/>
        <w:rPr>
          <w:rFonts w:ascii="宋体" w:hAnsi="宋体" w:eastAsia="宋体" w:cs="宋体"/>
          <w:color w:val="auto"/>
          <w:kern w:val="0"/>
          <w:sz w:val="21"/>
          <w:szCs w:val="21"/>
          <w:highlight w:val="none"/>
          <w:lang w:bidi="ar"/>
        </w:rPr>
      </w:pPr>
    </w:p>
    <w:p w14:paraId="3C65A587">
      <w:pPr>
        <w:widowControl/>
        <w:spacing w:line="400" w:lineRule="exact"/>
        <w:jc w:val="left"/>
        <w:rPr>
          <w:rFonts w:ascii="宋体"/>
          <w:color w:val="auto"/>
          <w:kern w:val="0"/>
          <w:sz w:val="21"/>
          <w:highlight w:val="none"/>
        </w:rPr>
      </w:pPr>
      <w:r>
        <w:rPr>
          <w:rFonts w:hint="eastAsia" w:ascii="宋体" w:hAnsi="宋体"/>
          <w:color w:val="auto"/>
          <w:kern w:val="0"/>
          <w:sz w:val="21"/>
          <w:highlight w:val="none"/>
        </w:rPr>
        <w:t>注：</w:t>
      </w:r>
      <w:r>
        <w:rPr>
          <w:rFonts w:ascii="宋体"/>
          <w:color w:val="auto"/>
          <w:kern w:val="0"/>
          <w:sz w:val="21"/>
          <w:highlight w:val="none"/>
        </w:rPr>
        <w:t>1.</w:t>
      </w:r>
      <w:r>
        <w:rPr>
          <w:rFonts w:hint="eastAsia" w:ascii="宋体" w:hAnsi="宋体"/>
          <w:color w:val="auto"/>
          <w:kern w:val="0"/>
          <w:sz w:val="21"/>
          <w:highlight w:val="none"/>
        </w:rPr>
        <w:t>从业人员、营业收入、资产总额填报上一年度数据，无上一年度数据的新成立企业可不填报。</w:t>
      </w:r>
    </w:p>
    <w:p w14:paraId="415ED386">
      <w:pPr>
        <w:widowControl/>
        <w:spacing w:line="400" w:lineRule="exact"/>
        <w:ind w:firstLine="420" w:firstLineChars="200"/>
        <w:jc w:val="left"/>
        <w:rPr>
          <w:rFonts w:ascii="宋体"/>
          <w:color w:val="auto"/>
          <w:kern w:val="0"/>
          <w:sz w:val="21"/>
          <w:highlight w:val="none"/>
        </w:rPr>
      </w:pPr>
      <w:r>
        <w:rPr>
          <w:rFonts w:ascii="宋体" w:hAnsi="宋体"/>
          <w:color w:val="auto"/>
          <w:kern w:val="0"/>
          <w:sz w:val="21"/>
          <w:highlight w:val="none"/>
        </w:rPr>
        <w:t>2.</w:t>
      </w:r>
      <w:r>
        <w:rPr>
          <w:rFonts w:hint="eastAsia" w:ascii="宋体" w:hAnsi="宋体"/>
          <w:color w:val="auto"/>
          <w:kern w:val="0"/>
          <w:sz w:val="21"/>
          <w:highlight w:val="none"/>
        </w:rPr>
        <w:t>标的物、所属行业请按采购文件第二章采购需求指定的填写，可扩行。</w:t>
      </w:r>
    </w:p>
    <w:p w14:paraId="5131F293">
      <w:pPr>
        <w:widowControl/>
        <w:spacing w:line="400" w:lineRule="exact"/>
        <w:ind w:firstLine="420" w:firstLineChars="200"/>
        <w:jc w:val="left"/>
        <w:rPr>
          <w:color w:val="auto"/>
          <w:sz w:val="32"/>
          <w:szCs w:val="32"/>
          <w:highlight w:val="none"/>
        </w:rPr>
      </w:pPr>
      <w:r>
        <w:rPr>
          <w:rFonts w:ascii="宋体" w:hAnsi="宋体"/>
          <w:color w:val="auto"/>
          <w:kern w:val="0"/>
          <w:sz w:val="21"/>
          <w:highlight w:val="none"/>
        </w:rPr>
        <w:t>3.</w:t>
      </w:r>
      <w:r>
        <w:rPr>
          <w:rFonts w:hint="eastAsia" w:ascii="宋体" w:hAnsi="宋体"/>
          <w:color w:val="auto"/>
          <w:kern w:val="0"/>
          <w:sz w:val="21"/>
          <w:highlight w:val="none"/>
        </w:rPr>
        <w:t>中型企业、小型企业、微型企业请根据《关于印发中小企业划型标准规定的通知》工信部联企业〔</w:t>
      </w:r>
      <w:r>
        <w:rPr>
          <w:rFonts w:ascii="宋体" w:hAnsi="宋体"/>
          <w:color w:val="auto"/>
          <w:kern w:val="0"/>
          <w:sz w:val="21"/>
          <w:highlight w:val="none"/>
        </w:rPr>
        <w:t>2011</w:t>
      </w:r>
      <w:r>
        <w:rPr>
          <w:rFonts w:hint="eastAsia" w:ascii="宋体" w:hAnsi="宋体"/>
          <w:color w:val="auto"/>
          <w:kern w:val="0"/>
          <w:sz w:val="21"/>
          <w:highlight w:val="none"/>
        </w:rPr>
        <w:t>〕</w:t>
      </w:r>
      <w:r>
        <w:rPr>
          <w:rFonts w:ascii="宋体" w:hAnsi="宋体"/>
          <w:color w:val="auto"/>
          <w:kern w:val="0"/>
          <w:sz w:val="21"/>
          <w:highlight w:val="none"/>
        </w:rPr>
        <w:t>300</w:t>
      </w:r>
      <w:r>
        <w:rPr>
          <w:rFonts w:hint="eastAsia" w:ascii="宋体" w:hAnsi="宋体"/>
          <w:color w:val="auto"/>
          <w:kern w:val="0"/>
          <w:sz w:val="21"/>
          <w:highlight w:val="none"/>
        </w:rPr>
        <w:t>号文件标准填写。</w:t>
      </w:r>
    </w:p>
    <w:p w14:paraId="1FB84A8F">
      <w:pPr>
        <w:jc w:val="center"/>
        <w:rPr>
          <w:rFonts w:ascii="宋体" w:hAnsi="宋体" w:cs="宋体"/>
          <w:b/>
          <w:bCs/>
          <w:color w:val="auto"/>
          <w:sz w:val="24"/>
          <w:highlight w:val="none"/>
        </w:rPr>
      </w:pPr>
    </w:p>
    <w:p w14:paraId="339C83DE">
      <w:pPr>
        <w:pStyle w:val="15"/>
        <w:adjustRightInd w:val="0"/>
        <w:snapToGrid w:val="0"/>
        <w:spacing w:before="120" w:after="120"/>
        <w:rPr>
          <w:rFonts w:hAnsi="宋体" w:eastAsia="宋体" w:cs="宋体"/>
          <w:b/>
          <w:bCs/>
          <w:color w:val="auto"/>
          <w:sz w:val="24"/>
          <w:szCs w:val="24"/>
          <w:highlight w:val="none"/>
          <w:lang w:val="zh-CN"/>
        </w:rPr>
      </w:pPr>
    </w:p>
    <w:p w14:paraId="57E90286">
      <w:pPr>
        <w:pStyle w:val="16"/>
        <w:ind w:left="9000"/>
        <w:rPr>
          <w:rFonts w:hAnsi="宋体" w:eastAsia="宋体" w:cs="宋体"/>
          <w:b/>
          <w:bCs/>
          <w:color w:val="auto"/>
          <w:sz w:val="24"/>
          <w:highlight w:val="none"/>
          <w:lang w:val="zh-CN"/>
        </w:rPr>
      </w:pPr>
    </w:p>
    <w:p w14:paraId="4FECC886">
      <w:pPr>
        <w:rPr>
          <w:color w:val="auto"/>
          <w:highlight w:val="none"/>
          <w:lang w:val="zh-CN"/>
        </w:rPr>
      </w:pPr>
    </w:p>
    <w:p w14:paraId="358CC27C">
      <w:pPr>
        <w:jc w:val="center"/>
        <w:rPr>
          <w:rFonts w:ascii="宋体" w:hAnsi="宋体" w:cs="宋体"/>
          <w:b/>
          <w:bCs/>
          <w:color w:val="auto"/>
          <w:sz w:val="24"/>
          <w:highlight w:val="none"/>
        </w:rPr>
      </w:pPr>
      <w:r>
        <w:rPr>
          <w:rFonts w:hint="eastAsia" w:ascii="宋体" w:hAnsi="宋体" w:cs="宋体"/>
          <w:b/>
          <w:bCs/>
          <w:color w:val="auto"/>
          <w:sz w:val="24"/>
          <w:highlight w:val="none"/>
        </w:rPr>
        <w:t>残疾人福利性单位声明函（如有）</w:t>
      </w:r>
    </w:p>
    <w:p w14:paraId="53C34F46">
      <w:pPr>
        <w:jc w:val="center"/>
        <w:rPr>
          <w:rFonts w:ascii="宋体" w:hAnsi="宋体" w:cs="宋体"/>
          <w:b/>
          <w:bCs/>
          <w:color w:val="auto"/>
          <w:sz w:val="24"/>
          <w:highlight w:val="none"/>
        </w:rPr>
      </w:pPr>
    </w:p>
    <w:p w14:paraId="2CA3A2E8">
      <w:pPr>
        <w:spacing w:line="588" w:lineRule="exact"/>
        <w:ind w:firstLine="480" w:firstLineChars="200"/>
        <w:rPr>
          <w:rFonts w:ascii="宋体" w:hAnsi="宋体" w:cs="宋体"/>
          <w:color w:val="auto"/>
          <w:spacing w:val="6"/>
          <w:sz w:val="24"/>
          <w:highlight w:val="none"/>
        </w:rPr>
      </w:pPr>
      <w:r>
        <w:rPr>
          <w:rFonts w:hint="eastAsia" w:ascii="宋体" w:hAnsi="宋体" w:cs="宋体"/>
          <w:color w:val="auto"/>
          <w:sz w:val="24"/>
          <w:highlight w:val="none"/>
        </w:rPr>
        <w:t>本</w:t>
      </w:r>
      <w:r>
        <w:rPr>
          <w:rFonts w:hint="eastAsia" w:ascii="宋体" w:hAnsi="宋体" w:cs="宋体"/>
          <w:color w:val="auto"/>
          <w:spacing w:val="6"/>
          <w:sz w:val="24"/>
          <w:highlight w:val="none"/>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highlight w:val="none"/>
          <w:u w:val="single"/>
        </w:rPr>
        <w:t xml:space="preserve"> 仙居县交通运输局 </w:t>
      </w:r>
      <w:r>
        <w:rPr>
          <w:rFonts w:hint="eastAsia" w:ascii="宋体" w:hAnsi="宋体" w:cs="宋体"/>
          <w:color w:val="auto"/>
          <w:spacing w:val="6"/>
          <w:sz w:val="24"/>
          <w:highlight w:val="none"/>
        </w:rPr>
        <w:t>单位的</w:t>
      </w:r>
      <w:r>
        <w:rPr>
          <w:rFonts w:hint="eastAsia" w:hAnsi="宋体" w:eastAsia="宋体" w:cs="宋体"/>
          <w:color w:val="auto"/>
          <w:sz w:val="24"/>
          <w:highlight w:val="none"/>
          <w:u w:val="single"/>
          <w:lang w:eastAsia="zh-CN"/>
        </w:rPr>
        <w:t>2024年-2025年仙居县所有国、省道及县道公路绿化管护服务项目(重新招标）</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5D9F0D9E">
      <w:pPr>
        <w:spacing w:line="360" w:lineRule="auto"/>
        <w:ind w:firstLine="378" w:firstLineChars="150"/>
        <w:rPr>
          <w:rFonts w:ascii="宋体" w:hAnsi="宋体" w:cs="宋体"/>
          <w:color w:val="auto"/>
          <w:sz w:val="24"/>
          <w:highlight w:val="none"/>
        </w:rPr>
      </w:pPr>
      <w:r>
        <w:rPr>
          <w:rFonts w:hint="eastAsia" w:ascii="宋体" w:hAnsi="宋体" w:cs="宋体"/>
          <w:color w:val="auto"/>
          <w:spacing w:val="6"/>
          <w:sz w:val="24"/>
          <w:highlight w:val="none"/>
        </w:rPr>
        <w:t>本单位对上述声明的真实性负责。如有虚假，将依法承担相应责任</w:t>
      </w:r>
      <w:r>
        <w:rPr>
          <w:rFonts w:hint="eastAsia" w:ascii="宋体" w:hAnsi="宋体" w:cs="宋体"/>
          <w:color w:val="auto"/>
          <w:sz w:val="24"/>
          <w:highlight w:val="none"/>
        </w:rPr>
        <w:t>。</w:t>
      </w:r>
    </w:p>
    <w:p w14:paraId="17485FE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                                 </w:t>
      </w:r>
    </w:p>
    <w:p w14:paraId="56056D5C">
      <w:pPr>
        <w:spacing w:line="360" w:lineRule="auto"/>
        <w:ind w:right="480" w:firstLine="4800" w:firstLineChars="2000"/>
        <w:rPr>
          <w:rFonts w:ascii="宋体" w:hAnsi="宋体" w:cs="宋体"/>
          <w:color w:val="auto"/>
          <w:sz w:val="24"/>
          <w:highlight w:val="none"/>
        </w:rPr>
      </w:pPr>
      <w:r>
        <w:rPr>
          <w:rFonts w:hint="eastAsia" w:ascii="宋体" w:hAnsi="宋体" w:cs="宋体"/>
          <w:color w:val="auto"/>
          <w:sz w:val="24"/>
          <w:highlight w:val="none"/>
        </w:rPr>
        <w:t>磋商人 (盖单位章)：</w:t>
      </w:r>
    </w:p>
    <w:p w14:paraId="72C90345">
      <w:pPr>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日期∶</w:t>
      </w:r>
    </w:p>
    <w:p w14:paraId="7A335FE5">
      <w:pPr>
        <w:pStyle w:val="25"/>
        <w:widowControl w:val="0"/>
        <w:spacing w:before="0" w:beforeAutospacing="0" w:after="0" w:afterAutospacing="0" w:line="360" w:lineRule="auto"/>
        <w:ind w:right="360" w:firstLine="6000" w:firstLineChars="2500"/>
        <w:jc w:val="both"/>
        <w:rPr>
          <w:rFonts w:hint="default" w:cs="宋体"/>
          <w:color w:val="auto"/>
          <w:kern w:val="2"/>
          <w:highlight w:val="none"/>
          <w:lang w:bidi="ar"/>
        </w:rPr>
      </w:pPr>
    </w:p>
    <w:p w14:paraId="73974278">
      <w:pPr>
        <w:pStyle w:val="25"/>
        <w:widowControl w:val="0"/>
        <w:spacing w:before="0" w:beforeAutospacing="0" w:after="0" w:afterAutospacing="0" w:line="360" w:lineRule="auto"/>
        <w:ind w:right="360" w:firstLine="6300" w:firstLineChars="2500"/>
        <w:jc w:val="both"/>
        <w:rPr>
          <w:rFonts w:hint="default" w:cs="宋体"/>
          <w:color w:val="auto"/>
          <w:spacing w:val="6"/>
          <w:highlight w:val="none"/>
        </w:rPr>
      </w:pPr>
    </w:p>
    <w:p w14:paraId="62754500">
      <w:pPr>
        <w:pStyle w:val="45"/>
        <w:spacing w:after="120" w:line="360" w:lineRule="auto"/>
        <w:rPr>
          <w:rFonts w:ascii="宋体" w:hAnsi="宋体" w:cs="宋体"/>
          <w:b/>
          <w:color w:val="auto"/>
          <w:sz w:val="24"/>
          <w:highlight w:val="none"/>
        </w:rPr>
      </w:pPr>
      <w:r>
        <w:rPr>
          <w:rFonts w:hint="eastAsia" w:ascii="宋体" w:hAnsi="宋体"/>
          <w:color w:val="auto"/>
          <w:sz w:val="24"/>
          <w:highlight w:val="none"/>
        </w:rPr>
        <w:t>－－－－－－－－－－－－－－－－－－－－－－－－－－－－－－－－－－－－</w:t>
      </w:r>
    </w:p>
    <w:p w14:paraId="7D4606A4">
      <w:pPr>
        <w:pStyle w:val="15"/>
        <w:spacing w:line="360" w:lineRule="auto"/>
        <w:outlineLvl w:val="1"/>
        <w:rPr>
          <w:rFonts w:hAnsi="宋体" w:cs="宋体"/>
          <w:b/>
          <w:color w:val="auto"/>
          <w:sz w:val="24"/>
          <w:szCs w:val="24"/>
          <w:highlight w:val="none"/>
        </w:rPr>
      </w:pPr>
    </w:p>
    <w:p w14:paraId="744CA705">
      <w:pPr>
        <w:pStyle w:val="15"/>
        <w:spacing w:line="360" w:lineRule="auto"/>
        <w:outlineLvl w:val="1"/>
        <w:rPr>
          <w:rFonts w:hAnsi="宋体" w:cs="宋体"/>
          <w:b/>
          <w:color w:val="auto"/>
          <w:sz w:val="24"/>
          <w:szCs w:val="24"/>
          <w:highlight w:val="none"/>
        </w:rPr>
      </w:pPr>
    </w:p>
    <w:p w14:paraId="6C6C8A4C">
      <w:pPr>
        <w:jc w:val="center"/>
        <w:rPr>
          <w:rFonts w:ascii="宋体" w:hAnsi="宋体" w:cs="宋体"/>
          <w:b/>
          <w:bCs/>
          <w:color w:val="auto"/>
          <w:sz w:val="24"/>
          <w:highlight w:val="none"/>
          <w:lang w:val="en-GB"/>
        </w:rPr>
      </w:pPr>
      <w:r>
        <w:rPr>
          <w:rFonts w:hint="eastAsia" w:ascii="宋体" w:hAnsi="宋体" w:cs="宋体"/>
          <w:b/>
          <w:bCs/>
          <w:color w:val="auto"/>
          <w:sz w:val="24"/>
          <w:highlight w:val="none"/>
          <w:lang w:val="en-GB"/>
        </w:rPr>
        <w:t>监狱企业</w:t>
      </w:r>
      <w:r>
        <w:rPr>
          <w:rFonts w:hint="eastAsia" w:ascii="宋体" w:hAnsi="宋体" w:cs="宋体"/>
          <w:b/>
          <w:bCs/>
          <w:color w:val="auto"/>
          <w:sz w:val="24"/>
          <w:highlight w:val="none"/>
        </w:rPr>
        <w:t>（如有）</w:t>
      </w:r>
    </w:p>
    <w:p w14:paraId="5BABC1DF">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lang w:val="zh-CN"/>
        </w:rPr>
        <w:t>监狱企业参加政府采购活动时，应当提供由省级以上监狱管理局、戒毒管理局（含新疆生产建设兵团）出具的属于监狱企业的证明文件，</w:t>
      </w:r>
      <w:r>
        <w:rPr>
          <w:rFonts w:hint="eastAsia" w:ascii="宋体" w:hAnsi="宋体" w:cs="宋体"/>
          <w:b/>
          <w:bCs/>
          <w:color w:val="auto"/>
          <w:spacing w:val="6"/>
          <w:sz w:val="24"/>
          <w:highlight w:val="none"/>
          <w:u w:val="single"/>
          <w:lang w:val="zh-CN"/>
        </w:rPr>
        <w:t>视同小型、微型企业；</w:t>
      </w:r>
    </w:p>
    <w:p w14:paraId="5CC54E56">
      <w:pPr>
        <w:pStyle w:val="16"/>
        <w:ind w:left="9000"/>
        <w:rPr>
          <w:color w:val="auto"/>
          <w:highlight w:val="none"/>
        </w:rPr>
      </w:pPr>
    </w:p>
    <w:p w14:paraId="40F61525">
      <w:pPr>
        <w:pStyle w:val="11"/>
        <w:spacing w:line="360" w:lineRule="auto"/>
        <w:ind w:firstLine="0"/>
        <w:jc w:val="left"/>
        <w:rPr>
          <w:rFonts w:ascii="宋体" w:hAnsi="宋体" w:eastAsia="宋体" w:cs="宋体"/>
          <w:b/>
          <w:bCs/>
          <w:color w:val="auto"/>
          <w:sz w:val="24"/>
          <w:szCs w:val="24"/>
          <w:highlight w:val="none"/>
        </w:rPr>
      </w:pPr>
    </w:p>
    <w:p w14:paraId="109F9265">
      <w:pPr>
        <w:pStyle w:val="11"/>
        <w:spacing w:line="360" w:lineRule="auto"/>
        <w:ind w:firstLine="0"/>
        <w:jc w:val="left"/>
        <w:rPr>
          <w:rFonts w:ascii="宋体" w:hAnsi="宋体" w:eastAsia="宋体" w:cs="宋体"/>
          <w:b/>
          <w:bCs/>
          <w:color w:val="auto"/>
          <w:sz w:val="24"/>
          <w:szCs w:val="24"/>
          <w:highlight w:val="none"/>
        </w:rPr>
      </w:pPr>
    </w:p>
    <w:p w14:paraId="7D14DBD9">
      <w:pPr>
        <w:pStyle w:val="11"/>
        <w:spacing w:line="360" w:lineRule="auto"/>
        <w:ind w:firstLine="0"/>
        <w:jc w:val="left"/>
        <w:rPr>
          <w:rFonts w:ascii="宋体" w:hAnsi="宋体" w:eastAsia="宋体" w:cs="宋体"/>
          <w:b/>
          <w:bCs/>
          <w:color w:val="auto"/>
          <w:sz w:val="24"/>
          <w:szCs w:val="24"/>
          <w:highlight w:val="none"/>
        </w:rPr>
      </w:pPr>
    </w:p>
    <w:p w14:paraId="7BF4784A">
      <w:pPr>
        <w:pStyle w:val="11"/>
        <w:spacing w:line="360" w:lineRule="auto"/>
        <w:ind w:firstLine="0"/>
        <w:jc w:val="left"/>
        <w:rPr>
          <w:rFonts w:ascii="宋体" w:hAnsi="宋体" w:eastAsia="宋体" w:cs="宋体"/>
          <w:b/>
          <w:bCs/>
          <w:color w:val="auto"/>
          <w:sz w:val="24"/>
          <w:szCs w:val="24"/>
          <w:highlight w:val="none"/>
        </w:rPr>
      </w:pPr>
    </w:p>
    <w:p w14:paraId="3259305F">
      <w:pPr>
        <w:pStyle w:val="11"/>
        <w:spacing w:line="360" w:lineRule="auto"/>
        <w:ind w:firstLine="0"/>
        <w:jc w:val="left"/>
        <w:rPr>
          <w:rFonts w:ascii="宋体" w:hAnsi="宋体" w:eastAsia="宋体" w:cs="宋体"/>
          <w:b/>
          <w:bCs/>
          <w:color w:val="auto"/>
          <w:sz w:val="24"/>
          <w:szCs w:val="24"/>
          <w:highlight w:val="none"/>
        </w:rPr>
      </w:pPr>
    </w:p>
    <w:p w14:paraId="1B0A62B5">
      <w:pPr>
        <w:pStyle w:val="11"/>
        <w:spacing w:line="360" w:lineRule="auto"/>
        <w:ind w:firstLine="0"/>
        <w:jc w:val="left"/>
        <w:rPr>
          <w:rFonts w:ascii="宋体" w:hAnsi="宋体" w:eastAsia="宋体" w:cs="宋体"/>
          <w:b/>
          <w:bCs/>
          <w:color w:val="auto"/>
          <w:sz w:val="24"/>
          <w:szCs w:val="24"/>
          <w:highlight w:val="none"/>
        </w:rPr>
      </w:pPr>
    </w:p>
    <w:p w14:paraId="4A87CB0A">
      <w:pPr>
        <w:pStyle w:val="5"/>
        <w:spacing w:before="240" w:beforeLines="100" w:after="0" w:line="360" w:lineRule="auto"/>
        <w:ind w:left="720" w:leftChars="200" w:firstLine="2249" w:firstLineChars="700"/>
        <w:rPr>
          <w:rFonts w:ascii="宋体" w:hAnsi="宋体" w:eastAsia="宋体"/>
          <w:bCs w:val="0"/>
          <w:color w:val="auto"/>
          <w:highlight w:val="none"/>
          <w:lang w:val="zh-CN"/>
        </w:rPr>
      </w:pPr>
      <w:bookmarkStart w:id="109" w:name="_Toc10955"/>
      <w:bookmarkStart w:id="110" w:name="_Toc24493"/>
      <w:r>
        <w:rPr>
          <w:rFonts w:hint="eastAsia" w:ascii="宋体" w:hAnsi="宋体" w:eastAsia="宋体"/>
          <w:bCs w:val="0"/>
          <w:color w:val="auto"/>
          <w:highlight w:val="none"/>
        </w:rPr>
        <w:t>2、</w:t>
      </w:r>
      <w:r>
        <w:rPr>
          <w:rFonts w:hint="eastAsia" w:ascii="宋体" w:hAnsi="宋体" w:eastAsia="宋体"/>
          <w:bCs w:val="0"/>
          <w:color w:val="auto"/>
          <w:highlight w:val="none"/>
          <w:lang w:val="zh-CN"/>
        </w:rPr>
        <w:t>商务与技术文件格式</w:t>
      </w:r>
      <w:bookmarkEnd w:id="109"/>
      <w:bookmarkEnd w:id="110"/>
    </w:p>
    <w:p w14:paraId="650CC6D8">
      <w:pPr>
        <w:spacing w:before="100" w:beforeAutospacing="1"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目  录</w:t>
      </w:r>
    </w:p>
    <w:p w14:paraId="5F9731CE">
      <w:pPr>
        <w:pStyle w:val="11"/>
        <w:spacing w:line="360" w:lineRule="auto"/>
        <w:ind w:firstLine="960" w:firstLineChars="400"/>
        <w:jc w:val="left"/>
        <w:rPr>
          <w:rFonts w:ascii="宋体" w:hAnsi="宋体" w:eastAsia="宋体" w:cs="宋体"/>
          <w:b/>
          <w:bCs/>
          <w:color w:val="auto"/>
          <w:sz w:val="24"/>
          <w:szCs w:val="24"/>
          <w:highlight w:val="none"/>
        </w:rPr>
      </w:pPr>
      <w:r>
        <w:rPr>
          <w:rFonts w:hint="eastAsia" w:ascii="宋体" w:hAnsi="宋体"/>
          <w:color w:val="auto"/>
          <w:sz w:val="24"/>
          <w:highlight w:val="none"/>
        </w:rPr>
        <w:t>（按照“第三部分 磋商须知”有关</w:t>
      </w:r>
      <w:r>
        <w:rPr>
          <w:rFonts w:hint="eastAsia" w:ascii="宋体" w:hAnsi="宋体"/>
          <w:color w:val="auto"/>
          <w:sz w:val="24"/>
          <w:highlight w:val="none"/>
          <w:lang w:val="zh-CN"/>
        </w:rPr>
        <w:t>商务与技术文件组成</w:t>
      </w:r>
      <w:r>
        <w:rPr>
          <w:rFonts w:hint="eastAsia" w:ascii="宋体" w:hAnsi="宋体"/>
          <w:color w:val="auto"/>
          <w:sz w:val="24"/>
          <w:highlight w:val="none"/>
        </w:rPr>
        <w:t>要求编排）</w:t>
      </w:r>
    </w:p>
    <w:p w14:paraId="2DB7EF3D">
      <w:pPr>
        <w:spacing w:line="360" w:lineRule="auto"/>
        <w:ind w:firstLine="5760" w:firstLineChars="2400"/>
        <w:jc w:val="left"/>
        <w:rPr>
          <w:rFonts w:ascii="宋体" w:hAnsi="宋体" w:cs="宋体"/>
          <w:color w:val="auto"/>
          <w:sz w:val="24"/>
          <w:highlight w:val="none"/>
        </w:rPr>
      </w:pPr>
    </w:p>
    <w:p w14:paraId="7B9FD35F">
      <w:pPr>
        <w:pStyle w:val="15"/>
        <w:adjustRightInd w:val="0"/>
        <w:snapToGrid w:val="0"/>
        <w:spacing w:before="120" w:after="120"/>
        <w:rPr>
          <w:rFonts w:hAnsi="宋体" w:eastAsia="宋体" w:cs="宋体"/>
          <w:b/>
          <w:bCs/>
          <w:color w:val="auto"/>
          <w:sz w:val="24"/>
          <w:szCs w:val="24"/>
          <w:highlight w:val="none"/>
        </w:rPr>
      </w:pPr>
    </w:p>
    <w:p w14:paraId="77DCE93D">
      <w:pPr>
        <w:pStyle w:val="15"/>
        <w:adjustRightInd w:val="0"/>
        <w:snapToGrid w:val="0"/>
        <w:spacing w:before="120" w:after="120"/>
        <w:jc w:val="center"/>
        <w:rPr>
          <w:rFonts w:hAnsi="宋体" w:eastAsia="宋体" w:cs="宋体"/>
          <w:b/>
          <w:bCs/>
          <w:color w:val="auto"/>
          <w:sz w:val="24"/>
          <w:szCs w:val="24"/>
          <w:highlight w:val="none"/>
        </w:rPr>
      </w:pPr>
    </w:p>
    <w:p w14:paraId="618E9CE6">
      <w:pPr>
        <w:pStyle w:val="15"/>
        <w:adjustRightInd w:val="0"/>
        <w:snapToGrid w:val="0"/>
        <w:spacing w:before="120" w:after="120"/>
        <w:jc w:val="center"/>
        <w:rPr>
          <w:rFonts w:hAnsi="宋体" w:eastAsia="宋体" w:cs="宋体"/>
          <w:b/>
          <w:bCs/>
          <w:color w:val="auto"/>
          <w:sz w:val="24"/>
          <w:szCs w:val="24"/>
          <w:highlight w:val="none"/>
        </w:rPr>
      </w:pPr>
    </w:p>
    <w:p w14:paraId="34F0669B">
      <w:pPr>
        <w:pStyle w:val="15"/>
        <w:adjustRightInd w:val="0"/>
        <w:snapToGrid w:val="0"/>
        <w:spacing w:before="120" w:after="120"/>
        <w:jc w:val="center"/>
        <w:rPr>
          <w:rFonts w:hAnsi="宋体" w:eastAsia="宋体" w:cs="宋体"/>
          <w:b/>
          <w:bCs/>
          <w:color w:val="auto"/>
          <w:sz w:val="24"/>
          <w:szCs w:val="24"/>
          <w:highlight w:val="none"/>
        </w:rPr>
      </w:pPr>
    </w:p>
    <w:p w14:paraId="404C4C61">
      <w:pPr>
        <w:pStyle w:val="15"/>
        <w:adjustRightInd w:val="0"/>
        <w:snapToGrid w:val="0"/>
        <w:spacing w:before="120" w:after="120"/>
        <w:jc w:val="center"/>
        <w:rPr>
          <w:rFonts w:hAnsi="宋体" w:eastAsia="宋体" w:cs="宋体"/>
          <w:b/>
          <w:bCs/>
          <w:color w:val="auto"/>
          <w:sz w:val="24"/>
          <w:szCs w:val="24"/>
          <w:highlight w:val="none"/>
        </w:rPr>
      </w:pPr>
    </w:p>
    <w:p w14:paraId="10FDC8B1">
      <w:pPr>
        <w:pStyle w:val="15"/>
        <w:adjustRightInd w:val="0"/>
        <w:snapToGrid w:val="0"/>
        <w:spacing w:before="120" w:after="120"/>
        <w:jc w:val="center"/>
        <w:rPr>
          <w:rFonts w:hAnsi="宋体" w:eastAsia="宋体" w:cs="宋体"/>
          <w:b/>
          <w:bCs/>
          <w:color w:val="auto"/>
          <w:sz w:val="24"/>
          <w:szCs w:val="24"/>
          <w:highlight w:val="none"/>
        </w:rPr>
      </w:pPr>
    </w:p>
    <w:p w14:paraId="3AB4E382">
      <w:pPr>
        <w:pStyle w:val="15"/>
        <w:adjustRightInd w:val="0"/>
        <w:snapToGrid w:val="0"/>
        <w:spacing w:before="120" w:after="120"/>
        <w:jc w:val="center"/>
        <w:rPr>
          <w:rFonts w:hAnsi="宋体" w:eastAsia="宋体" w:cs="宋体"/>
          <w:b/>
          <w:bCs/>
          <w:color w:val="auto"/>
          <w:sz w:val="24"/>
          <w:szCs w:val="24"/>
          <w:highlight w:val="none"/>
        </w:rPr>
      </w:pPr>
    </w:p>
    <w:p w14:paraId="36E770DB">
      <w:pPr>
        <w:pStyle w:val="15"/>
        <w:adjustRightInd w:val="0"/>
        <w:snapToGrid w:val="0"/>
        <w:spacing w:before="120" w:after="120"/>
        <w:jc w:val="center"/>
        <w:rPr>
          <w:rFonts w:hAnsi="宋体" w:eastAsia="宋体" w:cs="宋体"/>
          <w:b/>
          <w:bCs/>
          <w:color w:val="auto"/>
          <w:sz w:val="24"/>
          <w:szCs w:val="24"/>
          <w:highlight w:val="none"/>
        </w:rPr>
      </w:pPr>
    </w:p>
    <w:p w14:paraId="1172EF17">
      <w:pPr>
        <w:pStyle w:val="15"/>
        <w:adjustRightInd w:val="0"/>
        <w:snapToGrid w:val="0"/>
        <w:spacing w:before="120" w:after="120"/>
        <w:jc w:val="center"/>
        <w:rPr>
          <w:rFonts w:hAnsi="宋体" w:eastAsia="宋体" w:cs="宋体"/>
          <w:b/>
          <w:bCs/>
          <w:color w:val="auto"/>
          <w:sz w:val="24"/>
          <w:szCs w:val="24"/>
          <w:highlight w:val="none"/>
        </w:rPr>
      </w:pPr>
    </w:p>
    <w:p w14:paraId="77C19F34">
      <w:pPr>
        <w:pStyle w:val="15"/>
        <w:adjustRightInd w:val="0"/>
        <w:snapToGrid w:val="0"/>
        <w:spacing w:before="120" w:after="120"/>
        <w:jc w:val="center"/>
        <w:rPr>
          <w:rFonts w:hAnsi="宋体" w:eastAsia="宋体" w:cs="宋体"/>
          <w:b/>
          <w:bCs/>
          <w:color w:val="auto"/>
          <w:sz w:val="24"/>
          <w:szCs w:val="24"/>
          <w:highlight w:val="none"/>
        </w:rPr>
      </w:pPr>
    </w:p>
    <w:p w14:paraId="2AFD7BC7">
      <w:pPr>
        <w:pStyle w:val="15"/>
        <w:adjustRightInd w:val="0"/>
        <w:snapToGrid w:val="0"/>
        <w:spacing w:before="120" w:after="120"/>
        <w:jc w:val="center"/>
        <w:rPr>
          <w:rFonts w:hAnsi="宋体" w:eastAsia="宋体" w:cs="宋体"/>
          <w:b/>
          <w:bCs/>
          <w:color w:val="auto"/>
          <w:sz w:val="24"/>
          <w:szCs w:val="24"/>
          <w:highlight w:val="none"/>
        </w:rPr>
      </w:pPr>
    </w:p>
    <w:p w14:paraId="482A2065">
      <w:pPr>
        <w:pStyle w:val="15"/>
        <w:adjustRightInd w:val="0"/>
        <w:snapToGrid w:val="0"/>
        <w:spacing w:before="120" w:after="120"/>
        <w:jc w:val="center"/>
        <w:rPr>
          <w:rFonts w:hAnsi="宋体" w:eastAsia="宋体" w:cs="宋体"/>
          <w:b/>
          <w:bCs/>
          <w:color w:val="auto"/>
          <w:sz w:val="24"/>
          <w:szCs w:val="24"/>
          <w:highlight w:val="none"/>
        </w:rPr>
      </w:pPr>
    </w:p>
    <w:p w14:paraId="3D764B6F">
      <w:pPr>
        <w:pStyle w:val="15"/>
        <w:adjustRightInd w:val="0"/>
        <w:snapToGrid w:val="0"/>
        <w:spacing w:before="120" w:after="120"/>
        <w:jc w:val="center"/>
        <w:rPr>
          <w:rFonts w:hAnsi="宋体" w:eastAsia="宋体" w:cs="宋体"/>
          <w:b/>
          <w:bCs/>
          <w:color w:val="auto"/>
          <w:sz w:val="24"/>
          <w:szCs w:val="24"/>
          <w:highlight w:val="none"/>
        </w:rPr>
      </w:pPr>
    </w:p>
    <w:p w14:paraId="6CF3C96A">
      <w:pPr>
        <w:pStyle w:val="15"/>
        <w:adjustRightInd w:val="0"/>
        <w:snapToGrid w:val="0"/>
        <w:spacing w:before="120" w:after="120"/>
        <w:jc w:val="center"/>
        <w:rPr>
          <w:rFonts w:hAnsi="宋体" w:eastAsia="宋体" w:cs="宋体"/>
          <w:b/>
          <w:bCs/>
          <w:color w:val="auto"/>
          <w:sz w:val="24"/>
          <w:szCs w:val="24"/>
          <w:highlight w:val="none"/>
        </w:rPr>
      </w:pPr>
    </w:p>
    <w:p w14:paraId="104297F1">
      <w:pPr>
        <w:pStyle w:val="15"/>
        <w:adjustRightInd w:val="0"/>
        <w:snapToGrid w:val="0"/>
        <w:spacing w:before="120" w:after="120"/>
        <w:jc w:val="center"/>
        <w:rPr>
          <w:rFonts w:hAnsi="宋体" w:eastAsia="宋体" w:cs="宋体"/>
          <w:b/>
          <w:bCs/>
          <w:color w:val="auto"/>
          <w:sz w:val="24"/>
          <w:szCs w:val="24"/>
          <w:highlight w:val="none"/>
        </w:rPr>
      </w:pPr>
    </w:p>
    <w:p w14:paraId="2320CFD2">
      <w:pPr>
        <w:pStyle w:val="15"/>
        <w:adjustRightInd w:val="0"/>
        <w:snapToGrid w:val="0"/>
        <w:spacing w:before="120" w:after="120"/>
        <w:jc w:val="center"/>
        <w:rPr>
          <w:rFonts w:hAnsi="宋体" w:eastAsia="宋体" w:cs="宋体"/>
          <w:b/>
          <w:bCs/>
          <w:color w:val="auto"/>
          <w:sz w:val="24"/>
          <w:szCs w:val="24"/>
          <w:highlight w:val="none"/>
        </w:rPr>
      </w:pPr>
    </w:p>
    <w:p w14:paraId="6FEA56ED">
      <w:pPr>
        <w:pStyle w:val="15"/>
        <w:adjustRightInd w:val="0"/>
        <w:snapToGrid w:val="0"/>
        <w:spacing w:before="120" w:after="120"/>
        <w:jc w:val="left"/>
        <w:rPr>
          <w:rFonts w:hAnsi="宋体" w:eastAsia="宋体" w:cs="宋体"/>
          <w:b/>
          <w:bCs/>
          <w:color w:val="auto"/>
          <w:sz w:val="24"/>
          <w:szCs w:val="24"/>
          <w:highlight w:val="none"/>
        </w:rPr>
      </w:pPr>
    </w:p>
    <w:p w14:paraId="0C25838B">
      <w:pPr>
        <w:snapToGrid w:val="0"/>
        <w:jc w:val="left"/>
        <w:rPr>
          <w:rFonts w:ascii="宋体" w:hAnsi="宋体" w:eastAsia="宋体" w:cs="宋体"/>
          <w:color w:val="auto"/>
          <w:sz w:val="24"/>
          <w:highlight w:val="none"/>
        </w:rPr>
      </w:pPr>
    </w:p>
    <w:p w14:paraId="3ADDA123">
      <w:pPr>
        <w:pStyle w:val="15"/>
        <w:spacing w:line="360" w:lineRule="auto"/>
        <w:outlineLvl w:val="1"/>
        <w:rPr>
          <w:rFonts w:hAnsi="宋体" w:eastAsia="宋体" w:cs="宋体"/>
          <w:b/>
          <w:color w:val="auto"/>
          <w:sz w:val="24"/>
          <w:szCs w:val="24"/>
          <w:highlight w:val="none"/>
        </w:rPr>
      </w:pPr>
    </w:p>
    <w:p w14:paraId="2A8CBB96">
      <w:pPr>
        <w:pStyle w:val="15"/>
        <w:spacing w:line="360" w:lineRule="auto"/>
        <w:outlineLvl w:val="1"/>
        <w:rPr>
          <w:rFonts w:hAnsi="宋体" w:eastAsia="宋体" w:cs="宋体"/>
          <w:b/>
          <w:color w:val="auto"/>
          <w:szCs w:val="21"/>
          <w:highlight w:val="none"/>
        </w:rPr>
      </w:pPr>
    </w:p>
    <w:p w14:paraId="0C97FA1B">
      <w:pPr>
        <w:pStyle w:val="15"/>
        <w:spacing w:line="360" w:lineRule="auto"/>
        <w:outlineLvl w:val="1"/>
        <w:rPr>
          <w:rFonts w:hAnsi="宋体" w:eastAsia="宋体" w:cs="宋体"/>
          <w:b/>
          <w:color w:val="auto"/>
          <w:szCs w:val="21"/>
          <w:highlight w:val="none"/>
        </w:rPr>
      </w:pPr>
    </w:p>
    <w:p w14:paraId="5BEE59C1">
      <w:pPr>
        <w:pStyle w:val="16"/>
        <w:ind w:left="9000"/>
        <w:rPr>
          <w:color w:val="auto"/>
          <w:highlight w:val="none"/>
        </w:rPr>
      </w:pPr>
    </w:p>
    <w:p w14:paraId="48472645">
      <w:pPr>
        <w:pStyle w:val="15"/>
        <w:spacing w:line="360" w:lineRule="auto"/>
        <w:outlineLvl w:val="1"/>
        <w:rPr>
          <w:rFonts w:hAnsi="宋体" w:eastAsia="宋体" w:cs="宋体"/>
          <w:b/>
          <w:color w:val="auto"/>
          <w:szCs w:val="21"/>
          <w:highlight w:val="none"/>
        </w:rPr>
      </w:pPr>
    </w:p>
    <w:p w14:paraId="18DD6E72">
      <w:pPr>
        <w:pStyle w:val="15"/>
        <w:spacing w:line="360" w:lineRule="auto"/>
        <w:outlineLvl w:val="1"/>
        <w:rPr>
          <w:rFonts w:hAnsi="宋体" w:eastAsia="宋体" w:cs="宋体"/>
          <w:b/>
          <w:color w:val="auto"/>
          <w:szCs w:val="21"/>
          <w:highlight w:val="none"/>
        </w:rPr>
      </w:pPr>
    </w:p>
    <w:p w14:paraId="1998E505">
      <w:pPr>
        <w:pStyle w:val="15"/>
        <w:adjustRightInd w:val="0"/>
        <w:snapToGrid w:val="0"/>
        <w:spacing w:before="156" w:after="156"/>
        <w:rPr>
          <w:rFonts w:hAnsi="宋体" w:eastAsia="宋体" w:cs="宋体"/>
          <w:b/>
          <w:bCs/>
          <w:color w:val="auto"/>
          <w:szCs w:val="21"/>
          <w:highlight w:val="none"/>
        </w:rPr>
      </w:pPr>
    </w:p>
    <w:p w14:paraId="3C30C143">
      <w:pPr>
        <w:pStyle w:val="15"/>
        <w:adjustRightInd w:val="0"/>
        <w:snapToGrid w:val="0"/>
        <w:spacing w:before="156" w:after="156"/>
        <w:rPr>
          <w:rFonts w:hAnsi="宋体" w:eastAsia="宋体" w:cs="宋体"/>
          <w:b/>
          <w:bCs/>
          <w:color w:val="auto"/>
          <w:sz w:val="24"/>
          <w:szCs w:val="24"/>
          <w:highlight w:val="none"/>
        </w:rPr>
      </w:pPr>
    </w:p>
    <w:p w14:paraId="0D37E041">
      <w:pPr>
        <w:pStyle w:val="15"/>
        <w:adjustRightInd w:val="0"/>
        <w:snapToGrid w:val="0"/>
        <w:spacing w:before="156" w:after="156"/>
        <w:rPr>
          <w:rFonts w:hAnsi="宋体" w:cs="宋体"/>
          <w:b/>
          <w:color w:val="auto"/>
          <w:sz w:val="24"/>
          <w:szCs w:val="24"/>
          <w:highlight w:val="none"/>
        </w:rPr>
      </w:pPr>
      <w:r>
        <w:rPr>
          <w:rFonts w:hint="eastAsia" w:hAnsi="宋体" w:eastAsia="宋体" w:cs="宋体"/>
          <w:b/>
          <w:bCs/>
          <w:color w:val="auto"/>
          <w:sz w:val="24"/>
          <w:szCs w:val="24"/>
          <w:highlight w:val="none"/>
        </w:rPr>
        <w:t>附件八：</w:t>
      </w:r>
      <w:r>
        <w:rPr>
          <w:rFonts w:hint="eastAsia" w:hAnsi="宋体" w:eastAsia="宋体" w:cs="宋体"/>
          <w:color w:val="auto"/>
          <w:sz w:val="24"/>
          <w:szCs w:val="24"/>
          <w:highlight w:val="none"/>
        </w:rPr>
        <w:t xml:space="preserve">       </w:t>
      </w:r>
      <w:r>
        <w:rPr>
          <w:rFonts w:hint="eastAsia" w:hAnsi="宋体" w:eastAsia="宋体" w:cs="宋体"/>
          <w:b/>
          <w:bCs/>
          <w:color w:val="auto"/>
          <w:sz w:val="24"/>
          <w:szCs w:val="24"/>
          <w:highlight w:val="none"/>
        </w:rPr>
        <w:t xml:space="preserve">              </w:t>
      </w:r>
    </w:p>
    <w:p w14:paraId="036A5DD5">
      <w:pPr>
        <w:pStyle w:val="4"/>
        <w:spacing w:before="0" w:after="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商务响应承诺函</w:t>
      </w:r>
    </w:p>
    <w:p w14:paraId="4EB983BB">
      <w:pPr>
        <w:pStyle w:val="15"/>
        <w:spacing w:before="60" w:after="60" w:line="500" w:lineRule="exact"/>
        <w:rPr>
          <w:rFonts w:hAnsi="宋体" w:cs="宋体"/>
          <w:b/>
          <w:bCs/>
          <w:color w:val="auto"/>
          <w:sz w:val="24"/>
          <w:highlight w:val="none"/>
          <w:u w:val="single"/>
        </w:rPr>
      </w:pPr>
      <w:r>
        <w:rPr>
          <w:rFonts w:hint="eastAsia" w:hAnsi="宋体" w:cs="宋体"/>
          <w:color w:val="auto"/>
          <w:sz w:val="24"/>
          <w:highlight w:val="none"/>
          <w:u w:val="single"/>
        </w:rPr>
        <w:t>仙居县交通运输局：</w:t>
      </w:r>
    </w:p>
    <w:p w14:paraId="58E56868">
      <w:pPr>
        <w:pStyle w:val="15"/>
        <w:spacing w:before="60" w:after="60" w:line="500" w:lineRule="exact"/>
        <w:ind w:firstLine="480" w:firstLineChars="200"/>
        <w:rPr>
          <w:rFonts w:hAnsi="宋体" w:eastAsia="宋体" w:cs="宋体"/>
          <w:color w:val="auto"/>
          <w:sz w:val="24"/>
          <w:highlight w:val="none"/>
        </w:rPr>
      </w:pPr>
      <w:r>
        <w:rPr>
          <w:rFonts w:hint="eastAsia" w:hAnsi="宋体" w:cs="宋体"/>
          <w:color w:val="auto"/>
          <w:sz w:val="24"/>
          <w:highlight w:val="none"/>
        </w:rPr>
        <w:t>我方参与的</w:t>
      </w:r>
      <w:r>
        <w:rPr>
          <w:rFonts w:hint="eastAsia" w:hAnsi="宋体" w:cs="宋体"/>
          <w:color w:val="auto"/>
          <w:sz w:val="24"/>
          <w:highlight w:val="none"/>
          <w:u w:val="single"/>
        </w:rPr>
        <w:t xml:space="preserve"> </w:t>
      </w:r>
      <w:r>
        <w:rPr>
          <w:rFonts w:hint="eastAsia" w:hAnsi="宋体" w:eastAsia="宋体" w:cs="宋体"/>
          <w:color w:val="auto"/>
          <w:sz w:val="24"/>
          <w:highlight w:val="none"/>
          <w:u w:val="single"/>
          <w:lang w:eastAsia="zh-CN"/>
        </w:rPr>
        <w:t>2024年-2025年仙居县所有国、省道及县道公路绿化管护服务项目(重新招标）</w:t>
      </w:r>
      <w:r>
        <w:rPr>
          <w:rFonts w:hint="eastAsia" w:ascii="宋体" w:hAnsi="宋体" w:eastAsia="宋体" w:cs="宋体"/>
          <w:color w:val="auto"/>
          <w:kern w:val="0"/>
          <w:sz w:val="24"/>
          <w:highlight w:val="none"/>
          <w:u w:val="single"/>
        </w:rPr>
        <w:t>[编号：</w:t>
      </w:r>
      <w:r>
        <w:rPr>
          <w:rFonts w:hint="eastAsia" w:hAnsi="宋体" w:eastAsia="宋体" w:cs="宋体"/>
          <w:color w:val="auto"/>
          <w:kern w:val="0"/>
          <w:sz w:val="24"/>
          <w:highlight w:val="none"/>
          <w:u w:val="single"/>
          <w:lang w:eastAsia="zh-CN"/>
        </w:rPr>
        <w:t>GTXJ(采购）-24009-1</w:t>
      </w:r>
      <w:r>
        <w:rPr>
          <w:rFonts w:hint="eastAsia" w:ascii="宋体" w:hAnsi="宋体" w:eastAsia="宋体" w:cs="宋体"/>
          <w:color w:val="auto"/>
          <w:kern w:val="0"/>
          <w:sz w:val="24"/>
          <w:highlight w:val="none"/>
          <w:u w:val="single"/>
        </w:rPr>
        <w:t>]</w:t>
      </w:r>
      <w:r>
        <w:rPr>
          <w:rFonts w:hint="eastAsia" w:hAnsi="宋体" w:cs="宋体"/>
          <w:color w:val="auto"/>
          <w:sz w:val="24"/>
          <w:highlight w:val="none"/>
        </w:rPr>
        <w:t>的磋商活动，我方郑重承诺，我方承诺</w:t>
      </w:r>
      <w:r>
        <w:rPr>
          <w:rFonts w:hint="eastAsia" w:hAnsi="宋体" w:eastAsia="宋体" w:cs="宋体"/>
          <w:color w:val="auto"/>
          <w:sz w:val="24"/>
          <w:highlight w:val="none"/>
        </w:rPr>
        <w:t>对磋商文件中的商务要求完全响应。</w:t>
      </w:r>
    </w:p>
    <w:p w14:paraId="623D3715">
      <w:pPr>
        <w:pStyle w:val="15"/>
        <w:spacing w:before="60" w:after="60" w:line="500" w:lineRule="exact"/>
        <w:ind w:firstLine="480" w:firstLineChars="200"/>
        <w:rPr>
          <w:rFonts w:hAnsi="宋体" w:cs="宋体"/>
          <w:color w:val="auto"/>
          <w:sz w:val="24"/>
          <w:highlight w:val="none"/>
        </w:rPr>
      </w:pPr>
      <w:r>
        <w:rPr>
          <w:rFonts w:hint="eastAsia" w:hAnsi="宋体" w:cs="宋体"/>
          <w:color w:val="auto"/>
          <w:sz w:val="24"/>
          <w:highlight w:val="none"/>
        </w:rPr>
        <w:t>如本公司对以上条款提供虚假承诺，愿承担一切法律责任。</w:t>
      </w:r>
    </w:p>
    <w:p w14:paraId="5A5F8704">
      <w:pPr>
        <w:spacing w:line="360" w:lineRule="auto"/>
        <w:ind w:firstLine="3780" w:firstLineChars="1800"/>
        <w:rPr>
          <w:rFonts w:ascii="宋体" w:hAnsi="宋体" w:eastAsia="宋体" w:cs="宋体"/>
          <w:color w:val="auto"/>
          <w:sz w:val="21"/>
          <w:szCs w:val="21"/>
          <w:highlight w:val="none"/>
        </w:rPr>
      </w:pPr>
    </w:p>
    <w:p w14:paraId="670CDA83">
      <w:pPr>
        <w:spacing w:line="360" w:lineRule="auto"/>
        <w:ind w:firstLine="3780" w:firstLineChars="18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B90F2A1">
      <w:pPr>
        <w:spacing w:line="360" w:lineRule="auto"/>
        <w:ind w:firstLine="4830" w:firstLineChars="23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磋商供应商</w:t>
      </w:r>
      <w:r>
        <w:rPr>
          <w:rFonts w:hint="eastAsia" w:ascii="宋体" w:hAnsi="宋体" w:eastAsia="宋体" w:cs="宋体"/>
          <w:color w:val="auto"/>
          <w:sz w:val="21"/>
          <w:szCs w:val="21"/>
          <w:highlight w:val="none"/>
          <w:lang w:val="zh-CN"/>
        </w:rPr>
        <w:t>（盖单位章）：</w:t>
      </w:r>
    </w:p>
    <w:p w14:paraId="3F288D3D">
      <w:pPr>
        <w:pStyle w:val="5"/>
        <w:spacing w:before="240" w:beforeLines="100" w:after="0" w:line="360" w:lineRule="auto"/>
        <w:rPr>
          <w:rFonts w:ascii="宋体" w:hAnsi="宋体" w:eastAsia="宋体"/>
          <w:bCs w:val="0"/>
          <w:color w:val="auto"/>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b w:val="0"/>
          <w:bCs w:val="0"/>
          <w:color w:val="auto"/>
          <w:sz w:val="21"/>
          <w:szCs w:val="21"/>
          <w:highlight w:val="none"/>
        </w:rPr>
        <w:t xml:space="preserve"> 日  期：        年    月    日</w:t>
      </w:r>
    </w:p>
    <w:p w14:paraId="61B37F89">
      <w:pPr>
        <w:pStyle w:val="38"/>
        <w:rPr>
          <w:rFonts w:ascii="宋体" w:hAnsi="宋体"/>
          <w:color w:val="auto"/>
          <w:sz w:val="21"/>
          <w:szCs w:val="21"/>
          <w:highlight w:val="none"/>
        </w:rPr>
      </w:pPr>
    </w:p>
    <w:p w14:paraId="53CC83EC">
      <w:pPr>
        <w:pStyle w:val="12"/>
        <w:rPr>
          <w:color w:val="auto"/>
          <w:highlight w:val="none"/>
        </w:rPr>
      </w:pPr>
    </w:p>
    <w:p w14:paraId="7C9AEA56">
      <w:pPr>
        <w:pStyle w:val="44"/>
        <w:spacing w:line="360" w:lineRule="auto"/>
        <w:jc w:val="center"/>
        <w:rPr>
          <w:rFonts w:ascii="宋体" w:hAnsi="宋体"/>
          <w:b/>
          <w:color w:val="auto"/>
          <w:sz w:val="28"/>
          <w:szCs w:val="28"/>
          <w:highlight w:val="none"/>
        </w:rPr>
      </w:pPr>
    </w:p>
    <w:p w14:paraId="2963650D">
      <w:pPr>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9086D8B">
      <w:pPr>
        <w:pStyle w:val="44"/>
        <w:spacing w:line="360" w:lineRule="auto"/>
        <w:rPr>
          <w:rFonts w:ascii="宋体" w:hAnsi="宋体"/>
          <w:b/>
          <w:color w:val="auto"/>
          <w:sz w:val="28"/>
          <w:szCs w:val="28"/>
          <w:highlight w:val="none"/>
        </w:rPr>
      </w:pPr>
      <w:r>
        <w:rPr>
          <w:rFonts w:hint="eastAsia" w:ascii="宋体" w:hAnsi="宋体" w:cs="宋体"/>
          <w:b/>
          <w:bCs/>
          <w:color w:val="auto"/>
          <w:sz w:val="24"/>
          <w:highlight w:val="none"/>
        </w:rPr>
        <w:t>附件</w:t>
      </w:r>
      <w:r>
        <w:rPr>
          <w:rFonts w:hint="eastAsia" w:hAnsi="宋体" w:cs="宋体"/>
          <w:b/>
          <w:bCs/>
          <w:color w:val="auto"/>
          <w:sz w:val="24"/>
          <w:highlight w:val="none"/>
        </w:rPr>
        <w:t>九</w:t>
      </w:r>
      <w:r>
        <w:rPr>
          <w:rFonts w:hint="eastAsia" w:ascii="宋体" w:hAnsi="宋体" w:cs="宋体"/>
          <w:b/>
          <w:bCs/>
          <w:color w:val="auto"/>
          <w:sz w:val="24"/>
          <w:highlight w:val="none"/>
        </w:rPr>
        <w:t>：</w:t>
      </w:r>
    </w:p>
    <w:p w14:paraId="74AE8508">
      <w:pPr>
        <w:pStyle w:val="44"/>
        <w:spacing w:line="360" w:lineRule="auto"/>
        <w:jc w:val="center"/>
        <w:rPr>
          <w:rFonts w:ascii="仿宋_GB2312" w:eastAsia="仿宋_GB2312"/>
          <w:b/>
          <w:color w:val="auto"/>
          <w:sz w:val="28"/>
          <w:szCs w:val="28"/>
          <w:highlight w:val="none"/>
        </w:rPr>
      </w:pPr>
      <w:r>
        <w:rPr>
          <w:rFonts w:hint="eastAsia" w:ascii="宋体" w:hAnsi="宋体"/>
          <w:b/>
          <w:color w:val="auto"/>
          <w:sz w:val="28"/>
          <w:szCs w:val="28"/>
          <w:highlight w:val="none"/>
        </w:rPr>
        <w:t>类似项目业绩一览表</w:t>
      </w:r>
    </w:p>
    <w:tbl>
      <w:tblPr>
        <w:tblStyle w:val="2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649"/>
        <w:gridCol w:w="1260"/>
        <w:gridCol w:w="1350"/>
        <w:gridCol w:w="1710"/>
        <w:gridCol w:w="1770"/>
        <w:gridCol w:w="1057"/>
      </w:tblGrid>
      <w:tr w14:paraId="16E55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vAlign w:val="center"/>
          </w:tcPr>
          <w:p w14:paraId="345122D0">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649" w:type="dxa"/>
            <w:tcBorders>
              <w:top w:val="single" w:color="auto" w:sz="6" w:space="0"/>
              <w:left w:val="single" w:color="auto" w:sz="6" w:space="0"/>
              <w:bottom w:val="single" w:color="auto" w:sz="6" w:space="0"/>
              <w:right w:val="single" w:color="auto" w:sz="6" w:space="0"/>
            </w:tcBorders>
            <w:vAlign w:val="center"/>
          </w:tcPr>
          <w:p w14:paraId="3E0847F8">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260" w:type="dxa"/>
            <w:tcBorders>
              <w:top w:val="single" w:color="auto" w:sz="6" w:space="0"/>
              <w:left w:val="single" w:color="auto" w:sz="6" w:space="0"/>
              <w:bottom w:val="single" w:color="auto" w:sz="6" w:space="0"/>
              <w:right w:val="single" w:color="auto" w:sz="6" w:space="0"/>
            </w:tcBorders>
            <w:vAlign w:val="center"/>
          </w:tcPr>
          <w:p w14:paraId="30676916">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业主单位</w:t>
            </w:r>
          </w:p>
        </w:tc>
        <w:tc>
          <w:tcPr>
            <w:tcW w:w="1350" w:type="dxa"/>
            <w:tcBorders>
              <w:top w:val="single" w:color="auto" w:sz="6" w:space="0"/>
              <w:left w:val="single" w:color="auto" w:sz="6" w:space="0"/>
              <w:bottom w:val="single" w:color="auto" w:sz="6" w:space="0"/>
              <w:right w:val="single" w:color="auto" w:sz="6" w:space="0"/>
            </w:tcBorders>
            <w:vAlign w:val="center"/>
          </w:tcPr>
          <w:p w14:paraId="301B82D5">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合同金额</w:t>
            </w:r>
          </w:p>
        </w:tc>
        <w:tc>
          <w:tcPr>
            <w:tcW w:w="1710" w:type="dxa"/>
            <w:tcBorders>
              <w:top w:val="single" w:color="auto" w:sz="6" w:space="0"/>
              <w:left w:val="single" w:color="auto" w:sz="6" w:space="0"/>
              <w:bottom w:val="single" w:color="auto" w:sz="6" w:space="0"/>
              <w:right w:val="single" w:color="auto" w:sz="6" w:space="0"/>
            </w:tcBorders>
            <w:vAlign w:val="center"/>
          </w:tcPr>
          <w:p w14:paraId="42D86814">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合同签订时间</w:t>
            </w:r>
          </w:p>
        </w:tc>
        <w:tc>
          <w:tcPr>
            <w:tcW w:w="1770" w:type="dxa"/>
            <w:tcBorders>
              <w:top w:val="single" w:color="auto" w:sz="6" w:space="0"/>
              <w:left w:val="single" w:color="auto" w:sz="6" w:space="0"/>
              <w:bottom w:val="single" w:color="auto" w:sz="6" w:space="0"/>
              <w:right w:val="single" w:color="auto" w:sz="6" w:space="0"/>
            </w:tcBorders>
            <w:vAlign w:val="center"/>
          </w:tcPr>
          <w:p w14:paraId="4B326B8B">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联系人及</w:t>
            </w:r>
          </w:p>
          <w:p w14:paraId="48753162">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联系电话</w:t>
            </w:r>
          </w:p>
        </w:tc>
        <w:tc>
          <w:tcPr>
            <w:tcW w:w="1057" w:type="dxa"/>
            <w:tcBorders>
              <w:top w:val="single" w:color="auto" w:sz="6" w:space="0"/>
              <w:left w:val="single" w:color="auto" w:sz="6" w:space="0"/>
              <w:bottom w:val="single" w:color="auto" w:sz="6" w:space="0"/>
              <w:right w:val="single" w:color="auto" w:sz="6" w:space="0"/>
            </w:tcBorders>
            <w:vAlign w:val="center"/>
          </w:tcPr>
          <w:p w14:paraId="400099AF">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备注</w:t>
            </w:r>
          </w:p>
        </w:tc>
      </w:tr>
      <w:tr w14:paraId="327CB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vAlign w:val="center"/>
          </w:tcPr>
          <w:p w14:paraId="0A5200B4">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649" w:type="dxa"/>
            <w:tcBorders>
              <w:top w:val="single" w:color="auto" w:sz="6" w:space="0"/>
              <w:left w:val="single" w:color="auto" w:sz="6" w:space="0"/>
              <w:bottom w:val="single" w:color="auto" w:sz="6" w:space="0"/>
              <w:right w:val="single" w:color="auto" w:sz="6" w:space="0"/>
            </w:tcBorders>
            <w:vAlign w:val="center"/>
          </w:tcPr>
          <w:p w14:paraId="6350D27D">
            <w:pPr>
              <w:pStyle w:val="44"/>
              <w:spacing w:line="360" w:lineRule="auto"/>
              <w:jc w:val="center"/>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70197C2">
            <w:pPr>
              <w:pStyle w:val="44"/>
              <w:spacing w:line="360" w:lineRule="auto"/>
              <w:jc w:val="center"/>
              <w:rPr>
                <w:rFonts w:ascii="宋体" w:hAnsi="宋体" w:cs="Arial"/>
                <w:color w:val="auto"/>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14:paraId="7C0B9C5D">
            <w:pPr>
              <w:pStyle w:val="44"/>
              <w:spacing w:line="360" w:lineRule="auto"/>
              <w:jc w:val="center"/>
              <w:rPr>
                <w:rFonts w:ascii="宋体" w:hAnsi="宋体" w:cs="Arial"/>
                <w:color w:val="auto"/>
                <w:sz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14:paraId="294E46CE">
            <w:pPr>
              <w:pStyle w:val="44"/>
              <w:spacing w:line="360" w:lineRule="auto"/>
              <w:jc w:val="center"/>
              <w:rPr>
                <w:rFonts w:ascii="宋体" w:hAnsi="宋体" w:cs="Arial"/>
                <w:color w:val="auto"/>
                <w:sz w:val="24"/>
                <w:highlight w:val="none"/>
              </w:rPr>
            </w:pPr>
          </w:p>
        </w:tc>
        <w:tc>
          <w:tcPr>
            <w:tcW w:w="1770" w:type="dxa"/>
            <w:tcBorders>
              <w:top w:val="single" w:color="auto" w:sz="6" w:space="0"/>
              <w:left w:val="single" w:color="auto" w:sz="6" w:space="0"/>
              <w:bottom w:val="single" w:color="auto" w:sz="6" w:space="0"/>
              <w:right w:val="single" w:color="auto" w:sz="6" w:space="0"/>
            </w:tcBorders>
            <w:vAlign w:val="center"/>
          </w:tcPr>
          <w:p w14:paraId="38139405">
            <w:pPr>
              <w:pStyle w:val="44"/>
              <w:spacing w:line="360" w:lineRule="auto"/>
              <w:jc w:val="center"/>
              <w:rPr>
                <w:rFonts w:ascii="宋体" w:hAnsi="宋体" w:cs="Arial"/>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vAlign w:val="center"/>
          </w:tcPr>
          <w:p w14:paraId="66303E2A">
            <w:pPr>
              <w:pStyle w:val="44"/>
              <w:spacing w:line="360" w:lineRule="auto"/>
              <w:jc w:val="center"/>
              <w:rPr>
                <w:rFonts w:ascii="宋体" w:hAnsi="宋体" w:cs="Arial"/>
                <w:color w:val="auto"/>
                <w:sz w:val="24"/>
                <w:highlight w:val="none"/>
              </w:rPr>
            </w:pPr>
          </w:p>
        </w:tc>
      </w:tr>
      <w:tr w14:paraId="44C62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vAlign w:val="center"/>
          </w:tcPr>
          <w:p w14:paraId="7A036443">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649" w:type="dxa"/>
            <w:tcBorders>
              <w:top w:val="single" w:color="auto" w:sz="6" w:space="0"/>
              <w:left w:val="single" w:color="auto" w:sz="6" w:space="0"/>
              <w:bottom w:val="single" w:color="auto" w:sz="6" w:space="0"/>
              <w:right w:val="single" w:color="auto" w:sz="6" w:space="0"/>
            </w:tcBorders>
            <w:vAlign w:val="center"/>
          </w:tcPr>
          <w:p w14:paraId="4E95AD0F">
            <w:pPr>
              <w:pStyle w:val="44"/>
              <w:spacing w:line="360" w:lineRule="auto"/>
              <w:jc w:val="center"/>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08D9F46D">
            <w:pPr>
              <w:pStyle w:val="44"/>
              <w:spacing w:line="360" w:lineRule="auto"/>
              <w:jc w:val="center"/>
              <w:rPr>
                <w:rFonts w:ascii="宋体" w:hAnsi="宋体" w:cs="Arial"/>
                <w:color w:val="auto"/>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14:paraId="43D3B7A0">
            <w:pPr>
              <w:pStyle w:val="44"/>
              <w:spacing w:line="360" w:lineRule="auto"/>
              <w:jc w:val="center"/>
              <w:rPr>
                <w:rFonts w:ascii="宋体" w:hAnsi="宋体" w:cs="Arial"/>
                <w:color w:val="auto"/>
                <w:sz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14:paraId="517B9285">
            <w:pPr>
              <w:pStyle w:val="44"/>
              <w:spacing w:line="360" w:lineRule="auto"/>
              <w:jc w:val="center"/>
              <w:rPr>
                <w:rFonts w:ascii="宋体" w:hAnsi="宋体" w:cs="Arial"/>
                <w:color w:val="auto"/>
                <w:sz w:val="24"/>
                <w:highlight w:val="none"/>
              </w:rPr>
            </w:pPr>
          </w:p>
        </w:tc>
        <w:tc>
          <w:tcPr>
            <w:tcW w:w="1770" w:type="dxa"/>
            <w:tcBorders>
              <w:top w:val="single" w:color="auto" w:sz="6" w:space="0"/>
              <w:left w:val="single" w:color="auto" w:sz="6" w:space="0"/>
              <w:bottom w:val="single" w:color="auto" w:sz="6" w:space="0"/>
              <w:right w:val="single" w:color="auto" w:sz="6" w:space="0"/>
            </w:tcBorders>
            <w:vAlign w:val="center"/>
          </w:tcPr>
          <w:p w14:paraId="2A8B009D">
            <w:pPr>
              <w:pStyle w:val="44"/>
              <w:spacing w:line="360" w:lineRule="auto"/>
              <w:jc w:val="center"/>
              <w:rPr>
                <w:rFonts w:ascii="宋体" w:hAnsi="宋体" w:cs="Arial"/>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vAlign w:val="center"/>
          </w:tcPr>
          <w:p w14:paraId="2B5D924D">
            <w:pPr>
              <w:pStyle w:val="44"/>
              <w:spacing w:line="360" w:lineRule="auto"/>
              <w:jc w:val="center"/>
              <w:rPr>
                <w:rFonts w:ascii="宋体" w:hAnsi="宋体" w:cs="Arial"/>
                <w:color w:val="auto"/>
                <w:sz w:val="24"/>
                <w:highlight w:val="none"/>
              </w:rPr>
            </w:pPr>
          </w:p>
        </w:tc>
      </w:tr>
      <w:tr w14:paraId="027AC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vAlign w:val="center"/>
          </w:tcPr>
          <w:p w14:paraId="48921725">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649" w:type="dxa"/>
            <w:tcBorders>
              <w:top w:val="single" w:color="auto" w:sz="6" w:space="0"/>
              <w:left w:val="single" w:color="auto" w:sz="6" w:space="0"/>
              <w:bottom w:val="single" w:color="auto" w:sz="6" w:space="0"/>
              <w:right w:val="single" w:color="auto" w:sz="6" w:space="0"/>
            </w:tcBorders>
            <w:vAlign w:val="center"/>
          </w:tcPr>
          <w:p w14:paraId="5F727129">
            <w:pPr>
              <w:pStyle w:val="44"/>
              <w:spacing w:line="360" w:lineRule="auto"/>
              <w:jc w:val="center"/>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0379B83F">
            <w:pPr>
              <w:pStyle w:val="44"/>
              <w:spacing w:line="360" w:lineRule="auto"/>
              <w:jc w:val="center"/>
              <w:rPr>
                <w:rFonts w:ascii="宋体" w:hAnsi="宋体" w:cs="Arial"/>
                <w:color w:val="auto"/>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center"/>
          </w:tcPr>
          <w:p w14:paraId="16AB9748">
            <w:pPr>
              <w:pStyle w:val="44"/>
              <w:spacing w:line="360" w:lineRule="auto"/>
              <w:jc w:val="center"/>
              <w:rPr>
                <w:rFonts w:ascii="宋体" w:hAnsi="宋体" w:cs="Arial"/>
                <w:color w:val="auto"/>
                <w:sz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14:paraId="1370C93B">
            <w:pPr>
              <w:pStyle w:val="44"/>
              <w:spacing w:line="360" w:lineRule="auto"/>
              <w:jc w:val="center"/>
              <w:rPr>
                <w:rFonts w:ascii="宋体" w:hAnsi="宋体" w:cs="Arial"/>
                <w:color w:val="auto"/>
                <w:sz w:val="24"/>
                <w:highlight w:val="none"/>
              </w:rPr>
            </w:pPr>
          </w:p>
        </w:tc>
        <w:tc>
          <w:tcPr>
            <w:tcW w:w="1770" w:type="dxa"/>
            <w:tcBorders>
              <w:top w:val="single" w:color="auto" w:sz="6" w:space="0"/>
              <w:left w:val="single" w:color="auto" w:sz="6" w:space="0"/>
              <w:bottom w:val="single" w:color="auto" w:sz="6" w:space="0"/>
              <w:right w:val="single" w:color="auto" w:sz="6" w:space="0"/>
            </w:tcBorders>
            <w:vAlign w:val="center"/>
          </w:tcPr>
          <w:p w14:paraId="0DD57657">
            <w:pPr>
              <w:pStyle w:val="44"/>
              <w:spacing w:line="360" w:lineRule="auto"/>
              <w:jc w:val="center"/>
              <w:rPr>
                <w:rFonts w:ascii="宋体" w:hAnsi="宋体" w:cs="Arial"/>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vAlign w:val="center"/>
          </w:tcPr>
          <w:p w14:paraId="7FC15645">
            <w:pPr>
              <w:pStyle w:val="44"/>
              <w:spacing w:line="360" w:lineRule="auto"/>
              <w:jc w:val="center"/>
              <w:rPr>
                <w:rFonts w:ascii="宋体" w:hAnsi="宋体" w:cs="Arial"/>
                <w:color w:val="auto"/>
                <w:sz w:val="24"/>
                <w:highlight w:val="none"/>
              </w:rPr>
            </w:pPr>
          </w:p>
        </w:tc>
      </w:tr>
      <w:tr w14:paraId="196AF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tcPr>
          <w:p w14:paraId="36C2E393">
            <w:pPr>
              <w:pStyle w:val="44"/>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649" w:type="dxa"/>
            <w:tcBorders>
              <w:top w:val="single" w:color="auto" w:sz="6" w:space="0"/>
              <w:left w:val="single" w:color="auto" w:sz="6" w:space="0"/>
              <w:bottom w:val="single" w:color="auto" w:sz="6" w:space="0"/>
              <w:right w:val="single" w:color="auto" w:sz="6" w:space="0"/>
            </w:tcBorders>
          </w:tcPr>
          <w:p w14:paraId="005E080C">
            <w:pPr>
              <w:pStyle w:val="4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F6AE09E">
            <w:pPr>
              <w:pStyle w:val="44"/>
              <w:spacing w:line="360" w:lineRule="auto"/>
              <w:rPr>
                <w:rFonts w:ascii="宋体" w:hAnsi="宋体" w:cs="Arial"/>
                <w:color w:val="auto"/>
                <w:sz w:val="24"/>
                <w:highlight w:val="none"/>
              </w:rPr>
            </w:pPr>
          </w:p>
        </w:tc>
        <w:tc>
          <w:tcPr>
            <w:tcW w:w="1350" w:type="dxa"/>
            <w:tcBorders>
              <w:top w:val="single" w:color="auto" w:sz="6" w:space="0"/>
              <w:left w:val="single" w:color="auto" w:sz="6" w:space="0"/>
              <w:bottom w:val="single" w:color="auto" w:sz="6" w:space="0"/>
              <w:right w:val="single" w:color="auto" w:sz="6" w:space="0"/>
            </w:tcBorders>
          </w:tcPr>
          <w:p w14:paraId="73C4728D">
            <w:pPr>
              <w:pStyle w:val="44"/>
              <w:spacing w:line="360" w:lineRule="auto"/>
              <w:rPr>
                <w:rFonts w:ascii="宋体" w:hAnsi="宋体" w:cs="Arial"/>
                <w:color w:val="auto"/>
                <w:sz w:val="24"/>
                <w:highlight w:val="none"/>
              </w:rPr>
            </w:pPr>
          </w:p>
        </w:tc>
        <w:tc>
          <w:tcPr>
            <w:tcW w:w="1710" w:type="dxa"/>
            <w:tcBorders>
              <w:top w:val="single" w:color="auto" w:sz="6" w:space="0"/>
              <w:left w:val="single" w:color="auto" w:sz="6" w:space="0"/>
              <w:bottom w:val="single" w:color="auto" w:sz="6" w:space="0"/>
              <w:right w:val="single" w:color="auto" w:sz="6" w:space="0"/>
            </w:tcBorders>
          </w:tcPr>
          <w:p w14:paraId="5CDD0FB3">
            <w:pPr>
              <w:pStyle w:val="44"/>
              <w:spacing w:line="360" w:lineRule="auto"/>
              <w:rPr>
                <w:rFonts w:ascii="宋体" w:hAnsi="宋体" w:cs="Arial"/>
                <w:color w:val="auto"/>
                <w:sz w:val="24"/>
                <w:highlight w:val="none"/>
              </w:rPr>
            </w:pPr>
          </w:p>
        </w:tc>
        <w:tc>
          <w:tcPr>
            <w:tcW w:w="1770" w:type="dxa"/>
            <w:tcBorders>
              <w:top w:val="single" w:color="auto" w:sz="6" w:space="0"/>
              <w:left w:val="single" w:color="auto" w:sz="6" w:space="0"/>
              <w:bottom w:val="single" w:color="auto" w:sz="6" w:space="0"/>
              <w:right w:val="single" w:color="auto" w:sz="6" w:space="0"/>
            </w:tcBorders>
          </w:tcPr>
          <w:p w14:paraId="0F2DB1E7">
            <w:pPr>
              <w:pStyle w:val="44"/>
              <w:spacing w:line="360" w:lineRule="auto"/>
              <w:rPr>
                <w:rFonts w:ascii="宋体" w:hAnsi="宋体" w:cs="Arial"/>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3DB070B1">
            <w:pPr>
              <w:pStyle w:val="44"/>
              <w:spacing w:line="360" w:lineRule="auto"/>
              <w:rPr>
                <w:rFonts w:ascii="宋体" w:hAnsi="宋体" w:cs="Arial"/>
                <w:color w:val="auto"/>
                <w:sz w:val="24"/>
                <w:highlight w:val="none"/>
              </w:rPr>
            </w:pPr>
          </w:p>
        </w:tc>
      </w:tr>
    </w:tbl>
    <w:p w14:paraId="47AA8595">
      <w:pPr>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注：1、表中业绩参照“第四部分 评标办法及评分标准”中要求提供，并附上每个业绩相关材料；</w:t>
      </w:r>
    </w:p>
    <w:p w14:paraId="48851C70">
      <w:pPr>
        <w:numPr>
          <w:ilvl w:val="0"/>
          <w:numId w:val="8"/>
        </w:num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供应商承诺提供的上述业绩相关材料真实不假，否则作为响应文件提供虚假材料，按照采购文件相关条款处理，承担一切责任。</w:t>
      </w:r>
    </w:p>
    <w:p w14:paraId="599FDD4E">
      <w:pPr>
        <w:numPr>
          <w:ilvl w:val="0"/>
          <w:numId w:val="8"/>
        </w:num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此表可增行。</w:t>
      </w:r>
    </w:p>
    <w:p w14:paraId="3C316680">
      <w:pPr>
        <w:spacing w:line="360" w:lineRule="auto"/>
        <w:ind w:firstLine="4320" w:firstLineChars="1800"/>
        <w:rPr>
          <w:rFonts w:ascii="宋体" w:cs="宋体"/>
          <w:color w:val="auto"/>
          <w:sz w:val="21"/>
          <w:szCs w:val="21"/>
          <w:highlight w:val="none"/>
          <w:lang w:val="zh-CN"/>
        </w:rPr>
      </w:pPr>
      <w:r>
        <w:rPr>
          <w:rFonts w:hint="eastAsia" w:ascii="宋体" w:hAnsi="宋体" w:eastAsia="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1"/>
          <w:szCs w:val="21"/>
          <w:highlight w:val="none"/>
        </w:rPr>
        <w:t>磋商人名称</w:t>
      </w:r>
      <w:r>
        <w:rPr>
          <w:rFonts w:hint="eastAsia" w:ascii="宋体" w:hAnsi="宋体" w:cs="宋体"/>
          <w:color w:val="auto"/>
          <w:sz w:val="21"/>
          <w:szCs w:val="21"/>
          <w:highlight w:val="none"/>
          <w:lang w:val="zh-CN"/>
        </w:rPr>
        <w:t>（盖单位章）：</w:t>
      </w:r>
    </w:p>
    <w:p w14:paraId="6F1B5BE6">
      <w:pPr>
        <w:pStyle w:val="5"/>
        <w:spacing w:before="240" w:beforeLines="100" w:line="360" w:lineRule="auto"/>
        <w:rPr>
          <w:rFonts w:ascii="宋体" w:hAnsi="宋体" w:eastAsia="宋体"/>
          <w:bCs w:val="0"/>
          <w:color w:val="auto"/>
          <w:highlight w:val="none"/>
          <w:lang w:val="zh-CN"/>
        </w:rPr>
      </w:pPr>
      <w:r>
        <w:rPr>
          <w:rFonts w:ascii="宋体" w:hAnsi="宋体" w:eastAsia="宋体" w:cs="宋体"/>
          <w:color w:val="auto"/>
          <w:sz w:val="21"/>
          <w:szCs w:val="21"/>
          <w:highlight w:val="none"/>
          <w:lang w:val="zh-CN"/>
        </w:rPr>
        <w:t xml:space="preserve">                                          </w:t>
      </w:r>
      <w:r>
        <w:rPr>
          <w:rFonts w:ascii="宋体" w:hAnsi="宋体" w:eastAsia="宋体" w:cs="宋体"/>
          <w:color w:val="auto"/>
          <w:sz w:val="21"/>
          <w:szCs w:val="21"/>
          <w:highlight w:val="none"/>
        </w:rPr>
        <w:t xml:space="preserve">   </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日</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期：</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年</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月</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日</w:t>
      </w:r>
    </w:p>
    <w:p w14:paraId="3641B0C7">
      <w:pPr>
        <w:spacing w:line="450" w:lineRule="atLeast"/>
        <w:rPr>
          <w:rFonts w:ascii="宋体" w:hAnsi="宋体" w:eastAsia="宋体" w:cs="宋体"/>
          <w:b/>
          <w:color w:val="auto"/>
          <w:sz w:val="21"/>
          <w:szCs w:val="21"/>
          <w:highlight w:val="none"/>
        </w:rPr>
      </w:pPr>
    </w:p>
    <w:p w14:paraId="2A9FCE43">
      <w:pPr>
        <w:rPr>
          <w:rFonts w:ascii="宋体" w:hAnsi="宋体" w:eastAsia="宋体" w:cs="宋体"/>
          <w:b/>
          <w:color w:val="auto"/>
          <w:sz w:val="24"/>
          <w:highlight w:val="none"/>
        </w:rPr>
      </w:pPr>
    </w:p>
    <w:p w14:paraId="3ABCD0A8">
      <w:pPr>
        <w:rPr>
          <w:rFonts w:ascii="宋体" w:hAnsi="宋体" w:eastAsia="宋体" w:cs="宋体"/>
          <w:b/>
          <w:bCs/>
          <w:color w:val="auto"/>
          <w:sz w:val="24"/>
          <w:highlight w:val="none"/>
        </w:rPr>
      </w:pPr>
      <w:bookmarkStart w:id="111" w:name="_Toc528927457"/>
      <w:bookmarkStart w:id="112" w:name="_Toc528578415"/>
      <w:r>
        <w:rPr>
          <w:rFonts w:hint="eastAsia" w:ascii="宋体" w:hAnsi="宋体" w:eastAsia="宋体" w:cs="宋体"/>
          <w:b/>
          <w:bCs/>
          <w:color w:val="auto"/>
          <w:sz w:val="24"/>
          <w:highlight w:val="none"/>
        </w:rPr>
        <w:br w:type="page"/>
      </w:r>
    </w:p>
    <w:p w14:paraId="11D8E15C">
      <w:pPr>
        <w:tabs>
          <w:tab w:val="left" w:pos="720"/>
        </w:tabs>
        <w:spacing w:line="360" w:lineRule="auto"/>
        <w:outlineLvl w:val="0"/>
        <w:rPr>
          <w:rFonts w:ascii="宋体" w:cs="宋体"/>
          <w:b/>
          <w:color w:val="auto"/>
          <w:sz w:val="24"/>
          <w:highlight w:val="none"/>
        </w:rPr>
      </w:pPr>
      <w:bookmarkStart w:id="113" w:name="_Toc9111"/>
      <w:bookmarkStart w:id="114" w:name="_Toc7512"/>
      <w:bookmarkStart w:id="115" w:name="_Toc13628_WPSOffice_Level2"/>
      <w:bookmarkStart w:id="116" w:name="_Toc24928"/>
      <w:bookmarkStart w:id="117" w:name="_Toc28889"/>
      <w:bookmarkStart w:id="118" w:name="_Toc23409_WPSOffice_Level2"/>
      <w:bookmarkStart w:id="119" w:name="_Toc26491_WPSOffice_Level2"/>
      <w:r>
        <w:rPr>
          <w:rFonts w:hint="eastAsia" w:ascii="宋体" w:hAnsi="宋体" w:cs="宋体"/>
          <w:b/>
          <w:bCs/>
          <w:color w:val="auto"/>
          <w:sz w:val="24"/>
          <w:highlight w:val="none"/>
        </w:rPr>
        <w:t>附件</w:t>
      </w:r>
      <w:r>
        <w:rPr>
          <w:rFonts w:hint="eastAsia" w:hAnsi="宋体" w:eastAsia="宋体" w:cs="宋体"/>
          <w:b/>
          <w:bCs/>
          <w:color w:val="auto"/>
          <w:sz w:val="24"/>
          <w:highlight w:val="none"/>
        </w:rPr>
        <w:t>十</w:t>
      </w:r>
      <w:r>
        <w:rPr>
          <w:rFonts w:hint="eastAsia" w:hAnsi="宋体" w:cs="宋体"/>
          <w:b/>
          <w:bCs/>
          <w:color w:val="auto"/>
          <w:sz w:val="24"/>
          <w:highlight w:val="none"/>
        </w:rPr>
        <w:t>：</w:t>
      </w:r>
      <w:r>
        <w:rPr>
          <w:rFonts w:hAnsi="宋体" w:cs="宋体"/>
          <w:b/>
          <w:bCs/>
          <w:color w:val="auto"/>
          <w:sz w:val="24"/>
          <w:highlight w:val="none"/>
        </w:rPr>
        <w:t xml:space="preserve">          </w:t>
      </w:r>
      <w:bookmarkStart w:id="120" w:name="_Toc10163_WPSOffice_Level2"/>
      <w:bookmarkStart w:id="121" w:name="_Toc28261_WPSOffice_Level2"/>
      <w:bookmarkStart w:id="122" w:name="_Toc8165"/>
      <w:bookmarkStart w:id="123" w:name="_Toc10701_WPSOffice_Level2"/>
      <w:r>
        <w:rPr>
          <w:rFonts w:ascii="宋体" w:hAnsi="宋体" w:cs="宋体"/>
          <w:b/>
          <w:color w:val="auto"/>
          <w:sz w:val="24"/>
          <w:highlight w:val="none"/>
        </w:rPr>
        <w:t xml:space="preserve">     </w:t>
      </w:r>
      <w:r>
        <w:rPr>
          <w:rFonts w:hint="eastAsia" w:ascii="宋体" w:hAnsi="宋体" w:eastAsia="宋体" w:cs="宋体"/>
          <w:b/>
          <w:color w:val="auto"/>
          <w:sz w:val="24"/>
          <w:highlight w:val="none"/>
        </w:rPr>
        <w:t xml:space="preserve">      </w:t>
      </w:r>
      <w:r>
        <w:rPr>
          <w:rFonts w:ascii="宋体" w:hAnsi="宋体" w:cs="宋体"/>
          <w:b/>
          <w:color w:val="auto"/>
          <w:sz w:val="24"/>
          <w:highlight w:val="none"/>
        </w:rPr>
        <w:t xml:space="preserve">  </w:t>
      </w:r>
      <w:r>
        <w:rPr>
          <w:rFonts w:hint="eastAsia" w:ascii="宋体" w:hAnsi="宋体" w:cs="宋体"/>
          <w:b/>
          <w:color w:val="auto"/>
          <w:sz w:val="24"/>
          <w:highlight w:val="none"/>
        </w:rPr>
        <w:t>人员</w:t>
      </w:r>
      <w:r>
        <w:rPr>
          <w:rFonts w:hint="eastAsia" w:ascii="宋体" w:cs="宋体"/>
          <w:b/>
          <w:color w:val="auto"/>
          <w:sz w:val="24"/>
          <w:highlight w:val="none"/>
        </w:rPr>
        <w:t>配备情况表</w:t>
      </w:r>
    </w:p>
    <w:tbl>
      <w:tblPr>
        <w:tblStyle w:val="27"/>
        <w:tblW w:w="0" w:type="auto"/>
        <w:tblInd w:w="108" w:type="dxa"/>
        <w:tblLayout w:type="fixed"/>
        <w:tblCellMar>
          <w:top w:w="0" w:type="dxa"/>
          <w:left w:w="108" w:type="dxa"/>
          <w:bottom w:w="0" w:type="dxa"/>
          <w:right w:w="108" w:type="dxa"/>
        </w:tblCellMar>
      </w:tblPr>
      <w:tblGrid>
        <w:gridCol w:w="709"/>
        <w:gridCol w:w="1488"/>
        <w:gridCol w:w="1163"/>
        <w:gridCol w:w="1164"/>
        <w:gridCol w:w="1164"/>
        <w:gridCol w:w="1164"/>
        <w:gridCol w:w="1164"/>
        <w:gridCol w:w="1340"/>
      </w:tblGrid>
      <w:tr w14:paraId="0EFC30DF">
        <w:tblPrEx>
          <w:tblCellMar>
            <w:top w:w="0" w:type="dxa"/>
            <w:left w:w="108" w:type="dxa"/>
            <w:bottom w:w="0" w:type="dxa"/>
            <w:right w:w="108" w:type="dxa"/>
          </w:tblCellMar>
        </w:tblPrEx>
        <w:trPr>
          <w:trHeight w:val="1149" w:hRule="atLeast"/>
        </w:trPr>
        <w:tc>
          <w:tcPr>
            <w:tcW w:w="709" w:type="dxa"/>
            <w:tcBorders>
              <w:top w:val="single" w:color="auto" w:sz="6" w:space="0"/>
              <w:left w:val="single" w:color="auto" w:sz="6" w:space="0"/>
              <w:bottom w:val="single" w:color="auto" w:sz="6" w:space="0"/>
              <w:right w:val="single" w:color="auto" w:sz="6" w:space="0"/>
            </w:tcBorders>
            <w:vAlign w:val="center"/>
          </w:tcPr>
          <w:p w14:paraId="099DD037">
            <w:pPr>
              <w:jc w:val="center"/>
              <w:rPr>
                <w:rFonts w:ascii="宋体" w:cs="宋体"/>
                <w:color w:val="auto"/>
                <w:sz w:val="24"/>
                <w:highlight w:val="none"/>
              </w:rPr>
            </w:pPr>
            <w:r>
              <w:rPr>
                <w:rFonts w:hint="eastAsia" w:ascii="宋体" w:hAnsi="宋体" w:cs="宋体"/>
                <w:color w:val="auto"/>
                <w:sz w:val="24"/>
                <w:highlight w:val="none"/>
              </w:rPr>
              <w:t>序号</w:t>
            </w:r>
          </w:p>
        </w:tc>
        <w:tc>
          <w:tcPr>
            <w:tcW w:w="1488" w:type="dxa"/>
            <w:tcBorders>
              <w:top w:val="single" w:color="auto" w:sz="6" w:space="0"/>
              <w:left w:val="nil"/>
              <w:bottom w:val="single" w:color="auto" w:sz="6" w:space="0"/>
              <w:right w:val="single" w:color="auto" w:sz="6" w:space="0"/>
            </w:tcBorders>
            <w:vAlign w:val="center"/>
          </w:tcPr>
          <w:p w14:paraId="26C838E7">
            <w:pPr>
              <w:jc w:val="center"/>
              <w:rPr>
                <w:rFonts w:ascii="宋体" w:cs="宋体"/>
                <w:color w:val="auto"/>
                <w:sz w:val="24"/>
                <w:highlight w:val="none"/>
              </w:rPr>
            </w:pPr>
            <w:r>
              <w:rPr>
                <w:rFonts w:hint="eastAsia" w:ascii="宋体" w:hAnsi="宋体" w:cs="宋体"/>
                <w:color w:val="auto"/>
                <w:sz w:val="24"/>
                <w:highlight w:val="none"/>
              </w:rPr>
              <w:t>姓名</w:t>
            </w:r>
          </w:p>
        </w:tc>
        <w:tc>
          <w:tcPr>
            <w:tcW w:w="1163" w:type="dxa"/>
            <w:tcBorders>
              <w:top w:val="single" w:color="auto" w:sz="6" w:space="0"/>
              <w:left w:val="nil"/>
              <w:bottom w:val="single" w:color="auto" w:sz="6" w:space="0"/>
              <w:right w:val="single" w:color="auto" w:sz="6" w:space="0"/>
            </w:tcBorders>
            <w:vAlign w:val="center"/>
          </w:tcPr>
          <w:p w14:paraId="06E474D6">
            <w:pPr>
              <w:jc w:val="center"/>
              <w:rPr>
                <w:rFonts w:ascii="宋体" w:cs="宋体"/>
                <w:color w:val="auto"/>
                <w:sz w:val="24"/>
                <w:highlight w:val="none"/>
              </w:rPr>
            </w:pPr>
            <w:r>
              <w:rPr>
                <w:rFonts w:hint="eastAsia" w:ascii="宋体" w:hAnsi="宋体" w:cs="宋体"/>
                <w:color w:val="auto"/>
                <w:sz w:val="24"/>
                <w:highlight w:val="none"/>
              </w:rPr>
              <w:t>职称</w:t>
            </w:r>
          </w:p>
        </w:tc>
        <w:tc>
          <w:tcPr>
            <w:tcW w:w="1164" w:type="dxa"/>
            <w:tcBorders>
              <w:top w:val="single" w:color="auto" w:sz="6" w:space="0"/>
              <w:left w:val="nil"/>
              <w:bottom w:val="single" w:color="auto" w:sz="6" w:space="0"/>
              <w:right w:val="single" w:color="auto" w:sz="6" w:space="0"/>
            </w:tcBorders>
            <w:vAlign w:val="center"/>
          </w:tcPr>
          <w:p w14:paraId="1369F80D">
            <w:pPr>
              <w:jc w:val="center"/>
              <w:rPr>
                <w:rFonts w:ascii="宋体" w:cs="宋体"/>
                <w:color w:val="auto"/>
                <w:sz w:val="24"/>
                <w:highlight w:val="none"/>
              </w:rPr>
            </w:pPr>
            <w:r>
              <w:rPr>
                <w:rFonts w:hint="eastAsia" w:ascii="宋体" w:hAnsi="宋体" w:cs="楷体"/>
                <w:color w:val="auto"/>
                <w:sz w:val="24"/>
                <w:highlight w:val="none"/>
              </w:rPr>
              <w:t>专业技术</w:t>
            </w:r>
            <w:r>
              <w:rPr>
                <w:rFonts w:hint="eastAsia" w:ascii="宋体" w:hAnsi="宋体" w:cs="宋体"/>
                <w:color w:val="auto"/>
                <w:sz w:val="24"/>
                <w:highlight w:val="none"/>
              </w:rPr>
              <w:t>资格</w:t>
            </w:r>
          </w:p>
        </w:tc>
        <w:tc>
          <w:tcPr>
            <w:tcW w:w="1164" w:type="dxa"/>
            <w:tcBorders>
              <w:top w:val="single" w:color="auto" w:sz="6" w:space="0"/>
              <w:left w:val="nil"/>
              <w:bottom w:val="single" w:color="auto" w:sz="6" w:space="0"/>
              <w:right w:val="single" w:color="auto" w:sz="6" w:space="0"/>
            </w:tcBorders>
            <w:vAlign w:val="center"/>
          </w:tcPr>
          <w:p w14:paraId="12C8775C">
            <w:pPr>
              <w:jc w:val="center"/>
              <w:rPr>
                <w:rFonts w:ascii="宋体" w:cs="宋体"/>
                <w:color w:val="auto"/>
                <w:sz w:val="24"/>
                <w:highlight w:val="none"/>
              </w:rPr>
            </w:pPr>
            <w:r>
              <w:rPr>
                <w:rFonts w:hint="eastAsia" w:ascii="宋体" w:hAnsi="宋体" w:cs="宋体"/>
                <w:color w:val="auto"/>
                <w:sz w:val="24"/>
                <w:highlight w:val="none"/>
              </w:rPr>
              <w:t>职务</w:t>
            </w:r>
          </w:p>
        </w:tc>
        <w:tc>
          <w:tcPr>
            <w:tcW w:w="1164" w:type="dxa"/>
            <w:tcBorders>
              <w:top w:val="single" w:color="auto" w:sz="6" w:space="0"/>
              <w:left w:val="nil"/>
              <w:bottom w:val="single" w:color="auto" w:sz="6" w:space="0"/>
              <w:right w:val="single" w:color="auto" w:sz="6" w:space="0"/>
            </w:tcBorders>
            <w:vAlign w:val="center"/>
          </w:tcPr>
          <w:p w14:paraId="17EADA8A">
            <w:pPr>
              <w:jc w:val="center"/>
              <w:rPr>
                <w:rFonts w:ascii="宋体" w:cs="宋体"/>
                <w:color w:val="auto"/>
                <w:sz w:val="24"/>
                <w:highlight w:val="none"/>
              </w:rPr>
            </w:pPr>
            <w:r>
              <w:rPr>
                <w:rFonts w:hint="eastAsia" w:ascii="宋体" w:hAnsi="宋体" w:cs="楷体"/>
                <w:color w:val="auto"/>
                <w:sz w:val="24"/>
                <w:highlight w:val="none"/>
              </w:rPr>
              <w:t>本项目中的职责</w:t>
            </w:r>
          </w:p>
        </w:tc>
        <w:tc>
          <w:tcPr>
            <w:tcW w:w="1164" w:type="dxa"/>
            <w:tcBorders>
              <w:top w:val="single" w:color="auto" w:sz="6" w:space="0"/>
              <w:left w:val="nil"/>
              <w:bottom w:val="single" w:color="auto" w:sz="6" w:space="0"/>
              <w:right w:val="single" w:color="auto" w:sz="6" w:space="0"/>
            </w:tcBorders>
            <w:vAlign w:val="center"/>
          </w:tcPr>
          <w:p w14:paraId="53B74388">
            <w:pPr>
              <w:jc w:val="center"/>
              <w:rPr>
                <w:rFonts w:ascii="宋体" w:cs="宋体"/>
                <w:color w:val="auto"/>
                <w:sz w:val="24"/>
                <w:highlight w:val="none"/>
              </w:rPr>
            </w:pPr>
            <w:r>
              <w:rPr>
                <w:rFonts w:hint="eastAsia" w:ascii="宋体" w:hAnsi="宋体" w:cs="楷体"/>
                <w:color w:val="auto"/>
                <w:sz w:val="24"/>
                <w:highlight w:val="none"/>
              </w:rPr>
              <w:t>参加本单位工作年限</w:t>
            </w:r>
          </w:p>
        </w:tc>
        <w:tc>
          <w:tcPr>
            <w:tcW w:w="1340" w:type="dxa"/>
            <w:tcBorders>
              <w:top w:val="single" w:color="auto" w:sz="6" w:space="0"/>
              <w:left w:val="nil"/>
              <w:bottom w:val="single" w:color="auto" w:sz="6" w:space="0"/>
              <w:right w:val="single" w:color="auto" w:sz="6" w:space="0"/>
            </w:tcBorders>
            <w:vAlign w:val="center"/>
          </w:tcPr>
          <w:p w14:paraId="21F4E462">
            <w:pPr>
              <w:jc w:val="center"/>
              <w:rPr>
                <w:rFonts w:ascii="宋体" w:cs="宋体"/>
                <w:color w:val="auto"/>
                <w:sz w:val="24"/>
                <w:highlight w:val="none"/>
              </w:rPr>
            </w:pPr>
            <w:r>
              <w:rPr>
                <w:rFonts w:hint="eastAsia" w:ascii="宋体" w:hAnsi="宋体" w:cs="宋体"/>
                <w:color w:val="auto"/>
                <w:sz w:val="24"/>
                <w:highlight w:val="none"/>
              </w:rPr>
              <w:t>联系电话</w:t>
            </w:r>
          </w:p>
        </w:tc>
      </w:tr>
      <w:tr w14:paraId="08D85480">
        <w:tblPrEx>
          <w:tblCellMar>
            <w:top w:w="0" w:type="dxa"/>
            <w:left w:w="108" w:type="dxa"/>
            <w:bottom w:w="0" w:type="dxa"/>
            <w:right w:w="108" w:type="dxa"/>
          </w:tblCellMar>
        </w:tblPrEx>
        <w:trPr>
          <w:trHeight w:val="567" w:hRule="atLeast"/>
        </w:trPr>
        <w:tc>
          <w:tcPr>
            <w:tcW w:w="709" w:type="dxa"/>
            <w:tcBorders>
              <w:top w:val="single" w:color="auto" w:sz="6" w:space="0"/>
              <w:left w:val="single" w:color="auto" w:sz="6" w:space="0"/>
              <w:bottom w:val="single" w:color="auto" w:sz="6" w:space="0"/>
              <w:right w:val="single" w:color="auto" w:sz="6" w:space="0"/>
            </w:tcBorders>
            <w:vAlign w:val="center"/>
          </w:tcPr>
          <w:p w14:paraId="7963E395">
            <w:pPr>
              <w:jc w:val="center"/>
              <w:rPr>
                <w:rFonts w:ascii="宋体" w:hAnsi="宋体" w:cs="宋体"/>
                <w:color w:val="auto"/>
                <w:sz w:val="24"/>
                <w:highlight w:val="none"/>
              </w:rPr>
            </w:pPr>
            <w:r>
              <w:rPr>
                <w:rFonts w:ascii="宋体" w:hAnsi="宋体" w:cs="宋体"/>
                <w:color w:val="auto"/>
                <w:sz w:val="24"/>
                <w:highlight w:val="none"/>
              </w:rPr>
              <w:t>1</w:t>
            </w:r>
          </w:p>
        </w:tc>
        <w:tc>
          <w:tcPr>
            <w:tcW w:w="1488" w:type="dxa"/>
            <w:tcBorders>
              <w:top w:val="single" w:color="auto" w:sz="6" w:space="0"/>
              <w:left w:val="nil"/>
              <w:bottom w:val="single" w:color="auto" w:sz="6" w:space="0"/>
              <w:right w:val="single" w:color="auto" w:sz="6" w:space="0"/>
            </w:tcBorders>
          </w:tcPr>
          <w:p w14:paraId="34B53BDC">
            <w:pPr>
              <w:rPr>
                <w:rFonts w:ascii="宋体" w:cs="宋体"/>
                <w:color w:val="auto"/>
                <w:sz w:val="24"/>
                <w:highlight w:val="none"/>
              </w:rPr>
            </w:pPr>
          </w:p>
        </w:tc>
        <w:tc>
          <w:tcPr>
            <w:tcW w:w="1163" w:type="dxa"/>
            <w:tcBorders>
              <w:top w:val="single" w:color="auto" w:sz="6" w:space="0"/>
              <w:left w:val="nil"/>
              <w:bottom w:val="single" w:color="auto" w:sz="6" w:space="0"/>
              <w:right w:val="single" w:color="auto" w:sz="6" w:space="0"/>
            </w:tcBorders>
          </w:tcPr>
          <w:p w14:paraId="76ED8E99">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62367B12">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006F093F">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656D1174">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517ED26F">
            <w:pPr>
              <w:rPr>
                <w:rFonts w:ascii="宋体" w:cs="宋体"/>
                <w:color w:val="auto"/>
                <w:sz w:val="24"/>
                <w:highlight w:val="none"/>
              </w:rPr>
            </w:pPr>
          </w:p>
        </w:tc>
        <w:tc>
          <w:tcPr>
            <w:tcW w:w="1340" w:type="dxa"/>
            <w:tcBorders>
              <w:top w:val="single" w:color="auto" w:sz="6" w:space="0"/>
              <w:left w:val="nil"/>
              <w:bottom w:val="single" w:color="auto" w:sz="6" w:space="0"/>
              <w:right w:val="single" w:color="auto" w:sz="6" w:space="0"/>
            </w:tcBorders>
          </w:tcPr>
          <w:p w14:paraId="2433C20E">
            <w:pPr>
              <w:rPr>
                <w:rFonts w:ascii="宋体" w:cs="宋体"/>
                <w:color w:val="auto"/>
                <w:sz w:val="24"/>
                <w:highlight w:val="none"/>
              </w:rPr>
            </w:pPr>
          </w:p>
        </w:tc>
      </w:tr>
      <w:tr w14:paraId="0F4326CC">
        <w:tblPrEx>
          <w:tblCellMar>
            <w:top w:w="0" w:type="dxa"/>
            <w:left w:w="108" w:type="dxa"/>
            <w:bottom w:w="0" w:type="dxa"/>
            <w:right w:w="108" w:type="dxa"/>
          </w:tblCellMar>
        </w:tblPrEx>
        <w:trPr>
          <w:trHeight w:val="567" w:hRule="atLeast"/>
        </w:trPr>
        <w:tc>
          <w:tcPr>
            <w:tcW w:w="709" w:type="dxa"/>
            <w:tcBorders>
              <w:top w:val="single" w:color="auto" w:sz="6" w:space="0"/>
              <w:left w:val="single" w:color="auto" w:sz="6" w:space="0"/>
              <w:bottom w:val="single" w:color="auto" w:sz="6" w:space="0"/>
              <w:right w:val="single" w:color="auto" w:sz="6" w:space="0"/>
            </w:tcBorders>
            <w:vAlign w:val="center"/>
          </w:tcPr>
          <w:p w14:paraId="7F80A914">
            <w:pPr>
              <w:jc w:val="center"/>
              <w:rPr>
                <w:rFonts w:ascii="宋体" w:hAnsi="宋体" w:cs="宋体"/>
                <w:color w:val="auto"/>
                <w:sz w:val="24"/>
                <w:highlight w:val="none"/>
              </w:rPr>
            </w:pPr>
            <w:r>
              <w:rPr>
                <w:rFonts w:ascii="宋体" w:hAnsi="宋体" w:cs="宋体"/>
                <w:color w:val="auto"/>
                <w:sz w:val="24"/>
                <w:highlight w:val="none"/>
              </w:rPr>
              <w:t>2</w:t>
            </w:r>
          </w:p>
        </w:tc>
        <w:tc>
          <w:tcPr>
            <w:tcW w:w="1488" w:type="dxa"/>
            <w:tcBorders>
              <w:top w:val="single" w:color="auto" w:sz="6" w:space="0"/>
              <w:left w:val="nil"/>
              <w:bottom w:val="single" w:color="auto" w:sz="6" w:space="0"/>
              <w:right w:val="single" w:color="auto" w:sz="6" w:space="0"/>
            </w:tcBorders>
          </w:tcPr>
          <w:p w14:paraId="119F1684">
            <w:pPr>
              <w:rPr>
                <w:rFonts w:ascii="宋体" w:cs="宋体"/>
                <w:color w:val="auto"/>
                <w:sz w:val="24"/>
                <w:highlight w:val="none"/>
              </w:rPr>
            </w:pPr>
          </w:p>
        </w:tc>
        <w:tc>
          <w:tcPr>
            <w:tcW w:w="1163" w:type="dxa"/>
            <w:tcBorders>
              <w:top w:val="single" w:color="auto" w:sz="6" w:space="0"/>
              <w:left w:val="nil"/>
              <w:bottom w:val="single" w:color="auto" w:sz="6" w:space="0"/>
              <w:right w:val="single" w:color="auto" w:sz="6" w:space="0"/>
            </w:tcBorders>
          </w:tcPr>
          <w:p w14:paraId="0982675D">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015A06C7">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17DD9775">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782D162E">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2D4CA838">
            <w:pPr>
              <w:rPr>
                <w:rFonts w:ascii="宋体" w:cs="宋体"/>
                <w:color w:val="auto"/>
                <w:sz w:val="24"/>
                <w:highlight w:val="none"/>
              </w:rPr>
            </w:pPr>
          </w:p>
        </w:tc>
        <w:tc>
          <w:tcPr>
            <w:tcW w:w="1340" w:type="dxa"/>
            <w:tcBorders>
              <w:top w:val="single" w:color="auto" w:sz="6" w:space="0"/>
              <w:left w:val="nil"/>
              <w:bottom w:val="single" w:color="auto" w:sz="6" w:space="0"/>
              <w:right w:val="single" w:color="auto" w:sz="6" w:space="0"/>
            </w:tcBorders>
          </w:tcPr>
          <w:p w14:paraId="75F24C15">
            <w:pPr>
              <w:rPr>
                <w:rFonts w:ascii="宋体" w:cs="宋体"/>
                <w:color w:val="auto"/>
                <w:sz w:val="24"/>
                <w:highlight w:val="none"/>
              </w:rPr>
            </w:pPr>
          </w:p>
        </w:tc>
      </w:tr>
      <w:tr w14:paraId="7C26B53D">
        <w:tblPrEx>
          <w:tblCellMar>
            <w:top w:w="0" w:type="dxa"/>
            <w:left w:w="108" w:type="dxa"/>
            <w:bottom w:w="0" w:type="dxa"/>
            <w:right w:w="108" w:type="dxa"/>
          </w:tblCellMar>
        </w:tblPrEx>
        <w:trPr>
          <w:trHeight w:val="567" w:hRule="atLeast"/>
        </w:trPr>
        <w:tc>
          <w:tcPr>
            <w:tcW w:w="709" w:type="dxa"/>
            <w:tcBorders>
              <w:top w:val="single" w:color="auto" w:sz="6" w:space="0"/>
              <w:left w:val="single" w:color="auto" w:sz="6" w:space="0"/>
              <w:bottom w:val="single" w:color="auto" w:sz="6" w:space="0"/>
              <w:right w:val="single" w:color="auto" w:sz="6" w:space="0"/>
            </w:tcBorders>
            <w:vAlign w:val="center"/>
          </w:tcPr>
          <w:p w14:paraId="5BE73F71">
            <w:pPr>
              <w:jc w:val="center"/>
              <w:rPr>
                <w:rFonts w:ascii="宋体" w:hAnsi="宋体" w:cs="宋体"/>
                <w:color w:val="auto"/>
                <w:sz w:val="24"/>
                <w:highlight w:val="none"/>
              </w:rPr>
            </w:pPr>
            <w:r>
              <w:rPr>
                <w:rFonts w:ascii="宋体" w:hAnsi="宋体" w:cs="宋体"/>
                <w:color w:val="auto"/>
                <w:sz w:val="24"/>
                <w:highlight w:val="none"/>
              </w:rPr>
              <w:t>3</w:t>
            </w:r>
          </w:p>
        </w:tc>
        <w:tc>
          <w:tcPr>
            <w:tcW w:w="1488" w:type="dxa"/>
            <w:tcBorders>
              <w:top w:val="single" w:color="auto" w:sz="6" w:space="0"/>
              <w:left w:val="nil"/>
              <w:bottom w:val="single" w:color="auto" w:sz="6" w:space="0"/>
              <w:right w:val="single" w:color="auto" w:sz="6" w:space="0"/>
            </w:tcBorders>
          </w:tcPr>
          <w:p w14:paraId="4E3FBC12">
            <w:pPr>
              <w:rPr>
                <w:rFonts w:ascii="宋体" w:cs="宋体"/>
                <w:color w:val="auto"/>
                <w:sz w:val="24"/>
                <w:highlight w:val="none"/>
              </w:rPr>
            </w:pPr>
          </w:p>
        </w:tc>
        <w:tc>
          <w:tcPr>
            <w:tcW w:w="1163" w:type="dxa"/>
            <w:tcBorders>
              <w:top w:val="single" w:color="auto" w:sz="6" w:space="0"/>
              <w:left w:val="nil"/>
              <w:bottom w:val="single" w:color="auto" w:sz="6" w:space="0"/>
              <w:right w:val="single" w:color="auto" w:sz="6" w:space="0"/>
            </w:tcBorders>
          </w:tcPr>
          <w:p w14:paraId="105371CD">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29435BA2">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4F091052">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60A1822F">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485CAC09">
            <w:pPr>
              <w:rPr>
                <w:rFonts w:ascii="宋体" w:cs="宋体"/>
                <w:color w:val="auto"/>
                <w:sz w:val="24"/>
                <w:highlight w:val="none"/>
              </w:rPr>
            </w:pPr>
          </w:p>
        </w:tc>
        <w:tc>
          <w:tcPr>
            <w:tcW w:w="1340" w:type="dxa"/>
            <w:tcBorders>
              <w:top w:val="single" w:color="auto" w:sz="6" w:space="0"/>
              <w:left w:val="nil"/>
              <w:bottom w:val="single" w:color="auto" w:sz="6" w:space="0"/>
              <w:right w:val="single" w:color="auto" w:sz="6" w:space="0"/>
            </w:tcBorders>
          </w:tcPr>
          <w:p w14:paraId="40232D9D">
            <w:pPr>
              <w:rPr>
                <w:rFonts w:ascii="宋体" w:cs="宋体"/>
                <w:color w:val="auto"/>
                <w:sz w:val="24"/>
                <w:highlight w:val="none"/>
              </w:rPr>
            </w:pPr>
          </w:p>
        </w:tc>
      </w:tr>
      <w:tr w14:paraId="5AFD3C03">
        <w:tblPrEx>
          <w:tblCellMar>
            <w:top w:w="0" w:type="dxa"/>
            <w:left w:w="108" w:type="dxa"/>
            <w:bottom w:w="0" w:type="dxa"/>
            <w:right w:w="108" w:type="dxa"/>
          </w:tblCellMar>
        </w:tblPrEx>
        <w:trPr>
          <w:trHeight w:val="567" w:hRule="atLeast"/>
        </w:trPr>
        <w:tc>
          <w:tcPr>
            <w:tcW w:w="709" w:type="dxa"/>
            <w:tcBorders>
              <w:top w:val="single" w:color="auto" w:sz="6" w:space="0"/>
              <w:left w:val="single" w:color="auto" w:sz="6" w:space="0"/>
              <w:bottom w:val="single" w:color="auto" w:sz="6" w:space="0"/>
              <w:right w:val="single" w:color="auto" w:sz="6" w:space="0"/>
            </w:tcBorders>
            <w:vAlign w:val="center"/>
          </w:tcPr>
          <w:p w14:paraId="6BBEE656">
            <w:pPr>
              <w:jc w:val="center"/>
              <w:rPr>
                <w:rFonts w:ascii="宋体" w:hAnsi="宋体" w:cs="宋体"/>
                <w:color w:val="auto"/>
                <w:sz w:val="24"/>
                <w:highlight w:val="none"/>
              </w:rPr>
            </w:pPr>
            <w:r>
              <w:rPr>
                <w:rFonts w:ascii="宋体" w:hAnsi="宋体" w:cs="宋体"/>
                <w:color w:val="auto"/>
                <w:sz w:val="24"/>
                <w:highlight w:val="none"/>
              </w:rPr>
              <w:t>4</w:t>
            </w:r>
          </w:p>
        </w:tc>
        <w:tc>
          <w:tcPr>
            <w:tcW w:w="1488" w:type="dxa"/>
            <w:tcBorders>
              <w:top w:val="single" w:color="auto" w:sz="6" w:space="0"/>
              <w:left w:val="nil"/>
              <w:bottom w:val="single" w:color="auto" w:sz="6" w:space="0"/>
              <w:right w:val="single" w:color="auto" w:sz="6" w:space="0"/>
            </w:tcBorders>
          </w:tcPr>
          <w:p w14:paraId="652030E9">
            <w:pPr>
              <w:rPr>
                <w:rFonts w:ascii="宋体" w:cs="宋体"/>
                <w:color w:val="auto"/>
                <w:sz w:val="24"/>
                <w:highlight w:val="none"/>
              </w:rPr>
            </w:pPr>
          </w:p>
        </w:tc>
        <w:tc>
          <w:tcPr>
            <w:tcW w:w="1163" w:type="dxa"/>
            <w:tcBorders>
              <w:top w:val="single" w:color="auto" w:sz="6" w:space="0"/>
              <w:left w:val="nil"/>
              <w:bottom w:val="single" w:color="auto" w:sz="6" w:space="0"/>
              <w:right w:val="single" w:color="auto" w:sz="6" w:space="0"/>
            </w:tcBorders>
          </w:tcPr>
          <w:p w14:paraId="7DB11F59">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15F0A8AE">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4F573EB2">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3D633F08">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6B0BE5B0">
            <w:pPr>
              <w:rPr>
                <w:rFonts w:ascii="宋体" w:cs="宋体"/>
                <w:color w:val="auto"/>
                <w:sz w:val="24"/>
                <w:highlight w:val="none"/>
              </w:rPr>
            </w:pPr>
          </w:p>
        </w:tc>
        <w:tc>
          <w:tcPr>
            <w:tcW w:w="1340" w:type="dxa"/>
            <w:tcBorders>
              <w:top w:val="single" w:color="auto" w:sz="6" w:space="0"/>
              <w:left w:val="nil"/>
              <w:bottom w:val="single" w:color="auto" w:sz="6" w:space="0"/>
              <w:right w:val="single" w:color="auto" w:sz="6" w:space="0"/>
            </w:tcBorders>
          </w:tcPr>
          <w:p w14:paraId="7AC5CD6B">
            <w:pPr>
              <w:rPr>
                <w:rFonts w:ascii="宋体" w:cs="宋体"/>
                <w:color w:val="auto"/>
                <w:sz w:val="24"/>
                <w:highlight w:val="none"/>
              </w:rPr>
            </w:pPr>
          </w:p>
        </w:tc>
      </w:tr>
      <w:tr w14:paraId="0C5D196A">
        <w:tblPrEx>
          <w:tblCellMar>
            <w:top w:w="0" w:type="dxa"/>
            <w:left w:w="108" w:type="dxa"/>
            <w:bottom w:w="0" w:type="dxa"/>
            <w:right w:w="108" w:type="dxa"/>
          </w:tblCellMar>
        </w:tblPrEx>
        <w:trPr>
          <w:trHeight w:val="567" w:hRule="atLeast"/>
        </w:trPr>
        <w:tc>
          <w:tcPr>
            <w:tcW w:w="709" w:type="dxa"/>
            <w:tcBorders>
              <w:top w:val="single" w:color="auto" w:sz="6" w:space="0"/>
              <w:left w:val="single" w:color="auto" w:sz="6" w:space="0"/>
              <w:bottom w:val="single" w:color="auto" w:sz="6" w:space="0"/>
              <w:right w:val="single" w:color="auto" w:sz="6" w:space="0"/>
            </w:tcBorders>
            <w:vAlign w:val="center"/>
          </w:tcPr>
          <w:p w14:paraId="3FAB007D">
            <w:pPr>
              <w:jc w:val="center"/>
              <w:rPr>
                <w:rFonts w:ascii="宋体" w:hAnsi="宋体" w:cs="宋体"/>
                <w:color w:val="auto"/>
                <w:sz w:val="24"/>
                <w:highlight w:val="none"/>
              </w:rPr>
            </w:pPr>
            <w:r>
              <w:rPr>
                <w:rFonts w:ascii="宋体" w:hAnsi="宋体" w:cs="宋体"/>
                <w:color w:val="auto"/>
                <w:sz w:val="24"/>
                <w:highlight w:val="none"/>
              </w:rPr>
              <w:t>5</w:t>
            </w:r>
          </w:p>
        </w:tc>
        <w:tc>
          <w:tcPr>
            <w:tcW w:w="1488" w:type="dxa"/>
            <w:tcBorders>
              <w:top w:val="single" w:color="auto" w:sz="6" w:space="0"/>
              <w:left w:val="nil"/>
              <w:bottom w:val="single" w:color="auto" w:sz="6" w:space="0"/>
              <w:right w:val="single" w:color="auto" w:sz="6" w:space="0"/>
            </w:tcBorders>
          </w:tcPr>
          <w:p w14:paraId="31EAD844">
            <w:pPr>
              <w:rPr>
                <w:rFonts w:ascii="宋体" w:cs="宋体"/>
                <w:color w:val="auto"/>
                <w:sz w:val="24"/>
                <w:highlight w:val="none"/>
              </w:rPr>
            </w:pPr>
          </w:p>
        </w:tc>
        <w:tc>
          <w:tcPr>
            <w:tcW w:w="1163" w:type="dxa"/>
            <w:tcBorders>
              <w:top w:val="single" w:color="auto" w:sz="6" w:space="0"/>
              <w:left w:val="nil"/>
              <w:bottom w:val="single" w:color="auto" w:sz="6" w:space="0"/>
              <w:right w:val="single" w:color="auto" w:sz="6" w:space="0"/>
            </w:tcBorders>
          </w:tcPr>
          <w:p w14:paraId="0A820953">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5D8D8423">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24139196">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1BBD6A5C">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08968DC6">
            <w:pPr>
              <w:rPr>
                <w:rFonts w:ascii="宋体" w:cs="宋体"/>
                <w:color w:val="auto"/>
                <w:sz w:val="24"/>
                <w:highlight w:val="none"/>
              </w:rPr>
            </w:pPr>
          </w:p>
        </w:tc>
        <w:tc>
          <w:tcPr>
            <w:tcW w:w="1340" w:type="dxa"/>
            <w:tcBorders>
              <w:top w:val="single" w:color="auto" w:sz="6" w:space="0"/>
              <w:left w:val="nil"/>
              <w:bottom w:val="single" w:color="auto" w:sz="6" w:space="0"/>
              <w:right w:val="single" w:color="auto" w:sz="6" w:space="0"/>
            </w:tcBorders>
          </w:tcPr>
          <w:p w14:paraId="10F5693A">
            <w:pPr>
              <w:rPr>
                <w:rFonts w:ascii="宋体" w:cs="宋体"/>
                <w:color w:val="auto"/>
                <w:sz w:val="24"/>
                <w:highlight w:val="none"/>
              </w:rPr>
            </w:pPr>
          </w:p>
        </w:tc>
      </w:tr>
      <w:tr w14:paraId="3D2E6D70">
        <w:tblPrEx>
          <w:tblCellMar>
            <w:top w:w="0" w:type="dxa"/>
            <w:left w:w="108" w:type="dxa"/>
            <w:bottom w:w="0" w:type="dxa"/>
            <w:right w:w="108" w:type="dxa"/>
          </w:tblCellMar>
        </w:tblPrEx>
        <w:trPr>
          <w:trHeight w:val="567" w:hRule="atLeast"/>
        </w:trPr>
        <w:tc>
          <w:tcPr>
            <w:tcW w:w="709" w:type="dxa"/>
            <w:tcBorders>
              <w:top w:val="single" w:color="auto" w:sz="6" w:space="0"/>
              <w:left w:val="single" w:color="auto" w:sz="6" w:space="0"/>
              <w:bottom w:val="single" w:color="auto" w:sz="6" w:space="0"/>
              <w:right w:val="single" w:color="auto" w:sz="6" w:space="0"/>
            </w:tcBorders>
            <w:vAlign w:val="center"/>
          </w:tcPr>
          <w:p w14:paraId="39E6F249">
            <w:pPr>
              <w:jc w:val="center"/>
              <w:rPr>
                <w:rFonts w:ascii="宋体" w:hAnsi="宋体" w:cs="宋体"/>
                <w:color w:val="auto"/>
                <w:sz w:val="24"/>
                <w:highlight w:val="none"/>
              </w:rPr>
            </w:pPr>
            <w:r>
              <w:rPr>
                <w:rFonts w:ascii="宋体" w:hAnsi="宋体" w:cs="宋体"/>
                <w:color w:val="auto"/>
                <w:sz w:val="24"/>
                <w:highlight w:val="none"/>
              </w:rPr>
              <w:t>6</w:t>
            </w:r>
          </w:p>
        </w:tc>
        <w:tc>
          <w:tcPr>
            <w:tcW w:w="1488" w:type="dxa"/>
            <w:tcBorders>
              <w:top w:val="single" w:color="auto" w:sz="6" w:space="0"/>
              <w:left w:val="nil"/>
              <w:bottom w:val="single" w:color="auto" w:sz="6" w:space="0"/>
              <w:right w:val="single" w:color="auto" w:sz="6" w:space="0"/>
            </w:tcBorders>
          </w:tcPr>
          <w:p w14:paraId="64F75C86">
            <w:pPr>
              <w:rPr>
                <w:rFonts w:ascii="宋体" w:cs="宋体"/>
                <w:color w:val="auto"/>
                <w:sz w:val="24"/>
                <w:highlight w:val="none"/>
              </w:rPr>
            </w:pPr>
          </w:p>
        </w:tc>
        <w:tc>
          <w:tcPr>
            <w:tcW w:w="1163" w:type="dxa"/>
            <w:tcBorders>
              <w:top w:val="single" w:color="auto" w:sz="6" w:space="0"/>
              <w:left w:val="nil"/>
              <w:bottom w:val="single" w:color="auto" w:sz="6" w:space="0"/>
              <w:right w:val="single" w:color="auto" w:sz="6" w:space="0"/>
            </w:tcBorders>
          </w:tcPr>
          <w:p w14:paraId="17030967">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5B7AEC3F">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0C0562E8">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105CC9D0">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1CBA402E">
            <w:pPr>
              <w:rPr>
                <w:rFonts w:ascii="宋体" w:cs="宋体"/>
                <w:color w:val="auto"/>
                <w:sz w:val="24"/>
                <w:highlight w:val="none"/>
              </w:rPr>
            </w:pPr>
          </w:p>
        </w:tc>
        <w:tc>
          <w:tcPr>
            <w:tcW w:w="1340" w:type="dxa"/>
            <w:tcBorders>
              <w:top w:val="single" w:color="auto" w:sz="6" w:space="0"/>
              <w:left w:val="nil"/>
              <w:bottom w:val="single" w:color="auto" w:sz="6" w:space="0"/>
              <w:right w:val="single" w:color="auto" w:sz="6" w:space="0"/>
            </w:tcBorders>
          </w:tcPr>
          <w:p w14:paraId="18779210">
            <w:pPr>
              <w:rPr>
                <w:rFonts w:ascii="宋体" w:cs="宋体"/>
                <w:color w:val="auto"/>
                <w:sz w:val="24"/>
                <w:highlight w:val="none"/>
              </w:rPr>
            </w:pPr>
          </w:p>
        </w:tc>
      </w:tr>
      <w:tr w14:paraId="2819D720">
        <w:tblPrEx>
          <w:tblCellMar>
            <w:top w:w="0" w:type="dxa"/>
            <w:left w:w="108" w:type="dxa"/>
            <w:bottom w:w="0" w:type="dxa"/>
            <w:right w:w="108" w:type="dxa"/>
          </w:tblCellMar>
        </w:tblPrEx>
        <w:trPr>
          <w:trHeight w:val="567" w:hRule="atLeast"/>
        </w:trPr>
        <w:tc>
          <w:tcPr>
            <w:tcW w:w="709" w:type="dxa"/>
            <w:tcBorders>
              <w:top w:val="single" w:color="auto" w:sz="6" w:space="0"/>
              <w:left w:val="single" w:color="auto" w:sz="6" w:space="0"/>
              <w:bottom w:val="single" w:color="auto" w:sz="6" w:space="0"/>
              <w:right w:val="single" w:color="auto" w:sz="6" w:space="0"/>
            </w:tcBorders>
            <w:vAlign w:val="center"/>
          </w:tcPr>
          <w:p w14:paraId="24409BFE">
            <w:pPr>
              <w:jc w:val="center"/>
              <w:rPr>
                <w:rFonts w:ascii="宋体" w:hAnsi="宋体" w:cs="宋体"/>
                <w:color w:val="auto"/>
                <w:sz w:val="24"/>
                <w:highlight w:val="none"/>
              </w:rPr>
            </w:pPr>
            <w:r>
              <w:rPr>
                <w:rFonts w:ascii="宋体" w:hAnsi="宋体" w:cs="宋体"/>
                <w:color w:val="auto"/>
                <w:sz w:val="24"/>
                <w:highlight w:val="none"/>
              </w:rPr>
              <w:t>7</w:t>
            </w:r>
          </w:p>
        </w:tc>
        <w:tc>
          <w:tcPr>
            <w:tcW w:w="1488" w:type="dxa"/>
            <w:tcBorders>
              <w:top w:val="single" w:color="auto" w:sz="6" w:space="0"/>
              <w:left w:val="nil"/>
              <w:bottom w:val="single" w:color="auto" w:sz="6" w:space="0"/>
              <w:right w:val="single" w:color="auto" w:sz="6" w:space="0"/>
            </w:tcBorders>
          </w:tcPr>
          <w:p w14:paraId="31401DF6">
            <w:pPr>
              <w:rPr>
                <w:rFonts w:ascii="宋体" w:cs="宋体"/>
                <w:color w:val="auto"/>
                <w:sz w:val="24"/>
                <w:highlight w:val="none"/>
              </w:rPr>
            </w:pPr>
          </w:p>
        </w:tc>
        <w:tc>
          <w:tcPr>
            <w:tcW w:w="1163" w:type="dxa"/>
            <w:tcBorders>
              <w:top w:val="single" w:color="auto" w:sz="6" w:space="0"/>
              <w:left w:val="nil"/>
              <w:bottom w:val="single" w:color="auto" w:sz="6" w:space="0"/>
              <w:right w:val="single" w:color="auto" w:sz="6" w:space="0"/>
            </w:tcBorders>
          </w:tcPr>
          <w:p w14:paraId="2DCD9A0E">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40A77422">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28C6AED0">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71B5248F">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06A77C64">
            <w:pPr>
              <w:rPr>
                <w:rFonts w:ascii="宋体" w:cs="宋体"/>
                <w:color w:val="auto"/>
                <w:sz w:val="24"/>
                <w:highlight w:val="none"/>
              </w:rPr>
            </w:pPr>
          </w:p>
        </w:tc>
        <w:tc>
          <w:tcPr>
            <w:tcW w:w="1340" w:type="dxa"/>
            <w:tcBorders>
              <w:top w:val="single" w:color="auto" w:sz="6" w:space="0"/>
              <w:left w:val="nil"/>
              <w:bottom w:val="single" w:color="auto" w:sz="6" w:space="0"/>
              <w:right w:val="single" w:color="auto" w:sz="6" w:space="0"/>
            </w:tcBorders>
          </w:tcPr>
          <w:p w14:paraId="6C56ADBC">
            <w:pPr>
              <w:rPr>
                <w:rFonts w:ascii="宋体" w:cs="宋体"/>
                <w:color w:val="auto"/>
                <w:sz w:val="24"/>
                <w:highlight w:val="none"/>
              </w:rPr>
            </w:pPr>
          </w:p>
        </w:tc>
      </w:tr>
      <w:tr w14:paraId="0DB45655">
        <w:tblPrEx>
          <w:tblCellMar>
            <w:top w:w="0" w:type="dxa"/>
            <w:left w:w="108" w:type="dxa"/>
            <w:bottom w:w="0" w:type="dxa"/>
            <w:right w:w="108" w:type="dxa"/>
          </w:tblCellMar>
        </w:tblPrEx>
        <w:trPr>
          <w:trHeight w:val="567" w:hRule="atLeast"/>
        </w:trPr>
        <w:tc>
          <w:tcPr>
            <w:tcW w:w="709" w:type="dxa"/>
            <w:tcBorders>
              <w:top w:val="single" w:color="auto" w:sz="6" w:space="0"/>
              <w:left w:val="single" w:color="auto" w:sz="6" w:space="0"/>
              <w:bottom w:val="single" w:color="auto" w:sz="6" w:space="0"/>
              <w:right w:val="single" w:color="auto" w:sz="6" w:space="0"/>
            </w:tcBorders>
            <w:vAlign w:val="center"/>
          </w:tcPr>
          <w:p w14:paraId="4C763FA9">
            <w:pPr>
              <w:jc w:val="center"/>
              <w:rPr>
                <w:rFonts w:ascii="宋体" w:hAnsi="宋体" w:cs="宋体"/>
                <w:color w:val="auto"/>
                <w:sz w:val="24"/>
                <w:highlight w:val="none"/>
              </w:rPr>
            </w:pPr>
            <w:r>
              <w:rPr>
                <w:rFonts w:ascii="宋体" w:hAnsi="宋体" w:cs="宋体"/>
                <w:color w:val="auto"/>
                <w:sz w:val="24"/>
                <w:highlight w:val="none"/>
              </w:rPr>
              <w:t>8</w:t>
            </w:r>
          </w:p>
        </w:tc>
        <w:tc>
          <w:tcPr>
            <w:tcW w:w="1488" w:type="dxa"/>
            <w:tcBorders>
              <w:top w:val="single" w:color="auto" w:sz="6" w:space="0"/>
              <w:left w:val="nil"/>
              <w:bottom w:val="single" w:color="auto" w:sz="6" w:space="0"/>
              <w:right w:val="single" w:color="auto" w:sz="6" w:space="0"/>
            </w:tcBorders>
          </w:tcPr>
          <w:p w14:paraId="7680F5C8">
            <w:pPr>
              <w:rPr>
                <w:rFonts w:ascii="宋体" w:cs="宋体"/>
                <w:color w:val="auto"/>
                <w:sz w:val="24"/>
                <w:highlight w:val="none"/>
              </w:rPr>
            </w:pPr>
          </w:p>
        </w:tc>
        <w:tc>
          <w:tcPr>
            <w:tcW w:w="1163" w:type="dxa"/>
            <w:tcBorders>
              <w:top w:val="single" w:color="auto" w:sz="6" w:space="0"/>
              <w:left w:val="nil"/>
              <w:bottom w:val="single" w:color="auto" w:sz="6" w:space="0"/>
              <w:right w:val="single" w:color="auto" w:sz="6" w:space="0"/>
            </w:tcBorders>
          </w:tcPr>
          <w:p w14:paraId="18FCC912">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48268F10">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001CFADB">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56F24229">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790880F7">
            <w:pPr>
              <w:rPr>
                <w:rFonts w:ascii="宋体" w:cs="宋体"/>
                <w:color w:val="auto"/>
                <w:sz w:val="24"/>
                <w:highlight w:val="none"/>
              </w:rPr>
            </w:pPr>
          </w:p>
        </w:tc>
        <w:tc>
          <w:tcPr>
            <w:tcW w:w="1340" w:type="dxa"/>
            <w:tcBorders>
              <w:top w:val="single" w:color="auto" w:sz="6" w:space="0"/>
              <w:left w:val="nil"/>
              <w:bottom w:val="single" w:color="auto" w:sz="6" w:space="0"/>
              <w:right w:val="single" w:color="auto" w:sz="6" w:space="0"/>
            </w:tcBorders>
          </w:tcPr>
          <w:p w14:paraId="73325BA6">
            <w:pPr>
              <w:rPr>
                <w:rFonts w:ascii="宋体" w:cs="宋体"/>
                <w:color w:val="auto"/>
                <w:sz w:val="24"/>
                <w:highlight w:val="none"/>
              </w:rPr>
            </w:pPr>
          </w:p>
        </w:tc>
      </w:tr>
      <w:tr w14:paraId="463A0730">
        <w:tblPrEx>
          <w:tblCellMar>
            <w:top w:w="0" w:type="dxa"/>
            <w:left w:w="108" w:type="dxa"/>
            <w:bottom w:w="0" w:type="dxa"/>
            <w:right w:w="108" w:type="dxa"/>
          </w:tblCellMar>
        </w:tblPrEx>
        <w:trPr>
          <w:trHeight w:val="567" w:hRule="atLeast"/>
        </w:trPr>
        <w:tc>
          <w:tcPr>
            <w:tcW w:w="709" w:type="dxa"/>
            <w:tcBorders>
              <w:top w:val="single" w:color="auto" w:sz="6" w:space="0"/>
              <w:left w:val="single" w:color="auto" w:sz="6" w:space="0"/>
              <w:bottom w:val="single" w:color="auto" w:sz="6" w:space="0"/>
              <w:right w:val="single" w:color="auto" w:sz="6" w:space="0"/>
            </w:tcBorders>
            <w:vAlign w:val="center"/>
          </w:tcPr>
          <w:p w14:paraId="68A2A061">
            <w:pPr>
              <w:jc w:val="center"/>
              <w:rPr>
                <w:rFonts w:ascii="宋体" w:hAnsi="宋体" w:cs="宋体"/>
                <w:color w:val="auto"/>
                <w:sz w:val="24"/>
                <w:highlight w:val="none"/>
              </w:rPr>
            </w:pPr>
            <w:r>
              <w:rPr>
                <w:rFonts w:ascii="宋体" w:hAnsi="宋体" w:cs="宋体"/>
                <w:color w:val="auto"/>
                <w:sz w:val="24"/>
                <w:highlight w:val="none"/>
              </w:rPr>
              <w:t>9</w:t>
            </w:r>
          </w:p>
        </w:tc>
        <w:tc>
          <w:tcPr>
            <w:tcW w:w="1488" w:type="dxa"/>
            <w:tcBorders>
              <w:top w:val="single" w:color="auto" w:sz="6" w:space="0"/>
              <w:left w:val="nil"/>
              <w:bottom w:val="single" w:color="auto" w:sz="6" w:space="0"/>
              <w:right w:val="single" w:color="auto" w:sz="6" w:space="0"/>
            </w:tcBorders>
          </w:tcPr>
          <w:p w14:paraId="2E8219BA">
            <w:pPr>
              <w:rPr>
                <w:rFonts w:ascii="宋体" w:cs="宋体"/>
                <w:color w:val="auto"/>
                <w:sz w:val="24"/>
                <w:highlight w:val="none"/>
              </w:rPr>
            </w:pPr>
          </w:p>
        </w:tc>
        <w:tc>
          <w:tcPr>
            <w:tcW w:w="1163" w:type="dxa"/>
            <w:tcBorders>
              <w:top w:val="single" w:color="auto" w:sz="6" w:space="0"/>
              <w:left w:val="nil"/>
              <w:bottom w:val="single" w:color="auto" w:sz="6" w:space="0"/>
              <w:right w:val="single" w:color="auto" w:sz="6" w:space="0"/>
            </w:tcBorders>
          </w:tcPr>
          <w:p w14:paraId="53D2A275">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793B1227">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230006DB">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6B44E9EA">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60C366B9">
            <w:pPr>
              <w:rPr>
                <w:rFonts w:ascii="宋体" w:cs="宋体"/>
                <w:color w:val="auto"/>
                <w:sz w:val="24"/>
                <w:highlight w:val="none"/>
              </w:rPr>
            </w:pPr>
          </w:p>
        </w:tc>
        <w:tc>
          <w:tcPr>
            <w:tcW w:w="1340" w:type="dxa"/>
            <w:tcBorders>
              <w:top w:val="single" w:color="auto" w:sz="6" w:space="0"/>
              <w:left w:val="nil"/>
              <w:bottom w:val="single" w:color="auto" w:sz="6" w:space="0"/>
              <w:right w:val="single" w:color="auto" w:sz="6" w:space="0"/>
            </w:tcBorders>
          </w:tcPr>
          <w:p w14:paraId="26AE8560">
            <w:pPr>
              <w:rPr>
                <w:rFonts w:ascii="宋体" w:cs="宋体"/>
                <w:color w:val="auto"/>
                <w:sz w:val="24"/>
                <w:highlight w:val="none"/>
              </w:rPr>
            </w:pPr>
          </w:p>
        </w:tc>
      </w:tr>
      <w:tr w14:paraId="66D85A50">
        <w:tblPrEx>
          <w:tblCellMar>
            <w:top w:w="0" w:type="dxa"/>
            <w:left w:w="108" w:type="dxa"/>
            <w:bottom w:w="0" w:type="dxa"/>
            <w:right w:w="108" w:type="dxa"/>
          </w:tblCellMar>
        </w:tblPrEx>
        <w:trPr>
          <w:trHeight w:val="567" w:hRule="atLeast"/>
        </w:trPr>
        <w:tc>
          <w:tcPr>
            <w:tcW w:w="709" w:type="dxa"/>
            <w:tcBorders>
              <w:top w:val="single" w:color="auto" w:sz="6" w:space="0"/>
              <w:left w:val="single" w:color="auto" w:sz="6" w:space="0"/>
              <w:bottom w:val="single" w:color="auto" w:sz="6" w:space="0"/>
              <w:right w:val="single" w:color="auto" w:sz="6" w:space="0"/>
            </w:tcBorders>
            <w:vAlign w:val="center"/>
          </w:tcPr>
          <w:p w14:paraId="0090C95C">
            <w:pPr>
              <w:jc w:val="center"/>
              <w:rPr>
                <w:rFonts w:ascii="宋体" w:hAnsi="宋体" w:cs="宋体"/>
                <w:color w:val="auto"/>
                <w:sz w:val="24"/>
                <w:highlight w:val="none"/>
              </w:rPr>
            </w:pPr>
            <w:r>
              <w:rPr>
                <w:rFonts w:ascii="宋体" w:hAnsi="宋体" w:cs="宋体"/>
                <w:color w:val="auto"/>
                <w:sz w:val="24"/>
                <w:highlight w:val="none"/>
              </w:rPr>
              <w:t>10</w:t>
            </w:r>
          </w:p>
        </w:tc>
        <w:tc>
          <w:tcPr>
            <w:tcW w:w="1488" w:type="dxa"/>
            <w:tcBorders>
              <w:top w:val="single" w:color="auto" w:sz="6" w:space="0"/>
              <w:left w:val="nil"/>
              <w:bottom w:val="single" w:color="auto" w:sz="6" w:space="0"/>
              <w:right w:val="single" w:color="auto" w:sz="6" w:space="0"/>
            </w:tcBorders>
          </w:tcPr>
          <w:p w14:paraId="2350DC4B">
            <w:pPr>
              <w:rPr>
                <w:rFonts w:ascii="宋体" w:cs="宋体"/>
                <w:color w:val="auto"/>
                <w:sz w:val="24"/>
                <w:highlight w:val="none"/>
              </w:rPr>
            </w:pPr>
          </w:p>
        </w:tc>
        <w:tc>
          <w:tcPr>
            <w:tcW w:w="1163" w:type="dxa"/>
            <w:tcBorders>
              <w:top w:val="single" w:color="auto" w:sz="6" w:space="0"/>
              <w:left w:val="nil"/>
              <w:bottom w:val="single" w:color="auto" w:sz="6" w:space="0"/>
              <w:right w:val="single" w:color="auto" w:sz="6" w:space="0"/>
            </w:tcBorders>
          </w:tcPr>
          <w:p w14:paraId="597FC23F">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6159EB8F">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1226A4C6">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1A45ABA9">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16CBAB95">
            <w:pPr>
              <w:rPr>
                <w:rFonts w:ascii="宋体" w:cs="宋体"/>
                <w:color w:val="auto"/>
                <w:sz w:val="24"/>
                <w:highlight w:val="none"/>
              </w:rPr>
            </w:pPr>
          </w:p>
        </w:tc>
        <w:tc>
          <w:tcPr>
            <w:tcW w:w="1340" w:type="dxa"/>
            <w:tcBorders>
              <w:top w:val="single" w:color="auto" w:sz="6" w:space="0"/>
              <w:left w:val="nil"/>
              <w:bottom w:val="single" w:color="auto" w:sz="6" w:space="0"/>
              <w:right w:val="single" w:color="auto" w:sz="6" w:space="0"/>
            </w:tcBorders>
          </w:tcPr>
          <w:p w14:paraId="66200C79">
            <w:pPr>
              <w:rPr>
                <w:rFonts w:ascii="宋体" w:cs="宋体"/>
                <w:color w:val="auto"/>
                <w:sz w:val="24"/>
                <w:highlight w:val="none"/>
              </w:rPr>
            </w:pPr>
          </w:p>
        </w:tc>
      </w:tr>
      <w:tr w14:paraId="4E6DDED9">
        <w:tblPrEx>
          <w:tblCellMar>
            <w:top w:w="0" w:type="dxa"/>
            <w:left w:w="108" w:type="dxa"/>
            <w:bottom w:w="0" w:type="dxa"/>
            <w:right w:w="108" w:type="dxa"/>
          </w:tblCellMar>
        </w:tblPrEx>
        <w:trPr>
          <w:trHeight w:val="567" w:hRule="atLeast"/>
        </w:trPr>
        <w:tc>
          <w:tcPr>
            <w:tcW w:w="709" w:type="dxa"/>
            <w:tcBorders>
              <w:top w:val="single" w:color="auto" w:sz="6" w:space="0"/>
              <w:left w:val="single" w:color="auto" w:sz="6" w:space="0"/>
              <w:bottom w:val="single" w:color="auto" w:sz="6" w:space="0"/>
              <w:right w:val="single" w:color="auto" w:sz="6" w:space="0"/>
            </w:tcBorders>
            <w:vAlign w:val="center"/>
          </w:tcPr>
          <w:p w14:paraId="085436B7">
            <w:pPr>
              <w:jc w:val="center"/>
              <w:rPr>
                <w:rFonts w:ascii="宋体" w:cs="宋体"/>
                <w:color w:val="auto"/>
                <w:sz w:val="24"/>
                <w:highlight w:val="none"/>
              </w:rPr>
            </w:pPr>
            <w:r>
              <w:rPr>
                <w:rFonts w:hint="eastAsia" w:ascii="宋体" w:hAnsi="宋体"/>
                <w:color w:val="auto"/>
                <w:sz w:val="24"/>
                <w:highlight w:val="none"/>
              </w:rPr>
              <w:t>……</w:t>
            </w:r>
          </w:p>
        </w:tc>
        <w:tc>
          <w:tcPr>
            <w:tcW w:w="1488" w:type="dxa"/>
            <w:tcBorders>
              <w:top w:val="single" w:color="auto" w:sz="6" w:space="0"/>
              <w:left w:val="nil"/>
              <w:bottom w:val="single" w:color="auto" w:sz="6" w:space="0"/>
              <w:right w:val="single" w:color="auto" w:sz="6" w:space="0"/>
            </w:tcBorders>
          </w:tcPr>
          <w:p w14:paraId="3D9617DC">
            <w:pPr>
              <w:rPr>
                <w:rFonts w:ascii="宋体" w:cs="宋体"/>
                <w:color w:val="auto"/>
                <w:sz w:val="24"/>
                <w:highlight w:val="none"/>
              </w:rPr>
            </w:pPr>
          </w:p>
        </w:tc>
        <w:tc>
          <w:tcPr>
            <w:tcW w:w="1163" w:type="dxa"/>
            <w:tcBorders>
              <w:top w:val="single" w:color="auto" w:sz="6" w:space="0"/>
              <w:left w:val="nil"/>
              <w:bottom w:val="single" w:color="auto" w:sz="6" w:space="0"/>
              <w:right w:val="single" w:color="auto" w:sz="6" w:space="0"/>
            </w:tcBorders>
          </w:tcPr>
          <w:p w14:paraId="3A3F7C67">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099E409D">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758FC97A">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27D3CCB0">
            <w:pPr>
              <w:rPr>
                <w:rFonts w:ascii="宋体" w:cs="宋体"/>
                <w:color w:val="auto"/>
                <w:sz w:val="24"/>
                <w:highlight w:val="none"/>
              </w:rPr>
            </w:pPr>
          </w:p>
        </w:tc>
        <w:tc>
          <w:tcPr>
            <w:tcW w:w="1164" w:type="dxa"/>
            <w:tcBorders>
              <w:top w:val="single" w:color="auto" w:sz="6" w:space="0"/>
              <w:left w:val="nil"/>
              <w:bottom w:val="single" w:color="auto" w:sz="6" w:space="0"/>
              <w:right w:val="single" w:color="auto" w:sz="6" w:space="0"/>
            </w:tcBorders>
          </w:tcPr>
          <w:p w14:paraId="3C6CF3EF">
            <w:pPr>
              <w:rPr>
                <w:rFonts w:ascii="宋体" w:cs="宋体"/>
                <w:color w:val="auto"/>
                <w:sz w:val="24"/>
                <w:highlight w:val="none"/>
              </w:rPr>
            </w:pPr>
          </w:p>
        </w:tc>
        <w:tc>
          <w:tcPr>
            <w:tcW w:w="1340" w:type="dxa"/>
            <w:tcBorders>
              <w:top w:val="single" w:color="auto" w:sz="6" w:space="0"/>
              <w:left w:val="nil"/>
              <w:bottom w:val="single" w:color="auto" w:sz="6" w:space="0"/>
              <w:right w:val="single" w:color="auto" w:sz="6" w:space="0"/>
            </w:tcBorders>
          </w:tcPr>
          <w:p w14:paraId="33296ED8">
            <w:pPr>
              <w:rPr>
                <w:rFonts w:ascii="宋体" w:cs="宋体"/>
                <w:color w:val="auto"/>
                <w:sz w:val="24"/>
                <w:highlight w:val="none"/>
              </w:rPr>
            </w:pPr>
          </w:p>
        </w:tc>
      </w:tr>
    </w:tbl>
    <w:p w14:paraId="37251A74">
      <w:pPr>
        <w:spacing w:line="360" w:lineRule="auto"/>
        <w:rPr>
          <w:rFonts w:hAnsi="宋体"/>
          <w:b/>
          <w:bCs/>
          <w:color w:val="auto"/>
          <w:kern w:val="0"/>
          <w:sz w:val="21"/>
          <w:szCs w:val="21"/>
          <w:highlight w:val="none"/>
        </w:rPr>
      </w:pPr>
      <w:r>
        <w:rPr>
          <w:rFonts w:hint="eastAsia" w:ascii="宋体" w:hAnsi="宋体" w:cs="宋体"/>
          <w:color w:val="auto"/>
          <w:sz w:val="21"/>
          <w:szCs w:val="21"/>
          <w:highlight w:val="none"/>
        </w:rPr>
        <w:t>注：</w:t>
      </w:r>
      <w:r>
        <w:rPr>
          <w:rFonts w:hAnsi="宋体"/>
          <w:bCs/>
          <w:color w:val="auto"/>
          <w:kern w:val="0"/>
          <w:sz w:val="21"/>
          <w:szCs w:val="21"/>
          <w:highlight w:val="none"/>
        </w:rPr>
        <w:t>1.</w:t>
      </w:r>
      <w:r>
        <w:rPr>
          <w:rFonts w:hint="eastAsia" w:hAnsi="宋体"/>
          <w:bCs/>
          <w:color w:val="auto"/>
          <w:kern w:val="0"/>
          <w:sz w:val="21"/>
          <w:szCs w:val="21"/>
          <w:highlight w:val="none"/>
        </w:rPr>
        <w:t>表中拟派岗位人员请参照“第四部分</w:t>
      </w:r>
      <w:r>
        <w:rPr>
          <w:rFonts w:hint="eastAsia" w:hAnsi="宋体" w:eastAsia="宋体"/>
          <w:bCs/>
          <w:color w:val="auto"/>
          <w:kern w:val="0"/>
          <w:sz w:val="21"/>
          <w:szCs w:val="21"/>
          <w:highlight w:val="none"/>
        </w:rPr>
        <w:t>”</w:t>
      </w:r>
      <w:r>
        <w:rPr>
          <w:rFonts w:hint="eastAsia" w:hAnsi="宋体"/>
          <w:bCs/>
          <w:color w:val="auto"/>
          <w:kern w:val="0"/>
          <w:sz w:val="21"/>
          <w:szCs w:val="21"/>
          <w:highlight w:val="none"/>
        </w:rPr>
        <w:t>评标办法及评分标准”中拟派人员要求填写，并附上相关人员的资格证书、社保证明等影响资格评审或评分的材料。</w:t>
      </w:r>
    </w:p>
    <w:p w14:paraId="2B5E2F78">
      <w:pPr>
        <w:pStyle w:val="15"/>
        <w:spacing w:line="360" w:lineRule="auto"/>
        <w:rPr>
          <w:rFonts w:hAnsi="宋体"/>
          <w:b/>
          <w:bCs/>
          <w:color w:val="auto"/>
          <w:kern w:val="0"/>
          <w:szCs w:val="21"/>
          <w:highlight w:val="none"/>
        </w:rPr>
      </w:pPr>
      <w:r>
        <w:rPr>
          <w:rFonts w:hAnsi="宋体"/>
          <w:bCs/>
          <w:color w:val="auto"/>
          <w:kern w:val="0"/>
          <w:szCs w:val="21"/>
          <w:highlight w:val="none"/>
        </w:rPr>
        <w:t xml:space="preserve">    2.</w:t>
      </w:r>
      <w:r>
        <w:rPr>
          <w:rFonts w:hint="eastAsia" w:hAnsi="宋体"/>
          <w:bCs/>
          <w:color w:val="auto"/>
          <w:kern w:val="0"/>
          <w:szCs w:val="21"/>
          <w:highlight w:val="none"/>
        </w:rPr>
        <w:t>供应商可根据自身情况调整表格。</w:t>
      </w:r>
    </w:p>
    <w:p w14:paraId="2EF9BDA8">
      <w:pPr>
        <w:pStyle w:val="15"/>
        <w:spacing w:line="360" w:lineRule="auto"/>
        <w:rPr>
          <w:rFonts w:hAnsi="宋体"/>
          <w:b/>
          <w:bCs/>
          <w:color w:val="auto"/>
          <w:kern w:val="0"/>
          <w:szCs w:val="21"/>
          <w:highlight w:val="none"/>
        </w:rPr>
      </w:pPr>
    </w:p>
    <w:p w14:paraId="39B0B4A0">
      <w:pPr>
        <w:spacing w:line="360" w:lineRule="auto"/>
        <w:ind w:firstLine="4320" w:firstLineChars="1800"/>
        <w:rPr>
          <w:rFonts w:ascii="宋体" w:cs="宋体"/>
          <w:color w:val="auto"/>
          <w:sz w:val="21"/>
          <w:szCs w:val="21"/>
          <w:highlight w:val="none"/>
          <w:lang w:val="zh-CN"/>
        </w:rPr>
      </w:pPr>
      <w:r>
        <w:rPr>
          <w:rFonts w:ascii="宋体" w:hAnsi="宋体" w:cs="宋体"/>
          <w:color w:val="auto"/>
          <w:sz w:val="24"/>
          <w:highlight w:val="none"/>
        </w:rPr>
        <w:t xml:space="preserve">     </w:t>
      </w:r>
      <w:r>
        <w:rPr>
          <w:rFonts w:hint="eastAsia" w:ascii="宋体" w:hAnsi="宋体" w:cs="宋体"/>
          <w:color w:val="auto"/>
          <w:sz w:val="21"/>
          <w:szCs w:val="21"/>
          <w:highlight w:val="none"/>
        </w:rPr>
        <w:t>磋商人名称</w:t>
      </w:r>
      <w:r>
        <w:rPr>
          <w:rFonts w:hint="eastAsia" w:ascii="宋体" w:hAnsi="宋体" w:cs="宋体"/>
          <w:color w:val="auto"/>
          <w:sz w:val="21"/>
          <w:szCs w:val="21"/>
          <w:highlight w:val="none"/>
          <w:lang w:val="zh-CN"/>
        </w:rPr>
        <w:t>（盖单位章）：</w:t>
      </w:r>
    </w:p>
    <w:p w14:paraId="6D668597">
      <w:pPr>
        <w:pStyle w:val="5"/>
        <w:spacing w:before="240" w:beforeLines="100" w:line="360" w:lineRule="auto"/>
        <w:rPr>
          <w:rFonts w:ascii="宋体" w:hAnsi="宋体" w:eastAsia="宋体"/>
          <w:bCs w:val="0"/>
          <w:color w:val="auto"/>
          <w:highlight w:val="none"/>
          <w:lang w:val="zh-CN"/>
        </w:rPr>
      </w:pPr>
      <w:r>
        <w:rPr>
          <w:rFonts w:ascii="宋体" w:hAnsi="宋体" w:eastAsia="宋体" w:cs="宋体"/>
          <w:color w:val="auto"/>
          <w:sz w:val="21"/>
          <w:szCs w:val="21"/>
          <w:highlight w:val="none"/>
          <w:lang w:val="zh-CN"/>
        </w:rPr>
        <w:t xml:space="preserve">                                          </w:t>
      </w:r>
      <w:r>
        <w:rPr>
          <w:rFonts w:ascii="宋体" w:hAnsi="宋体" w:eastAsia="宋体" w:cs="宋体"/>
          <w:color w:val="auto"/>
          <w:sz w:val="21"/>
          <w:szCs w:val="21"/>
          <w:highlight w:val="none"/>
        </w:rPr>
        <w:t xml:space="preserve">   </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日</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期：</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年</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月</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日</w:t>
      </w:r>
    </w:p>
    <w:p w14:paraId="22FC91CE">
      <w:pPr>
        <w:spacing w:line="450" w:lineRule="atLeast"/>
        <w:rPr>
          <w:rFonts w:ascii="宋体" w:cs="宋体"/>
          <w:b/>
          <w:color w:val="auto"/>
          <w:sz w:val="21"/>
          <w:szCs w:val="21"/>
          <w:highlight w:val="none"/>
        </w:rPr>
      </w:pPr>
    </w:p>
    <w:p w14:paraId="662862F3">
      <w:pPr>
        <w:tabs>
          <w:tab w:val="left" w:pos="720"/>
        </w:tabs>
        <w:spacing w:line="360" w:lineRule="auto"/>
        <w:outlineLvl w:val="0"/>
        <w:rPr>
          <w:rFonts w:ascii="宋体" w:cs="宋体"/>
          <w:b/>
          <w:color w:val="auto"/>
          <w:sz w:val="24"/>
          <w:highlight w:val="none"/>
        </w:rPr>
      </w:pPr>
    </w:p>
    <w:p w14:paraId="0F62D99C">
      <w:pPr>
        <w:pStyle w:val="15"/>
        <w:spacing w:line="360" w:lineRule="auto"/>
        <w:ind w:firstLine="118" w:firstLineChars="49"/>
        <w:jc w:val="left"/>
        <w:rPr>
          <w:rFonts w:hAnsi="宋体" w:cs="宋体"/>
          <w:b/>
          <w:color w:val="auto"/>
          <w:sz w:val="24"/>
          <w:szCs w:val="24"/>
          <w:highlight w:val="none"/>
        </w:rPr>
      </w:pPr>
    </w:p>
    <w:p w14:paraId="1DC1852D">
      <w:pPr>
        <w:pStyle w:val="15"/>
        <w:spacing w:line="360" w:lineRule="auto"/>
        <w:ind w:firstLine="118" w:firstLineChars="49"/>
        <w:jc w:val="left"/>
        <w:rPr>
          <w:rFonts w:hAnsi="宋体" w:cs="宋体"/>
          <w:b/>
          <w:color w:val="auto"/>
          <w:sz w:val="24"/>
          <w:szCs w:val="24"/>
          <w:highlight w:val="none"/>
        </w:rPr>
      </w:pPr>
    </w:p>
    <w:p w14:paraId="63FC195E">
      <w:pPr>
        <w:pStyle w:val="15"/>
        <w:spacing w:line="360" w:lineRule="auto"/>
        <w:ind w:firstLine="118" w:firstLineChars="49"/>
        <w:jc w:val="left"/>
        <w:rPr>
          <w:rFonts w:hAnsi="宋体" w:cs="宋体"/>
          <w:b/>
          <w:color w:val="auto"/>
          <w:sz w:val="24"/>
          <w:szCs w:val="24"/>
          <w:highlight w:val="none"/>
        </w:rPr>
      </w:pPr>
    </w:p>
    <w:bookmarkEnd w:id="120"/>
    <w:bookmarkEnd w:id="121"/>
    <w:bookmarkEnd w:id="122"/>
    <w:bookmarkEnd w:id="123"/>
    <w:p w14:paraId="1AEBDFEF">
      <w:pPr>
        <w:pStyle w:val="15"/>
        <w:spacing w:line="360" w:lineRule="auto"/>
        <w:jc w:val="left"/>
        <w:rPr>
          <w:rFonts w:hAnsi="宋体" w:cs="宋体"/>
          <w:b/>
          <w:color w:val="auto"/>
          <w:sz w:val="24"/>
          <w:szCs w:val="24"/>
          <w:highlight w:val="none"/>
        </w:rPr>
      </w:pPr>
    </w:p>
    <w:p w14:paraId="48BAD4E9">
      <w:pPr>
        <w:pStyle w:val="15"/>
        <w:spacing w:line="360" w:lineRule="auto"/>
        <w:jc w:val="left"/>
        <w:rPr>
          <w:rFonts w:ascii="Calibri" w:hAnsi="宋体" w:eastAsia="宋体" w:cs="宋体"/>
          <w:b/>
          <w:color w:val="auto"/>
          <w:sz w:val="32"/>
          <w:szCs w:val="32"/>
          <w:highlight w:val="none"/>
        </w:rPr>
      </w:pPr>
      <w:r>
        <w:rPr>
          <w:rFonts w:hint="eastAsia" w:hAnsi="宋体" w:cs="宋体"/>
          <w:b/>
          <w:color w:val="auto"/>
          <w:sz w:val="24"/>
          <w:szCs w:val="24"/>
          <w:highlight w:val="none"/>
        </w:rPr>
        <w:t>附表</w:t>
      </w:r>
      <w:r>
        <w:rPr>
          <w:rFonts w:hint="eastAsia" w:hAnsi="宋体" w:eastAsia="宋体" w:cs="宋体"/>
          <w:b/>
          <w:color w:val="auto"/>
          <w:sz w:val="24"/>
          <w:szCs w:val="24"/>
          <w:highlight w:val="none"/>
        </w:rPr>
        <w:t>十一</w:t>
      </w:r>
      <w:r>
        <w:rPr>
          <w:rFonts w:hint="eastAsia" w:hAnsi="宋体" w:cs="宋体"/>
          <w:b/>
          <w:color w:val="auto"/>
          <w:sz w:val="24"/>
          <w:szCs w:val="24"/>
          <w:highlight w:val="none"/>
        </w:rPr>
        <w:t>：</w:t>
      </w:r>
      <w:r>
        <w:rPr>
          <w:rFonts w:hAnsi="宋体" w:eastAsia="宋体" w:cs="宋体"/>
          <w:b/>
          <w:color w:val="auto"/>
          <w:sz w:val="24"/>
          <w:szCs w:val="24"/>
          <w:highlight w:val="none"/>
        </w:rPr>
        <w:t xml:space="preserve">                  </w:t>
      </w:r>
      <w:r>
        <w:rPr>
          <w:rFonts w:hint="eastAsia" w:ascii="Calibri" w:hAnsi="宋体" w:eastAsia="宋体" w:cs="宋体"/>
          <w:b/>
          <w:color w:val="auto"/>
          <w:sz w:val="32"/>
          <w:szCs w:val="32"/>
          <w:highlight w:val="none"/>
        </w:rPr>
        <w:t>项目负责人简历表</w:t>
      </w:r>
    </w:p>
    <w:p w14:paraId="4A5CCFC8">
      <w:pPr>
        <w:pStyle w:val="16"/>
        <w:ind w:left="9000"/>
        <w:rPr>
          <w:color w:val="auto"/>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419"/>
        <w:gridCol w:w="1708"/>
        <w:gridCol w:w="1280"/>
        <w:gridCol w:w="207"/>
        <w:gridCol w:w="1570"/>
        <w:gridCol w:w="1449"/>
        <w:gridCol w:w="286"/>
        <w:gridCol w:w="1162"/>
      </w:tblGrid>
      <w:tr w14:paraId="40B2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048" w:type="dxa"/>
            <w:gridSpan w:val="9"/>
            <w:vAlign w:val="center"/>
          </w:tcPr>
          <w:p w14:paraId="38604A3C">
            <w:pPr>
              <w:spacing w:line="360" w:lineRule="exact"/>
              <w:jc w:val="center"/>
              <w:rPr>
                <w:color w:val="auto"/>
                <w:szCs w:val="21"/>
                <w:highlight w:val="none"/>
              </w:rPr>
            </w:pPr>
            <w:r>
              <w:rPr>
                <w:color w:val="auto"/>
                <w:sz w:val="24"/>
                <w:highlight w:val="none"/>
              </w:rPr>
              <w:t>1</w:t>
            </w:r>
            <w:r>
              <w:rPr>
                <w:rFonts w:hint="eastAsia" w:ascii="宋体" w:hAnsi="宋体" w:cs="宋体"/>
                <w:color w:val="auto"/>
                <w:sz w:val="24"/>
                <w:highlight w:val="none"/>
              </w:rPr>
              <w:t>、一般情况</w:t>
            </w:r>
          </w:p>
        </w:tc>
      </w:tr>
      <w:tr w14:paraId="4281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1386" w:type="dxa"/>
            <w:gridSpan w:val="2"/>
            <w:vAlign w:val="center"/>
          </w:tcPr>
          <w:p w14:paraId="605E17EE">
            <w:pPr>
              <w:spacing w:line="360" w:lineRule="exact"/>
              <w:jc w:val="center"/>
              <w:rPr>
                <w:color w:val="auto"/>
                <w:sz w:val="24"/>
                <w:highlight w:val="none"/>
              </w:rPr>
            </w:pPr>
            <w:r>
              <w:rPr>
                <w:rFonts w:hint="eastAsia" w:ascii="宋体" w:hAnsi="宋体" w:cs="宋体"/>
                <w:color w:val="auto"/>
                <w:sz w:val="24"/>
                <w:highlight w:val="none"/>
              </w:rPr>
              <w:t>姓</w:t>
            </w:r>
            <w:r>
              <w:rPr>
                <w:color w:val="auto"/>
                <w:sz w:val="24"/>
                <w:highlight w:val="none"/>
              </w:rPr>
              <w:t xml:space="preserve">   </w:t>
            </w:r>
            <w:r>
              <w:rPr>
                <w:rFonts w:hint="eastAsia" w:ascii="宋体" w:hAnsi="宋体" w:cs="宋体"/>
                <w:color w:val="auto"/>
                <w:sz w:val="24"/>
                <w:highlight w:val="none"/>
              </w:rPr>
              <w:t>名</w:t>
            </w:r>
          </w:p>
        </w:tc>
        <w:tc>
          <w:tcPr>
            <w:tcW w:w="1708" w:type="dxa"/>
            <w:vAlign w:val="center"/>
          </w:tcPr>
          <w:p w14:paraId="3DC5BBEB">
            <w:pPr>
              <w:spacing w:line="360" w:lineRule="exact"/>
              <w:jc w:val="center"/>
              <w:rPr>
                <w:color w:val="auto"/>
                <w:sz w:val="24"/>
                <w:highlight w:val="none"/>
              </w:rPr>
            </w:pPr>
          </w:p>
        </w:tc>
        <w:tc>
          <w:tcPr>
            <w:tcW w:w="1487" w:type="dxa"/>
            <w:gridSpan w:val="2"/>
            <w:vAlign w:val="center"/>
          </w:tcPr>
          <w:p w14:paraId="36999041">
            <w:pPr>
              <w:spacing w:line="360" w:lineRule="exact"/>
              <w:jc w:val="center"/>
              <w:rPr>
                <w:color w:val="auto"/>
                <w:sz w:val="24"/>
                <w:highlight w:val="none"/>
              </w:rPr>
            </w:pPr>
            <w:r>
              <w:rPr>
                <w:rFonts w:hint="eastAsia" w:ascii="宋体" w:hAnsi="宋体" w:cs="宋体"/>
                <w:color w:val="auto"/>
                <w:sz w:val="24"/>
                <w:highlight w:val="none"/>
              </w:rPr>
              <w:t>年</w:t>
            </w:r>
            <w:r>
              <w:rPr>
                <w:color w:val="auto"/>
                <w:sz w:val="24"/>
                <w:highlight w:val="none"/>
              </w:rPr>
              <w:t xml:space="preserve">  </w:t>
            </w:r>
            <w:r>
              <w:rPr>
                <w:rFonts w:hint="eastAsia" w:ascii="宋体" w:hAnsi="宋体" w:cs="宋体"/>
                <w:color w:val="auto"/>
                <w:sz w:val="24"/>
                <w:highlight w:val="none"/>
              </w:rPr>
              <w:t>龄</w:t>
            </w:r>
          </w:p>
        </w:tc>
        <w:tc>
          <w:tcPr>
            <w:tcW w:w="1570" w:type="dxa"/>
            <w:vAlign w:val="center"/>
          </w:tcPr>
          <w:p w14:paraId="38152E83">
            <w:pPr>
              <w:spacing w:line="360" w:lineRule="exact"/>
              <w:jc w:val="center"/>
              <w:rPr>
                <w:color w:val="auto"/>
                <w:sz w:val="24"/>
                <w:highlight w:val="none"/>
              </w:rPr>
            </w:pPr>
          </w:p>
        </w:tc>
        <w:tc>
          <w:tcPr>
            <w:tcW w:w="1735" w:type="dxa"/>
            <w:gridSpan w:val="2"/>
            <w:vAlign w:val="center"/>
          </w:tcPr>
          <w:p w14:paraId="04F9BD3B">
            <w:pPr>
              <w:spacing w:line="360" w:lineRule="exact"/>
              <w:jc w:val="center"/>
              <w:rPr>
                <w:color w:val="auto"/>
                <w:sz w:val="24"/>
                <w:highlight w:val="none"/>
              </w:rPr>
            </w:pPr>
            <w:r>
              <w:rPr>
                <w:rFonts w:hint="eastAsia" w:ascii="宋体" w:hAnsi="宋体" w:cs="宋体"/>
                <w:color w:val="auto"/>
                <w:sz w:val="24"/>
                <w:highlight w:val="none"/>
              </w:rPr>
              <w:t>学</w:t>
            </w:r>
            <w:r>
              <w:rPr>
                <w:color w:val="auto"/>
                <w:sz w:val="24"/>
                <w:highlight w:val="none"/>
              </w:rPr>
              <w:t xml:space="preserve">  </w:t>
            </w:r>
            <w:r>
              <w:rPr>
                <w:rFonts w:hint="eastAsia" w:ascii="宋体" w:hAnsi="宋体" w:cs="宋体"/>
                <w:color w:val="auto"/>
                <w:sz w:val="24"/>
                <w:highlight w:val="none"/>
              </w:rPr>
              <w:t>历</w:t>
            </w:r>
          </w:p>
        </w:tc>
        <w:tc>
          <w:tcPr>
            <w:tcW w:w="1162" w:type="dxa"/>
            <w:vAlign w:val="center"/>
          </w:tcPr>
          <w:p w14:paraId="48C00EFC">
            <w:pPr>
              <w:spacing w:line="360" w:lineRule="exact"/>
              <w:jc w:val="center"/>
              <w:rPr>
                <w:color w:val="auto"/>
                <w:sz w:val="24"/>
                <w:highlight w:val="none"/>
              </w:rPr>
            </w:pPr>
          </w:p>
        </w:tc>
      </w:tr>
      <w:tr w14:paraId="4D65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1386" w:type="dxa"/>
            <w:gridSpan w:val="2"/>
            <w:vAlign w:val="center"/>
          </w:tcPr>
          <w:p w14:paraId="58C9DB24">
            <w:pPr>
              <w:spacing w:line="360" w:lineRule="exact"/>
              <w:jc w:val="center"/>
              <w:rPr>
                <w:color w:val="auto"/>
                <w:sz w:val="24"/>
                <w:highlight w:val="none"/>
              </w:rPr>
            </w:pPr>
            <w:r>
              <w:rPr>
                <w:rFonts w:hint="eastAsia" w:ascii="宋体" w:hAnsi="宋体" w:cs="宋体"/>
                <w:color w:val="auto"/>
                <w:sz w:val="24"/>
                <w:highlight w:val="none"/>
              </w:rPr>
              <w:t>毕业学校</w:t>
            </w:r>
          </w:p>
        </w:tc>
        <w:tc>
          <w:tcPr>
            <w:tcW w:w="1708" w:type="dxa"/>
            <w:vAlign w:val="center"/>
          </w:tcPr>
          <w:p w14:paraId="7ED7BA74">
            <w:pPr>
              <w:spacing w:line="360" w:lineRule="exact"/>
              <w:rPr>
                <w:color w:val="auto"/>
                <w:sz w:val="24"/>
                <w:highlight w:val="none"/>
              </w:rPr>
            </w:pPr>
          </w:p>
        </w:tc>
        <w:tc>
          <w:tcPr>
            <w:tcW w:w="1487" w:type="dxa"/>
            <w:gridSpan w:val="2"/>
            <w:vAlign w:val="center"/>
          </w:tcPr>
          <w:p w14:paraId="621F113E">
            <w:pPr>
              <w:spacing w:line="360" w:lineRule="exact"/>
              <w:jc w:val="center"/>
              <w:rPr>
                <w:color w:val="auto"/>
                <w:sz w:val="24"/>
                <w:highlight w:val="none"/>
              </w:rPr>
            </w:pPr>
            <w:r>
              <w:rPr>
                <w:rFonts w:hint="eastAsia" w:ascii="宋体" w:hAnsi="宋体" w:cs="宋体"/>
                <w:color w:val="auto"/>
                <w:sz w:val="24"/>
                <w:highlight w:val="none"/>
              </w:rPr>
              <w:t>专</w:t>
            </w:r>
            <w:r>
              <w:rPr>
                <w:color w:val="auto"/>
                <w:sz w:val="24"/>
                <w:highlight w:val="none"/>
              </w:rPr>
              <w:t xml:space="preserve">  </w:t>
            </w:r>
            <w:r>
              <w:rPr>
                <w:rFonts w:hint="eastAsia" w:ascii="宋体" w:hAnsi="宋体" w:cs="宋体"/>
                <w:color w:val="auto"/>
                <w:sz w:val="24"/>
                <w:highlight w:val="none"/>
              </w:rPr>
              <w:t>业</w:t>
            </w:r>
          </w:p>
        </w:tc>
        <w:tc>
          <w:tcPr>
            <w:tcW w:w="1570" w:type="dxa"/>
            <w:vAlign w:val="center"/>
          </w:tcPr>
          <w:p w14:paraId="6EAF1F84">
            <w:pPr>
              <w:spacing w:line="360" w:lineRule="exact"/>
              <w:jc w:val="center"/>
              <w:rPr>
                <w:color w:val="auto"/>
                <w:sz w:val="24"/>
                <w:highlight w:val="none"/>
              </w:rPr>
            </w:pPr>
          </w:p>
        </w:tc>
        <w:tc>
          <w:tcPr>
            <w:tcW w:w="1735" w:type="dxa"/>
            <w:gridSpan w:val="2"/>
            <w:vAlign w:val="center"/>
          </w:tcPr>
          <w:p w14:paraId="4F2AD489">
            <w:pPr>
              <w:spacing w:line="360" w:lineRule="exact"/>
              <w:jc w:val="center"/>
              <w:rPr>
                <w:color w:val="auto"/>
                <w:sz w:val="24"/>
                <w:highlight w:val="none"/>
              </w:rPr>
            </w:pPr>
            <w:r>
              <w:rPr>
                <w:rFonts w:hint="eastAsia" w:ascii="宋体" w:hAnsi="宋体" w:cs="宋体"/>
                <w:color w:val="auto"/>
                <w:sz w:val="24"/>
                <w:highlight w:val="none"/>
              </w:rPr>
              <w:t>职</w:t>
            </w:r>
            <w:r>
              <w:rPr>
                <w:color w:val="auto"/>
                <w:sz w:val="24"/>
                <w:highlight w:val="none"/>
              </w:rPr>
              <w:t xml:space="preserve">  </w:t>
            </w:r>
            <w:r>
              <w:rPr>
                <w:rFonts w:hint="eastAsia" w:ascii="宋体" w:hAnsi="宋体" w:cs="宋体"/>
                <w:color w:val="auto"/>
                <w:sz w:val="24"/>
                <w:highlight w:val="none"/>
              </w:rPr>
              <w:t>务</w:t>
            </w:r>
          </w:p>
        </w:tc>
        <w:tc>
          <w:tcPr>
            <w:tcW w:w="1162" w:type="dxa"/>
            <w:vAlign w:val="center"/>
          </w:tcPr>
          <w:p w14:paraId="2A6D4089">
            <w:pPr>
              <w:spacing w:line="360" w:lineRule="exact"/>
              <w:jc w:val="center"/>
              <w:rPr>
                <w:color w:val="auto"/>
                <w:sz w:val="24"/>
                <w:highlight w:val="none"/>
              </w:rPr>
            </w:pPr>
          </w:p>
        </w:tc>
      </w:tr>
      <w:tr w14:paraId="4FF4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386" w:type="dxa"/>
            <w:gridSpan w:val="2"/>
            <w:vAlign w:val="center"/>
          </w:tcPr>
          <w:p w14:paraId="2721D92C">
            <w:pPr>
              <w:spacing w:line="360" w:lineRule="exact"/>
              <w:jc w:val="center"/>
              <w:rPr>
                <w:color w:val="auto"/>
                <w:sz w:val="24"/>
                <w:highlight w:val="none"/>
              </w:rPr>
            </w:pPr>
            <w:r>
              <w:rPr>
                <w:rFonts w:hint="eastAsia" w:ascii="宋体" w:hAnsi="宋体" w:cs="宋体"/>
                <w:color w:val="auto"/>
                <w:sz w:val="24"/>
                <w:highlight w:val="none"/>
              </w:rPr>
              <w:t>职</w:t>
            </w:r>
            <w:r>
              <w:rPr>
                <w:color w:val="auto"/>
                <w:sz w:val="24"/>
                <w:highlight w:val="none"/>
              </w:rPr>
              <w:t xml:space="preserve">  </w:t>
            </w:r>
            <w:r>
              <w:rPr>
                <w:rFonts w:hint="eastAsia" w:ascii="宋体" w:hAnsi="宋体" w:cs="宋体"/>
                <w:color w:val="auto"/>
                <w:sz w:val="24"/>
                <w:highlight w:val="none"/>
              </w:rPr>
              <w:t>称</w:t>
            </w:r>
          </w:p>
        </w:tc>
        <w:tc>
          <w:tcPr>
            <w:tcW w:w="1708" w:type="dxa"/>
            <w:vAlign w:val="center"/>
          </w:tcPr>
          <w:p w14:paraId="71A1FD47">
            <w:pPr>
              <w:spacing w:line="360" w:lineRule="exact"/>
              <w:rPr>
                <w:color w:val="auto"/>
                <w:sz w:val="24"/>
                <w:highlight w:val="none"/>
              </w:rPr>
            </w:pPr>
          </w:p>
        </w:tc>
        <w:tc>
          <w:tcPr>
            <w:tcW w:w="1487" w:type="dxa"/>
            <w:gridSpan w:val="2"/>
            <w:vAlign w:val="center"/>
          </w:tcPr>
          <w:p w14:paraId="49BC0078">
            <w:pPr>
              <w:spacing w:line="360" w:lineRule="exact"/>
              <w:jc w:val="center"/>
              <w:rPr>
                <w:color w:val="auto"/>
                <w:sz w:val="24"/>
                <w:highlight w:val="none"/>
              </w:rPr>
            </w:pPr>
            <w:r>
              <w:rPr>
                <w:rFonts w:hint="eastAsia" w:ascii="宋体" w:hAnsi="宋体" w:cs="宋体"/>
                <w:color w:val="auto"/>
                <w:sz w:val="24"/>
                <w:highlight w:val="none"/>
              </w:rPr>
              <w:t>拟任何职</w:t>
            </w:r>
          </w:p>
        </w:tc>
        <w:tc>
          <w:tcPr>
            <w:tcW w:w="1570" w:type="dxa"/>
            <w:vAlign w:val="center"/>
          </w:tcPr>
          <w:p w14:paraId="7591027D">
            <w:pPr>
              <w:spacing w:line="360" w:lineRule="exact"/>
              <w:jc w:val="center"/>
              <w:rPr>
                <w:color w:val="auto"/>
                <w:sz w:val="24"/>
                <w:highlight w:val="none"/>
              </w:rPr>
            </w:pPr>
          </w:p>
        </w:tc>
        <w:tc>
          <w:tcPr>
            <w:tcW w:w="1735" w:type="dxa"/>
            <w:gridSpan w:val="2"/>
            <w:vAlign w:val="center"/>
          </w:tcPr>
          <w:p w14:paraId="13CAC924">
            <w:pPr>
              <w:spacing w:line="280" w:lineRule="exact"/>
              <w:jc w:val="center"/>
              <w:rPr>
                <w:color w:val="auto"/>
                <w:sz w:val="24"/>
                <w:highlight w:val="none"/>
              </w:rPr>
            </w:pPr>
            <w:r>
              <w:rPr>
                <w:rFonts w:hint="eastAsia" w:ascii="宋体" w:hAnsi="宋体" w:cs="宋体"/>
                <w:color w:val="auto"/>
                <w:sz w:val="24"/>
                <w:highlight w:val="none"/>
              </w:rPr>
              <w:t>参加工作</w:t>
            </w:r>
          </w:p>
          <w:p w14:paraId="68290A6C">
            <w:pPr>
              <w:spacing w:line="280" w:lineRule="exact"/>
              <w:jc w:val="center"/>
              <w:rPr>
                <w:color w:val="auto"/>
                <w:sz w:val="24"/>
                <w:highlight w:val="none"/>
              </w:rPr>
            </w:pPr>
            <w:r>
              <w:rPr>
                <w:rFonts w:hint="eastAsia" w:ascii="宋体" w:hAnsi="宋体" w:cs="宋体"/>
                <w:color w:val="auto"/>
                <w:sz w:val="24"/>
                <w:highlight w:val="none"/>
              </w:rPr>
              <w:t>时间</w:t>
            </w:r>
          </w:p>
        </w:tc>
        <w:tc>
          <w:tcPr>
            <w:tcW w:w="1162" w:type="dxa"/>
            <w:vAlign w:val="center"/>
          </w:tcPr>
          <w:p w14:paraId="3FA94090">
            <w:pPr>
              <w:spacing w:line="360" w:lineRule="exact"/>
              <w:jc w:val="center"/>
              <w:rPr>
                <w:color w:val="auto"/>
                <w:sz w:val="24"/>
                <w:highlight w:val="none"/>
              </w:rPr>
            </w:pPr>
          </w:p>
        </w:tc>
      </w:tr>
      <w:tr w14:paraId="1452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9048" w:type="dxa"/>
            <w:gridSpan w:val="9"/>
            <w:vAlign w:val="center"/>
          </w:tcPr>
          <w:p w14:paraId="593023E5">
            <w:pPr>
              <w:spacing w:line="360" w:lineRule="exact"/>
              <w:jc w:val="center"/>
              <w:rPr>
                <w:color w:val="auto"/>
                <w:sz w:val="24"/>
                <w:highlight w:val="none"/>
              </w:rPr>
            </w:pPr>
            <w:r>
              <w:rPr>
                <w:color w:val="auto"/>
                <w:sz w:val="24"/>
                <w:highlight w:val="none"/>
              </w:rPr>
              <w:t>2</w:t>
            </w:r>
            <w:r>
              <w:rPr>
                <w:rFonts w:hint="eastAsia" w:ascii="宋体" w:hAnsi="宋体" w:cs="宋体"/>
                <w:color w:val="auto"/>
                <w:sz w:val="24"/>
                <w:highlight w:val="none"/>
              </w:rPr>
              <w:t>、个人简历</w:t>
            </w:r>
          </w:p>
        </w:tc>
      </w:tr>
      <w:tr w14:paraId="49C6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1386" w:type="dxa"/>
            <w:gridSpan w:val="2"/>
            <w:vAlign w:val="center"/>
          </w:tcPr>
          <w:p w14:paraId="68A97FD3">
            <w:pPr>
              <w:spacing w:line="360" w:lineRule="exact"/>
              <w:jc w:val="center"/>
              <w:rPr>
                <w:color w:val="auto"/>
                <w:sz w:val="24"/>
                <w:highlight w:val="none"/>
              </w:rPr>
            </w:pPr>
            <w:r>
              <w:rPr>
                <w:rFonts w:hint="eastAsia" w:ascii="宋体" w:hAnsi="宋体" w:cs="宋体"/>
                <w:color w:val="auto"/>
                <w:sz w:val="24"/>
                <w:highlight w:val="none"/>
              </w:rPr>
              <w:t>时</w:t>
            </w:r>
            <w:r>
              <w:rPr>
                <w:color w:val="auto"/>
                <w:sz w:val="24"/>
                <w:highlight w:val="none"/>
              </w:rPr>
              <w:t xml:space="preserve">  </w:t>
            </w:r>
            <w:r>
              <w:rPr>
                <w:rFonts w:hint="eastAsia" w:ascii="宋体" w:hAnsi="宋体" w:cs="宋体"/>
                <w:color w:val="auto"/>
                <w:sz w:val="24"/>
                <w:highlight w:val="none"/>
              </w:rPr>
              <w:t>间</w:t>
            </w:r>
          </w:p>
        </w:tc>
        <w:tc>
          <w:tcPr>
            <w:tcW w:w="7662" w:type="dxa"/>
            <w:gridSpan w:val="7"/>
            <w:vAlign w:val="center"/>
          </w:tcPr>
          <w:p w14:paraId="437E5F0E">
            <w:pPr>
              <w:spacing w:line="360" w:lineRule="exact"/>
              <w:jc w:val="center"/>
              <w:rPr>
                <w:color w:val="auto"/>
                <w:sz w:val="24"/>
                <w:highlight w:val="none"/>
              </w:rPr>
            </w:pPr>
            <w:r>
              <w:rPr>
                <w:rFonts w:hint="eastAsia" w:ascii="宋体" w:hAnsi="宋体" w:cs="宋体"/>
                <w:color w:val="auto"/>
                <w:sz w:val="24"/>
                <w:highlight w:val="none"/>
              </w:rPr>
              <w:t>专业工作经历</w:t>
            </w:r>
          </w:p>
        </w:tc>
      </w:tr>
      <w:tr w14:paraId="071D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1386" w:type="dxa"/>
            <w:gridSpan w:val="2"/>
            <w:vAlign w:val="center"/>
          </w:tcPr>
          <w:p w14:paraId="365CE11F">
            <w:pPr>
              <w:spacing w:line="360" w:lineRule="exact"/>
              <w:rPr>
                <w:color w:val="auto"/>
                <w:sz w:val="24"/>
                <w:highlight w:val="none"/>
              </w:rPr>
            </w:pPr>
          </w:p>
        </w:tc>
        <w:tc>
          <w:tcPr>
            <w:tcW w:w="7662" w:type="dxa"/>
            <w:gridSpan w:val="7"/>
            <w:vAlign w:val="center"/>
          </w:tcPr>
          <w:p w14:paraId="25F9E976">
            <w:pPr>
              <w:spacing w:line="360" w:lineRule="exact"/>
              <w:rPr>
                <w:color w:val="auto"/>
                <w:sz w:val="24"/>
                <w:highlight w:val="none"/>
              </w:rPr>
            </w:pPr>
          </w:p>
        </w:tc>
      </w:tr>
      <w:tr w14:paraId="4E83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1386" w:type="dxa"/>
            <w:gridSpan w:val="2"/>
            <w:vAlign w:val="center"/>
          </w:tcPr>
          <w:p w14:paraId="388A5498">
            <w:pPr>
              <w:spacing w:line="360" w:lineRule="exact"/>
              <w:rPr>
                <w:color w:val="auto"/>
                <w:sz w:val="24"/>
                <w:highlight w:val="none"/>
              </w:rPr>
            </w:pPr>
          </w:p>
        </w:tc>
        <w:tc>
          <w:tcPr>
            <w:tcW w:w="7662" w:type="dxa"/>
            <w:gridSpan w:val="7"/>
            <w:vAlign w:val="center"/>
          </w:tcPr>
          <w:p w14:paraId="6D4A098C">
            <w:pPr>
              <w:spacing w:line="360" w:lineRule="exact"/>
              <w:rPr>
                <w:color w:val="auto"/>
                <w:sz w:val="24"/>
                <w:highlight w:val="none"/>
              </w:rPr>
            </w:pPr>
          </w:p>
        </w:tc>
      </w:tr>
      <w:tr w14:paraId="71B3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9048" w:type="dxa"/>
            <w:gridSpan w:val="9"/>
            <w:vAlign w:val="center"/>
          </w:tcPr>
          <w:p w14:paraId="257E9B0A">
            <w:pPr>
              <w:spacing w:line="360" w:lineRule="exact"/>
              <w:jc w:val="center"/>
              <w:rPr>
                <w:color w:val="auto"/>
                <w:sz w:val="24"/>
                <w:highlight w:val="none"/>
              </w:rPr>
            </w:pPr>
            <w:r>
              <w:rPr>
                <w:color w:val="auto"/>
                <w:sz w:val="24"/>
                <w:highlight w:val="none"/>
              </w:rPr>
              <w:t>3</w:t>
            </w:r>
            <w:r>
              <w:rPr>
                <w:rFonts w:hint="eastAsia" w:ascii="宋体" w:hAnsi="宋体" w:cs="宋体"/>
                <w:color w:val="auto"/>
                <w:sz w:val="24"/>
                <w:highlight w:val="none"/>
              </w:rPr>
              <w:t>、近年负责类似项目业绩情况</w:t>
            </w:r>
          </w:p>
        </w:tc>
      </w:tr>
      <w:tr w14:paraId="5095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967" w:type="dxa"/>
            <w:vAlign w:val="center"/>
          </w:tcPr>
          <w:p w14:paraId="4FD90088">
            <w:pPr>
              <w:spacing w:line="360" w:lineRule="exact"/>
              <w:jc w:val="center"/>
              <w:rPr>
                <w:color w:val="auto"/>
                <w:sz w:val="24"/>
                <w:highlight w:val="none"/>
              </w:rPr>
            </w:pPr>
            <w:r>
              <w:rPr>
                <w:rFonts w:hint="eastAsia" w:ascii="宋体" w:hAnsi="宋体" w:cs="宋体"/>
                <w:color w:val="auto"/>
                <w:sz w:val="24"/>
                <w:highlight w:val="none"/>
              </w:rPr>
              <w:t>序号</w:t>
            </w:r>
          </w:p>
        </w:tc>
        <w:tc>
          <w:tcPr>
            <w:tcW w:w="3407" w:type="dxa"/>
            <w:gridSpan w:val="3"/>
            <w:vAlign w:val="center"/>
          </w:tcPr>
          <w:p w14:paraId="15418F39">
            <w:pPr>
              <w:spacing w:line="360" w:lineRule="exact"/>
              <w:jc w:val="center"/>
              <w:rPr>
                <w:color w:val="auto"/>
                <w:sz w:val="24"/>
                <w:highlight w:val="none"/>
              </w:rPr>
            </w:pPr>
            <w:r>
              <w:rPr>
                <w:rFonts w:hint="eastAsia" w:ascii="宋体" w:hAnsi="宋体" w:cs="宋体"/>
                <w:color w:val="auto"/>
                <w:sz w:val="24"/>
                <w:highlight w:val="none"/>
              </w:rPr>
              <w:t>项目名称</w:t>
            </w:r>
          </w:p>
        </w:tc>
        <w:tc>
          <w:tcPr>
            <w:tcW w:w="3226" w:type="dxa"/>
            <w:gridSpan w:val="3"/>
            <w:vAlign w:val="center"/>
          </w:tcPr>
          <w:p w14:paraId="094767D3">
            <w:pPr>
              <w:spacing w:line="360" w:lineRule="exact"/>
              <w:jc w:val="center"/>
              <w:rPr>
                <w:color w:val="auto"/>
                <w:sz w:val="24"/>
                <w:highlight w:val="none"/>
              </w:rPr>
            </w:pPr>
            <w:r>
              <w:rPr>
                <w:rFonts w:hint="eastAsia" w:ascii="宋体" w:hAnsi="宋体" w:cs="宋体"/>
                <w:color w:val="auto"/>
                <w:sz w:val="24"/>
                <w:highlight w:val="none"/>
              </w:rPr>
              <w:t>发包人名称</w:t>
            </w:r>
          </w:p>
        </w:tc>
        <w:tc>
          <w:tcPr>
            <w:tcW w:w="1448" w:type="dxa"/>
            <w:gridSpan w:val="2"/>
            <w:vAlign w:val="center"/>
          </w:tcPr>
          <w:p w14:paraId="36A17642">
            <w:pPr>
              <w:spacing w:line="360" w:lineRule="exact"/>
              <w:jc w:val="center"/>
              <w:rPr>
                <w:color w:val="auto"/>
                <w:sz w:val="24"/>
                <w:highlight w:val="none"/>
              </w:rPr>
            </w:pPr>
            <w:r>
              <w:rPr>
                <w:rFonts w:hint="eastAsia" w:ascii="宋体" w:hAnsi="宋体" w:cs="宋体"/>
                <w:color w:val="auto"/>
                <w:sz w:val="24"/>
                <w:highlight w:val="none"/>
              </w:rPr>
              <w:t>该项目中任何职</w:t>
            </w:r>
          </w:p>
        </w:tc>
      </w:tr>
      <w:tr w14:paraId="516A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967" w:type="dxa"/>
            <w:vAlign w:val="center"/>
          </w:tcPr>
          <w:p w14:paraId="08CF3DBB">
            <w:pPr>
              <w:spacing w:line="360" w:lineRule="exact"/>
              <w:rPr>
                <w:color w:val="auto"/>
                <w:sz w:val="24"/>
                <w:highlight w:val="none"/>
              </w:rPr>
            </w:pPr>
          </w:p>
        </w:tc>
        <w:tc>
          <w:tcPr>
            <w:tcW w:w="3407" w:type="dxa"/>
            <w:gridSpan w:val="3"/>
            <w:vAlign w:val="center"/>
          </w:tcPr>
          <w:p w14:paraId="68B43E43">
            <w:pPr>
              <w:spacing w:line="360" w:lineRule="exact"/>
              <w:rPr>
                <w:color w:val="auto"/>
                <w:sz w:val="24"/>
                <w:highlight w:val="none"/>
              </w:rPr>
            </w:pPr>
          </w:p>
        </w:tc>
        <w:tc>
          <w:tcPr>
            <w:tcW w:w="3226" w:type="dxa"/>
            <w:gridSpan w:val="3"/>
            <w:vAlign w:val="center"/>
          </w:tcPr>
          <w:p w14:paraId="47E2A33C">
            <w:pPr>
              <w:spacing w:line="360" w:lineRule="exact"/>
              <w:rPr>
                <w:color w:val="auto"/>
                <w:sz w:val="24"/>
                <w:highlight w:val="none"/>
              </w:rPr>
            </w:pPr>
          </w:p>
        </w:tc>
        <w:tc>
          <w:tcPr>
            <w:tcW w:w="1448" w:type="dxa"/>
            <w:gridSpan w:val="2"/>
            <w:vAlign w:val="center"/>
          </w:tcPr>
          <w:p w14:paraId="1979D7F8">
            <w:pPr>
              <w:spacing w:line="360" w:lineRule="exact"/>
              <w:rPr>
                <w:color w:val="auto"/>
                <w:sz w:val="24"/>
                <w:highlight w:val="none"/>
              </w:rPr>
            </w:pPr>
          </w:p>
        </w:tc>
      </w:tr>
      <w:tr w14:paraId="2D1F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967" w:type="dxa"/>
            <w:vAlign w:val="center"/>
          </w:tcPr>
          <w:p w14:paraId="22F00AE9">
            <w:pPr>
              <w:spacing w:line="360" w:lineRule="exact"/>
              <w:rPr>
                <w:color w:val="auto"/>
                <w:sz w:val="24"/>
                <w:highlight w:val="none"/>
              </w:rPr>
            </w:pPr>
          </w:p>
        </w:tc>
        <w:tc>
          <w:tcPr>
            <w:tcW w:w="3407" w:type="dxa"/>
            <w:gridSpan w:val="3"/>
            <w:vAlign w:val="center"/>
          </w:tcPr>
          <w:p w14:paraId="2A5A005E">
            <w:pPr>
              <w:spacing w:line="360" w:lineRule="exact"/>
              <w:rPr>
                <w:color w:val="auto"/>
                <w:sz w:val="24"/>
                <w:highlight w:val="none"/>
              </w:rPr>
            </w:pPr>
          </w:p>
        </w:tc>
        <w:tc>
          <w:tcPr>
            <w:tcW w:w="3226" w:type="dxa"/>
            <w:gridSpan w:val="3"/>
            <w:vAlign w:val="center"/>
          </w:tcPr>
          <w:p w14:paraId="1479C81D">
            <w:pPr>
              <w:spacing w:line="360" w:lineRule="exact"/>
              <w:rPr>
                <w:color w:val="auto"/>
                <w:sz w:val="24"/>
                <w:highlight w:val="none"/>
              </w:rPr>
            </w:pPr>
          </w:p>
        </w:tc>
        <w:tc>
          <w:tcPr>
            <w:tcW w:w="1448" w:type="dxa"/>
            <w:gridSpan w:val="2"/>
            <w:vAlign w:val="center"/>
          </w:tcPr>
          <w:p w14:paraId="6C7317A4">
            <w:pPr>
              <w:spacing w:line="360" w:lineRule="exact"/>
              <w:rPr>
                <w:color w:val="auto"/>
                <w:sz w:val="24"/>
                <w:highlight w:val="none"/>
              </w:rPr>
            </w:pPr>
          </w:p>
        </w:tc>
      </w:tr>
      <w:tr w14:paraId="434F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967" w:type="dxa"/>
            <w:vAlign w:val="center"/>
          </w:tcPr>
          <w:p w14:paraId="71AAD2E3">
            <w:pPr>
              <w:spacing w:line="360" w:lineRule="exact"/>
              <w:rPr>
                <w:color w:val="auto"/>
                <w:sz w:val="24"/>
                <w:highlight w:val="none"/>
              </w:rPr>
            </w:pPr>
          </w:p>
        </w:tc>
        <w:tc>
          <w:tcPr>
            <w:tcW w:w="3407" w:type="dxa"/>
            <w:gridSpan w:val="3"/>
            <w:vAlign w:val="center"/>
          </w:tcPr>
          <w:p w14:paraId="6D1F3DD7">
            <w:pPr>
              <w:spacing w:line="360" w:lineRule="exact"/>
              <w:rPr>
                <w:color w:val="auto"/>
                <w:sz w:val="24"/>
                <w:highlight w:val="none"/>
              </w:rPr>
            </w:pPr>
          </w:p>
        </w:tc>
        <w:tc>
          <w:tcPr>
            <w:tcW w:w="3226" w:type="dxa"/>
            <w:gridSpan w:val="3"/>
            <w:vAlign w:val="center"/>
          </w:tcPr>
          <w:p w14:paraId="4851967B">
            <w:pPr>
              <w:spacing w:line="360" w:lineRule="exact"/>
              <w:rPr>
                <w:color w:val="auto"/>
                <w:sz w:val="24"/>
                <w:highlight w:val="none"/>
              </w:rPr>
            </w:pPr>
          </w:p>
        </w:tc>
        <w:tc>
          <w:tcPr>
            <w:tcW w:w="1448" w:type="dxa"/>
            <w:gridSpan w:val="2"/>
            <w:vAlign w:val="center"/>
          </w:tcPr>
          <w:p w14:paraId="5FC43199">
            <w:pPr>
              <w:spacing w:line="360" w:lineRule="exact"/>
              <w:rPr>
                <w:color w:val="auto"/>
                <w:sz w:val="24"/>
                <w:highlight w:val="none"/>
              </w:rPr>
            </w:pPr>
          </w:p>
        </w:tc>
      </w:tr>
      <w:tr w14:paraId="4A6F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967" w:type="dxa"/>
            <w:vAlign w:val="center"/>
          </w:tcPr>
          <w:p w14:paraId="3CE2FCEE">
            <w:pPr>
              <w:spacing w:line="360" w:lineRule="exact"/>
              <w:rPr>
                <w:color w:val="auto"/>
                <w:sz w:val="24"/>
                <w:highlight w:val="none"/>
              </w:rPr>
            </w:pPr>
          </w:p>
        </w:tc>
        <w:tc>
          <w:tcPr>
            <w:tcW w:w="3407" w:type="dxa"/>
            <w:gridSpan w:val="3"/>
            <w:vAlign w:val="center"/>
          </w:tcPr>
          <w:p w14:paraId="6C932505">
            <w:pPr>
              <w:spacing w:line="360" w:lineRule="exact"/>
              <w:rPr>
                <w:color w:val="auto"/>
                <w:sz w:val="24"/>
                <w:highlight w:val="none"/>
              </w:rPr>
            </w:pPr>
          </w:p>
        </w:tc>
        <w:tc>
          <w:tcPr>
            <w:tcW w:w="3226" w:type="dxa"/>
            <w:gridSpan w:val="3"/>
            <w:vAlign w:val="center"/>
          </w:tcPr>
          <w:p w14:paraId="245D5998">
            <w:pPr>
              <w:spacing w:line="360" w:lineRule="exact"/>
              <w:rPr>
                <w:color w:val="auto"/>
                <w:sz w:val="24"/>
                <w:highlight w:val="none"/>
              </w:rPr>
            </w:pPr>
          </w:p>
        </w:tc>
        <w:tc>
          <w:tcPr>
            <w:tcW w:w="1448" w:type="dxa"/>
            <w:gridSpan w:val="2"/>
            <w:vAlign w:val="center"/>
          </w:tcPr>
          <w:p w14:paraId="42B87FEA">
            <w:pPr>
              <w:spacing w:line="360" w:lineRule="exact"/>
              <w:rPr>
                <w:color w:val="auto"/>
                <w:sz w:val="24"/>
                <w:highlight w:val="none"/>
              </w:rPr>
            </w:pPr>
          </w:p>
        </w:tc>
      </w:tr>
      <w:tr w14:paraId="461B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967" w:type="dxa"/>
            <w:vAlign w:val="center"/>
          </w:tcPr>
          <w:p w14:paraId="1F959B2C">
            <w:pPr>
              <w:spacing w:line="360" w:lineRule="exact"/>
              <w:rPr>
                <w:color w:val="auto"/>
                <w:sz w:val="24"/>
                <w:highlight w:val="none"/>
              </w:rPr>
            </w:pPr>
          </w:p>
        </w:tc>
        <w:tc>
          <w:tcPr>
            <w:tcW w:w="3407" w:type="dxa"/>
            <w:gridSpan w:val="3"/>
            <w:vAlign w:val="center"/>
          </w:tcPr>
          <w:p w14:paraId="7E3C7F4E">
            <w:pPr>
              <w:spacing w:line="360" w:lineRule="exact"/>
              <w:rPr>
                <w:color w:val="auto"/>
                <w:sz w:val="24"/>
                <w:highlight w:val="none"/>
              </w:rPr>
            </w:pPr>
          </w:p>
        </w:tc>
        <w:tc>
          <w:tcPr>
            <w:tcW w:w="3226" w:type="dxa"/>
            <w:gridSpan w:val="3"/>
            <w:vAlign w:val="center"/>
          </w:tcPr>
          <w:p w14:paraId="6F111333">
            <w:pPr>
              <w:spacing w:line="360" w:lineRule="exact"/>
              <w:rPr>
                <w:color w:val="auto"/>
                <w:sz w:val="24"/>
                <w:highlight w:val="none"/>
              </w:rPr>
            </w:pPr>
          </w:p>
        </w:tc>
        <w:tc>
          <w:tcPr>
            <w:tcW w:w="1448" w:type="dxa"/>
            <w:gridSpan w:val="2"/>
            <w:vAlign w:val="center"/>
          </w:tcPr>
          <w:p w14:paraId="624A624B">
            <w:pPr>
              <w:spacing w:line="360" w:lineRule="exact"/>
              <w:rPr>
                <w:color w:val="auto"/>
                <w:sz w:val="24"/>
                <w:highlight w:val="none"/>
              </w:rPr>
            </w:pPr>
          </w:p>
        </w:tc>
      </w:tr>
    </w:tbl>
    <w:p w14:paraId="0DA13F85">
      <w:pPr>
        <w:spacing w:line="360" w:lineRule="auto"/>
        <w:ind w:firstLine="4320" w:firstLineChars="1800"/>
        <w:rPr>
          <w:rFonts w:ascii="宋体" w:cs="宋体"/>
          <w:color w:val="auto"/>
          <w:sz w:val="21"/>
          <w:szCs w:val="21"/>
          <w:highlight w:val="none"/>
          <w:lang w:val="zh-CN"/>
        </w:rPr>
      </w:pPr>
      <w:r>
        <w:rPr>
          <w:rFonts w:ascii="宋体" w:hAnsi="宋体" w:cs="宋体"/>
          <w:color w:val="auto"/>
          <w:sz w:val="24"/>
          <w:highlight w:val="none"/>
        </w:rPr>
        <w:t xml:space="preserve">     </w:t>
      </w:r>
      <w:r>
        <w:rPr>
          <w:rFonts w:hint="eastAsia" w:ascii="宋体" w:hAnsi="宋体" w:cs="宋体"/>
          <w:color w:val="auto"/>
          <w:sz w:val="21"/>
          <w:szCs w:val="21"/>
          <w:highlight w:val="none"/>
        </w:rPr>
        <w:t>磋商人名称</w:t>
      </w:r>
      <w:r>
        <w:rPr>
          <w:rFonts w:hint="eastAsia" w:ascii="宋体" w:hAnsi="宋体" w:cs="宋体"/>
          <w:color w:val="auto"/>
          <w:sz w:val="21"/>
          <w:szCs w:val="21"/>
          <w:highlight w:val="none"/>
          <w:lang w:val="zh-CN"/>
        </w:rPr>
        <w:t>（盖单位章）：</w:t>
      </w:r>
    </w:p>
    <w:p w14:paraId="414B94E6">
      <w:pPr>
        <w:pStyle w:val="5"/>
        <w:spacing w:before="240" w:beforeLines="100" w:line="360" w:lineRule="auto"/>
        <w:rPr>
          <w:rFonts w:ascii="宋体" w:hAnsi="宋体" w:eastAsia="宋体"/>
          <w:bCs w:val="0"/>
          <w:color w:val="auto"/>
          <w:highlight w:val="none"/>
          <w:lang w:val="zh-CN"/>
        </w:rPr>
      </w:pPr>
      <w:r>
        <w:rPr>
          <w:rFonts w:ascii="宋体" w:hAnsi="宋体" w:eastAsia="宋体" w:cs="宋体"/>
          <w:color w:val="auto"/>
          <w:sz w:val="21"/>
          <w:szCs w:val="21"/>
          <w:highlight w:val="none"/>
          <w:lang w:val="zh-CN"/>
        </w:rPr>
        <w:t xml:space="preserve">                                             </w:t>
      </w:r>
      <w:r>
        <w:rPr>
          <w:rFonts w:ascii="宋体" w:hAnsi="宋体" w:eastAsia="宋体" w:cs="宋体"/>
          <w:color w:val="auto"/>
          <w:sz w:val="21"/>
          <w:szCs w:val="21"/>
          <w:highlight w:val="none"/>
        </w:rPr>
        <w:t xml:space="preserve">   </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日</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期：</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年</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月</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日</w:t>
      </w:r>
    </w:p>
    <w:p w14:paraId="297EF866">
      <w:pPr>
        <w:spacing w:line="440" w:lineRule="exact"/>
        <w:rPr>
          <w:rFonts w:ascii="宋体" w:cs="宋体"/>
          <w:color w:val="auto"/>
          <w:sz w:val="20"/>
          <w:highlight w:val="none"/>
        </w:rPr>
      </w:pPr>
    </w:p>
    <w:p w14:paraId="46745D53">
      <w:pPr>
        <w:tabs>
          <w:tab w:val="left" w:pos="720"/>
        </w:tabs>
        <w:spacing w:line="360" w:lineRule="auto"/>
        <w:outlineLvl w:val="0"/>
        <w:rPr>
          <w:rFonts w:ascii="宋体" w:cs="宋体"/>
          <w:b/>
          <w:color w:val="auto"/>
          <w:sz w:val="24"/>
          <w:highlight w:val="none"/>
        </w:rPr>
      </w:pPr>
    </w:p>
    <w:p w14:paraId="17BAB8EE">
      <w:pPr>
        <w:tabs>
          <w:tab w:val="left" w:pos="720"/>
        </w:tabs>
        <w:spacing w:line="360" w:lineRule="auto"/>
        <w:outlineLvl w:val="0"/>
        <w:rPr>
          <w:rFonts w:ascii="宋体" w:cs="宋体"/>
          <w:b/>
          <w:color w:val="auto"/>
          <w:sz w:val="24"/>
          <w:highlight w:val="none"/>
        </w:rPr>
      </w:pPr>
    </w:p>
    <w:p w14:paraId="3035C51C">
      <w:pPr>
        <w:tabs>
          <w:tab w:val="left" w:pos="720"/>
        </w:tabs>
        <w:spacing w:line="360" w:lineRule="auto"/>
        <w:outlineLvl w:val="0"/>
        <w:rPr>
          <w:rFonts w:ascii="宋体" w:cs="宋体"/>
          <w:b/>
          <w:color w:val="auto"/>
          <w:sz w:val="24"/>
          <w:highlight w:val="none"/>
        </w:rPr>
      </w:pPr>
    </w:p>
    <w:p w14:paraId="6CABE7BD">
      <w:pPr>
        <w:pStyle w:val="12"/>
        <w:jc w:val="left"/>
        <w:rPr>
          <w:rFonts w:ascii="宋体"/>
          <w:b/>
          <w:color w:val="auto"/>
          <w:sz w:val="32"/>
          <w:szCs w:val="32"/>
          <w:highlight w:val="none"/>
        </w:rPr>
      </w:pPr>
      <w:r>
        <w:rPr>
          <w:rFonts w:hint="eastAsia" w:ascii="宋体" w:cs="宋体"/>
          <w:b/>
          <w:color w:val="auto"/>
          <w:sz w:val="24"/>
          <w:szCs w:val="24"/>
          <w:highlight w:val="none"/>
        </w:rPr>
        <w:t>附表</w:t>
      </w:r>
      <w:r>
        <w:rPr>
          <w:rFonts w:hint="eastAsia" w:ascii="宋体" w:eastAsia="宋体" w:cs="宋体"/>
          <w:b/>
          <w:color w:val="auto"/>
          <w:sz w:val="24"/>
          <w:szCs w:val="24"/>
          <w:highlight w:val="none"/>
        </w:rPr>
        <w:t>十二</w:t>
      </w:r>
      <w:r>
        <w:rPr>
          <w:rFonts w:hint="eastAsia" w:ascii="宋体" w:cs="宋体"/>
          <w:b/>
          <w:color w:val="auto"/>
          <w:sz w:val="24"/>
          <w:szCs w:val="24"/>
          <w:highlight w:val="none"/>
        </w:rPr>
        <w:t>、</w:t>
      </w:r>
      <w:r>
        <w:rPr>
          <w:rFonts w:ascii="宋体" w:hAnsi="宋体" w:cs="宋体"/>
          <w:b/>
          <w:color w:val="auto"/>
          <w:sz w:val="24"/>
          <w:szCs w:val="24"/>
          <w:highlight w:val="none"/>
        </w:rPr>
        <w:t xml:space="preserve">              </w:t>
      </w:r>
      <w:r>
        <w:rPr>
          <w:rFonts w:hint="eastAsia" w:ascii="黑体" w:eastAsia="黑体"/>
          <w:b/>
          <w:color w:val="auto"/>
          <w:sz w:val="36"/>
          <w:szCs w:val="36"/>
          <w:highlight w:val="none"/>
        </w:rPr>
        <w:t>拟投入设备、物资一览表</w:t>
      </w:r>
    </w:p>
    <w:p w14:paraId="4831F5AD">
      <w:pPr>
        <w:pStyle w:val="20"/>
        <w:rPr>
          <w:color w:val="auto"/>
          <w:highlight w:val="none"/>
        </w:rPr>
      </w:pPr>
    </w:p>
    <w:tbl>
      <w:tblPr>
        <w:tblStyle w:val="27"/>
        <w:tblW w:w="9178" w:type="dxa"/>
        <w:tblInd w:w="0" w:type="dxa"/>
        <w:tblLayout w:type="fixed"/>
        <w:tblCellMar>
          <w:top w:w="0" w:type="dxa"/>
          <w:left w:w="108" w:type="dxa"/>
          <w:bottom w:w="0" w:type="dxa"/>
          <w:right w:w="108" w:type="dxa"/>
        </w:tblCellMar>
      </w:tblPr>
      <w:tblGrid>
        <w:gridCol w:w="1285"/>
        <w:gridCol w:w="2236"/>
        <w:gridCol w:w="2236"/>
        <w:gridCol w:w="1644"/>
        <w:gridCol w:w="1777"/>
      </w:tblGrid>
      <w:tr w14:paraId="2DC30C15">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E1971">
            <w:pPr>
              <w:widowControl/>
              <w:jc w:val="center"/>
              <w:rPr>
                <w:rFonts w:cs="宋体"/>
                <w:color w:val="auto"/>
                <w:kern w:val="0"/>
                <w:sz w:val="22"/>
                <w:szCs w:val="22"/>
                <w:highlight w:val="none"/>
              </w:rPr>
            </w:pPr>
            <w:r>
              <w:rPr>
                <w:rFonts w:hint="eastAsia" w:ascii="宋体" w:hAnsi="宋体" w:cs="宋体"/>
                <w:color w:val="auto"/>
                <w:kern w:val="0"/>
                <w:sz w:val="22"/>
                <w:szCs w:val="22"/>
                <w:highlight w:val="none"/>
              </w:rPr>
              <w:t>序号</w:t>
            </w: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306980E9">
            <w:pPr>
              <w:widowControl/>
              <w:jc w:val="center"/>
              <w:rPr>
                <w:rFonts w:cs="宋体"/>
                <w:color w:val="auto"/>
                <w:kern w:val="0"/>
                <w:sz w:val="22"/>
                <w:szCs w:val="22"/>
                <w:highlight w:val="none"/>
              </w:rPr>
            </w:pPr>
            <w:r>
              <w:rPr>
                <w:rFonts w:hint="eastAsia" w:ascii="宋体" w:hAnsi="宋体" w:cs="宋体"/>
                <w:color w:val="auto"/>
                <w:kern w:val="0"/>
                <w:sz w:val="22"/>
                <w:szCs w:val="22"/>
                <w:highlight w:val="none"/>
              </w:rPr>
              <w:t>设备</w:t>
            </w:r>
            <w:r>
              <w:rPr>
                <w:rFonts w:hint="eastAsia" w:cs="宋体"/>
                <w:color w:val="auto"/>
                <w:kern w:val="0"/>
                <w:sz w:val="22"/>
                <w:szCs w:val="22"/>
                <w:highlight w:val="none"/>
              </w:rPr>
              <w:t>、物资</w:t>
            </w:r>
            <w:r>
              <w:rPr>
                <w:rFonts w:hint="eastAsia" w:ascii="宋体" w:hAnsi="宋体" w:cs="宋体"/>
                <w:color w:val="auto"/>
                <w:kern w:val="0"/>
                <w:sz w:val="22"/>
                <w:szCs w:val="22"/>
                <w:highlight w:val="none"/>
              </w:rPr>
              <w:t>名称</w:t>
            </w: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32227376">
            <w:pPr>
              <w:widowControl/>
              <w:jc w:val="center"/>
              <w:rPr>
                <w:rFonts w:cs="宋体"/>
                <w:color w:val="auto"/>
                <w:kern w:val="0"/>
                <w:sz w:val="22"/>
                <w:szCs w:val="22"/>
                <w:highlight w:val="none"/>
              </w:rPr>
            </w:pPr>
            <w:r>
              <w:rPr>
                <w:rFonts w:hint="eastAsia" w:ascii="宋体" w:hAnsi="宋体" w:cs="宋体"/>
                <w:color w:val="auto"/>
                <w:kern w:val="0"/>
                <w:sz w:val="22"/>
                <w:szCs w:val="22"/>
                <w:highlight w:val="none"/>
              </w:rPr>
              <w:t>规格型号</w:t>
            </w: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17D34C06">
            <w:pPr>
              <w:widowControl/>
              <w:jc w:val="center"/>
              <w:rPr>
                <w:rFonts w:cs="宋体"/>
                <w:color w:val="auto"/>
                <w:kern w:val="0"/>
                <w:sz w:val="22"/>
                <w:szCs w:val="22"/>
                <w:highlight w:val="none"/>
              </w:rPr>
            </w:pPr>
            <w:r>
              <w:rPr>
                <w:rFonts w:hint="eastAsia" w:ascii="宋体" w:hAnsi="宋体" w:cs="宋体"/>
                <w:color w:val="auto"/>
                <w:kern w:val="0"/>
                <w:sz w:val="22"/>
                <w:szCs w:val="22"/>
                <w:highlight w:val="none"/>
              </w:rPr>
              <w:t>数量</w:t>
            </w: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601B2317">
            <w:pPr>
              <w:widowControl/>
              <w:jc w:val="center"/>
              <w:rPr>
                <w:rFonts w:cs="宋体"/>
                <w:color w:val="auto"/>
                <w:kern w:val="0"/>
                <w:sz w:val="22"/>
                <w:szCs w:val="22"/>
                <w:highlight w:val="none"/>
              </w:rPr>
            </w:pPr>
            <w:r>
              <w:rPr>
                <w:rFonts w:hint="eastAsia" w:ascii="宋体" w:hAnsi="宋体" w:cs="宋体"/>
                <w:color w:val="auto"/>
                <w:kern w:val="0"/>
                <w:sz w:val="22"/>
                <w:szCs w:val="22"/>
                <w:highlight w:val="none"/>
              </w:rPr>
              <w:t>备注</w:t>
            </w:r>
          </w:p>
        </w:tc>
      </w:tr>
      <w:tr w14:paraId="2EB05AC3">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5D55">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16F66B35">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1D43AE08">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1039EB6D">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2FF96408">
            <w:pPr>
              <w:widowControl/>
              <w:jc w:val="center"/>
              <w:rPr>
                <w:rFonts w:cs="宋体"/>
                <w:color w:val="auto"/>
                <w:kern w:val="0"/>
                <w:sz w:val="22"/>
                <w:szCs w:val="22"/>
                <w:highlight w:val="none"/>
              </w:rPr>
            </w:pPr>
          </w:p>
        </w:tc>
      </w:tr>
      <w:tr w14:paraId="36C7D031">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CD7D5">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5D1A08A2">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36F8BD4B">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4A7A4039">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2AA5CB51">
            <w:pPr>
              <w:widowControl/>
              <w:jc w:val="center"/>
              <w:rPr>
                <w:rFonts w:cs="宋体"/>
                <w:color w:val="auto"/>
                <w:kern w:val="0"/>
                <w:sz w:val="22"/>
                <w:szCs w:val="22"/>
                <w:highlight w:val="none"/>
              </w:rPr>
            </w:pPr>
          </w:p>
        </w:tc>
      </w:tr>
      <w:tr w14:paraId="61B30281">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1ABEF">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5F0DBCCB">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39256C19">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6FA1A6AE">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5084DC0F">
            <w:pPr>
              <w:widowControl/>
              <w:jc w:val="center"/>
              <w:rPr>
                <w:rFonts w:cs="宋体"/>
                <w:color w:val="auto"/>
                <w:kern w:val="0"/>
                <w:sz w:val="22"/>
                <w:szCs w:val="22"/>
                <w:highlight w:val="none"/>
              </w:rPr>
            </w:pPr>
          </w:p>
        </w:tc>
      </w:tr>
      <w:tr w14:paraId="1D4719F3">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AFF95">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070F212F">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5843FDEE">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6A0D4AE0">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5B189417">
            <w:pPr>
              <w:widowControl/>
              <w:jc w:val="center"/>
              <w:rPr>
                <w:rFonts w:cs="宋体"/>
                <w:color w:val="auto"/>
                <w:kern w:val="0"/>
                <w:sz w:val="22"/>
                <w:szCs w:val="22"/>
                <w:highlight w:val="none"/>
              </w:rPr>
            </w:pPr>
          </w:p>
        </w:tc>
      </w:tr>
      <w:tr w14:paraId="1E384E4E">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0D558">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352F3383">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619079FF">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1F126A02">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5A16B6C6">
            <w:pPr>
              <w:widowControl/>
              <w:jc w:val="center"/>
              <w:rPr>
                <w:rFonts w:cs="宋体"/>
                <w:color w:val="auto"/>
                <w:kern w:val="0"/>
                <w:sz w:val="22"/>
                <w:szCs w:val="22"/>
                <w:highlight w:val="none"/>
              </w:rPr>
            </w:pPr>
          </w:p>
        </w:tc>
      </w:tr>
      <w:tr w14:paraId="0312CC07">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1410A">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15472B73">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71A8F4C7">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3F4002C0">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371295B5">
            <w:pPr>
              <w:widowControl/>
              <w:jc w:val="center"/>
              <w:rPr>
                <w:rFonts w:cs="宋体"/>
                <w:color w:val="auto"/>
                <w:kern w:val="0"/>
                <w:sz w:val="22"/>
                <w:szCs w:val="22"/>
                <w:highlight w:val="none"/>
              </w:rPr>
            </w:pPr>
          </w:p>
        </w:tc>
      </w:tr>
      <w:tr w14:paraId="19A1243B">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AA24">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54AC23B4">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039D9953">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73C45AB7">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1A3EB59C">
            <w:pPr>
              <w:widowControl/>
              <w:jc w:val="center"/>
              <w:rPr>
                <w:rFonts w:cs="宋体"/>
                <w:color w:val="auto"/>
                <w:kern w:val="0"/>
                <w:sz w:val="22"/>
                <w:szCs w:val="22"/>
                <w:highlight w:val="none"/>
              </w:rPr>
            </w:pPr>
          </w:p>
        </w:tc>
      </w:tr>
      <w:tr w14:paraId="73F091C1">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C2F8D">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6BF4EF0A">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66808C43">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1932ADC7">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419CA016">
            <w:pPr>
              <w:widowControl/>
              <w:jc w:val="center"/>
              <w:rPr>
                <w:rFonts w:cs="宋体"/>
                <w:color w:val="auto"/>
                <w:kern w:val="0"/>
                <w:sz w:val="22"/>
                <w:szCs w:val="22"/>
                <w:highlight w:val="none"/>
              </w:rPr>
            </w:pPr>
          </w:p>
        </w:tc>
      </w:tr>
      <w:tr w14:paraId="4FE0532C">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DC17B">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6DD5843E">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56FFA381">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14302329">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2055FE68">
            <w:pPr>
              <w:widowControl/>
              <w:jc w:val="center"/>
              <w:rPr>
                <w:rFonts w:cs="宋体"/>
                <w:color w:val="auto"/>
                <w:kern w:val="0"/>
                <w:sz w:val="22"/>
                <w:szCs w:val="22"/>
                <w:highlight w:val="none"/>
              </w:rPr>
            </w:pPr>
          </w:p>
        </w:tc>
      </w:tr>
      <w:tr w14:paraId="59E3161E">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F0A1">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0D946CAE">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75B7BD82">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4EF4BA24">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456425AF">
            <w:pPr>
              <w:widowControl/>
              <w:jc w:val="center"/>
              <w:rPr>
                <w:rFonts w:cs="宋体"/>
                <w:color w:val="auto"/>
                <w:kern w:val="0"/>
                <w:sz w:val="22"/>
                <w:szCs w:val="22"/>
                <w:highlight w:val="none"/>
              </w:rPr>
            </w:pPr>
          </w:p>
        </w:tc>
      </w:tr>
      <w:tr w14:paraId="5ABEDE24">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61399">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5D3A733E">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22BBD2D0">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781FCB88">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0B274736">
            <w:pPr>
              <w:widowControl/>
              <w:jc w:val="center"/>
              <w:rPr>
                <w:rFonts w:cs="宋体"/>
                <w:color w:val="auto"/>
                <w:kern w:val="0"/>
                <w:sz w:val="22"/>
                <w:szCs w:val="22"/>
                <w:highlight w:val="none"/>
              </w:rPr>
            </w:pPr>
          </w:p>
        </w:tc>
      </w:tr>
      <w:tr w14:paraId="31C23A90">
        <w:tblPrEx>
          <w:tblCellMar>
            <w:top w:w="0" w:type="dxa"/>
            <w:left w:w="108" w:type="dxa"/>
            <w:bottom w:w="0" w:type="dxa"/>
            <w:right w:w="108" w:type="dxa"/>
          </w:tblCellMar>
        </w:tblPrEx>
        <w:trPr>
          <w:trHeight w:val="604"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42687">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4D4D1F39">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461F1EED">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046ABA37">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51581440">
            <w:pPr>
              <w:widowControl/>
              <w:jc w:val="center"/>
              <w:rPr>
                <w:rFonts w:cs="宋体"/>
                <w:color w:val="auto"/>
                <w:kern w:val="0"/>
                <w:sz w:val="22"/>
                <w:szCs w:val="22"/>
                <w:highlight w:val="none"/>
              </w:rPr>
            </w:pPr>
          </w:p>
        </w:tc>
      </w:tr>
      <w:tr w14:paraId="1D66B27A">
        <w:tblPrEx>
          <w:tblCellMar>
            <w:top w:w="0" w:type="dxa"/>
            <w:left w:w="108" w:type="dxa"/>
            <w:bottom w:w="0" w:type="dxa"/>
            <w:right w:w="108" w:type="dxa"/>
          </w:tblCellMar>
        </w:tblPrEx>
        <w:trPr>
          <w:trHeight w:val="623"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A1129">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52D7BF72">
            <w:pPr>
              <w:widowControl/>
              <w:jc w:val="center"/>
              <w:rPr>
                <w:rFonts w:cs="宋体"/>
                <w:color w:val="auto"/>
                <w:kern w:val="0"/>
                <w:sz w:val="22"/>
                <w:szCs w:val="22"/>
                <w:highlight w:val="none"/>
              </w:rPr>
            </w:pPr>
          </w:p>
        </w:tc>
        <w:tc>
          <w:tcPr>
            <w:tcW w:w="2236" w:type="dxa"/>
            <w:tcBorders>
              <w:top w:val="single" w:color="000000" w:sz="4" w:space="0"/>
              <w:left w:val="nil"/>
              <w:bottom w:val="single" w:color="000000" w:sz="4" w:space="0"/>
              <w:right w:val="single" w:color="000000" w:sz="4" w:space="0"/>
            </w:tcBorders>
            <w:shd w:val="clear" w:color="auto" w:fill="FFFFFF"/>
            <w:vAlign w:val="center"/>
          </w:tcPr>
          <w:p w14:paraId="3AB65541">
            <w:pPr>
              <w:widowControl/>
              <w:jc w:val="center"/>
              <w:rPr>
                <w:rFonts w:cs="宋体"/>
                <w:color w:val="auto"/>
                <w:kern w:val="0"/>
                <w:sz w:val="22"/>
                <w:szCs w:val="22"/>
                <w:highlight w:val="none"/>
              </w:rPr>
            </w:pPr>
          </w:p>
        </w:tc>
        <w:tc>
          <w:tcPr>
            <w:tcW w:w="1644" w:type="dxa"/>
            <w:tcBorders>
              <w:top w:val="single" w:color="000000" w:sz="4" w:space="0"/>
              <w:left w:val="nil"/>
              <w:bottom w:val="single" w:color="000000" w:sz="4" w:space="0"/>
              <w:right w:val="single" w:color="000000" w:sz="4" w:space="0"/>
            </w:tcBorders>
            <w:shd w:val="clear" w:color="auto" w:fill="FFFFFF"/>
            <w:vAlign w:val="center"/>
          </w:tcPr>
          <w:p w14:paraId="1F36EC82">
            <w:pPr>
              <w:widowControl/>
              <w:jc w:val="center"/>
              <w:rPr>
                <w:rFonts w:cs="宋体"/>
                <w:color w:val="auto"/>
                <w:kern w:val="0"/>
                <w:sz w:val="22"/>
                <w:szCs w:val="22"/>
                <w:highlight w:val="none"/>
              </w:rPr>
            </w:pPr>
          </w:p>
        </w:tc>
        <w:tc>
          <w:tcPr>
            <w:tcW w:w="1777" w:type="dxa"/>
            <w:tcBorders>
              <w:top w:val="single" w:color="000000" w:sz="4" w:space="0"/>
              <w:left w:val="nil"/>
              <w:bottom w:val="single" w:color="000000" w:sz="4" w:space="0"/>
              <w:right w:val="single" w:color="000000" w:sz="4" w:space="0"/>
            </w:tcBorders>
            <w:shd w:val="clear" w:color="auto" w:fill="FFFFFF"/>
            <w:vAlign w:val="center"/>
          </w:tcPr>
          <w:p w14:paraId="091E6B15">
            <w:pPr>
              <w:widowControl/>
              <w:jc w:val="center"/>
              <w:rPr>
                <w:rFonts w:cs="宋体"/>
                <w:color w:val="auto"/>
                <w:kern w:val="0"/>
                <w:sz w:val="22"/>
                <w:szCs w:val="22"/>
                <w:highlight w:val="none"/>
              </w:rPr>
            </w:pPr>
          </w:p>
        </w:tc>
      </w:tr>
    </w:tbl>
    <w:p w14:paraId="1045BE53">
      <w:pPr>
        <w:spacing w:line="360" w:lineRule="auto"/>
        <w:rPr>
          <w:rFonts w:ascii="宋体" w:cs="宋体"/>
          <w:color w:val="auto"/>
          <w:sz w:val="21"/>
          <w:szCs w:val="21"/>
          <w:highlight w:val="none"/>
        </w:rPr>
      </w:pPr>
      <w:r>
        <w:rPr>
          <w:rFonts w:hint="eastAsia" w:ascii="宋体" w:hAnsi="宋体" w:cs="宋体"/>
          <w:color w:val="auto"/>
          <w:sz w:val="21"/>
          <w:szCs w:val="21"/>
          <w:highlight w:val="none"/>
        </w:rPr>
        <w:t>注：表中业绩参照第四部分评分办法及评分标准中要求的提供。</w:t>
      </w:r>
    </w:p>
    <w:p w14:paraId="407F04CF">
      <w:pPr>
        <w:spacing w:line="360" w:lineRule="auto"/>
        <w:ind w:firstLine="4320" w:firstLineChars="1800"/>
        <w:rPr>
          <w:rFonts w:ascii="宋体" w:cs="宋体"/>
          <w:color w:val="auto"/>
          <w:sz w:val="21"/>
          <w:szCs w:val="21"/>
          <w:highlight w:val="none"/>
          <w:lang w:val="zh-CN"/>
        </w:rPr>
      </w:pPr>
      <w:r>
        <w:rPr>
          <w:rFonts w:ascii="宋体" w:hAnsi="宋体" w:cs="宋体"/>
          <w:color w:val="auto"/>
          <w:sz w:val="24"/>
          <w:highlight w:val="none"/>
        </w:rPr>
        <w:t xml:space="preserve">      </w:t>
      </w:r>
      <w:r>
        <w:rPr>
          <w:rFonts w:hint="eastAsia" w:ascii="宋体" w:hAnsi="宋体" w:cs="宋体"/>
          <w:color w:val="auto"/>
          <w:sz w:val="21"/>
          <w:szCs w:val="21"/>
          <w:highlight w:val="none"/>
        </w:rPr>
        <w:t>磋商人名称</w:t>
      </w:r>
      <w:r>
        <w:rPr>
          <w:rFonts w:hint="eastAsia" w:ascii="宋体" w:hAnsi="宋体" w:cs="宋体"/>
          <w:color w:val="auto"/>
          <w:sz w:val="21"/>
          <w:szCs w:val="21"/>
          <w:highlight w:val="none"/>
          <w:lang w:val="zh-CN"/>
        </w:rPr>
        <w:t>（盖单位章）：</w:t>
      </w:r>
    </w:p>
    <w:p w14:paraId="68D0BDC9">
      <w:pPr>
        <w:pStyle w:val="5"/>
        <w:spacing w:before="240" w:beforeLines="100" w:line="360" w:lineRule="auto"/>
        <w:rPr>
          <w:rFonts w:ascii="宋体" w:hAnsi="宋体" w:eastAsia="宋体"/>
          <w:bCs w:val="0"/>
          <w:color w:val="auto"/>
          <w:highlight w:val="none"/>
          <w:lang w:val="zh-CN"/>
        </w:rPr>
      </w:pPr>
      <w:r>
        <w:rPr>
          <w:rFonts w:ascii="宋体" w:hAnsi="宋体" w:eastAsia="宋体" w:cs="宋体"/>
          <w:color w:val="auto"/>
          <w:sz w:val="21"/>
          <w:szCs w:val="21"/>
          <w:highlight w:val="none"/>
          <w:lang w:val="zh-CN"/>
        </w:rPr>
        <w:t xml:space="preserve">                                               </w:t>
      </w:r>
      <w:r>
        <w:rPr>
          <w:rFonts w:ascii="宋体" w:hAnsi="宋体" w:eastAsia="宋体" w:cs="宋体"/>
          <w:color w:val="auto"/>
          <w:sz w:val="21"/>
          <w:szCs w:val="21"/>
          <w:highlight w:val="none"/>
        </w:rPr>
        <w:t xml:space="preserve"> </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日</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期：</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年</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月</w:t>
      </w:r>
      <w:r>
        <w:rPr>
          <w:rFonts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日</w:t>
      </w:r>
    </w:p>
    <w:p w14:paraId="2C042A54">
      <w:pPr>
        <w:rPr>
          <w:color w:val="auto"/>
          <w:highlight w:val="none"/>
          <w:lang w:val="zh-CN"/>
        </w:rPr>
      </w:pPr>
    </w:p>
    <w:p w14:paraId="5942629C">
      <w:pPr>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5409391">
      <w:pPr>
        <w:pStyle w:val="39"/>
        <w:rPr>
          <w:color w:val="auto"/>
          <w:highlight w:val="none"/>
          <w:lang w:eastAsia="zh-CN"/>
        </w:rPr>
      </w:pPr>
    </w:p>
    <w:bookmarkEnd w:id="113"/>
    <w:bookmarkEnd w:id="114"/>
    <w:bookmarkEnd w:id="115"/>
    <w:bookmarkEnd w:id="116"/>
    <w:bookmarkEnd w:id="117"/>
    <w:bookmarkEnd w:id="118"/>
    <w:bookmarkEnd w:id="119"/>
    <w:p w14:paraId="08F9BD33">
      <w:pPr>
        <w:rPr>
          <w:rFonts w:ascii="宋体" w:hAnsi="宋体" w:eastAsia="宋体" w:cs="宋体"/>
          <w:color w:val="auto"/>
          <w:sz w:val="21"/>
          <w:szCs w:val="21"/>
          <w:highlight w:val="none"/>
          <w:lang w:val="zh-CN"/>
        </w:rPr>
      </w:pPr>
    </w:p>
    <w:p w14:paraId="23D62B5A">
      <w:pPr>
        <w:pStyle w:val="12"/>
        <w:rPr>
          <w:color w:val="auto"/>
          <w:highlight w:val="none"/>
          <w:lang w:val="zh-CN"/>
        </w:rPr>
      </w:pPr>
    </w:p>
    <w:p w14:paraId="233487A6">
      <w:pPr>
        <w:pStyle w:val="5"/>
        <w:spacing w:before="240" w:beforeLines="100" w:after="0" w:line="360" w:lineRule="auto"/>
        <w:jc w:val="center"/>
        <w:rPr>
          <w:rFonts w:ascii="宋体" w:hAnsi="宋体" w:eastAsia="宋体"/>
          <w:bCs w:val="0"/>
          <w:color w:val="auto"/>
          <w:highlight w:val="none"/>
          <w:lang w:val="zh-CN"/>
        </w:rPr>
      </w:pPr>
      <w:bookmarkStart w:id="124" w:name="_Toc6104"/>
      <w:bookmarkStart w:id="125" w:name="_Toc11192"/>
      <w:r>
        <w:rPr>
          <w:rFonts w:hint="eastAsia" w:ascii="宋体" w:hAnsi="宋体" w:eastAsia="宋体"/>
          <w:bCs w:val="0"/>
          <w:color w:val="auto"/>
          <w:highlight w:val="none"/>
          <w:lang w:val="zh-CN"/>
        </w:rPr>
        <w:t>3、报价文件格式</w:t>
      </w:r>
      <w:bookmarkEnd w:id="111"/>
      <w:bookmarkEnd w:id="112"/>
      <w:bookmarkEnd w:id="124"/>
      <w:bookmarkEnd w:id="125"/>
    </w:p>
    <w:p w14:paraId="040AC3B0">
      <w:pPr>
        <w:spacing w:before="100" w:beforeAutospacing="1"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目   录</w:t>
      </w:r>
    </w:p>
    <w:p w14:paraId="6E7B6CFE">
      <w:pPr>
        <w:spacing w:line="480" w:lineRule="auto"/>
        <w:jc w:val="center"/>
        <w:rPr>
          <w:rFonts w:ascii="宋体" w:hAnsi="宋体" w:cs="宋体"/>
          <w:color w:val="auto"/>
          <w:sz w:val="24"/>
          <w:highlight w:val="none"/>
        </w:rPr>
      </w:pPr>
      <w:r>
        <w:rPr>
          <w:rFonts w:hint="eastAsia" w:ascii="宋体" w:hAnsi="宋体" w:cs="宋体"/>
          <w:color w:val="auto"/>
          <w:sz w:val="24"/>
          <w:highlight w:val="none"/>
        </w:rPr>
        <w:t>（供应商可参考采购文件“第三部分 磋商须知”报价文件组成要求编排）</w:t>
      </w:r>
    </w:p>
    <w:p w14:paraId="64F23F8C">
      <w:pPr>
        <w:snapToGrid w:val="0"/>
        <w:spacing w:before="50" w:after="50"/>
        <w:jc w:val="center"/>
        <w:rPr>
          <w:rFonts w:ascii="宋体" w:hAnsi="宋体" w:eastAsia="宋体" w:cs="宋体"/>
          <w:b/>
          <w:color w:val="auto"/>
          <w:sz w:val="24"/>
          <w:highlight w:val="none"/>
        </w:rPr>
      </w:pPr>
    </w:p>
    <w:p w14:paraId="79B6A42C">
      <w:pPr>
        <w:pStyle w:val="13"/>
        <w:ind w:firstLine="241"/>
        <w:rPr>
          <w:rFonts w:ascii="宋体" w:hAnsi="宋体" w:eastAsia="宋体" w:cs="宋体"/>
          <w:b/>
          <w:color w:val="auto"/>
          <w:sz w:val="24"/>
          <w:szCs w:val="24"/>
          <w:highlight w:val="none"/>
        </w:rPr>
      </w:pPr>
    </w:p>
    <w:p w14:paraId="08F45CE5">
      <w:pPr>
        <w:pStyle w:val="13"/>
        <w:ind w:firstLine="241"/>
        <w:rPr>
          <w:rFonts w:ascii="宋体" w:hAnsi="宋体" w:eastAsia="宋体" w:cs="宋体"/>
          <w:b/>
          <w:color w:val="auto"/>
          <w:sz w:val="24"/>
          <w:szCs w:val="24"/>
          <w:highlight w:val="none"/>
        </w:rPr>
      </w:pPr>
    </w:p>
    <w:p w14:paraId="723E6C74">
      <w:pPr>
        <w:pStyle w:val="13"/>
        <w:ind w:firstLine="241"/>
        <w:rPr>
          <w:rFonts w:ascii="宋体" w:hAnsi="宋体" w:eastAsia="宋体" w:cs="宋体"/>
          <w:b/>
          <w:color w:val="auto"/>
          <w:sz w:val="24"/>
          <w:szCs w:val="24"/>
          <w:highlight w:val="none"/>
        </w:rPr>
      </w:pPr>
    </w:p>
    <w:p w14:paraId="6EB734D1">
      <w:pPr>
        <w:pStyle w:val="13"/>
        <w:ind w:firstLine="241"/>
        <w:rPr>
          <w:rFonts w:ascii="宋体" w:hAnsi="宋体" w:eastAsia="宋体" w:cs="宋体"/>
          <w:b/>
          <w:color w:val="auto"/>
          <w:sz w:val="24"/>
          <w:szCs w:val="24"/>
          <w:highlight w:val="none"/>
        </w:rPr>
      </w:pPr>
    </w:p>
    <w:p w14:paraId="70699274">
      <w:pPr>
        <w:pStyle w:val="13"/>
        <w:ind w:firstLine="241"/>
        <w:rPr>
          <w:rFonts w:ascii="宋体" w:hAnsi="宋体" w:eastAsia="宋体" w:cs="宋体"/>
          <w:b/>
          <w:color w:val="auto"/>
          <w:sz w:val="24"/>
          <w:szCs w:val="24"/>
          <w:highlight w:val="none"/>
        </w:rPr>
      </w:pPr>
    </w:p>
    <w:p w14:paraId="64EBA7CB">
      <w:pPr>
        <w:pStyle w:val="13"/>
        <w:ind w:firstLine="241"/>
        <w:rPr>
          <w:rFonts w:ascii="宋体" w:hAnsi="宋体" w:eastAsia="宋体" w:cs="宋体"/>
          <w:b/>
          <w:color w:val="auto"/>
          <w:sz w:val="24"/>
          <w:szCs w:val="24"/>
          <w:highlight w:val="none"/>
        </w:rPr>
      </w:pPr>
    </w:p>
    <w:p w14:paraId="35BE1C80">
      <w:pPr>
        <w:pStyle w:val="13"/>
        <w:ind w:firstLine="241"/>
        <w:rPr>
          <w:rFonts w:ascii="宋体" w:hAnsi="宋体" w:eastAsia="宋体" w:cs="宋体"/>
          <w:b/>
          <w:color w:val="auto"/>
          <w:sz w:val="24"/>
          <w:szCs w:val="24"/>
          <w:highlight w:val="none"/>
        </w:rPr>
      </w:pPr>
    </w:p>
    <w:p w14:paraId="24C34DA0">
      <w:pPr>
        <w:pStyle w:val="13"/>
        <w:ind w:firstLine="241"/>
        <w:rPr>
          <w:rFonts w:ascii="宋体" w:hAnsi="宋体" w:eastAsia="宋体" w:cs="宋体"/>
          <w:b/>
          <w:color w:val="auto"/>
          <w:sz w:val="24"/>
          <w:szCs w:val="24"/>
          <w:highlight w:val="none"/>
        </w:rPr>
      </w:pPr>
    </w:p>
    <w:p w14:paraId="2C6C642B">
      <w:pPr>
        <w:pStyle w:val="13"/>
        <w:ind w:firstLine="241"/>
        <w:rPr>
          <w:rFonts w:ascii="宋体" w:hAnsi="宋体" w:eastAsia="宋体" w:cs="宋体"/>
          <w:b/>
          <w:color w:val="auto"/>
          <w:sz w:val="24"/>
          <w:szCs w:val="24"/>
          <w:highlight w:val="none"/>
        </w:rPr>
      </w:pPr>
    </w:p>
    <w:p w14:paraId="60CE813A">
      <w:pPr>
        <w:pStyle w:val="13"/>
        <w:ind w:firstLine="241"/>
        <w:rPr>
          <w:rFonts w:ascii="宋体" w:hAnsi="宋体" w:eastAsia="宋体" w:cs="宋体"/>
          <w:b/>
          <w:color w:val="auto"/>
          <w:sz w:val="24"/>
          <w:szCs w:val="24"/>
          <w:highlight w:val="none"/>
        </w:rPr>
      </w:pPr>
    </w:p>
    <w:p w14:paraId="133953EE">
      <w:pPr>
        <w:pStyle w:val="13"/>
        <w:ind w:firstLine="241"/>
        <w:rPr>
          <w:rFonts w:ascii="宋体" w:hAnsi="宋体" w:eastAsia="宋体" w:cs="宋体"/>
          <w:b/>
          <w:color w:val="auto"/>
          <w:sz w:val="24"/>
          <w:szCs w:val="24"/>
          <w:highlight w:val="none"/>
        </w:rPr>
      </w:pPr>
    </w:p>
    <w:p w14:paraId="69A61D64">
      <w:pPr>
        <w:pStyle w:val="13"/>
        <w:ind w:firstLine="241"/>
        <w:rPr>
          <w:rFonts w:ascii="宋体" w:hAnsi="宋体" w:eastAsia="宋体" w:cs="宋体"/>
          <w:b/>
          <w:color w:val="auto"/>
          <w:sz w:val="24"/>
          <w:szCs w:val="24"/>
          <w:highlight w:val="none"/>
        </w:rPr>
      </w:pPr>
    </w:p>
    <w:p w14:paraId="35C4AFDF">
      <w:pPr>
        <w:pStyle w:val="13"/>
        <w:ind w:firstLine="241"/>
        <w:rPr>
          <w:rFonts w:ascii="宋体" w:hAnsi="宋体" w:eastAsia="宋体" w:cs="宋体"/>
          <w:b/>
          <w:color w:val="auto"/>
          <w:sz w:val="24"/>
          <w:szCs w:val="24"/>
          <w:highlight w:val="none"/>
        </w:rPr>
      </w:pPr>
    </w:p>
    <w:p w14:paraId="57A5BA2A">
      <w:pPr>
        <w:pStyle w:val="13"/>
        <w:ind w:firstLine="241"/>
        <w:rPr>
          <w:rFonts w:ascii="宋体" w:hAnsi="宋体" w:eastAsia="宋体" w:cs="宋体"/>
          <w:b/>
          <w:color w:val="auto"/>
          <w:sz w:val="24"/>
          <w:szCs w:val="24"/>
          <w:highlight w:val="none"/>
        </w:rPr>
      </w:pPr>
    </w:p>
    <w:p w14:paraId="5BD2AEEC">
      <w:pPr>
        <w:pStyle w:val="13"/>
        <w:ind w:firstLine="241"/>
        <w:rPr>
          <w:rFonts w:ascii="宋体" w:hAnsi="宋体" w:eastAsia="宋体" w:cs="宋体"/>
          <w:b/>
          <w:color w:val="auto"/>
          <w:sz w:val="24"/>
          <w:szCs w:val="24"/>
          <w:highlight w:val="none"/>
        </w:rPr>
      </w:pPr>
    </w:p>
    <w:p w14:paraId="5F525BC5">
      <w:pPr>
        <w:pStyle w:val="13"/>
        <w:ind w:firstLine="241"/>
        <w:rPr>
          <w:rFonts w:ascii="宋体" w:hAnsi="宋体" w:eastAsia="宋体" w:cs="宋体"/>
          <w:b/>
          <w:color w:val="auto"/>
          <w:sz w:val="24"/>
          <w:szCs w:val="24"/>
          <w:highlight w:val="none"/>
        </w:rPr>
      </w:pPr>
    </w:p>
    <w:p w14:paraId="38BE4FF2">
      <w:pPr>
        <w:pStyle w:val="13"/>
        <w:ind w:firstLine="241"/>
        <w:rPr>
          <w:rFonts w:ascii="宋体" w:hAnsi="宋体" w:eastAsia="宋体" w:cs="宋体"/>
          <w:b/>
          <w:color w:val="auto"/>
          <w:sz w:val="24"/>
          <w:szCs w:val="24"/>
          <w:highlight w:val="none"/>
        </w:rPr>
      </w:pPr>
    </w:p>
    <w:p w14:paraId="35E1486D">
      <w:pPr>
        <w:pStyle w:val="13"/>
        <w:ind w:firstLine="241"/>
        <w:rPr>
          <w:rFonts w:ascii="宋体" w:hAnsi="宋体" w:eastAsia="宋体" w:cs="宋体"/>
          <w:b/>
          <w:color w:val="auto"/>
          <w:sz w:val="24"/>
          <w:szCs w:val="24"/>
          <w:highlight w:val="none"/>
        </w:rPr>
      </w:pPr>
    </w:p>
    <w:p w14:paraId="6B308B25">
      <w:pPr>
        <w:pStyle w:val="13"/>
        <w:ind w:firstLine="241"/>
        <w:rPr>
          <w:rFonts w:ascii="宋体" w:hAnsi="宋体" w:eastAsia="宋体" w:cs="宋体"/>
          <w:b/>
          <w:color w:val="auto"/>
          <w:sz w:val="24"/>
          <w:szCs w:val="24"/>
          <w:highlight w:val="none"/>
        </w:rPr>
      </w:pPr>
    </w:p>
    <w:p w14:paraId="33F2F0A8">
      <w:pPr>
        <w:pStyle w:val="13"/>
        <w:ind w:firstLine="241"/>
        <w:rPr>
          <w:rFonts w:ascii="宋体" w:hAnsi="宋体" w:eastAsia="宋体" w:cs="宋体"/>
          <w:b/>
          <w:color w:val="auto"/>
          <w:sz w:val="24"/>
          <w:szCs w:val="24"/>
          <w:highlight w:val="none"/>
        </w:rPr>
      </w:pPr>
    </w:p>
    <w:p w14:paraId="70AAFDE9">
      <w:pPr>
        <w:pStyle w:val="13"/>
        <w:ind w:firstLine="241"/>
        <w:rPr>
          <w:rFonts w:ascii="宋体" w:hAnsi="宋体" w:eastAsia="宋体" w:cs="宋体"/>
          <w:b/>
          <w:color w:val="auto"/>
          <w:sz w:val="24"/>
          <w:szCs w:val="24"/>
          <w:highlight w:val="none"/>
        </w:rPr>
      </w:pPr>
    </w:p>
    <w:p w14:paraId="24428E2C">
      <w:pPr>
        <w:pStyle w:val="13"/>
        <w:ind w:firstLine="241"/>
        <w:rPr>
          <w:rFonts w:ascii="宋体" w:hAnsi="宋体" w:eastAsia="宋体" w:cs="宋体"/>
          <w:b/>
          <w:color w:val="auto"/>
          <w:sz w:val="24"/>
          <w:szCs w:val="24"/>
          <w:highlight w:val="none"/>
        </w:rPr>
      </w:pPr>
    </w:p>
    <w:p w14:paraId="5F15A92B">
      <w:pPr>
        <w:pStyle w:val="13"/>
        <w:ind w:firstLine="241"/>
        <w:rPr>
          <w:rFonts w:ascii="宋体" w:hAnsi="宋体" w:eastAsia="宋体" w:cs="宋体"/>
          <w:b/>
          <w:color w:val="auto"/>
          <w:sz w:val="24"/>
          <w:szCs w:val="24"/>
          <w:highlight w:val="none"/>
        </w:rPr>
      </w:pPr>
    </w:p>
    <w:p w14:paraId="220AABD0">
      <w:pPr>
        <w:pStyle w:val="13"/>
        <w:ind w:firstLine="241"/>
        <w:rPr>
          <w:rFonts w:ascii="宋体" w:hAnsi="宋体" w:eastAsia="宋体" w:cs="宋体"/>
          <w:b/>
          <w:color w:val="auto"/>
          <w:sz w:val="24"/>
          <w:szCs w:val="24"/>
          <w:highlight w:val="none"/>
        </w:rPr>
      </w:pPr>
    </w:p>
    <w:p w14:paraId="10334E17">
      <w:pPr>
        <w:rPr>
          <w:rFonts w:ascii="宋体" w:hAnsi="宋体" w:eastAsia="宋体" w:cs="宋体"/>
          <w:b/>
          <w:color w:val="auto"/>
          <w:sz w:val="24"/>
          <w:highlight w:val="none"/>
          <w:lang w:val="zh-CN"/>
        </w:rPr>
      </w:pPr>
      <w:r>
        <w:rPr>
          <w:rFonts w:hint="eastAsia" w:ascii="宋体" w:hAnsi="宋体" w:eastAsia="宋体" w:cs="宋体"/>
          <w:b/>
          <w:color w:val="auto"/>
          <w:sz w:val="24"/>
          <w:highlight w:val="none"/>
        </w:rPr>
        <w:t>附件十</w:t>
      </w: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w:t>
      </w:r>
    </w:p>
    <w:p w14:paraId="3856B7B1">
      <w:pPr>
        <w:snapToGrid w:val="0"/>
        <w:spacing w:before="50" w:after="50"/>
        <w:jc w:val="center"/>
        <w:rPr>
          <w:rFonts w:ascii="宋体" w:hAnsi="宋体" w:eastAsia="宋体" w:cs="宋体"/>
          <w:b/>
          <w:color w:val="auto"/>
          <w:sz w:val="24"/>
          <w:highlight w:val="none"/>
        </w:rPr>
      </w:pPr>
    </w:p>
    <w:p w14:paraId="08C95881">
      <w:pPr>
        <w:snapToGrid w:val="0"/>
        <w:spacing w:before="50" w:after="5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磋商报价一览表（首次报价）</w:t>
      </w:r>
    </w:p>
    <w:p w14:paraId="64B2082D">
      <w:pPr>
        <w:snapToGrid w:val="0"/>
        <w:spacing w:before="50" w:after="50" w:line="360" w:lineRule="auto"/>
        <w:ind w:right="-1058" w:rightChars="-294"/>
        <w:jc w:val="left"/>
        <w:rPr>
          <w:rFonts w:ascii="宋体" w:hAnsi="宋体" w:eastAsia="宋体" w:cs="宋体"/>
          <w:color w:val="auto"/>
          <w:sz w:val="24"/>
          <w:highlight w:val="none"/>
        </w:rPr>
      </w:pPr>
    </w:p>
    <w:p w14:paraId="4BA505C2">
      <w:pPr>
        <w:snapToGrid w:val="0"/>
        <w:spacing w:before="50" w:after="50" w:line="360" w:lineRule="auto"/>
        <w:ind w:right="-1058" w:rightChars="-294"/>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2024年-2025年仙居县所有国、省道及县道公路绿化管护服务项目(重新招标）</w:t>
      </w:r>
    </w:p>
    <w:p w14:paraId="27AA3DAC">
      <w:pPr>
        <w:snapToGrid w:val="0"/>
        <w:spacing w:before="50" w:after="50" w:line="360" w:lineRule="auto"/>
        <w:ind w:right="-1058" w:rightChars="-294"/>
        <w:jc w:val="left"/>
        <w:rPr>
          <w:rFonts w:ascii="宋体" w:hAnsi="宋体" w:eastAsia="宋体" w:cs="宋体"/>
          <w:color w:val="auto"/>
          <w:sz w:val="24"/>
          <w:highlight w:val="none"/>
        </w:rPr>
      </w:pPr>
      <w:r>
        <w:rPr>
          <w:rFonts w:hint="eastAsia" w:hAnsi="宋体" w:eastAsia="宋体"/>
          <w:color w:val="FF0000"/>
          <w:sz w:val="24"/>
          <w:highlight w:val="none"/>
          <w:u w:val="none"/>
          <w:lang w:eastAsia="zh-CN"/>
        </w:rPr>
        <w:t>标项：</w:t>
      </w:r>
      <w:r>
        <w:rPr>
          <w:rFonts w:hint="eastAsia" w:hAnsi="宋体" w:eastAsia="宋体"/>
          <w:color w:val="FF0000"/>
          <w:sz w:val="24"/>
          <w:highlight w:val="none"/>
          <w:u w:val="none"/>
          <w:lang w:val="en-US" w:eastAsia="zh-CN"/>
        </w:rPr>
        <w:t xml:space="preserve"> </w:t>
      </w:r>
      <w:r>
        <w:rPr>
          <w:rFonts w:hint="eastAsia" w:hAnsi="宋体" w:eastAsia="宋体"/>
          <w:color w:val="FF0000"/>
          <w:sz w:val="24"/>
          <w:highlight w:val="none"/>
          <w:u w:val="single"/>
          <w:lang w:val="en-US" w:eastAsia="zh-CN"/>
        </w:rPr>
        <w:t xml:space="preserve">         </w:t>
      </w:r>
      <w:r>
        <w:rPr>
          <w:rFonts w:hint="eastAsia" w:hAnsi="宋体" w:eastAsia="宋体"/>
          <w:color w:val="FF0000"/>
          <w:sz w:val="24"/>
          <w:highlight w:val="none"/>
          <w:u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olor w:val="auto"/>
          <w:sz w:val="24"/>
          <w:highlight w:val="none"/>
        </w:rPr>
        <w:t>[货币单位：人民币元]</w:t>
      </w:r>
    </w:p>
    <w:tbl>
      <w:tblPr>
        <w:tblStyle w:val="27"/>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830"/>
        <w:gridCol w:w="2797"/>
        <w:gridCol w:w="2797"/>
      </w:tblGrid>
      <w:tr w14:paraId="5869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634" w:type="dxa"/>
            <w:vMerge w:val="restart"/>
            <w:vAlign w:val="center"/>
          </w:tcPr>
          <w:p w14:paraId="3C5D90F5">
            <w:pPr>
              <w:snapToGrid w:val="0"/>
              <w:spacing w:line="0" w:lineRule="atLeast"/>
              <w:ind w:firstLine="240" w:firstLineChars="100"/>
              <w:jc w:val="left"/>
              <w:rPr>
                <w:rFonts w:ascii="宋体" w:hAnsi="宋体"/>
                <w:b/>
                <w:bCs/>
                <w:color w:val="auto"/>
                <w:sz w:val="24"/>
                <w:highlight w:val="none"/>
              </w:rPr>
            </w:pPr>
            <w:r>
              <w:rPr>
                <w:rFonts w:hint="eastAsia" w:ascii="宋体" w:hAnsi="宋体"/>
                <w:b/>
                <w:bCs/>
                <w:color w:val="auto"/>
                <w:sz w:val="24"/>
                <w:highlight w:val="none"/>
              </w:rPr>
              <w:t>磋商报价</w:t>
            </w:r>
          </w:p>
        </w:tc>
        <w:tc>
          <w:tcPr>
            <w:tcW w:w="830" w:type="dxa"/>
            <w:vAlign w:val="center"/>
          </w:tcPr>
          <w:p w14:paraId="270A5BBC">
            <w:pPr>
              <w:snapToGrid w:val="0"/>
              <w:spacing w:line="0" w:lineRule="atLeast"/>
              <w:jc w:val="left"/>
              <w:rPr>
                <w:rFonts w:ascii="宋体" w:hAnsi="宋体" w:eastAsia="宋体"/>
                <w:b/>
                <w:bCs/>
                <w:color w:val="auto"/>
                <w:sz w:val="21"/>
                <w:szCs w:val="21"/>
                <w:highlight w:val="none"/>
              </w:rPr>
            </w:pPr>
            <w:r>
              <w:rPr>
                <w:rFonts w:hint="eastAsia" w:ascii="宋体" w:hAnsi="宋体"/>
                <w:b/>
                <w:bCs/>
                <w:color w:val="auto"/>
                <w:sz w:val="21"/>
                <w:szCs w:val="21"/>
                <w:highlight w:val="none"/>
              </w:rPr>
              <w:t>大写</w:t>
            </w:r>
          </w:p>
        </w:tc>
        <w:tc>
          <w:tcPr>
            <w:tcW w:w="2797" w:type="dxa"/>
            <w:vAlign w:val="center"/>
          </w:tcPr>
          <w:p w14:paraId="128EDDD1">
            <w:pPr>
              <w:snapToGrid w:val="0"/>
              <w:spacing w:line="0" w:lineRule="atLeast"/>
              <w:jc w:val="left"/>
              <w:rPr>
                <w:rFonts w:ascii="宋体" w:hAnsi="宋体"/>
                <w:b/>
                <w:bCs/>
                <w:color w:val="auto"/>
                <w:sz w:val="24"/>
                <w:highlight w:val="none"/>
              </w:rPr>
            </w:pPr>
            <w:r>
              <w:rPr>
                <w:rFonts w:hint="eastAsia" w:ascii="宋体" w:hAnsi="宋体" w:eastAsia="宋体" w:cs="宋体"/>
                <w:b/>
                <w:bCs/>
                <w:color w:val="auto"/>
                <w:sz w:val="21"/>
                <w:szCs w:val="21"/>
                <w:highlight w:val="none"/>
              </w:rPr>
              <w:t>人民币：</w:t>
            </w:r>
            <w:r>
              <w:rPr>
                <w:rFonts w:hint="eastAsia" w:ascii="宋体" w:hAnsi="宋体" w:eastAsia="宋体" w:cs="宋体"/>
                <w:b/>
                <w:bCs/>
                <w:color w:val="auto"/>
                <w:sz w:val="21"/>
                <w:szCs w:val="21"/>
                <w:highlight w:val="none"/>
                <w:u w:val="single"/>
              </w:rPr>
              <w:t xml:space="preserve">                      </w:t>
            </w:r>
          </w:p>
        </w:tc>
        <w:tc>
          <w:tcPr>
            <w:tcW w:w="2797" w:type="dxa"/>
            <w:vMerge w:val="restart"/>
            <w:vAlign w:val="center"/>
          </w:tcPr>
          <w:p w14:paraId="611BA324">
            <w:pPr>
              <w:snapToGrid w:val="0"/>
              <w:spacing w:line="0" w:lineRule="atLeast"/>
              <w:jc w:val="left"/>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服务期限为二年，合同一年一签。合同当年度考核分达到 90分及以上，可以签订下一年合同。（考核表详见合同附件）</w:t>
            </w:r>
          </w:p>
        </w:tc>
      </w:tr>
      <w:tr w14:paraId="4209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34" w:type="dxa"/>
            <w:vMerge w:val="continue"/>
            <w:vAlign w:val="center"/>
          </w:tcPr>
          <w:p w14:paraId="1C37AB92">
            <w:pPr>
              <w:snapToGrid w:val="0"/>
              <w:spacing w:line="0" w:lineRule="atLeast"/>
              <w:jc w:val="center"/>
              <w:rPr>
                <w:rFonts w:ascii="宋体" w:hAnsi="宋体"/>
                <w:b/>
                <w:bCs/>
                <w:color w:val="auto"/>
                <w:sz w:val="24"/>
                <w:highlight w:val="none"/>
              </w:rPr>
            </w:pPr>
          </w:p>
        </w:tc>
        <w:tc>
          <w:tcPr>
            <w:tcW w:w="830" w:type="dxa"/>
            <w:vAlign w:val="center"/>
          </w:tcPr>
          <w:p w14:paraId="398825CB">
            <w:pPr>
              <w:snapToGrid w:val="0"/>
              <w:spacing w:line="0" w:lineRule="atLeast"/>
              <w:jc w:val="left"/>
              <w:rPr>
                <w:rFonts w:ascii="宋体" w:hAnsi="宋体" w:eastAsia="宋体"/>
                <w:b/>
                <w:bCs/>
                <w:color w:val="auto"/>
                <w:sz w:val="21"/>
                <w:szCs w:val="21"/>
                <w:highlight w:val="none"/>
              </w:rPr>
            </w:pPr>
            <w:r>
              <w:rPr>
                <w:rFonts w:hint="eastAsia" w:ascii="宋体" w:hAnsi="宋体"/>
                <w:b/>
                <w:bCs/>
                <w:color w:val="auto"/>
                <w:sz w:val="21"/>
                <w:szCs w:val="21"/>
                <w:highlight w:val="none"/>
              </w:rPr>
              <w:t>小写</w:t>
            </w:r>
          </w:p>
        </w:tc>
        <w:tc>
          <w:tcPr>
            <w:tcW w:w="2797" w:type="dxa"/>
            <w:vAlign w:val="center"/>
          </w:tcPr>
          <w:p w14:paraId="612974F3">
            <w:pPr>
              <w:snapToGrid w:val="0"/>
              <w:spacing w:line="0" w:lineRule="atLeast"/>
              <w:jc w:val="left"/>
              <w:rPr>
                <w:rFonts w:ascii="宋体" w:hAnsi="宋体"/>
                <w:b/>
                <w:bCs/>
                <w:color w:val="auto"/>
                <w:sz w:val="24"/>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tc>
        <w:tc>
          <w:tcPr>
            <w:tcW w:w="2797" w:type="dxa"/>
            <w:vMerge w:val="continue"/>
            <w:vAlign w:val="center"/>
          </w:tcPr>
          <w:p w14:paraId="79F23087">
            <w:pPr>
              <w:snapToGrid w:val="0"/>
              <w:spacing w:line="0" w:lineRule="atLeast"/>
              <w:jc w:val="left"/>
              <w:rPr>
                <w:rFonts w:hint="eastAsia" w:ascii="宋体" w:hAnsi="宋体" w:eastAsia="宋体" w:cs="宋体"/>
                <w:b/>
                <w:bCs/>
                <w:color w:val="auto"/>
                <w:sz w:val="21"/>
                <w:szCs w:val="21"/>
                <w:highlight w:val="none"/>
              </w:rPr>
            </w:pPr>
          </w:p>
        </w:tc>
      </w:tr>
    </w:tbl>
    <w:p w14:paraId="64AD8D74">
      <w:pPr>
        <w:snapToGrid w:val="0"/>
        <w:spacing w:before="50" w:after="50" w:line="360" w:lineRule="auto"/>
        <w:ind w:right="-1058" w:rightChars="-294"/>
        <w:jc w:val="left"/>
        <w:rPr>
          <w:rFonts w:ascii="宋体" w:hAnsi="宋体" w:eastAsia="宋体" w:cs="宋体"/>
          <w:color w:val="auto"/>
          <w:sz w:val="24"/>
          <w:highlight w:val="none"/>
        </w:rPr>
      </w:pPr>
    </w:p>
    <w:p w14:paraId="55DF0124">
      <w:pPr>
        <w:snapToGrid w:val="0"/>
        <w:spacing w:before="50" w:after="50" w:line="360" w:lineRule="auto"/>
        <w:jc w:val="left"/>
        <w:rPr>
          <w:rFonts w:ascii="宋体" w:hAnsi="宋体" w:eastAsia="宋体" w:cs="宋体"/>
          <w:color w:val="auto"/>
          <w:sz w:val="24"/>
          <w:highlight w:val="none"/>
        </w:rPr>
      </w:pPr>
      <w:r>
        <w:rPr>
          <w:rFonts w:hint="eastAsia" w:ascii="宋体" w:hAnsi="宋体" w:eastAsia="宋体" w:cs="宋体"/>
          <w:b/>
          <w:color w:val="auto"/>
          <w:sz w:val="24"/>
          <w:highlight w:val="none"/>
        </w:rPr>
        <w:t xml:space="preserve">注: </w:t>
      </w:r>
      <w:r>
        <w:rPr>
          <w:rFonts w:hint="eastAsia" w:ascii="宋体" w:hAnsi="宋体" w:eastAsia="宋体" w:cs="宋体"/>
          <w:color w:val="auto"/>
          <w:sz w:val="24"/>
          <w:highlight w:val="none"/>
        </w:rPr>
        <w:t>1、磋商报价指包括项目实施所需的一切人员工资、奖金、各种加班费、节假日补贴、各种社会保险、安全保险、食宿与交通、设备及工具、器材、消耗材料、管理费用、人工费、材料费、税金、利润、采购代理服务费等完成合同所需的一切本身和不可或缺的所有工作开支、政策性文件规定及合同包含的所有风险、责任等各项全部费用并承担一切风险责任。</w:t>
      </w:r>
    </w:p>
    <w:p w14:paraId="4E6C456D">
      <w:pPr>
        <w:snapToGrid w:val="0"/>
        <w:spacing w:before="50" w:after="50"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2、报价一经涂改，应在涂改处加盖单位公章，或者由法定代表人或全权代表签字或盖章，否则其磋商无效。</w:t>
      </w:r>
    </w:p>
    <w:p w14:paraId="551C0DBD">
      <w:pPr>
        <w:pStyle w:val="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3、报价保留整数，小数点后第一位四舍五入。</w:t>
      </w:r>
    </w:p>
    <w:p w14:paraId="3A37E95F">
      <w:pPr>
        <w:snapToGrid w:val="0"/>
        <w:spacing w:before="50" w:after="50"/>
        <w:ind w:right="-1400" w:rightChars="-389"/>
        <w:rPr>
          <w:rFonts w:ascii="宋体" w:hAnsi="宋体" w:eastAsia="宋体" w:cs="宋体"/>
          <w:color w:val="auto"/>
          <w:sz w:val="24"/>
          <w:highlight w:val="none"/>
        </w:rPr>
      </w:pPr>
    </w:p>
    <w:p w14:paraId="580C0DF3">
      <w:pPr>
        <w:snapToGrid w:val="0"/>
        <w:spacing w:before="50" w:after="50"/>
        <w:ind w:right="-1400" w:rightChars="-389"/>
        <w:rPr>
          <w:rFonts w:ascii="宋体" w:hAnsi="宋体" w:eastAsia="宋体" w:cs="宋体"/>
          <w:color w:val="auto"/>
          <w:sz w:val="24"/>
          <w:highlight w:val="none"/>
        </w:rPr>
      </w:pPr>
    </w:p>
    <w:p w14:paraId="5B8875B1">
      <w:pPr>
        <w:snapToGrid w:val="0"/>
        <w:spacing w:before="50" w:after="50"/>
        <w:ind w:left="-111" w:leftChars="-72" w:right="-1400" w:rightChars="-389" w:hanging="148" w:hangingChars="62"/>
        <w:rPr>
          <w:rFonts w:ascii="宋体" w:hAnsi="宋体" w:eastAsia="宋体" w:cs="宋体"/>
          <w:color w:val="auto"/>
          <w:sz w:val="24"/>
          <w:highlight w:val="none"/>
        </w:rPr>
      </w:pPr>
    </w:p>
    <w:p w14:paraId="7F8AF4E3">
      <w:pPr>
        <w:snapToGrid w:val="0"/>
        <w:spacing w:before="50" w:after="50"/>
        <w:ind w:left="-111" w:leftChars="-72" w:right="-1400" w:rightChars="-389" w:hanging="148" w:hangingChars="62"/>
        <w:rPr>
          <w:rFonts w:ascii="宋体" w:hAnsi="宋体" w:eastAsia="宋体" w:cs="宋体"/>
          <w:color w:val="auto"/>
          <w:sz w:val="24"/>
          <w:highlight w:val="none"/>
        </w:rPr>
      </w:pPr>
    </w:p>
    <w:p w14:paraId="5DB529EB">
      <w:pPr>
        <w:snapToGrid w:val="0"/>
        <w:spacing w:before="50" w:after="50"/>
        <w:ind w:right="-1400" w:rightChars="-389"/>
        <w:rPr>
          <w:rFonts w:ascii="宋体" w:hAnsi="宋体" w:eastAsia="宋体" w:cs="宋体"/>
          <w:color w:val="auto"/>
          <w:sz w:val="24"/>
          <w:highlight w:val="none"/>
        </w:rPr>
      </w:pPr>
    </w:p>
    <w:p w14:paraId="6E866F04">
      <w:pPr>
        <w:pStyle w:val="15"/>
        <w:spacing w:line="560" w:lineRule="exact"/>
        <w:ind w:firstLine="5760" w:firstLineChars="2400"/>
        <w:rPr>
          <w:rFonts w:hAnsi="宋体" w:eastAsia="宋体" w:cs="宋体"/>
          <w:color w:val="auto"/>
          <w:sz w:val="24"/>
          <w:szCs w:val="24"/>
          <w:highlight w:val="none"/>
          <w:lang w:val="zh-CN"/>
        </w:rPr>
      </w:pPr>
      <w:r>
        <w:rPr>
          <w:rFonts w:hint="eastAsia" w:hAnsi="宋体" w:eastAsia="宋体" w:cs="宋体"/>
          <w:color w:val="auto"/>
          <w:sz w:val="24"/>
          <w:szCs w:val="24"/>
          <w:highlight w:val="none"/>
          <w:lang w:val="zh-CN"/>
        </w:rPr>
        <w:t xml:space="preserve"> 磋商人名称（盖单位章）：</w:t>
      </w:r>
    </w:p>
    <w:p w14:paraId="02EC4941">
      <w:pPr>
        <w:snapToGrid w:val="0"/>
        <w:spacing w:before="50" w:after="50"/>
        <w:jc w:val="right"/>
        <w:rPr>
          <w:rFonts w:ascii="宋体" w:hAnsi="宋体"/>
          <w:color w:val="auto"/>
          <w:sz w:val="24"/>
          <w:highlight w:val="none"/>
        </w:rPr>
      </w:pPr>
      <w:r>
        <w:rPr>
          <w:rFonts w:hint="eastAsia" w:ascii="宋体"/>
          <w:color w:val="auto"/>
          <w:sz w:val="24"/>
          <w:highlight w:val="none"/>
        </w:rPr>
        <w:t>法定代表人或委托代理人（盖章或签字）</w:t>
      </w:r>
      <w:r>
        <w:rPr>
          <w:color w:val="auto"/>
          <w:sz w:val="24"/>
          <w:highlight w:val="none"/>
        </w:rPr>
        <w:t xml:space="preserve">：  </w:t>
      </w:r>
    </w:p>
    <w:p w14:paraId="1CA28663">
      <w:pPr>
        <w:snapToGrid w:val="0"/>
        <w:spacing w:before="50" w:after="50"/>
        <w:jc w:val="center"/>
        <w:rPr>
          <w:rFonts w:ascii="宋体" w:hAnsi="宋体"/>
          <w:color w:val="auto"/>
          <w:sz w:val="24"/>
          <w:highlight w:val="none"/>
        </w:rPr>
      </w:pPr>
      <w:r>
        <w:rPr>
          <w:rFonts w:hint="eastAsia" w:ascii="宋体" w:hAnsi="宋体" w:eastAsia="宋体"/>
          <w:color w:val="auto"/>
          <w:sz w:val="24"/>
          <w:highlight w:val="none"/>
        </w:rPr>
        <w:t xml:space="preserve">                                                    </w:t>
      </w:r>
      <w:r>
        <w:rPr>
          <w:rFonts w:ascii="宋体" w:hAnsi="宋体"/>
          <w:color w:val="auto"/>
          <w:sz w:val="24"/>
          <w:highlight w:val="none"/>
        </w:rPr>
        <w:t>年    月    日</w:t>
      </w:r>
    </w:p>
    <w:p w14:paraId="67466408">
      <w:pPr>
        <w:pStyle w:val="37"/>
        <w:rPr>
          <w:rFonts w:ascii="宋体" w:hAnsi="宋体"/>
          <w:color w:val="auto"/>
          <w:sz w:val="24"/>
          <w:highlight w:val="none"/>
        </w:rPr>
      </w:pPr>
    </w:p>
    <w:p w14:paraId="34E9AA1B">
      <w:pPr>
        <w:pStyle w:val="37"/>
        <w:rPr>
          <w:rFonts w:ascii="宋体" w:hAnsi="宋体"/>
          <w:color w:val="auto"/>
          <w:sz w:val="24"/>
          <w:highlight w:val="none"/>
        </w:rPr>
      </w:pPr>
    </w:p>
    <w:p w14:paraId="64B7160A">
      <w:pPr>
        <w:pStyle w:val="37"/>
        <w:rPr>
          <w:rFonts w:ascii="宋体" w:hAnsi="宋体"/>
          <w:color w:val="auto"/>
          <w:sz w:val="24"/>
          <w:highlight w:val="none"/>
        </w:rPr>
      </w:pPr>
    </w:p>
    <w:p w14:paraId="2412D02F">
      <w:pPr>
        <w:pStyle w:val="37"/>
        <w:rPr>
          <w:rFonts w:ascii="宋体" w:hAnsi="宋体"/>
          <w:color w:val="auto"/>
          <w:sz w:val="24"/>
          <w:highlight w:val="none"/>
        </w:rPr>
      </w:pPr>
    </w:p>
    <w:p w14:paraId="1DF50F78">
      <w:pPr>
        <w:pStyle w:val="37"/>
        <w:rPr>
          <w:rFonts w:ascii="宋体" w:hAnsi="宋体"/>
          <w:color w:val="auto"/>
          <w:sz w:val="24"/>
          <w:highlight w:val="none"/>
        </w:rPr>
      </w:pPr>
    </w:p>
    <w:p w14:paraId="244357B5">
      <w:pPr>
        <w:pStyle w:val="37"/>
        <w:rPr>
          <w:rFonts w:ascii="宋体" w:hAnsi="宋体"/>
          <w:color w:val="auto"/>
          <w:sz w:val="24"/>
          <w:highlight w:val="none"/>
        </w:rPr>
      </w:pPr>
    </w:p>
    <w:p w14:paraId="4C686743">
      <w:pPr>
        <w:pStyle w:val="37"/>
        <w:rPr>
          <w:rFonts w:ascii="宋体" w:hAnsi="宋体"/>
          <w:color w:val="auto"/>
          <w:sz w:val="24"/>
          <w:highlight w:val="none"/>
        </w:rPr>
      </w:pPr>
    </w:p>
    <w:p w14:paraId="6466ABAA">
      <w:pPr>
        <w:rPr>
          <w:rFonts w:ascii="宋体" w:hAnsi="宋体" w:eastAsia="宋体" w:cs="宋体"/>
          <w:b/>
          <w:color w:val="auto"/>
          <w:sz w:val="24"/>
          <w:highlight w:val="none"/>
          <w:lang w:val="zh-CN"/>
        </w:rPr>
      </w:pPr>
      <w:r>
        <w:rPr>
          <w:rFonts w:hint="eastAsia" w:ascii="宋体" w:hAnsi="宋体" w:eastAsia="宋体" w:cs="宋体"/>
          <w:b/>
          <w:color w:val="auto"/>
          <w:sz w:val="24"/>
          <w:highlight w:val="none"/>
        </w:rPr>
        <w:t>附件十</w:t>
      </w:r>
      <w:r>
        <w:rPr>
          <w:rFonts w:hint="eastAsia" w:ascii="宋体" w:hAnsi="宋体" w:eastAsia="宋体" w:cs="宋体"/>
          <w:b/>
          <w:color w:val="auto"/>
          <w:sz w:val="24"/>
          <w:highlight w:val="none"/>
          <w:lang w:eastAsia="zh-CN"/>
        </w:rPr>
        <w:t>四</w:t>
      </w:r>
      <w:r>
        <w:rPr>
          <w:rFonts w:hint="eastAsia" w:ascii="宋体" w:hAnsi="宋体" w:eastAsia="宋体" w:cs="宋体"/>
          <w:b/>
          <w:color w:val="auto"/>
          <w:sz w:val="24"/>
          <w:highlight w:val="none"/>
        </w:rPr>
        <w:t>：</w:t>
      </w:r>
    </w:p>
    <w:p w14:paraId="1A06EC3F">
      <w:pPr>
        <w:pStyle w:val="37"/>
        <w:rPr>
          <w:rFonts w:ascii="宋体" w:hAnsi="宋体"/>
          <w:color w:val="auto"/>
          <w:sz w:val="24"/>
          <w:highlight w:val="none"/>
        </w:rPr>
      </w:pPr>
    </w:p>
    <w:p w14:paraId="7976AF06">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磋商报价一览表</w:t>
      </w:r>
      <w:r>
        <w:rPr>
          <w:rFonts w:hint="eastAsia" w:ascii="宋体" w:hAnsi="宋体" w:cs="宋体"/>
          <w:b/>
          <w:bCs/>
          <w:color w:val="auto"/>
          <w:sz w:val="24"/>
          <w:highlight w:val="none"/>
        </w:rPr>
        <w:t>（</w:t>
      </w:r>
      <w:r>
        <w:rPr>
          <w:rFonts w:hint="eastAsia" w:ascii="宋体" w:hAnsi="宋体" w:eastAsia="宋体" w:cs="宋体"/>
          <w:b/>
          <w:bCs/>
          <w:color w:val="auto"/>
          <w:sz w:val="24"/>
          <w:highlight w:val="none"/>
        </w:rPr>
        <w:t>最终报价</w:t>
      </w:r>
      <w:r>
        <w:rPr>
          <w:rFonts w:hint="eastAsia" w:ascii="宋体" w:hAnsi="宋体" w:cs="宋体"/>
          <w:b/>
          <w:bCs/>
          <w:color w:val="auto"/>
          <w:sz w:val="24"/>
          <w:highlight w:val="none"/>
        </w:rPr>
        <w:t>）</w:t>
      </w:r>
    </w:p>
    <w:p w14:paraId="5E14EACB">
      <w:pPr>
        <w:snapToGrid w:val="0"/>
        <w:spacing w:before="50" w:after="50" w:line="360" w:lineRule="auto"/>
        <w:ind w:right="-1058" w:rightChars="-29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2024年-2025年仙居县所有国、省道及县道公路绿化管护服务项目(重新招标）</w:t>
      </w:r>
      <w:r>
        <w:rPr>
          <w:rFonts w:hint="eastAsia" w:ascii="宋体" w:hAnsi="宋体" w:eastAsia="宋体" w:cs="宋体"/>
          <w:color w:val="auto"/>
          <w:sz w:val="24"/>
          <w:highlight w:val="none"/>
        </w:rPr>
        <w:t xml:space="preserve">   </w:t>
      </w:r>
    </w:p>
    <w:p w14:paraId="1F04E23A">
      <w:pPr>
        <w:snapToGrid w:val="0"/>
        <w:spacing w:before="50" w:after="50" w:line="360" w:lineRule="auto"/>
        <w:ind w:right="-1058" w:rightChars="-294"/>
        <w:jc w:val="left"/>
        <w:rPr>
          <w:rFonts w:ascii="宋体" w:hAnsi="宋体" w:eastAsia="宋体" w:cs="宋体"/>
          <w:color w:val="auto"/>
          <w:sz w:val="24"/>
          <w:highlight w:val="none"/>
        </w:rPr>
      </w:pPr>
      <w:r>
        <w:rPr>
          <w:rFonts w:hint="eastAsia" w:hAnsi="宋体" w:eastAsia="宋体"/>
          <w:color w:val="FF0000"/>
          <w:sz w:val="24"/>
          <w:highlight w:val="none"/>
          <w:u w:val="none"/>
          <w:lang w:eastAsia="zh-CN"/>
        </w:rPr>
        <w:t>标项：</w:t>
      </w:r>
      <w:r>
        <w:rPr>
          <w:rFonts w:hint="eastAsia" w:hAnsi="宋体" w:eastAsia="宋体"/>
          <w:color w:val="FF0000"/>
          <w:sz w:val="24"/>
          <w:highlight w:val="none"/>
          <w:u w:val="none"/>
          <w:lang w:val="en-US" w:eastAsia="zh-CN"/>
        </w:rPr>
        <w:t xml:space="preserve"> </w:t>
      </w:r>
      <w:r>
        <w:rPr>
          <w:rFonts w:hint="eastAsia" w:hAnsi="宋体" w:eastAsia="宋体"/>
          <w:color w:val="FF0000"/>
          <w:sz w:val="24"/>
          <w:highlight w:val="none"/>
          <w:u w:val="single"/>
          <w:lang w:val="en-US" w:eastAsia="zh-CN"/>
        </w:rPr>
        <w:t xml:space="preserve">         </w:t>
      </w:r>
      <w:r>
        <w:rPr>
          <w:rFonts w:hint="eastAsia" w:hAnsi="宋体" w:eastAsia="宋体"/>
          <w:color w:val="FF0000"/>
          <w:sz w:val="24"/>
          <w:highlight w:val="none"/>
          <w:u w:val="none"/>
          <w:lang w:val="en-US" w:eastAsia="zh-CN"/>
        </w:rPr>
        <w:t xml:space="preserve">                                       </w:t>
      </w:r>
      <w:r>
        <w:rPr>
          <w:rFonts w:hint="eastAsia" w:ascii="宋体" w:hAnsi="宋体"/>
          <w:color w:val="auto"/>
          <w:sz w:val="24"/>
          <w:highlight w:val="none"/>
        </w:rPr>
        <w:t>[货币单位：人民币元]</w:t>
      </w:r>
    </w:p>
    <w:tbl>
      <w:tblPr>
        <w:tblStyle w:val="2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831"/>
        <w:gridCol w:w="2804"/>
        <w:gridCol w:w="2804"/>
      </w:tblGrid>
      <w:tr w14:paraId="256E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9" w:type="dxa"/>
            <w:vMerge w:val="restart"/>
            <w:vAlign w:val="center"/>
          </w:tcPr>
          <w:p w14:paraId="29DC4DB6">
            <w:pPr>
              <w:snapToGrid w:val="0"/>
              <w:spacing w:line="0" w:lineRule="atLeast"/>
              <w:ind w:firstLine="240" w:firstLineChars="100"/>
              <w:jc w:val="left"/>
              <w:rPr>
                <w:rFonts w:ascii="宋体" w:hAnsi="宋体"/>
                <w:b/>
                <w:bCs/>
                <w:color w:val="auto"/>
                <w:sz w:val="24"/>
                <w:highlight w:val="none"/>
              </w:rPr>
            </w:pPr>
            <w:r>
              <w:rPr>
                <w:rFonts w:hint="eastAsia" w:ascii="宋体" w:hAnsi="宋体"/>
                <w:b/>
                <w:bCs/>
                <w:color w:val="auto"/>
                <w:sz w:val="24"/>
                <w:highlight w:val="none"/>
              </w:rPr>
              <w:t>磋商报价</w:t>
            </w:r>
          </w:p>
        </w:tc>
        <w:tc>
          <w:tcPr>
            <w:tcW w:w="831" w:type="dxa"/>
            <w:vAlign w:val="center"/>
          </w:tcPr>
          <w:p w14:paraId="631575B9">
            <w:pPr>
              <w:snapToGrid w:val="0"/>
              <w:spacing w:line="0" w:lineRule="atLeast"/>
              <w:jc w:val="left"/>
              <w:rPr>
                <w:rFonts w:ascii="宋体" w:hAnsi="宋体" w:eastAsia="宋体"/>
                <w:b/>
                <w:bCs/>
                <w:color w:val="auto"/>
                <w:sz w:val="21"/>
                <w:szCs w:val="21"/>
                <w:highlight w:val="none"/>
              </w:rPr>
            </w:pPr>
            <w:r>
              <w:rPr>
                <w:rFonts w:hint="eastAsia" w:ascii="宋体" w:hAnsi="宋体"/>
                <w:b/>
                <w:bCs/>
                <w:color w:val="auto"/>
                <w:sz w:val="21"/>
                <w:szCs w:val="21"/>
                <w:highlight w:val="none"/>
              </w:rPr>
              <w:t>大写</w:t>
            </w:r>
          </w:p>
        </w:tc>
        <w:tc>
          <w:tcPr>
            <w:tcW w:w="2804" w:type="dxa"/>
            <w:vAlign w:val="center"/>
          </w:tcPr>
          <w:p w14:paraId="133A18C9">
            <w:pPr>
              <w:snapToGrid w:val="0"/>
              <w:spacing w:line="0" w:lineRule="atLeast"/>
              <w:jc w:val="left"/>
              <w:rPr>
                <w:rFonts w:ascii="宋体" w:hAnsi="宋体"/>
                <w:b/>
                <w:bCs/>
                <w:color w:val="auto"/>
                <w:sz w:val="24"/>
                <w:highlight w:val="none"/>
              </w:rPr>
            </w:pPr>
            <w:r>
              <w:rPr>
                <w:rFonts w:hint="eastAsia" w:ascii="宋体" w:hAnsi="宋体" w:eastAsia="宋体" w:cs="宋体"/>
                <w:b/>
                <w:bCs/>
                <w:color w:val="auto"/>
                <w:sz w:val="21"/>
                <w:szCs w:val="21"/>
                <w:highlight w:val="none"/>
              </w:rPr>
              <w:t>人民币：</w:t>
            </w:r>
            <w:r>
              <w:rPr>
                <w:rFonts w:hint="eastAsia" w:ascii="宋体" w:hAnsi="宋体" w:eastAsia="宋体" w:cs="宋体"/>
                <w:b/>
                <w:bCs/>
                <w:color w:val="auto"/>
                <w:sz w:val="21"/>
                <w:szCs w:val="21"/>
                <w:highlight w:val="none"/>
                <w:u w:val="single"/>
              </w:rPr>
              <w:t xml:space="preserve">                      </w:t>
            </w:r>
          </w:p>
        </w:tc>
        <w:tc>
          <w:tcPr>
            <w:tcW w:w="2804" w:type="dxa"/>
            <w:vMerge w:val="restart"/>
            <w:vAlign w:val="center"/>
          </w:tcPr>
          <w:p w14:paraId="0604A461">
            <w:pPr>
              <w:snapToGrid w:val="0"/>
              <w:spacing w:line="0" w:lineRule="atLeast"/>
              <w:jc w:val="left"/>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服务期限为二年，合同一年一签。合同当年度考核分达到 90分及以上，可以签订下一年合同。（考核表详见合同附件）</w:t>
            </w:r>
          </w:p>
        </w:tc>
      </w:tr>
      <w:tr w14:paraId="6698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639" w:type="dxa"/>
            <w:vMerge w:val="continue"/>
            <w:vAlign w:val="center"/>
          </w:tcPr>
          <w:p w14:paraId="389BB166">
            <w:pPr>
              <w:snapToGrid w:val="0"/>
              <w:spacing w:line="0" w:lineRule="atLeast"/>
              <w:jc w:val="center"/>
              <w:rPr>
                <w:rFonts w:ascii="宋体" w:hAnsi="宋体"/>
                <w:b/>
                <w:bCs/>
                <w:color w:val="auto"/>
                <w:sz w:val="24"/>
                <w:highlight w:val="none"/>
              </w:rPr>
            </w:pPr>
          </w:p>
        </w:tc>
        <w:tc>
          <w:tcPr>
            <w:tcW w:w="831" w:type="dxa"/>
            <w:vAlign w:val="center"/>
          </w:tcPr>
          <w:p w14:paraId="5A18C3F7">
            <w:pPr>
              <w:snapToGrid w:val="0"/>
              <w:spacing w:line="0" w:lineRule="atLeast"/>
              <w:jc w:val="left"/>
              <w:rPr>
                <w:rFonts w:ascii="宋体" w:hAnsi="宋体" w:eastAsia="宋体"/>
                <w:b/>
                <w:bCs/>
                <w:color w:val="auto"/>
                <w:sz w:val="21"/>
                <w:szCs w:val="21"/>
                <w:highlight w:val="none"/>
              </w:rPr>
            </w:pPr>
            <w:r>
              <w:rPr>
                <w:rFonts w:hint="eastAsia" w:ascii="宋体" w:hAnsi="宋体"/>
                <w:b/>
                <w:bCs/>
                <w:color w:val="auto"/>
                <w:sz w:val="21"/>
                <w:szCs w:val="21"/>
                <w:highlight w:val="none"/>
              </w:rPr>
              <w:t>小写</w:t>
            </w:r>
          </w:p>
        </w:tc>
        <w:tc>
          <w:tcPr>
            <w:tcW w:w="2804" w:type="dxa"/>
            <w:vAlign w:val="center"/>
          </w:tcPr>
          <w:p w14:paraId="215D72E6">
            <w:pPr>
              <w:snapToGrid w:val="0"/>
              <w:spacing w:line="0" w:lineRule="atLeast"/>
              <w:jc w:val="left"/>
              <w:rPr>
                <w:rFonts w:ascii="宋体" w:hAnsi="宋体"/>
                <w:b/>
                <w:bCs/>
                <w:color w:val="auto"/>
                <w:sz w:val="24"/>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tc>
        <w:tc>
          <w:tcPr>
            <w:tcW w:w="2804" w:type="dxa"/>
            <w:vMerge w:val="continue"/>
            <w:vAlign w:val="center"/>
          </w:tcPr>
          <w:p w14:paraId="36AFD56E">
            <w:pPr>
              <w:snapToGrid w:val="0"/>
              <w:spacing w:line="0" w:lineRule="atLeast"/>
              <w:jc w:val="left"/>
              <w:rPr>
                <w:rFonts w:hint="eastAsia" w:ascii="宋体" w:hAnsi="宋体" w:eastAsia="宋体" w:cs="宋体"/>
                <w:b/>
                <w:bCs/>
                <w:color w:val="auto"/>
                <w:sz w:val="21"/>
                <w:szCs w:val="21"/>
                <w:highlight w:val="none"/>
              </w:rPr>
            </w:pPr>
          </w:p>
        </w:tc>
      </w:tr>
    </w:tbl>
    <w:p w14:paraId="79A2E5E7">
      <w:pPr>
        <w:snapToGrid w:val="0"/>
        <w:spacing w:before="50" w:after="50" w:line="360" w:lineRule="auto"/>
        <w:ind w:right="-1058" w:rightChars="-294"/>
        <w:jc w:val="left"/>
        <w:rPr>
          <w:rFonts w:ascii="宋体" w:hAnsi="宋体" w:eastAsia="宋体" w:cs="宋体"/>
          <w:color w:val="auto"/>
          <w:sz w:val="24"/>
          <w:highlight w:val="none"/>
        </w:rPr>
      </w:pPr>
    </w:p>
    <w:p w14:paraId="68FE81B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注: </w:t>
      </w:r>
      <w:r>
        <w:rPr>
          <w:rFonts w:hint="eastAsia" w:ascii="宋体" w:hAnsi="宋体" w:eastAsia="宋体" w:cs="宋体"/>
          <w:color w:val="auto"/>
          <w:sz w:val="24"/>
          <w:highlight w:val="none"/>
        </w:rPr>
        <w:t>1、磋商报价指包括项目实施所需的一切人员工资、奖金、各种加班费、节假日补贴、各种社会保险、安全保险、食宿与交通、设备及工具、器材、消耗材料、管理费用、人工费、材料费、税金、利润、采购代理服务费等完成合同所需的一切本身和不可或缺的所有工作开支、</w:t>
      </w:r>
    </w:p>
    <w:p w14:paraId="4ACE9FE7">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2、报价一经涂改，应在涂改处加盖单位公章，或者由法定代表人或全权代表签字或盖章，否则其磋商无效。</w:t>
      </w:r>
    </w:p>
    <w:p w14:paraId="0678DF21">
      <w:pPr>
        <w:snapToGrid w:val="0"/>
        <w:spacing w:line="360" w:lineRule="auto"/>
        <w:ind w:right="0" w:rightChars="0"/>
        <w:rPr>
          <w:rFonts w:ascii="宋体" w:hAnsi="宋体" w:eastAsia="宋体" w:cs="宋体"/>
          <w:color w:val="auto"/>
          <w:sz w:val="24"/>
          <w:highlight w:val="none"/>
        </w:rPr>
      </w:pPr>
      <w:r>
        <w:rPr>
          <w:rFonts w:hint="eastAsia" w:ascii="宋体" w:hAnsi="宋体" w:eastAsia="宋体" w:cs="宋体"/>
          <w:color w:val="auto"/>
          <w:sz w:val="24"/>
          <w:highlight w:val="none"/>
        </w:rPr>
        <w:t>3、最终报价不得高于初次报价，否则将导致无效标（磋商文件的采购需求发生实质性变动的情况除外）</w:t>
      </w:r>
    </w:p>
    <w:p w14:paraId="29BACD50">
      <w:pPr>
        <w:pStyle w:val="12"/>
        <w:spacing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4、报价保留整数，小数点后第一位四舍五入。</w:t>
      </w:r>
    </w:p>
    <w:p w14:paraId="42E51FED">
      <w:pPr>
        <w:pStyle w:val="37"/>
        <w:rPr>
          <w:rFonts w:ascii="宋体" w:hAnsi="宋体"/>
          <w:color w:val="auto"/>
          <w:sz w:val="24"/>
          <w:highlight w:val="none"/>
        </w:rPr>
      </w:pPr>
    </w:p>
    <w:p w14:paraId="5D8C1FC9">
      <w:pPr>
        <w:pStyle w:val="15"/>
        <w:spacing w:line="560" w:lineRule="exact"/>
        <w:rPr>
          <w:rFonts w:hint="eastAsia" w:hAnsi="宋体" w:eastAsia="宋体" w:cs="宋体"/>
          <w:color w:val="auto"/>
          <w:sz w:val="24"/>
          <w:szCs w:val="24"/>
          <w:highlight w:val="none"/>
          <w:lang w:val="zh-CN"/>
        </w:rPr>
      </w:pPr>
    </w:p>
    <w:p w14:paraId="346FBCA4">
      <w:pPr>
        <w:pStyle w:val="15"/>
        <w:spacing w:line="560" w:lineRule="exact"/>
        <w:ind w:firstLine="5760" w:firstLineChars="2400"/>
        <w:rPr>
          <w:rFonts w:hint="eastAsia" w:hAnsi="宋体" w:eastAsia="宋体" w:cs="宋体"/>
          <w:color w:val="auto"/>
          <w:sz w:val="24"/>
          <w:szCs w:val="24"/>
          <w:highlight w:val="none"/>
          <w:lang w:val="zh-CN"/>
        </w:rPr>
      </w:pPr>
    </w:p>
    <w:p w14:paraId="78A8ADBA">
      <w:pPr>
        <w:pStyle w:val="15"/>
        <w:spacing w:line="560" w:lineRule="exact"/>
        <w:ind w:firstLine="5760" w:firstLineChars="2400"/>
        <w:rPr>
          <w:rFonts w:hAnsi="宋体" w:eastAsia="宋体" w:cs="宋体"/>
          <w:color w:val="auto"/>
          <w:sz w:val="24"/>
          <w:szCs w:val="24"/>
          <w:highlight w:val="none"/>
          <w:lang w:val="zh-CN"/>
        </w:rPr>
      </w:pPr>
      <w:r>
        <w:rPr>
          <w:rFonts w:hint="eastAsia" w:hAnsi="宋体" w:eastAsia="宋体" w:cs="宋体"/>
          <w:color w:val="auto"/>
          <w:sz w:val="24"/>
          <w:szCs w:val="24"/>
          <w:highlight w:val="none"/>
          <w:lang w:val="zh-CN"/>
        </w:rPr>
        <w:t>磋商人名称（盖单位章）：</w:t>
      </w:r>
    </w:p>
    <w:p w14:paraId="53C75A7F">
      <w:pPr>
        <w:snapToGrid w:val="0"/>
        <w:spacing w:before="50" w:after="50"/>
        <w:jc w:val="right"/>
        <w:rPr>
          <w:rFonts w:ascii="宋体" w:hAnsi="宋体"/>
          <w:color w:val="auto"/>
          <w:sz w:val="24"/>
          <w:highlight w:val="none"/>
        </w:rPr>
      </w:pPr>
      <w:r>
        <w:rPr>
          <w:rFonts w:hint="eastAsia" w:ascii="宋体"/>
          <w:color w:val="auto"/>
          <w:sz w:val="24"/>
          <w:highlight w:val="none"/>
        </w:rPr>
        <w:t>法定代表人或委托代理人（盖章或签字）</w:t>
      </w:r>
      <w:r>
        <w:rPr>
          <w:color w:val="auto"/>
          <w:sz w:val="24"/>
          <w:highlight w:val="none"/>
        </w:rPr>
        <w:t xml:space="preserve">：  </w:t>
      </w:r>
    </w:p>
    <w:p w14:paraId="59A1D7A4">
      <w:pPr>
        <w:snapToGrid w:val="0"/>
        <w:spacing w:before="50" w:after="50"/>
        <w:jc w:val="center"/>
        <w:rPr>
          <w:rFonts w:ascii="宋体" w:hAnsi="宋体"/>
          <w:color w:val="auto"/>
          <w:sz w:val="24"/>
          <w:highlight w:val="none"/>
        </w:rPr>
      </w:pPr>
      <w:r>
        <w:rPr>
          <w:rFonts w:hint="eastAsia" w:ascii="宋体" w:hAnsi="宋体" w:eastAsia="宋体"/>
          <w:color w:val="auto"/>
          <w:sz w:val="24"/>
          <w:highlight w:val="none"/>
        </w:rPr>
        <w:t xml:space="preserve">                                                    </w:t>
      </w:r>
      <w:r>
        <w:rPr>
          <w:rFonts w:ascii="宋体" w:hAnsi="宋体"/>
          <w:color w:val="auto"/>
          <w:sz w:val="24"/>
          <w:highlight w:val="none"/>
        </w:rPr>
        <w:t>年    月    日</w:t>
      </w:r>
    </w:p>
    <w:p w14:paraId="7E12D941">
      <w:pPr>
        <w:pStyle w:val="37"/>
        <w:rPr>
          <w:rFonts w:ascii="宋体" w:hAnsi="宋体"/>
          <w:color w:val="auto"/>
          <w:sz w:val="24"/>
          <w:highlight w:val="none"/>
        </w:rPr>
      </w:pPr>
    </w:p>
    <w:p w14:paraId="7FD7E21B">
      <w:pPr>
        <w:pStyle w:val="37"/>
        <w:rPr>
          <w:rFonts w:hAnsi="宋体" w:cs="宋体"/>
          <w:b/>
          <w:bCs/>
          <w:color w:val="000000"/>
          <w:spacing w:val="6"/>
          <w:sz w:val="18"/>
          <w:szCs w:val="18"/>
        </w:rPr>
      </w:pPr>
    </w:p>
    <w:p w14:paraId="4B2004AF">
      <w:pPr>
        <w:pStyle w:val="37"/>
        <w:rPr>
          <w:rFonts w:hAnsi="宋体" w:cs="宋体"/>
          <w:b/>
          <w:bCs/>
          <w:color w:val="000000"/>
          <w:spacing w:val="6"/>
          <w:sz w:val="18"/>
          <w:szCs w:val="18"/>
        </w:rPr>
      </w:pPr>
    </w:p>
    <w:p w14:paraId="6D4BC808">
      <w:pPr>
        <w:pStyle w:val="37"/>
        <w:rPr>
          <w:rFonts w:hAnsi="宋体" w:cs="宋体"/>
          <w:b/>
          <w:bCs/>
          <w:color w:val="000000"/>
          <w:spacing w:val="6"/>
          <w:sz w:val="18"/>
          <w:szCs w:val="18"/>
        </w:rPr>
      </w:pPr>
    </w:p>
    <w:p w14:paraId="05394A7A">
      <w:pPr>
        <w:pStyle w:val="37"/>
        <w:rPr>
          <w:rFonts w:hAnsi="宋体" w:cs="宋体"/>
          <w:b/>
          <w:bCs/>
          <w:color w:val="000000"/>
          <w:spacing w:val="6"/>
          <w:sz w:val="18"/>
          <w:szCs w:val="18"/>
        </w:rPr>
      </w:pPr>
    </w:p>
    <w:p w14:paraId="097D524F">
      <w:pPr>
        <w:pStyle w:val="37"/>
        <w:rPr>
          <w:rFonts w:hAnsi="宋体" w:cs="宋体"/>
          <w:b/>
          <w:bCs/>
          <w:color w:val="000000"/>
          <w:spacing w:val="6"/>
          <w:sz w:val="18"/>
          <w:szCs w:val="18"/>
        </w:rPr>
      </w:pPr>
    </w:p>
    <w:p w14:paraId="00CED44F">
      <w:pPr>
        <w:pStyle w:val="37"/>
        <w:rPr>
          <w:rFonts w:hAnsi="宋体" w:cs="宋体"/>
          <w:b/>
          <w:bCs/>
          <w:color w:val="000000"/>
          <w:spacing w:val="6"/>
          <w:sz w:val="18"/>
          <w:szCs w:val="18"/>
        </w:rPr>
      </w:pPr>
    </w:p>
    <w:p w14:paraId="4738D7BB">
      <w:pPr>
        <w:pStyle w:val="37"/>
        <w:rPr>
          <w:rFonts w:ascii="宋体" w:hAnsi="宋体"/>
          <w:color w:val="auto"/>
          <w:sz w:val="24"/>
          <w:highlight w:val="none"/>
        </w:rPr>
        <w:sectPr>
          <w:headerReference r:id="rId6" w:type="default"/>
          <w:footerReference r:id="rId7" w:type="default"/>
          <w:pgSz w:w="11906" w:h="16838"/>
          <w:pgMar w:top="1440" w:right="1440" w:bottom="1440" w:left="1440" w:header="851" w:footer="992" w:gutter="0"/>
          <w:cols w:space="720" w:num="1"/>
          <w:docGrid w:linePitch="312" w:charSpace="0"/>
        </w:sectPr>
      </w:pPr>
      <w:r>
        <w:rPr>
          <w:rFonts w:hAnsi="宋体" w:cs="宋体"/>
          <w:b/>
          <w:bCs/>
          <w:color w:val="000000"/>
          <w:spacing w:val="6"/>
          <w:sz w:val="18"/>
          <w:szCs w:val="18"/>
        </w:rPr>
        <w:t>说明：</w:t>
      </w:r>
      <w:r>
        <w:rPr>
          <w:rFonts w:hAnsi="宋体" w:cs="宋体"/>
          <w:b/>
          <w:bCs/>
          <w:color w:val="000000"/>
          <w:spacing w:val="6"/>
          <w:sz w:val="18"/>
          <w:szCs w:val="18"/>
          <w:u w:val="single"/>
        </w:rPr>
        <w:t>（1）本项目最终报价在磋商结束后，由采购代理机构发布最终报价指令，参加磋商的供应商在规定的时间内通过政采云平台在线提交。最终报价不得高于首次报价的原则投报（磋商小组另有决议的除外）。</w:t>
      </w:r>
    </w:p>
    <w:p w14:paraId="532FDA4B">
      <w:pPr>
        <w:rPr>
          <w:rFonts w:ascii="宋体" w:hAnsi="宋体" w:eastAsia="宋体" w:cs="宋体"/>
          <w:b/>
          <w:color w:val="auto"/>
          <w:sz w:val="24"/>
          <w:highlight w:val="none"/>
          <w:lang w:val="zh-CN"/>
        </w:rPr>
      </w:pPr>
      <w:bookmarkStart w:id="126" w:name="_Toc309395098"/>
      <w:bookmarkStart w:id="127" w:name="_Toc240724395"/>
      <w:r>
        <w:rPr>
          <w:rFonts w:hint="eastAsia" w:ascii="宋体" w:hAnsi="宋体" w:eastAsia="宋体" w:cs="宋体"/>
          <w:b/>
          <w:color w:val="auto"/>
          <w:sz w:val="24"/>
          <w:highlight w:val="none"/>
        </w:rPr>
        <w:t>附件：</w:t>
      </w:r>
    </w:p>
    <w:bookmarkEnd w:id="126"/>
    <w:bookmarkEnd w:id="127"/>
    <w:p w14:paraId="164DB199">
      <w:pPr>
        <w:pStyle w:val="46"/>
        <w:widowControl w:val="0"/>
        <w:snapToGrid w:val="0"/>
        <w:spacing w:line="500" w:lineRule="exact"/>
        <w:jc w:val="center"/>
        <w:rPr>
          <w:rFonts w:hAnsi="宋体" w:cs="宋体"/>
          <w:color w:val="auto"/>
          <w:szCs w:val="21"/>
          <w:highlight w:val="none"/>
        </w:rPr>
      </w:pPr>
      <w:r>
        <w:rPr>
          <w:rFonts w:hint="eastAsia" w:hAnsi="宋体" w:cs="宋体"/>
          <w:b/>
          <w:bCs/>
          <w:color w:val="auto"/>
          <w:szCs w:val="21"/>
          <w:highlight w:val="none"/>
        </w:rPr>
        <w:t>政府采购活动现</w:t>
      </w:r>
      <w:r>
        <w:rPr>
          <w:rFonts w:hint="eastAsia" w:hAnsi="宋体" w:cs="宋体"/>
          <w:b/>
          <w:color w:val="auto"/>
          <w:szCs w:val="21"/>
          <w:highlight w:val="none"/>
        </w:rPr>
        <w:t>场确认声明书（被授权人）</w:t>
      </w:r>
    </w:p>
    <w:p w14:paraId="4079BF62">
      <w:pPr>
        <w:pStyle w:val="46"/>
        <w:widowControl w:val="0"/>
        <w:snapToGrid w:val="0"/>
        <w:spacing w:line="500" w:lineRule="exact"/>
        <w:jc w:val="both"/>
        <w:rPr>
          <w:rFonts w:hAnsi="宋体" w:cs="宋体"/>
          <w:b/>
          <w:color w:val="auto"/>
          <w:szCs w:val="21"/>
          <w:highlight w:val="none"/>
        </w:rPr>
      </w:pPr>
      <w:r>
        <w:rPr>
          <w:rFonts w:hint="eastAsia" w:hAnsi="宋体" w:cs="宋体"/>
          <w:color w:val="auto"/>
          <w:kern w:val="0"/>
          <w:szCs w:val="21"/>
          <w:highlight w:val="none"/>
          <w:u w:val="single"/>
        </w:rPr>
        <w:t xml:space="preserve"> 浙江广通工程咨询有限公司  </w:t>
      </w:r>
      <w:r>
        <w:rPr>
          <w:rFonts w:hint="eastAsia" w:hAnsi="宋体" w:cs="宋体"/>
          <w:color w:val="auto"/>
          <w:kern w:val="0"/>
          <w:szCs w:val="21"/>
          <w:highlight w:val="none"/>
        </w:rPr>
        <w:t>（采购组织机构名称）：</w:t>
      </w:r>
    </w:p>
    <w:p w14:paraId="05EB6365">
      <w:pPr>
        <w:pStyle w:val="46"/>
        <w:widowControl w:val="0"/>
        <w:snapToGrid w:val="0"/>
        <w:spacing w:line="500" w:lineRule="exact"/>
        <w:ind w:firstLine="444" w:firstLineChars="200"/>
        <w:jc w:val="both"/>
        <w:rPr>
          <w:rFonts w:hAnsi="宋体" w:cs="宋体"/>
          <w:color w:val="auto"/>
          <w:spacing w:val="6"/>
          <w:szCs w:val="21"/>
          <w:highlight w:val="none"/>
        </w:rPr>
      </w:pPr>
      <w:r>
        <w:rPr>
          <w:rFonts w:hint="eastAsia" w:hAnsi="宋体" w:cs="宋体"/>
          <w:color w:val="auto"/>
          <w:spacing w:val="6"/>
          <w:szCs w:val="21"/>
          <w:highlight w:val="none"/>
        </w:rPr>
        <w:t>本人经由</w:t>
      </w:r>
      <w:r>
        <w:rPr>
          <w:rFonts w:hint="eastAsia" w:hAnsi="宋体" w:cs="宋体"/>
          <w:color w:val="auto"/>
          <w:spacing w:val="6"/>
          <w:szCs w:val="21"/>
          <w:highlight w:val="none"/>
          <w:u w:val="single"/>
        </w:rPr>
        <w:t xml:space="preserve"> </w:t>
      </w:r>
      <w:r>
        <w:rPr>
          <w:rFonts w:hint="eastAsia" w:hAnsi="宋体" w:cs="宋体"/>
          <w:color w:val="auto"/>
          <w:kern w:val="0"/>
          <w:szCs w:val="21"/>
          <w:highlight w:val="none"/>
          <w:u w:val="single"/>
        </w:rPr>
        <w:t xml:space="preserve">                </w:t>
      </w:r>
      <w:r>
        <w:rPr>
          <w:rFonts w:hint="eastAsia" w:hAnsi="宋体" w:cs="宋体"/>
          <w:color w:val="auto"/>
          <w:spacing w:val="6"/>
          <w:szCs w:val="21"/>
          <w:highlight w:val="none"/>
          <w:u w:val="single"/>
        </w:rPr>
        <w:t>（单位）</w:t>
      </w:r>
      <w:r>
        <w:rPr>
          <w:rFonts w:hint="eastAsia" w:hAnsi="宋体" w:cs="宋体"/>
          <w:color w:val="auto"/>
          <w:spacing w:val="6"/>
          <w:szCs w:val="21"/>
          <w:highlight w:val="none"/>
        </w:rPr>
        <w:t>负责人</w:t>
      </w:r>
      <w:r>
        <w:rPr>
          <w:rFonts w:hint="eastAsia" w:hAnsi="宋体" w:cs="宋体"/>
          <w:color w:val="auto"/>
          <w:spacing w:val="6"/>
          <w:szCs w:val="21"/>
          <w:highlight w:val="none"/>
          <w:u w:val="single"/>
        </w:rPr>
        <w:t xml:space="preserve">       （姓名）</w:t>
      </w:r>
      <w:r>
        <w:rPr>
          <w:rFonts w:hint="eastAsia" w:hAnsi="宋体" w:cs="宋体"/>
          <w:color w:val="auto"/>
          <w:spacing w:val="6"/>
          <w:szCs w:val="21"/>
          <w:highlight w:val="none"/>
        </w:rPr>
        <w:t>合法授权参加</w:t>
      </w:r>
      <w:r>
        <w:rPr>
          <w:rFonts w:hint="eastAsia" w:hAnsi="宋体" w:cs="宋体"/>
          <w:color w:val="auto"/>
          <w:spacing w:val="6"/>
          <w:szCs w:val="21"/>
          <w:highlight w:val="none"/>
          <w:u w:val="single"/>
          <w:lang w:eastAsia="zh-CN"/>
        </w:rPr>
        <w:t>2024年-2025年仙居县所有国、省道及县道公路绿化管护服务项目(重新招标）</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（编号：</w:t>
      </w:r>
      <w:r>
        <w:rPr>
          <w:rFonts w:hint="eastAsia" w:hAnsi="宋体" w:cs="宋体"/>
          <w:color w:val="auto"/>
          <w:spacing w:val="6"/>
          <w:szCs w:val="21"/>
          <w:highlight w:val="none"/>
          <w:u w:val="single"/>
          <w:lang w:eastAsia="zh-CN"/>
        </w:rPr>
        <w:t>GTXJ(采购）-24009-1</w:t>
      </w:r>
      <w:r>
        <w:rPr>
          <w:rFonts w:hint="eastAsia" w:hAnsi="宋体" w:cs="宋体"/>
          <w:color w:val="auto"/>
          <w:spacing w:val="6"/>
          <w:szCs w:val="21"/>
          <w:highlight w:val="none"/>
        </w:rPr>
        <w:t xml:space="preserve">）政府采购活动，经与本单位法人代表（负责人）联系确认，现就有关公平竞争事项郑重声明如下： </w:t>
      </w:r>
    </w:p>
    <w:p w14:paraId="184BD6E1">
      <w:pPr>
        <w:pStyle w:val="47"/>
        <w:widowControl/>
        <w:numPr>
          <w:ilvl w:val="0"/>
          <w:numId w:val="9"/>
        </w:numPr>
        <w:snapToGrid w:val="0"/>
        <w:spacing w:line="500" w:lineRule="exact"/>
        <w:ind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rPr>
        <w:t>本单位与采购人之间 □不存在利害关系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F60CE01">
      <w:pPr>
        <w:pStyle w:val="47"/>
        <w:widowControl/>
        <w:snapToGrid w:val="0"/>
        <w:spacing w:line="5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A.投资关系    B.行政隶属关系    C.业务指导关系</w:t>
      </w:r>
    </w:p>
    <w:p w14:paraId="1F75E142">
      <w:pPr>
        <w:pStyle w:val="47"/>
        <w:widowControl/>
        <w:snapToGrid w:val="0"/>
        <w:spacing w:line="5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利害关系</w:t>
      </w:r>
      <w:r>
        <w:rPr>
          <w:rFonts w:hint="eastAsia" w:ascii="宋体" w:hAnsi="宋体" w:cs="宋体"/>
          <w:color w:val="auto"/>
          <w:kern w:val="0"/>
          <w:szCs w:val="21"/>
          <w:highlight w:val="none"/>
          <w:u w:val="single"/>
        </w:rPr>
        <w:t xml:space="preserve">（如有，请如实说明）                 </w:t>
      </w:r>
      <w:r>
        <w:rPr>
          <w:rFonts w:hint="eastAsia" w:ascii="宋体" w:hAnsi="宋体" w:cs="宋体"/>
          <w:color w:val="auto"/>
          <w:kern w:val="0"/>
          <w:szCs w:val="21"/>
          <w:highlight w:val="none"/>
        </w:rPr>
        <w:t>。</w:t>
      </w:r>
    </w:p>
    <w:p w14:paraId="50930D3F">
      <w:pPr>
        <w:pStyle w:val="47"/>
        <w:widowControl/>
        <w:snapToGrid w:val="0"/>
        <w:spacing w:line="500" w:lineRule="exact"/>
        <w:rPr>
          <w:rFonts w:ascii="宋体" w:hAnsi="宋体" w:cs="宋体"/>
          <w:color w:val="auto"/>
          <w:kern w:val="0"/>
          <w:szCs w:val="21"/>
          <w:highlight w:val="none"/>
        </w:rPr>
      </w:pPr>
      <w:r>
        <w:rPr>
          <w:rFonts w:hint="eastAsia" w:ascii="宋体" w:hAnsi="宋体" w:cs="宋体"/>
          <w:color w:val="auto"/>
          <w:spacing w:val="6"/>
          <w:szCs w:val="21"/>
          <w:highlight w:val="none"/>
        </w:rPr>
        <w:t xml:space="preserve">  二、</w:t>
      </w:r>
      <w:r>
        <w:rPr>
          <w:rFonts w:hint="eastAsia" w:ascii="宋体" w:hAnsi="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cs="宋体"/>
          <w:color w:val="auto"/>
          <w:kern w:val="0"/>
          <w:szCs w:val="21"/>
          <w:highlight w:val="none"/>
          <w:u w:val="single"/>
        </w:rPr>
        <w:t xml:space="preserve">           （供应商名称）</w:t>
      </w:r>
      <w:r>
        <w:rPr>
          <w:rFonts w:hint="eastAsia" w:ascii="宋体" w:hAnsi="宋体" w:cs="宋体"/>
          <w:color w:val="auto"/>
          <w:kern w:val="0"/>
          <w:szCs w:val="21"/>
          <w:highlight w:val="none"/>
        </w:rPr>
        <w:t>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946089E">
      <w:pPr>
        <w:pStyle w:val="46"/>
        <w:widowControl w:val="0"/>
        <w:snapToGrid w:val="0"/>
        <w:spacing w:line="500" w:lineRule="exact"/>
        <w:jc w:val="both"/>
        <w:rPr>
          <w:rFonts w:hAnsi="宋体" w:cs="宋体"/>
          <w:color w:val="auto"/>
          <w:kern w:val="0"/>
          <w:szCs w:val="21"/>
          <w:highlight w:val="none"/>
        </w:rPr>
      </w:pPr>
      <w:r>
        <w:rPr>
          <w:rFonts w:hint="eastAsia" w:hAnsi="宋体" w:cs="宋体"/>
          <w:color w:val="auto"/>
          <w:kern w:val="0"/>
          <w:szCs w:val="21"/>
          <w:highlight w:val="none"/>
        </w:rPr>
        <w:t xml:space="preserve">  A.法定代表人或负责人或实际控制人是同一人</w:t>
      </w:r>
    </w:p>
    <w:p w14:paraId="6BE67FCF">
      <w:pPr>
        <w:pStyle w:val="46"/>
        <w:widowControl w:val="0"/>
        <w:snapToGrid w:val="0"/>
        <w:spacing w:line="500" w:lineRule="exact"/>
        <w:jc w:val="both"/>
        <w:rPr>
          <w:rFonts w:hAnsi="宋体" w:cs="宋体"/>
          <w:color w:val="auto"/>
          <w:spacing w:val="6"/>
          <w:szCs w:val="21"/>
          <w:highlight w:val="none"/>
        </w:rPr>
      </w:pPr>
      <w:r>
        <w:rPr>
          <w:rFonts w:hint="eastAsia" w:hAnsi="宋体" w:cs="宋体"/>
          <w:color w:val="auto"/>
          <w:kern w:val="0"/>
          <w:szCs w:val="21"/>
          <w:highlight w:val="none"/>
        </w:rPr>
        <w:t xml:space="preserve">  B.法定代表人或负责人或实际控制人是夫妻关系</w:t>
      </w:r>
    </w:p>
    <w:p w14:paraId="13B1AA5D">
      <w:pPr>
        <w:pStyle w:val="46"/>
        <w:widowControl w:val="0"/>
        <w:snapToGrid w:val="0"/>
        <w:spacing w:line="500" w:lineRule="exact"/>
        <w:jc w:val="both"/>
        <w:rPr>
          <w:rFonts w:hAnsi="宋体" w:cs="宋体"/>
          <w:color w:val="auto"/>
          <w:spacing w:val="6"/>
          <w:szCs w:val="21"/>
          <w:highlight w:val="none"/>
        </w:rPr>
      </w:pPr>
      <w:r>
        <w:rPr>
          <w:rFonts w:hint="eastAsia" w:hAnsi="宋体" w:cs="宋体"/>
          <w:color w:val="auto"/>
          <w:kern w:val="0"/>
          <w:szCs w:val="21"/>
          <w:highlight w:val="none"/>
        </w:rPr>
        <w:t xml:space="preserve">  C.法定代表人或负责人或实际控制人是直系血亲关系</w:t>
      </w:r>
    </w:p>
    <w:p w14:paraId="44F190A6">
      <w:pPr>
        <w:pStyle w:val="46"/>
        <w:widowControl w:val="0"/>
        <w:snapToGrid w:val="0"/>
        <w:spacing w:line="500" w:lineRule="exact"/>
        <w:jc w:val="both"/>
        <w:rPr>
          <w:rFonts w:hAnsi="宋体" w:cs="宋体"/>
          <w:color w:val="auto"/>
          <w:spacing w:val="6"/>
          <w:szCs w:val="21"/>
          <w:highlight w:val="none"/>
        </w:rPr>
      </w:pPr>
      <w:r>
        <w:rPr>
          <w:rFonts w:hint="eastAsia" w:hAnsi="宋体" w:cs="宋体"/>
          <w:color w:val="auto"/>
          <w:kern w:val="0"/>
          <w:szCs w:val="21"/>
          <w:highlight w:val="none"/>
        </w:rPr>
        <w:t xml:space="preserve">  D.法定代表人或负责人或实际控制人存在三代以内旁系血亲关系</w:t>
      </w:r>
    </w:p>
    <w:p w14:paraId="247E08CD">
      <w:pPr>
        <w:pStyle w:val="46"/>
        <w:widowControl w:val="0"/>
        <w:snapToGrid w:val="0"/>
        <w:spacing w:line="500" w:lineRule="exact"/>
        <w:jc w:val="both"/>
        <w:rPr>
          <w:rFonts w:hAnsi="宋体" w:cs="宋体"/>
          <w:color w:val="auto"/>
          <w:kern w:val="0"/>
          <w:szCs w:val="21"/>
          <w:highlight w:val="none"/>
        </w:rPr>
      </w:pPr>
      <w:r>
        <w:rPr>
          <w:rFonts w:hint="eastAsia" w:hAnsi="宋体" w:cs="宋体"/>
          <w:color w:val="auto"/>
          <w:kern w:val="0"/>
          <w:szCs w:val="21"/>
          <w:highlight w:val="none"/>
        </w:rPr>
        <w:t xml:space="preserve">  E.法定代表人或负责人或实际控制人存在近姻亲关系</w:t>
      </w:r>
    </w:p>
    <w:p w14:paraId="4DD9A778">
      <w:pPr>
        <w:pStyle w:val="46"/>
        <w:widowControl w:val="0"/>
        <w:snapToGrid w:val="0"/>
        <w:spacing w:line="500" w:lineRule="exact"/>
        <w:jc w:val="both"/>
        <w:rPr>
          <w:rFonts w:hAnsi="宋体" w:cs="宋体"/>
          <w:color w:val="auto"/>
          <w:kern w:val="0"/>
          <w:szCs w:val="21"/>
          <w:highlight w:val="none"/>
        </w:rPr>
      </w:pPr>
      <w:r>
        <w:rPr>
          <w:rFonts w:hint="eastAsia" w:hAnsi="宋体" w:cs="宋体"/>
          <w:color w:val="auto"/>
          <w:kern w:val="0"/>
          <w:szCs w:val="21"/>
          <w:highlight w:val="none"/>
        </w:rPr>
        <w:t xml:space="preserve">  F.法定代表人或负责人或实际控制人存在股份控制或实际控制关系</w:t>
      </w:r>
    </w:p>
    <w:p w14:paraId="0C9D15FA">
      <w:pPr>
        <w:pStyle w:val="46"/>
        <w:widowControl w:val="0"/>
        <w:snapToGrid w:val="0"/>
        <w:spacing w:line="500" w:lineRule="exact"/>
        <w:jc w:val="both"/>
        <w:outlineLvl w:val="0"/>
        <w:rPr>
          <w:rFonts w:hAnsi="宋体" w:cs="宋体"/>
          <w:color w:val="auto"/>
          <w:kern w:val="0"/>
          <w:szCs w:val="21"/>
          <w:highlight w:val="none"/>
        </w:rPr>
      </w:pPr>
      <w:r>
        <w:rPr>
          <w:rFonts w:hint="eastAsia" w:hAnsi="宋体" w:cs="宋体"/>
          <w:color w:val="auto"/>
          <w:kern w:val="0"/>
          <w:szCs w:val="21"/>
          <w:highlight w:val="none"/>
        </w:rPr>
        <w:t xml:space="preserve">  </w:t>
      </w:r>
      <w:bookmarkStart w:id="128" w:name="_Toc26873"/>
      <w:bookmarkStart w:id="129" w:name="_Toc22060"/>
      <w:bookmarkStart w:id="130" w:name="_Toc29065"/>
      <w:r>
        <w:rPr>
          <w:rFonts w:hint="eastAsia" w:hAnsi="宋体" w:cs="宋体"/>
          <w:color w:val="auto"/>
          <w:kern w:val="0"/>
          <w:szCs w:val="21"/>
          <w:highlight w:val="none"/>
        </w:rPr>
        <w:t>G.存在共同直接或间接投资设立子公司、联营企业和合营企业情况</w:t>
      </w:r>
      <w:bookmarkEnd w:id="128"/>
      <w:bookmarkEnd w:id="129"/>
      <w:bookmarkEnd w:id="130"/>
    </w:p>
    <w:p w14:paraId="36AE7ECC">
      <w:pPr>
        <w:pStyle w:val="46"/>
        <w:widowControl w:val="0"/>
        <w:snapToGrid w:val="0"/>
        <w:spacing w:line="500" w:lineRule="exact"/>
        <w:jc w:val="both"/>
        <w:rPr>
          <w:rFonts w:hAnsi="宋体" w:cs="宋体"/>
          <w:color w:val="auto"/>
          <w:szCs w:val="21"/>
          <w:highlight w:val="none"/>
        </w:rPr>
      </w:pPr>
      <w:r>
        <w:rPr>
          <w:rFonts w:hint="eastAsia" w:hAnsi="宋体" w:cs="宋体"/>
          <w:color w:val="auto"/>
          <w:kern w:val="0"/>
          <w:szCs w:val="21"/>
          <w:highlight w:val="none"/>
        </w:rPr>
        <w:t xml:space="preserve">  H.存在分级代理或代销关系、同一生产制造商关系、</w:t>
      </w:r>
      <w:r>
        <w:rPr>
          <w:rFonts w:hint="eastAsia" w:hAnsi="宋体" w:cs="宋体"/>
          <w:color w:val="auto"/>
          <w:szCs w:val="21"/>
          <w:highlight w:val="none"/>
        </w:rPr>
        <w:t>管理关系、重要业务（占主营业务收入50%以上）或重要财务往来关系（如融资）等其他实质性控制关系</w:t>
      </w:r>
    </w:p>
    <w:p w14:paraId="7266E952">
      <w:pPr>
        <w:pStyle w:val="46"/>
        <w:widowControl w:val="0"/>
        <w:snapToGrid w:val="0"/>
        <w:spacing w:line="500" w:lineRule="exact"/>
        <w:jc w:val="both"/>
        <w:rPr>
          <w:rFonts w:hAnsi="宋体" w:cs="宋体"/>
          <w:color w:val="auto"/>
          <w:spacing w:val="6"/>
          <w:szCs w:val="21"/>
          <w:highlight w:val="none"/>
        </w:rPr>
      </w:pPr>
      <w:r>
        <w:rPr>
          <w:rFonts w:hint="eastAsia" w:hAnsi="宋体" w:cs="宋体"/>
          <w:color w:val="auto"/>
          <w:szCs w:val="21"/>
          <w:highlight w:val="none"/>
        </w:rPr>
        <w:t xml:space="preserve">  I</w:t>
      </w:r>
      <w:r>
        <w:rPr>
          <w:rFonts w:hint="eastAsia" w:hAnsi="宋体" w:cs="宋体"/>
          <w:color w:val="auto"/>
          <w:kern w:val="0"/>
          <w:szCs w:val="21"/>
          <w:highlight w:val="none"/>
        </w:rPr>
        <w:t>.</w:t>
      </w:r>
      <w:r>
        <w:rPr>
          <w:rFonts w:hint="eastAsia" w:hAnsi="宋体" w:cs="宋体"/>
          <w:color w:val="auto"/>
          <w:szCs w:val="21"/>
          <w:highlight w:val="none"/>
        </w:rPr>
        <w:t>其他利害关系情况</w:t>
      </w:r>
      <w:r>
        <w:rPr>
          <w:rFonts w:hint="eastAsia" w:hAnsi="宋体" w:cs="宋体"/>
          <w:color w:val="auto"/>
          <w:szCs w:val="21"/>
          <w:highlight w:val="none"/>
          <w:u w:val="single"/>
        </w:rPr>
        <w:t xml:space="preserve">                              </w:t>
      </w:r>
      <w:r>
        <w:rPr>
          <w:rFonts w:hint="eastAsia" w:hAnsi="宋体" w:cs="宋体"/>
          <w:color w:val="auto"/>
          <w:kern w:val="0"/>
          <w:szCs w:val="21"/>
          <w:highlight w:val="none"/>
        </w:rPr>
        <w:t>。</w:t>
      </w:r>
    </w:p>
    <w:p w14:paraId="074340A9">
      <w:pPr>
        <w:pStyle w:val="47"/>
        <w:widowControl/>
        <w:numPr>
          <w:ilvl w:val="0"/>
          <w:numId w:val="10"/>
        </w:numPr>
        <w:snapToGrid w:val="0"/>
        <w:spacing w:line="500" w:lineRule="exact"/>
        <w:ind w:firstLine="396" w:firstLineChars="189"/>
        <w:rPr>
          <w:rFonts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6CC103F8">
      <w:pPr>
        <w:pStyle w:val="47"/>
        <w:widowControl/>
        <w:numPr>
          <w:ilvl w:val="0"/>
          <w:numId w:val="10"/>
        </w:numPr>
        <w:snapToGrid w:val="0"/>
        <w:spacing w:line="500" w:lineRule="exact"/>
        <w:ind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我发现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14:paraId="4E28EDDE">
      <w:pPr>
        <w:pStyle w:val="46"/>
        <w:widowControl w:val="0"/>
        <w:snapToGrid w:val="0"/>
        <w:spacing w:line="500" w:lineRule="exact"/>
        <w:jc w:val="both"/>
        <w:rPr>
          <w:rFonts w:hAnsi="宋体" w:cs="宋体"/>
          <w:color w:val="auto"/>
          <w:szCs w:val="21"/>
          <w:highlight w:val="none"/>
        </w:rPr>
      </w:pPr>
      <w:r>
        <w:rPr>
          <w:rFonts w:hint="eastAsia" w:hAnsi="宋体" w:cs="宋体"/>
          <w:color w:val="auto"/>
          <w:szCs w:val="21"/>
          <w:highlight w:val="none"/>
        </w:rPr>
        <w:t xml:space="preserve">                                        供应商代表签名：</w:t>
      </w:r>
    </w:p>
    <w:p w14:paraId="162E8006">
      <w:pPr>
        <w:spacing w:line="360" w:lineRule="auto"/>
        <w:jc w:val="left"/>
        <w:outlineLvl w:val="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   月   日</w:t>
      </w:r>
    </w:p>
    <w:p w14:paraId="22B86DE4">
      <w:pPr>
        <w:spacing w:line="360" w:lineRule="auto"/>
        <w:jc w:val="left"/>
        <w:outlineLvl w:val="1"/>
        <w:rPr>
          <w:rFonts w:ascii="宋体" w:hAnsi="宋体"/>
          <w:b/>
          <w:bCs/>
          <w:color w:val="auto"/>
          <w:sz w:val="18"/>
          <w:szCs w:val="18"/>
          <w:highlight w:val="none"/>
        </w:rPr>
      </w:pPr>
      <w:r>
        <w:rPr>
          <w:rFonts w:hint="eastAsia" w:ascii="宋体" w:hAnsi="宋体"/>
          <w:b/>
          <w:bCs/>
          <w:color w:val="auto"/>
          <w:sz w:val="18"/>
          <w:szCs w:val="18"/>
          <w:highlight w:val="none"/>
        </w:rPr>
        <w:t>注：1、本表非投标文件的组成内容，无须在投标文件中提供。</w:t>
      </w:r>
    </w:p>
    <w:p w14:paraId="62910654">
      <w:pPr>
        <w:spacing w:line="360" w:lineRule="auto"/>
        <w:jc w:val="left"/>
        <w:outlineLvl w:val="1"/>
        <w:rPr>
          <w:rFonts w:ascii="宋体" w:hAnsi="宋体"/>
          <w:b/>
          <w:bCs/>
          <w:color w:val="auto"/>
          <w:sz w:val="18"/>
          <w:szCs w:val="18"/>
          <w:highlight w:val="none"/>
        </w:rPr>
      </w:pPr>
      <w:r>
        <w:rPr>
          <w:rFonts w:hint="eastAsia" w:ascii="宋体" w:hAnsi="宋体"/>
          <w:b/>
          <w:bCs/>
          <w:color w:val="auto"/>
          <w:sz w:val="18"/>
          <w:szCs w:val="18"/>
          <w:highlight w:val="none"/>
        </w:rPr>
        <w:t>2、各供应商提前打印本表，待投标文件解密结束后，签署完毕后</w:t>
      </w:r>
      <w:r>
        <w:rPr>
          <w:rFonts w:hint="eastAsia" w:ascii="宋体" w:hAnsi="宋体"/>
          <w:b/>
          <w:bCs/>
          <w:color w:val="auto"/>
          <w:sz w:val="18"/>
          <w:szCs w:val="18"/>
          <w:highlight w:val="none"/>
          <w:lang w:val="zh-CN"/>
        </w:rPr>
        <w:t>发送至</w:t>
      </w:r>
      <w:r>
        <w:rPr>
          <w:rFonts w:hint="eastAsia" w:ascii="宋体" w:hAnsi="宋体"/>
          <w:b/>
          <w:bCs/>
          <w:color w:val="auto"/>
          <w:sz w:val="18"/>
          <w:szCs w:val="18"/>
          <w:highlight w:val="none"/>
        </w:rPr>
        <w:t>邮箱</w:t>
      </w:r>
      <w:r>
        <w:rPr>
          <w:rFonts w:hint="eastAsia" w:ascii="宋体" w:hAnsi="宋体" w:eastAsia="宋体"/>
          <w:b/>
          <w:bCs/>
          <w:color w:val="auto"/>
          <w:sz w:val="18"/>
          <w:szCs w:val="18"/>
          <w:highlight w:val="none"/>
        </w:rPr>
        <w:t>3050868501</w:t>
      </w:r>
      <w:r>
        <w:rPr>
          <w:rFonts w:hint="eastAsia" w:ascii="宋体" w:hAnsi="宋体"/>
          <w:b/>
          <w:bCs/>
          <w:color w:val="auto"/>
          <w:sz w:val="18"/>
          <w:szCs w:val="18"/>
          <w:highlight w:val="none"/>
        </w:rPr>
        <w:t>@qq.com。</w:t>
      </w:r>
    </w:p>
    <w:p w14:paraId="5F2C0222">
      <w:pPr>
        <w:pStyle w:val="46"/>
        <w:widowControl w:val="0"/>
        <w:snapToGrid w:val="0"/>
        <w:spacing w:line="500" w:lineRule="exact"/>
        <w:jc w:val="center"/>
        <w:rPr>
          <w:rFonts w:hAnsi="宋体" w:cs="宋体"/>
          <w:b/>
          <w:bCs/>
          <w:color w:val="auto"/>
          <w:szCs w:val="21"/>
          <w:highlight w:val="none"/>
        </w:rPr>
      </w:pPr>
    </w:p>
    <w:p w14:paraId="6934DD59">
      <w:pPr>
        <w:pStyle w:val="46"/>
        <w:widowControl w:val="0"/>
        <w:snapToGrid w:val="0"/>
        <w:spacing w:line="500" w:lineRule="exact"/>
        <w:jc w:val="center"/>
        <w:rPr>
          <w:rFonts w:hAnsi="宋体" w:cs="宋体"/>
          <w:color w:val="auto"/>
          <w:szCs w:val="21"/>
          <w:highlight w:val="none"/>
        </w:rPr>
      </w:pPr>
      <w:r>
        <w:rPr>
          <w:rFonts w:hint="eastAsia" w:hAnsi="宋体" w:cs="宋体"/>
          <w:b/>
          <w:bCs/>
          <w:color w:val="auto"/>
          <w:szCs w:val="21"/>
          <w:highlight w:val="none"/>
        </w:rPr>
        <w:t>政府采购活动现</w:t>
      </w:r>
      <w:r>
        <w:rPr>
          <w:rFonts w:hint="eastAsia" w:hAnsi="宋体" w:cs="宋体"/>
          <w:b/>
          <w:color w:val="auto"/>
          <w:szCs w:val="21"/>
          <w:highlight w:val="none"/>
        </w:rPr>
        <w:t>场确认声明书（法人）</w:t>
      </w:r>
    </w:p>
    <w:p w14:paraId="700896D4">
      <w:pPr>
        <w:pStyle w:val="46"/>
        <w:widowControl w:val="0"/>
        <w:snapToGrid w:val="0"/>
        <w:spacing w:line="500" w:lineRule="exact"/>
        <w:jc w:val="both"/>
        <w:rPr>
          <w:rFonts w:hAnsi="宋体" w:cs="宋体"/>
          <w:b/>
          <w:color w:val="auto"/>
          <w:szCs w:val="21"/>
          <w:highlight w:val="none"/>
        </w:rPr>
      </w:pPr>
      <w:r>
        <w:rPr>
          <w:rFonts w:hint="eastAsia" w:hAnsi="宋体" w:cs="宋体"/>
          <w:color w:val="auto"/>
          <w:kern w:val="0"/>
          <w:szCs w:val="21"/>
          <w:highlight w:val="none"/>
          <w:u w:val="single"/>
        </w:rPr>
        <w:t xml:space="preserve"> 浙江广通工程咨询有限公司  </w:t>
      </w:r>
      <w:r>
        <w:rPr>
          <w:rFonts w:hint="eastAsia" w:hAnsi="宋体" w:cs="宋体"/>
          <w:color w:val="auto"/>
          <w:kern w:val="0"/>
          <w:szCs w:val="21"/>
          <w:highlight w:val="none"/>
        </w:rPr>
        <w:t>（采购组织机构名称）：</w:t>
      </w:r>
    </w:p>
    <w:p w14:paraId="3AD2334A">
      <w:pPr>
        <w:pStyle w:val="46"/>
        <w:widowControl w:val="0"/>
        <w:snapToGrid w:val="0"/>
        <w:spacing w:line="500" w:lineRule="exact"/>
        <w:ind w:firstLine="444" w:firstLineChars="200"/>
        <w:jc w:val="both"/>
        <w:rPr>
          <w:rFonts w:hAnsi="宋体" w:cs="宋体"/>
          <w:color w:val="auto"/>
          <w:spacing w:val="6"/>
          <w:szCs w:val="21"/>
          <w:highlight w:val="none"/>
        </w:rPr>
      </w:pPr>
      <w:r>
        <w:rPr>
          <w:rFonts w:hint="eastAsia" w:hAnsi="宋体" w:cs="宋体"/>
          <w:color w:val="auto"/>
          <w:spacing w:val="6"/>
          <w:szCs w:val="21"/>
          <w:highlight w:val="none"/>
        </w:rPr>
        <w:t>本人为</w:t>
      </w:r>
      <w:r>
        <w:rPr>
          <w:rFonts w:hint="eastAsia" w:hAnsi="宋体" w:cs="宋体"/>
          <w:color w:val="auto"/>
          <w:spacing w:val="6"/>
          <w:szCs w:val="21"/>
          <w:highlight w:val="none"/>
          <w:u w:val="single"/>
        </w:rPr>
        <w:t xml:space="preserve"> </w:t>
      </w:r>
      <w:r>
        <w:rPr>
          <w:rFonts w:hint="eastAsia" w:hAnsi="宋体" w:cs="宋体"/>
          <w:color w:val="auto"/>
          <w:kern w:val="0"/>
          <w:szCs w:val="21"/>
          <w:highlight w:val="none"/>
          <w:u w:val="single"/>
        </w:rPr>
        <w:t xml:space="preserve">                           </w:t>
      </w:r>
      <w:r>
        <w:rPr>
          <w:rFonts w:hint="eastAsia" w:hAnsi="宋体" w:cs="宋体"/>
          <w:color w:val="auto"/>
          <w:spacing w:val="6"/>
          <w:szCs w:val="21"/>
          <w:highlight w:val="none"/>
          <w:u w:val="single"/>
        </w:rPr>
        <w:t>（单位）</w:t>
      </w:r>
      <w:r>
        <w:rPr>
          <w:rFonts w:hint="eastAsia" w:hAnsi="宋体" w:cs="宋体"/>
          <w:color w:val="auto"/>
          <w:spacing w:val="6"/>
          <w:szCs w:val="21"/>
          <w:highlight w:val="none"/>
        </w:rPr>
        <w:t>负责人参加</w:t>
      </w:r>
      <w:r>
        <w:rPr>
          <w:rFonts w:hint="eastAsia" w:hAnsi="宋体" w:cs="宋体"/>
          <w:color w:val="auto"/>
          <w:spacing w:val="6"/>
          <w:szCs w:val="21"/>
          <w:highlight w:val="none"/>
          <w:u w:val="single"/>
          <w:lang w:eastAsia="zh-CN"/>
        </w:rPr>
        <w:t>2024年-2025年仙居县所有国、省道及县道公路绿化管护服务项目(重新招标）</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（编号：</w:t>
      </w:r>
      <w:r>
        <w:rPr>
          <w:rFonts w:hint="eastAsia" w:hAnsi="宋体" w:cs="宋体"/>
          <w:color w:val="auto"/>
          <w:spacing w:val="6"/>
          <w:szCs w:val="21"/>
          <w:highlight w:val="none"/>
          <w:u w:val="single"/>
          <w:lang w:eastAsia="zh-CN"/>
        </w:rPr>
        <w:t>GTXJ(采购）-24009-1</w:t>
      </w:r>
      <w:r>
        <w:rPr>
          <w:rFonts w:hint="eastAsia" w:hAnsi="宋体" w:cs="宋体"/>
          <w:color w:val="auto"/>
          <w:spacing w:val="6"/>
          <w:szCs w:val="21"/>
          <w:highlight w:val="none"/>
        </w:rPr>
        <w:t xml:space="preserve">）政府采购活动，现就有关公平竞争事项郑重声明如下： </w:t>
      </w:r>
    </w:p>
    <w:p w14:paraId="29B3A46A">
      <w:pPr>
        <w:pStyle w:val="47"/>
        <w:widowControl/>
        <w:numPr>
          <w:ilvl w:val="0"/>
          <w:numId w:val="9"/>
        </w:numPr>
        <w:snapToGrid w:val="0"/>
        <w:spacing w:line="500" w:lineRule="exact"/>
        <w:ind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rPr>
        <w:t>本单位与采购人之间 □不存在利害关系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B8AB2C1">
      <w:pPr>
        <w:pStyle w:val="47"/>
        <w:widowControl/>
        <w:snapToGrid w:val="0"/>
        <w:spacing w:line="5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A.投资关系    B.行政隶属关系    C.业务指导关系</w:t>
      </w:r>
    </w:p>
    <w:p w14:paraId="22B19013">
      <w:pPr>
        <w:pStyle w:val="47"/>
        <w:widowControl/>
        <w:snapToGrid w:val="0"/>
        <w:spacing w:line="5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利害关系</w:t>
      </w:r>
      <w:r>
        <w:rPr>
          <w:rFonts w:hint="eastAsia" w:ascii="宋体" w:hAnsi="宋体" w:cs="宋体"/>
          <w:color w:val="auto"/>
          <w:kern w:val="0"/>
          <w:szCs w:val="21"/>
          <w:highlight w:val="none"/>
          <w:u w:val="single"/>
        </w:rPr>
        <w:t xml:space="preserve">（如有，请如实说明）                 </w:t>
      </w:r>
      <w:r>
        <w:rPr>
          <w:rFonts w:hint="eastAsia" w:ascii="宋体" w:hAnsi="宋体" w:cs="宋体"/>
          <w:color w:val="auto"/>
          <w:kern w:val="0"/>
          <w:szCs w:val="21"/>
          <w:highlight w:val="none"/>
        </w:rPr>
        <w:t>。</w:t>
      </w:r>
    </w:p>
    <w:p w14:paraId="768F7A60">
      <w:pPr>
        <w:pStyle w:val="47"/>
        <w:widowControl/>
        <w:snapToGrid w:val="0"/>
        <w:spacing w:line="500" w:lineRule="exact"/>
        <w:rPr>
          <w:rFonts w:ascii="宋体" w:hAnsi="宋体" w:cs="宋体"/>
          <w:color w:val="auto"/>
          <w:kern w:val="0"/>
          <w:szCs w:val="21"/>
          <w:highlight w:val="none"/>
        </w:rPr>
      </w:pPr>
      <w:r>
        <w:rPr>
          <w:rFonts w:hint="eastAsia" w:ascii="宋体" w:hAnsi="宋体" w:cs="宋体"/>
          <w:color w:val="auto"/>
          <w:spacing w:val="6"/>
          <w:szCs w:val="21"/>
          <w:highlight w:val="none"/>
        </w:rPr>
        <w:t xml:space="preserve">  二、</w:t>
      </w:r>
      <w:r>
        <w:rPr>
          <w:rFonts w:hint="eastAsia" w:ascii="宋体" w:hAnsi="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cs="宋体"/>
          <w:color w:val="auto"/>
          <w:kern w:val="0"/>
          <w:szCs w:val="21"/>
          <w:highlight w:val="none"/>
          <w:u w:val="single"/>
        </w:rPr>
        <w:t xml:space="preserve">           （供应商名称）</w:t>
      </w:r>
      <w:r>
        <w:rPr>
          <w:rFonts w:hint="eastAsia" w:ascii="宋体" w:hAnsi="宋体" w:cs="宋体"/>
          <w:color w:val="auto"/>
          <w:kern w:val="0"/>
          <w:szCs w:val="21"/>
          <w:highlight w:val="none"/>
        </w:rPr>
        <w:t>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391D6D9">
      <w:pPr>
        <w:pStyle w:val="46"/>
        <w:widowControl w:val="0"/>
        <w:snapToGrid w:val="0"/>
        <w:spacing w:line="500" w:lineRule="exact"/>
        <w:jc w:val="both"/>
        <w:rPr>
          <w:rFonts w:hAnsi="宋体" w:cs="宋体"/>
          <w:color w:val="auto"/>
          <w:kern w:val="0"/>
          <w:szCs w:val="21"/>
          <w:highlight w:val="none"/>
        </w:rPr>
      </w:pPr>
      <w:r>
        <w:rPr>
          <w:rFonts w:hint="eastAsia" w:hAnsi="宋体" w:cs="宋体"/>
          <w:color w:val="auto"/>
          <w:kern w:val="0"/>
          <w:szCs w:val="21"/>
          <w:highlight w:val="none"/>
        </w:rPr>
        <w:t xml:space="preserve">  A.法定代表人或负责人或实际控制人是同一人</w:t>
      </w:r>
    </w:p>
    <w:p w14:paraId="0BCAA78D">
      <w:pPr>
        <w:pStyle w:val="46"/>
        <w:widowControl w:val="0"/>
        <w:snapToGrid w:val="0"/>
        <w:spacing w:line="500" w:lineRule="exact"/>
        <w:jc w:val="both"/>
        <w:rPr>
          <w:rFonts w:hAnsi="宋体" w:cs="宋体"/>
          <w:color w:val="auto"/>
          <w:spacing w:val="6"/>
          <w:szCs w:val="21"/>
          <w:highlight w:val="none"/>
        </w:rPr>
      </w:pPr>
      <w:r>
        <w:rPr>
          <w:rFonts w:hint="eastAsia" w:hAnsi="宋体" w:cs="宋体"/>
          <w:color w:val="auto"/>
          <w:kern w:val="0"/>
          <w:szCs w:val="21"/>
          <w:highlight w:val="none"/>
        </w:rPr>
        <w:t xml:space="preserve">  B.法定代表人或负责人或实际控制人是夫妻关系</w:t>
      </w:r>
    </w:p>
    <w:p w14:paraId="30E54406">
      <w:pPr>
        <w:pStyle w:val="46"/>
        <w:widowControl w:val="0"/>
        <w:snapToGrid w:val="0"/>
        <w:spacing w:line="500" w:lineRule="exact"/>
        <w:jc w:val="both"/>
        <w:rPr>
          <w:rFonts w:hAnsi="宋体" w:cs="宋体"/>
          <w:color w:val="auto"/>
          <w:spacing w:val="6"/>
          <w:szCs w:val="21"/>
          <w:highlight w:val="none"/>
        </w:rPr>
      </w:pPr>
      <w:r>
        <w:rPr>
          <w:rFonts w:hint="eastAsia" w:hAnsi="宋体" w:cs="宋体"/>
          <w:color w:val="auto"/>
          <w:kern w:val="0"/>
          <w:szCs w:val="21"/>
          <w:highlight w:val="none"/>
        </w:rPr>
        <w:t xml:space="preserve">  C.法定代表人或负责人或实际控制人是直系血亲关系</w:t>
      </w:r>
    </w:p>
    <w:p w14:paraId="45A44FCA">
      <w:pPr>
        <w:pStyle w:val="46"/>
        <w:widowControl w:val="0"/>
        <w:snapToGrid w:val="0"/>
        <w:spacing w:line="500" w:lineRule="exact"/>
        <w:jc w:val="both"/>
        <w:rPr>
          <w:rFonts w:hAnsi="宋体" w:cs="宋体"/>
          <w:color w:val="auto"/>
          <w:spacing w:val="6"/>
          <w:szCs w:val="21"/>
          <w:highlight w:val="none"/>
        </w:rPr>
      </w:pPr>
      <w:r>
        <w:rPr>
          <w:rFonts w:hint="eastAsia" w:hAnsi="宋体" w:cs="宋体"/>
          <w:color w:val="auto"/>
          <w:kern w:val="0"/>
          <w:szCs w:val="21"/>
          <w:highlight w:val="none"/>
        </w:rPr>
        <w:t xml:space="preserve">  D.法定代表人或负责人或实际控制人存在三代以内旁系血亲关系</w:t>
      </w:r>
    </w:p>
    <w:p w14:paraId="1F6E6A19">
      <w:pPr>
        <w:pStyle w:val="46"/>
        <w:widowControl w:val="0"/>
        <w:snapToGrid w:val="0"/>
        <w:spacing w:line="500" w:lineRule="exact"/>
        <w:jc w:val="both"/>
        <w:rPr>
          <w:rFonts w:hAnsi="宋体" w:cs="宋体"/>
          <w:color w:val="auto"/>
          <w:kern w:val="0"/>
          <w:szCs w:val="21"/>
          <w:highlight w:val="none"/>
        </w:rPr>
      </w:pPr>
      <w:r>
        <w:rPr>
          <w:rFonts w:hint="eastAsia" w:hAnsi="宋体" w:cs="宋体"/>
          <w:color w:val="auto"/>
          <w:kern w:val="0"/>
          <w:szCs w:val="21"/>
          <w:highlight w:val="none"/>
        </w:rPr>
        <w:t xml:space="preserve">  E.法定代表人或负责人或实际控制人存在近姻亲关系</w:t>
      </w:r>
    </w:p>
    <w:p w14:paraId="4DF3ECB3">
      <w:pPr>
        <w:pStyle w:val="46"/>
        <w:widowControl w:val="0"/>
        <w:snapToGrid w:val="0"/>
        <w:spacing w:line="500" w:lineRule="exact"/>
        <w:jc w:val="both"/>
        <w:rPr>
          <w:rFonts w:hAnsi="宋体" w:cs="宋体"/>
          <w:color w:val="auto"/>
          <w:kern w:val="0"/>
          <w:szCs w:val="21"/>
          <w:highlight w:val="none"/>
        </w:rPr>
      </w:pPr>
      <w:r>
        <w:rPr>
          <w:rFonts w:hint="eastAsia" w:hAnsi="宋体" w:cs="宋体"/>
          <w:color w:val="auto"/>
          <w:kern w:val="0"/>
          <w:szCs w:val="21"/>
          <w:highlight w:val="none"/>
        </w:rPr>
        <w:t xml:space="preserve">  F.法定代表人或负责人或实际控制人存在股份控制或实际控制关系</w:t>
      </w:r>
    </w:p>
    <w:p w14:paraId="780AACC0">
      <w:pPr>
        <w:pStyle w:val="46"/>
        <w:widowControl w:val="0"/>
        <w:snapToGrid w:val="0"/>
        <w:spacing w:line="500" w:lineRule="exact"/>
        <w:jc w:val="both"/>
        <w:outlineLvl w:val="0"/>
        <w:rPr>
          <w:rFonts w:hAnsi="宋体" w:cs="宋体"/>
          <w:color w:val="auto"/>
          <w:kern w:val="0"/>
          <w:szCs w:val="21"/>
          <w:highlight w:val="none"/>
        </w:rPr>
      </w:pPr>
      <w:r>
        <w:rPr>
          <w:rFonts w:hint="eastAsia" w:hAnsi="宋体" w:cs="宋体"/>
          <w:color w:val="auto"/>
          <w:kern w:val="0"/>
          <w:szCs w:val="21"/>
          <w:highlight w:val="none"/>
        </w:rPr>
        <w:t xml:space="preserve">  </w:t>
      </w:r>
      <w:bookmarkStart w:id="131" w:name="_Toc32448"/>
      <w:bookmarkStart w:id="132" w:name="_Toc18295"/>
      <w:bookmarkStart w:id="133" w:name="_Toc16599"/>
      <w:r>
        <w:rPr>
          <w:rFonts w:hint="eastAsia" w:hAnsi="宋体" w:cs="宋体"/>
          <w:color w:val="auto"/>
          <w:kern w:val="0"/>
          <w:szCs w:val="21"/>
          <w:highlight w:val="none"/>
        </w:rPr>
        <w:t>G.存在共同直接或间接投资设立子公司、联营企业和合营企业情况</w:t>
      </w:r>
      <w:bookmarkEnd w:id="131"/>
      <w:bookmarkEnd w:id="132"/>
      <w:bookmarkEnd w:id="133"/>
    </w:p>
    <w:p w14:paraId="576592D9">
      <w:pPr>
        <w:pStyle w:val="46"/>
        <w:widowControl w:val="0"/>
        <w:snapToGrid w:val="0"/>
        <w:spacing w:line="500" w:lineRule="exact"/>
        <w:jc w:val="both"/>
        <w:rPr>
          <w:rFonts w:hAnsi="宋体" w:cs="宋体"/>
          <w:color w:val="auto"/>
          <w:szCs w:val="21"/>
          <w:highlight w:val="none"/>
        </w:rPr>
      </w:pPr>
      <w:r>
        <w:rPr>
          <w:rFonts w:hint="eastAsia" w:hAnsi="宋体" w:cs="宋体"/>
          <w:color w:val="auto"/>
          <w:kern w:val="0"/>
          <w:szCs w:val="21"/>
          <w:highlight w:val="none"/>
        </w:rPr>
        <w:t xml:space="preserve">  H.存在分级代理或代销关系、同一生产制造商关系、</w:t>
      </w:r>
      <w:r>
        <w:rPr>
          <w:rFonts w:hint="eastAsia" w:hAnsi="宋体" w:cs="宋体"/>
          <w:color w:val="auto"/>
          <w:szCs w:val="21"/>
          <w:highlight w:val="none"/>
        </w:rPr>
        <w:t>管理关系、重要业务（占主营业务收入50%以上）或重要财务往来关系（如融资）等其他实质性控制关系</w:t>
      </w:r>
    </w:p>
    <w:p w14:paraId="66BE21AD">
      <w:pPr>
        <w:pStyle w:val="46"/>
        <w:widowControl w:val="0"/>
        <w:snapToGrid w:val="0"/>
        <w:spacing w:line="500" w:lineRule="exact"/>
        <w:jc w:val="both"/>
        <w:rPr>
          <w:rFonts w:hAnsi="宋体" w:cs="宋体"/>
          <w:color w:val="auto"/>
          <w:spacing w:val="6"/>
          <w:szCs w:val="21"/>
          <w:highlight w:val="none"/>
        </w:rPr>
      </w:pPr>
      <w:r>
        <w:rPr>
          <w:rFonts w:hint="eastAsia" w:hAnsi="宋体" w:cs="宋体"/>
          <w:color w:val="auto"/>
          <w:szCs w:val="21"/>
          <w:highlight w:val="none"/>
        </w:rPr>
        <w:t xml:space="preserve">  I</w:t>
      </w:r>
      <w:r>
        <w:rPr>
          <w:rFonts w:hint="eastAsia" w:hAnsi="宋体" w:cs="宋体"/>
          <w:color w:val="auto"/>
          <w:kern w:val="0"/>
          <w:szCs w:val="21"/>
          <w:highlight w:val="none"/>
        </w:rPr>
        <w:t>.</w:t>
      </w:r>
      <w:r>
        <w:rPr>
          <w:rFonts w:hint="eastAsia" w:hAnsi="宋体" w:cs="宋体"/>
          <w:color w:val="auto"/>
          <w:szCs w:val="21"/>
          <w:highlight w:val="none"/>
        </w:rPr>
        <w:t>其他利害关系情况</w:t>
      </w:r>
      <w:r>
        <w:rPr>
          <w:rFonts w:hint="eastAsia" w:hAnsi="宋体" w:cs="宋体"/>
          <w:color w:val="auto"/>
          <w:szCs w:val="21"/>
          <w:highlight w:val="none"/>
          <w:u w:val="single"/>
        </w:rPr>
        <w:t xml:space="preserve">                              </w:t>
      </w:r>
      <w:r>
        <w:rPr>
          <w:rFonts w:hint="eastAsia" w:hAnsi="宋体" w:cs="宋体"/>
          <w:color w:val="auto"/>
          <w:kern w:val="0"/>
          <w:szCs w:val="21"/>
          <w:highlight w:val="none"/>
        </w:rPr>
        <w:t>。</w:t>
      </w:r>
    </w:p>
    <w:p w14:paraId="2AF3A004">
      <w:pPr>
        <w:pStyle w:val="47"/>
        <w:widowControl/>
        <w:numPr>
          <w:ilvl w:val="0"/>
          <w:numId w:val="10"/>
        </w:numPr>
        <w:snapToGrid w:val="0"/>
        <w:spacing w:line="500" w:lineRule="exact"/>
        <w:ind w:firstLine="396" w:firstLineChars="189"/>
        <w:rPr>
          <w:rFonts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2BB96C53">
      <w:pPr>
        <w:pStyle w:val="47"/>
        <w:widowControl/>
        <w:numPr>
          <w:ilvl w:val="0"/>
          <w:numId w:val="10"/>
        </w:numPr>
        <w:snapToGrid w:val="0"/>
        <w:spacing w:line="500" w:lineRule="exact"/>
        <w:ind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我发现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14:paraId="2C2C5633">
      <w:pPr>
        <w:pStyle w:val="46"/>
        <w:widowControl w:val="0"/>
        <w:snapToGrid w:val="0"/>
        <w:spacing w:line="500" w:lineRule="exact"/>
        <w:jc w:val="both"/>
        <w:rPr>
          <w:rFonts w:hAnsi="宋体" w:cs="宋体"/>
          <w:color w:val="auto"/>
          <w:szCs w:val="21"/>
          <w:highlight w:val="none"/>
        </w:rPr>
      </w:pPr>
      <w:r>
        <w:rPr>
          <w:rFonts w:hint="eastAsia" w:hAnsi="宋体" w:cs="宋体"/>
          <w:color w:val="auto"/>
          <w:szCs w:val="21"/>
          <w:highlight w:val="none"/>
        </w:rPr>
        <w:t xml:space="preserve">                                      供应商代表签名：</w:t>
      </w:r>
    </w:p>
    <w:p w14:paraId="574A8E3F">
      <w:pPr>
        <w:jc w:val="right"/>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   月   日</w:t>
      </w:r>
    </w:p>
    <w:p w14:paraId="4F0620F1">
      <w:pPr>
        <w:pStyle w:val="11"/>
        <w:ind w:firstLine="0"/>
        <w:jc w:val="left"/>
        <w:rPr>
          <w:rFonts w:ascii="宋体" w:hAnsi="宋体" w:eastAsia="宋体" w:cs="宋体"/>
          <w:b/>
          <w:color w:val="auto"/>
          <w:sz w:val="24"/>
          <w:szCs w:val="24"/>
          <w:highlight w:val="none"/>
          <w:lang w:val="zh-CN"/>
        </w:rPr>
      </w:pPr>
    </w:p>
    <w:bookmarkEnd w:id="98"/>
    <w:bookmarkEnd w:id="99"/>
    <w:bookmarkEnd w:id="100"/>
    <w:bookmarkEnd w:id="101"/>
    <w:bookmarkEnd w:id="102"/>
    <w:bookmarkEnd w:id="103"/>
    <w:bookmarkEnd w:id="104"/>
    <w:p w14:paraId="105BC86E">
      <w:pPr>
        <w:spacing w:line="360" w:lineRule="auto"/>
        <w:jc w:val="left"/>
        <w:outlineLvl w:val="1"/>
        <w:rPr>
          <w:rFonts w:ascii="宋体" w:hAnsi="宋体"/>
          <w:b/>
          <w:bCs/>
          <w:color w:val="auto"/>
          <w:sz w:val="18"/>
          <w:szCs w:val="18"/>
          <w:highlight w:val="none"/>
        </w:rPr>
      </w:pPr>
      <w:r>
        <w:rPr>
          <w:rFonts w:hint="eastAsia" w:ascii="宋体" w:hAnsi="宋体"/>
          <w:b/>
          <w:bCs/>
          <w:color w:val="auto"/>
          <w:sz w:val="18"/>
          <w:szCs w:val="18"/>
          <w:highlight w:val="none"/>
        </w:rPr>
        <w:t>注：1、本表非投标文件的组成内容，无须在投标文件中提供。</w:t>
      </w:r>
    </w:p>
    <w:p w14:paraId="39BBF235">
      <w:pPr>
        <w:spacing w:line="360" w:lineRule="auto"/>
        <w:jc w:val="left"/>
        <w:outlineLvl w:val="1"/>
        <w:rPr>
          <w:rFonts w:ascii="宋体" w:hAnsi="宋体"/>
          <w:b/>
          <w:bCs/>
          <w:color w:val="auto"/>
          <w:sz w:val="18"/>
          <w:szCs w:val="18"/>
          <w:highlight w:val="none"/>
        </w:rPr>
      </w:pPr>
      <w:r>
        <w:rPr>
          <w:rFonts w:hint="eastAsia" w:ascii="宋体" w:hAnsi="宋体"/>
          <w:b/>
          <w:bCs/>
          <w:color w:val="auto"/>
          <w:sz w:val="18"/>
          <w:szCs w:val="18"/>
          <w:highlight w:val="none"/>
        </w:rPr>
        <w:t>2、各供应商提前打印本表，待投标文件解密结束后，签署完毕后</w:t>
      </w:r>
      <w:r>
        <w:rPr>
          <w:rFonts w:hint="eastAsia" w:ascii="宋体" w:hAnsi="宋体"/>
          <w:b/>
          <w:bCs/>
          <w:color w:val="auto"/>
          <w:sz w:val="18"/>
          <w:szCs w:val="18"/>
          <w:highlight w:val="none"/>
          <w:lang w:val="zh-CN"/>
        </w:rPr>
        <w:t>发送至</w:t>
      </w:r>
      <w:r>
        <w:rPr>
          <w:rFonts w:hint="eastAsia" w:ascii="宋体" w:hAnsi="宋体"/>
          <w:b/>
          <w:bCs/>
          <w:color w:val="auto"/>
          <w:sz w:val="18"/>
          <w:szCs w:val="18"/>
          <w:highlight w:val="none"/>
        </w:rPr>
        <w:t>邮箱</w:t>
      </w:r>
      <w:r>
        <w:rPr>
          <w:rFonts w:hint="eastAsia" w:ascii="宋体" w:hAnsi="宋体" w:eastAsia="宋体"/>
          <w:b/>
          <w:bCs/>
          <w:color w:val="auto"/>
          <w:sz w:val="18"/>
          <w:szCs w:val="18"/>
          <w:highlight w:val="none"/>
        </w:rPr>
        <w:t>3050868501</w:t>
      </w:r>
      <w:r>
        <w:rPr>
          <w:rFonts w:hint="eastAsia" w:ascii="宋体" w:hAnsi="宋体"/>
          <w:b/>
          <w:bCs/>
          <w:color w:val="auto"/>
          <w:sz w:val="18"/>
          <w:szCs w:val="18"/>
          <w:highlight w:val="none"/>
        </w:rPr>
        <w:t>@qq.com。</w:t>
      </w: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55D6">
    <w:pPr>
      <w:pStyle w:val="17"/>
      <w:jc w:val="center"/>
      <w:rPr>
        <w:rFonts w:eastAsia="宋体"/>
        <w:u w:val="single"/>
      </w:rPr>
    </w:pPr>
    <w:r>
      <w:rPr>
        <w:rFonts w:hint="eastAsia" w:eastAsia="宋体"/>
        <w:u w:val="single"/>
      </w:rPr>
      <w:t>浙江广通工程咨询有限公司</w:t>
    </w:r>
  </w:p>
  <w:p w14:paraId="69340380">
    <w:pPr>
      <w:pStyle w:val="17"/>
      <w:jc w:val="center"/>
    </w:pPr>
    <w:r>
      <w:fldChar w:fldCharType="begin"/>
    </w:r>
    <w:r>
      <w:rPr>
        <w:rStyle w:val="31"/>
      </w:rPr>
      <w:instrText xml:space="preserve"> PAGE </w:instrText>
    </w:r>
    <w:r>
      <w:fldChar w:fldCharType="separate"/>
    </w:r>
    <w:r>
      <w:rPr>
        <w:rStyle w:val="31"/>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8185C">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D6AE0D">
                          <w:pPr>
                            <w:pStyle w:val="17"/>
                            <w:jc w:val="center"/>
                          </w:pPr>
                          <w:r>
                            <w:fldChar w:fldCharType="begin"/>
                          </w:r>
                          <w:r>
                            <w:rPr>
                              <w:rStyle w:val="31"/>
                            </w:rPr>
                            <w:instrText xml:space="preserve"> PAGE </w:instrText>
                          </w:r>
                          <w:r>
                            <w:fldChar w:fldCharType="separate"/>
                          </w:r>
                          <w:r>
                            <w:rPr>
                              <w:rStyle w:val="31"/>
                            </w:rPr>
                            <w:t>34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18D6AE0D">
                    <w:pPr>
                      <w:pStyle w:val="17"/>
                      <w:jc w:val="center"/>
                    </w:pPr>
                    <w:r>
                      <w:fldChar w:fldCharType="begin"/>
                    </w:r>
                    <w:r>
                      <w:rPr>
                        <w:rStyle w:val="31"/>
                      </w:rPr>
                      <w:instrText xml:space="preserve"> PAGE </w:instrText>
                    </w:r>
                    <w:r>
                      <w:fldChar w:fldCharType="separate"/>
                    </w:r>
                    <w:r>
                      <w:rPr>
                        <w:rStyle w:val="31"/>
                      </w:rP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8DB4B">
    <w:pPr>
      <w:pStyle w:val="18"/>
      <w:ind w:right="360"/>
      <w:jc w:val="right"/>
      <w:rPr>
        <w:rFonts w:ascii="宋体" w:hAnsi="宋体"/>
      </w:rPr>
    </w:pP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07C80">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DCD05">
    <w:pPr>
      <w:pStyle w:val="18"/>
      <w:pBdr>
        <w:bottom w:val="none" w:color="auto" w:sz="0" w:space="0"/>
      </w:pBdr>
      <w:jc w:val="both"/>
      <w:rPr>
        <w:u w:val="single"/>
      </w:rPr>
    </w:pPr>
    <w:r>
      <w:rPr>
        <w:rFonts w:hint="eastAsia" w:eastAsia="宋体"/>
        <w:u w:val="single"/>
        <w:lang w:eastAsia="zh-CN"/>
      </w:rPr>
      <w:t>2024年-2025年仙居县所有国、省道及县道公路绿化管护服务项目</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EE17B"/>
    <w:multiLevelType w:val="singleLevel"/>
    <w:tmpl w:val="DDDEE17B"/>
    <w:lvl w:ilvl="0" w:tentative="0">
      <w:start w:val="1"/>
      <w:numFmt w:val="decimal"/>
      <w:suff w:val="nothing"/>
      <w:lvlText w:val="（%1）"/>
      <w:lvlJc w:val="left"/>
      <w:pPr>
        <w:ind w:left="-60"/>
      </w:pPr>
    </w:lvl>
  </w:abstractNum>
  <w:abstractNum w:abstractNumId="1">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F444B5ED"/>
    <w:multiLevelType w:val="singleLevel"/>
    <w:tmpl w:val="F444B5ED"/>
    <w:lvl w:ilvl="0" w:tentative="0">
      <w:start w:val="1"/>
      <w:numFmt w:val="decimal"/>
      <w:pStyle w:val="10"/>
      <w:lvlText w:val="%1."/>
      <w:lvlJc w:val="left"/>
      <w:pPr>
        <w:tabs>
          <w:tab w:val="left" w:pos="360"/>
        </w:tabs>
        <w:ind w:left="360" w:hanging="360"/>
      </w:pPr>
    </w:lvl>
  </w:abstractNum>
  <w:abstractNum w:abstractNumId="3">
    <w:nsid w:val="125FAD8C"/>
    <w:multiLevelType w:val="singleLevel"/>
    <w:tmpl w:val="125FAD8C"/>
    <w:lvl w:ilvl="0" w:tentative="0">
      <w:start w:val="5"/>
      <w:numFmt w:val="chineseCounting"/>
      <w:suff w:val="space"/>
      <w:lvlText w:val="第%1部分"/>
      <w:lvlJc w:val="left"/>
      <w:rPr>
        <w:rFonts w:hint="eastAsia"/>
      </w:rPr>
    </w:lvl>
  </w:abstractNum>
  <w:abstractNum w:abstractNumId="4">
    <w:nsid w:val="4491E74E"/>
    <w:multiLevelType w:val="singleLevel"/>
    <w:tmpl w:val="4491E74E"/>
    <w:lvl w:ilvl="0" w:tentative="0">
      <w:start w:val="3"/>
      <w:numFmt w:val="chineseCounting"/>
      <w:suff w:val="nothing"/>
      <w:lvlText w:val="%1、"/>
      <w:lvlJc w:val="left"/>
      <w:rPr>
        <w:rFonts w:hint="eastAsia" w:cs="Times New Roman"/>
      </w:rPr>
    </w:lvl>
  </w:abstractNum>
  <w:abstractNum w:abstractNumId="5">
    <w:nsid w:val="5270CB86"/>
    <w:multiLevelType w:val="singleLevel"/>
    <w:tmpl w:val="5270CB86"/>
    <w:lvl w:ilvl="0" w:tentative="0">
      <w:start w:val="2"/>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rPr>
        <w:rFonts w:cs="Times New Roman"/>
      </w:rPr>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CFAED8D"/>
    <w:multiLevelType w:val="singleLevel"/>
    <w:tmpl w:val="7CFAED8D"/>
    <w:lvl w:ilvl="0" w:tentative="0">
      <w:start w:val="2"/>
      <w:numFmt w:val="chineseCounting"/>
      <w:suff w:val="space"/>
      <w:lvlText w:val="第%1部分"/>
      <w:lvlJc w:val="left"/>
      <w:rPr>
        <w:rFonts w:hint="eastAsia"/>
      </w:rPr>
    </w:lvl>
  </w:abstractNum>
  <w:num w:numId="1">
    <w:abstractNumId w:val="2"/>
  </w:num>
  <w:num w:numId="2">
    <w:abstractNumId w:val="1"/>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3">
    <w:abstractNumId w:val="0"/>
  </w:num>
  <w:num w:numId="4">
    <w:abstractNumId w:val="9"/>
  </w:num>
  <w:num w:numId="5">
    <w:abstractNumId w:val="4"/>
  </w:num>
  <w:num w:numId="6">
    <w:abstractNumId w:val="8"/>
    <w:lvlOverride w:ilvl="0">
      <w:startOverride w:val="1"/>
    </w:lvlOverride>
  </w:num>
  <w:num w:numId="7">
    <w:abstractNumId w:val="3"/>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M2QyZmU3MGViMDNlMGIzOTdmZmZjMDRjY2U2OGYifQ=="/>
  </w:docVars>
  <w:rsids>
    <w:rsidRoot w:val="642377E2"/>
    <w:rsid w:val="00037D52"/>
    <w:rsid w:val="000F2BB3"/>
    <w:rsid w:val="001F0B38"/>
    <w:rsid w:val="00432759"/>
    <w:rsid w:val="005165F7"/>
    <w:rsid w:val="006522D6"/>
    <w:rsid w:val="007B6CA2"/>
    <w:rsid w:val="008878D1"/>
    <w:rsid w:val="008E2983"/>
    <w:rsid w:val="00C6214C"/>
    <w:rsid w:val="00C70E72"/>
    <w:rsid w:val="00E329E7"/>
    <w:rsid w:val="00E66DD3"/>
    <w:rsid w:val="00F2703C"/>
    <w:rsid w:val="010572A9"/>
    <w:rsid w:val="01C90CBC"/>
    <w:rsid w:val="02071C2B"/>
    <w:rsid w:val="021D3514"/>
    <w:rsid w:val="02B21BA8"/>
    <w:rsid w:val="02B85CF9"/>
    <w:rsid w:val="03120B01"/>
    <w:rsid w:val="03581648"/>
    <w:rsid w:val="03B37AE2"/>
    <w:rsid w:val="04675A50"/>
    <w:rsid w:val="047F5600"/>
    <w:rsid w:val="04893C18"/>
    <w:rsid w:val="04983E5B"/>
    <w:rsid w:val="05390672"/>
    <w:rsid w:val="055D7941"/>
    <w:rsid w:val="05800AFA"/>
    <w:rsid w:val="05D56EF8"/>
    <w:rsid w:val="05F8220D"/>
    <w:rsid w:val="06047D48"/>
    <w:rsid w:val="072365A6"/>
    <w:rsid w:val="073928F2"/>
    <w:rsid w:val="074D1C1E"/>
    <w:rsid w:val="075A4286"/>
    <w:rsid w:val="07961892"/>
    <w:rsid w:val="07AD1777"/>
    <w:rsid w:val="07B45E98"/>
    <w:rsid w:val="08A90D2D"/>
    <w:rsid w:val="08B23C57"/>
    <w:rsid w:val="08DB2EDC"/>
    <w:rsid w:val="08E21F8A"/>
    <w:rsid w:val="09491960"/>
    <w:rsid w:val="095742E5"/>
    <w:rsid w:val="09772C97"/>
    <w:rsid w:val="09795489"/>
    <w:rsid w:val="0A201295"/>
    <w:rsid w:val="0B231062"/>
    <w:rsid w:val="0B304245"/>
    <w:rsid w:val="0B583635"/>
    <w:rsid w:val="0B7A42BB"/>
    <w:rsid w:val="0BD45574"/>
    <w:rsid w:val="0C0F6D61"/>
    <w:rsid w:val="0C8E20E0"/>
    <w:rsid w:val="0CDB456C"/>
    <w:rsid w:val="0DD269D0"/>
    <w:rsid w:val="0E0932FA"/>
    <w:rsid w:val="0E625E7D"/>
    <w:rsid w:val="0ECF1A0F"/>
    <w:rsid w:val="0EDD34DE"/>
    <w:rsid w:val="0EDE4129"/>
    <w:rsid w:val="0F405ACB"/>
    <w:rsid w:val="0F417614"/>
    <w:rsid w:val="0F8676D2"/>
    <w:rsid w:val="0F88614D"/>
    <w:rsid w:val="0FCE087C"/>
    <w:rsid w:val="0FFB5583"/>
    <w:rsid w:val="105070ED"/>
    <w:rsid w:val="10674BC7"/>
    <w:rsid w:val="10E2302E"/>
    <w:rsid w:val="10E26D8C"/>
    <w:rsid w:val="10F11312"/>
    <w:rsid w:val="10F20B36"/>
    <w:rsid w:val="11A03257"/>
    <w:rsid w:val="11E24042"/>
    <w:rsid w:val="12D23E0C"/>
    <w:rsid w:val="1308783C"/>
    <w:rsid w:val="134347E7"/>
    <w:rsid w:val="134F24D1"/>
    <w:rsid w:val="13580689"/>
    <w:rsid w:val="13AF2F6F"/>
    <w:rsid w:val="13FC717E"/>
    <w:rsid w:val="142E4A09"/>
    <w:rsid w:val="143040B0"/>
    <w:rsid w:val="143E77CB"/>
    <w:rsid w:val="154521C7"/>
    <w:rsid w:val="155B65CD"/>
    <w:rsid w:val="15A90D1B"/>
    <w:rsid w:val="162C4310"/>
    <w:rsid w:val="163B4A6C"/>
    <w:rsid w:val="1653052A"/>
    <w:rsid w:val="16BA5EB3"/>
    <w:rsid w:val="16C04CC9"/>
    <w:rsid w:val="17481711"/>
    <w:rsid w:val="17EE019C"/>
    <w:rsid w:val="17F96062"/>
    <w:rsid w:val="183F0D66"/>
    <w:rsid w:val="18DC16AE"/>
    <w:rsid w:val="18E25D1F"/>
    <w:rsid w:val="190F6DEA"/>
    <w:rsid w:val="19590369"/>
    <w:rsid w:val="19793E03"/>
    <w:rsid w:val="19F85670"/>
    <w:rsid w:val="19FE255B"/>
    <w:rsid w:val="1AB00B63"/>
    <w:rsid w:val="1AB172EC"/>
    <w:rsid w:val="1ABA37F8"/>
    <w:rsid w:val="1ADB4120"/>
    <w:rsid w:val="1B671C78"/>
    <w:rsid w:val="1BB53798"/>
    <w:rsid w:val="1C15737C"/>
    <w:rsid w:val="1C1B5062"/>
    <w:rsid w:val="1C4A1A87"/>
    <w:rsid w:val="1C8A73E1"/>
    <w:rsid w:val="1D301373"/>
    <w:rsid w:val="1D4D6966"/>
    <w:rsid w:val="1D80037D"/>
    <w:rsid w:val="1D850ACF"/>
    <w:rsid w:val="1D966F1B"/>
    <w:rsid w:val="1DB565E7"/>
    <w:rsid w:val="1DE7776B"/>
    <w:rsid w:val="1E214A6A"/>
    <w:rsid w:val="1E2E76AC"/>
    <w:rsid w:val="1ECC40A2"/>
    <w:rsid w:val="1F1C0CAD"/>
    <w:rsid w:val="1F576995"/>
    <w:rsid w:val="1F6C5F0D"/>
    <w:rsid w:val="1F7F636C"/>
    <w:rsid w:val="1FD14127"/>
    <w:rsid w:val="1FF04C75"/>
    <w:rsid w:val="202C4ABA"/>
    <w:rsid w:val="20B2096E"/>
    <w:rsid w:val="20FD17BE"/>
    <w:rsid w:val="21B31E7D"/>
    <w:rsid w:val="21B411D3"/>
    <w:rsid w:val="21C354DC"/>
    <w:rsid w:val="21ED1EF4"/>
    <w:rsid w:val="220D2676"/>
    <w:rsid w:val="23931BA5"/>
    <w:rsid w:val="23A202C6"/>
    <w:rsid w:val="24672932"/>
    <w:rsid w:val="24AF1021"/>
    <w:rsid w:val="25627E42"/>
    <w:rsid w:val="257B6F52"/>
    <w:rsid w:val="258E22F5"/>
    <w:rsid w:val="26140508"/>
    <w:rsid w:val="26672A31"/>
    <w:rsid w:val="26D73630"/>
    <w:rsid w:val="26E66850"/>
    <w:rsid w:val="26E769BB"/>
    <w:rsid w:val="2771485E"/>
    <w:rsid w:val="2774085F"/>
    <w:rsid w:val="27A96083"/>
    <w:rsid w:val="28444E23"/>
    <w:rsid w:val="293A48C5"/>
    <w:rsid w:val="299C5D04"/>
    <w:rsid w:val="29A23F11"/>
    <w:rsid w:val="29BD64CE"/>
    <w:rsid w:val="2A3D0E7D"/>
    <w:rsid w:val="2A3F3D60"/>
    <w:rsid w:val="2A7273EF"/>
    <w:rsid w:val="2B7C40A4"/>
    <w:rsid w:val="2BDC3649"/>
    <w:rsid w:val="2C027583"/>
    <w:rsid w:val="2C414AE1"/>
    <w:rsid w:val="2CB4112A"/>
    <w:rsid w:val="2CB70A4F"/>
    <w:rsid w:val="2DED3EDA"/>
    <w:rsid w:val="2E3857E0"/>
    <w:rsid w:val="2E4647A4"/>
    <w:rsid w:val="2E4C207C"/>
    <w:rsid w:val="2E6E3BAA"/>
    <w:rsid w:val="2EDF2503"/>
    <w:rsid w:val="2FBC0CDA"/>
    <w:rsid w:val="2FD67114"/>
    <w:rsid w:val="2FF879CE"/>
    <w:rsid w:val="30117DD6"/>
    <w:rsid w:val="3105340B"/>
    <w:rsid w:val="31374677"/>
    <w:rsid w:val="31916053"/>
    <w:rsid w:val="31AF699A"/>
    <w:rsid w:val="32A36C20"/>
    <w:rsid w:val="32F01183"/>
    <w:rsid w:val="33731D3A"/>
    <w:rsid w:val="337E699A"/>
    <w:rsid w:val="338B7ECF"/>
    <w:rsid w:val="33967787"/>
    <w:rsid w:val="33C1667B"/>
    <w:rsid w:val="34712DC4"/>
    <w:rsid w:val="34A86A11"/>
    <w:rsid w:val="34C14C6E"/>
    <w:rsid w:val="34D66156"/>
    <w:rsid w:val="362D7AA7"/>
    <w:rsid w:val="369029E5"/>
    <w:rsid w:val="36994856"/>
    <w:rsid w:val="36E91BB8"/>
    <w:rsid w:val="37031BBD"/>
    <w:rsid w:val="37064E59"/>
    <w:rsid w:val="37195FEF"/>
    <w:rsid w:val="3764763E"/>
    <w:rsid w:val="3813788B"/>
    <w:rsid w:val="38533804"/>
    <w:rsid w:val="39033E4D"/>
    <w:rsid w:val="392600F0"/>
    <w:rsid w:val="392715C8"/>
    <w:rsid w:val="394F29FB"/>
    <w:rsid w:val="398805DD"/>
    <w:rsid w:val="39A9504D"/>
    <w:rsid w:val="39ED0A25"/>
    <w:rsid w:val="3A2D311E"/>
    <w:rsid w:val="3A9338D6"/>
    <w:rsid w:val="3AAF1968"/>
    <w:rsid w:val="3ADF3E50"/>
    <w:rsid w:val="3B5F0C53"/>
    <w:rsid w:val="3BBC19F2"/>
    <w:rsid w:val="3BFF281F"/>
    <w:rsid w:val="3CA8662A"/>
    <w:rsid w:val="3CAB4FE1"/>
    <w:rsid w:val="3CCE2382"/>
    <w:rsid w:val="3CFC24D2"/>
    <w:rsid w:val="3D672664"/>
    <w:rsid w:val="3D8539D9"/>
    <w:rsid w:val="3DC2102F"/>
    <w:rsid w:val="3DD11929"/>
    <w:rsid w:val="3DDB63F1"/>
    <w:rsid w:val="3E017E59"/>
    <w:rsid w:val="3E0D0D59"/>
    <w:rsid w:val="3E6D6F12"/>
    <w:rsid w:val="3E79182A"/>
    <w:rsid w:val="3F044110"/>
    <w:rsid w:val="3F275F2C"/>
    <w:rsid w:val="3F692FBB"/>
    <w:rsid w:val="3F6B653E"/>
    <w:rsid w:val="3FFE195F"/>
    <w:rsid w:val="40A61CD8"/>
    <w:rsid w:val="41566655"/>
    <w:rsid w:val="419C74C3"/>
    <w:rsid w:val="41A00A5C"/>
    <w:rsid w:val="41CE2EA2"/>
    <w:rsid w:val="41CE4015"/>
    <w:rsid w:val="41D37CA5"/>
    <w:rsid w:val="41FB544E"/>
    <w:rsid w:val="420C33F1"/>
    <w:rsid w:val="42592208"/>
    <w:rsid w:val="4283579C"/>
    <w:rsid w:val="42AB5B56"/>
    <w:rsid w:val="42E626CF"/>
    <w:rsid w:val="4373713C"/>
    <w:rsid w:val="43FC56F5"/>
    <w:rsid w:val="44044A8E"/>
    <w:rsid w:val="44195271"/>
    <w:rsid w:val="446E6091"/>
    <w:rsid w:val="44D53400"/>
    <w:rsid w:val="44ED3F8B"/>
    <w:rsid w:val="451B032F"/>
    <w:rsid w:val="45566AF0"/>
    <w:rsid w:val="45DC5EC7"/>
    <w:rsid w:val="45E83F3B"/>
    <w:rsid w:val="460B403F"/>
    <w:rsid w:val="46671304"/>
    <w:rsid w:val="46827EEC"/>
    <w:rsid w:val="46AA0D97"/>
    <w:rsid w:val="46B83C1C"/>
    <w:rsid w:val="46C3483E"/>
    <w:rsid w:val="46D408A8"/>
    <w:rsid w:val="46FF442B"/>
    <w:rsid w:val="472028C8"/>
    <w:rsid w:val="47354F5E"/>
    <w:rsid w:val="47C33271"/>
    <w:rsid w:val="48010421"/>
    <w:rsid w:val="481D4AC2"/>
    <w:rsid w:val="48BD16AF"/>
    <w:rsid w:val="48C768D1"/>
    <w:rsid w:val="48D0594A"/>
    <w:rsid w:val="48F34C5E"/>
    <w:rsid w:val="494B15C6"/>
    <w:rsid w:val="494B3E8D"/>
    <w:rsid w:val="49714E75"/>
    <w:rsid w:val="49FB31BE"/>
    <w:rsid w:val="4AF61082"/>
    <w:rsid w:val="4AF86380"/>
    <w:rsid w:val="4B3F1469"/>
    <w:rsid w:val="4BA6642B"/>
    <w:rsid w:val="4BCA036B"/>
    <w:rsid w:val="4C4249A3"/>
    <w:rsid w:val="4C860AD5"/>
    <w:rsid w:val="4C8A7AFA"/>
    <w:rsid w:val="4CAC2C25"/>
    <w:rsid w:val="4CD21630"/>
    <w:rsid w:val="4CFD19C6"/>
    <w:rsid w:val="4D4B54DB"/>
    <w:rsid w:val="4DB210B7"/>
    <w:rsid w:val="4DBA50C1"/>
    <w:rsid w:val="4DE85F33"/>
    <w:rsid w:val="4DEE715F"/>
    <w:rsid w:val="4E7515D7"/>
    <w:rsid w:val="4E763DB2"/>
    <w:rsid w:val="4EB530AE"/>
    <w:rsid w:val="4F513B54"/>
    <w:rsid w:val="4F5438C8"/>
    <w:rsid w:val="4F8E7AB5"/>
    <w:rsid w:val="4FA26FE7"/>
    <w:rsid w:val="503B2333"/>
    <w:rsid w:val="50F33A6E"/>
    <w:rsid w:val="5155776B"/>
    <w:rsid w:val="51853E38"/>
    <w:rsid w:val="51D11D27"/>
    <w:rsid w:val="5207117A"/>
    <w:rsid w:val="523429E2"/>
    <w:rsid w:val="52360644"/>
    <w:rsid w:val="525555BB"/>
    <w:rsid w:val="52FB2494"/>
    <w:rsid w:val="53884282"/>
    <w:rsid w:val="539D280D"/>
    <w:rsid w:val="53DE4DCF"/>
    <w:rsid w:val="53FF2A29"/>
    <w:rsid w:val="544224A2"/>
    <w:rsid w:val="54556FA0"/>
    <w:rsid w:val="549A28A4"/>
    <w:rsid w:val="54B83361"/>
    <w:rsid w:val="54EC3D4D"/>
    <w:rsid w:val="55380C8D"/>
    <w:rsid w:val="553B370E"/>
    <w:rsid w:val="55850194"/>
    <w:rsid w:val="55892D16"/>
    <w:rsid w:val="55AC57F1"/>
    <w:rsid w:val="55D54B09"/>
    <w:rsid w:val="5639439B"/>
    <w:rsid w:val="56965119"/>
    <w:rsid w:val="56F546FF"/>
    <w:rsid w:val="58001123"/>
    <w:rsid w:val="58F76517"/>
    <w:rsid w:val="598971AE"/>
    <w:rsid w:val="59A827A2"/>
    <w:rsid w:val="5A057B46"/>
    <w:rsid w:val="5AAD780F"/>
    <w:rsid w:val="5AF3365C"/>
    <w:rsid w:val="5B3A0CCB"/>
    <w:rsid w:val="5B7D2D1C"/>
    <w:rsid w:val="5B96676F"/>
    <w:rsid w:val="5C233A64"/>
    <w:rsid w:val="5C513B7C"/>
    <w:rsid w:val="5C853E3A"/>
    <w:rsid w:val="5C866D9D"/>
    <w:rsid w:val="5C8F6A67"/>
    <w:rsid w:val="5CC62510"/>
    <w:rsid w:val="5CEB1EEF"/>
    <w:rsid w:val="5D3102C3"/>
    <w:rsid w:val="5DDA2782"/>
    <w:rsid w:val="5DEF08DA"/>
    <w:rsid w:val="5E3B263F"/>
    <w:rsid w:val="5E750455"/>
    <w:rsid w:val="5F225601"/>
    <w:rsid w:val="5F317755"/>
    <w:rsid w:val="602D1235"/>
    <w:rsid w:val="60397415"/>
    <w:rsid w:val="607165B0"/>
    <w:rsid w:val="608C3113"/>
    <w:rsid w:val="60D263B9"/>
    <w:rsid w:val="60E92BEA"/>
    <w:rsid w:val="61031CA7"/>
    <w:rsid w:val="610A2B60"/>
    <w:rsid w:val="61297695"/>
    <w:rsid w:val="61816D09"/>
    <w:rsid w:val="61D415F5"/>
    <w:rsid w:val="623F6839"/>
    <w:rsid w:val="62CF347D"/>
    <w:rsid w:val="63132977"/>
    <w:rsid w:val="63262BC8"/>
    <w:rsid w:val="6367429A"/>
    <w:rsid w:val="639A466F"/>
    <w:rsid w:val="63D00B3E"/>
    <w:rsid w:val="642377E2"/>
    <w:rsid w:val="649522CA"/>
    <w:rsid w:val="64A0007C"/>
    <w:rsid w:val="651A1CEA"/>
    <w:rsid w:val="655A58A0"/>
    <w:rsid w:val="65D73958"/>
    <w:rsid w:val="65DE3B6B"/>
    <w:rsid w:val="65E01AD1"/>
    <w:rsid w:val="6731630F"/>
    <w:rsid w:val="6776150F"/>
    <w:rsid w:val="67C5784A"/>
    <w:rsid w:val="683C1A5E"/>
    <w:rsid w:val="695C22B9"/>
    <w:rsid w:val="697F358D"/>
    <w:rsid w:val="69A1327F"/>
    <w:rsid w:val="69E974C0"/>
    <w:rsid w:val="69F43372"/>
    <w:rsid w:val="69F543AD"/>
    <w:rsid w:val="6A104C52"/>
    <w:rsid w:val="6A2F3677"/>
    <w:rsid w:val="6A3C3199"/>
    <w:rsid w:val="6A5D6ABC"/>
    <w:rsid w:val="6A7D2DC6"/>
    <w:rsid w:val="6A8E41CB"/>
    <w:rsid w:val="6AD73C7D"/>
    <w:rsid w:val="6B4638B1"/>
    <w:rsid w:val="6B601BD5"/>
    <w:rsid w:val="6B6E41E6"/>
    <w:rsid w:val="6B833C3B"/>
    <w:rsid w:val="6BBD7A23"/>
    <w:rsid w:val="6BEF307E"/>
    <w:rsid w:val="6C0C4F46"/>
    <w:rsid w:val="6C3F7732"/>
    <w:rsid w:val="6C9C6D62"/>
    <w:rsid w:val="6CD86E4A"/>
    <w:rsid w:val="6CEF7F24"/>
    <w:rsid w:val="6D0A1917"/>
    <w:rsid w:val="6D2F3C23"/>
    <w:rsid w:val="6D936CCE"/>
    <w:rsid w:val="6D9514B3"/>
    <w:rsid w:val="6DCD7D1E"/>
    <w:rsid w:val="6E2A65EF"/>
    <w:rsid w:val="6E604F56"/>
    <w:rsid w:val="6E6B74F4"/>
    <w:rsid w:val="6F1E7738"/>
    <w:rsid w:val="6F787D14"/>
    <w:rsid w:val="6FAA7DC7"/>
    <w:rsid w:val="702459EC"/>
    <w:rsid w:val="70506D0C"/>
    <w:rsid w:val="70533CE1"/>
    <w:rsid w:val="70B825D8"/>
    <w:rsid w:val="71BA287F"/>
    <w:rsid w:val="71BC7EA6"/>
    <w:rsid w:val="725D2FBD"/>
    <w:rsid w:val="726944C0"/>
    <w:rsid w:val="72836489"/>
    <w:rsid w:val="72A36844"/>
    <w:rsid w:val="72BF1536"/>
    <w:rsid w:val="72E81E9A"/>
    <w:rsid w:val="73134B97"/>
    <w:rsid w:val="732D6CD9"/>
    <w:rsid w:val="735D2FC3"/>
    <w:rsid w:val="7368497B"/>
    <w:rsid w:val="738578F9"/>
    <w:rsid w:val="73E61E94"/>
    <w:rsid w:val="740117C0"/>
    <w:rsid w:val="743C5116"/>
    <w:rsid w:val="751C0097"/>
    <w:rsid w:val="75A1363B"/>
    <w:rsid w:val="75A3480F"/>
    <w:rsid w:val="75A538D4"/>
    <w:rsid w:val="76207044"/>
    <w:rsid w:val="7645282B"/>
    <w:rsid w:val="76593F16"/>
    <w:rsid w:val="766D0A8B"/>
    <w:rsid w:val="770A4F15"/>
    <w:rsid w:val="771C10D4"/>
    <w:rsid w:val="77234719"/>
    <w:rsid w:val="77411642"/>
    <w:rsid w:val="77477010"/>
    <w:rsid w:val="775F730A"/>
    <w:rsid w:val="77CD32D8"/>
    <w:rsid w:val="77E96525"/>
    <w:rsid w:val="7802744C"/>
    <w:rsid w:val="783C304B"/>
    <w:rsid w:val="793633F8"/>
    <w:rsid w:val="79B164C4"/>
    <w:rsid w:val="79B4069B"/>
    <w:rsid w:val="7A03546E"/>
    <w:rsid w:val="7A043929"/>
    <w:rsid w:val="7A0E4311"/>
    <w:rsid w:val="7AA54D02"/>
    <w:rsid w:val="7B4A5C83"/>
    <w:rsid w:val="7B6A30D1"/>
    <w:rsid w:val="7BA85001"/>
    <w:rsid w:val="7BB51BEE"/>
    <w:rsid w:val="7BE81C6B"/>
    <w:rsid w:val="7C204C94"/>
    <w:rsid w:val="7CA00A65"/>
    <w:rsid w:val="7CBE6AC6"/>
    <w:rsid w:val="7CD555CB"/>
    <w:rsid w:val="7CD87291"/>
    <w:rsid w:val="7CED3147"/>
    <w:rsid w:val="7D09795E"/>
    <w:rsid w:val="7D3905FD"/>
    <w:rsid w:val="7D891584"/>
    <w:rsid w:val="7DB744DC"/>
    <w:rsid w:val="7DD6561D"/>
    <w:rsid w:val="7DF614EC"/>
    <w:rsid w:val="7E0B2343"/>
    <w:rsid w:val="7E306196"/>
    <w:rsid w:val="7EB27DEF"/>
    <w:rsid w:val="7EB55DA8"/>
    <w:rsid w:val="7EEA3992"/>
    <w:rsid w:val="7F6C52CE"/>
    <w:rsid w:val="7F927F55"/>
    <w:rsid w:val="7FD2342D"/>
    <w:rsid w:val="7FE2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adjustRightInd w:val="0"/>
      <w:spacing w:line="500" w:lineRule="atLeast"/>
      <w:ind w:firstLine="210"/>
      <w:textAlignment w:val="baseline"/>
    </w:pPr>
    <w:rPr>
      <w:rFonts w:ascii="仿宋_GB2312" w:eastAsia="仿宋_GB2312"/>
      <w:kern w:val="0"/>
      <w:sz w:val="24"/>
      <w:szCs w:val="20"/>
    </w:rPr>
  </w:style>
  <w:style w:type="paragraph" w:styleId="3">
    <w:name w:val="Body Text First Indent 2"/>
    <w:basedOn w:val="2"/>
    <w:next w:val="1"/>
    <w:qFormat/>
    <w:uiPriority w:val="0"/>
    <w:pPr>
      <w:tabs>
        <w:tab w:val="left" w:pos="720"/>
        <w:tab w:val="left" w:pos="1260"/>
        <w:tab w:val="left" w:pos="2160"/>
        <w:tab w:val="left" w:pos="2880"/>
        <w:tab w:val="left" w:pos="3600"/>
        <w:tab w:val="left" w:pos="4320"/>
        <w:tab w:val="left" w:pos="5040"/>
        <w:tab w:val="left" w:pos="5760"/>
      </w:tabs>
      <w:spacing w:after="120" w:line="240" w:lineRule="auto"/>
      <w:ind w:left="420" w:leftChars="200" w:firstLine="420" w:firstLineChars="200"/>
    </w:pPr>
    <w:rPr>
      <w:sz w:val="21"/>
      <w:szCs w:val="24"/>
    </w:rPr>
  </w:style>
  <w:style w:type="paragraph" w:styleId="9">
    <w:name w:val="table of authorities"/>
    <w:basedOn w:val="1"/>
    <w:next w:val="1"/>
    <w:qFormat/>
    <w:uiPriority w:val="0"/>
    <w:pPr>
      <w:ind w:left="420" w:leftChars="200"/>
    </w:pPr>
    <w:rPr>
      <w:rFonts w:eastAsia="宋体"/>
      <w:sz w:val="24"/>
      <w:szCs w:val="22"/>
    </w:rPr>
  </w:style>
  <w:style w:type="paragraph" w:styleId="10">
    <w:name w:val="List Number"/>
    <w:basedOn w:val="1"/>
    <w:qFormat/>
    <w:uiPriority w:val="0"/>
    <w:pPr>
      <w:numPr>
        <w:ilvl w:val="0"/>
        <w:numId w:val="1"/>
      </w:numPr>
    </w:pPr>
  </w:style>
  <w:style w:type="paragraph" w:styleId="11">
    <w:name w:val="Normal Indent"/>
    <w:basedOn w:val="1"/>
    <w:qFormat/>
    <w:uiPriority w:val="0"/>
    <w:pPr>
      <w:ind w:firstLine="420"/>
    </w:pPr>
    <w:rPr>
      <w:sz w:val="21"/>
      <w:szCs w:val="20"/>
    </w:rPr>
  </w:style>
  <w:style w:type="paragraph" w:styleId="12">
    <w:name w:val="Body Text"/>
    <w:basedOn w:val="1"/>
    <w:next w:val="13"/>
    <w:qFormat/>
    <w:uiPriority w:val="0"/>
    <w:pPr>
      <w:spacing w:after="120"/>
    </w:pPr>
    <w:rPr>
      <w:sz w:val="21"/>
      <w:szCs w:val="22"/>
    </w:rPr>
  </w:style>
  <w:style w:type="paragraph" w:styleId="13">
    <w:name w:val="Body Text First Indent"/>
    <w:basedOn w:val="12"/>
    <w:next w:val="1"/>
    <w:qFormat/>
    <w:uiPriority w:val="0"/>
    <w:pPr>
      <w:ind w:firstLine="420" w:firstLineChars="100"/>
    </w:pPr>
  </w:style>
  <w:style w:type="paragraph" w:styleId="14">
    <w:name w:val="toc 3"/>
    <w:basedOn w:val="1"/>
    <w:next w:val="1"/>
    <w:qFormat/>
    <w:uiPriority w:val="0"/>
    <w:pPr>
      <w:ind w:left="840" w:leftChars="400"/>
    </w:pPr>
  </w:style>
  <w:style w:type="paragraph" w:styleId="15">
    <w:name w:val="Plain Text"/>
    <w:basedOn w:val="1"/>
    <w:next w:val="16"/>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tabs>
        <w:tab w:val="right" w:leader="dot" w:pos="9628"/>
      </w:tabs>
      <w:jc w:val="center"/>
    </w:pPr>
    <w:rPr>
      <w:b/>
      <w:sz w:val="52"/>
      <w:szCs w:val="52"/>
    </w:rPr>
  </w:style>
  <w:style w:type="paragraph" w:styleId="20">
    <w:name w:val="toc 4"/>
    <w:basedOn w:val="1"/>
    <w:next w:val="1"/>
    <w:qFormat/>
    <w:uiPriority w:val="0"/>
    <w:pPr>
      <w:ind w:left="630"/>
      <w:jc w:val="left"/>
    </w:pPr>
    <w:rPr>
      <w:sz w:val="18"/>
      <w:szCs w:val="18"/>
    </w:rPr>
  </w:style>
  <w:style w:type="paragraph" w:styleId="21">
    <w:name w:val="footnote text"/>
    <w:basedOn w:val="1"/>
    <w:semiHidden/>
    <w:qFormat/>
    <w:uiPriority w:val="0"/>
    <w:pPr>
      <w:snapToGrid w:val="0"/>
      <w:jc w:val="left"/>
    </w:pPr>
    <w:rPr>
      <w:sz w:val="18"/>
    </w:rPr>
  </w:style>
  <w:style w:type="paragraph" w:styleId="22">
    <w:name w:val="toc 6"/>
    <w:basedOn w:val="1"/>
    <w:next w:val="1"/>
    <w:qFormat/>
    <w:uiPriority w:val="0"/>
    <w:pPr>
      <w:ind w:left="2100"/>
    </w:pPr>
    <w:rPr>
      <w:rFonts w:ascii="Times New Roman" w:hAnsi="Times New Roman"/>
      <w:szCs w:val="20"/>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qFormat/>
    <w:uiPriority w:val="0"/>
    <w:pPr>
      <w:ind w:left="420" w:leftChars="200"/>
    </w:pPr>
  </w:style>
  <w:style w:type="paragraph" w:styleId="2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table" w:styleId="28">
    <w:name w:val="Table Grid"/>
    <w:basedOn w:val="2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style>
  <w:style w:type="character" w:styleId="31">
    <w:name w:val="page number"/>
    <w:basedOn w:val="29"/>
    <w:qFormat/>
    <w:uiPriority w:val="0"/>
  </w:style>
  <w:style w:type="character" w:styleId="32">
    <w:name w:val="Hyperlink"/>
    <w:basedOn w:val="29"/>
    <w:qFormat/>
    <w:uiPriority w:val="0"/>
    <w:rPr>
      <w:color w:val="0000FF"/>
      <w:u w:val="single"/>
    </w:rPr>
  </w:style>
  <w:style w:type="character" w:styleId="33">
    <w:name w:val="footnote reference"/>
    <w:basedOn w:val="29"/>
    <w:semiHidden/>
    <w:qFormat/>
    <w:uiPriority w:val="0"/>
    <w:rPr>
      <w:vertAlign w:val="superscript"/>
    </w:rPr>
  </w:style>
  <w:style w:type="paragraph" w:customStyle="1" w:styleId="34">
    <w:name w:val="Default"/>
    <w:next w:val="35"/>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5">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6">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8">
    <w:name w:val="表格文字"/>
    <w:basedOn w:val="1"/>
    <w:next w:val="12"/>
    <w:qFormat/>
    <w:uiPriority w:val="0"/>
    <w:pPr>
      <w:adjustRightInd w:val="0"/>
      <w:spacing w:line="420" w:lineRule="atLeast"/>
      <w:jc w:val="left"/>
      <w:textAlignment w:val="baseline"/>
    </w:pPr>
    <w:rPr>
      <w:kern w:val="0"/>
    </w:rPr>
  </w:style>
  <w:style w:type="paragraph" w:customStyle="1" w:styleId="39">
    <w:name w:val="[Normal]"/>
    <w:qFormat/>
    <w:uiPriority w:val="0"/>
    <w:rPr>
      <w:rFonts w:ascii="宋体" w:hAnsi="宋体" w:eastAsia="宋体" w:cs="Times New Roman"/>
      <w:sz w:val="24"/>
      <w:lang w:val="en-US" w:eastAsia="en-US" w:bidi="ar-SA"/>
    </w:rPr>
  </w:style>
  <w:style w:type="paragraph" w:customStyle="1" w:styleId="40">
    <w:name w:val="首行缩进"/>
    <w:basedOn w:val="1"/>
    <w:qFormat/>
    <w:uiPriority w:val="0"/>
    <w:rPr>
      <w:lang w:val="zh-CN"/>
    </w:rPr>
  </w:style>
  <w:style w:type="paragraph" w:customStyle="1" w:styleId="41">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2">
    <w:name w:val="列出段落1"/>
    <w:basedOn w:val="1"/>
    <w:qFormat/>
    <w:uiPriority w:val="0"/>
    <w:pPr>
      <w:ind w:firstLine="420" w:firstLineChars="200"/>
    </w:pPr>
    <w:rPr>
      <w:sz w:val="21"/>
      <w:szCs w:val="22"/>
    </w:rPr>
  </w:style>
  <w:style w:type="paragraph" w:customStyle="1" w:styleId="43">
    <w:name w:val="表格内容"/>
    <w:basedOn w:val="1"/>
    <w:qFormat/>
    <w:uiPriority w:val="2"/>
    <w:pPr>
      <w:widowControl/>
      <w:jc w:val="center"/>
    </w:pPr>
    <w:rPr>
      <w:kern w:val="0"/>
      <w:sz w:val="24"/>
      <w:szCs w:val="28"/>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46">
    <w:name w:val="Plain Text1"/>
    <w:basedOn w:val="47"/>
    <w:qFormat/>
    <w:uiPriority w:val="99"/>
    <w:pPr>
      <w:widowControl/>
      <w:jc w:val="left"/>
    </w:pPr>
    <w:rPr>
      <w:rFonts w:ascii="宋体" w:hAnsi="Courier New"/>
    </w:rPr>
  </w:style>
  <w:style w:type="paragraph" w:customStyle="1" w:styleId="47">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font51"/>
    <w:basedOn w:val="29"/>
    <w:qFormat/>
    <w:uiPriority w:val="0"/>
    <w:rPr>
      <w:rFonts w:hint="eastAsia" w:ascii="宋体" w:hAnsi="宋体" w:eastAsia="宋体" w:cs="宋体"/>
      <w:color w:val="000000"/>
      <w:sz w:val="18"/>
      <w:szCs w:val="18"/>
      <w:u w:val="none"/>
    </w:rPr>
  </w:style>
  <w:style w:type="paragraph" w:customStyle="1" w:styleId="50">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1">
    <w:name w:val="样式 标题 3 + Arial"/>
    <w:basedOn w:val="6"/>
    <w:qFormat/>
    <w:uiPriority w:val="0"/>
    <w:pPr>
      <w:spacing w:before="100" w:beforeLines="100" w:after="0" w:line="360" w:lineRule="auto"/>
    </w:pPr>
    <w:rPr>
      <w:rFonts w:ascii="Arial" w:hAnsi="Arial"/>
      <w:sz w:val="24"/>
    </w:rPr>
  </w:style>
  <w:style w:type="character" w:customStyle="1" w:styleId="52">
    <w:name w:val="font41"/>
    <w:basedOn w:val="29"/>
    <w:qFormat/>
    <w:uiPriority w:val="0"/>
    <w:rPr>
      <w:rFonts w:hint="eastAsia" w:ascii="宋体" w:hAnsi="宋体" w:eastAsia="宋体" w:cs="宋体"/>
      <w:color w:val="000000"/>
      <w:sz w:val="22"/>
      <w:szCs w:val="22"/>
      <w:u w:val="none"/>
    </w:rPr>
  </w:style>
  <w:style w:type="paragraph" w:customStyle="1" w:styleId="53">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paragraph" w:customStyle="1" w:styleId="54">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55">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msolistparagraph"/>
    <w:basedOn w:val="1"/>
    <w:qFormat/>
    <w:uiPriority w:val="99"/>
    <w:pPr>
      <w:ind w:firstLine="420" w:firstLineChars="200"/>
    </w:pPr>
    <w:rPr>
      <w:szCs w:val="21"/>
    </w:rPr>
  </w:style>
  <w:style w:type="paragraph" w:customStyle="1" w:styleId="58">
    <w:name w:val="纯文本1"/>
    <w:basedOn w:val="41"/>
    <w:qFormat/>
    <w:uiPriority w:val="0"/>
    <w:pPr>
      <w:spacing w:beforeLines="50" w:afterLines="50" w:line="400" w:lineRule="exact"/>
    </w:pPr>
    <w:rPr>
      <w:rFonts w:hAnsi="Courier New" w:eastAsia="仿宋_GB2312"/>
      <w:b/>
    </w:rPr>
  </w:style>
  <w:style w:type="paragraph" w:customStyle="1" w:styleId="5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列出段落11"/>
    <w:basedOn w:val="1"/>
    <w:qFormat/>
    <w:uiPriority w:val="34"/>
    <w:pPr>
      <w:ind w:firstLine="420" w:firstLineChars="200"/>
    </w:pPr>
  </w:style>
  <w:style w:type="paragraph" w:customStyle="1" w:styleId="61">
    <w:name w:val="标题5 5-5"/>
    <w:basedOn w:val="8"/>
    <w:next w:val="13"/>
    <w:qFormat/>
    <w:uiPriority w:val="0"/>
    <w:pPr>
      <w:keepNext w:val="0"/>
      <w:keepLines w:val="0"/>
      <w:widowControl/>
      <w:tabs>
        <w:tab w:val="left" w:pos="360"/>
        <w:tab w:val="left" w:pos="1008"/>
        <w:tab w:val="left" w:pos="1025"/>
        <w:tab w:val="left" w:pos="1200"/>
      </w:tabs>
      <w:spacing w:before="0" w:after="0" w:line="360" w:lineRule="auto"/>
      <w:ind w:left="1200" w:hanging="360"/>
      <w:jc w:val="left"/>
    </w:pPr>
    <w:rPr>
      <w:rFonts w:eastAsia="仿宋_GB2312"/>
      <w:b w:val="0"/>
      <w:bCs w:val="0"/>
      <w:i/>
      <w:kern w:val="0"/>
      <w:sz w:val="24"/>
      <w:szCs w:val="20"/>
    </w:rPr>
  </w:style>
  <w:style w:type="paragraph" w:customStyle="1" w:styleId="62">
    <w:name w:val="标题 3_0"/>
    <w:basedOn w:val="63"/>
    <w:next w:val="1"/>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6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
    <w:basedOn w:val="1"/>
    <w:qFormat/>
    <w:uiPriority w:val="0"/>
    <w:pPr>
      <w:spacing w:line="360" w:lineRule="auto"/>
      <w:ind w:firstLine="200" w:firstLineChars="200"/>
    </w:pPr>
    <w:rPr>
      <w:rFonts w:eastAsia="仿宋_GB2312"/>
      <w:kern w:val="0"/>
      <w:sz w:val="24"/>
    </w:rPr>
  </w:style>
  <w:style w:type="paragraph" w:customStyle="1" w:styleId="65">
    <w:name w:val="List Paragraph1"/>
    <w:basedOn w:val="1"/>
    <w:qFormat/>
    <w:uiPriority w:val="0"/>
    <w:pPr>
      <w:ind w:firstLine="420" w:firstLineChars="200"/>
    </w:pPr>
    <w:rPr>
      <w:szCs w:val="21"/>
    </w:rPr>
  </w:style>
  <w:style w:type="paragraph" w:customStyle="1" w:styleId="66">
    <w:name w:val="正文段"/>
    <w:basedOn w:val="1"/>
    <w:qFormat/>
    <w:uiPriority w:val="0"/>
    <w:pPr>
      <w:widowControl/>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C4B1D-79F5-4903-A5B1-4FA64C177E3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34947</Words>
  <Characters>37455</Characters>
  <Lines>288</Lines>
  <Paragraphs>81</Paragraphs>
  <TotalTime>6</TotalTime>
  <ScaleCrop>false</ScaleCrop>
  <LinksUpToDate>false</LinksUpToDate>
  <CharactersWithSpaces>40610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2023-07-07T04:21:00Z</dcterms:created>
  <dc:creator>Administrator</dc:creator>
  <cp:lastModifiedBy>菲菲 15068634199</cp:lastModifiedBy>
  <cp:lastPrinted>2024-08-19T07:36:00Z</cp:lastPrinted>
  <dcterms:modified xsi:type="dcterms:W3CDTF">2024-08-20T03:57:09Z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85BE88F760054541883955C5111947D0_13</vt:lpwstr>
  </property>
</Properties>
</file>