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杭州市拱墅区部分学校剧场椅采购项目</w:t>
      </w:r>
    </w:p>
    <w:p>
      <w:pPr>
        <w:adjustRightInd/>
        <w:spacing w:line="360" w:lineRule="auto"/>
        <w:jc w:val="center"/>
        <w:rPr>
          <w:rFonts w:ascii="宋体" w:hAnsi="宋体" w:cs="宋体"/>
          <w:sz w:val="48"/>
          <w:szCs w:val="48"/>
          <w:highlight w:val="yellow"/>
        </w:rPr>
      </w:pPr>
      <w:r>
        <w:rPr>
          <w:rFonts w:hint="eastAsia" w:ascii="宋体" w:hAnsi="宋体" w:cs="宋体"/>
          <w:sz w:val="48"/>
          <w:szCs w:val="48"/>
        </w:rPr>
        <w:t>（重新招标）</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highlight w:val="none"/>
        </w:rPr>
        <w:t>：</w:t>
      </w:r>
      <w:r>
        <w:rPr>
          <w:rFonts w:hint="eastAsia" w:ascii="仿宋_GB2312" w:eastAsia="仿宋_GB2312" w:cs="仿宋_GB2312"/>
          <w:sz w:val="30"/>
          <w:szCs w:val="30"/>
          <w:highlight w:val="none"/>
          <w:lang w:eastAsia="zh-CN"/>
        </w:rPr>
        <w:t>GSZFCG-2024-025（1）</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杭州市拱墅区教育发展服务中心</w:t>
      </w:r>
    </w:p>
    <w:p>
      <w:pPr>
        <w:spacing w:line="360" w:lineRule="auto"/>
        <w:jc w:val="center"/>
        <w:rPr>
          <w:rFonts w:ascii="宋体" w:hAnsi="宋体" w:cs="宋体"/>
          <w:bCs/>
          <w:sz w:val="32"/>
          <w:szCs w:val="32"/>
        </w:rPr>
      </w:pPr>
      <w:r>
        <w:rPr>
          <w:rFonts w:hint="eastAsia" w:ascii="宋体" w:hAnsi="宋体" w:cs="宋体"/>
          <w:bCs/>
          <w:sz w:val="32"/>
          <w:szCs w:val="32"/>
        </w:rPr>
        <w:t>杭州市公共资源交易中心拱墅分中心</w:t>
      </w:r>
    </w:p>
    <w:p>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二〇二四年</w:t>
      </w:r>
      <w:r>
        <w:rPr>
          <w:rFonts w:hint="eastAsia" w:ascii="宋体" w:hAnsi="宋体" w:cs="宋体"/>
          <w:bCs/>
          <w:sz w:val="32"/>
          <w:szCs w:val="32"/>
          <w:highlight w:val="none"/>
          <w:lang w:val="en-US" w:eastAsia="zh-CN"/>
        </w:rPr>
        <w:t>八</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十三</w:t>
      </w:r>
      <w:r>
        <w:rPr>
          <w:rFonts w:hint="eastAsia" w:ascii="宋体" w:hAnsi="宋体" w:cs="宋体"/>
          <w:bCs/>
          <w:sz w:val="32"/>
          <w:szCs w:val="32"/>
          <w:highlight w:val="none"/>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rPr>
        <w:t>杭州市拱墅区部分学校剧场椅采购项目（重新招标）</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"https://www.zcygov.cn/）获取（下载）招标文件，并于2023年%20月%20日%20点%20分00秒" </w:instrText>
      </w:r>
      <w: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u w:val="single"/>
        </w:rPr>
        <w:t>2024</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3</w:t>
      </w:r>
      <w:r>
        <w:rPr>
          <w:rStyle w:val="76"/>
          <w:rFonts w:hint="eastAsia" w:cs="Times New Roman" w:asciiTheme="minorEastAsia" w:hAnsiTheme="minorEastAsia" w:eastAsiaTheme="minorEastAsia"/>
          <w:snapToGrid/>
          <w:color w:val="auto"/>
          <w:kern w:val="2"/>
          <w:sz w:val="24"/>
          <w:szCs w:val="24"/>
          <w:highlight w:val="none"/>
          <w:u w:val="single"/>
        </w:rPr>
        <w:t>日</w:t>
      </w:r>
      <w:r>
        <w:rPr>
          <w:rStyle w:val="76"/>
          <w:rFonts w:hint="eastAsia" w:cs="Times New Roman" w:asciiTheme="minorEastAsia" w:hAnsiTheme="minorEastAsia" w:eastAsiaTheme="minorEastAsia"/>
          <w:snapToGrid/>
          <w:color w:val="auto"/>
          <w:kern w:val="2"/>
          <w:sz w:val="24"/>
          <w:szCs w:val="24"/>
          <w:u w:val="single"/>
        </w:rPr>
        <w:t>9点30分</w:t>
      </w:r>
      <w:r>
        <w:rPr>
          <w:rStyle w:val="76"/>
          <w:rFonts w:hint="eastAsia" w:cs="Times New Roman" w:asciiTheme="minorEastAsia" w:hAnsiTheme="minorEastAsia" w:eastAsiaTheme="minorEastAsia"/>
          <w:bCs/>
          <w:snapToGrid/>
          <w:color w:val="auto"/>
          <w:kern w:val="2"/>
          <w:sz w:val="24"/>
          <w:szCs w:val="24"/>
          <w:u w:val="single"/>
        </w:rPr>
        <w:t>00秒</w:t>
      </w:r>
      <w:r>
        <w:rPr>
          <w:rStyle w:val="76"/>
          <w:rFonts w:hint="eastAsia" w:cs="Times New Roman" w:asciiTheme="minorEastAsia" w:hAnsiTheme="minorEastAsia" w:eastAsiaTheme="minorEastAsia"/>
          <w:bCs/>
          <w:snapToGrid/>
          <w:color w:val="auto"/>
          <w:kern w:val="2"/>
          <w:sz w:val="24"/>
          <w:szCs w:val="24"/>
          <w:u w:val="single"/>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outlineLvl w:val="1"/>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b/>
          <w:sz w:val="24"/>
          <w:highlight w:val="none"/>
          <w:lang w:eastAsia="zh-CN"/>
        </w:rPr>
        <w:t>GSZFCG-2024-025（1）</w:t>
      </w:r>
    </w:p>
    <w:p>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b/>
          <w:bCs/>
          <w:sz w:val="24"/>
        </w:rPr>
        <w:t>杭州市拱墅区部分学校剧场椅采购项目（重新招标）</w:t>
      </w:r>
    </w:p>
    <w:p>
      <w:pPr>
        <w:spacing w:line="360" w:lineRule="auto"/>
        <w:ind w:firstLine="482" w:firstLineChars="200"/>
        <w:rPr>
          <w:rFonts w:ascii="宋体" w:hAnsi="宋体" w:cs="宋体"/>
          <w:sz w:val="24"/>
        </w:rPr>
      </w:pPr>
      <w:r>
        <w:rPr>
          <w:rFonts w:hint="eastAsia" w:ascii="宋体" w:hAnsi="宋体" w:cs="宋体"/>
          <w:b/>
          <w:sz w:val="24"/>
        </w:rPr>
        <w:t>预算金额（元）：</w:t>
      </w:r>
      <w:r>
        <w:rPr>
          <w:rFonts w:ascii="宋体" w:hAnsi="宋体" w:cs="宋体"/>
          <w:b/>
          <w:bCs/>
          <w:sz w:val="24"/>
        </w:rPr>
        <w:t>1183000</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bCs/>
          <w:sz w:val="24"/>
        </w:rPr>
        <w:t>1</w:t>
      </w:r>
      <w:r>
        <w:rPr>
          <w:rFonts w:ascii="宋体" w:hAnsi="宋体" w:cs="宋体"/>
          <w:b/>
          <w:bCs/>
          <w:sz w:val="24"/>
        </w:rPr>
        <w:t>183000</w:t>
      </w:r>
    </w:p>
    <w:p>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杭州市拱墅区部分学校剧场椅采购项目（重新招标）主要内容：杭州市拱墅区青少年活动中心、杭州市大关实验中学、杭州市胜蓝中学、杭州市文晖实验学校、杭州市育才大城北学校，五个单位所需的剧场椅</w:t>
      </w:r>
      <w:r>
        <w:rPr>
          <w:rFonts w:hAnsi="宋体" w:cs="宋体"/>
          <w:bCs/>
          <w:snapToGrid/>
          <w:color w:val="auto"/>
          <w:kern w:val="2"/>
          <w:sz w:val="24"/>
          <w:szCs w:val="24"/>
        </w:rPr>
        <w:t>1545</w:t>
      </w:r>
      <w:r>
        <w:rPr>
          <w:rFonts w:hint="eastAsia" w:hAnsi="宋体" w:cs="宋体"/>
          <w:bCs/>
          <w:snapToGrid/>
          <w:color w:val="auto"/>
          <w:kern w:val="2"/>
          <w:sz w:val="24"/>
          <w:szCs w:val="24"/>
        </w:rPr>
        <w:t>张，包括剧场椅的设计、制造、运输、安装、调试、验收配合、售后服务以及其他伴随服务等。</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spacing w:line="360" w:lineRule="auto"/>
        <w:ind w:firstLine="480"/>
        <w:rPr>
          <w:rFonts w:ascii="宋体" w:hAnsi="宋体" w:cs="宋体"/>
          <w:b/>
          <w:sz w:val="24"/>
        </w:rPr>
      </w:pPr>
      <w:r>
        <w:rPr>
          <w:rFonts w:hint="eastAsia" w:ascii="宋体" w:hAnsi="宋体" w:cs="宋体"/>
          <w:b/>
          <w:sz w:val="24"/>
        </w:rPr>
        <w:t>合同履约期限：</w:t>
      </w:r>
      <w:r>
        <w:rPr>
          <w:rFonts w:hint="eastAsia" w:ascii="宋体" w:hAnsi="宋体" w:cs="宋体"/>
          <w:bCs/>
          <w:sz w:val="24"/>
        </w:rPr>
        <w:t>202</w:t>
      </w:r>
      <w:r>
        <w:rPr>
          <w:rFonts w:ascii="宋体" w:hAnsi="宋体" w:cs="宋体"/>
          <w:bCs/>
          <w:sz w:val="24"/>
        </w:rPr>
        <w:t>4</w:t>
      </w:r>
      <w:r>
        <w:rPr>
          <w:rFonts w:hint="eastAsia" w:ascii="宋体" w:hAnsi="宋体" w:cs="宋体"/>
          <w:bCs/>
          <w:sz w:val="24"/>
        </w:rPr>
        <w:t>年</w:t>
      </w:r>
      <w:r>
        <w:rPr>
          <w:rFonts w:ascii="宋体" w:hAnsi="宋体" w:cs="宋体"/>
          <w:bCs/>
          <w:sz w:val="24"/>
        </w:rPr>
        <w:t>10</w:t>
      </w:r>
      <w:r>
        <w:rPr>
          <w:rFonts w:hint="eastAsia" w:ascii="宋体" w:hAnsi="宋体" w:cs="宋体"/>
          <w:bCs/>
          <w:sz w:val="24"/>
        </w:rPr>
        <w:t>月</w:t>
      </w:r>
      <w:r>
        <w:rPr>
          <w:rFonts w:ascii="宋体" w:hAnsi="宋体" w:cs="宋体"/>
          <w:bCs/>
          <w:sz w:val="24"/>
        </w:rPr>
        <w:t>20</w:t>
      </w:r>
      <w:r>
        <w:rPr>
          <w:rFonts w:hint="eastAsia" w:ascii="宋体" w:hAnsi="宋体" w:cs="宋体"/>
          <w:bCs/>
          <w:sz w:val="24"/>
        </w:rPr>
        <w:t>日之前完成全部货物的安装交付工作。</w:t>
      </w:r>
    </w:p>
    <w:p>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2"/>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b/>
          <w:color w:val="auto"/>
          <w:kern w:val="0"/>
          <w:sz w:val="24"/>
        </w:rPr>
        <w:t>。</w:t>
      </w:r>
    </w:p>
    <w:p>
      <w:pPr>
        <w:spacing w:line="360" w:lineRule="auto"/>
        <w:outlineLvl w:val="1"/>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货物全部由符合政策要求的中小微企业制造，提供中小企业声明函；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pPr>
        <w:snapToGrid w:val="0"/>
        <w:spacing w:line="360" w:lineRule="auto"/>
        <w:ind w:firstLine="480" w:firstLineChars="200"/>
        <w:rPr>
          <w:rFonts w:ascii="宋体" w:hAnsi="宋体" w:cs="宋体"/>
          <w:sz w:val="24"/>
        </w:rPr>
      </w:pPr>
      <w:sdt>
        <w:sdtPr>
          <w:rPr>
            <w:rFonts w:hint="eastAsia" w:ascii="宋体" w:hAnsi="宋体" w:cs="宋体"/>
            <w:kern w:val="0"/>
            <w:sz w:val="24"/>
          </w:rPr>
          <w:id w:val="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无</w:t>
      </w:r>
    </w:p>
    <w:p>
      <w:pPr>
        <w:snapToGrid w:val="0"/>
        <w:spacing w:line="360" w:lineRule="auto"/>
        <w:ind w:firstLine="480" w:firstLineChars="200"/>
        <w:rPr>
          <w:rFonts w:ascii="宋体" w:hAnsi="宋体" w:cs="宋体"/>
          <w:sz w:val="24"/>
          <w:u w:val="single"/>
        </w:rPr>
      </w:pPr>
      <w:sdt>
        <w:sdtPr>
          <w:rPr>
            <w:rFonts w:hint="eastAsia" w:ascii="宋体" w:hAnsi="宋体" w:cs="宋体"/>
            <w:kern w:val="0"/>
            <w:sz w:val="24"/>
          </w:rPr>
          <w:id w:val="1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outlineLvl w:val="1"/>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p>
    <w:p>
      <w:pPr>
        <w:spacing w:line="360" w:lineRule="auto"/>
        <w:outlineLvl w:val="1"/>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9</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w:t>
      </w:r>
      <w:r>
        <w:rPr>
          <w:rFonts w:hint="eastAsia" w:ascii="宋体" w:hAnsi="宋体" w:cs="宋体"/>
          <w:sz w:val="24"/>
          <w:highlight w:val="none"/>
          <w:u w:val="single"/>
        </w:rPr>
        <w:t>日</w:t>
      </w:r>
      <w:r>
        <w:rPr>
          <w:rFonts w:hint="eastAsia" w:ascii="宋体" w:hAnsi="宋体" w:cs="宋体"/>
          <w:sz w:val="24"/>
          <w:u w:val="single"/>
        </w:rPr>
        <w:t>9点30分00秒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9</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w:t>
      </w:r>
      <w:r>
        <w:rPr>
          <w:rFonts w:hint="eastAsia" w:ascii="宋体" w:hAnsi="宋体" w:cs="宋体"/>
          <w:sz w:val="24"/>
          <w:highlight w:val="none"/>
          <w:u w:val="single"/>
        </w:rPr>
        <w:t>日</w:t>
      </w:r>
      <w:r>
        <w:rPr>
          <w:rFonts w:hint="eastAsia" w:ascii="宋体" w:hAnsi="宋体" w:cs="宋体"/>
          <w:sz w:val="24"/>
          <w:u w:val="single"/>
        </w:rPr>
        <w:t>9点30分00秒</w:t>
      </w:r>
      <w:r>
        <w:rPr>
          <w:rFonts w:hint="eastAsia" w:ascii="宋体" w:hAnsi="宋体" w:cs="宋体"/>
          <w:bCs/>
          <w:sz w:val="24"/>
          <w:u w:val="single"/>
        </w:rPr>
        <w:t>（以公告发布的开标</w:t>
      </w:r>
      <w:r>
        <w:rPr>
          <w:rFonts w:ascii="宋体" w:hAnsi="宋体" w:cs="宋体"/>
          <w:bCs/>
          <w:sz w:val="24"/>
          <w:u w:val="single"/>
        </w:rPr>
        <w:t>截止</w:t>
      </w:r>
      <w:r>
        <w:rPr>
          <w:rFonts w:hint="eastAsia" w:ascii="宋体" w:hAnsi="宋体" w:cs="宋体"/>
          <w:bCs/>
          <w:sz w:val="24"/>
          <w:u w:val="single"/>
        </w:rPr>
        <w:t>时间为准）</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outlineLvl w:val="1"/>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outlineLvl w:val="1"/>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outlineLvl w:val="1"/>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ascii="宋体" w:hAnsi="宋体" w:cs="宋体"/>
          <w:sz w:val="24"/>
        </w:rPr>
      </w:pPr>
      <w:r>
        <w:rPr>
          <w:rFonts w:hint="eastAsia" w:ascii="宋体" w:hAnsi="宋体" w:cs="宋体"/>
          <w:sz w:val="24"/>
        </w:rPr>
        <w:t>1.采购人信息</w:t>
      </w:r>
    </w:p>
    <w:p>
      <w:pPr>
        <w:spacing w:line="360" w:lineRule="auto"/>
        <w:ind w:firstLine="480" w:firstLineChars="200"/>
        <w:rPr>
          <w:rFonts w:ascii="宋体" w:hAnsi="宋体" w:cs="宋体"/>
          <w:sz w:val="24"/>
        </w:rPr>
      </w:pPr>
      <w:r>
        <w:rPr>
          <w:rFonts w:hint="eastAsia" w:ascii="宋体" w:hAnsi="宋体" w:cs="宋体"/>
          <w:sz w:val="24"/>
        </w:rPr>
        <w:t>名    称：杭州市拱墅区教育发展服务中心</w:t>
      </w:r>
    </w:p>
    <w:p>
      <w:pPr>
        <w:spacing w:line="360" w:lineRule="auto"/>
        <w:ind w:firstLine="480" w:firstLineChars="200"/>
        <w:rPr>
          <w:rFonts w:ascii="宋体" w:hAnsi="宋体" w:cs="宋体"/>
          <w:sz w:val="24"/>
        </w:rPr>
      </w:pPr>
      <w:r>
        <w:rPr>
          <w:rFonts w:hint="eastAsia" w:ascii="宋体" w:hAnsi="宋体" w:cs="宋体"/>
          <w:sz w:val="24"/>
        </w:rPr>
        <w:t>地    址：杭州市上塘路201号</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项目联系人（询问）：朱老师</w:t>
      </w:r>
    </w:p>
    <w:p>
      <w:pPr>
        <w:spacing w:line="360" w:lineRule="auto"/>
        <w:ind w:firstLine="480" w:firstLineChars="200"/>
        <w:rPr>
          <w:rFonts w:ascii="宋体" w:hAnsi="宋体" w:cs="宋体"/>
          <w:sz w:val="24"/>
        </w:rPr>
      </w:pPr>
      <w:r>
        <w:rPr>
          <w:rFonts w:hint="eastAsia" w:ascii="宋体" w:hAnsi="宋体" w:cs="宋体"/>
          <w:sz w:val="24"/>
        </w:rPr>
        <w:t>项目联系方式（询问）：0571-88259339</w:t>
      </w:r>
    </w:p>
    <w:p>
      <w:pPr>
        <w:spacing w:line="360" w:lineRule="auto"/>
        <w:ind w:firstLine="480" w:firstLineChars="200"/>
        <w:rPr>
          <w:rFonts w:ascii="宋体" w:hAnsi="宋体" w:cs="宋体"/>
          <w:sz w:val="24"/>
        </w:rPr>
      </w:pPr>
      <w:r>
        <w:rPr>
          <w:rFonts w:hint="eastAsia" w:ascii="宋体" w:hAnsi="宋体" w:cs="宋体"/>
          <w:sz w:val="24"/>
        </w:rPr>
        <w:t>质疑联系人：韩老师</w:t>
      </w:r>
    </w:p>
    <w:p>
      <w:pPr>
        <w:spacing w:line="360" w:lineRule="auto"/>
        <w:ind w:firstLine="480" w:firstLineChars="200"/>
        <w:rPr>
          <w:rFonts w:ascii="宋体" w:hAnsi="宋体" w:cs="宋体"/>
          <w:sz w:val="24"/>
        </w:rPr>
      </w:pPr>
      <w:r>
        <w:rPr>
          <w:rFonts w:hint="eastAsia" w:ascii="宋体" w:hAnsi="宋体" w:cs="宋体"/>
          <w:sz w:val="24"/>
        </w:rPr>
        <w:t>质疑联系方式：0571-85336077</w:t>
      </w:r>
    </w:p>
    <w:p>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 xml:space="preserve">名    称：杭州市公共资源交易中心拱墅分中心  </w:t>
      </w:r>
    </w:p>
    <w:p>
      <w:pPr>
        <w:spacing w:line="360" w:lineRule="auto"/>
        <w:ind w:firstLine="480"/>
        <w:rPr>
          <w:rFonts w:ascii="宋体" w:hAnsi="宋体" w:cs="宋体"/>
          <w:sz w:val="24"/>
        </w:rPr>
      </w:pPr>
      <w:r>
        <w:rPr>
          <w:rFonts w:hint="eastAsia" w:ascii="宋体" w:hAnsi="宋体" w:cs="宋体"/>
          <w:sz w:val="24"/>
        </w:rPr>
        <w:t>地    址：杭州市拱墅区香积寺东路58号3楼</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项目联系人（询问）：周工 </w:t>
      </w:r>
    </w:p>
    <w:p>
      <w:pPr>
        <w:spacing w:line="360" w:lineRule="auto"/>
        <w:ind w:firstLine="480"/>
        <w:rPr>
          <w:rFonts w:ascii="宋体" w:hAnsi="宋体" w:cs="宋体"/>
          <w:sz w:val="24"/>
        </w:rPr>
      </w:pPr>
      <w:r>
        <w:rPr>
          <w:rFonts w:hint="eastAsia" w:ascii="宋体" w:hAnsi="宋体" w:cs="宋体"/>
          <w:sz w:val="24"/>
        </w:rPr>
        <w:t>项目联系方式（询问）：0571-89507139</w:t>
      </w:r>
    </w:p>
    <w:p>
      <w:pPr>
        <w:spacing w:line="360" w:lineRule="auto"/>
        <w:ind w:firstLine="480"/>
        <w:rPr>
          <w:rFonts w:ascii="宋体" w:hAnsi="宋体" w:cs="宋体"/>
          <w:sz w:val="24"/>
        </w:rPr>
      </w:pPr>
      <w:r>
        <w:rPr>
          <w:rFonts w:hint="eastAsia" w:ascii="宋体" w:hAnsi="宋体" w:cs="宋体"/>
          <w:sz w:val="24"/>
        </w:rPr>
        <w:t xml:space="preserve">质疑联系人：陈工  </w:t>
      </w:r>
    </w:p>
    <w:p>
      <w:pPr>
        <w:spacing w:line="360" w:lineRule="auto"/>
        <w:rPr>
          <w:rFonts w:ascii="宋体" w:hAnsi="宋体" w:cs="宋体"/>
          <w:sz w:val="24"/>
        </w:rPr>
      </w:pPr>
      <w:r>
        <w:rPr>
          <w:rFonts w:hint="eastAsia" w:ascii="宋体" w:hAnsi="宋体" w:cs="宋体"/>
          <w:sz w:val="24"/>
        </w:rPr>
        <w:t xml:space="preserve">    质疑联系方式：0571-86598253</w:t>
      </w:r>
    </w:p>
    <w:p>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3.同级政府采购监督管理部门            </w:t>
      </w:r>
    </w:p>
    <w:p>
      <w:pPr>
        <w:spacing w:line="360" w:lineRule="auto"/>
        <w:rPr>
          <w:rFonts w:ascii="宋体" w:hAnsi="宋体" w:cs="宋体"/>
          <w:sz w:val="24"/>
        </w:rPr>
      </w:pPr>
      <w:r>
        <w:rPr>
          <w:rFonts w:hint="eastAsia" w:ascii="宋体" w:hAnsi="宋体" w:cs="宋体"/>
          <w:sz w:val="24"/>
        </w:rPr>
        <w:t xml:space="preserve">    名    称：杭州市拱墅区财政局政府采购监管处/浙江省政府采购行政裁决服务中心（杭州）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联系人：朱女士、王女士</w:t>
      </w:r>
    </w:p>
    <w:p>
      <w:pPr>
        <w:spacing w:line="360" w:lineRule="auto"/>
        <w:ind w:firstLine="480"/>
        <w:rPr>
          <w:rFonts w:ascii="宋体" w:hAnsi="宋体" w:cs="宋体"/>
          <w:sz w:val="24"/>
        </w:rPr>
      </w:pPr>
      <w:r>
        <w:rPr>
          <w:rFonts w:hint="eastAsia" w:ascii="宋体" w:hAnsi="宋体" w:cs="宋体"/>
          <w:sz w:val="24"/>
        </w:rPr>
        <w:t>监督投诉电话：电话：0571-85252453</w:t>
      </w:r>
    </w:p>
    <w:p>
      <w:pPr>
        <w:spacing w:line="360" w:lineRule="auto"/>
        <w:ind w:firstLine="480"/>
        <w:rPr>
          <w:rFonts w:ascii="宋体" w:hAnsi="宋体" w:cs="宋体"/>
          <w:sz w:val="24"/>
        </w:rPr>
      </w:pPr>
      <w:r>
        <w:rPr>
          <w:rFonts w:hint="eastAsia" w:ascii="宋体" w:hAnsi="宋体" w:cs="宋体"/>
          <w:sz w:val="24"/>
        </w:rPr>
        <w:t xml:space="preserve">政策咨询：彭先生：0571-89505676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szCs w:val="21"/>
          <w:shd w:val="clear" w:color="auto" w:fill="FFFFFF"/>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2"/>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tabs>
          <w:tab w:val="left" w:pos="432"/>
        </w:tabs>
        <w:rPr>
          <w:rFonts w:ascii="宋体"/>
          <w:snapToGrid w:val="0"/>
        </w:rPr>
      </w:pPr>
      <w:r>
        <w:br w:type="page"/>
      </w:r>
    </w:p>
    <w:p>
      <w:pPr>
        <w:adjustRightInd/>
        <w:spacing w:line="360" w:lineRule="auto"/>
        <w:jc w:val="center"/>
        <w:outlineLvl w:val="0"/>
        <w:rPr>
          <w:rFonts w:ascii="宋体" w:hAnsi="宋体" w:cs="宋体"/>
          <w:b/>
          <w:sz w:val="36"/>
          <w:szCs w:val="36"/>
        </w:rPr>
      </w:pPr>
      <w:r>
        <w:rPr>
          <w:rFonts w:hint="eastAsia" w:ascii="宋体" w:hAnsi="宋体" w:cs="宋体"/>
          <w:b/>
          <w:sz w:val="36"/>
          <w:szCs w:val="36"/>
        </w:rPr>
        <w:t>第二部分</w:t>
      </w:r>
      <w:bookmarkEnd w:id="8"/>
      <w:r>
        <w:rPr>
          <w:rFonts w:hint="eastAsia" w:ascii="宋体" w:hAnsi="宋体" w:cs="宋体"/>
          <w:b/>
          <w:sz w:val="36"/>
          <w:szCs w:val="36"/>
        </w:rPr>
        <w:t xml:space="preserve"> 投标人须知</w:t>
      </w:r>
      <w:bookmarkEnd w:id="9"/>
    </w:p>
    <w:p>
      <w:pPr>
        <w:adjustRightInd/>
        <w:spacing w:line="360" w:lineRule="auto"/>
        <w:jc w:val="center"/>
        <w:outlineLvl w:val="1"/>
        <w:rPr>
          <w:rFonts w:ascii="宋体" w:hAnsi="宋体" w:cs="宋体"/>
          <w:b/>
          <w:sz w:val="36"/>
          <w:szCs w:val="36"/>
        </w:rPr>
      </w:pPr>
      <w:r>
        <w:rPr>
          <w:rFonts w:hint="eastAsia" w:ascii="宋体" w:hAnsi="宋体" w:cs="宋体"/>
          <w:b/>
          <w:sz w:val="36"/>
          <w:szCs w:val="36"/>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货物类，单一产品或</w:t>
            </w:r>
            <w:r>
              <w:rPr>
                <w:rFonts w:hint="eastAsia" w:cs="宋体" w:asciiTheme="minorEastAsia" w:hAnsiTheme="minorEastAsia" w:eastAsiaTheme="minorEastAsia"/>
                <w:kern w:val="0"/>
                <w:sz w:val="24"/>
              </w:rPr>
              <w:t>核心产品为：</w:t>
            </w:r>
            <w:r>
              <w:rPr>
                <w:rFonts w:hint="eastAsia" w:asciiTheme="minorEastAsia" w:hAnsiTheme="minorEastAsia" w:eastAsiaTheme="minorEastAsia"/>
                <w:sz w:val="24"/>
                <w:u w:val="single"/>
              </w:rPr>
              <w:t>剧场椅</w:t>
            </w: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（1）标的：</w:t>
            </w:r>
            <w:r>
              <w:rPr>
                <w:rFonts w:hint="eastAsia" w:asciiTheme="minorEastAsia" w:hAnsiTheme="minorEastAsia" w:eastAsiaTheme="minorEastAsia"/>
                <w:sz w:val="24"/>
                <w:u w:val="single"/>
              </w:rPr>
              <w:t>剧场椅</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工业</w:t>
            </w:r>
            <w:r>
              <w:rPr>
                <w:rFonts w:hint="eastAsia" w:cs="宋体" w:asciiTheme="minorEastAsia" w:hAnsiTheme="minorEastAsia" w:eastAsiaTheme="minorEastAsia"/>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3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本项目不允许采购进口产品。</w:t>
            </w:r>
          </w:p>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采购进口产品。优先采购向我国企业转让技术、与我国企业签订消化吸收再创新方案的供应商的进口产品，详见</w:t>
            </w:r>
            <w:r>
              <w:rPr>
                <w:rFonts w:hint="eastAsia" w:cs="宋体" w:asciiTheme="minorEastAsia" w:hAnsiTheme="minorEastAsia" w:eastAsiaTheme="minorEastAsia"/>
                <w:kern w:val="0"/>
                <w:sz w:val="24"/>
                <w:u w:val="single"/>
              </w:rPr>
              <w:t>评分标准</w:t>
            </w:r>
            <w:r>
              <w:rPr>
                <w:rFonts w:hint="eastAsia" w:cs="宋体" w:asciiTheme="minorEastAsia" w:hAnsiTheme="minorEastAsia" w:eastAsiaTheme="minorEastAsia"/>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运输、安装 </w:t>
            </w:r>
            <w:r>
              <w:rPr>
                <w:rFonts w:hint="eastAsia" w:cs="宋体" w:asciiTheme="minorEastAsia" w:hAnsiTheme="minorEastAsia" w:eastAsiaTheme="minorEastAsia"/>
                <w:sz w:val="24"/>
              </w:rPr>
              <w:t>工作分包。</w:t>
            </w:r>
            <w:sdt>
              <w:sdtPr>
                <w:rPr>
                  <w:rFonts w:hint="eastAsia" w:cs="宋体" w:asciiTheme="minorEastAsia" w:hAnsiTheme="minorEastAsia" w:eastAsiaTheme="minorEastAsia"/>
                  <w:kern w:val="0"/>
                  <w:sz w:val="24"/>
                </w:rPr>
                <w:id w:val="1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pPr>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5"/>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pPr>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B要求提供（未提供样品的供应商，投标无效）：</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asciiTheme="minorEastAsia" w:hAnsiTheme="minorEastAsia" w:eastAsiaTheme="minorEastAsia"/>
                <w:sz w:val="24"/>
                <w:u w:val="single"/>
              </w:rPr>
              <w:t>采购清单中序号1剧场椅</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 xml:space="preserve"> </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asciiTheme="minorEastAsia" w:hAnsiTheme="minorEastAsia" w:eastAsiaTheme="minorEastAsia"/>
                <w:sz w:val="24"/>
                <w:u w:val="single"/>
              </w:rPr>
              <w:t>详见《第三部分 采购需求》中的要求</w:t>
            </w:r>
            <w:r>
              <w:rPr>
                <w:rFonts w:hint="eastAsia" w:cs="宋体" w:asciiTheme="minorEastAsia" w:hAnsiTheme="minorEastAsia" w:eastAsiaTheme="minorEastAsia"/>
                <w:kern w:val="0"/>
                <w:sz w:val="24"/>
              </w:rPr>
              <w:t>；</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p>
          <w:p>
            <w:pPr>
              <w:ind w:firstLine="240" w:firstLineChars="1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sz w:val="24"/>
              </w:rPr>
              <w:t>样品分未超过价格分的50%；</w:t>
            </w:r>
          </w:p>
          <w:p>
            <w:pPr>
              <w:ind w:firstLine="240" w:firstLineChars="100"/>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20"/>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样品分超过价格分的50%，理由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w:t>
            </w:r>
          </w:p>
          <w:p>
            <w:pPr>
              <w:ind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snapToGrid w:val="0"/>
                <w:kern w:val="28"/>
                <w:sz w:val="24"/>
              </w:rPr>
              <w:t>详见招标文件第四部分</w:t>
            </w:r>
            <w:r>
              <w:rPr>
                <w:rFonts w:hint="eastAsia" w:cs="宋体" w:asciiTheme="minorEastAsia" w:hAnsiTheme="minorEastAsia" w:eastAsiaTheme="minorEastAsia"/>
                <w:sz w:val="24"/>
                <w:u w:val="single"/>
              </w:rPr>
              <w:t>评标办法</w:t>
            </w:r>
            <w:r>
              <w:rPr>
                <w:rFonts w:hint="eastAsia" w:cs="宋体" w:asciiTheme="minorEastAsia" w:hAnsiTheme="minorEastAsia" w:eastAsiaTheme="minorEastAsia"/>
                <w:kern w:val="0"/>
                <w:sz w:val="24"/>
              </w:rPr>
              <w:t xml:space="preserve">。 </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highlight w:val="none"/>
                <w:u w:val="single"/>
              </w:rPr>
              <w:t>2024</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u w:val="single"/>
                <w:lang w:val="en-US" w:eastAsia="zh-CN"/>
              </w:rPr>
              <w:t>9</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u w:val="single"/>
                <w:lang w:val="en-US" w:eastAsia="zh-CN"/>
              </w:rPr>
              <w:t>3</w:t>
            </w:r>
            <w:r>
              <w:rPr>
                <w:rFonts w:hint="eastAsia" w:cs="宋体" w:asciiTheme="minorEastAsia" w:hAnsiTheme="minorEastAsia" w:eastAsiaTheme="minorEastAsia"/>
                <w:sz w:val="24"/>
                <w:highlight w:val="none"/>
              </w:rPr>
              <w:t>日9点00分至2024年</w:t>
            </w:r>
            <w:r>
              <w:rPr>
                <w:rFonts w:hint="eastAsia" w:cs="宋体" w:asciiTheme="minorEastAsia" w:hAnsiTheme="minorEastAsia" w:eastAsiaTheme="minorEastAsia"/>
                <w:sz w:val="24"/>
                <w:highlight w:val="none"/>
                <w:u w:val="single"/>
                <w:lang w:val="en-US" w:eastAsia="zh-CN"/>
              </w:rPr>
              <w:t>9</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u w:val="single"/>
                <w:lang w:val="en-US" w:eastAsia="zh-CN"/>
              </w:rPr>
              <w:t>3</w:t>
            </w:r>
            <w:bookmarkStart w:id="569" w:name="_GoBack"/>
            <w:bookmarkEnd w:id="569"/>
            <w:r>
              <w:rPr>
                <w:rFonts w:hint="eastAsia" w:cs="宋体" w:asciiTheme="minorEastAsia" w:hAnsiTheme="minorEastAsia" w:eastAsiaTheme="minorEastAsia"/>
                <w:sz w:val="24"/>
                <w:highlight w:val="none"/>
              </w:rPr>
              <w:t>日9点30分</w:t>
            </w:r>
            <w:r>
              <w:rPr>
                <w:rFonts w:hint="eastAsia" w:cs="宋体" w:asciiTheme="minorEastAsia" w:hAnsiTheme="minorEastAsia" w:eastAsiaTheme="minorEastAsia"/>
                <w:sz w:val="24"/>
              </w:rPr>
              <w:t>；地点：杭州市拱墅区香积寺东路58号3楼样品陈列室；联系人:</w:t>
            </w:r>
            <w:r>
              <w:rPr>
                <w:rFonts w:hint="eastAsia" w:cs="宋体" w:asciiTheme="minorEastAsia" w:hAnsiTheme="minorEastAsia" w:eastAsiaTheme="minorEastAsia"/>
                <w:sz w:val="24"/>
                <w:u w:val="single"/>
              </w:rPr>
              <w:t>孙工</w:t>
            </w: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single"/>
              </w:rPr>
              <w:t>0571-89507115</w:t>
            </w:r>
            <w:r>
              <w:rPr>
                <w:rFonts w:hint="eastAsia" w:cs="宋体" w:asciiTheme="minorEastAsia" w:hAnsiTheme="minorEastAsia" w:eastAsiaTheme="minorEastAsia"/>
                <w:sz w:val="24"/>
              </w:rPr>
              <w:t>。</w:t>
            </w:r>
            <w:r>
              <w:rPr>
                <w:rFonts w:hint="eastAsia" w:cs="宋体" w:asciiTheme="minorEastAsia" w:hAnsiTheme="minorEastAsia" w:eastAsiaTheme="minorEastAsia"/>
                <w:b/>
                <w:bCs/>
                <w:sz w:val="24"/>
              </w:rPr>
              <w:t>请投标人在上述时间内提供样品并自行携带遮盖物件。</w:t>
            </w:r>
            <w:r>
              <w:rPr>
                <w:rFonts w:hint="eastAsia" w:cs="宋体" w:asciiTheme="minorEastAsia" w:hAnsiTheme="minorEastAsia" w:eastAsiaTheme="minorEastAsia"/>
                <w:sz w:val="24"/>
              </w:rPr>
              <w:t>超过截止时间的，采购人或采购代理机构将不予接收，并将清场并封闭样品现场。</w:t>
            </w:r>
          </w:p>
          <w:p>
            <w:pPr>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B组织。</w:t>
            </w:r>
          </w:p>
          <w:p>
            <w:pPr>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pPr>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方式一：政采云平台在线讲解演示。政采云平台在线讲解需投标人根据政采云平台操作要求做好准备工作，提前完善软硬件配置环境。</w:t>
            </w:r>
          </w:p>
          <w:p>
            <w:pPr>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，讲解演示所用电脑等设备由投标人自备。现场讲解演示人员进场时提供讲解人员名单（加盖公章或授权代表签名）及身份证明，否则不得讲解演示。</w:t>
            </w:r>
          </w:p>
          <w:p>
            <w:pPr>
              <w:snapToGrid w:val="0"/>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vMerge w:val="restart"/>
            <w:tcBorders>
              <w:top w:val="single" w:color="auto" w:sz="4" w:space="0"/>
              <w:left w:val="single" w:color="auto" w:sz="4" w:space="0"/>
              <w:right w:val="single" w:color="auto" w:sz="4"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pPr>
              <w:rPr>
                <w:rFonts w:cs="宋体" w:asciiTheme="minorEastAsia" w:hAnsiTheme="minorEastAsia" w:eastAsiaTheme="minorEastAsia"/>
                <w:snapToGrid w:val="0"/>
                <w:kern w:val="0"/>
                <w:sz w:val="24"/>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vMerge w:val="continue"/>
            <w:tcBorders>
              <w:left w:val="single" w:color="auto" w:sz="4" w:space="0"/>
              <w:bottom w:val="single" w:color="auto" w:sz="4" w:space="0"/>
              <w:right w:val="single" w:color="auto" w:sz="4" w:space="0"/>
            </w:tcBorders>
            <w:vAlign w:val="center"/>
          </w:tcPr>
          <w:p>
            <w:pPr>
              <w:snapToGrid w:val="0"/>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kern w:val="0"/>
                <w:sz w:val="24"/>
                <w:lang w:val="zh-CN"/>
              </w:rPr>
            </w:pPr>
            <w:sdt>
              <w:sdtPr>
                <w:rPr>
                  <w:rFonts w:hint="eastAsia" w:cs="宋体" w:asciiTheme="minorEastAsia" w:hAnsiTheme="minorEastAsia" w:eastAsiaTheme="minorEastAsia"/>
                  <w:kern w:val="0"/>
                  <w:sz w:val="24"/>
                  <w:lang w:val="zh-CN"/>
                </w:rPr>
                <w:id w:val="38623201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lang w:val="zh-CN"/>
                </w:rPr>
              </w:sdtEndPr>
              <w:sdtContent>
                <w:r>
                  <w:rPr>
                    <w:rFonts w:hint="eastAsia" w:ascii="MS Gothic" w:hAnsi="MS Gothic" w:eastAsia="MS Gothic" w:cs="宋体"/>
                    <w:kern w:val="0"/>
                    <w:sz w:val="24"/>
                    <w:lang w:val="zh-CN"/>
                  </w:rPr>
                  <w:t>☐</w:t>
                </w:r>
              </w:sdtContent>
            </w:sdt>
            <w:r>
              <w:rPr>
                <w:rFonts w:hint="eastAsia" w:cs="宋体" w:asciiTheme="minorEastAsia" w:hAnsiTheme="minorEastAsia" w:eastAsiaTheme="minorEastAsia"/>
                <w:kern w:val="0"/>
                <w:sz w:val="24"/>
                <w:lang w:val="zh-CN"/>
              </w:rPr>
              <w:t>依据国家确定的认证机构出具的、处于有效期之内的节能产品认证证书，对获得证书的产品实施政府优先采购或强制采购；其中，</w:t>
            </w:r>
            <w:r>
              <w:rPr>
                <w:rFonts w:hint="eastAsia" w:cs="宋体" w:asciiTheme="minorEastAsia" w:hAnsiTheme="minorEastAsia" w:eastAsiaTheme="minorEastAsia"/>
                <w:b/>
                <w:kern w:val="0"/>
                <w:sz w:val="24"/>
                <w:lang w:val="zh-CN"/>
              </w:rPr>
              <w:t>对</w:t>
            </w:r>
            <w:r>
              <w:rPr>
                <w:rFonts w:hint="eastAsia" w:cs="宋体" w:asciiTheme="minorEastAsia" w:hAnsiTheme="minorEastAsia" w:eastAsiaTheme="minorEastAsia"/>
                <w:b/>
                <w:kern w:val="0"/>
                <w:sz w:val="24"/>
                <w:u w:val="single"/>
                <w:lang w:val="zh-CN"/>
              </w:rPr>
              <w:t xml:space="preserve"> </w:t>
            </w:r>
            <w:r>
              <w:rPr>
                <w:rFonts w:hint="eastAsia" w:asciiTheme="minorEastAsia" w:hAnsiTheme="minorEastAsia" w:eastAsiaTheme="minorEastAsia"/>
                <w:b/>
                <w:sz w:val="24"/>
                <w:u w:val="single"/>
              </w:rPr>
              <w:t xml:space="preserve">无产品 </w:t>
            </w:r>
            <w:r>
              <w:rPr>
                <w:rFonts w:hint="eastAsia" w:cs="宋体" w:asciiTheme="minorEastAsia" w:hAnsiTheme="minorEastAsia" w:eastAsiaTheme="minorEastAsia"/>
                <w:b/>
                <w:kern w:val="0"/>
                <w:sz w:val="24"/>
                <w:lang w:val="zh-CN"/>
              </w:rPr>
              <w:t>实施政府优先采购</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rPr>
              <w:t>详</w:t>
            </w:r>
            <w:r>
              <w:rPr>
                <w:rFonts w:hint="eastAsia" w:cs="宋体" w:asciiTheme="minorEastAsia" w:hAnsiTheme="minorEastAsia" w:eastAsiaTheme="minorEastAsia"/>
                <w:kern w:val="0"/>
                <w:sz w:val="24"/>
                <w:lang w:val="zh-CN"/>
              </w:rPr>
              <w:t>见</w:t>
            </w:r>
            <w:r>
              <w:rPr>
                <w:rFonts w:hint="eastAsia" w:cs="宋体" w:asciiTheme="minorEastAsia" w:hAnsiTheme="minorEastAsia" w:eastAsiaTheme="minorEastAsia"/>
                <w:kern w:val="0"/>
                <w:sz w:val="24"/>
                <w:u w:val="single"/>
                <w:lang w:val="zh-CN"/>
              </w:rPr>
              <w:t>评分标准</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w:t>
            </w:r>
            <w:r>
              <w:rPr>
                <w:rFonts w:hint="eastAsia" w:cs="宋体" w:asciiTheme="minorEastAsia" w:hAnsiTheme="minorEastAsia" w:eastAsiaTheme="minorEastAsia"/>
                <w:b/>
                <w:kern w:val="0"/>
                <w:sz w:val="24"/>
                <w:lang w:val="zh-CN"/>
              </w:rPr>
              <w:t>对</w:t>
            </w:r>
            <w:r>
              <w:rPr>
                <w:rFonts w:hint="eastAsia" w:cs="宋体" w:asciiTheme="minorEastAsia" w:hAnsiTheme="minorEastAsia" w:eastAsiaTheme="minorEastAsia"/>
                <w:b/>
                <w:kern w:val="0"/>
                <w:sz w:val="24"/>
                <w:u w:val="single"/>
                <w:lang w:val="zh-CN"/>
              </w:rPr>
              <w:t xml:space="preserve"> </w:t>
            </w:r>
            <w:r>
              <w:rPr>
                <w:rFonts w:hint="eastAsia" w:asciiTheme="minorEastAsia" w:hAnsiTheme="minorEastAsia" w:eastAsiaTheme="minorEastAsia"/>
                <w:b/>
                <w:sz w:val="24"/>
                <w:u w:val="single"/>
              </w:rPr>
              <w:t xml:space="preserve">无产品 </w:t>
            </w:r>
            <w:r>
              <w:rPr>
                <w:rFonts w:hint="eastAsia" w:cs="宋体" w:asciiTheme="minorEastAsia" w:hAnsiTheme="minorEastAsia" w:eastAsiaTheme="minorEastAsia"/>
                <w:b/>
                <w:kern w:val="0"/>
                <w:sz w:val="24"/>
                <w:lang w:val="zh-CN"/>
              </w:rPr>
              <w:t>实施政府强制采购，</w:t>
            </w:r>
            <w:r>
              <w:rPr>
                <w:rFonts w:hint="eastAsia" w:cs="宋体" w:asciiTheme="minorEastAsia" w:hAnsiTheme="minorEastAsia" w:eastAsiaTheme="minorEastAsia"/>
                <w:b/>
                <w:bCs/>
                <w:kern w:val="0"/>
                <w:sz w:val="24"/>
                <w:lang w:val="zh-CN"/>
              </w:rPr>
              <w:t>投标人</w:t>
            </w:r>
            <w:r>
              <w:rPr>
                <w:rFonts w:hint="eastAsia" w:cs="宋体" w:asciiTheme="minorEastAsia" w:hAnsiTheme="minorEastAsia" w:eastAsiaTheme="minorEastAsia"/>
                <w:b/>
                <w:bCs/>
                <w:kern w:val="0"/>
                <w:sz w:val="24"/>
              </w:rPr>
              <w:t>就</w:t>
            </w:r>
            <w:r>
              <w:rPr>
                <w:rFonts w:hint="eastAsia" w:cs="宋体" w:asciiTheme="minorEastAsia" w:hAnsiTheme="minorEastAsia" w:eastAsiaTheme="minorEastAsia"/>
                <w:b/>
                <w:bCs/>
                <w:kern w:val="0"/>
                <w:sz w:val="24"/>
                <w:lang w:val="zh-CN"/>
              </w:rPr>
              <w:t>相应的投标产品未</w:t>
            </w:r>
            <w:r>
              <w:rPr>
                <w:rFonts w:hint="eastAsia" w:cs="宋体" w:asciiTheme="minorEastAsia" w:hAnsiTheme="minorEastAsia" w:eastAsiaTheme="minorEastAsia"/>
                <w:b/>
                <w:bCs/>
                <w:kern w:val="0"/>
                <w:sz w:val="24"/>
              </w:rPr>
              <w:t>提供</w:t>
            </w:r>
            <w:r>
              <w:rPr>
                <w:rFonts w:hint="eastAsia" w:cs="宋体" w:asciiTheme="minorEastAsia" w:hAnsiTheme="minorEastAsia" w:eastAsiaTheme="minorEastAsia"/>
                <w:b/>
                <w:bCs/>
                <w:kern w:val="0"/>
                <w:sz w:val="24"/>
                <w:lang w:val="zh-CN"/>
              </w:rPr>
              <w:t>国家确定的认证机构出具的、处于有效期之内的节能产品认证证书的，投标无效</w:t>
            </w:r>
            <w:r>
              <w:rPr>
                <w:rFonts w:hint="eastAsia" w:cs="宋体" w:asciiTheme="minorEastAsia" w:hAnsiTheme="minorEastAsia" w:eastAsiaTheme="minorEastAsia"/>
                <w:kern w:val="0"/>
                <w:sz w:val="24"/>
                <w:lang w:val="zh-CN"/>
              </w:rPr>
              <w:t>。</w:t>
            </w:r>
          </w:p>
          <w:p>
            <w:pPr>
              <w:rPr>
                <w:rFonts w:cs="宋体" w:asciiTheme="minorEastAsia" w:hAnsiTheme="minorEastAsia" w:eastAsiaTheme="minorEastAsia"/>
                <w:kern w:val="0"/>
                <w:sz w:val="24"/>
                <w:lang w:val="zh-CN"/>
              </w:rPr>
            </w:pPr>
            <w:sdt>
              <w:sdtPr>
                <w:rPr>
                  <w:rFonts w:hint="eastAsia" w:cs="宋体" w:asciiTheme="minorEastAsia" w:hAnsiTheme="minorEastAsia" w:eastAsiaTheme="minorEastAsia"/>
                  <w:kern w:val="0"/>
                  <w:sz w:val="24"/>
                  <w:lang w:val="zh-CN"/>
                </w:rPr>
                <w:id w:val="93515011"/>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lang w:val="zh-CN"/>
                </w:rPr>
              </w:sdtEndPr>
              <w:sdtContent>
                <w:r>
                  <w:rPr>
                    <w:rFonts w:hint="eastAsia" w:ascii="MS Gothic" w:hAnsi="MS Gothic" w:eastAsia="MS Gothic" w:cs="宋体"/>
                    <w:kern w:val="0"/>
                    <w:sz w:val="24"/>
                    <w:lang w:val="zh-CN"/>
                  </w:rPr>
                  <w:t>☐</w:t>
                </w:r>
              </w:sdtContent>
            </w:sdt>
            <w:r>
              <w:rPr>
                <w:rFonts w:hint="eastAsia" w:cs="宋体" w:asciiTheme="minorEastAsia" w:hAnsiTheme="minorEastAsia" w:eastAsiaTheme="minorEastAsia"/>
                <w:kern w:val="0"/>
                <w:sz w:val="24"/>
                <w:lang w:val="zh-CN"/>
              </w:rPr>
              <w:t>依据国家确定的认证机构出具的、处于有效期之内的环境标志产品认证证书，</w:t>
            </w:r>
            <w:r>
              <w:rPr>
                <w:rFonts w:hint="eastAsia" w:cs="宋体" w:asciiTheme="minorEastAsia" w:hAnsiTheme="minorEastAsia" w:eastAsiaTheme="minorEastAsia"/>
                <w:b/>
                <w:kern w:val="0"/>
                <w:sz w:val="24"/>
                <w:lang w:val="zh-CN"/>
              </w:rPr>
              <w:t>对获得证书的</w:t>
            </w:r>
            <w:r>
              <w:rPr>
                <w:rFonts w:hint="eastAsia" w:cs="宋体" w:asciiTheme="minorEastAsia" w:hAnsiTheme="minorEastAsia" w:eastAsiaTheme="minorEastAsia"/>
                <w:b/>
                <w:kern w:val="0"/>
                <w:sz w:val="24"/>
                <w:u w:val="single"/>
                <w:lang w:val="zh-CN"/>
              </w:rPr>
              <w:t xml:space="preserve"> </w:t>
            </w:r>
            <w:r>
              <w:rPr>
                <w:rFonts w:hint="eastAsia" w:asciiTheme="minorEastAsia" w:hAnsiTheme="minorEastAsia" w:eastAsiaTheme="minorEastAsia"/>
                <w:b/>
                <w:sz w:val="24"/>
                <w:u w:val="single"/>
              </w:rPr>
              <w:t xml:space="preserve">无产品 </w:t>
            </w:r>
            <w:r>
              <w:rPr>
                <w:rFonts w:hint="eastAsia" w:cs="宋体" w:asciiTheme="minorEastAsia" w:hAnsiTheme="minorEastAsia" w:eastAsiaTheme="minorEastAsia"/>
                <w:b/>
                <w:kern w:val="0"/>
                <w:sz w:val="24"/>
                <w:lang w:val="zh-CN"/>
              </w:rPr>
              <w:t>实施政府优先采购</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rPr>
              <w:t>详</w:t>
            </w:r>
            <w:r>
              <w:rPr>
                <w:rFonts w:hint="eastAsia" w:cs="宋体" w:asciiTheme="minorEastAsia" w:hAnsiTheme="minorEastAsia" w:eastAsiaTheme="minorEastAsia"/>
                <w:kern w:val="0"/>
                <w:sz w:val="24"/>
                <w:lang w:val="zh-CN"/>
              </w:rPr>
              <w:t>见</w:t>
            </w:r>
            <w:r>
              <w:rPr>
                <w:rFonts w:hint="eastAsia" w:cs="宋体" w:asciiTheme="minorEastAsia" w:hAnsiTheme="minorEastAsia" w:eastAsiaTheme="minorEastAsia"/>
                <w:kern w:val="0"/>
                <w:sz w:val="24"/>
                <w:u w:val="single"/>
                <w:lang w:val="zh-CN"/>
              </w:rPr>
              <w:t>评分标准</w:t>
            </w:r>
            <w:r>
              <w:rPr>
                <w:rFonts w:hint="eastAsia" w:cs="宋体" w:asciiTheme="minorEastAsia" w:hAnsiTheme="minorEastAsia" w:eastAsiaTheme="minorEastAsia"/>
                <w:kern w:val="0"/>
                <w:sz w:val="24"/>
                <w:lang w:val="zh-CN"/>
              </w:rPr>
              <w:t>。</w:t>
            </w:r>
          </w:p>
          <w:p>
            <w:pPr>
              <w:rPr>
                <w:rFonts w:asciiTheme="minorEastAsia" w:hAnsiTheme="minorEastAsia" w:eastAsiaTheme="minorEastAsia"/>
                <w:sz w:val="24"/>
              </w:rPr>
            </w:pPr>
            <w:sdt>
              <w:sdtPr>
                <w:rPr>
                  <w:rFonts w:hint="eastAsia" w:cs="宋体" w:asciiTheme="minorEastAsia" w:hAnsiTheme="minorEastAsia" w:eastAsiaTheme="minorEastAsia"/>
                  <w:kern w:val="0"/>
                  <w:sz w:val="24"/>
                </w:rPr>
                <w:id w:val="2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b/>
                <w:bCs/>
                <w:kern w:val="0"/>
                <w:sz w:val="24"/>
                <w:lang w:val="zh-CN"/>
              </w:rPr>
              <w:t>投标文件</w:t>
            </w:r>
            <w:r>
              <w:rPr>
                <w:rFonts w:hint="eastAsia" w:cs="宋体" w:asciiTheme="minorEastAsia" w:hAnsiTheme="minorEastAsia" w:eastAsiaTheme="min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cs="宋体" w:asciiTheme="minorEastAsia" w:hAnsiTheme="minorEastAsia" w:eastAsiaTheme="minorEastAsia"/>
                <w:kern w:val="0"/>
                <w:sz w:val="24"/>
                <w:lang w:val="zh-CN"/>
              </w:rPr>
              <w:t>投标文件中价格全部采用人民币报价。招标文件未列明，而投标人认为必需的费用也需列入报价。</w:t>
            </w:r>
            <w:r>
              <w:rPr>
                <w:rFonts w:hint="eastAsia" w:cs="宋体" w:asciiTheme="minorEastAsia" w:hAnsiTheme="minorEastAsia" w:eastAsiaTheme="minorEastAsia"/>
                <w:b/>
                <w:kern w:val="0"/>
                <w:sz w:val="24"/>
                <w:lang w:val="zh-CN"/>
              </w:rPr>
              <w:t>提醒：验收时检测费用由采购人承担，不包含在投标总价中。</w:t>
            </w:r>
          </w:p>
          <w:p>
            <w:pPr>
              <w:snapToGrid w:val="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pPr>
              <w:snapToGrid w:val="0"/>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pPr>
              <w:snapToGrid w:val="0"/>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pPr>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rPr>
              <w:t>;</w:t>
            </w:r>
          </w:p>
          <w:p>
            <w:pPr>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tcBorders>
              <w:top w:val="single" w:color="auto" w:sz="4" w:space="0"/>
              <w:left w:val="single" w:color="000000" w:sz="8" w:space="0"/>
              <w:right w:val="single" w:color="000000" w:sz="2"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pPr>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备份投标文件送达地点：</w:t>
            </w:r>
            <w:r>
              <w:rPr>
                <w:rFonts w:hint="eastAsia" w:cs="Times New Roman" w:asciiTheme="minorEastAsia" w:hAnsiTheme="minorEastAsia" w:eastAsiaTheme="minorEastAsia"/>
                <w:kern w:val="28"/>
                <w:sz w:val="24"/>
                <w:szCs w:val="24"/>
                <w:u w:val="single"/>
              </w:rPr>
              <w:t>杭州市拱墅区香积寺东路58号3楼353办公室（杭州市公共资源交易中心拱墅分中心）</w:t>
            </w:r>
            <w:r>
              <w:rPr>
                <w:rFonts w:hint="eastAsia" w:cs="宋体" w:asciiTheme="minorEastAsia" w:hAnsiTheme="minorEastAsia" w:eastAsiaTheme="minorEastAsia"/>
                <w:kern w:val="28"/>
                <w:sz w:val="24"/>
                <w:szCs w:val="24"/>
              </w:rPr>
              <w:t>；备份投标文件签收人员联系电话：</w:t>
            </w:r>
            <w:r>
              <w:rPr>
                <w:rFonts w:hint="eastAsia" w:cs="宋体" w:asciiTheme="minorEastAsia" w:hAnsiTheme="minorEastAsia" w:eastAsiaTheme="minorEastAsia"/>
                <w:sz w:val="24"/>
                <w:szCs w:val="24"/>
                <w:u w:val="single"/>
              </w:rPr>
              <w:t>0571-89507163</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vMerge w:val="continue"/>
            <w:tcBorders>
              <w:left w:val="single" w:color="000000" w:sz="8" w:space="0"/>
              <w:right w:val="single" w:color="000000" w:sz="2" w:space="0"/>
            </w:tcBorders>
            <w:vAlign w:val="center"/>
          </w:tcPr>
          <w:p>
            <w:pPr>
              <w:snapToGrid w:val="0"/>
              <w:jc w:val="center"/>
              <w:rPr>
                <w:rFonts w:cs="宋体" w:asciiTheme="minorEastAsia" w:hAnsiTheme="minorEastAsia" w:eastAsiaTheme="minorEastAsia"/>
                <w:sz w:val="24"/>
              </w:rPr>
            </w:pPr>
          </w:p>
        </w:tc>
        <w:tc>
          <w:tcPr>
            <w:tcW w:w="1843" w:type="dxa"/>
            <w:vMerge w:val="continue"/>
            <w:tcBorders>
              <w:left w:val="single" w:color="000000" w:sz="2" w:space="0"/>
              <w:right w:val="single" w:color="000000" w:sz="8" w:space="0"/>
            </w:tcBorders>
            <w:vAlign w:val="center"/>
          </w:tcPr>
          <w:p>
            <w:pPr>
              <w:snapToGrid w:val="0"/>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宋体" w:asciiTheme="minorEastAsia" w:hAnsiTheme="minorEastAsia" w:eastAsiaTheme="minorEastAsia"/>
                <w:snapToGrid w:val="0"/>
                <w:kern w:val="28"/>
                <w:sz w:val="24"/>
              </w:rPr>
            </w:pPr>
            <w:sdt>
              <w:sdtPr>
                <w:rPr>
                  <w:rFonts w:hint="eastAsia" w:cs="Arial" w:asciiTheme="minorEastAsia" w:hAnsiTheme="minorEastAsia" w:eastAsiaTheme="minorEastAsia"/>
                  <w:kern w:val="0"/>
                  <w:sz w:val="24"/>
                </w:rPr>
                <w:id w:val="28"/>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napToGrid w:val="0"/>
                <w:kern w:val="28"/>
                <w:sz w:val="24"/>
              </w:rPr>
              <w:t>联合体投标的，联合体各方均需按招标文件第四部分评标标准要求提供资信证明文件，否则视为不符合相关要求。招标文件第四部分评分标准有其他规定的，从其规定。</w:t>
            </w:r>
          </w:p>
          <w:p>
            <w:pPr>
              <w:rPr>
                <w:rFonts w:cs="宋体" w:asciiTheme="minorEastAsia" w:hAnsiTheme="minorEastAsia" w:eastAsiaTheme="minorEastAsia"/>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cs="宋体" w:asciiTheme="minorEastAsia" w:hAnsiTheme="minorEastAsia" w:eastAsiaTheme="minorEastAsia"/>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jc w:val="center"/>
        </w:trPr>
        <w:tc>
          <w:tcPr>
            <w:tcW w:w="629" w:type="dxa"/>
            <w:vMerge w:val="continue"/>
            <w:tcBorders>
              <w:left w:val="single" w:color="000000" w:sz="8" w:space="0"/>
              <w:right w:val="single" w:color="000000" w:sz="2" w:space="0"/>
            </w:tcBorders>
            <w:vAlign w:val="center"/>
          </w:tcPr>
          <w:p>
            <w:pPr>
              <w:snapToGrid w:val="0"/>
              <w:jc w:val="center"/>
              <w:rPr>
                <w:rFonts w:cs="宋体" w:asciiTheme="minorEastAsia" w:hAnsiTheme="minorEastAsia" w:eastAsiaTheme="minorEastAsia"/>
                <w:sz w:val="24"/>
              </w:rPr>
            </w:pPr>
          </w:p>
        </w:tc>
        <w:tc>
          <w:tcPr>
            <w:tcW w:w="1843" w:type="dxa"/>
            <w:vMerge w:val="continue"/>
            <w:tcBorders>
              <w:left w:val="single" w:color="000000" w:sz="2" w:space="0"/>
              <w:right w:val="single" w:color="000000" w:sz="8" w:space="0"/>
            </w:tcBorders>
            <w:vAlign w:val="center"/>
          </w:tcPr>
          <w:p>
            <w:pPr>
              <w:snapToGrid w:val="0"/>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评审因素对应的要求视为采购需求的一部分。</w:t>
            </w:r>
          </w:p>
        </w:tc>
      </w:tr>
    </w:tbl>
    <w:p>
      <w:pPr>
        <w:snapToGrid w:val="0"/>
        <w:spacing w:line="360" w:lineRule="auto"/>
        <w:jc w:val="center"/>
        <w:rPr>
          <w:rFonts w:ascii="宋体" w:hAnsi="宋体" w:cs="宋体"/>
          <w:b/>
          <w:sz w:val="32"/>
          <w:szCs w:val="20"/>
        </w:rPr>
      </w:pPr>
    </w:p>
    <w:bookmarkEnd w:id="10"/>
    <w:p>
      <w:pPr>
        <w:adjustRightInd/>
        <w:spacing w:line="360" w:lineRule="auto"/>
        <w:jc w:val="center"/>
        <w:outlineLvl w:val="1"/>
        <w:rPr>
          <w:rFonts w:ascii="宋体" w:hAnsi="宋体" w:cs="宋体"/>
          <w:b/>
          <w:sz w:val="32"/>
          <w:szCs w:val="32"/>
        </w:rPr>
      </w:pPr>
      <w:bookmarkStart w:id="13" w:name="_Toc164416483"/>
      <w:bookmarkStart w:id="14" w:name="第三部分"/>
      <w:r>
        <w:rPr>
          <w:rFonts w:hint="eastAsia" w:ascii="宋体" w:hAnsi="宋体" w:cs="宋体"/>
          <w:b/>
          <w:sz w:val="32"/>
          <w:szCs w:val="32"/>
        </w:rPr>
        <w:t>一、总则</w:t>
      </w:r>
    </w:p>
    <w:p>
      <w:pPr>
        <w:snapToGrid w:val="0"/>
        <w:spacing w:line="360" w:lineRule="auto"/>
        <w:jc w:val="left"/>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snapToGrid w:val="0"/>
        <w:spacing w:line="360" w:lineRule="auto"/>
        <w:jc w:val="left"/>
        <w:rPr>
          <w:rFonts w:ascii="宋体" w:hAnsi="宋体" w:cs="宋体"/>
          <w:b/>
          <w:sz w:val="24"/>
        </w:rPr>
      </w:pPr>
      <w:r>
        <w:rPr>
          <w:rFonts w:hint="eastAsia" w:ascii="宋体" w:hAnsi="宋体" w:cs="宋体"/>
          <w:b/>
          <w:sz w:val="24"/>
        </w:rPr>
        <w:t>2.</w:t>
      </w:r>
      <w:r>
        <w:rPr>
          <w:rFonts w:ascii="宋体" w:hAnsi="宋体" w:cs="宋体"/>
          <w:b/>
          <w:sz w:val="24"/>
        </w:rPr>
        <w:t xml:space="preserve"> </w:t>
      </w:r>
      <w:r>
        <w:rPr>
          <w:rFonts w:hint="eastAsia" w:ascii="宋体" w:hAnsi="宋体" w:cs="宋体"/>
          <w:b/>
          <w:sz w:val="24"/>
        </w:rPr>
        <w:t>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w:t>
      </w:r>
      <w:r>
        <w:rPr>
          <w:rFonts w:ascii="宋体" w:hAnsi="宋体" w:cs="宋体"/>
          <w:sz w:val="24"/>
        </w:rPr>
        <w:t xml:space="preserve"> </w:t>
      </w:r>
      <w:r>
        <w:rPr>
          <w:rFonts w:hint="eastAsia" w:ascii="宋体" w:hAnsi="宋体" w:cs="宋体"/>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w:t>
      </w:r>
      <w:r>
        <w:rPr>
          <w:rFonts w:ascii="宋体" w:hAnsi="宋体" w:cs="宋体"/>
          <w:sz w:val="24"/>
        </w:rPr>
        <w:t xml:space="preserve"> </w:t>
      </w:r>
      <w:r>
        <w:rPr>
          <w:rFonts w:hint="eastAsia" w:ascii="宋体" w:hAnsi="宋体" w:cs="宋体"/>
          <w:sz w:val="24"/>
        </w:rPr>
        <w:t>“电子交易平台”是指本项目政府采购活动所依托的政府采购云平台（https://www.zcygov.cn/）。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pPr>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w:t>
      </w:r>
      <w:r>
        <w:rPr>
          <w:rFonts w:ascii="宋体" w:hAnsi="宋体" w:cs="宋体"/>
          <w:sz w:val="24"/>
        </w:rPr>
        <w:t xml:space="preserve"> </w:t>
      </w: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w:t>
      </w:r>
      <w:r>
        <w:rPr>
          <w:rFonts w:ascii="宋体" w:hAnsi="宋体" w:cs="宋体"/>
          <w:sz w:val="24"/>
        </w:rPr>
        <w:t xml:space="preserve"> </w:t>
      </w:r>
      <w:r>
        <w:rPr>
          <w:rFonts w:hint="eastAsia" w:ascii="宋体" w:hAnsi="宋体" w:cs="宋体"/>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优先采购绿色包装产品、绿色物流配送服务以及循环利用产品</w:t>
      </w:r>
      <w:bookmarkEnd w:id="15"/>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3.3</w:t>
      </w:r>
      <w:r>
        <w:rPr>
          <w:rFonts w:ascii="宋体" w:hAnsi="宋体" w:cs="宋体"/>
          <w:sz w:val="24"/>
        </w:rPr>
        <w:t xml:space="preserve"> </w:t>
      </w:r>
      <w:r>
        <w:rPr>
          <w:rFonts w:hint="eastAsia" w:ascii="宋体" w:hAnsi="宋体" w:cs="宋体"/>
          <w:sz w:val="24"/>
        </w:rPr>
        <w:t>支持中小企业发展</w:t>
      </w:r>
    </w:p>
    <w:p>
      <w:pPr>
        <w:spacing w:line="360" w:lineRule="auto"/>
        <w:ind w:firstLine="480" w:firstLineChars="200"/>
        <w:rPr>
          <w:rFonts w:ascii="宋体" w:hAnsi="宋体" w:cs="宋体"/>
          <w:sz w:val="24"/>
        </w:rPr>
      </w:pPr>
      <w:r>
        <w:rPr>
          <w:rFonts w:hint="eastAsia" w:ascii="宋体" w:hAnsi="宋体" w:cs="宋体"/>
          <w:sz w:val="24"/>
        </w:rPr>
        <w:t>3.3.1</w:t>
      </w:r>
      <w:r>
        <w:rPr>
          <w:rFonts w:ascii="宋体" w:hAnsi="宋体" w:cs="宋体"/>
          <w:sz w:val="24"/>
        </w:rPr>
        <w:t xml:space="preserve"> </w:t>
      </w:r>
      <w:r>
        <w:rPr>
          <w:rFonts w:hint="eastAsia" w:ascii="宋体" w:hAnsi="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 xml:space="preserve">3.3.2 </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w:t>
      </w:r>
      <w:r>
        <w:rPr>
          <w:rFonts w:ascii="宋体" w:hAnsi="宋体" w:cs="宋体"/>
          <w:sz w:val="24"/>
        </w:rPr>
        <w:t xml:space="preserve"> </w:t>
      </w:r>
      <w:r>
        <w:rPr>
          <w:rFonts w:hint="eastAsia" w:ascii="宋体" w:hAnsi="宋体" w:cs="宋体"/>
          <w:sz w:val="24"/>
        </w:rPr>
        <w:t>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w:t>
      </w:r>
      <w:r>
        <w:rPr>
          <w:rFonts w:ascii="宋体" w:hAnsi="宋体" w:cs="宋体"/>
          <w:sz w:val="24"/>
        </w:rPr>
        <w:t xml:space="preserve"> </w:t>
      </w:r>
      <w:r>
        <w:rPr>
          <w:rFonts w:hint="eastAsia" w:ascii="宋体" w:hAnsi="宋体" w:cs="宋体"/>
          <w:sz w:val="24"/>
        </w:rPr>
        <w:t>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w:t>
      </w:r>
      <w:r>
        <w:rPr>
          <w:rFonts w:ascii="宋体" w:hAnsi="宋体" w:cs="宋体"/>
          <w:sz w:val="24"/>
        </w:rPr>
        <w:t xml:space="preserve"> </w:t>
      </w:r>
      <w:r>
        <w:rPr>
          <w:rFonts w:hint="eastAsia" w:ascii="宋体" w:hAnsi="宋体"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w:t>
      </w:r>
      <w:r>
        <w:rPr>
          <w:rFonts w:ascii="宋体" w:hAnsi="宋体" w:cs="宋体"/>
          <w:sz w:val="24"/>
        </w:rPr>
        <w:t xml:space="preserve"> </w:t>
      </w:r>
      <w:r>
        <w:rPr>
          <w:rFonts w:hint="eastAsia" w:ascii="宋体" w:hAnsi="宋体" w:cs="宋体"/>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w:t>
      </w:r>
      <w:r>
        <w:rPr>
          <w:rFonts w:ascii="宋体" w:hAnsi="宋体" w:cs="宋体"/>
          <w:sz w:val="24"/>
        </w:rPr>
        <w:t xml:space="preserve"> </w:t>
      </w:r>
      <w:r>
        <w:rPr>
          <w:rFonts w:hint="eastAsia" w:ascii="宋体" w:hAnsi="宋体" w:cs="宋体"/>
          <w:sz w:val="24"/>
        </w:rPr>
        <w:t>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rPr>
      </w:pPr>
      <w:r>
        <w:rPr>
          <w:rFonts w:hint="eastAsia" w:ascii="宋体" w:hAnsi="宋体" w:cs="宋体"/>
          <w:sz w:val="24"/>
        </w:rPr>
        <w:t>3.4</w:t>
      </w:r>
      <w:r>
        <w:rPr>
          <w:rFonts w:ascii="宋体" w:hAnsi="宋体" w:cs="宋体"/>
          <w:sz w:val="24"/>
        </w:rPr>
        <w:t xml:space="preserve"> </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w:t>
      </w:r>
      <w:r>
        <w:rPr>
          <w:rFonts w:ascii="宋体" w:hAnsi="宋体" w:cs="宋体"/>
          <w:sz w:val="24"/>
        </w:rPr>
        <w:t xml:space="preserve"> </w:t>
      </w:r>
      <w:r>
        <w:rPr>
          <w:rFonts w:hint="eastAsia" w:ascii="宋体" w:hAnsi="宋体" w:cs="宋体"/>
          <w:sz w:val="24"/>
        </w:rPr>
        <w:t>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宋体" w:hAnsi="宋体" w:cs="宋体"/>
          <w:sz w:val="24"/>
        </w:rPr>
      </w:pPr>
      <w:r>
        <w:rPr>
          <w:rFonts w:hint="eastAsia" w:ascii="宋体" w:hAnsi="宋体" w:cs="宋体"/>
          <w:sz w:val="24"/>
        </w:rPr>
        <w:t>3.5</w:t>
      </w:r>
      <w:r>
        <w:rPr>
          <w:rFonts w:ascii="宋体" w:hAnsi="宋体" w:cs="宋体"/>
          <w:sz w:val="24"/>
        </w:rPr>
        <w:t xml:space="preserve"> </w:t>
      </w:r>
      <w:r>
        <w:rPr>
          <w:rFonts w:hint="eastAsia" w:ascii="宋体" w:hAnsi="宋体" w:cs="宋体"/>
          <w:sz w:val="24"/>
        </w:rPr>
        <w:t>平等对待内外资企业和符合条件的破产重整企业</w:t>
      </w:r>
    </w:p>
    <w:p>
      <w:pPr>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w:t>
      </w:r>
      <w:r>
        <w:rPr>
          <w:rFonts w:ascii="宋体" w:hAnsi="宋体" w:cs="宋体"/>
          <w:kern w:val="0"/>
          <w:sz w:val="24"/>
          <w:lang w:val="zh-CN"/>
        </w:rPr>
        <w:t xml:space="preserve"> </w:t>
      </w:r>
      <w:r>
        <w:rPr>
          <w:rFonts w:hint="eastAsia" w:ascii="宋体" w:hAnsi="宋体" w:cs="宋体"/>
          <w:kern w:val="0"/>
          <w:sz w:val="24"/>
          <w:lang w:val="zh-CN"/>
        </w:rPr>
        <w:t>在线询问、质疑、投诉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w:t>
      </w:r>
      <w:r>
        <w:rPr>
          <w:rFonts w:ascii="宋体" w:hAnsi="宋体" w:cs="宋体"/>
          <w:kern w:val="0"/>
          <w:sz w:val="24"/>
          <w:lang w:val="zh-CN"/>
        </w:rPr>
        <w:t xml:space="preserve"> </w:t>
      </w:r>
      <w:r>
        <w:rPr>
          <w:rFonts w:hint="eastAsia" w:ascii="宋体" w:hAnsi="宋体" w:cs="宋体"/>
          <w:kern w:val="0"/>
          <w:sz w:val="24"/>
          <w:lang w:val="zh-CN"/>
        </w:rPr>
        <w:t>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w:t>
      </w:r>
      <w:r>
        <w:rPr>
          <w:rFonts w:ascii="宋体" w:hAnsi="宋体" w:cs="宋体"/>
          <w:kern w:val="0"/>
          <w:sz w:val="24"/>
          <w:lang w:val="zh-CN"/>
        </w:rPr>
        <w:t xml:space="preserve"> </w:t>
      </w:r>
      <w:r>
        <w:rPr>
          <w:rFonts w:hint="eastAsia" w:ascii="宋体" w:hAnsi="宋体" w:cs="宋体"/>
          <w:kern w:val="0"/>
          <w:sz w:val="24"/>
          <w:lang w:val="zh-CN"/>
        </w:rPr>
        <w:t>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w:t>
      </w:r>
      <w:r>
        <w:rPr>
          <w:rFonts w:hAnsi="宋体" w:cs="宋体"/>
          <w:sz w:val="24"/>
        </w:rPr>
        <w:t xml:space="preserve"> </w:t>
      </w:r>
      <w:r>
        <w:rPr>
          <w:rFonts w:hint="eastAsia" w:hAnsi="宋体" w:cs="宋体"/>
          <w:sz w:val="24"/>
        </w:rPr>
        <w:t>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w:t>
      </w:r>
      <w:r>
        <w:rPr>
          <w:rFonts w:hAnsi="宋体" w:cs="宋体"/>
          <w:sz w:val="24"/>
        </w:rPr>
        <w:t xml:space="preserve"> </w:t>
      </w:r>
      <w:r>
        <w:rPr>
          <w:rFonts w:hint="eastAsia" w:hAnsi="宋体" w:cs="宋体"/>
          <w:sz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w:t>
      </w:r>
      <w:r>
        <w:rPr>
          <w:rFonts w:hAnsi="宋体" w:cs="宋体"/>
          <w:snapToGrid/>
          <w:color w:val="auto"/>
          <w:kern w:val="2"/>
          <w:sz w:val="24"/>
        </w:rPr>
        <w:t xml:space="preserve"> </w:t>
      </w:r>
      <w:r>
        <w:rPr>
          <w:rFonts w:hint="eastAsia" w:hAnsi="宋体" w:cs="宋体"/>
          <w:snapToGrid/>
          <w:color w:val="auto"/>
          <w:kern w:val="2"/>
          <w:sz w:val="24"/>
        </w:rPr>
        <w:t>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w:t>
      </w:r>
      <w:r>
        <w:rPr>
          <w:rFonts w:hAnsi="宋体" w:cs="宋体"/>
          <w:sz w:val="24"/>
        </w:rPr>
        <w:t xml:space="preserve"> </w:t>
      </w:r>
      <w:r>
        <w:rPr>
          <w:rFonts w:hint="eastAsia" w:hAnsi="宋体" w:cs="宋体"/>
          <w:sz w:val="24"/>
        </w:rPr>
        <w:t>对采购过程提出质疑的，质疑期限为各采购程序环节结束之日起计算。4.3.2.3</w:t>
      </w:r>
      <w:r>
        <w:rPr>
          <w:rFonts w:hAnsi="宋体" w:cs="宋体"/>
          <w:sz w:val="24"/>
        </w:rPr>
        <w:t xml:space="preserve"> </w:t>
      </w:r>
      <w:r>
        <w:rPr>
          <w:rFonts w:hint="eastAsia" w:hAnsi="宋体" w:cs="宋体"/>
          <w:sz w:val="24"/>
        </w:rPr>
        <w:t>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Ansi="宋体" w:cs="宋体"/>
          <w:kern w:val="0"/>
          <w:sz w:val="24"/>
          <w:lang w:val="zh-CN"/>
        </w:rPr>
        <w:t xml:space="preserve"> </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4.3.3.1</w:t>
      </w:r>
      <w:r>
        <w:rPr>
          <w:rFonts w:hAnsi="宋体" w:cs="宋体"/>
          <w:kern w:val="0"/>
          <w:sz w:val="24"/>
          <w:lang w:val="zh-CN"/>
        </w:rPr>
        <w:t xml:space="preserve"> </w:t>
      </w:r>
      <w:r>
        <w:rPr>
          <w:rFonts w:hint="eastAsia" w:hAnsi="宋体" w:cs="宋体"/>
          <w:kern w:val="0"/>
          <w:sz w:val="24"/>
          <w:lang w:val="zh-CN"/>
        </w:rPr>
        <w:t>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4.3.3.2</w:t>
      </w:r>
      <w:r>
        <w:rPr>
          <w:rFonts w:hAnsi="宋体" w:cs="宋体"/>
          <w:kern w:val="0"/>
          <w:sz w:val="24"/>
          <w:lang w:val="zh-CN"/>
        </w:rPr>
        <w:t xml:space="preserve"> </w:t>
      </w:r>
      <w:r>
        <w:rPr>
          <w:rFonts w:hint="eastAsia" w:hAnsi="宋体" w:cs="宋体"/>
          <w:kern w:val="0"/>
          <w:sz w:val="24"/>
          <w:lang w:val="zh-CN"/>
        </w:rPr>
        <w:t>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4.3.3.3</w:t>
      </w:r>
      <w:r>
        <w:rPr>
          <w:rFonts w:hAnsi="宋体" w:cs="宋体"/>
          <w:kern w:val="0"/>
          <w:sz w:val="24"/>
          <w:lang w:val="zh-CN"/>
        </w:rPr>
        <w:t xml:space="preserve"> </w:t>
      </w:r>
      <w:r>
        <w:rPr>
          <w:rFonts w:hint="eastAsia" w:hAnsi="宋体" w:cs="宋体"/>
          <w:kern w:val="0"/>
          <w:sz w:val="24"/>
          <w:lang w:val="zh-CN"/>
        </w:rPr>
        <w:t>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4.3.3.4</w:t>
      </w:r>
      <w:r>
        <w:rPr>
          <w:rFonts w:hAnsi="宋体" w:cs="宋体"/>
          <w:kern w:val="0"/>
          <w:sz w:val="24"/>
          <w:lang w:val="zh-CN"/>
        </w:rPr>
        <w:t xml:space="preserve"> </w:t>
      </w:r>
      <w:r>
        <w:rPr>
          <w:rFonts w:hint="eastAsia" w:hAnsi="宋体" w:cs="宋体"/>
          <w:kern w:val="0"/>
          <w:sz w:val="24"/>
          <w:lang w:val="zh-CN"/>
        </w:rPr>
        <w:t>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4.3.3.5</w:t>
      </w:r>
      <w:r>
        <w:rPr>
          <w:rFonts w:hAnsi="宋体" w:cs="宋体"/>
          <w:kern w:val="0"/>
          <w:sz w:val="24"/>
          <w:lang w:val="zh-CN"/>
        </w:rPr>
        <w:t xml:space="preserve"> </w:t>
      </w:r>
      <w:r>
        <w:rPr>
          <w:rFonts w:hint="eastAsia" w:hAnsi="宋体" w:cs="宋体"/>
          <w:kern w:val="0"/>
          <w:sz w:val="24"/>
          <w:lang w:val="zh-CN"/>
        </w:rPr>
        <w:t>必要的法律依据；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4.3.3.6</w:t>
      </w:r>
      <w:r>
        <w:rPr>
          <w:rFonts w:hAnsi="宋体" w:cs="宋体"/>
          <w:kern w:val="0"/>
          <w:sz w:val="24"/>
          <w:lang w:val="zh-CN"/>
        </w:rPr>
        <w:t xml:space="preserve"> </w:t>
      </w:r>
      <w:r>
        <w:rPr>
          <w:rFonts w:hint="eastAsia" w:hAnsi="宋体" w:cs="宋体"/>
          <w:kern w:val="0"/>
          <w:sz w:val="24"/>
          <w:lang w:val="zh-CN"/>
        </w:rPr>
        <w:t>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80" w:firstLineChars="200"/>
        <w:contextualSpacing/>
      </w:pPr>
      <w:r>
        <w:rPr>
          <w:rFonts w:hint="eastAsia"/>
        </w:rPr>
        <w:t>4.3.4</w:t>
      </w:r>
      <w:r>
        <w:t xml:space="preserve"> </w:t>
      </w:r>
      <w:r>
        <w:rPr>
          <w:rFonts w:hint="eastAsia"/>
        </w:rPr>
        <w:t>对同一采购程序环节的质疑，供应商须在法定质疑期内一次性提出。</w:t>
      </w:r>
    </w:p>
    <w:p>
      <w:pPr>
        <w:pStyle w:val="886"/>
        <w:shd w:val="clear" w:color="auto" w:fill="FFFFFF"/>
        <w:snapToGrid w:val="0"/>
        <w:spacing w:after="240" w:afterAutospacing="0" w:line="360" w:lineRule="auto"/>
        <w:ind w:firstLine="480" w:firstLineChars="200"/>
        <w:contextualSpacing/>
      </w:pPr>
      <w:r>
        <w:rPr>
          <w:rFonts w:hint="eastAsia"/>
          <w:lang w:val="zh-CN"/>
        </w:rPr>
        <w:t>4.3</w:t>
      </w:r>
      <w:r>
        <w:rPr>
          <w:rFonts w:hint="eastAsia"/>
        </w:rPr>
        <w:t>.5</w:t>
      </w:r>
      <w:r>
        <w:t xml:space="preserve"> </w:t>
      </w:r>
      <w:r>
        <w:rPr>
          <w:rFonts w:hint="eastAsia"/>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80" w:firstLineChars="200"/>
        <w:contextualSpacing/>
      </w:pPr>
      <w:r>
        <w:rPr>
          <w:rFonts w:hint="eastAsia"/>
          <w:lang w:val="zh-CN"/>
        </w:rPr>
        <w:t>4.3</w:t>
      </w:r>
      <w:r>
        <w:rPr>
          <w:rFonts w:hint="eastAsia"/>
        </w:rPr>
        <w:t>.6</w:t>
      </w:r>
      <w:r>
        <w:t xml:space="preserve"> </w:t>
      </w:r>
      <w:r>
        <w:rPr>
          <w:rFonts w:hint="eastAsia"/>
        </w:rPr>
        <w:t>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w:t>
      </w:r>
      <w:r>
        <w:rPr>
          <w:lang w:val="zh-CN"/>
        </w:rPr>
        <w:t xml:space="preserve"> </w:t>
      </w:r>
      <w:r>
        <w:rPr>
          <w:rFonts w:hint="eastAsia"/>
          <w:lang w:val="zh-CN"/>
        </w:rPr>
        <w:t>供应商投诉</w:t>
      </w:r>
    </w:p>
    <w:p>
      <w:pPr>
        <w:pStyle w:val="886"/>
        <w:shd w:val="clear" w:color="auto" w:fill="FFFFFF"/>
        <w:snapToGrid w:val="0"/>
        <w:spacing w:after="240" w:afterAutospacing="0" w:line="360" w:lineRule="auto"/>
        <w:ind w:firstLine="480" w:firstLineChars="200"/>
        <w:contextualSpacing/>
      </w:pPr>
      <w:r>
        <w:rPr>
          <w:rFonts w:hint="eastAsia"/>
        </w:rPr>
        <w:t>4.4.1</w:t>
      </w:r>
      <w:r>
        <w:t xml:space="preserve"> </w:t>
      </w:r>
      <w:r>
        <w:rPr>
          <w:rFonts w:hint="eastAsia"/>
        </w:rPr>
        <w:t>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80" w:firstLineChars="200"/>
        <w:contextualSpacing/>
      </w:pPr>
      <w:r>
        <w:rPr>
          <w:rFonts w:hint="eastAsia"/>
        </w:rPr>
        <w:t>4.4.</w:t>
      </w:r>
      <w:r>
        <w:rPr>
          <w:rFonts w:hint="eastAsia"/>
          <w:lang w:val="zh-CN"/>
        </w:rPr>
        <w:t>2</w:t>
      </w:r>
      <w:r>
        <w:rPr>
          <w:lang w:val="zh-CN"/>
        </w:rPr>
        <w:t xml:space="preserve"> </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80" w:firstLineChars="200"/>
        <w:contextualSpacing/>
      </w:pPr>
      <w:r>
        <w:rPr>
          <w:rFonts w:hint="eastAsia"/>
        </w:rPr>
        <w:t>4.4.3</w:t>
      </w:r>
      <w:r>
        <w:t xml:space="preserve"> </w:t>
      </w:r>
      <w:r>
        <w:rPr>
          <w:rFonts w:hint="eastAsia"/>
        </w:rPr>
        <w:t>供应商投诉应当有明确的请求和必要的证明材料。</w:t>
      </w:r>
    </w:p>
    <w:p>
      <w:pPr>
        <w:pStyle w:val="886"/>
        <w:shd w:val="clear" w:color="auto" w:fill="FFFFFF"/>
        <w:snapToGrid w:val="0"/>
        <w:spacing w:after="240" w:afterAutospacing="0" w:line="360" w:lineRule="auto"/>
        <w:ind w:firstLine="480" w:firstLineChars="200"/>
        <w:contextualSpacing/>
      </w:pPr>
      <w:r>
        <w:rPr>
          <w:rFonts w:hint="eastAsia"/>
        </w:rPr>
        <w:t>4.4.4</w:t>
      </w:r>
      <w:r>
        <w:t xml:space="preserve"> </w:t>
      </w:r>
      <w:r>
        <w:rPr>
          <w:rFonts w:hint="eastAsia"/>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80" w:firstLineChars="200"/>
        <w:contextualSpacing/>
      </w:pPr>
      <w:r>
        <w:rPr>
          <w:rFonts w:hint="eastAsia"/>
        </w:rPr>
        <w:t>4.4.5</w:t>
      </w:r>
      <w:r>
        <w:t xml:space="preserve"> </w:t>
      </w:r>
      <w:r>
        <w:rPr>
          <w:rFonts w:hint="eastAsia"/>
        </w:rPr>
        <w:t>浙江省本级、杭州市本级、拱墅区、富阳区政府采购项目投诉材料可寄送浙江省政府采购行政裁决服务中心（杭州），地址：杭州市上城区四季青街道新业路市民之家G03办公室，收件人：朱女士，电话：15121014815。</w:t>
      </w:r>
    </w:p>
    <w:p>
      <w:pPr>
        <w:pStyle w:val="886"/>
        <w:shd w:val="clear" w:color="auto" w:fill="FFFFFF"/>
        <w:snapToGrid w:val="0"/>
        <w:spacing w:after="240" w:afterAutospacing="0" w:line="360" w:lineRule="auto"/>
        <w:ind w:firstLine="480" w:firstLineChars="200"/>
        <w:contextualSpacing/>
      </w:pPr>
      <w:r>
        <w:rPr>
          <w:rFonts w:hint="eastAsia"/>
        </w:rPr>
        <w:t>投诉书范本及制作说明详见附件3。</w:t>
      </w:r>
    </w:p>
    <w:p>
      <w:pPr>
        <w:pStyle w:val="128"/>
        <w:snapToGrid w:val="0"/>
        <w:spacing w:before="0"/>
        <w:ind w:firstLine="0" w:firstLineChars="0"/>
        <w:rPr>
          <w:rFonts w:ascii="宋体" w:hAnsi="宋体" w:cs="宋体"/>
          <w:sz w:val="18"/>
          <w:szCs w:val="18"/>
        </w:rPr>
      </w:pPr>
    </w:p>
    <w:p>
      <w:pPr>
        <w:adjustRightInd/>
        <w:spacing w:line="360" w:lineRule="auto"/>
        <w:jc w:val="center"/>
        <w:outlineLvl w:val="1"/>
        <w:rPr>
          <w:rFonts w:ascii="宋体" w:hAnsi="宋体" w:cs="宋体"/>
          <w:b/>
          <w:sz w:val="32"/>
          <w:szCs w:val="32"/>
        </w:rPr>
      </w:pPr>
      <w:r>
        <w:rPr>
          <w:rFonts w:hint="eastAsia" w:ascii="宋体" w:hAnsi="宋体" w:cs="宋体"/>
          <w:b/>
          <w:sz w:val="32"/>
          <w:szCs w:val="32"/>
        </w:rPr>
        <w:t>二、招标文件的构成、澄清、修改</w:t>
      </w:r>
    </w:p>
    <w:p>
      <w:pPr>
        <w:pStyle w:val="32"/>
        <w:spacing w:line="360" w:lineRule="auto"/>
        <w:rPr>
          <w:rFonts w:hAnsi="宋体" w:cs="宋体"/>
          <w:b/>
          <w:sz w:val="24"/>
          <w:szCs w:val="24"/>
        </w:rPr>
      </w:pPr>
      <w:r>
        <w:rPr>
          <w:rFonts w:hint="eastAsia" w:hAnsi="宋体" w:cs="宋体"/>
          <w:b/>
          <w:sz w:val="24"/>
          <w:szCs w:val="24"/>
        </w:rPr>
        <w:t>5． 招标文件的构成</w:t>
      </w:r>
    </w:p>
    <w:p>
      <w:pPr>
        <w:pStyle w:val="32"/>
        <w:spacing w:line="360" w:lineRule="auto"/>
        <w:ind w:firstLine="480" w:firstLineChars="200"/>
        <w:rPr>
          <w:rFonts w:hAnsi="宋体" w:cs="宋体"/>
          <w:sz w:val="24"/>
          <w:szCs w:val="24"/>
        </w:rPr>
      </w:pPr>
      <w:r>
        <w:rPr>
          <w:rFonts w:hint="eastAsia" w:hAnsi="宋体" w:cs="宋体"/>
          <w:sz w:val="24"/>
          <w:szCs w:val="24"/>
        </w:rPr>
        <w:t>5.1</w:t>
      </w:r>
      <w:r>
        <w:rPr>
          <w:rFonts w:hAnsi="宋体" w:cs="宋体"/>
          <w:sz w:val="24"/>
          <w:szCs w:val="24"/>
        </w:rPr>
        <w:t xml:space="preserve"> </w:t>
      </w:r>
      <w:r>
        <w:rPr>
          <w:rFonts w:hint="eastAsia" w:hAnsi="宋体" w:cs="宋体"/>
          <w:sz w:val="24"/>
          <w:szCs w:val="24"/>
        </w:rPr>
        <w:t>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w:t>
      </w:r>
      <w:r>
        <w:rPr>
          <w:rFonts w:hAnsi="宋体" w:cs="宋体"/>
          <w:sz w:val="24"/>
          <w:szCs w:val="24"/>
        </w:rPr>
        <w:t xml:space="preserve"> </w:t>
      </w:r>
      <w:r>
        <w:rPr>
          <w:rFonts w:hint="eastAsia" w:hAnsi="宋体" w:cs="宋体"/>
          <w:sz w:val="24"/>
          <w:szCs w:val="24"/>
        </w:rPr>
        <w:t>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w:t>
      </w:r>
      <w:r>
        <w:rPr>
          <w:rFonts w:hAnsi="宋体" w:cs="宋体"/>
          <w:sz w:val="24"/>
          <w:szCs w:val="24"/>
        </w:rPr>
        <w:t xml:space="preserve"> </w:t>
      </w:r>
      <w:r>
        <w:rPr>
          <w:rFonts w:hint="eastAsia" w:hAnsi="宋体" w:cs="宋体"/>
          <w:sz w:val="24"/>
          <w:szCs w:val="24"/>
        </w:rPr>
        <w:t>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w:t>
      </w:r>
      <w:r>
        <w:rPr>
          <w:rFonts w:hAnsi="宋体" w:cs="宋体"/>
          <w:sz w:val="24"/>
          <w:szCs w:val="24"/>
        </w:rPr>
        <w:t xml:space="preserve"> </w:t>
      </w:r>
      <w:r>
        <w:rPr>
          <w:rFonts w:hint="eastAsia" w:hAnsi="宋体" w:cs="宋体"/>
          <w:sz w:val="24"/>
          <w:szCs w:val="24"/>
        </w:rPr>
        <w:t>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w:t>
      </w:r>
      <w:r>
        <w:rPr>
          <w:rFonts w:hAnsi="宋体" w:cs="宋体"/>
          <w:sz w:val="24"/>
          <w:szCs w:val="24"/>
        </w:rPr>
        <w:t xml:space="preserve"> </w:t>
      </w:r>
      <w:r>
        <w:rPr>
          <w:rFonts w:hint="eastAsia" w:hAnsi="宋体" w:cs="宋体"/>
          <w:sz w:val="24"/>
          <w:szCs w:val="24"/>
        </w:rPr>
        <w:t>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w:t>
      </w:r>
      <w:r>
        <w:rPr>
          <w:rFonts w:hAnsi="宋体" w:cs="宋体"/>
          <w:sz w:val="24"/>
          <w:szCs w:val="24"/>
        </w:rPr>
        <w:t xml:space="preserve"> </w:t>
      </w:r>
      <w:r>
        <w:rPr>
          <w:rFonts w:hint="eastAsia" w:hAnsi="宋体" w:cs="宋体"/>
          <w:sz w:val="24"/>
          <w:szCs w:val="24"/>
        </w:rPr>
        <w:t>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Ansi="宋体" w:cs="宋体"/>
          <w:sz w:val="24"/>
        </w:rPr>
        <w:t xml:space="preserve"> </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w:t>
      </w:r>
      <w:r>
        <w:rPr>
          <w:rFonts w:ascii="宋体" w:hAnsi="宋体" w:cs="宋体"/>
          <w:sz w:val="24"/>
        </w:rPr>
        <w:t xml:space="preserve"> </w:t>
      </w:r>
      <w:r>
        <w:rPr>
          <w:rFonts w:hint="eastAsia" w:ascii="宋体" w:hAnsi="宋体" w:cs="宋体"/>
          <w:sz w:val="24"/>
        </w:rPr>
        <w:t>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w:t>
      </w:r>
      <w:r>
        <w:rPr>
          <w:rFonts w:ascii="宋体" w:hAnsi="宋体" w:cs="宋体"/>
        </w:rPr>
        <w:t xml:space="preserve"> </w:t>
      </w:r>
      <w:r>
        <w:rPr>
          <w:rFonts w:hint="eastAsia" w:ascii="宋体" w:hAnsi="宋体" w:cs="宋体"/>
        </w:rPr>
        <w:t>已获取招标文件的潜在投标人，若有问题需要澄清，应于投标截止时间前，以书面形式向采购机构提出。</w:t>
      </w:r>
    </w:p>
    <w:p>
      <w:pPr>
        <w:pStyle w:val="128"/>
        <w:snapToGrid w:val="0"/>
        <w:spacing w:before="0"/>
        <w:ind w:firstLine="480"/>
        <w:rPr>
          <w:rFonts w:ascii="宋体" w:hAnsi="宋体" w:cs="宋体"/>
        </w:rPr>
      </w:pPr>
      <w:r>
        <w:rPr>
          <w:rFonts w:hint="eastAsia" w:ascii="宋体" w:hAnsi="宋体" w:cs="宋体"/>
        </w:rPr>
        <w:t>6.2</w:t>
      </w:r>
      <w:r>
        <w:rPr>
          <w:rFonts w:ascii="宋体" w:hAnsi="宋体" w:cs="宋体"/>
        </w:rPr>
        <w:t xml:space="preserve"> </w:t>
      </w:r>
      <w:r>
        <w:rPr>
          <w:rFonts w:hint="eastAsia" w:ascii="宋体" w:hAnsi="宋体" w:cs="宋体"/>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1"/>
        <w:rPr>
          <w:rFonts w:ascii="宋体" w:hAnsi="宋体" w:cs="宋体"/>
          <w:b/>
          <w:sz w:val="32"/>
          <w:szCs w:val="32"/>
        </w:rPr>
      </w:pPr>
      <w:r>
        <w:rPr>
          <w:rFonts w:hint="eastAsia" w:ascii="宋体" w:hAnsi="宋体" w:cs="宋体"/>
          <w:b/>
          <w:sz w:val="32"/>
          <w:szCs w:val="32"/>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w:t>
      </w:r>
      <w:r>
        <w:rPr>
          <w:rFonts w:hAnsi="宋体" w:cs="宋体"/>
          <w:b/>
          <w:sz w:val="24"/>
          <w:szCs w:val="24"/>
        </w:rPr>
        <w:t xml:space="preserve"> </w:t>
      </w:r>
      <w:r>
        <w:rPr>
          <w:rFonts w:hint="eastAsia" w:hAnsi="宋体" w:cs="宋体"/>
          <w:b/>
          <w:sz w:val="24"/>
          <w:szCs w:val="24"/>
        </w:rPr>
        <w:t>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w:t>
      </w:r>
      <w:r>
        <w:rPr>
          <w:rFonts w:hAnsi="宋体" w:cs="宋体"/>
          <w:b/>
          <w:kern w:val="28"/>
          <w:sz w:val="24"/>
          <w:szCs w:val="24"/>
        </w:rPr>
        <w:t xml:space="preserve"> </w:t>
      </w:r>
      <w:r>
        <w:rPr>
          <w:rFonts w:hint="eastAsia" w:hAnsi="宋体" w:cs="宋体"/>
          <w:b/>
          <w:kern w:val="28"/>
          <w:sz w:val="24"/>
          <w:szCs w:val="24"/>
        </w:rPr>
        <w:t>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sz w:val="24"/>
        </w:rPr>
      </w:pPr>
      <w:r>
        <w:rPr>
          <w:rFonts w:hint="eastAsia" w:ascii="宋体" w:hAnsi="宋体" w:cs="宋体"/>
          <w:b/>
          <w:sz w:val="24"/>
        </w:rPr>
        <w:t>11.1</w:t>
      </w:r>
      <w:r>
        <w:rPr>
          <w:rFonts w:ascii="宋体" w:hAnsi="宋体" w:cs="宋体"/>
          <w:b/>
          <w:sz w:val="24"/>
        </w:rPr>
        <w:t xml:space="preserve"> </w:t>
      </w:r>
      <w:r>
        <w:rPr>
          <w:rFonts w:hint="eastAsia" w:ascii="宋体" w:hAnsi="宋体" w:cs="宋体"/>
          <w:b/>
          <w:sz w:val="24"/>
        </w:rPr>
        <w:t>资格文件：</w:t>
      </w:r>
    </w:p>
    <w:p>
      <w:pPr>
        <w:snapToGrid w:val="0"/>
        <w:spacing w:line="360" w:lineRule="auto"/>
        <w:ind w:firstLine="960" w:firstLineChars="400"/>
        <w:rPr>
          <w:rFonts w:ascii="宋体" w:hAnsi="宋体" w:cs="宋体"/>
          <w:sz w:val="24"/>
        </w:rPr>
      </w:pPr>
      <w:r>
        <w:rPr>
          <w:rFonts w:hint="eastAsia" w:ascii="宋体" w:hAnsi="宋体" w:cs="宋体"/>
          <w:sz w:val="24"/>
        </w:rPr>
        <w:t>11.1.1</w:t>
      </w:r>
      <w:r>
        <w:rPr>
          <w:rFonts w:ascii="宋体" w:hAnsi="宋体" w:cs="宋体"/>
          <w:sz w:val="24"/>
        </w:rPr>
        <w:t xml:space="preserve"> </w:t>
      </w:r>
      <w:r>
        <w:rPr>
          <w:rFonts w:hint="eastAsia" w:ascii="宋体" w:hAnsi="宋体" w:cs="宋体"/>
          <w:sz w:val="24"/>
        </w:rPr>
        <w:t>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ascii="宋体" w:hAnsi="宋体" w:cs="宋体"/>
          <w:sz w:val="24"/>
        </w:rPr>
        <w:t xml:space="preserve"> </w:t>
      </w:r>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 xml:space="preserve">3 </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 xml:space="preserve">4 </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2" w:firstLineChars="200"/>
        <w:rPr>
          <w:rFonts w:ascii="宋体" w:hAnsi="宋体" w:cs="宋体"/>
          <w:b/>
          <w:sz w:val="24"/>
          <w:lang w:val="zh-CN"/>
        </w:rPr>
      </w:pPr>
      <w:r>
        <w:rPr>
          <w:rFonts w:hint="eastAsia" w:ascii="宋体" w:hAnsi="宋体" w:cs="宋体"/>
          <w:b/>
          <w:sz w:val="24"/>
          <w:lang w:val="zh-CN"/>
        </w:rPr>
        <w:t>11.</w:t>
      </w:r>
      <w:r>
        <w:rPr>
          <w:rFonts w:hint="eastAsia" w:ascii="宋体" w:hAnsi="宋体" w:cs="宋体"/>
          <w:b/>
          <w:sz w:val="24"/>
        </w:rPr>
        <w:t>2</w:t>
      </w:r>
      <w:r>
        <w:rPr>
          <w:rFonts w:ascii="宋体" w:hAnsi="宋体" w:cs="宋体"/>
          <w:b/>
          <w:sz w:val="24"/>
        </w:rPr>
        <w:t xml:space="preserve"> </w:t>
      </w:r>
      <w:r>
        <w:rPr>
          <w:rFonts w:hint="eastAsia" w:ascii="宋体" w:hAnsi="宋体" w:cs="宋体"/>
          <w:b/>
          <w:sz w:val="24"/>
        </w:rPr>
        <w:t>商务技术</w:t>
      </w:r>
      <w:r>
        <w:rPr>
          <w:rFonts w:hint="eastAsia" w:ascii="宋体" w:hAnsi="宋体" w:cs="宋体"/>
          <w:b/>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w:t>
      </w:r>
      <w:r>
        <w:rPr>
          <w:rFonts w:ascii="宋体" w:hAnsi="宋体" w:cs="宋体"/>
          <w:sz w:val="24"/>
        </w:rPr>
        <w:t xml:space="preserve"> </w:t>
      </w:r>
      <w:r>
        <w:rPr>
          <w:rFonts w:hint="eastAsia" w:ascii="宋体" w:hAnsi="宋体" w:cs="宋体"/>
          <w:sz w:val="24"/>
        </w:rPr>
        <w:t>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w:t>
      </w:r>
      <w:r>
        <w:rPr>
          <w:rFonts w:ascii="宋体" w:hAnsi="宋体" w:cs="宋体"/>
          <w:sz w:val="24"/>
        </w:rPr>
        <w:t xml:space="preserve"> </w:t>
      </w:r>
      <w:r>
        <w:rPr>
          <w:rFonts w:hint="eastAsia" w:ascii="宋体" w:hAnsi="宋体" w:cs="宋体"/>
          <w:sz w:val="24"/>
        </w:rPr>
        <w:t>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 xml:space="preserve">3 </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 xml:space="preserve">4 </w:t>
      </w:r>
      <w:r>
        <w:rPr>
          <w:rFonts w:hint="eastAsia" w:ascii="宋体" w:hAnsi="宋体" w:cs="宋体"/>
          <w:sz w:val="24"/>
        </w:rPr>
        <w:t>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 xml:space="preserve">5 </w:t>
      </w:r>
      <w:r>
        <w:rPr>
          <w:rFonts w:hint="eastAsia" w:ascii="宋体" w:hAnsi="宋体" w:cs="宋体"/>
          <w:sz w:val="24"/>
        </w:rPr>
        <w:t>评标标准相应的商务技术资料；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 xml:space="preserve">6 </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 xml:space="preserve">7 </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 xml:space="preserve">8 </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b/>
          <w:sz w:val="24"/>
          <w:u w:val="single"/>
          <w:lang w:val="zh-CN"/>
        </w:rPr>
      </w:pPr>
      <w:r>
        <w:rPr>
          <w:rFonts w:hint="eastAsia" w:ascii="宋体" w:hAnsi="宋体" w:cs="宋体"/>
          <w:b/>
          <w:kern w:val="0"/>
          <w:sz w:val="24"/>
          <w:lang w:val="zh-CN"/>
        </w:rPr>
        <w:t>11.</w:t>
      </w:r>
      <w:r>
        <w:rPr>
          <w:rFonts w:hint="eastAsia" w:ascii="宋体" w:hAnsi="宋体" w:cs="宋体"/>
          <w:b/>
          <w:kern w:val="0"/>
          <w:sz w:val="24"/>
        </w:rPr>
        <w:t>3</w:t>
      </w:r>
      <w:r>
        <w:rPr>
          <w:rFonts w:ascii="宋体" w:hAnsi="宋体" w:cs="宋体"/>
          <w:b/>
          <w:kern w:val="0"/>
          <w:sz w:val="24"/>
        </w:rPr>
        <w:t xml:space="preserve"> </w:t>
      </w:r>
      <w:r>
        <w:rPr>
          <w:rFonts w:hint="eastAsia" w:ascii="宋体" w:hAnsi="宋体" w:cs="宋体"/>
          <w:b/>
          <w:sz w:val="24"/>
        </w:rPr>
        <w:t xml:space="preserve">报价文件： </w:t>
      </w:r>
    </w:p>
    <w:p>
      <w:pPr>
        <w:snapToGrid w:val="0"/>
        <w:spacing w:line="360" w:lineRule="auto"/>
        <w:ind w:firstLine="960" w:firstLineChars="400"/>
        <w:rPr>
          <w:rFonts w:ascii="宋体" w:hAnsi="宋体" w:cs="宋体"/>
          <w:sz w:val="24"/>
        </w:rPr>
      </w:pPr>
      <w:r>
        <w:rPr>
          <w:rFonts w:hint="eastAsia" w:ascii="宋体" w:hAnsi="宋体" w:cs="宋体"/>
          <w:sz w:val="24"/>
        </w:rPr>
        <w:t>11.3.1</w:t>
      </w:r>
      <w:r>
        <w:rPr>
          <w:rFonts w:ascii="宋体" w:hAnsi="宋体" w:cs="宋体"/>
          <w:sz w:val="24"/>
        </w:rPr>
        <w:t xml:space="preserve"> </w:t>
      </w:r>
      <w:r>
        <w:rPr>
          <w:rFonts w:hint="eastAsia" w:ascii="宋体" w:hAnsi="宋体" w:cs="宋体"/>
          <w:sz w:val="24"/>
        </w:rPr>
        <w:t>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w:t>
      </w:r>
      <w:r>
        <w:rPr>
          <w:rFonts w:ascii="宋体" w:hAnsi="宋体" w:cs="宋体"/>
          <w:sz w:val="24"/>
        </w:rPr>
        <w:t xml:space="preserve"> </w:t>
      </w:r>
      <w:r>
        <w:rPr>
          <w:rFonts w:hint="eastAsia" w:ascii="宋体" w:hAnsi="宋体" w:cs="宋体"/>
          <w:sz w:val="24"/>
        </w:rPr>
        <w:t>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w:t>
      </w:r>
      <w:r>
        <w:rPr>
          <w:rFonts w:ascii="宋体" w:hAnsi="宋体" w:cs="宋体"/>
          <w:kern w:val="0"/>
          <w:sz w:val="24"/>
          <w:lang w:val="zh-CN"/>
        </w:rPr>
        <w:t xml:space="preserve"> </w:t>
      </w:r>
      <w:r>
        <w:rPr>
          <w:rFonts w:hint="eastAsia" w:ascii="宋体" w:hAnsi="宋体" w:cs="宋体"/>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w:t>
      </w:r>
      <w:r>
        <w:rPr>
          <w:rFonts w:ascii="宋体" w:hAnsi="宋体" w:cs="宋体"/>
          <w:kern w:val="0"/>
          <w:sz w:val="24"/>
          <w:lang w:val="zh-CN"/>
        </w:rPr>
        <w:t xml:space="preserve"> </w:t>
      </w:r>
      <w:r>
        <w:rPr>
          <w:rFonts w:hint="eastAsia" w:ascii="宋体" w:hAnsi="宋体" w:cs="宋体"/>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w:t>
      </w:r>
      <w:r>
        <w:rPr>
          <w:rFonts w:ascii="宋体" w:hAnsi="宋体" w:cs="宋体"/>
          <w:kern w:val="0"/>
          <w:sz w:val="24"/>
          <w:lang w:val="zh-CN"/>
        </w:rPr>
        <w:t xml:space="preserve"> </w:t>
      </w:r>
      <w:r>
        <w:rPr>
          <w:rFonts w:hint="eastAsia" w:ascii="宋体" w:hAnsi="宋体" w:cs="宋体"/>
          <w:kern w:val="0"/>
          <w:sz w:val="24"/>
          <w:lang w:val="zh-CN"/>
        </w:rPr>
        <w:t>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w:t>
      </w:r>
      <w:r>
        <w:rPr>
          <w:rFonts w:ascii="宋体" w:hAnsi="宋体" w:cs="宋体"/>
          <w:b/>
          <w:sz w:val="24"/>
        </w:rPr>
        <w:t xml:space="preserve"> </w:t>
      </w:r>
      <w:r>
        <w:rPr>
          <w:rFonts w:hint="eastAsia" w:ascii="宋体" w:hAnsi="宋体" w:cs="宋体"/>
          <w:b/>
          <w:sz w:val="24"/>
        </w:rPr>
        <w:t>投标文件的签署、盖章</w:t>
      </w:r>
    </w:p>
    <w:p>
      <w:pPr>
        <w:pStyle w:val="128"/>
        <w:snapToGrid w:val="0"/>
        <w:spacing w:before="0"/>
        <w:ind w:firstLine="480"/>
        <w:rPr>
          <w:rFonts w:ascii="宋体" w:hAnsi="宋体" w:cs="宋体"/>
          <w:b/>
        </w:rPr>
      </w:pPr>
      <w:r>
        <w:rPr>
          <w:rFonts w:hint="eastAsia" w:ascii="宋体" w:hAnsi="宋体" w:cs="宋体"/>
          <w:szCs w:val="24"/>
        </w:rPr>
        <w:t>13.1</w:t>
      </w:r>
      <w:r>
        <w:rPr>
          <w:rFonts w:ascii="宋体" w:hAnsi="宋体" w:cs="宋体"/>
          <w:szCs w:val="24"/>
        </w:rPr>
        <w:t xml:space="preserve"> </w:t>
      </w:r>
      <w:r>
        <w:rPr>
          <w:rFonts w:hint="eastAsia" w:ascii="宋体" w:hAnsi="宋体" w:cs="宋体"/>
          <w:szCs w:val="24"/>
        </w:rPr>
        <w:t>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w:t>
      </w:r>
      <w:r>
        <w:rPr>
          <w:rFonts w:ascii="宋体" w:hAnsi="宋体" w:cs="宋体"/>
        </w:rPr>
        <w:t xml:space="preserve"> </w:t>
      </w:r>
      <w:r>
        <w:rPr>
          <w:rFonts w:hint="eastAsia" w:ascii="宋体" w:hAnsi="宋体" w:cs="宋体"/>
        </w:rPr>
        <w:t>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w:t>
      </w:r>
      <w:r>
        <w:rPr>
          <w:rFonts w:ascii="宋体" w:hAnsi="宋体" w:cs="宋体"/>
        </w:rPr>
        <w:t xml:space="preserve"> </w:t>
      </w:r>
      <w:r>
        <w:rPr>
          <w:rFonts w:hint="eastAsia" w:ascii="宋体" w:hAnsi="宋体" w:cs="宋体"/>
        </w:rPr>
        <w:t>招标文件对投标文件签署、盖章的要求适用于电子签名。</w:t>
      </w:r>
    </w:p>
    <w:p>
      <w:pPr>
        <w:snapToGrid w:val="0"/>
        <w:spacing w:line="360" w:lineRule="auto"/>
        <w:rPr>
          <w:rFonts w:ascii="宋体" w:hAnsi="宋体" w:cs="宋体"/>
          <w:b/>
          <w:sz w:val="24"/>
        </w:rPr>
      </w:pPr>
      <w:r>
        <w:rPr>
          <w:rFonts w:hint="eastAsia" w:ascii="宋体" w:hAnsi="宋体" w:cs="宋体"/>
          <w:b/>
          <w:sz w:val="24"/>
        </w:rPr>
        <w:t>14. 投标文件的提交、补充、修改、撤回</w:t>
      </w:r>
    </w:p>
    <w:p>
      <w:pPr>
        <w:pStyle w:val="128"/>
        <w:spacing w:before="0"/>
        <w:ind w:firstLine="480"/>
        <w:rPr>
          <w:rFonts w:ascii="宋体" w:hAnsi="宋体" w:cs="宋体"/>
          <w:szCs w:val="24"/>
        </w:rPr>
      </w:pPr>
      <w:r>
        <w:rPr>
          <w:rFonts w:hint="eastAsia" w:ascii="宋体" w:hAnsi="宋体" w:cs="宋体"/>
          <w:szCs w:val="24"/>
        </w:rPr>
        <w:t>14.1</w:t>
      </w:r>
      <w:r>
        <w:rPr>
          <w:rFonts w:ascii="宋体" w:hAnsi="宋体" w:cs="宋体"/>
          <w:szCs w:val="24"/>
        </w:rPr>
        <w:t xml:space="preserve"> </w:t>
      </w:r>
      <w:r>
        <w:rPr>
          <w:rFonts w:hint="eastAsia" w:ascii="宋体" w:hAnsi="宋体" w:cs="宋体"/>
          <w:szCs w:val="24"/>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w:t>
      </w:r>
      <w:r>
        <w:rPr>
          <w:rFonts w:ascii="宋体" w:hAnsi="宋体" w:cs="宋体"/>
          <w:szCs w:val="24"/>
        </w:rPr>
        <w:t xml:space="preserve"> </w:t>
      </w:r>
      <w:r>
        <w:rPr>
          <w:rFonts w:hint="eastAsia" w:ascii="宋体" w:hAnsi="宋体" w:cs="宋体"/>
          <w:szCs w:val="24"/>
        </w:rPr>
        <w:t>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szCs w:val="24"/>
        </w:rPr>
        <w:tab/>
      </w:r>
    </w:p>
    <w:p>
      <w:pPr>
        <w:pStyle w:val="128"/>
        <w:spacing w:before="0"/>
        <w:ind w:firstLine="480"/>
        <w:rPr>
          <w:rFonts w:ascii="宋体" w:hAnsi="宋体" w:cs="宋体"/>
          <w:szCs w:val="24"/>
        </w:rPr>
      </w:pPr>
      <w:r>
        <w:rPr>
          <w:rFonts w:hint="eastAsia" w:ascii="宋体" w:hAnsi="宋体" w:cs="宋体"/>
          <w:szCs w:val="24"/>
        </w:rPr>
        <w:t>14.3</w:t>
      </w:r>
      <w:r>
        <w:rPr>
          <w:rFonts w:ascii="宋体" w:hAnsi="宋体" w:cs="宋体"/>
          <w:szCs w:val="24"/>
        </w:rPr>
        <w:t xml:space="preserve"> </w:t>
      </w:r>
      <w:r>
        <w:rPr>
          <w:rFonts w:hint="eastAsia" w:ascii="宋体" w:hAnsi="宋体" w:cs="宋体"/>
          <w:szCs w:val="24"/>
        </w:rPr>
        <w:t>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w:t>
      </w:r>
      <w:r>
        <w:rPr>
          <w:rFonts w:hAnsi="宋体" w:cs="宋体"/>
          <w:b/>
          <w:sz w:val="24"/>
          <w:szCs w:val="24"/>
        </w:rPr>
        <w:t xml:space="preserve"> </w:t>
      </w:r>
      <w:r>
        <w:rPr>
          <w:rFonts w:hint="eastAsia" w:hAnsi="宋体" w:cs="宋体"/>
          <w:b/>
          <w:sz w:val="24"/>
          <w:szCs w:val="24"/>
        </w:rPr>
        <w:t>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w:t>
      </w:r>
      <w:r>
        <w:rPr>
          <w:rFonts w:hAnsi="宋体" w:cs="宋体"/>
          <w:sz w:val="24"/>
          <w:szCs w:val="24"/>
        </w:rPr>
        <w:t xml:space="preserve"> </w:t>
      </w:r>
      <w:r>
        <w:rPr>
          <w:rFonts w:hint="eastAsia" w:hAnsi="宋体" w:cs="宋体"/>
          <w:sz w:val="24"/>
          <w:szCs w:val="24"/>
        </w:rPr>
        <w:t>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w:t>
      </w:r>
      <w:r>
        <w:rPr>
          <w:rFonts w:hAnsi="宋体" w:cs="宋体"/>
          <w:sz w:val="24"/>
          <w:szCs w:val="24"/>
        </w:rPr>
        <w:t xml:space="preserve"> </w:t>
      </w:r>
      <w:r>
        <w:rPr>
          <w:rFonts w:hint="eastAsia" w:hAnsi="宋体" w:cs="宋体"/>
          <w:sz w:val="24"/>
          <w:szCs w:val="24"/>
        </w:rPr>
        <w:t>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w:t>
      </w:r>
      <w:r>
        <w:rPr>
          <w:rFonts w:hAnsi="宋体" w:cs="宋体"/>
          <w:sz w:val="24"/>
          <w:szCs w:val="24"/>
        </w:rPr>
        <w:t xml:space="preserve"> </w:t>
      </w:r>
      <w:r>
        <w:rPr>
          <w:rFonts w:hint="eastAsia" w:hAnsi="宋体" w:cs="宋体"/>
          <w:sz w:val="24"/>
          <w:szCs w:val="24"/>
        </w:rPr>
        <w:t>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w:t>
      </w:r>
      <w:r>
        <w:rPr>
          <w:rFonts w:hAnsi="宋体" w:cs="宋体"/>
          <w:sz w:val="24"/>
          <w:szCs w:val="24"/>
        </w:rPr>
        <w:t xml:space="preserve"> </w:t>
      </w:r>
      <w:r>
        <w:rPr>
          <w:rFonts w:hint="eastAsia" w:hAnsi="宋体" w:cs="宋体"/>
          <w:sz w:val="24"/>
          <w:szCs w:val="24"/>
        </w:rPr>
        <w:t>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w:t>
      </w:r>
      <w:r>
        <w:rPr>
          <w:rFonts w:hAnsi="宋体" w:cs="宋体"/>
          <w:b/>
          <w:sz w:val="24"/>
          <w:szCs w:val="24"/>
        </w:rPr>
        <w:t xml:space="preserve"> </w:t>
      </w:r>
      <w:r>
        <w:rPr>
          <w:rFonts w:hint="eastAsia" w:hAnsi="宋体" w:cs="宋体"/>
          <w:b/>
          <w:sz w:val="24"/>
          <w:szCs w:val="24"/>
        </w:rPr>
        <w:t>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w:t>
      </w:r>
      <w:r>
        <w:rPr>
          <w:rFonts w:ascii="宋体" w:hAnsi="宋体" w:cs="宋体"/>
          <w:b/>
          <w:szCs w:val="24"/>
        </w:rPr>
        <w:t xml:space="preserve"> </w:t>
      </w:r>
      <w:r>
        <w:rPr>
          <w:rFonts w:hint="eastAsia" w:ascii="宋体" w:hAnsi="宋体" w:cs="宋体"/>
          <w:b/>
          <w:szCs w:val="24"/>
        </w:rPr>
        <w:t>投标文件的无效处理</w:t>
      </w:r>
    </w:p>
    <w:p>
      <w:pPr>
        <w:pStyle w:val="24"/>
        <w:spacing w:line="360" w:lineRule="auto"/>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w:t>
      </w:r>
      <w:r>
        <w:rPr>
          <w:rFonts w:ascii="宋体" w:hAnsi="宋体" w:cs="宋体"/>
          <w:b/>
          <w:szCs w:val="24"/>
        </w:rPr>
        <w:t xml:space="preserve"> </w:t>
      </w:r>
      <w:r>
        <w:rPr>
          <w:rFonts w:hint="eastAsia" w:ascii="宋体" w:hAnsi="宋体" w:cs="宋体"/>
          <w:b/>
          <w:szCs w:val="24"/>
        </w:rPr>
        <w:t>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w:t>
      </w:r>
      <w:r>
        <w:rPr>
          <w:rFonts w:ascii="宋体" w:hAnsi="宋体" w:cs="宋体"/>
          <w:sz w:val="24"/>
          <w:szCs w:val="20"/>
        </w:rPr>
        <w:t xml:space="preserve"> </w:t>
      </w:r>
      <w:r>
        <w:rPr>
          <w:rFonts w:hint="eastAsia" w:ascii="宋体" w:hAnsi="宋体" w:cs="宋体"/>
          <w:sz w:val="24"/>
          <w:szCs w:val="20"/>
        </w:rPr>
        <w:t>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w:t>
      </w:r>
      <w:r>
        <w:rPr>
          <w:rFonts w:ascii="宋体" w:hAnsi="宋体" w:cs="宋体"/>
        </w:rPr>
        <w:t xml:space="preserve"> </w:t>
      </w:r>
      <w:r>
        <w:rPr>
          <w:rFonts w:hint="eastAsia" w:ascii="宋体" w:hAnsi="宋体" w:cs="宋体"/>
        </w:rPr>
        <w:t>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w:t>
      </w:r>
      <w:r>
        <w:rPr>
          <w:rFonts w:ascii="宋体" w:hAnsi="宋体" w:cs="宋体"/>
        </w:rPr>
        <w:t xml:space="preserve"> </w:t>
      </w:r>
      <w:r>
        <w:rPr>
          <w:rFonts w:hint="eastAsia" w:ascii="宋体" w:hAnsi="宋体" w:cs="宋体"/>
        </w:rPr>
        <w:t>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480"/>
        <w:rPr>
          <w:rFonts w:ascii="宋体" w:hAnsi="宋体" w:cs="宋体"/>
        </w:rPr>
      </w:pPr>
      <w:r>
        <w:rPr>
          <w:rFonts w:hint="eastAsia" w:ascii="宋体" w:hAnsi="宋体" w:cs="宋体"/>
        </w:rPr>
        <w:t>17.4</w:t>
      </w:r>
      <w:r>
        <w:rPr>
          <w:rFonts w:ascii="宋体" w:hAnsi="宋体" w:cs="宋体"/>
        </w:rPr>
        <w:t xml:space="preserve"> </w:t>
      </w:r>
      <w:r>
        <w:rPr>
          <w:rFonts w:hint="eastAsia" w:ascii="宋体" w:hAnsi="宋体" w:cs="宋体"/>
        </w:rPr>
        <w:t>在投标截止时间起至投标有效期届满，供应商投标文件不可撤销。</w:t>
      </w:r>
    </w:p>
    <w:p>
      <w:pPr>
        <w:pStyle w:val="128"/>
        <w:spacing w:before="0"/>
        <w:ind w:firstLine="643"/>
        <w:rPr>
          <w:rFonts w:ascii="宋体" w:hAnsi="宋体" w:cs="宋体"/>
          <w:b/>
          <w:sz w:val="32"/>
        </w:rPr>
      </w:pPr>
    </w:p>
    <w:p>
      <w:pPr>
        <w:pStyle w:val="128"/>
        <w:spacing w:before="0"/>
        <w:ind w:firstLine="0" w:firstLineChars="0"/>
        <w:jc w:val="center"/>
        <w:outlineLvl w:val="1"/>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0"/>
        <w:contextualSpacing/>
        <w:rPr>
          <w:rFonts w:ascii="宋体" w:hAnsi="宋体" w:cs="宋体"/>
          <w:sz w:val="24"/>
        </w:rPr>
      </w:pPr>
      <w:r>
        <w:rPr>
          <w:rFonts w:hint="eastAsia" w:ascii="宋体" w:hAnsi="宋体" w:cs="宋体"/>
          <w:b/>
          <w:sz w:val="24"/>
          <w:szCs w:val="24"/>
        </w:rPr>
        <w:t>18.</w:t>
      </w:r>
      <w:r>
        <w:rPr>
          <w:rFonts w:ascii="宋体" w:hAnsi="宋体" w:cs="宋体"/>
          <w:b/>
          <w:sz w:val="24"/>
          <w:szCs w:val="24"/>
        </w:rPr>
        <w:t xml:space="preserve"> </w:t>
      </w:r>
      <w:r>
        <w:rPr>
          <w:rFonts w:hint="eastAsia" w:ascii="宋体" w:hAnsi="宋体" w:cs="宋体"/>
          <w:b/>
          <w:sz w:val="24"/>
          <w:szCs w:val="24"/>
        </w:rPr>
        <w:t>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ascii="宋体" w:hAnsi="宋体" w:cs="宋体"/>
          <w:sz w:val="24"/>
        </w:rPr>
        <w:t xml:space="preserve"> </w:t>
      </w:r>
      <w:r>
        <w:rPr>
          <w:rFonts w:hint="eastAsia" w:ascii="宋体" w:hAnsi="宋体" w:cs="宋体"/>
          <w:sz w:val="24"/>
        </w:rPr>
        <w:t>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w:t>
      </w:r>
      <w:r>
        <w:rPr>
          <w:rFonts w:ascii="宋体" w:hAnsi="宋体" w:cs="宋体"/>
          <w:sz w:val="24"/>
        </w:rPr>
        <w:t xml:space="preserve"> </w:t>
      </w:r>
      <w:r>
        <w:rPr>
          <w:rFonts w:hint="eastAsia" w:ascii="宋体" w:hAnsi="宋体" w:cs="宋体"/>
          <w:sz w:val="24"/>
        </w:rPr>
        <w:t>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w:t>
      </w:r>
      <w:r>
        <w:rPr>
          <w:rFonts w:hint="eastAsia" w:ascii="宋体" w:hAnsi="宋体" w:cs="宋体"/>
          <w:b/>
          <w:sz w:val="24"/>
        </w:rPr>
        <w:t>18.3</w:t>
      </w:r>
      <w:r>
        <w:rPr>
          <w:rFonts w:ascii="宋体" w:hAnsi="宋体" w:cs="宋体"/>
          <w:sz w:val="24"/>
        </w:rPr>
        <w:t xml:space="preserve"> </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128"/>
        <w:spacing w:before="0"/>
        <w:ind w:firstLine="0" w:firstLineChars="0"/>
        <w:rPr>
          <w:rFonts w:ascii="宋体" w:hAnsi="宋体" w:cs="宋体"/>
          <w:b/>
          <w:szCs w:val="24"/>
        </w:rPr>
      </w:pPr>
      <w:r>
        <w:rPr>
          <w:rFonts w:hint="eastAsia" w:ascii="宋体" w:hAnsi="宋体" w:cs="宋体"/>
          <w:b/>
          <w:szCs w:val="24"/>
        </w:rPr>
        <w:t>19.</w:t>
      </w:r>
      <w:r>
        <w:rPr>
          <w:rFonts w:ascii="宋体" w:hAnsi="宋体" w:cs="宋体"/>
          <w:b/>
          <w:szCs w:val="24"/>
        </w:rPr>
        <w:t xml:space="preserve"> </w:t>
      </w:r>
      <w:r>
        <w:rPr>
          <w:rFonts w:hint="eastAsia" w:ascii="宋体" w:hAnsi="宋体" w:cs="宋体"/>
          <w:b/>
          <w:szCs w:val="24"/>
        </w:rPr>
        <w:t>资格审查</w:t>
      </w:r>
    </w:p>
    <w:p>
      <w:pPr>
        <w:pStyle w:val="128"/>
        <w:spacing w:before="0"/>
        <w:ind w:firstLine="480"/>
        <w:rPr>
          <w:rFonts w:ascii="宋体" w:hAnsi="宋体" w:cs="宋体"/>
          <w:kern w:val="0"/>
          <w:szCs w:val="24"/>
        </w:rPr>
      </w:pPr>
      <w:r>
        <w:rPr>
          <w:rFonts w:hint="eastAsia" w:ascii="宋体" w:hAnsi="宋体" w:cs="宋体"/>
          <w:kern w:val="0"/>
          <w:szCs w:val="24"/>
        </w:rPr>
        <w:t>19.1</w:t>
      </w:r>
      <w:r>
        <w:rPr>
          <w:rFonts w:ascii="宋体" w:hAnsi="宋体" w:cs="宋体"/>
          <w:kern w:val="0"/>
          <w:szCs w:val="24"/>
        </w:rPr>
        <w:t xml:space="preserve"> </w:t>
      </w:r>
      <w:r>
        <w:rPr>
          <w:rFonts w:hint="eastAsia" w:ascii="宋体" w:hAnsi="宋体" w:cs="宋体"/>
          <w:kern w:val="0"/>
          <w:szCs w:val="24"/>
        </w:rPr>
        <w:t>开标后，采购人将依据法律法规和招标文件的规定，对投标人的资格进行审查。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19.2</w:t>
      </w:r>
      <w:r>
        <w:rPr>
          <w:rFonts w:ascii="宋体" w:hAnsi="宋体" w:cs="宋体"/>
          <w:kern w:val="0"/>
          <w:szCs w:val="24"/>
        </w:rPr>
        <w:t xml:space="preserve"> </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w:t>
      </w:r>
      <w:r>
        <w:rPr>
          <w:rFonts w:ascii="宋体" w:hAnsi="宋体" w:cs="宋体"/>
        </w:rPr>
        <w:t xml:space="preserve"> </w:t>
      </w:r>
      <w:r>
        <w:rPr>
          <w:rFonts w:hint="eastAsia" w:ascii="宋体" w:hAnsi="宋体" w:cs="宋体"/>
        </w:rPr>
        <w:t>对未通过资格审查的投标人，告知其未通过的原因。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w:t>
      </w:r>
      <w:r>
        <w:rPr>
          <w:rFonts w:ascii="宋体" w:hAnsi="宋体" w:cs="宋体"/>
        </w:rPr>
        <w:t xml:space="preserve"> </w:t>
      </w:r>
      <w:r>
        <w:rPr>
          <w:rFonts w:hint="eastAsia" w:ascii="宋体" w:hAnsi="宋体" w:cs="宋体"/>
        </w:rPr>
        <w:t>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w:t>
      </w:r>
      <w:r>
        <w:rPr>
          <w:rFonts w:ascii="宋体" w:hAnsi="宋体" w:cs="宋体"/>
          <w:b/>
          <w:szCs w:val="24"/>
        </w:rPr>
        <w:t xml:space="preserve"> </w:t>
      </w:r>
      <w:r>
        <w:rPr>
          <w:rFonts w:hint="eastAsia" w:ascii="宋体" w:hAnsi="宋体" w:cs="宋体"/>
          <w:b/>
          <w:szCs w:val="24"/>
        </w:rPr>
        <w:t>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w:t>
      </w:r>
      <w:r>
        <w:rPr>
          <w:rFonts w:ascii="宋体" w:hAnsi="宋体" w:cs="宋体"/>
          <w:kern w:val="0"/>
          <w:szCs w:val="24"/>
        </w:rPr>
        <w:t xml:space="preserve"> </w:t>
      </w:r>
      <w:r>
        <w:rPr>
          <w:rFonts w:hint="eastAsia" w:ascii="宋体" w:hAnsi="宋体" w:cs="宋体"/>
          <w:kern w:val="0"/>
          <w:szCs w:val="24"/>
        </w:rPr>
        <w:t>信用信息查询渠道及截止时间：采购机构将在资格审查时通过“信用中国”网站(www.creditchina.gov.cn)、中国政府采购网(www.ccgp.gov.cn)渠道查询投标人接受资格审查时的信用记录。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w:t>
      </w:r>
      <w:r>
        <w:rPr>
          <w:rFonts w:ascii="宋体" w:hAnsi="宋体" w:cs="宋体"/>
          <w:kern w:val="0"/>
          <w:szCs w:val="24"/>
        </w:rPr>
        <w:t xml:space="preserve"> </w:t>
      </w:r>
      <w:r>
        <w:rPr>
          <w:rFonts w:hint="eastAsia" w:ascii="宋体" w:hAnsi="宋体" w:cs="宋体"/>
          <w:kern w:val="0"/>
          <w:szCs w:val="24"/>
        </w:rPr>
        <w:t>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w:t>
      </w:r>
      <w:r>
        <w:rPr>
          <w:rFonts w:ascii="宋体" w:hAnsi="宋体" w:cs="宋体"/>
          <w:kern w:val="0"/>
          <w:szCs w:val="24"/>
        </w:rPr>
        <w:t xml:space="preserve"> </w:t>
      </w:r>
      <w:r>
        <w:rPr>
          <w:rFonts w:hint="eastAsia" w:ascii="宋体" w:hAnsi="宋体" w:cs="宋体"/>
          <w:kern w:val="0"/>
          <w:szCs w:val="24"/>
        </w:rPr>
        <w:t>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w:t>
      </w:r>
      <w:r>
        <w:rPr>
          <w:rFonts w:ascii="宋体" w:hAnsi="宋体" w:cs="宋体"/>
          <w:kern w:val="0"/>
          <w:szCs w:val="24"/>
        </w:rPr>
        <w:t xml:space="preserve"> </w:t>
      </w:r>
      <w:r>
        <w:rPr>
          <w:rFonts w:hint="eastAsia" w:ascii="宋体" w:hAnsi="宋体" w:cs="宋体"/>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1"/>
        <w:rPr>
          <w:rFonts w:ascii="宋体" w:hAnsi="宋体" w:cs="宋体"/>
          <w:b/>
          <w:sz w:val="32"/>
          <w:szCs w:val="32"/>
        </w:rPr>
      </w:pPr>
      <w:r>
        <w:rPr>
          <w:rFonts w:hint="eastAsia" w:ascii="宋体" w:hAnsi="宋体" w:cs="宋体"/>
          <w:b/>
          <w:sz w:val="32"/>
          <w:szCs w:val="32"/>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ascii="宋体" w:hAnsi="宋体" w:cs="宋体"/>
          <w:b/>
          <w:sz w:val="24"/>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1"/>
        <w:rPr>
          <w:rFonts w:ascii="宋体" w:hAnsi="宋体" w:cs="宋体"/>
          <w:b/>
          <w:sz w:val="28"/>
          <w:szCs w:val="28"/>
        </w:rPr>
      </w:pPr>
      <w:r>
        <w:rPr>
          <w:rFonts w:hint="eastAsia" w:ascii="宋体" w:hAnsi="宋体" w:cs="宋体"/>
          <w:b/>
          <w:sz w:val="32"/>
          <w:szCs w:val="32"/>
        </w:rPr>
        <w:t>六、定标</w:t>
      </w:r>
    </w:p>
    <w:p>
      <w:pPr>
        <w:pStyle w:val="24"/>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w:t>
      </w:r>
      <w:r>
        <w:rPr>
          <w:rFonts w:ascii="宋体" w:hAnsi="宋体" w:cs="宋体"/>
          <w:sz w:val="24"/>
        </w:rPr>
        <w:t xml:space="preserve"> </w:t>
      </w:r>
      <w:r>
        <w:rPr>
          <w:rFonts w:hint="eastAsia" w:ascii="宋体" w:hAnsi="宋体" w:cs="宋体"/>
          <w:sz w:val="24"/>
        </w:rPr>
        <w:t>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w:t>
      </w:r>
      <w:r>
        <w:rPr>
          <w:rFonts w:ascii="宋体" w:hAnsi="宋体" w:cs="宋体"/>
          <w:sz w:val="24"/>
        </w:rPr>
        <w:t xml:space="preserve"> </w:t>
      </w:r>
      <w:r>
        <w:rPr>
          <w:rFonts w:hint="eastAsia" w:ascii="宋体" w:hAnsi="宋体" w:cs="宋体"/>
          <w:sz w:val="24"/>
        </w:rPr>
        <w:t>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w:t>
      </w:r>
      <w:r>
        <w:rPr>
          <w:rFonts w:ascii="宋体" w:hAnsi="宋体" w:cs="宋体"/>
          <w:sz w:val="24"/>
        </w:rPr>
        <w:t xml:space="preserve"> </w:t>
      </w:r>
      <w:r>
        <w:rPr>
          <w:rFonts w:hint="eastAsia" w:ascii="宋体" w:hAnsi="宋体" w:cs="宋体"/>
          <w:sz w:val="24"/>
        </w:rPr>
        <w:t>公告期限为1个工作日。</w:t>
      </w:r>
    </w:p>
    <w:p>
      <w:pPr>
        <w:snapToGrid w:val="0"/>
        <w:spacing w:line="360" w:lineRule="auto"/>
        <w:ind w:left="120" w:leftChars="57" w:firstLine="482" w:firstLineChars="150"/>
        <w:jc w:val="center"/>
        <w:outlineLvl w:val="1"/>
        <w:rPr>
          <w:rFonts w:ascii="宋体" w:hAnsi="宋体" w:cs="宋体"/>
          <w:b/>
          <w:sz w:val="32"/>
        </w:rPr>
      </w:pPr>
    </w:p>
    <w:p>
      <w:pPr>
        <w:snapToGrid w:val="0"/>
        <w:spacing w:line="360" w:lineRule="auto"/>
        <w:jc w:val="center"/>
        <w:outlineLvl w:val="1"/>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24. 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w:t>
      </w:r>
      <w:r>
        <w:rPr>
          <w:rFonts w:ascii="宋体" w:hAnsi="宋体" w:cs="宋体"/>
          <w:kern w:val="0"/>
          <w:lang w:val="zh-CN"/>
        </w:rPr>
        <w:t xml:space="preserve"> </w:t>
      </w:r>
      <w:r>
        <w:rPr>
          <w:rFonts w:hint="eastAsia" w:ascii="宋体" w:hAnsi="宋体" w:cs="宋体"/>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w:t>
      </w:r>
      <w:r>
        <w:rPr>
          <w:rFonts w:ascii="宋体" w:hAnsi="宋体" w:cs="宋体"/>
        </w:rPr>
        <w:t xml:space="preserve"> </w:t>
      </w:r>
      <w:r>
        <w:rPr>
          <w:rFonts w:hint="eastAsia" w:ascii="宋体" w:hAnsi="宋体" w:cs="宋体"/>
        </w:rPr>
        <w:t>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w:t>
      </w:r>
      <w:r>
        <w:rPr>
          <w:rFonts w:ascii="宋体" w:hAnsi="宋体" w:cs="宋体"/>
        </w:rPr>
        <w:t xml:space="preserve"> </w:t>
      </w:r>
      <w:r>
        <w:rPr>
          <w:rFonts w:hint="eastAsia" w:ascii="宋体" w:hAnsi="宋体" w:cs="宋体"/>
        </w:rPr>
        <w:t>中标供应商拒绝与采购人签订合同的，采购人可以按照评审报告推荐的中标或者成交候选人名单排序，确定下一候选人为中标供应商，也可以重新开展政府采购活动。</w:t>
      </w:r>
    </w:p>
    <w:p>
      <w:pPr>
        <w:pStyle w:val="128"/>
        <w:snapToGrid w:val="0"/>
        <w:spacing w:before="0"/>
        <w:ind w:firstLine="480"/>
        <w:rPr>
          <w:rFonts w:ascii="宋体" w:hAnsi="宋体" w:cs="宋体"/>
        </w:rPr>
      </w:pPr>
      <w:r>
        <w:rPr>
          <w:rFonts w:hint="eastAsia" w:ascii="宋体" w:hAnsi="宋体" w:cs="宋体"/>
        </w:rPr>
        <w:t>25.5</w:t>
      </w:r>
      <w:r>
        <w:rPr>
          <w:rFonts w:ascii="宋体" w:hAnsi="宋体" w:cs="宋体"/>
        </w:rPr>
        <w:t xml:space="preserve"> </w:t>
      </w:r>
      <w:r>
        <w:rPr>
          <w:rFonts w:hint="eastAsia" w:ascii="宋体" w:hAnsi="宋体" w:cs="宋体"/>
        </w:rPr>
        <w:t>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tabs>
          <w:tab w:val="left" w:pos="0"/>
        </w:tabs>
        <w:spacing w:line="360" w:lineRule="auto"/>
        <w:ind w:firstLine="482"/>
        <w:rPr>
          <w:rFonts w:ascii="宋体" w:hAnsi="宋体" w:cs="宋体"/>
          <w:kern w:val="0"/>
          <w:sz w:val="24"/>
        </w:rPr>
      </w:pPr>
      <w:r>
        <w:rPr>
          <w:rFonts w:hint="eastAsia" w:ascii="宋体" w:hAnsi="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jc w:val="center"/>
        <w:outlineLvl w:val="1"/>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b/>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28.</w:t>
      </w:r>
      <w:r>
        <w:rPr>
          <w:rFonts w:ascii="宋体" w:hAnsi="宋体" w:cs="宋体"/>
        </w:rPr>
        <w:t xml:space="preserve"> </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jc w:val="center"/>
        <w:outlineLvl w:val="1"/>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w:t>
      </w:r>
      <w:r>
        <w:rPr>
          <w:rFonts w:ascii="宋体" w:hAnsi="宋体" w:cs="宋体"/>
          <w:kern w:val="0"/>
          <w:sz w:val="24"/>
        </w:rPr>
        <w:t xml:space="preserve"> </w:t>
      </w:r>
      <w:r>
        <w:rPr>
          <w:rFonts w:hint="eastAsia" w:ascii="宋体" w:hAnsi="宋体" w:cs="宋体"/>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w:t>
      </w:r>
      <w:r>
        <w:rPr>
          <w:rFonts w:ascii="宋体" w:hAnsi="宋体" w:cs="宋体"/>
          <w:kern w:val="0"/>
          <w:sz w:val="24"/>
        </w:rPr>
        <w:t xml:space="preserve"> </w:t>
      </w:r>
      <w:r>
        <w:rPr>
          <w:rFonts w:hint="eastAsia" w:ascii="宋体" w:hAnsi="宋体" w:cs="宋体"/>
          <w:kern w:val="0"/>
          <w:sz w:val="24"/>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w:t>
      </w:r>
      <w:r>
        <w:rPr>
          <w:rFonts w:ascii="宋体" w:hAnsi="宋体" w:cs="宋体"/>
          <w:kern w:val="0"/>
          <w:sz w:val="24"/>
        </w:rPr>
        <w:t xml:space="preserve"> </w:t>
      </w:r>
      <w:r>
        <w:rPr>
          <w:rFonts w:hint="eastAsia" w:ascii="宋体" w:hAnsi="宋体" w:cs="宋体"/>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w:t>
      </w:r>
      <w:r>
        <w:rPr>
          <w:rFonts w:ascii="宋体" w:hAnsi="宋体" w:cs="宋体"/>
          <w:kern w:val="0"/>
          <w:sz w:val="24"/>
        </w:rPr>
        <w:t xml:space="preserve"> </w:t>
      </w:r>
      <w:r>
        <w:rPr>
          <w:rFonts w:hint="eastAsia" w:ascii="宋体" w:hAnsi="宋体" w:cs="宋体"/>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30295"/>
      <w:bookmarkEnd w:id="19"/>
      <w:bookmarkStart w:id="20" w:name="_Hlt75236101"/>
      <w:bookmarkEnd w:id="20"/>
      <w:bookmarkStart w:id="21" w:name="_Hlt68073093"/>
      <w:bookmarkEnd w:id="21"/>
      <w:bookmarkStart w:id="22" w:name="_Hlt68072990"/>
      <w:bookmarkEnd w:id="22"/>
      <w:bookmarkStart w:id="23" w:name="_Hlt75236011"/>
      <w:bookmarkEnd w:id="23"/>
      <w:bookmarkStart w:id="24" w:name="_Hlt75236290"/>
      <w:bookmarkEnd w:id="24"/>
      <w:bookmarkStart w:id="25" w:name="_Hlt68072998"/>
      <w:bookmarkEnd w:id="25"/>
      <w:bookmarkStart w:id="26" w:name="_Hlt74707468"/>
      <w:bookmarkEnd w:id="26"/>
      <w:bookmarkStart w:id="27" w:name="_Hlt74714665"/>
      <w:bookmarkEnd w:id="27"/>
      <w:bookmarkStart w:id="28" w:name="_Hlt74729768"/>
      <w:bookmarkEnd w:id="28"/>
      <w:bookmarkStart w:id="29" w:name="_Hlt68403820"/>
      <w:bookmarkEnd w:id="29"/>
      <w:bookmarkStart w:id="30" w:name="_Hlt68057669"/>
      <w:bookmarkEnd w:id="30"/>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w:t>
      </w:r>
      <w:r>
        <w:rPr>
          <w:rFonts w:ascii="宋体" w:hAnsi="宋体" w:cs="宋体"/>
          <w:b/>
          <w:sz w:val="36"/>
          <w:szCs w:val="36"/>
        </w:rPr>
        <w:t xml:space="preserve"> </w:t>
      </w:r>
      <w:r>
        <w:rPr>
          <w:rFonts w:hint="eastAsia" w:ascii="宋体" w:hAnsi="宋体" w:cs="宋体"/>
          <w:b/>
          <w:sz w:val="36"/>
          <w:szCs w:val="36"/>
        </w:rPr>
        <w:t>采购需求</w:t>
      </w:r>
    </w:p>
    <w:p/>
    <w:p>
      <w:pPr>
        <w:spacing w:before="120" w:beforeLines="50" w:after="120" w:afterLines="50" w:line="360" w:lineRule="auto"/>
        <w:jc w:val="left"/>
        <w:rPr>
          <w:rFonts w:ascii="宋体" w:hAnsi="宋体" w:cs="宋体"/>
          <w:b/>
          <w:bCs/>
          <w:snapToGrid w:val="0"/>
          <w:kern w:val="0"/>
          <w:sz w:val="24"/>
          <w:lang w:val="zh-CN"/>
        </w:rPr>
      </w:pPr>
      <w:r>
        <w:rPr>
          <w:rFonts w:hint="eastAsia" w:ascii="宋体" w:hAnsi="宋体" w:cs="宋体"/>
          <w:b/>
          <w:bCs/>
          <w:snapToGrid w:val="0"/>
          <w:kern w:val="0"/>
          <w:sz w:val="24"/>
          <w:lang w:val="zh-CN"/>
        </w:rPr>
        <w:t>属于实质性要求条款的，已用符号“▲”标明，否则属于非实质性要求。</w:t>
      </w:r>
    </w:p>
    <w:p>
      <w:pPr>
        <w:spacing w:line="360" w:lineRule="auto"/>
        <w:rPr>
          <w:rFonts w:ascii="宋体" w:hAnsi="宋体" w:cs="宋体"/>
          <w:b/>
          <w:sz w:val="24"/>
        </w:rPr>
      </w:pPr>
      <w:r>
        <w:rPr>
          <w:rFonts w:hint="eastAsia" w:ascii="宋体" w:hAnsi="宋体" w:cs="宋体"/>
          <w:b/>
          <w:bCs/>
          <w:snapToGrid w:val="0"/>
          <w:kern w:val="0"/>
          <w:sz w:val="24"/>
          <w:lang w:val="zh-CN"/>
        </w:rPr>
        <w:t>“★”系产品采购项目中单一产品或核心产品。</w:t>
      </w:r>
    </w:p>
    <w:p>
      <w:pPr>
        <w:tabs>
          <w:tab w:val="left" w:pos="0"/>
        </w:tabs>
        <w:spacing w:line="360" w:lineRule="auto"/>
        <w:rPr>
          <w:rFonts w:ascii="宋体" w:hAnsi="宋体" w:cs="宋体"/>
          <w:kern w:val="0"/>
          <w:sz w:val="24"/>
        </w:rPr>
      </w:pPr>
    </w:p>
    <w:p>
      <w:pPr>
        <w:pStyle w:val="2"/>
        <w:spacing w:before="120" w:after="120"/>
        <w:ind w:left="0" w:firstLine="0"/>
        <w:rPr>
          <w:rFonts w:ascii="宋体" w:hAnsi="宋体" w:eastAsia="宋体" w:cs="宋体"/>
          <w:sz w:val="24"/>
          <w:szCs w:val="24"/>
        </w:rPr>
      </w:pPr>
      <w:bookmarkStart w:id="32" w:name="_Toc25476"/>
      <w:r>
        <w:rPr>
          <w:rFonts w:hint="eastAsia" w:ascii="宋体" w:hAnsi="宋体" w:eastAsia="宋体" w:cs="宋体"/>
          <w:sz w:val="24"/>
          <w:szCs w:val="24"/>
        </w:rPr>
        <w:t>一、项目概述</w:t>
      </w:r>
      <w:bookmarkEnd w:id="32"/>
    </w:p>
    <w:p>
      <w:pPr>
        <w:pStyle w:val="23"/>
        <w:ind w:firstLine="480" w:firstLineChars="200"/>
        <w:rPr>
          <w:rFonts w:hAnsi="宋体" w:cs="宋体"/>
          <w:bCs/>
        </w:rPr>
      </w:pPr>
      <w:r>
        <w:rPr>
          <w:rFonts w:hint="eastAsia" w:hAnsi="宋体" w:cs="仿宋_GB2312"/>
          <w:snapToGrid/>
          <w:szCs w:val="24"/>
          <w:lang w:val="en-US"/>
        </w:rPr>
        <w:t>杭州市拱墅区部分学校剧场椅采购项目（重新招标）主要内容：杭州市拱墅区青少年活动中心、杭州市大关实验中学、杭州市胜蓝中学、杭州市文晖实验学校、杭州市育才大城北学校，五个单位所需的剧场椅</w:t>
      </w:r>
      <w:r>
        <w:rPr>
          <w:rFonts w:hAnsi="宋体" w:cs="仿宋_GB2312"/>
          <w:snapToGrid/>
          <w:szCs w:val="24"/>
          <w:lang w:val="en-US"/>
        </w:rPr>
        <w:t>1545</w:t>
      </w:r>
      <w:r>
        <w:rPr>
          <w:rFonts w:hint="eastAsia" w:hAnsi="宋体" w:cs="仿宋_GB2312"/>
          <w:snapToGrid/>
          <w:szCs w:val="24"/>
          <w:lang w:val="en-US"/>
        </w:rPr>
        <w:t>张，包括剧场椅的设计、制造、运输、安装、调试、验收配合、售后服务以及其他伴随服务等。</w:t>
      </w:r>
    </w:p>
    <w:p>
      <w:pPr>
        <w:pStyle w:val="23"/>
        <w:rPr>
          <w:rFonts w:hAnsi="宋体" w:cs="宋体"/>
          <w:bCs/>
          <w:snapToGrid/>
          <w:szCs w:val="24"/>
        </w:rPr>
      </w:pPr>
    </w:p>
    <w:p>
      <w:pPr>
        <w:widowControl/>
        <w:spacing w:line="360" w:lineRule="auto"/>
        <w:jc w:val="left"/>
        <w:rPr>
          <w:sz w:val="24"/>
        </w:rPr>
      </w:pPr>
      <w:r>
        <w:rPr>
          <w:rFonts w:hint="eastAsia" w:ascii="宋体" w:hAnsi="宋体" w:cs="宋体"/>
          <w:b/>
          <w:bCs/>
          <w:kern w:val="0"/>
          <w:sz w:val="24"/>
          <w:lang w:bidi="ar"/>
        </w:rPr>
        <w:t>二、需执行的国家相关标准、行业标准、地方标准或者其他标准、规范</w:t>
      </w:r>
    </w:p>
    <w:p>
      <w:pPr>
        <w:widowControl/>
        <w:spacing w:line="360" w:lineRule="auto"/>
        <w:ind w:firstLine="480" w:firstLineChars="200"/>
        <w:jc w:val="left"/>
        <w:rPr>
          <w:sz w:val="24"/>
        </w:rPr>
      </w:pPr>
      <w:r>
        <w:rPr>
          <w:rFonts w:hint="eastAsia" w:ascii="宋体" w:hAnsi="宋体" w:cs="宋体"/>
          <w:kern w:val="0"/>
          <w:sz w:val="24"/>
          <w:lang w:bidi="ar"/>
        </w:rPr>
        <w:t>如有未特别注明需执行的国家相关标准、行业标准、地方标准或者其他标准、规范，则统一执行最新标准、规范。</w:t>
      </w:r>
    </w:p>
    <w:p>
      <w:pPr>
        <w:pStyle w:val="23"/>
        <w:ind w:firstLine="480" w:firstLineChars="200"/>
        <w:rPr>
          <w:rFonts w:hAnsi="宋体" w:cs="仿宋_GB2312"/>
          <w:snapToGrid/>
          <w:szCs w:val="24"/>
          <w:highlight w:val="yellow"/>
          <w:lang w:val="en-US"/>
        </w:rPr>
      </w:pPr>
      <w:r>
        <w:rPr>
          <w:rFonts w:hint="eastAsia" w:hAnsi="宋体" w:cs="仿宋_GB2312"/>
          <w:snapToGrid/>
          <w:szCs w:val="24"/>
          <w:lang w:val="en-US"/>
        </w:rPr>
        <w:t>QB/T 2602-2013 影剧院公共座椅</w:t>
      </w:r>
    </w:p>
    <w:p>
      <w:pPr>
        <w:pStyle w:val="60"/>
        <w:ind w:firstLine="482"/>
        <w:rPr>
          <w:rFonts w:hAnsi="宋体" w:cs="宋体"/>
          <w:b/>
          <w:bCs/>
          <w:szCs w:val="24"/>
        </w:rPr>
      </w:pPr>
    </w:p>
    <w:p>
      <w:pPr>
        <w:pStyle w:val="60"/>
        <w:ind w:firstLine="0"/>
        <w:rPr>
          <w:rFonts w:hAnsi="宋体" w:cs="宋体"/>
          <w:b/>
          <w:bCs/>
          <w:szCs w:val="24"/>
        </w:rPr>
      </w:pPr>
      <w:r>
        <w:rPr>
          <w:rFonts w:hint="eastAsia" w:hAnsi="宋体" w:cs="宋体"/>
          <w:b/>
          <w:bCs/>
          <w:szCs w:val="24"/>
        </w:rPr>
        <w:t>三、采购清单</w:t>
      </w:r>
    </w:p>
    <w:tbl>
      <w:tblPr>
        <w:tblStyle w:val="63"/>
        <w:tblW w:w="52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849"/>
        <w:gridCol w:w="2237"/>
        <w:gridCol w:w="1143"/>
        <w:gridCol w:w="3606"/>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vAlign w:val="center"/>
          </w:tcPr>
          <w:p>
            <w:pPr>
              <w:jc w:val="center"/>
              <w:rPr>
                <w:rFonts w:ascii="宋体" w:hAnsi="宋体" w:cs="宋体"/>
                <w:b/>
                <w:bCs/>
                <w:szCs w:val="21"/>
              </w:rPr>
            </w:pPr>
            <w:r>
              <w:rPr>
                <w:rFonts w:hint="eastAsia" w:ascii="宋体" w:hAnsi="宋体" w:cs="宋体"/>
                <w:b/>
                <w:bCs/>
                <w:szCs w:val="21"/>
              </w:rPr>
              <w:t>序号</w:t>
            </w:r>
          </w:p>
        </w:tc>
        <w:tc>
          <w:tcPr>
            <w:tcW w:w="473" w:type="pct"/>
            <w:vAlign w:val="center"/>
          </w:tcPr>
          <w:p>
            <w:pPr>
              <w:jc w:val="center"/>
              <w:rPr>
                <w:rFonts w:ascii="宋体" w:hAnsi="宋体" w:cs="宋体"/>
                <w:b/>
                <w:bCs/>
                <w:szCs w:val="21"/>
              </w:rPr>
            </w:pPr>
            <w:r>
              <w:rPr>
                <w:rFonts w:hint="eastAsia" w:ascii="宋体" w:hAnsi="宋体" w:cs="宋体"/>
                <w:b/>
                <w:bCs/>
                <w:szCs w:val="21"/>
              </w:rPr>
              <w:t>名称</w:t>
            </w:r>
          </w:p>
        </w:tc>
        <w:tc>
          <w:tcPr>
            <w:tcW w:w="1247" w:type="pct"/>
            <w:vAlign w:val="center"/>
          </w:tcPr>
          <w:p>
            <w:pPr>
              <w:jc w:val="center"/>
              <w:rPr>
                <w:rFonts w:ascii="宋体" w:hAnsi="宋体" w:cs="宋体"/>
                <w:b/>
                <w:bCs/>
                <w:szCs w:val="21"/>
              </w:rPr>
            </w:pPr>
            <w:r>
              <w:rPr>
                <w:rFonts w:hint="eastAsia" w:ascii="宋体" w:hAnsi="宋体" w:cs="宋体"/>
                <w:b/>
                <w:bCs/>
                <w:szCs w:val="21"/>
              </w:rPr>
              <w:t>结构及功能示意图</w:t>
            </w:r>
          </w:p>
        </w:tc>
        <w:tc>
          <w:tcPr>
            <w:tcW w:w="2647" w:type="pct"/>
            <w:gridSpan w:val="2"/>
            <w:vAlign w:val="center"/>
          </w:tcPr>
          <w:p>
            <w:pPr>
              <w:jc w:val="center"/>
              <w:rPr>
                <w:rFonts w:ascii="宋体" w:hAnsi="宋体" w:cs="宋体"/>
                <w:b/>
                <w:bCs/>
                <w:szCs w:val="21"/>
              </w:rPr>
            </w:pPr>
            <w:r>
              <w:rPr>
                <w:rFonts w:hint="eastAsia" w:ascii="宋体" w:hAnsi="宋体" w:cs="宋体"/>
                <w:b/>
                <w:bCs/>
                <w:szCs w:val="21"/>
              </w:rPr>
              <w:t>材质工艺要求</w:t>
            </w:r>
          </w:p>
        </w:tc>
        <w:tc>
          <w:tcPr>
            <w:tcW w:w="354" w:type="pct"/>
            <w:vAlign w:val="center"/>
          </w:tcPr>
          <w:p>
            <w:pPr>
              <w:jc w:val="center"/>
              <w:rPr>
                <w:rFonts w:ascii="宋体" w:hAnsi="宋体" w:cs="宋体"/>
                <w:b/>
                <w:bCs/>
                <w:szCs w:val="21"/>
              </w:rPr>
            </w:pPr>
            <w:r>
              <w:rPr>
                <w:rFonts w:hint="eastAsia" w:ascii="宋体" w:hAnsi="宋体" w:cs="宋体"/>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vMerge w:val="restart"/>
            <w:vAlign w:val="center"/>
          </w:tcPr>
          <w:p>
            <w:pPr>
              <w:jc w:val="center"/>
              <w:rPr>
                <w:rFonts w:ascii="宋体" w:hAnsi="宋体" w:cs="宋体"/>
                <w:szCs w:val="21"/>
              </w:rPr>
            </w:pPr>
            <w:r>
              <w:rPr>
                <w:rFonts w:hint="eastAsia" w:ascii="宋体" w:hAnsi="宋体" w:cs="宋体"/>
                <w:szCs w:val="21"/>
              </w:rPr>
              <w:t>1</w:t>
            </w:r>
          </w:p>
        </w:tc>
        <w:tc>
          <w:tcPr>
            <w:tcW w:w="473" w:type="pct"/>
            <w:vMerge w:val="restart"/>
            <w:vAlign w:val="center"/>
          </w:tcPr>
          <w:p>
            <w:pPr>
              <w:jc w:val="center"/>
              <w:rPr>
                <w:rFonts w:ascii="宋体" w:hAnsi="宋体" w:cs="宋体"/>
                <w:szCs w:val="21"/>
              </w:rPr>
            </w:pPr>
            <w:r>
              <w:rPr>
                <w:rFonts w:hint="eastAsia" w:ascii="宋体" w:hAnsi="宋体" w:cs="宋体"/>
                <w:b/>
                <w:bCs/>
                <w:snapToGrid w:val="0"/>
                <w:kern w:val="0"/>
                <w:sz w:val="24"/>
                <w:lang w:val="zh-CN"/>
              </w:rPr>
              <w:t>★</w:t>
            </w:r>
            <w:r>
              <w:rPr>
                <w:rFonts w:hint="eastAsia" w:ascii="宋体" w:hAnsi="宋体" w:cs="宋体"/>
                <w:szCs w:val="21"/>
              </w:rPr>
              <w:t>剧场椅</w:t>
            </w:r>
          </w:p>
        </w:tc>
        <w:tc>
          <w:tcPr>
            <w:tcW w:w="1247" w:type="pct"/>
            <w:vMerge w:val="restart"/>
            <w:vAlign w:val="center"/>
          </w:tcPr>
          <w:p>
            <w:pPr>
              <w:pStyle w:val="23"/>
              <w:spacing w:line="240" w:lineRule="auto"/>
              <w:rPr>
                <w:rFonts w:hAnsi="宋体" w:cs="宋体"/>
                <w:sz w:val="21"/>
              </w:rPr>
            </w:pPr>
          </w:p>
          <w:p>
            <w:pPr>
              <w:pStyle w:val="60"/>
              <w:spacing w:line="240" w:lineRule="auto"/>
              <w:ind w:firstLine="0"/>
              <w:rPr>
                <w:rFonts w:hAnsi="宋体" w:cs="宋体"/>
                <w:sz w:val="21"/>
                <w:szCs w:val="21"/>
              </w:rPr>
            </w:pPr>
            <w:r>
              <w:rPr>
                <w:rFonts w:hint="eastAsia" w:hAnsi="宋体" w:cs="宋体"/>
                <w:sz w:val="21"/>
                <w:szCs w:val="21"/>
              </w:rPr>
              <w:drawing>
                <wp:inline distT="0" distB="0" distL="114300" distR="114300">
                  <wp:extent cx="1273175" cy="635000"/>
                  <wp:effectExtent l="0" t="0" r="3175" b="12700"/>
                  <wp:docPr id="8" name="图片 8"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2"/>
                          <pic:cNvPicPr>
                            <a:picLocks noChangeAspect="1"/>
                          </pic:cNvPicPr>
                        </pic:nvPicPr>
                        <pic:blipFill>
                          <a:blip r:embed="rId26"/>
                          <a:stretch>
                            <a:fillRect/>
                          </a:stretch>
                        </pic:blipFill>
                        <pic:spPr>
                          <a:xfrm>
                            <a:off x="0" y="0"/>
                            <a:ext cx="1273175" cy="635000"/>
                          </a:xfrm>
                          <a:prstGeom prst="rect">
                            <a:avLst/>
                          </a:prstGeom>
                        </pic:spPr>
                      </pic:pic>
                    </a:graphicData>
                  </a:graphic>
                </wp:inline>
              </w:drawing>
            </w:r>
          </w:p>
          <w:p>
            <w:pPr>
              <w:pStyle w:val="60"/>
              <w:spacing w:line="240" w:lineRule="auto"/>
              <w:rPr>
                <w:rFonts w:hAnsi="宋体" w:cs="宋体"/>
                <w:sz w:val="21"/>
                <w:szCs w:val="21"/>
              </w:rPr>
            </w:pPr>
          </w:p>
        </w:tc>
        <w:tc>
          <w:tcPr>
            <w:tcW w:w="637" w:type="pct"/>
            <w:vAlign w:val="center"/>
          </w:tcPr>
          <w:p>
            <w:pPr>
              <w:jc w:val="center"/>
              <w:rPr>
                <w:rFonts w:ascii="宋体" w:hAnsi="宋体" w:cs="宋体"/>
                <w:szCs w:val="21"/>
              </w:rPr>
            </w:pPr>
            <w:r>
              <w:rPr>
                <w:rFonts w:hint="eastAsia" w:ascii="宋体" w:hAnsi="宋体" w:cs="宋体"/>
                <w:b/>
                <w:szCs w:val="21"/>
              </w:rPr>
              <w:t>椅背</w:t>
            </w:r>
          </w:p>
        </w:tc>
        <w:tc>
          <w:tcPr>
            <w:tcW w:w="2010" w:type="pct"/>
            <w:vAlign w:val="center"/>
          </w:tcPr>
          <w:p>
            <w:pPr>
              <w:rPr>
                <w:rFonts w:ascii="宋体" w:hAnsi="宋体" w:cs="宋体"/>
                <w:szCs w:val="21"/>
              </w:rPr>
            </w:pPr>
            <w:r>
              <w:rPr>
                <w:rFonts w:hint="eastAsia" w:ascii="宋体" w:hAnsi="宋体" w:cs="宋体"/>
                <w:szCs w:val="21"/>
              </w:rPr>
              <w:t>背海绵：采用高密度冷发泡定型绵，密度50kg/m</w:t>
            </w:r>
            <w:r>
              <w:rPr>
                <w:rFonts w:hint="eastAsia" w:ascii="宋体" w:hAnsi="宋体" w:cs="宋体"/>
                <w:szCs w:val="21"/>
                <w:vertAlign w:val="superscript"/>
              </w:rPr>
              <w:t>3</w:t>
            </w:r>
            <w:r>
              <w:rPr>
                <w:rFonts w:hint="eastAsia" w:ascii="宋体" w:hAnsi="宋体" w:cs="宋体"/>
                <w:szCs w:val="21"/>
              </w:rPr>
              <w:t>。</w:t>
            </w:r>
          </w:p>
          <w:p>
            <w:pPr>
              <w:rPr>
                <w:rFonts w:ascii="宋体" w:hAnsi="宋体" w:cs="宋体"/>
                <w:szCs w:val="21"/>
              </w:rPr>
            </w:pPr>
            <w:r>
              <w:rPr>
                <w:rFonts w:hint="eastAsia" w:ascii="宋体" w:hAnsi="宋体" w:cs="宋体"/>
                <w:szCs w:val="21"/>
              </w:rPr>
              <w:t>背内板：采用E1级多层板经模具成型，具有曲线。</w:t>
            </w:r>
          </w:p>
          <w:p>
            <w:pPr>
              <w:rPr>
                <w:rFonts w:ascii="宋体" w:hAnsi="宋体" w:cs="宋体"/>
                <w:szCs w:val="21"/>
              </w:rPr>
            </w:pPr>
            <w:r>
              <w:rPr>
                <w:rFonts w:hint="eastAsia" w:ascii="宋体" w:hAnsi="宋体" w:cs="宋体"/>
                <w:szCs w:val="21"/>
              </w:rPr>
              <w:t>背外板：采用E1级多层板，厚度15mm，表面压榉木木皮，经高周波，高压制成。油漆颜色可选择。</w:t>
            </w:r>
          </w:p>
        </w:tc>
        <w:tc>
          <w:tcPr>
            <w:tcW w:w="354" w:type="pct"/>
            <w:vMerge w:val="restart"/>
            <w:vAlign w:val="center"/>
          </w:tcPr>
          <w:p>
            <w:pPr>
              <w:jc w:val="center"/>
              <w:rPr>
                <w:rFonts w:ascii="宋体" w:hAnsi="宋体" w:cs="宋体"/>
                <w:szCs w:val="21"/>
              </w:rPr>
            </w:pPr>
            <w:r>
              <w:rPr>
                <w:rFonts w:ascii="宋体" w:hAnsi="宋体" w:cs="宋体"/>
                <w:szCs w:val="21"/>
              </w:rPr>
              <w:t>1545</w:t>
            </w:r>
            <w:r>
              <w:rPr>
                <w:rFonts w:hint="eastAsia" w:ascii="宋体" w:hAnsi="宋体" w:cs="宋体"/>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vMerge w:val="continue"/>
            <w:vAlign w:val="center"/>
          </w:tcPr>
          <w:p>
            <w:pPr>
              <w:jc w:val="center"/>
              <w:rPr>
                <w:rFonts w:ascii="宋体" w:hAnsi="宋体" w:cs="宋体"/>
                <w:szCs w:val="21"/>
              </w:rPr>
            </w:pPr>
          </w:p>
        </w:tc>
        <w:tc>
          <w:tcPr>
            <w:tcW w:w="473" w:type="pct"/>
            <w:vMerge w:val="continue"/>
            <w:vAlign w:val="center"/>
          </w:tcPr>
          <w:p>
            <w:pPr>
              <w:jc w:val="center"/>
              <w:rPr>
                <w:rFonts w:ascii="宋体" w:hAnsi="宋体" w:cs="宋体"/>
                <w:szCs w:val="21"/>
              </w:rPr>
            </w:pPr>
          </w:p>
        </w:tc>
        <w:tc>
          <w:tcPr>
            <w:tcW w:w="1247" w:type="pct"/>
            <w:vMerge w:val="continue"/>
            <w:vAlign w:val="center"/>
          </w:tcPr>
          <w:p>
            <w:pPr>
              <w:pStyle w:val="60"/>
              <w:spacing w:line="240" w:lineRule="auto"/>
              <w:rPr>
                <w:rFonts w:hAnsi="宋体" w:cs="宋体"/>
                <w:sz w:val="21"/>
                <w:szCs w:val="21"/>
              </w:rPr>
            </w:pPr>
          </w:p>
        </w:tc>
        <w:tc>
          <w:tcPr>
            <w:tcW w:w="637" w:type="pct"/>
            <w:vAlign w:val="center"/>
          </w:tcPr>
          <w:p>
            <w:pPr>
              <w:jc w:val="center"/>
              <w:rPr>
                <w:rFonts w:ascii="宋体" w:hAnsi="宋体" w:cs="宋体"/>
                <w:szCs w:val="21"/>
              </w:rPr>
            </w:pPr>
            <w:r>
              <w:rPr>
                <w:rFonts w:hint="eastAsia" w:ascii="宋体" w:hAnsi="宋体" w:cs="宋体"/>
                <w:b/>
                <w:szCs w:val="21"/>
              </w:rPr>
              <w:t>椅座</w:t>
            </w:r>
          </w:p>
        </w:tc>
        <w:tc>
          <w:tcPr>
            <w:tcW w:w="2010" w:type="pct"/>
            <w:vAlign w:val="center"/>
          </w:tcPr>
          <w:p>
            <w:pPr>
              <w:rPr>
                <w:rFonts w:ascii="宋体" w:hAnsi="宋体" w:cs="宋体"/>
                <w:szCs w:val="21"/>
              </w:rPr>
            </w:pPr>
            <w:r>
              <w:rPr>
                <w:rFonts w:hint="eastAsia" w:ascii="宋体" w:hAnsi="宋体" w:cs="宋体"/>
                <w:szCs w:val="21"/>
              </w:rPr>
              <w:t>座海绵：采用高密度冷发泡定型绵，密度50kg/m</w:t>
            </w:r>
            <w:r>
              <w:rPr>
                <w:rFonts w:hint="eastAsia" w:ascii="宋体" w:hAnsi="宋体" w:cs="宋体"/>
                <w:szCs w:val="21"/>
                <w:vertAlign w:val="superscript"/>
              </w:rPr>
              <w:t>3</w:t>
            </w:r>
            <w:r>
              <w:rPr>
                <w:rFonts w:hint="eastAsia" w:ascii="宋体" w:hAnsi="宋体" w:cs="宋体"/>
                <w:szCs w:val="21"/>
              </w:rPr>
              <w:t>。</w:t>
            </w:r>
          </w:p>
          <w:p>
            <w:pPr>
              <w:rPr>
                <w:rFonts w:ascii="宋体" w:hAnsi="宋体" w:cs="宋体"/>
                <w:szCs w:val="21"/>
              </w:rPr>
            </w:pPr>
            <w:r>
              <w:rPr>
                <w:rFonts w:hint="eastAsia" w:ascii="宋体" w:hAnsi="宋体" w:cs="宋体"/>
                <w:szCs w:val="21"/>
              </w:rPr>
              <w:t>座框架：采用1.5mm厚冷轧钢板，铁框+夹板结构。</w:t>
            </w:r>
          </w:p>
          <w:p>
            <w:pPr>
              <w:rPr>
                <w:rFonts w:ascii="宋体" w:hAnsi="宋体" w:cs="宋体"/>
                <w:szCs w:val="21"/>
              </w:rPr>
            </w:pPr>
            <w:r>
              <w:rPr>
                <w:rFonts w:hint="eastAsia" w:ascii="宋体" w:hAnsi="宋体" w:cs="宋体"/>
                <w:szCs w:val="21"/>
              </w:rPr>
              <w:t>座外板：采用E1级多层板，厚度15mm，表面压榉木木皮，经高周波，高压制成。附蜂窝式吸音气孔，整体吸音率0.5。油漆颜色可选择。</w:t>
            </w:r>
          </w:p>
        </w:tc>
        <w:tc>
          <w:tcPr>
            <w:tcW w:w="354" w:type="pct"/>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vMerge w:val="continue"/>
            <w:vAlign w:val="center"/>
          </w:tcPr>
          <w:p>
            <w:pPr>
              <w:jc w:val="center"/>
              <w:rPr>
                <w:rFonts w:ascii="宋体" w:hAnsi="宋体" w:cs="宋体"/>
                <w:szCs w:val="21"/>
              </w:rPr>
            </w:pPr>
          </w:p>
        </w:tc>
        <w:tc>
          <w:tcPr>
            <w:tcW w:w="473" w:type="pct"/>
            <w:vMerge w:val="continue"/>
            <w:vAlign w:val="center"/>
          </w:tcPr>
          <w:p>
            <w:pPr>
              <w:jc w:val="center"/>
              <w:rPr>
                <w:rFonts w:ascii="宋体" w:hAnsi="宋体" w:cs="宋体"/>
                <w:szCs w:val="21"/>
              </w:rPr>
            </w:pPr>
          </w:p>
        </w:tc>
        <w:tc>
          <w:tcPr>
            <w:tcW w:w="1247" w:type="pct"/>
            <w:vMerge w:val="continue"/>
            <w:vAlign w:val="center"/>
          </w:tcPr>
          <w:p>
            <w:pPr>
              <w:pStyle w:val="60"/>
              <w:spacing w:line="240" w:lineRule="auto"/>
              <w:rPr>
                <w:rFonts w:hAnsi="宋体" w:cs="宋体"/>
                <w:sz w:val="21"/>
                <w:szCs w:val="21"/>
              </w:rPr>
            </w:pPr>
          </w:p>
        </w:tc>
        <w:tc>
          <w:tcPr>
            <w:tcW w:w="637" w:type="pct"/>
            <w:vAlign w:val="center"/>
          </w:tcPr>
          <w:p>
            <w:pPr>
              <w:jc w:val="center"/>
              <w:rPr>
                <w:rFonts w:ascii="宋体" w:hAnsi="宋体" w:cs="宋体"/>
                <w:szCs w:val="21"/>
              </w:rPr>
            </w:pPr>
            <w:r>
              <w:rPr>
                <w:rFonts w:hint="eastAsia" w:ascii="宋体" w:hAnsi="宋体" w:cs="宋体"/>
                <w:b/>
                <w:szCs w:val="21"/>
              </w:rPr>
              <w:t>布料</w:t>
            </w:r>
          </w:p>
        </w:tc>
        <w:tc>
          <w:tcPr>
            <w:tcW w:w="2010" w:type="pct"/>
            <w:vAlign w:val="center"/>
          </w:tcPr>
          <w:p>
            <w:pPr>
              <w:rPr>
                <w:rFonts w:ascii="宋体" w:hAnsi="宋体" w:cs="宋体"/>
                <w:szCs w:val="21"/>
              </w:rPr>
            </w:pPr>
            <w:r>
              <w:rPr>
                <w:rFonts w:hint="eastAsia" w:ascii="宋体" w:hAnsi="宋体" w:cs="宋体"/>
                <w:szCs w:val="21"/>
              </w:rPr>
              <w:t>采用麻绒面料，须进行防潮、防尘、防污处理。颜色可选择。</w:t>
            </w:r>
          </w:p>
        </w:tc>
        <w:tc>
          <w:tcPr>
            <w:tcW w:w="354" w:type="pct"/>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vMerge w:val="continue"/>
            <w:vAlign w:val="center"/>
          </w:tcPr>
          <w:p>
            <w:pPr>
              <w:jc w:val="center"/>
              <w:rPr>
                <w:rFonts w:ascii="宋体" w:hAnsi="宋体" w:cs="宋体"/>
                <w:szCs w:val="21"/>
              </w:rPr>
            </w:pPr>
          </w:p>
        </w:tc>
        <w:tc>
          <w:tcPr>
            <w:tcW w:w="473" w:type="pct"/>
            <w:vMerge w:val="continue"/>
            <w:vAlign w:val="center"/>
          </w:tcPr>
          <w:p>
            <w:pPr>
              <w:jc w:val="center"/>
              <w:rPr>
                <w:rFonts w:ascii="宋体" w:hAnsi="宋体" w:cs="宋体"/>
                <w:szCs w:val="21"/>
              </w:rPr>
            </w:pPr>
          </w:p>
        </w:tc>
        <w:tc>
          <w:tcPr>
            <w:tcW w:w="1247" w:type="pct"/>
            <w:vMerge w:val="continue"/>
            <w:vAlign w:val="center"/>
          </w:tcPr>
          <w:p>
            <w:pPr>
              <w:pStyle w:val="60"/>
              <w:spacing w:line="240" w:lineRule="auto"/>
              <w:rPr>
                <w:rFonts w:hAnsi="宋体" w:cs="宋体"/>
                <w:sz w:val="21"/>
                <w:szCs w:val="21"/>
              </w:rPr>
            </w:pPr>
          </w:p>
        </w:tc>
        <w:tc>
          <w:tcPr>
            <w:tcW w:w="637" w:type="pct"/>
            <w:vAlign w:val="center"/>
          </w:tcPr>
          <w:p>
            <w:pPr>
              <w:jc w:val="center"/>
              <w:rPr>
                <w:rFonts w:ascii="宋体" w:hAnsi="宋体" w:cs="宋体"/>
                <w:szCs w:val="21"/>
              </w:rPr>
            </w:pPr>
            <w:r>
              <w:rPr>
                <w:rFonts w:hint="eastAsia" w:ascii="宋体" w:hAnsi="宋体" w:cs="宋体"/>
                <w:b/>
                <w:szCs w:val="21"/>
              </w:rPr>
              <w:t>扶手脚架</w:t>
            </w:r>
          </w:p>
        </w:tc>
        <w:tc>
          <w:tcPr>
            <w:tcW w:w="2010" w:type="pct"/>
            <w:vAlign w:val="center"/>
          </w:tcPr>
          <w:p>
            <w:pPr>
              <w:rPr>
                <w:rFonts w:ascii="宋体" w:hAnsi="宋体" w:cs="宋体"/>
                <w:szCs w:val="21"/>
              </w:rPr>
            </w:pPr>
            <w:r>
              <w:rPr>
                <w:rFonts w:hint="eastAsia" w:ascii="宋体" w:hAnsi="宋体" w:cs="宋体"/>
                <w:szCs w:val="21"/>
              </w:rPr>
              <w:t>采用铝合金或钢制材质，扶手脚架一体式结构</w:t>
            </w:r>
            <w:r>
              <w:rPr>
                <w:rFonts w:ascii="宋体" w:hAnsi="宋体" w:cs="宋体"/>
                <w:szCs w:val="21"/>
              </w:rPr>
              <w:t xml:space="preserve"> </w:t>
            </w:r>
          </w:p>
        </w:tc>
        <w:tc>
          <w:tcPr>
            <w:tcW w:w="354" w:type="pct"/>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vMerge w:val="continue"/>
            <w:vAlign w:val="center"/>
          </w:tcPr>
          <w:p>
            <w:pPr>
              <w:jc w:val="center"/>
              <w:rPr>
                <w:rFonts w:ascii="宋体" w:hAnsi="宋体" w:cs="宋体"/>
                <w:szCs w:val="21"/>
              </w:rPr>
            </w:pPr>
          </w:p>
        </w:tc>
        <w:tc>
          <w:tcPr>
            <w:tcW w:w="473" w:type="pct"/>
            <w:vMerge w:val="continue"/>
            <w:vAlign w:val="center"/>
          </w:tcPr>
          <w:p>
            <w:pPr>
              <w:jc w:val="center"/>
              <w:rPr>
                <w:rFonts w:ascii="宋体" w:hAnsi="宋体" w:cs="宋体"/>
                <w:szCs w:val="21"/>
              </w:rPr>
            </w:pPr>
          </w:p>
        </w:tc>
        <w:tc>
          <w:tcPr>
            <w:tcW w:w="1247" w:type="pct"/>
            <w:vMerge w:val="continue"/>
            <w:vAlign w:val="center"/>
          </w:tcPr>
          <w:p>
            <w:pPr>
              <w:pStyle w:val="60"/>
              <w:spacing w:line="240" w:lineRule="auto"/>
              <w:rPr>
                <w:rFonts w:hAnsi="宋体" w:cs="宋体"/>
                <w:sz w:val="21"/>
                <w:szCs w:val="21"/>
              </w:rPr>
            </w:pPr>
          </w:p>
        </w:tc>
        <w:tc>
          <w:tcPr>
            <w:tcW w:w="637" w:type="pct"/>
            <w:vAlign w:val="center"/>
          </w:tcPr>
          <w:p>
            <w:pPr>
              <w:jc w:val="center"/>
              <w:rPr>
                <w:rFonts w:ascii="宋体" w:hAnsi="宋体" w:cs="宋体"/>
                <w:szCs w:val="21"/>
              </w:rPr>
            </w:pPr>
            <w:r>
              <w:rPr>
                <w:rFonts w:hint="eastAsia" w:ascii="宋体" w:hAnsi="宋体" w:cs="宋体"/>
                <w:b/>
                <w:szCs w:val="21"/>
              </w:rPr>
              <w:t>扶手面</w:t>
            </w:r>
          </w:p>
        </w:tc>
        <w:tc>
          <w:tcPr>
            <w:tcW w:w="2010" w:type="pct"/>
            <w:vAlign w:val="center"/>
          </w:tcPr>
          <w:p>
            <w:pPr>
              <w:rPr>
                <w:rFonts w:ascii="宋体" w:hAnsi="宋体" w:cs="宋体"/>
                <w:szCs w:val="21"/>
              </w:rPr>
            </w:pPr>
            <w:r>
              <w:rPr>
                <w:rFonts w:hint="eastAsia" w:ascii="宋体" w:hAnsi="宋体" w:cs="宋体"/>
                <w:szCs w:val="21"/>
              </w:rPr>
              <w:t>采用橡木，经三底三面油漆工艺。</w:t>
            </w:r>
          </w:p>
        </w:tc>
        <w:tc>
          <w:tcPr>
            <w:tcW w:w="354" w:type="pct"/>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vMerge w:val="continue"/>
            <w:vAlign w:val="center"/>
          </w:tcPr>
          <w:p>
            <w:pPr>
              <w:jc w:val="center"/>
              <w:rPr>
                <w:rFonts w:ascii="宋体" w:hAnsi="宋体" w:cs="宋体"/>
                <w:szCs w:val="21"/>
              </w:rPr>
            </w:pPr>
          </w:p>
        </w:tc>
        <w:tc>
          <w:tcPr>
            <w:tcW w:w="473" w:type="pct"/>
            <w:vMerge w:val="continue"/>
            <w:vAlign w:val="center"/>
          </w:tcPr>
          <w:p>
            <w:pPr>
              <w:jc w:val="center"/>
              <w:rPr>
                <w:rFonts w:ascii="宋体" w:hAnsi="宋体" w:cs="宋体"/>
                <w:szCs w:val="21"/>
              </w:rPr>
            </w:pPr>
          </w:p>
        </w:tc>
        <w:tc>
          <w:tcPr>
            <w:tcW w:w="1247" w:type="pct"/>
            <w:vMerge w:val="continue"/>
            <w:vAlign w:val="center"/>
          </w:tcPr>
          <w:p>
            <w:pPr>
              <w:pStyle w:val="60"/>
              <w:spacing w:line="240" w:lineRule="auto"/>
              <w:rPr>
                <w:rFonts w:hAnsi="宋体" w:cs="宋体"/>
                <w:sz w:val="21"/>
                <w:szCs w:val="21"/>
              </w:rPr>
            </w:pPr>
          </w:p>
        </w:tc>
        <w:tc>
          <w:tcPr>
            <w:tcW w:w="637" w:type="pct"/>
            <w:vAlign w:val="center"/>
          </w:tcPr>
          <w:p>
            <w:pPr>
              <w:jc w:val="center"/>
              <w:rPr>
                <w:rFonts w:ascii="宋体" w:hAnsi="宋体" w:cs="宋体"/>
                <w:szCs w:val="21"/>
              </w:rPr>
            </w:pPr>
            <w:r>
              <w:rPr>
                <w:rFonts w:hint="eastAsia" w:ascii="宋体" w:hAnsi="宋体" w:cs="宋体"/>
                <w:b/>
                <w:szCs w:val="21"/>
              </w:rPr>
              <w:t>写字板</w:t>
            </w:r>
          </w:p>
        </w:tc>
        <w:tc>
          <w:tcPr>
            <w:tcW w:w="2010" w:type="pct"/>
            <w:vAlign w:val="center"/>
          </w:tcPr>
          <w:p>
            <w:pPr>
              <w:rPr>
                <w:rFonts w:ascii="宋体" w:hAnsi="宋体" w:cs="宋体"/>
                <w:szCs w:val="21"/>
              </w:rPr>
            </w:pPr>
            <w:r>
              <w:rPr>
                <w:rFonts w:hint="eastAsia" w:ascii="宋体" w:hAnsi="宋体" w:cs="宋体"/>
                <w:szCs w:val="21"/>
              </w:rPr>
              <w:t>写字板机构与脚架一体成型，旋转无声，写字板可360度旋转。写字板收藏于扶手脚内侧。写字板采用PP或铝合金材质，规格为长≥320mm，宽≥260mm，厚≥10mm。</w:t>
            </w:r>
          </w:p>
        </w:tc>
        <w:tc>
          <w:tcPr>
            <w:tcW w:w="354" w:type="pct"/>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vMerge w:val="continue"/>
            <w:vAlign w:val="center"/>
          </w:tcPr>
          <w:p>
            <w:pPr>
              <w:jc w:val="center"/>
              <w:rPr>
                <w:rFonts w:ascii="宋体" w:hAnsi="宋体" w:cs="宋体"/>
                <w:szCs w:val="21"/>
              </w:rPr>
            </w:pPr>
          </w:p>
        </w:tc>
        <w:tc>
          <w:tcPr>
            <w:tcW w:w="473" w:type="pct"/>
            <w:vMerge w:val="continue"/>
            <w:vAlign w:val="center"/>
          </w:tcPr>
          <w:p>
            <w:pPr>
              <w:jc w:val="center"/>
              <w:rPr>
                <w:rFonts w:ascii="宋体" w:hAnsi="宋体" w:cs="宋体"/>
                <w:szCs w:val="21"/>
              </w:rPr>
            </w:pPr>
          </w:p>
        </w:tc>
        <w:tc>
          <w:tcPr>
            <w:tcW w:w="1247" w:type="pct"/>
            <w:vMerge w:val="continue"/>
            <w:vAlign w:val="center"/>
          </w:tcPr>
          <w:p>
            <w:pPr>
              <w:pStyle w:val="60"/>
              <w:spacing w:line="240" w:lineRule="auto"/>
              <w:rPr>
                <w:rFonts w:hAnsi="宋体" w:cs="宋体"/>
                <w:sz w:val="21"/>
                <w:szCs w:val="21"/>
              </w:rPr>
            </w:pPr>
          </w:p>
        </w:tc>
        <w:tc>
          <w:tcPr>
            <w:tcW w:w="637" w:type="pct"/>
            <w:vAlign w:val="center"/>
          </w:tcPr>
          <w:p>
            <w:pPr>
              <w:jc w:val="center"/>
              <w:rPr>
                <w:rFonts w:ascii="宋体" w:hAnsi="宋体" w:cs="宋体"/>
                <w:szCs w:val="21"/>
              </w:rPr>
            </w:pPr>
            <w:r>
              <w:rPr>
                <w:rFonts w:hint="eastAsia" w:ascii="宋体" w:hAnsi="宋体" w:cs="宋体"/>
                <w:b/>
                <w:szCs w:val="21"/>
              </w:rPr>
              <w:t>回复机构</w:t>
            </w:r>
          </w:p>
        </w:tc>
        <w:tc>
          <w:tcPr>
            <w:tcW w:w="2010" w:type="pct"/>
            <w:vAlign w:val="center"/>
          </w:tcPr>
          <w:p>
            <w:pPr>
              <w:rPr>
                <w:rFonts w:ascii="宋体" w:hAnsi="宋体" w:cs="宋体"/>
                <w:szCs w:val="21"/>
              </w:rPr>
            </w:pPr>
            <w:r>
              <w:rPr>
                <w:rFonts w:hint="eastAsia" w:ascii="宋体" w:hAnsi="宋体" w:cs="宋体"/>
                <w:szCs w:val="21"/>
              </w:rPr>
              <w:t>采用弹簧加阻尼器自动回复装置。</w:t>
            </w:r>
          </w:p>
        </w:tc>
        <w:tc>
          <w:tcPr>
            <w:tcW w:w="354" w:type="pct"/>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vMerge w:val="continue"/>
            <w:vAlign w:val="center"/>
          </w:tcPr>
          <w:p>
            <w:pPr>
              <w:jc w:val="center"/>
              <w:rPr>
                <w:rFonts w:ascii="宋体" w:hAnsi="宋体" w:cs="宋体"/>
                <w:szCs w:val="21"/>
              </w:rPr>
            </w:pPr>
          </w:p>
        </w:tc>
        <w:tc>
          <w:tcPr>
            <w:tcW w:w="473" w:type="pct"/>
            <w:vMerge w:val="continue"/>
            <w:vAlign w:val="center"/>
          </w:tcPr>
          <w:p>
            <w:pPr>
              <w:jc w:val="center"/>
              <w:rPr>
                <w:rFonts w:ascii="宋体" w:hAnsi="宋体" w:cs="宋体"/>
                <w:szCs w:val="21"/>
              </w:rPr>
            </w:pPr>
          </w:p>
        </w:tc>
        <w:tc>
          <w:tcPr>
            <w:tcW w:w="1247" w:type="pct"/>
            <w:vMerge w:val="continue"/>
            <w:vAlign w:val="center"/>
          </w:tcPr>
          <w:p>
            <w:pPr>
              <w:pStyle w:val="60"/>
              <w:spacing w:line="240" w:lineRule="auto"/>
              <w:rPr>
                <w:rFonts w:hAnsi="宋体" w:cs="宋体"/>
                <w:sz w:val="21"/>
                <w:szCs w:val="21"/>
              </w:rPr>
            </w:pPr>
          </w:p>
        </w:tc>
        <w:tc>
          <w:tcPr>
            <w:tcW w:w="637" w:type="pct"/>
            <w:vAlign w:val="center"/>
          </w:tcPr>
          <w:p>
            <w:pPr>
              <w:jc w:val="center"/>
              <w:rPr>
                <w:rFonts w:ascii="宋体" w:hAnsi="宋体" w:cs="宋体"/>
                <w:b/>
                <w:szCs w:val="21"/>
              </w:rPr>
            </w:pPr>
            <w:r>
              <w:rPr>
                <w:rFonts w:hint="eastAsia" w:ascii="宋体" w:hAnsi="宋体" w:cs="宋体"/>
                <w:b/>
                <w:szCs w:val="21"/>
              </w:rPr>
              <w:t>主要规格</w:t>
            </w:r>
          </w:p>
        </w:tc>
        <w:tc>
          <w:tcPr>
            <w:tcW w:w="2010" w:type="pct"/>
            <w:vAlign w:val="center"/>
          </w:tcPr>
          <w:p>
            <w:pPr>
              <w:rPr>
                <w:rFonts w:ascii="宋体" w:hAnsi="宋体" w:cs="宋体"/>
                <w:szCs w:val="21"/>
              </w:rPr>
            </w:pPr>
            <w:r>
              <w:rPr>
                <w:rFonts w:hint="eastAsia" w:ascii="宋体" w:hAnsi="宋体" w:cs="宋体"/>
                <w:szCs w:val="21"/>
              </w:rPr>
              <w:t>中心距：570mm；座内宽：520mm；座深：460mm；座高：450mm；扶手高：635mm；扶手宽：50mm；全高：1020mm。</w:t>
            </w:r>
          </w:p>
        </w:tc>
        <w:tc>
          <w:tcPr>
            <w:tcW w:w="354" w:type="pct"/>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vMerge w:val="continue"/>
            <w:vAlign w:val="center"/>
          </w:tcPr>
          <w:p>
            <w:pPr>
              <w:jc w:val="center"/>
              <w:rPr>
                <w:rFonts w:ascii="宋体" w:hAnsi="宋体" w:cs="宋体"/>
                <w:szCs w:val="21"/>
              </w:rPr>
            </w:pPr>
          </w:p>
        </w:tc>
        <w:tc>
          <w:tcPr>
            <w:tcW w:w="473" w:type="pct"/>
            <w:vMerge w:val="continue"/>
            <w:vAlign w:val="center"/>
          </w:tcPr>
          <w:p>
            <w:pPr>
              <w:jc w:val="center"/>
              <w:rPr>
                <w:rFonts w:ascii="宋体" w:hAnsi="宋体" w:cs="宋体"/>
                <w:szCs w:val="21"/>
              </w:rPr>
            </w:pPr>
          </w:p>
        </w:tc>
        <w:tc>
          <w:tcPr>
            <w:tcW w:w="1247" w:type="pct"/>
            <w:vMerge w:val="continue"/>
            <w:vAlign w:val="center"/>
          </w:tcPr>
          <w:p>
            <w:pPr>
              <w:pStyle w:val="60"/>
              <w:spacing w:line="240" w:lineRule="auto"/>
              <w:rPr>
                <w:rFonts w:hAnsi="宋体" w:cs="宋体"/>
                <w:sz w:val="21"/>
                <w:szCs w:val="21"/>
                <w:lang w:val="en-US"/>
              </w:rPr>
            </w:pPr>
          </w:p>
        </w:tc>
        <w:tc>
          <w:tcPr>
            <w:tcW w:w="637" w:type="pct"/>
            <w:vAlign w:val="center"/>
          </w:tcPr>
          <w:p>
            <w:pPr>
              <w:jc w:val="center"/>
              <w:rPr>
                <w:rFonts w:ascii="宋体" w:hAnsi="宋体" w:cs="宋体"/>
                <w:b/>
                <w:szCs w:val="21"/>
              </w:rPr>
            </w:pPr>
            <w:r>
              <w:rPr>
                <w:rFonts w:hint="eastAsia" w:ascii="宋体" w:hAnsi="宋体" w:cs="宋体"/>
                <w:b/>
                <w:szCs w:val="21"/>
              </w:rPr>
              <w:t>配件</w:t>
            </w:r>
          </w:p>
        </w:tc>
        <w:tc>
          <w:tcPr>
            <w:tcW w:w="2010" w:type="pct"/>
            <w:vAlign w:val="center"/>
          </w:tcPr>
          <w:p>
            <w:pPr>
              <w:rPr>
                <w:rFonts w:ascii="宋体" w:hAnsi="宋体" w:cs="宋体"/>
                <w:szCs w:val="21"/>
              </w:rPr>
            </w:pPr>
            <w:r>
              <w:rPr>
                <w:rFonts w:hint="eastAsia" w:ascii="宋体" w:hAnsi="宋体" w:cs="宋体"/>
                <w:szCs w:val="21"/>
              </w:rPr>
              <w:t>号码、行码牌：采用夜光材质。</w:t>
            </w:r>
          </w:p>
        </w:tc>
        <w:tc>
          <w:tcPr>
            <w:tcW w:w="354" w:type="pct"/>
            <w:vMerge w:val="continue"/>
            <w:vAlign w:val="center"/>
          </w:tcPr>
          <w:p>
            <w:pPr>
              <w:jc w:val="center"/>
              <w:rPr>
                <w:rFonts w:ascii="宋体" w:hAnsi="宋体" w:cs="宋体"/>
                <w:szCs w:val="21"/>
              </w:rPr>
            </w:pPr>
          </w:p>
        </w:tc>
      </w:tr>
    </w:tbl>
    <w:p>
      <w:pPr>
        <w:pStyle w:val="2"/>
        <w:spacing w:before="120" w:after="120"/>
        <w:ind w:left="431" w:hanging="431" w:hangingChars="179"/>
        <w:rPr>
          <w:rFonts w:ascii="宋体" w:hAnsi="宋体" w:eastAsia="宋体" w:cs="宋体"/>
          <w:sz w:val="24"/>
          <w:szCs w:val="24"/>
        </w:rPr>
      </w:pPr>
      <w:r>
        <w:rPr>
          <w:rFonts w:hint="eastAsia" w:ascii="宋体" w:hAnsi="宋体" w:eastAsia="宋体" w:cs="宋体"/>
          <w:sz w:val="24"/>
          <w:szCs w:val="24"/>
        </w:rPr>
        <w:t>说明：</w:t>
      </w:r>
    </w:p>
    <w:p>
      <w:pPr>
        <w:pStyle w:val="2"/>
        <w:spacing w:before="120" w:after="120"/>
        <w:ind w:left="0" w:firstLine="482" w:firstLineChars="200"/>
        <w:rPr>
          <w:rFonts w:ascii="宋体" w:hAnsi="宋体" w:eastAsia="宋体" w:cs="宋体"/>
          <w:sz w:val="24"/>
          <w:szCs w:val="24"/>
        </w:rPr>
      </w:pPr>
      <w:r>
        <w:rPr>
          <w:rFonts w:hint="eastAsia" w:ascii="宋体" w:hAnsi="宋体" w:eastAsia="宋体" w:cs="宋体"/>
          <w:sz w:val="24"/>
          <w:szCs w:val="24"/>
        </w:rPr>
        <w:t>1、由于产品的功能、外观结构无法准确描述，因此对产品提供了结构及功能示意图，结构及功能示意图仅仅是为了让投标人更好的理解本次采购的需求，并非对投标产品进行指定或指明，我们欢迎投标人选择其他同等档次或更优的产品参加本次投标。</w:t>
      </w:r>
    </w:p>
    <w:p>
      <w:pPr>
        <w:pStyle w:val="2"/>
        <w:spacing w:before="120" w:after="120"/>
        <w:ind w:left="0" w:firstLine="482" w:firstLineChars="200"/>
        <w:rPr>
          <w:rFonts w:ascii="宋体" w:hAnsi="宋体" w:eastAsia="宋体" w:cs="宋体"/>
          <w:sz w:val="24"/>
          <w:szCs w:val="24"/>
        </w:rPr>
      </w:pPr>
      <w:r>
        <w:rPr>
          <w:rFonts w:hint="eastAsia" w:ascii="宋体" w:hAnsi="宋体" w:eastAsia="宋体" w:cs="宋体"/>
          <w:sz w:val="24"/>
          <w:szCs w:val="24"/>
          <w:lang w:val="en-US"/>
        </w:rPr>
        <w:t>2、</w:t>
      </w:r>
      <w:r>
        <w:rPr>
          <w:rFonts w:hint="eastAsia" w:ascii="宋体" w:hAnsi="宋体" w:eastAsia="宋体" w:cs="宋体"/>
          <w:sz w:val="24"/>
          <w:szCs w:val="24"/>
        </w:rPr>
        <w:t>本项目实际采购</w:t>
      </w:r>
      <w:r>
        <w:rPr>
          <w:rFonts w:ascii="宋体" w:hAnsi="宋体" w:eastAsia="宋体" w:cs="宋体"/>
          <w:sz w:val="24"/>
          <w:szCs w:val="24"/>
          <w:lang w:val="en-US"/>
        </w:rPr>
        <w:t>1545</w:t>
      </w:r>
      <w:r>
        <w:rPr>
          <w:rFonts w:hint="eastAsia" w:ascii="宋体" w:hAnsi="宋体" w:eastAsia="宋体" w:cs="宋体"/>
          <w:sz w:val="24"/>
          <w:szCs w:val="24"/>
        </w:rPr>
        <w:t>张剧场椅，但中标人还需提供一张剧场椅送第三方权威检测机构进行报废检测，用于检测的剧场椅将在所有提供的剧场椅中随机抽取，相关费用由投标人估算，计入投标总价。</w:t>
      </w:r>
    </w:p>
    <w:p>
      <w:pPr>
        <w:pStyle w:val="2"/>
        <w:spacing w:before="120" w:after="120"/>
        <w:ind w:left="0" w:firstLine="482" w:firstLineChars="20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、本项目所使用的多层板、金属件、海绵、布料，五金件以及其他材料，采购要求中已有明确产品标准的，按照明确的标准执行，没有明确标准的，按照国家相关标准执行。</w:t>
      </w:r>
    </w:p>
    <w:p>
      <w:pPr>
        <w:pStyle w:val="2"/>
        <w:spacing w:before="120" w:after="120"/>
        <w:ind w:left="0" w:firstLine="482"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、中标人在交货时须提交剧场椅所用多层板的甲醛释放量的第三方检测报告，检测标准按国家标准执行。</w:t>
      </w:r>
    </w:p>
    <w:p>
      <w:pPr>
        <w:spacing w:line="360" w:lineRule="auto"/>
        <w:rPr>
          <w:sz w:val="24"/>
        </w:rPr>
      </w:pPr>
    </w:p>
    <w:p>
      <w:pPr>
        <w:pStyle w:val="2"/>
        <w:spacing w:before="120" w:after="120"/>
        <w:ind w:left="0" w:firstLine="0"/>
        <w:rPr>
          <w:rFonts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val="en-US"/>
        </w:rPr>
        <w:t>服务标准、期限、效率等要求：</w:t>
      </w:r>
    </w:p>
    <w:p>
      <w:pPr>
        <w:tabs>
          <w:tab w:val="left" w:pos="0"/>
        </w:tabs>
        <w:spacing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 xml:space="preserve">. </w:t>
      </w:r>
      <w:r>
        <w:rPr>
          <w:rFonts w:hint="eastAsia" w:ascii="宋体" w:hAnsi="宋体" w:cs="宋体"/>
          <w:kern w:val="0"/>
          <w:sz w:val="24"/>
        </w:rPr>
        <w:t>为评价定制类产品设计方案的合理性和符合性，本项目要求投标人在投标时应当按照采购要求，就剧场椅提供完整的设计图，设计图内容应当包含对产品结构、功能、布局、尺寸等指标的完整描述。</w:t>
      </w:r>
    </w:p>
    <w:p>
      <w:pPr>
        <w:tabs>
          <w:tab w:val="left" w:pos="0"/>
        </w:tabs>
        <w:spacing w:line="360" w:lineRule="auto"/>
        <w:rPr>
          <w:rFonts w:ascii="宋体" w:hAnsi="宋体" w:cs="宋体"/>
          <w:kern w:val="0"/>
          <w:sz w:val="24"/>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项目组织实施方案：本项目要求投标人在投标时根据采购需求，结合自身行业经验，提供项目组织实施方案，包括项目组织管理架构、进度安排及保障措施、管理和协调方法等。</w:t>
      </w:r>
      <w:r>
        <w:rPr>
          <w:rFonts w:ascii="宋体" w:hAnsi="宋体" w:cs="宋体"/>
          <w:kern w:val="0"/>
          <w:sz w:val="24"/>
        </w:rPr>
        <w:br w:type="textWrapping"/>
      </w:r>
      <w:r>
        <w:rPr>
          <w:rFonts w:ascii="宋体" w:hAnsi="宋体" w:cs="宋体"/>
          <w:kern w:val="0"/>
          <w:sz w:val="24"/>
        </w:rPr>
        <w:t>3.</w:t>
      </w:r>
      <w:r>
        <w:rPr>
          <w:rFonts w:hint="eastAsia" w:ascii="仿宋" w:hAnsi="仿宋" w:eastAsia="仿宋"/>
          <w:sz w:val="24"/>
        </w:rPr>
        <w:t xml:space="preserve"> </w:t>
      </w:r>
      <w:r>
        <w:rPr>
          <w:rFonts w:hint="eastAsia" w:ascii="宋体" w:hAnsi="宋体" w:cs="宋体"/>
          <w:kern w:val="0"/>
          <w:sz w:val="24"/>
        </w:rPr>
        <w:t>项目组织实施团队要求：本项目要求投标人在投标时根据采购需求，结合项目实施需要，合理组建项目组织实施团队。其中应设项目负责人1名，具有同类项目管理经验和较好的团队组织和协调能力；设各专业团队人员若干名，要求专业搭配合理、力量充分，具有熟练的技能，能够确保项目顺利实施并交付。本项目要求投标人在投标时根据采购需求，提供人员配置表，包括人员履历、证书、社保等。</w:t>
      </w:r>
    </w:p>
    <w:p>
      <w:pPr>
        <w:tabs>
          <w:tab w:val="left" w:pos="0"/>
        </w:tabs>
        <w:spacing w:line="360" w:lineRule="auto"/>
        <w:rPr>
          <w:rFonts w:ascii="宋体" w:hAnsi="宋体" w:cs="宋体"/>
          <w:bCs/>
          <w:kern w:val="0"/>
          <w:sz w:val="24"/>
        </w:rPr>
      </w:pPr>
      <w:r>
        <w:rPr>
          <w:rFonts w:ascii="宋体" w:hAnsi="宋体" w:cs="宋体"/>
          <w:kern w:val="0"/>
          <w:sz w:val="24"/>
        </w:rPr>
        <w:t>4</w:t>
      </w:r>
      <w:r>
        <w:rPr>
          <w:rFonts w:hint="eastAsia" w:ascii="宋体" w:hAnsi="宋体" w:cs="宋体"/>
          <w:kern w:val="0"/>
          <w:sz w:val="24"/>
        </w:rPr>
        <w:t>. 投标产品安装调试技术方案：</w:t>
      </w:r>
      <w:r>
        <w:rPr>
          <w:rFonts w:hint="eastAsia" w:ascii="宋体" w:hAnsi="宋体" w:cs="宋体"/>
          <w:bCs/>
          <w:kern w:val="0"/>
          <w:sz w:val="24"/>
        </w:rPr>
        <w:t>本项目要求投标人在投标时根据所投产品的技术特点，结合采购需求，提供投标产品安装调试技术方案，包括产品安装调试的方式、方法、技术标准和质量控制措施等。</w:t>
      </w:r>
    </w:p>
    <w:p>
      <w:pPr>
        <w:tabs>
          <w:tab w:val="left" w:pos="0"/>
        </w:tabs>
        <w:spacing w:line="360" w:lineRule="auto"/>
        <w:rPr>
          <w:rFonts w:ascii="宋体" w:hAnsi="宋体" w:cs="宋体"/>
          <w:bCs/>
          <w:kern w:val="0"/>
          <w:sz w:val="24"/>
        </w:rPr>
      </w:pPr>
      <w:r>
        <w:rPr>
          <w:rFonts w:ascii="宋体" w:hAnsi="宋体" w:cs="宋体"/>
          <w:kern w:val="0"/>
          <w:sz w:val="24"/>
        </w:rPr>
        <w:t>5</w:t>
      </w:r>
      <w:r>
        <w:rPr>
          <w:rFonts w:hint="eastAsia" w:ascii="宋体" w:hAnsi="宋体" w:cs="宋体"/>
          <w:kern w:val="0"/>
          <w:sz w:val="24"/>
        </w:rPr>
        <w:t>. 售后服务方案：</w:t>
      </w:r>
      <w:r>
        <w:rPr>
          <w:rFonts w:hint="eastAsia" w:ascii="宋体" w:hAnsi="宋体" w:cs="宋体"/>
          <w:bCs/>
          <w:kern w:val="0"/>
          <w:sz w:val="24"/>
        </w:rPr>
        <w:t xml:space="preserve">本项目要求投标人在投标时根据所投产品技术水平，结合采购需求，提供售后服务方案，包括售后服务措施、售后服务机构和人员配置情况说明、售后服务质量保证措施等。 </w:t>
      </w:r>
    </w:p>
    <w:p>
      <w:pPr>
        <w:pStyle w:val="23"/>
        <w:rPr>
          <w:lang w:val="en-US"/>
        </w:rPr>
      </w:pPr>
    </w:p>
    <w:p>
      <w:pPr>
        <w:pStyle w:val="2"/>
        <w:spacing w:before="120" w:after="120"/>
        <w:ind w:left="0" w:firstLine="0"/>
        <w:rPr>
          <w:rFonts w:ascii="宋体" w:hAnsi="宋体" w:eastAsia="宋体" w:cs="宋体"/>
          <w:sz w:val="24"/>
          <w:szCs w:val="24"/>
        </w:rPr>
      </w:pPr>
      <w:r>
        <w:rPr>
          <w:rFonts w:hint="eastAsia" w:ascii="宋体" w:hAnsi="宋体" w:eastAsia="宋体" w:cs="宋体"/>
          <w:sz w:val="24"/>
          <w:szCs w:val="24"/>
        </w:rPr>
        <w:t>五、商务要求</w:t>
      </w:r>
    </w:p>
    <w:p>
      <w:pPr>
        <w:tabs>
          <w:tab w:val="left" w:pos="0"/>
        </w:tabs>
        <w:spacing w:line="360" w:lineRule="auto"/>
        <w:rPr>
          <w:rFonts w:ascii="宋体" w:hAnsi="宋体" w:cs="宋体"/>
          <w:b/>
          <w:bCs/>
          <w:kern w:val="0"/>
          <w:sz w:val="24"/>
        </w:rPr>
      </w:pPr>
      <w:r>
        <w:rPr>
          <w:rFonts w:hint="eastAsia" w:ascii="宋体" w:hAnsi="宋体" w:cs="宋体"/>
          <w:b/>
          <w:bCs/>
          <w:kern w:val="0"/>
          <w:sz w:val="24"/>
        </w:rPr>
        <w:t>1、完工期</w:t>
      </w:r>
    </w:p>
    <w:p>
      <w:pPr>
        <w:tabs>
          <w:tab w:val="left" w:pos="0"/>
        </w:tabs>
        <w:spacing w:line="360" w:lineRule="auto"/>
        <w:ind w:firstLine="480" w:firstLineChars="200"/>
        <w:rPr>
          <w:rFonts w:ascii="宋体" w:hAnsi="宋体" w:cs="宋体"/>
          <w:kern w:val="0"/>
          <w:sz w:val="24"/>
          <w:u w:val="single"/>
        </w:rPr>
      </w:pPr>
      <w:bookmarkStart w:id="33" w:name="_Toc17912"/>
      <w:r>
        <w:rPr>
          <w:rFonts w:hint="eastAsia" w:ascii="宋体" w:hAnsi="宋体" w:cs="宋体"/>
          <w:bCs/>
          <w:sz w:val="24"/>
          <w:u w:val="single"/>
        </w:rPr>
        <w:t>▲ 202</w:t>
      </w:r>
      <w:r>
        <w:rPr>
          <w:rFonts w:ascii="宋体" w:hAnsi="宋体" w:cs="宋体"/>
          <w:bCs/>
          <w:sz w:val="24"/>
          <w:u w:val="single"/>
        </w:rPr>
        <w:t>4</w:t>
      </w:r>
      <w:r>
        <w:rPr>
          <w:rFonts w:hint="eastAsia" w:ascii="宋体" w:hAnsi="宋体" w:cs="宋体"/>
          <w:bCs/>
          <w:sz w:val="24"/>
          <w:u w:val="single"/>
        </w:rPr>
        <w:t>年</w:t>
      </w:r>
      <w:r>
        <w:rPr>
          <w:rFonts w:ascii="宋体" w:hAnsi="宋体" w:cs="宋体"/>
          <w:bCs/>
          <w:sz w:val="24"/>
          <w:u w:val="single"/>
        </w:rPr>
        <w:t>10</w:t>
      </w:r>
      <w:r>
        <w:rPr>
          <w:rFonts w:hint="eastAsia" w:ascii="宋体" w:hAnsi="宋体" w:cs="宋体"/>
          <w:bCs/>
          <w:sz w:val="24"/>
          <w:u w:val="single"/>
        </w:rPr>
        <w:t>月</w:t>
      </w:r>
      <w:r>
        <w:rPr>
          <w:rFonts w:ascii="宋体" w:hAnsi="宋体" w:cs="宋体"/>
          <w:bCs/>
          <w:sz w:val="24"/>
          <w:u w:val="single"/>
        </w:rPr>
        <w:t>20</w:t>
      </w:r>
      <w:r>
        <w:rPr>
          <w:rFonts w:hint="eastAsia" w:ascii="宋体" w:hAnsi="宋体" w:cs="宋体"/>
          <w:bCs/>
          <w:sz w:val="24"/>
          <w:u w:val="single"/>
        </w:rPr>
        <w:t>日之前完成全部货物的安装交付工作。</w:t>
      </w:r>
    </w:p>
    <w:p>
      <w:pPr>
        <w:tabs>
          <w:tab w:val="left" w:pos="0"/>
        </w:tabs>
        <w:spacing w:line="360" w:lineRule="auto"/>
        <w:rPr>
          <w:rFonts w:ascii="宋体" w:hAnsi="宋体" w:cs="宋体"/>
          <w:b/>
          <w:bCs/>
          <w:kern w:val="0"/>
          <w:sz w:val="24"/>
        </w:rPr>
      </w:pPr>
      <w:r>
        <w:rPr>
          <w:rFonts w:hint="eastAsia" w:ascii="宋体" w:hAnsi="宋体" w:cs="宋体"/>
          <w:b/>
          <w:bCs/>
          <w:kern w:val="0"/>
          <w:sz w:val="24"/>
        </w:rPr>
        <w:t>2、实施地点及数量</w:t>
      </w:r>
    </w:p>
    <w:p>
      <w:pPr>
        <w:tabs>
          <w:tab w:val="left" w:pos="0"/>
        </w:tabs>
        <w:spacing w:line="360" w:lineRule="auto"/>
        <w:ind w:firstLine="470" w:firstLineChars="196"/>
        <w:rPr>
          <w:rFonts w:ascii="宋体" w:hAnsi="宋体" w:cs="宋体"/>
          <w:bCs/>
          <w:kern w:val="0"/>
          <w:sz w:val="24"/>
        </w:rPr>
      </w:pPr>
      <w:r>
        <w:rPr>
          <w:rFonts w:hint="eastAsia" w:hAnsi="宋体" w:cs="仿宋_GB2312"/>
          <w:sz w:val="24"/>
        </w:rPr>
        <w:t>杭州市拱墅区青少年活动中心3</w:t>
      </w:r>
      <w:r>
        <w:rPr>
          <w:rFonts w:hAnsi="宋体" w:cs="仿宋_GB2312"/>
          <w:sz w:val="24"/>
        </w:rPr>
        <w:t>30</w:t>
      </w:r>
      <w:r>
        <w:rPr>
          <w:rFonts w:hint="eastAsia" w:hAnsi="宋体" w:cs="仿宋_GB2312"/>
          <w:sz w:val="24"/>
        </w:rPr>
        <w:t>张、杭州市大关实验中学6</w:t>
      </w:r>
      <w:r>
        <w:rPr>
          <w:rFonts w:hAnsi="宋体" w:cs="仿宋_GB2312"/>
          <w:sz w:val="24"/>
        </w:rPr>
        <w:t>24</w:t>
      </w:r>
      <w:r>
        <w:rPr>
          <w:rFonts w:hint="eastAsia" w:hAnsi="宋体" w:cs="仿宋_GB2312"/>
          <w:sz w:val="24"/>
        </w:rPr>
        <w:t>张、杭州市胜蓝中学3</w:t>
      </w:r>
      <w:r>
        <w:rPr>
          <w:rFonts w:hAnsi="宋体" w:cs="仿宋_GB2312"/>
          <w:sz w:val="24"/>
        </w:rPr>
        <w:t>36</w:t>
      </w:r>
      <w:r>
        <w:rPr>
          <w:rFonts w:hint="eastAsia" w:hAnsi="宋体" w:cs="仿宋_GB2312"/>
          <w:sz w:val="24"/>
        </w:rPr>
        <w:t>张、杭州市文晖实验学校1</w:t>
      </w:r>
      <w:r>
        <w:rPr>
          <w:rFonts w:hAnsi="宋体" w:cs="仿宋_GB2312"/>
          <w:sz w:val="24"/>
        </w:rPr>
        <w:t>20</w:t>
      </w:r>
      <w:r>
        <w:rPr>
          <w:rFonts w:hint="eastAsia" w:hAnsi="宋体" w:cs="仿宋_GB2312"/>
          <w:sz w:val="24"/>
        </w:rPr>
        <w:t>张、杭州市育才大城北学校1</w:t>
      </w:r>
      <w:r>
        <w:rPr>
          <w:rFonts w:hAnsi="宋体" w:cs="仿宋_GB2312"/>
          <w:sz w:val="24"/>
        </w:rPr>
        <w:t>35</w:t>
      </w:r>
      <w:r>
        <w:rPr>
          <w:rFonts w:hint="eastAsia" w:hAnsi="宋体" w:cs="仿宋_GB2312"/>
          <w:sz w:val="24"/>
        </w:rPr>
        <w:t>张。</w:t>
      </w:r>
    </w:p>
    <w:p>
      <w:pPr>
        <w:tabs>
          <w:tab w:val="left" w:pos="0"/>
        </w:tabs>
        <w:spacing w:line="360" w:lineRule="auto"/>
        <w:rPr>
          <w:rFonts w:ascii="宋体" w:hAnsi="宋体" w:cs="宋体"/>
          <w:b/>
          <w:bCs/>
          <w:kern w:val="0"/>
          <w:sz w:val="24"/>
        </w:rPr>
      </w:pPr>
      <w:r>
        <w:rPr>
          <w:rFonts w:hint="eastAsia" w:ascii="宋体" w:hAnsi="宋体" w:cs="宋体"/>
          <w:b/>
          <w:bCs/>
          <w:kern w:val="0"/>
          <w:sz w:val="24"/>
        </w:rPr>
        <w:t>3、安装</w:t>
      </w:r>
    </w:p>
    <w:p>
      <w:pPr>
        <w:tabs>
          <w:tab w:val="left" w:pos="0"/>
        </w:tabs>
        <w:spacing w:line="360" w:lineRule="auto"/>
        <w:rPr>
          <w:rFonts w:ascii="宋体" w:hAnsi="宋体" w:cs="宋体"/>
          <w:kern w:val="0"/>
          <w:sz w:val="24"/>
        </w:rPr>
      </w:pPr>
      <w:r>
        <w:rPr>
          <w:rFonts w:hint="eastAsia" w:ascii="宋体" w:hAnsi="宋体" w:cs="宋体"/>
          <w:kern w:val="0"/>
          <w:sz w:val="24"/>
        </w:rPr>
        <w:t>（1）本项目所有货物的安装涉及的所有工作均由中标供应商负责，费用计入投标总价。</w:t>
      </w:r>
    </w:p>
    <w:p>
      <w:pPr>
        <w:tabs>
          <w:tab w:val="left" w:pos="0"/>
        </w:tabs>
        <w:spacing w:line="360" w:lineRule="auto"/>
        <w:rPr>
          <w:rFonts w:ascii="宋体" w:hAnsi="宋体" w:cs="宋体"/>
          <w:kern w:val="0"/>
          <w:sz w:val="24"/>
        </w:rPr>
      </w:pPr>
      <w:r>
        <w:rPr>
          <w:rFonts w:hint="eastAsia" w:ascii="宋体" w:hAnsi="宋体" w:cs="宋体"/>
          <w:kern w:val="0"/>
          <w:sz w:val="24"/>
        </w:rPr>
        <w:t>（2）安装标准：符合国家安全技术标准。</w:t>
      </w:r>
    </w:p>
    <w:p>
      <w:pPr>
        <w:tabs>
          <w:tab w:val="left" w:pos="0"/>
        </w:tabs>
        <w:spacing w:line="360" w:lineRule="auto"/>
        <w:rPr>
          <w:rFonts w:ascii="宋体" w:hAnsi="宋体" w:cs="宋体"/>
          <w:kern w:val="0"/>
          <w:sz w:val="24"/>
        </w:rPr>
      </w:pPr>
      <w:r>
        <w:rPr>
          <w:rFonts w:hint="eastAsia" w:ascii="宋体" w:hAnsi="宋体" w:cs="宋体"/>
          <w:b/>
          <w:bCs/>
          <w:kern w:val="0"/>
          <w:sz w:val="24"/>
        </w:rPr>
        <w:t>4、交付验收</w:t>
      </w:r>
      <w:bookmarkEnd w:id="33"/>
    </w:p>
    <w:p>
      <w:pPr>
        <w:tabs>
          <w:tab w:val="left" w:pos="0"/>
        </w:tabs>
        <w:spacing w:line="360" w:lineRule="auto"/>
        <w:rPr>
          <w:rFonts w:ascii="宋体" w:hAnsi="宋体" w:cs="宋体"/>
          <w:kern w:val="0"/>
          <w:sz w:val="24"/>
        </w:rPr>
      </w:pPr>
      <w:r>
        <w:rPr>
          <w:rFonts w:hint="eastAsia" w:ascii="宋体" w:hAnsi="宋体" w:cs="宋体"/>
          <w:kern w:val="0"/>
          <w:sz w:val="24"/>
        </w:rPr>
        <w:t>（1）本合同交付验收由采购人组织实施，中标供应商应派专业的技术人员协助进行验收。</w:t>
      </w:r>
    </w:p>
    <w:p>
      <w:pPr>
        <w:spacing w:line="360" w:lineRule="auto"/>
        <w:ind w:right="-420" w:rightChars="-200"/>
        <w:rPr>
          <w:rFonts w:ascii="宋体" w:hAnsi="宋体" w:cs="宋体"/>
          <w:sz w:val="24"/>
        </w:rPr>
      </w:pPr>
      <w:r>
        <w:rPr>
          <w:rFonts w:hint="eastAsia" w:ascii="宋体" w:hAnsi="宋体" w:cs="宋体"/>
          <w:kern w:val="0"/>
          <w:sz w:val="24"/>
        </w:rPr>
        <w:t>（2）交付验收标准：</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①所供产品的规格、数量符合招标文件和供应商投标承诺及采购合同约定的要求。</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②所供产品的材质、颜色符合招标文件和供应商投标承诺及采购合同约定的要求。</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③所供产品的外观完好，无严重碰撞、表皮脱落、五金件生锈等明显瑕疵。</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④所供产品结构牢固，无安全隐患。</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⑤如有抽检要求的，检测结果符合招标文件和供应商投标承诺及采购合同约定的要求。</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⑥所有产品均已运输至指定地点，并安装调试完毕。</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⑦招标文件和供应商投标承诺及采购合同约定的附件、工具、技术资料等齐全；提供产品使用说明书、合格证。</w:t>
      </w:r>
    </w:p>
    <w:p>
      <w:pPr>
        <w:tabs>
          <w:tab w:val="left" w:pos="0"/>
        </w:tabs>
        <w:spacing w:line="360" w:lineRule="auto"/>
        <w:rPr>
          <w:rFonts w:ascii="宋体" w:hAnsi="宋体" w:cs="宋体"/>
          <w:b/>
          <w:bCs/>
          <w:kern w:val="0"/>
          <w:sz w:val="24"/>
        </w:rPr>
      </w:pPr>
      <w:r>
        <w:rPr>
          <w:rFonts w:hint="eastAsia" w:ascii="宋体" w:hAnsi="宋体" w:cs="宋体"/>
          <w:b/>
          <w:bCs/>
          <w:kern w:val="0"/>
          <w:sz w:val="24"/>
        </w:rPr>
        <w:t>5、售后服务</w:t>
      </w:r>
    </w:p>
    <w:p>
      <w:pPr>
        <w:tabs>
          <w:tab w:val="left" w:pos="0"/>
        </w:tabs>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bCs/>
          <w:sz w:val="24"/>
          <w:u w:val="single"/>
        </w:rPr>
        <w:t xml:space="preserve">▲ </w:t>
      </w:r>
      <w:r>
        <w:rPr>
          <w:rFonts w:hint="eastAsia" w:ascii="宋体" w:hAnsi="宋体" w:cs="宋体"/>
          <w:kern w:val="0"/>
          <w:sz w:val="24"/>
          <w:u w:val="single"/>
        </w:rPr>
        <w:t>质保期：提供自交付验收合格之日起</w:t>
      </w:r>
      <w:r>
        <w:rPr>
          <w:rFonts w:ascii="宋体" w:hAnsi="宋体" w:cs="宋体"/>
          <w:kern w:val="0"/>
          <w:sz w:val="24"/>
          <w:u w:val="single"/>
        </w:rPr>
        <w:t>8</w:t>
      </w:r>
      <w:r>
        <w:rPr>
          <w:rFonts w:hint="eastAsia" w:ascii="宋体" w:hAnsi="宋体" w:cs="宋体"/>
          <w:kern w:val="0"/>
          <w:sz w:val="24"/>
          <w:u w:val="single"/>
        </w:rPr>
        <w:t>年质保。</w:t>
      </w:r>
      <w:r>
        <w:rPr>
          <w:rFonts w:hint="eastAsia" w:ascii="宋体" w:hAnsi="宋体" w:cs="宋体"/>
          <w:kern w:val="0"/>
          <w:sz w:val="24"/>
        </w:rPr>
        <w:t>质保期内，如在正常使用过程中出现的质量问题，供应商须负责免费维修或调换。供应商需提供24小时售后服务，且维修人员须在接到维修电话后24小时内赶到现场，提供不间断的服务直到修复为止。维修点需提供足够的备件以适应采购人维修需求 。</w:t>
      </w:r>
    </w:p>
    <w:p>
      <w:pPr>
        <w:tabs>
          <w:tab w:val="left" w:pos="0"/>
        </w:tabs>
        <w:spacing w:line="360" w:lineRule="auto"/>
        <w:rPr>
          <w:rFonts w:ascii="宋体" w:hAnsi="宋体" w:cs="宋体"/>
          <w:kern w:val="0"/>
          <w:sz w:val="24"/>
        </w:rPr>
      </w:pPr>
      <w:r>
        <w:rPr>
          <w:rFonts w:hint="eastAsia" w:ascii="宋体" w:hAnsi="宋体" w:cs="宋体"/>
          <w:kern w:val="0"/>
          <w:sz w:val="24"/>
        </w:rPr>
        <w:t>（2）质保期后需提供终身维修（免人工费）。投标人应提供质保期后的服务计划或建议，明确收费事项及标准。</w:t>
      </w:r>
    </w:p>
    <w:p>
      <w:pPr>
        <w:pStyle w:val="2"/>
        <w:spacing w:before="120" w:after="120"/>
        <w:ind w:left="0" w:firstLine="0"/>
        <w:rPr>
          <w:rFonts w:ascii="宋体" w:hAnsi="宋体" w:eastAsia="宋体" w:cs="宋体"/>
          <w:sz w:val="24"/>
          <w:szCs w:val="24"/>
        </w:rPr>
      </w:pPr>
    </w:p>
    <w:p>
      <w:pPr>
        <w:pStyle w:val="2"/>
        <w:spacing w:before="120" w:after="120"/>
        <w:ind w:left="0" w:firstLine="0"/>
        <w:rPr>
          <w:rFonts w:ascii="宋体" w:hAnsi="宋体" w:eastAsia="宋体" w:cs="宋体"/>
          <w:kern w:val="0"/>
          <w:sz w:val="24"/>
          <w:szCs w:val="24"/>
        </w:rPr>
      </w:pPr>
      <w:r>
        <w:rPr>
          <w:rFonts w:hint="eastAsia" w:ascii="宋体" w:hAnsi="宋体" w:eastAsia="宋体" w:cs="宋体"/>
          <w:sz w:val="24"/>
          <w:szCs w:val="24"/>
        </w:rPr>
        <w:t>六、特别说明与规定</w:t>
      </w:r>
    </w:p>
    <w:p>
      <w:pPr>
        <w:tabs>
          <w:tab w:val="left" w:pos="0"/>
        </w:tabs>
        <w:spacing w:line="360" w:lineRule="auto"/>
        <w:ind w:firstLine="480" w:firstLineChars="200"/>
        <w:rPr>
          <w:rFonts w:ascii="宋体" w:hAnsi="宋体" w:cs="宋体"/>
          <w:bCs/>
          <w:sz w:val="24"/>
        </w:rPr>
      </w:pPr>
      <w:r>
        <w:rPr>
          <w:rFonts w:hint="eastAsia" w:ascii="宋体" w:hAnsi="宋体" w:cs="宋体"/>
          <w:kern w:val="0"/>
          <w:sz w:val="24"/>
        </w:rPr>
        <w:t>1、</w:t>
      </w:r>
      <w:r>
        <w:rPr>
          <w:rFonts w:hint="eastAsia" w:ascii="宋体" w:hAnsi="宋体" w:cs="宋体"/>
          <w:bCs/>
          <w:sz w:val="24"/>
        </w:rPr>
        <w:t>本项目单独一个标项</w:t>
      </w:r>
      <w:r>
        <w:rPr>
          <w:rFonts w:hint="eastAsia" w:ascii="宋体" w:hAnsi="宋体" w:cs="宋体"/>
          <w:bCs/>
          <w:kern w:val="0"/>
          <w:sz w:val="24"/>
        </w:rPr>
        <w:t>。</w:t>
      </w:r>
      <w:r>
        <w:rPr>
          <w:rFonts w:hint="eastAsia" w:ascii="宋体" w:hAnsi="宋体" w:cs="宋体"/>
          <w:kern w:val="0"/>
          <w:sz w:val="24"/>
        </w:rPr>
        <w:t>标项是最小投标单位，投标人必须对标项内的所有内容发起投标响应。</w:t>
      </w:r>
      <w:r>
        <w:rPr>
          <w:rFonts w:hint="eastAsia" w:ascii="宋体" w:hAnsi="宋体" w:cs="宋体"/>
          <w:bCs/>
          <w:sz w:val="24"/>
        </w:rPr>
        <w:t>▲投标时，核心产品缺漏的视为没有实质性响应招标要求作无效标处理；非核心产品缺漏的，视为“未响应”，如中标，须由供应商按招标文件的要求补齐。</w:t>
      </w:r>
    </w:p>
    <w:p>
      <w:pPr>
        <w:tabs>
          <w:tab w:val="left" w:pos="0"/>
        </w:tabs>
        <w:spacing w:line="360" w:lineRule="auto"/>
        <w:ind w:firstLine="480"/>
        <w:rPr>
          <w:rFonts w:ascii="宋体" w:hAnsi="宋体" w:cs="宋体"/>
          <w:sz w:val="24"/>
        </w:rPr>
      </w:pPr>
      <w:r>
        <w:rPr>
          <w:rFonts w:hint="eastAsia" w:ascii="宋体" w:hAnsi="宋体" w:cs="宋体"/>
          <w:kern w:val="0"/>
          <w:sz w:val="24"/>
        </w:rPr>
        <w:t>2、本章节技术要求中所列的货物尺寸是由需求学校根据自身情况测算，投标供应商应选择符合需求学校要求尺寸的货物参加投标。</w:t>
      </w:r>
      <w:r>
        <w:rPr>
          <w:rFonts w:hint="eastAsia" w:ascii="宋体" w:hAnsi="宋体" w:cs="宋体"/>
          <w:b/>
          <w:bCs/>
          <w:kern w:val="0"/>
          <w:sz w:val="24"/>
        </w:rPr>
        <w:t>在不影响安全、美观度以及实际使用功能的前提下，允许存在合理的尺寸偏差（偏差控制在±</w:t>
      </w:r>
      <w:r>
        <w:rPr>
          <w:rFonts w:ascii="宋体" w:hAnsi="宋体" w:cs="宋体"/>
          <w:b/>
          <w:bCs/>
          <w:kern w:val="0"/>
          <w:sz w:val="24"/>
        </w:rPr>
        <w:t>5</w:t>
      </w:r>
      <w:r>
        <w:rPr>
          <w:rFonts w:hint="eastAsia" w:ascii="宋体" w:hAnsi="宋体" w:cs="宋体"/>
          <w:b/>
          <w:bCs/>
          <w:kern w:val="0"/>
          <w:sz w:val="24"/>
        </w:rPr>
        <w:t>mm以内）。</w:t>
      </w:r>
      <w:r>
        <w:rPr>
          <w:rFonts w:hint="eastAsia" w:ascii="宋体" w:hAnsi="宋体" w:cs="宋体"/>
          <w:kern w:val="0"/>
          <w:sz w:val="24"/>
        </w:rPr>
        <w:t>同时，投标供应商应无条件接受采购人提出的部分货物尺寸的细微调整，产生的费用请各投标供应商在报价时综合评估，并计入投标总价。</w:t>
      </w:r>
    </w:p>
    <w:p>
      <w:pPr>
        <w:pStyle w:val="23"/>
        <w:ind w:firstLine="480" w:firstLineChars="200"/>
        <w:rPr>
          <w:rFonts w:hAnsi="宋体" w:cs="宋体"/>
          <w:kern w:val="0"/>
          <w:szCs w:val="24"/>
          <w:lang w:val="en-US"/>
        </w:rPr>
      </w:pPr>
      <w:bookmarkStart w:id="34" w:name="_Toc7338"/>
      <w:r>
        <w:rPr>
          <w:rFonts w:hint="eastAsia" w:hAnsi="宋体" w:cs="宋体"/>
          <w:kern w:val="0"/>
          <w:szCs w:val="24"/>
          <w:lang w:val="en-US"/>
        </w:rPr>
        <w:t>3、</w:t>
      </w:r>
      <w:r>
        <w:rPr>
          <w:rFonts w:hint="eastAsia" w:hAnsi="宋体" w:cs="宋体"/>
          <w:snapToGrid/>
          <w:kern w:val="0"/>
          <w:szCs w:val="24"/>
          <w:lang w:val="en-US"/>
        </w:rPr>
        <w:t>投标响应前后矛盾导致评标委员会有疑问的，评标委员会认为必要时可以要求投标人在规定的时间（30分钟）内提供相关技术证明材料，投标人不能按时提供相关技术证明材料的视为“未响应”。</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4、▲采购人将以合同形式有偿取得货物或服务，不接受投标人给予的任何赠品、回扣或者与采购无关的其他商品、服务，不得出现“0元”、“免费赠送”等形式的无偿报价，否则视为投标文件含有采购人不能接受的附加条件，投标无效。</w:t>
      </w:r>
    </w:p>
    <w:p>
      <w:pPr>
        <w:pStyle w:val="23"/>
        <w:ind w:firstLine="480" w:firstLineChars="200"/>
        <w:rPr>
          <w:rFonts w:hAnsi="宋体" w:cs="宋体"/>
          <w:szCs w:val="24"/>
        </w:rPr>
      </w:pPr>
      <w:r>
        <w:rPr>
          <w:rFonts w:hint="eastAsia" w:hAnsi="宋体" w:cs="宋体"/>
          <w:snapToGrid/>
          <w:kern w:val="0"/>
          <w:szCs w:val="24"/>
          <w:lang w:val="en-US"/>
        </w:rPr>
        <w:t>5、投标人须对采购中涉及到的专利负责，并保证不伤害采购人的利益。在法律范围内，所有文字、商标和技术侵权造成的相关费用，采购人概不负责。</w:t>
      </w:r>
      <w:bookmarkEnd w:id="34"/>
    </w:p>
    <w:p>
      <w:pPr>
        <w:pStyle w:val="2"/>
        <w:spacing w:before="120" w:after="120"/>
        <w:ind w:left="0" w:firstLine="0"/>
        <w:rPr>
          <w:rFonts w:ascii="宋体" w:hAnsi="宋体" w:eastAsia="宋体" w:cs="宋体"/>
          <w:sz w:val="24"/>
          <w:szCs w:val="24"/>
        </w:rPr>
      </w:pPr>
    </w:p>
    <w:p>
      <w:pPr>
        <w:pStyle w:val="2"/>
        <w:spacing w:before="120" w:after="120"/>
        <w:ind w:left="0" w:firstLine="0"/>
        <w:rPr>
          <w:rFonts w:ascii="宋体" w:hAnsi="宋体" w:eastAsia="宋体" w:cs="宋体"/>
          <w:sz w:val="24"/>
          <w:szCs w:val="24"/>
        </w:rPr>
      </w:pPr>
      <w:r>
        <w:rPr>
          <w:rFonts w:hint="eastAsia" w:ascii="宋体" w:hAnsi="宋体" w:eastAsia="宋体" w:cs="宋体"/>
          <w:sz w:val="24"/>
          <w:szCs w:val="24"/>
        </w:rPr>
        <w:t>七、样品要求</w:t>
      </w:r>
    </w:p>
    <w:p>
      <w:pPr>
        <w:pStyle w:val="788"/>
        <w:tabs>
          <w:tab w:val="left" w:pos="-105"/>
          <w:tab w:val="left" w:pos="567"/>
        </w:tabs>
        <w:adjustRightInd w:val="0"/>
        <w:snapToGrid w:val="0"/>
        <w:ind w:firstLine="480"/>
        <w:rPr>
          <w:rFonts w:ascii="宋体" w:hAnsi="宋体" w:cs="宋体"/>
          <w:b/>
          <w:bCs/>
          <w:szCs w:val="24"/>
        </w:rPr>
      </w:pPr>
      <w:r>
        <w:rPr>
          <w:rFonts w:hint="eastAsia" w:ascii="宋体" w:hAnsi="宋体" w:cs="宋体"/>
          <w:szCs w:val="24"/>
        </w:rPr>
        <w:t>1、</w:t>
      </w:r>
      <w:r>
        <w:rPr>
          <w:rFonts w:hint="eastAsia" w:ascii="宋体" w:hAnsi="宋体" w:cs="宋体"/>
          <w:snapToGrid w:val="0"/>
          <w:kern w:val="0"/>
          <w:szCs w:val="24"/>
        </w:rPr>
        <w:t>为了更加直观、准确的评价各供应商所投产品与采购需求的符合性，以及评价各供应商所投产品的材质、制造工艺等，本项目要求投标供应商按要求递交投标样品。</w:t>
      </w:r>
      <w:r>
        <w:rPr>
          <w:rFonts w:hint="eastAsia" w:ascii="宋体" w:hAnsi="宋体" w:cs="宋体"/>
        </w:rPr>
        <w:t>▲</w:t>
      </w:r>
      <w:r>
        <w:rPr>
          <w:rFonts w:hint="eastAsia" w:ascii="宋体" w:hAnsi="宋体" w:cs="宋体"/>
          <w:b/>
          <w:bCs/>
          <w:szCs w:val="24"/>
        </w:rPr>
        <w:t>未提供样品的供应商，投标无效。</w:t>
      </w:r>
    </w:p>
    <w:p>
      <w:pPr>
        <w:pStyle w:val="788"/>
        <w:tabs>
          <w:tab w:val="left" w:pos="-105"/>
          <w:tab w:val="left" w:pos="567"/>
        </w:tabs>
        <w:adjustRightInd w:val="0"/>
        <w:snapToGrid w:val="0"/>
        <w:ind w:firstLine="480"/>
        <w:rPr>
          <w:rFonts w:ascii="宋体" w:hAnsi="宋体" w:cs="宋体"/>
          <w:b/>
          <w:bCs/>
          <w:szCs w:val="24"/>
        </w:rPr>
      </w:pPr>
      <w:r>
        <w:rPr>
          <w:rFonts w:hint="eastAsia" w:ascii="宋体" w:hAnsi="宋体" w:cs="宋体"/>
          <w:snapToGrid w:val="0"/>
          <w:kern w:val="0"/>
          <w:szCs w:val="24"/>
        </w:rPr>
        <w:t>2、投标样品需标注：投标供应商名称、产品制造商名称、样品名称、尺寸、材质等信息。</w:t>
      </w:r>
    </w:p>
    <w:tbl>
      <w:tblPr>
        <w:tblStyle w:val="63"/>
        <w:tblW w:w="52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849"/>
        <w:gridCol w:w="2237"/>
        <w:gridCol w:w="1143"/>
        <w:gridCol w:w="3606"/>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vAlign w:val="center"/>
          </w:tcPr>
          <w:p>
            <w:pPr>
              <w:jc w:val="center"/>
              <w:rPr>
                <w:rFonts w:ascii="宋体" w:hAnsi="宋体" w:cs="宋体"/>
                <w:b/>
                <w:bCs/>
                <w:szCs w:val="21"/>
              </w:rPr>
            </w:pPr>
            <w:r>
              <w:rPr>
                <w:rFonts w:hint="eastAsia" w:ascii="宋体" w:hAnsi="宋体" w:cs="宋体"/>
                <w:b/>
                <w:bCs/>
                <w:szCs w:val="21"/>
              </w:rPr>
              <w:t>序号</w:t>
            </w:r>
          </w:p>
        </w:tc>
        <w:tc>
          <w:tcPr>
            <w:tcW w:w="473" w:type="pct"/>
            <w:vAlign w:val="center"/>
          </w:tcPr>
          <w:p>
            <w:pPr>
              <w:jc w:val="center"/>
              <w:rPr>
                <w:rFonts w:ascii="宋体" w:hAnsi="宋体" w:cs="宋体"/>
                <w:b/>
                <w:bCs/>
                <w:szCs w:val="21"/>
              </w:rPr>
            </w:pPr>
            <w:r>
              <w:rPr>
                <w:rFonts w:hint="eastAsia" w:ascii="宋体" w:hAnsi="宋体" w:cs="宋体"/>
                <w:b/>
                <w:bCs/>
                <w:szCs w:val="21"/>
              </w:rPr>
              <w:t>名称</w:t>
            </w:r>
          </w:p>
        </w:tc>
        <w:tc>
          <w:tcPr>
            <w:tcW w:w="1247" w:type="pct"/>
            <w:vAlign w:val="center"/>
          </w:tcPr>
          <w:p>
            <w:pPr>
              <w:jc w:val="center"/>
              <w:rPr>
                <w:rFonts w:ascii="宋体" w:hAnsi="宋体" w:cs="宋体"/>
                <w:b/>
                <w:bCs/>
                <w:szCs w:val="21"/>
              </w:rPr>
            </w:pPr>
            <w:r>
              <w:rPr>
                <w:rFonts w:hint="eastAsia" w:ascii="宋体" w:hAnsi="宋体" w:cs="宋体"/>
                <w:b/>
                <w:bCs/>
                <w:szCs w:val="21"/>
              </w:rPr>
              <w:t>结构及功能示意图</w:t>
            </w:r>
          </w:p>
        </w:tc>
        <w:tc>
          <w:tcPr>
            <w:tcW w:w="2647" w:type="pct"/>
            <w:gridSpan w:val="2"/>
            <w:vAlign w:val="center"/>
          </w:tcPr>
          <w:p>
            <w:pPr>
              <w:jc w:val="center"/>
              <w:rPr>
                <w:rFonts w:ascii="宋体" w:hAnsi="宋体" w:cs="宋体"/>
                <w:b/>
                <w:bCs/>
                <w:szCs w:val="21"/>
              </w:rPr>
            </w:pPr>
            <w:r>
              <w:rPr>
                <w:rFonts w:hint="eastAsia" w:ascii="宋体" w:hAnsi="宋体" w:cs="宋体"/>
                <w:b/>
                <w:bCs/>
                <w:szCs w:val="21"/>
              </w:rPr>
              <w:t>材质工艺要求</w:t>
            </w:r>
          </w:p>
        </w:tc>
        <w:tc>
          <w:tcPr>
            <w:tcW w:w="354" w:type="pct"/>
            <w:vAlign w:val="center"/>
          </w:tcPr>
          <w:p>
            <w:pPr>
              <w:jc w:val="center"/>
              <w:rPr>
                <w:rFonts w:ascii="宋体" w:hAnsi="宋体" w:cs="宋体"/>
                <w:b/>
                <w:bCs/>
                <w:szCs w:val="21"/>
              </w:rPr>
            </w:pPr>
            <w:r>
              <w:rPr>
                <w:rFonts w:hint="eastAsia" w:ascii="宋体" w:hAnsi="宋体" w:cs="宋体"/>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vMerge w:val="restart"/>
            <w:vAlign w:val="center"/>
          </w:tcPr>
          <w:p>
            <w:pPr>
              <w:jc w:val="center"/>
              <w:rPr>
                <w:rFonts w:ascii="宋体" w:hAnsi="宋体" w:cs="宋体"/>
                <w:szCs w:val="21"/>
              </w:rPr>
            </w:pPr>
            <w:r>
              <w:rPr>
                <w:rFonts w:hint="eastAsia" w:ascii="宋体" w:hAnsi="宋体" w:cs="宋体"/>
                <w:szCs w:val="21"/>
              </w:rPr>
              <w:t>1</w:t>
            </w:r>
          </w:p>
        </w:tc>
        <w:tc>
          <w:tcPr>
            <w:tcW w:w="473" w:type="pct"/>
            <w:vMerge w:val="restart"/>
            <w:vAlign w:val="center"/>
          </w:tcPr>
          <w:p>
            <w:pPr>
              <w:jc w:val="center"/>
              <w:rPr>
                <w:rFonts w:ascii="宋体" w:hAnsi="宋体" w:cs="宋体"/>
                <w:szCs w:val="21"/>
              </w:rPr>
            </w:pPr>
            <w:r>
              <w:rPr>
                <w:rFonts w:hint="eastAsia" w:ascii="宋体" w:hAnsi="宋体" w:cs="宋体"/>
                <w:b/>
                <w:bCs/>
                <w:snapToGrid w:val="0"/>
                <w:kern w:val="0"/>
                <w:sz w:val="24"/>
                <w:lang w:val="zh-CN"/>
              </w:rPr>
              <w:t>★</w:t>
            </w:r>
            <w:r>
              <w:rPr>
                <w:rFonts w:hint="eastAsia" w:ascii="宋体" w:hAnsi="宋体" w:cs="宋体"/>
                <w:szCs w:val="21"/>
              </w:rPr>
              <w:t>剧场椅</w:t>
            </w:r>
          </w:p>
        </w:tc>
        <w:tc>
          <w:tcPr>
            <w:tcW w:w="1247" w:type="pct"/>
            <w:vMerge w:val="restart"/>
            <w:vAlign w:val="center"/>
          </w:tcPr>
          <w:p>
            <w:pPr>
              <w:pStyle w:val="23"/>
              <w:spacing w:line="240" w:lineRule="auto"/>
              <w:rPr>
                <w:rFonts w:hAnsi="宋体" w:cs="宋体"/>
                <w:sz w:val="21"/>
              </w:rPr>
            </w:pPr>
          </w:p>
          <w:p>
            <w:pPr>
              <w:pStyle w:val="60"/>
              <w:spacing w:line="240" w:lineRule="auto"/>
              <w:ind w:firstLine="0"/>
              <w:rPr>
                <w:rFonts w:hAnsi="宋体" w:cs="宋体"/>
                <w:sz w:val="21"/>
                <w:szCs w:val="21"/>
              </w:rPr>
            </w:pPr>
            <w:r>
              <w:rPr>
                <w:rFonts w:hint="eastAsia" w:hAnsi="宋体" w:cs="宋体"/>
                <w:sz w:val="21"/>
                <w:szCs w:val="21"/>
              </w:rPr>
              <w:drawing>
                <wp:inline distT="0" distB="0" distL="114300" distR="114300">
                  <wp:extent cx="1273175" cy="635000"/>
                  <wp:effectExtent l="0" t="0" r="3175" b="1270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26"/>
                          <a:stretch>
                            <a:fillRect/>
                          </a:stretch>
                        </pic:blipFill>
                        <pic:spPr>
                          <a:xfrm>
                            <a:off x="0" y="0"/>
                            <a:ext cx="1273175" cy="635000"/>
                          </a:xfrm>
                          <a:prstGeom prst="rect">
                            <a:avLst/>
                          </a:prstGeom>
                        </pic:spPr>
                      </pic:pic>
                    </a:graphicData>
                  </a:graphic>
                </wp:inline>
              </w:drawing>
            </w:r>
          </w:p>
          <w:p>
            <w:pPr>
              <w:pStyle w:val="60"/>
              <w:spacing w:line="240" w:lineRule="auto"/>
              <w:rPr>
                <w:rFonts w:hAnsi="宋体" w:cs="宋体"/>
                <w:sz w:val="21"/>
                <w:szCs w:val="21"/>
              </w:rPr>
            </w:pPr>
          </w:p>
        </w:tc>
        <w:tc>
          <w:tcPr>
            <w:tcW w:w="637" w:type="pct"/>
            <w:vAlign w:val="center"/>
          </w:tcPr>
          <w:p>
            <w:pPr>
              <w:jc w:val="center"/>
              <w:rPr>
                <w:rFonts w:ascii="宋体" w:hAnsi="宋体" w:cs="宋体"/>
                <w:szCs w:val="21"/>
              </w:rPr>
            </w:pPr>
            <w:r>
              <w:rPr>
                <w:rFonts w:hint="eastAsia" w:ascii="宋体" w:hAnsi="宋体" w:cs="宋体"/>
                <w:b/>
                <w:szCs w:val="21"/>
              </w:rPr>
              <w:t>椅背</w:t>
            </w:r>
          </w:p>
        </w:tc>
        <w:tc>
          <w:tcPr>
            <w:tcW w:w="2010" w:type="pct"/>
            <w:vAlign w:val="center"/>
          </w:tcPr>
          <w:p>
            <w:pPr>
              <w:rPr>
                <w:rFonts w:ascii="宋体" w:hAnsi="宋体" w:cs="宋体"/>
                <w:szCs w:val="21"/>
              </w:rPr>
            </w:pPr>
            <w:r>
              <w:rPr>
                <w:rFonts w:hint="eastAsia" w:ascii="宋体" w:hAnsi="宋体" w:cs="宋体"/>
                <w:szCs w:val="21"/>
              </w:rPr>
              <w:t>背海绵：采用高密度冷发泡定型绵，密度50kg/m</w:t>
            </w:r>
            <w:r>
              <w:rPr>
                <w:rFonts w:hint="eastAsia" w:ascii="宋体" w:hAnsi="宋体" w:cs="宋体"/>
                <w:szCs w:val="21"/>
                <w:vertAlign w:val="superscript"/>
              </w:rPr>
              <w:t>3</w:t>
            </w:r>
            <w:r>
              <w:rPr>
                <w:rFonts w:hint="eastAsia" w:ascii="宋体" w:hAnsi="宋体" w:cs="宋体"/>
                <w:szCs w:val="21"/>
              </w:rPr>
              <w:t>。</w:t>
            </w:r>
          </w:p>
          <w:p>
            <w:pPr>
              <w:rPr>
                <w:rFonts w:ascii="宋体" w:hAnsi="宋体" w:cs="宋体"/>
                <w:szCs w:val="21"/>
              </w:rPr>
            </w:pPr>
            <w:r>
              <w:rPr>
                <w:rFonts w:hint="eastAsia" w:ascii="宋体" w:hAnsi="宋体" w:cs="宋体"/>
                <w:szCs w:val="21"/>
              </w:rPr>
              <w:t>背内板：采用E1级多层板经模具成型，具有曲线。</w:t>
            </w:r>
          </w:p>
          <w:p>
            <w:pPr>
              <w:rPr>
                <w:rFonts w:ascii="宋体" w:hAnsi="宋体" w:cs="宋体"/>
                <w:szCs w:val="21"/>
              </w:rPr>
            </w:pPr>
            <w:r>
              <w:rPr>
                <w:rFonts w:hint="eastAsia" w:ascii="宋体" w:hAnsi="宋体" w:cs="宋体"/>
                <w:szCs w:val="21"/>
              </w:rPr>
              <w:t>背外板：采用E1级多层板，厚度15mm，表面压榉木木皮，经高周波，高压制成。油漆颜色可选择。</w:t>
            </w:r>
          </w:p>
        </w:tc>
        <w:tc>
          <w:tcPr>
            <w:tcW w:w="354" w:type="pct"/>
            <w:vMerge w:val="restart"/>
            <w:vAlign w:val="center"/>
          </w:tcPr>
          <w:p>
            <w:pPr>
              <w:jc w:val="center"/>
              <w:rPr>
                <w:rFonts w:ascii="宋体" w:hAnsi="宋体" w:cs="宋体"/>
                <w:szCs w:val="21"/>
              </w:rPr>
            </w:pPr>
            <w:r>
              <w:rPr>
                <w:rFonts w:ascii="宋体" w:hAnsi="宋体" w:cs="宋体"/>
                <w:szCs w:val="21"/>
              </w:rPr>
              <w:t>1</w:t>
            </w:r>
            <w:r>
              <w:rPr>
                <w:rFonts w:hint="eastAsia" w:ascii="宋体" w:hAnsi="宋体" w:cs="宋体"/>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vMerge w:val="continue"/>
            <w:vAlign w:val="center"/>
          </w:tcPr>
          <w:p>
            <w:pPr>
              <w:jc w:val="center"/>
              <w:rPr>
                <w:rFonts w:ascii="宋体" w:hAnsi="宋体" w:cs="宋体"/>
                <w:szCs w:val="21"/>
              </w:rPr>
            </w:pPr>
          </w:p>
        </w:tc>
        <w:tc>
          <w:tcPr>
            <w:tcW w:w="473" w:type="pct"/>
            <w:vMerge w:val="continue"/>
            <w:vAlign w:val="center"/>
          </w:tcPr>
          <w:p>
            <w:pPr>
              <w:jc w:val="center"/>
              <w:rPr>
                <w:rFonts w:ascii="宋体" w:hAnsi="宋体" w:cs="宋体"/>
                <w:szCs w:val="21"/>
              </w:rPr>
            </w:pPr>
          </w:p>
        </w:tc>
        <w:tc>
          <w:tcPr>
            <w:tcW w:w="1247" w:type="pct"/>
            <w:vMerge w:val="continue"/>
            <w:vAlign w:val="center"/>
          </w:tcPr>
          <w:p>
            <w:pPr>
              <w:pStyle w:val="60"/>
              <w:spacing w:line="240" w:lineRule="auto"/>
              <w:rPr>
                <w:rFonts w:hAnsi="宋体" w:cs="宋体"/>
                <w:sz w:val="21"/>
                <w:szCs w:val="21"/>
              </w:rPr>
            </w:pPr>
          </w:p>
        </w:tc>
        <w:tc>
          <w:tcPr>
            <w:tcW w:w="637" w:type="pct"/>
            <w:vAlign w:val="center"/>
          </w:tcPr>
          <w:p>
            <w:pPr>
              <w:jc w:val="center"/>
              <w:rPr>
                <w:rFonts w:ascii="宋体" w:hAnsi="宋体" w:cs="宋体"/>
                <w:szCs w:val="21"/>
              </w:rPr>
            </w:pPr>
            <w:r>
              <w:rPr>
                <w:rFonts w:hint="eastAsia" w:ascii="宋体" w:hAnsi="宋体" w:cs="宋体"/>
                <w:b/>
                <w:szCs w:val="21"/>
              </w:rPr>
              <w:t>椅座</w:t>
            </w:r>
          </w:p>
        </w:tc>
        <w:tc>
          <w:tcPr>
            <w:tcW w:w="2010" w:type="pct"/>
            <w:vAlign w:val="center"/>
          </w:tcPr>
          <w:p>
            <w:pPr>
              <w:rPr>
                <w:rFonts w:ascii="宋体" w:hAnsi="宋体" w:cs="宋体"/>
                <w:szCs w:val="21"/>
              </w:rPr>
            </w:pPr>
            <w:r>
              <w:rPr>
                <w:rFonts w:hint="eastAsia" w:ascii="宋体" w:hAnsi="宋体" w:cs="宋体"/>
                <w:szCs w:val="21"/>
              </w:rPr>
              <w:t>座海绵：采用高密度冷发泡定型绵，密度50kg/m</w:t>
            </w:r>
            <w:r>
              <w:rPr>
                <w:rFonts w:hint="eastAsia" w:ascii="宋体" w:hAnsi="宋体" w:cs="宋体"/>
                <w:szCs w:val="21"/>
                <w:vertAlign w:val="superscript"/>
              </w:rPr>
              <w:t>3</w:t>
            </w:r>
            <w:r>
              <w:rPr>
                <w:rFonts w:hint="eastAsia" w:ascii="宋体" w:hAnsi="宋体" w:cs="宋体"/>
                <w:szCs w:val="21"/>
              </w:rPr>
              <w:t>。</w:t>
            </w:r>
          </w:p>
          <w:p>
            <w:pPr>
              <w:rPr>
                <w:rFonts w:ascii="宋体" w:hAnsi="宋体" w:cs="宋体"/>
                <w:szCs w:val="21"/>
              </w:rPr>
            </w:pPr>
            <w:r>
              <w:rPr>
                <w:rFonts w:hint="eastAsia" w:ascii="宋体" w:hAnsi="宋体" w:cs="宋体"/>
                <w:szCs w:val="21"/>
              </w:rPr>
              <w:t>座框架：采用1.5mm厚冷轧钢板，铁框+夹板结构。</w:t>
            </w:r>
          </w:p>
          <w:p>
            <w:pPr>
              <w:rPr>
                <w:rFonts w:ascii="宋体" w:hAnsi="宋体" w:cs="宋体"/>
                <w:szCs w:val="21"/>
              </w:rPr>
            </w:pPr>
            <w:r>
              <w:rPr>
                <w:rFonts w:hint="eastAsia" w:ascii="宋体" w:hAnsi="宋体" w:cs="宋体"/>
                <w:szCs w:val="21"/>
              </w:rPr>
              <w:t>座外板：采用E1级多层板，厚度15mm，表面压榉木木皮，经高周波，高压制成。附蜂窝式吸音气孔，整体吸音率0.5。油漆颜色可选择。</w:t>
            </w:r>
          </w:p>
        </w:tc>
        <w:tc>
          <w:tcPr>
            <w:tcW w:w="354" w:type="pct"/>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vMerge w:val="continue"/>
            <w:vAlign w:val="center"/>
          </w:tcPr>
          <w:p>
            <w:pPr>
              <w:jc w:val="center"/>
              <w:rPr>
                <w:rFonts w:ascii="宋体" w:hAnsi="宋体" w:cs="宋体"/>
                <w:szCs w:val="21"/>
              </w:rPr>
            </w:pPr>
          </w:p>
        </w:tc>
        <w:tc>
          <w:tcPr>
            <w:tcW w:w="473" w:type="pct"/>
            <w:vMerge w:val="continue"/>
            <w:vAlign w:val="center"/>
          </w:tcPr>
          <w:p>
            <w:pPr>
              <w:jc w:val="center"/>
              <w:rPr>
                <w:rFonts w:ascii="宋体" w:hAnsi="宋体" w:cs="宋体"/>
                <w:szCs w:val="21"/>
              </w:rPr>
            </w:pPr>
          </w:p>
        </w:tc>
        <w:tc>
          <w:tcPr>
            <w:tcW w:w="1247" w:type="pct"/>
            <w:vMerge w:val="continue"/>
            <w:vAlign w:val="center"/>
          </w:tcPr>
          <w:p>
            <w:pPr>
              <w:pStyle w:val="60"/>
              <w:spacing w:line="240" w:lineRule="auto"/>
              <w:rPr>
                <w:rFonts w:hAnsi="宋体" w:cs="宋体"/>
                <w:sz w:val="21"/>
                <w:szCs w:val="21"/>
              </w:rPr>
            </w:pPr>
          </w:p>
        </w:tc>
        <w:tc>
          <w:tcPr>
            <w:tcW w:w="637" w:type="pct"/>
            <w:vAlign w:val="center"/>
          </w:tcPr>
          <w:p>
            <w:pPr>
              <w:jc w:val="center"/>
              <w:rPr>
                <w:rFonts w:ascii="宋体" w:hAnsi="宋体" w:cs="宋体"/>
                <w:szCs w:val="21"/>
              </w:rPr>
            </w:pPr>
            <w:r>
              <w:rPr>
                <w:rFonts w:hint="eastAsia" w:ascii="宋体" w:hAnsi="宋体" w:cs="宋体"/>
                <w:b/>
                <w:szCs w:val="21"/>
              </w:rPr>
              <w:t>布料</w:t>
            </w:r>
          </w:p>
        </w:tc>
        <w:tc>
          <w:tcPr>
            <w:tcW w:w="2010" w:type="pct"/>
            <w:vAlign w:val="center"/>
          </w:tcPr>
          <w:p>
            <w:pPr>
              <w:rPr>
                <w:rFonts w:ascii="宋体" w:hAnsi="宋体" w:cs="宋体"/>
                <w:szCs w:val="21"/>
              </w:rPr>
            </w:pPr>
            <w:r>
              <w:rPr>
                <w:rFonts w:hint="eastAsia" w:ascii="宋体" w:hAnsi="宋体" w:cs="宋体"/>
                <w:szCs w:val="21"/>
              </w:rPr>
              <w:t>采用麻绒面料，须进行防潮、防尘、防污处理。颜色可选择。</w:t>
            </w:r>
          </w:p>
        </w:tc>
        <w:tc>
          <w:tcPr>
            <w:tcW w:w="354" w:type="pct"/>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vMerge w:val="continue"/>
            <w:vAlign w:val="center"/>
          </w:tcPr>
          <w:p>
            <w:pPr>
              <w:jc w:val="center"/>
              <w:rPr>
                <w:rFonts w:ascii="宋体" w:hAnsi="宋体" w:cs="宋体"/>
                <w:szCs w:val="21"/>
              </w:rPr>
            </w:pPr>
          </w:p>
        </w:tc>
        <w:tc>
          <w:tcPr>
            <w:tcW w:w="473" w:type="pct"/>
            <w:vMerge w:val="continue"/>
            <w:vAlign w:val="center"/>
          </w:tcPr>
          <w:p>
            <w:pPr>
              <w:jc w:val="center"/>
              <w:rPr>
                <w:rFonts w:ascii="宋体" w:hAnsi="宋体" w:cs="宋体"/>
                <w:szCs w:val="21"/>
              </w:rPr>
            </w:pPr>
          </w:p>
        </w:tc>
        <w:tc>
          <w:tcPr>
            <w:tcW w:w="1247" w:type="pct"/>
            <w:vMerge w:val="continue"/>
            <w:vAlign w:val="center"/>
          </w:tcPr>
          <w:p>
            <w:pPr>
              <w:pStyle w:val="60"/>
              <w:spacing w:line="240" w:lineRule="auto"/>
              <w:rPr>
                <w:rFonts w:hAnsi="宋体" w:cs="宋体"/>
                <w:sz w:val="21"/>
                <w:szCs w:val="21"/>
              </w:rPr>
            </w:pPr>
          </w:p>
        </w:tc>
        <w:tc>
          <w:tcPr>
            <w:tcW w:w="637" w:type="pct"/>
            <w:vAlign w:val="center"/>
          </w:tcPr>
          <w:p>
            <w:pPr>
              <w:jc w:val="center"/>
              <w:rPr>
                <w:rFonts w:ascii="宋体" w:hAnsi="宋体" w:cs="宋体"/>
                <w:szCs w:val="21"/>
              </w:rPr>
            </w:pPr>
            <w:r>
              <w:rPr>
                <w:rFonts w:hint="eastAsia" w:ascii="宋体" w:hAnsi="宋体" w:cs="宋体"/>
                <w:b/>
                <w:szCs w:val="21"/>
              </w:rPr>
              <w:t>扶手脚架</w:t>
            </w:r>
          </w:p>
        </w:tc>
        <w:tc>
          <w:tcPr>
            <w:tcW w:w="2010" w:type="pct"/>
            <w:vAlign w:val="center"/>
          </w:tcPr>
          <w:p>
            <w:pPr>
              <w:rPr>
                <w:rFonts w:ascii="宋体" w:hAnsi="宋体" w:cs="宋体"/>
                <w:szCs w:val="21"/>
              </w:rPr>
            </w:pPr>
            <w:r>
              <w:rPr>
                <w:rFonts w:hint="eastAsia" w:ascii="宋体" w:hAnsi="宋体" w:cs="宋体"/>
                <w:szCs w:val="21"/>
              </w:rPr>
              <w:t>采用铝合金或钢制材质，扶手脚架一体式结构</w:t>
            </w:r>
            <w:r>
              <w:rPr>
                <w:rFonts w:ascii="宋体" w:hAnsi="宋体" w:cs="宋体"/>
                <w:szCs w:val="21"/>
              </w:rPr>
              <w:t xml:space="preserve"> </w:t>
            </w:r>
          </w:p>
        </w:tc>
        <w:tc>
          <w:tcPr>
            <w:tcW w:w="354" w:type="pct"/>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vMerge w:val="continue"/>
            <w:vAlign w:val="center"/>
          </w:tcPr>
          <w:p>
            <w:pPr>
              <w:jc w:val="center"/>
              <w:rPr>
                <w:rFonts w:ascii="宋体" w:hAnsi="宋体" w:cs="宋体"/>
                <w:szCs w:val="21"/>
              </w:rPr>
            </w:pPr>
          </w:p>
        </w:tc>
        <w:tc>
          <w:tcPr>
            <w:tcW w:w="473" w:type="pct"/>
            <w:vMerge w:val="continue"/>
            <w:vAlign w:val="center"/>
          </w:tcPr>
          <w:p>
            <w:pPr>
              <w:jc w:val="center"/>
              <w:rPr>
                <w:rFonts w:ascii="宋体" w:hAnsi="宋体" w:cs="宋体"/>
                <w:szCs w:val="21"/>
              </w:rPr>
            </w:pPr>
          </w:p>
        </w:tc>
        <w:tc>
          <w:tcPr>
            <w:tcW w:w="1247" w:type="pct"/>
            <w:vMerge w:val="continue"/>
            <w:vAlign w:val="center"/>
          </w:tcPr>
          <w:p>
            <w:pPr>
              <w:pStyle w:val="60"/>
              <w:spacing w:line="240" w:lineRule="auto"/>
              <w:rPr>
                <w:rFonts w:hAnsi="宋体" w:cs="宋体"/>
                <w:sz w:val="21"/>
                <w:szCs w:val="21"/>
              </w:rPr>
            </w:pPr>
          </w:p>
        </w:tc>
        <w:tc>
          <w:tcPr>
            <w:tcW w:w="637" w:type="pct"/>
            <w:vAlign w:val="center"/>
          </w:tcPr>
          <w:p>
            <w:pPr>
              <w:jc w:val="center"/>
              <w:rPr>
                <w:rFonts w:ascii="宋体" w:hAnsi="宋体" w:cs="宋体"/>
                <w:szCs w:val="21"/>
              </w:rPr>
            </w:pPr>
            <w:r>
              <w:rPr>
                <w:rFonts w:hint="eastAsia" w:ascii="宋体" w:hAnsi="宋体" w:cs="宋体"/>
                <w:b/>
                <w:szCs w:val="21"/>
              </w:rPr>
              <w:t>扶手面</w:t>
            </w:r>
          </w:p>
        </w:tc>
        <w:tc>
          <w:tcPr>
            <w:tcW w:w="2010" w:type="pct"/>
            <w:vAlign w:val="center"/>
          </w:tcPr>
          <w:p>
            <w:pPr>
              <w:rPr>
                <w:rFonts w:ascii="宋体" w:hAnsi="宋体" w:cs="宋体"/>
                <w:szCs w:val="21"/>
              </w:rPr>
            </w:pPr>
            <w:r>
              <w:rPr>
                <w:rFonts w:hint="eastAsia" w:ascii="宋体" w:hAnsi="宋体" w:cs="宋体"/>
                <w:szCs w:val="21"/>
              </w:rPr>
              <w:t>采用橡木，经三底三面油漆工艺。</w:t>
            </w:r>
          </w:p>
        </w:tc>
        <w:tc>
          <w:tcPr>
            <w:tcW w:w="354" w:type="pct"/>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vMerge w:val="continue"/>
            <w:vAlign w:val="center"/>
          </w:tcPr>
          <w:p>
            <w:pPr>
              <w:jc w:val="center"/>
              <w:rPr>
                <w:rFonts w:ascii="宋体" w:hAnsi="宋体" w:cs="宋体"/>
                <w:szCs w:val="21"/>
              </w:rPr>
            </w:pPr>
          </w:p>
        </w:tc>
        <w:tc>
          <w:tcPr>
            <w:tcW w:w="473" w:type="pct"/>
            <w:vMerge w:val="continue"/>
            <w:vAlign w:val="center"/>
          </w:tcPr>
          <w:p>
            <w:pPr>
              <w:jc w:val="center"/>
              <w:rPr>
                <w:rFonts w:ascii="宋体" w:hAnsi="宋体" w:cs="宋体"/>
                <w:szCs w:val="21"/>
              </w:rPr>
            </w:pPr>
          </w:p>
        </w:tc>
        <w:tc>
          <w:tcPr>
            <w:tcW w:w="1247" w:type="pct"/>
            <w:vMerge w:val="continue"/>
            <w:vAlign w:val="center"/>
          </w:tcPr>
          <w:p>
            <w:pPr>
              <w:pStyle w:val="60"/>
              <w:spacing w:line="240" w:lineRule="auto"/>
              <w:rPr>
                <w:rFonts w:hAnsi="宋体" w:cs="宋体"/>
                <w:sz w:val="21"/>
                <w:szCs w:val="21"/>
              </w:rPr>
            </w:pPr>
          </w:p>
        </w:tc>
        <w:tc>
          <w:tcPr>
            <w:tcW w:w="637" w:type="pct"/>
            <w:vAlign w:val="center"/>
          </w:tcPr>
          <w:p>
            <w:pPr>
              <w:jc w:val="center"/>
              <w:rPr>
                <w:rFonts w:ascii="宋体" w:hAnsi="宋体" w:cs="宋体"/>
                <w:szCs w:val="21"/>
              </w:rPr>
            </w:pPr>
            <w:r>
              <w:rPr>
                <w:rFonts w:hint="eastAsia" w:ascii="宋体" w:hAnsi="宋体" w:cs="宋体"/>
                <w:b/>
                <w:szCs w:val="21"/>
              </w:rPr>
              <w:t>写字板</w:t>
            </w:r>
          </w:p>
        </w:tc>
        <w:tc>
          <w:tcPr>
            <w:tcW w:w="2010" w:type="pct"/>
            <w:vAlign w:val="center"/>
          </w:tcPr>
          <w:p>
            <w:pPr>
              <w:rPr>
                <w:rFonts w:ascii="宋体" w:hAnsi="宋体" w:cs="宋体"/>
                <w:szCs w:val="21"/>
              </w:rPr>
            </w:pPr>
            <w:r>
              <w:rPr>
                <w:rFonts w:hint="eastAsia" w:ascii="宋体" w:hAnsi="宋体" w:cs="宋体"/>
                <w:szCs w:val="21"/>
              </w:rPr>
              <w:t>写字板机构与脚架一体成型，旋转无声，写字板可360度旋转。写字板收藏于扶手脚内侧。写字板采用PP或铝合金材质，规格为长≥320mm，宽≥260mm，厚≥10mm。</w:t>
            </w:r>
          </w:p>
        </w:tc>
        <w:tc>
          <w:tcPr>
            <w:tcW w:w="354" w:type="pct"/>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vMerge w:val="continue"/>
            <w:vAlign w:val="center"/>
          </w:tcPr>
          <w:p>
            <w:pPr>
              <w:jc w:val="center"/>
              <w:rPr>
                <w:rFonts w:ascii="宋体" w:hAnsi="宋体" w:cs="宋体"/>
                <w:szCs w:val="21"/>
              </w:rPr>
            </w:pPr>
          </w:p>
        </w:tc>
        <w:tc>
          <w:tcPr>
            <w:tcW w:w="473" w:type="pct"/>
            <w:vMerge w:val="continue"/>
            <w:vAlign w:val="center"/>
          </w:tcPr>
          <w:p>
            <w:pPr>
              <w:jc w:val="center"/>
              <w:rPr>
                <w:rFonts w:ascii="宋体" w:hAnsi="宋体" w:cs="宋体"/>
                <w:szCs w:val="21"/>
              </w:rPr>
            </w:pPr>
          </w:p>
        </w:tc>
        <w:tc>
          <w:tcPr>
            <w:tcW w:w="1247" w:type="pct"/>
            <w:vMerge w:val="continue"/>
            <w:vAlign w:val="center"/>
          </w:tcPr>
          <w:p>
            <w:pPr>
              <w:pStyle w:val="60"/>
              <w:spacing w:line="240" w:lineRule="auto"/>
              <w:rPr>
                <w:rFonts w:hAnsi="宋体" w:cs="宋体"/>
                <w:sz w:val="21"/>
                <w:szCs w:val="21"/>
              </w:rPr>
            </w:pPr>
          </w:p>
        </w:tc>
        <w:tc>
          <w:tcPr>
            <w:tcW w:w="637" w:type="pct"/>
            <w:vAlign w:val="center"/>
          </w:tcPr>
          <w:p>
            <w:pPr>
              <w:jc w:val="center"/>
              <w:rPr>
                <w:rFonts w:ascii="宋体" w:hAnsi="宋体" w:cs="宋体"/>
                <w:szCs w:val="21"/>
              </w:rPr>
            </w:pPr>
            <w:r>
              <w:rPr>
                <w:rFonts w:hint="eastAsia" w:ascii="宋体" w:hAnsi="宋体" w:cs="宋体"/>
                <w:b/>
                <w:szCs w:val="21"/>
              </w:rPr>
              <w:t>回复机构</w:t>
            </w:r>
          </w:p>
        </w:tc>
        <w:tc>
          <w:tcPr>
            <w:tcW w:w="2010" w:type="pct"/>
            <w:vAlign w:val="center"/>
          </w:tcPr>
          <w:p>
            <w:pPr>
              <w:rPr>
                <w:rFonts w:ascii="宋体" w:hAnsi="宋体" w:cs="宋体"/>
                <w:szCs w:val="21"/>
              </w:rPr>
            </w:pPr>
            <w:r>
              <w:rPr>
                <w:rFonts w:hint="eastAsia" w:ascii="宋体" w:hAnsi="宋体" w:cs="宋体"/>
                <w:szCs w:val="21"/>
              </w:rPr>
              <w:t>采用弹簧加阻尼器自动回复装置。</w:t>
            </w:r>
          </w:p>
        </w:tc>
        <w:tc>
          <w:tcPr>
            <w:tcW w:w="354" w:type="pct"/>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vMerge w:val="continue"/>
            <w:vAlign w:val="center"/>
          </w:tcPr>
          <w:p>
            <w:pPr>
              <w:jc w:val="center"/>
              <w:rPr>
                <w:rFonts w:ascii="宋体" w:hAnsi="宋体" w:cs="宋体"/>
                <w:szCs w:val="21"/>
              </w:rPr>
            </w:pPr>
          </w:p>
        </w:tc>
        <w:tc>
          <w:tcPr>
            <w:tcW w:w="473" w:type="pct"/>
            <w:vMerge w:val="continue"/>
            <w:vAlign w:val="center"/>
          </w:tcPr>
          <w:p>
            <w:pPr>
              <w:jc w:val="center"/>
              <w:rPr>
                <w:rFonts w:ascii="宋体" w:hAnsi="宋体" w:cs="宋体"/>
                <w:szCs w:val="21"/>
              </w:rPr>
            </w:pPr>
          </w:p>
        </w:tc>
        <w:tc>
          <w:tcPr>
            <w:tcW w:w="1247" w:type="pct"/>
            <w:vMerge w:val="continue"/>
            <w:vAlign w:val="center"/>
          </w:tcPr>
          <w:p>
            <w:pPr>
              <w:pStyle w:val="60"/>
              <w:spacing w:line="240" w:lineRule="auto"/>
              <w:rPr>
                <w:rFonts w:hAnsi="宋体" w:cs="宋体"/>
                <w:sz w:val="21"/>
                <w:szCs w:val="21"/>
              </w:rPr>
            </w:pPr>
          </w:p>
        </w:tc>
        <w:tc>
          <w:tcPr>
            <w:tcW w:w="637" w:type="pct"/>
            <w:vAlign w:val="center"/>
          </w:tcPr>
          <w:p>
            <w:pPr>
              <w:jc w:val="center"/>
              <w:rPr>
                <w:rFonts w:ascii="宋体" w:hAnsi="宋体" w:cs="宋体"/>
                <w:b/>
                <w:szCs w:val="21"/>
              </w:rPr>
            </w:pPr>
            <w:r>
              <w:rPr>
                <w:rFonts w:hint="eastAsia" w:ascii="宋体" w:hAnsi="宋体" w:cs="宋体"/>
                <w:b/>
                <w:szCs w:val="21"/>
              </w:rPr>
              <w:t>主要规格</w:t>
            </w:r>
          </w:p>
        </w:tc>
        <w:tc>
          <w:tcPr>
            <w:tcW w:w="2010" w:type="pct"/>
            <w:vAlign w:val="center"/>
          </w:tcPr>
          <w:p>
            <w:pPr>
              <w:rPr>
                <w:rFonts w:ascii="宋体" w:hAnsi="宋体" w:cs="宋体"/>
                <w:szCs w:val="21"/>
              </w:rPr>
            </w:pPr>
            <w:r>
              <w:rPr>
                <w:rFonts w:hint="eastAsia" w:ascii="宋体" w:hAnsi="宋体" w:cs="宋体"/>
                <w:szCs w:val="21"/>
              </w:rPr>
              <w:t>中心距：570mm；座内宽：520mm；座深：460mm；座高：450mm；扶手高：635mm；扶手宽：50mm；全高：1020mm。</w:t>
            </w:r>
          </w:p>
        </w:tc>
        <w:tc>
          <w:tcPr>
            <w:tcW w:w="354" w:type="pct"/>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vMerge w:val="continue"/>
            <w:vAlign w:val="center"/>
          </w:tcPr>
          <w:p>
            <w:pPr>
              <w:jc w:val="center"/>
              <w:rPr>
                <w:rFonts w:ascii="宋体" w:hAnsi="宋体" w:cs="宋体"/>
                <w:szCs w:val="21"/>
              </w:rPr>
            </w:pPr>
          </w:p>
        </w:tc>
        <w:tc>
          <w:tcPr>
            <w:tcW w:w="473" w:type="pct"/>
            <w:vMerge w:val="continue"/>
            <w:vAlign w:val="center"/>
          </w:tcPr>
          <w:p>
            <w:pPr>
              <w:jc w:val="center"/>
              <w:rPr>
                <w:rFonts w:ascii="宋体" w:hAnsi="宋体" w:cs="宋体"/>
                <w:szCs w:val="21"/>
              </w:rPr>
            </w:pPr>
          </w:p>
        </w:tc>
        <w:tc>
          <w:tcPr>
            <w:tcW w:w="1247" w:type="pct"/>
            <w:vMerge w:val="continue"/>
            <w:vAlign w:val="center"/>
          </w:tcPr>
          <w:p>
            <w:pPr>
              <w:pStyle w:val="60"/>
              <w:spacing w:line="240" w:lineRule="auto"/>
              <w:rPr>
                <w:rFonts w:hAnsi="宋体" w:cs="宋体"/>
                <w:sz w:val="21"/>
                <w:szCs w:val="21"/>
                <w:lang w:val="en-US"/>
              </w:rPr>
            </w:pPr>
          </w:p>
        </w:tc>
        <w:tc>
          <w:tcPr>
            <w:tcW w:w="637" w:type="pct"/>
            <w:vAlign w:val="center"/>
          </w:tcPr>
          <w:p>
            <w:pPr>
              <w:jc w:val="center"/>
              <w:rPr>
                <w:rFonts w:ascii="宋体" w:hAnsi="宋体" w:cs="宋体"/>
                <w:b/>
                <w:szCs w:val="21"/>
              </w:rPr>
            </w:pPr>
            <w:r>
              <w:rPr>
                <w:rFonts w:hint="eastAsia" w:ascii="宋体" w:hAnsi="宋体" w:cs="宋体"/>
                <w:b/>
                <w:szCs w:val="21"/>
              </w:rPr>
              <w:t>配件</w:t>
            </w:r>
          </w:p>
        </w:tc>
        <w:tc>
          <w:tcPr>
            <w:tcW w:w="2010" w:type="pct"/>
            <w:vAlign w:val="center"/>
          </w:tcPr>
          <w:p>
            <w:pPr>
              <w:rPr>
                <w:rFonts w:ascii="宋体" w:hAnsi="宋体" w:cs="宋体"/>
                <w:szCs w:val="21"/>
              </w:rPr>
            </w:pPr>
            <w:r>
              <w:rPr>
                <w:rFonts w:hint="eastAsia" w:ascii="宋体" w:hAnsi="宋体" w:cs="宋体"/>
                <w:szCs w:val="21"/>
              </w:rPr>
              <w:t>号码、行码牌：采用夜光材质。</w:t>
            </w:r>
          </w:p>
        </w:tc>
        <w:tc>
          <w:tcPr>
            <w:tcW w:w="354" w:type="pct"/>
            <w:vMerge w:val="continue"/>
            <w:vAlign w:val="center"/>
          </w:tcPr>
          <w:p>
            <w:pPr>
              <w:jc w:val="center"/>
              <w:rPr>
                <w:rFonts w:ascii="宋体" w:hAnsi="宋体" w:cs="宋体"/>
                <w:szCs w:val="21"/>
              </w:rPr>
            </w:pPr>
          </w:p>
        </w:tc>
      </w:tr>
    </w:tbl>
    <w:p/>
    <w:p/>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
      <w:pPr>
        <w:jc w:val="center"/>
        <w:rPr>
          <w:rFonts w:ascii="宋体" w:hAnsi="宋体" w:cs="宋体"/>
          <w:snapToGrid w:val="0"/>
          <w:kern w:val="0"/>
          <w:sz w:val="24"/>
        </w:rPr>
      </w:pPr>
      <w:r>
        <w:rPr>
          <w:rFonts w:hint="eastAsia" w:ascii="宋体" w:hAnsi="宋体" w:cs="宋体"/>
          <w:b/>
          <w:sz w:val="36"/>
          <w:szCs w:val="36"/>
        </w:rPr>
        <w:t xml:space="preserve">第四部分 </w:t>
      </w:r>
      <w:bookmarkStart w:id="35" w:name="_Toc184312074"/>
      <w:bookmarkEnd w:id="35"/>
      <w:bookmarkStart w:id="36" w:name="_Toc184310321"/>
      <w:bookmarkEnd w:id="36"/>
      <w:bookmarkStart w:id="37" w:name="_Toc184312133"/>
      <w:bookmarkEnd w:id="37"/>
      <w:bookmarkStart w:id="38" w:name="_Toc184308108"/>
      <w:bookmarkEnd w:id="38"/>
      <w:bookmarkStart w:id="39" w:name="_Toc184312123"/>
      <w:bookmarkEnd w:id="39"/>
      <w:bookmarkStart w:id="40" w:name="_Toc184312082"/>
      <w:bookmarkEnd w:id="40"/>
      <w:bookmarkStart w:id="41" w:name="_Toc184313247"/>
      <w:bookmarkEnd w:id="41"/>
      <w:bookmarkStart w:id="42" w:name="_Toc184310300"/>
      <w:bookmarkEnd w:id="42"/>
      <w:bookmarkStart w:id="43" w:name="_Toc184308061"/>
      <w:bookmarkEnd w:id="43"/>
      <w:bookmarkStart w:id="44" w:name="_Toc184312134"/>
      <w:bookmarkEnd w:id="44"/>
      <w:bookmarkStart w:id="45" w:name="_Toc184310310"/>
      <w:bookmarkEnd w:id="45"/>
      <w:bookmarkStart w:id="46" w:name="_Toc184310306"/>
      <w:bookmarkEnd w:id="46"/>
      <w:bookmarkStart w:id="47" w:name="_Toc184308059"/>
      <w:bookmarkEnd w:id="47"/>
      <w:bookmarkStart w:id="48" w:name="_Toc184308104"/>
      <w:bookmarkEnd w:id="48"/>
      <w:bookmarkStart w:id="49" w:name="_Toc184308043"/>
      <w:bookmarkEnd w:id="49"/>
      <w:bookmarkStart w:id="50" w:name="_Toc184308097"/>
      <w:bookmarkEnd w:id="50"/>
      <w:bookmarkStart w:id="51" w:name="_Toc184314429"/>
      <w:bookmarkEnd w:id="51"/>
      <w:bookmarkStart w:id="52" w:name="_Toc184310275"/>
      <w:bookmarkEnd w:id="52"/>
      <w:bookmarkStart w:id="53" w:name="_Toc184313242"/>
      <w:bookmarkEnd w:id="53"/>
      <w:bookmarkStart w:id="54" w:name="_Toc184314438"/>
      <w:bookmarkEnd w:id="54"/>
      <w:bookmarkStart w:id="55" w:name="_Toc184310341"/>
      <w:bookmarkEnd w:id="55"/>
      <w:bookmarkStart w:id="56" w:name="_Toc184308046"/>
      <w:bookmarkEnd w:id="56"/>
      <w:bookmarkStart w:id="57" w:name="_Toc184312118"/>
      <w:bookmarkEnd w:id="57"/>
      <w:bookmarkStart w:id="58" w:name="_Toc184308092"/>
      <w:bookmarkEnd w:id="58"/>
      <w:bookmarkStart w:id="59" w:name="_Toc184308053"/>
      <w:bookmarkEnd w:id="59"/>
      <w:bookmarkStart w:id="60" w:name="_Toc184308048"/>
      <w:bookmarkEnd w:id="60"/>
      <w:bookmarkStart w:id="61" w:name="_Toc184312069"/>
      <w:bookmarkEnd w:id="61"/>
      <w:bookmarkStart w:id="62" w:name="_Toc184314437"/>
      <w:bookmarkEnd w:id="62"/>
      <w:bookmarkStart w:id="63" w:name="_Toc184313262"/>
      <w:bookmarkEnd w:id="63"/>
      <w:bookmarkStart w:id="64" w:name="_Toc184308079"/>
      <w:bookmarkEnd w:id="64"/>
      <w:bookmarkStart w:id="65" w:name="_Toc184312104"/>
      <w:bookmarkEnd w:id="65"/>
      <w:bookmarkStart w:id="66" w:name="_Toc184312121"/>
      <w:bookmarkEnd w:id="66"/>
      <w:bookmarkStart w:id="67" w:name="_Toc184312128"/>
      <w:bookmarkEnd w:id="67"/>
      <w:bookmarkStart w:id="68" w:name="_Toc184314441"/>
      <w:bookmarkEnd w:id="68"/>
      <w:bookmarkStart w:id="69" w:name="_Toc184312114"/>
      <w:bookmarkEnd w:id="69"/>
      <w:bookmarkStart w:id="70" w:name="_Toc184310293"/>
      <w:bookmarkEnd w:id="70"/>
      <w:bookmarkStart w:id="71" w:name="_Toc184308075"/>
      <w:bookmarkEnd w:id="71"/>
      <w:bookmarkStart w:id="72" w:name="_Toc184313299"/>
      <w:bookmarkEnd w:id="72"/>
      <w:bookmarkStart w:id="73" w:name="_Toc184310343"/>
      <w:bookmarkEnd w:id="73"/>
      <w:bookmarkStart w:id="74" w:name="_Toc184310331"/>
      <w:bookmarkEnd w:id="74"/>
      <w:bookmarkStart w:id="75" w:name="_Toc184308088"/>
      <w:bookmarkEnd w:id="75"/>
      <w:bookmarkStart w:id="76" w:name="_Toc184313257"/>
      <w:bookmarkEnd w:id="76"/>
      <w:bookmarkStart w:id="77" w:name="_Toc184313288"/>
      <w:bookmarkEnd w:id="77"/>
      <w:bookmarkStart w:id="78" w:name="_Toc184313300"/>
      <w:bookmarkEnd w:id="78"/>
      <w:bookmarkStart w:id="79" w:name="_Toc184312124"/>
      <w:bookmarkEnd w:id="79"/>
      <w:bookmarkStart w:id="80" w:name="_Toc184313310"/>
      <w:bookmarkEnd w:id="80"/>
      <w:bookmarkStart w:id="81" w:name="_Toc184312079"/>
      <w:bookmarkEnd w:id="81"/>
      <w:bookmarkStart w:id="82" w:name="_Toc184312083"/>
      <w:bookmarkEnd w:id="82"/>
      <w:bookmarkStart w:id="83" w:name="_Toc184314470"/>
      <w:bookmarkEnd w:id="83"/>
      <w:bookmarkStart w:id="84" w:name="_Toc184313241"/>
      <w:bookmarkEnd w:id="84"/>
      <w:bookmarkStart w:id="85" w:name="_Toc184308087"/>
      <w:bookmarkEnd w:id="85"/>
      <w:bookmarkStart w:id="86" w:name="_Toc184308064"/>
      <w:bookmarkEnd w:id="86"/>
      <w:bookmarkStart w:id="87" w:name="_Toc184310315"/>
      <w:bookmarkEnd w:id="87"/>
      <w:bookmarkStart w:id="88" w:name="_Toc184308099"/>
      <w:bookmarkEnd w:id="88"/>
      <w:bookmarkStart w:id="89" w:name="_Toc184308093"/>
      <w:bookmarkEnd w:id="89"/>
      <w:bookmarkStart w:id="90" w:name="_Toc184312120"/>
      <w:bookmarkEnd w:id="90"/>
      <w:bookmarkStart w:id="91" w:name="_Toc184312112"/>
      <w:bookmarkEnd w:id="91"/>
      <w:bookmarkStart w:id="92" w:name="_Toc184313290"/>
      <w:bookmarkEnd w:id="92"/>
      <w:bookmarkStart w:id="93" w:name="_Toc184312077"/>
      <w:bookmarkEnd w:id="93"/>
      <w:bookmarkStart w:id="94" w:name="_Toc184312094"/>
      <w:bookmarkEnd w:id="94"/>
      <w:bookmarkStart w:id="95" w:name="_Toc184312137"/>
      <w:bookmarkEnd w:id="95"/>
      <w:bookmarkStart w:id="96" w:name="_Toc184308069"/>
      <w:bookmarkEnd w:id="96"/>
      <w:bookmarkStart w:id="97" w:name="_Toc184314468"/>
      <w:bookmarkEnd w:id="97"/>
      <w:bookmarkStart w:id="98" w:name="_Toc184308065"/>
      <w:bookmarkEnd w:id="98"/>
      <w:bookmarkStart w:id="99" w:name="_Toc184310298"/>
      <w:bookmarkEnd w:id="99"/>
      <w:bookmarkStart w:id="100" w:name="_Toc184310338"/>
      <w:bookmarkEnd w:id="100"/>
      <w:bookmarkStart w:id="101" w:name="_Toc184310327"/>
      <w:bookmarkEnd w:id="101"/>
      <w:bookmarkStart w:id="102" w:name="_Toc184312103"/>
      <w:bookmarkEnd w:id="102"/>
      <w:bookmarkStart w:id="103" w:name="_Toc184312072"/>
      <w:bookmarkEnd w:id="103"/>
      <w:bookmarkStart w:id="104" w:name="_Toc184308105"/>
      <w:bookmarkEnd w:id="104"/>
      <w:bookmarkStart w:id="105" w:name="_Toc184310322"/>
      <w:bookmarkEnd w:id="105"/>
      <w:bookmarkStart w:id="106" w:name="_Toc184310280"/>
      <w:bookmarkEnd w:id="106"/>
      <w:bookmarkStart w:id="107" w:name="_Toc184314443"/>
      <w:bookmarkEnd w:id="107"/>
      <w:bookmarkStart w:id="108" w:name="_Toc184313251"/>
      <w:bookmarkEnd w:id="108"/>
      <w:bookmarkStart w:id="109" w:name="_Toc184310283"/>
      <w:bookmarkEnd w:id="109"/>
      <w:bookmarkStart w:id="110" w:name="_Toc184308081"/>
      <w:bookmarkEnd w:id="110"/>
      <w:bookmarkStart w:id="111" w:name="_Toc184313308"/>
      <w:bookmarkEnd w:id="111"/>
      <w:bookmarkStart w:id="112" w:name="_Toc184308042"/>
      <w:bookmarkEnd w:id="112"/>
      <w:bookmarkStart w:id="113" w:name="_Toc184313293"/>
      <w:bookmarkEnd w:id="113"/>
      <w:bookmarkStart w:id="114" w:name="_Toc184310335"/>
      <w:bookmarkEnd w:id="114"/>
      <w:bookmarkStart w:id="115" w:name="_Toc184314477"/>
      <w:bookmarkEnd w:id="115"/>
      <w:bookmarkStart w:id="116" w:name="_Toc184314463"/>
      <w:bookmarkEnd w:id="116"/>
      <w:bookmarkStart w:id="117" w:name="_Toc184314475"/>
      <w:bookmarkEnd w:id="117"/>
      <w:bookmarkStart w:id="118" w:name="_Toc184308078"/>
      <w:bookmarkEnd w:id="118"/>
      <w:bookmarkStart w:id="119" w:name="_Toc184308085"/>
      <w:bookmarkEnd w:id="119"/>
      <w:bookmarkStart w:id="120" w:name="_Toc184310340"/>
      <w:bookmarkEnd w:id="120"/>
      <w:bookmarkStart w:id="121" w:name="_Toc184314481"/>
      <w:bookmarkEnd w:id="121"/>
      <w:bookmarkStart w:id="122" w:name="_Toc184310307"/>
      <w:bookmarkEnd w:id="122"/>
      <w:bookmarkStart w:id="123" w:name="_Toc184314444"/>
      <w:bookmarkEnd w:id="123"/>
      <w:bookmarkStart w:id="124" w:name="_Toc184308073"/>
      <w:bookmarkEnd w:id="124"/>
      <w:bookmarkStart w:id="125" w:name="_Toc184313303"/>
      <w:bookmarkEnd w:id="125"/>
      <w:bookmarkStart w:id="126" w:name="_Toc184312113"/>
      <w:bookmarkEnd w:id="126"/>
      <w:bookmarkStart w:id="127" w:name="_Toc184310317"/>
      <w:bookmarkEnd w:id="127"/>
      <w:bookmarkStart w:id="128" w:name="_Toc184313248"/>
      <w:bookmarkEnd w:id="128"/>
      <w:bookmarkStart w:id="129" w:name="_Toc184313281"/>
      <w:bookmarkEnd w:id="129"/>
      <w:bookmarkStart w:id="130" w:name="_Toc184308054"/>
      <w:bookmarkEnd w:id="130"/>
      <w:bookmarkStart w:id="131" w:name="_Toc184310336"/>
      <w:bookmarkEnd w:id="131"/>
      <w:bookmarkStart w:id="132" w:name="_Toc184312109"/>
      <w:bookmarkEnd w:id="132"/>
      <w:bookmarkStart w:id="133" w:name="_Toc184312130"/>
      <w:bookmarkEnd w:id="133"/>
      <w:bookmarkStart w:id="134" w:name="_Toc184314452"/>
      <w:bookmarkEnd w:id="134"/>
      <w:bookmarkStart w:id="135" w:name="_Toc184312068"/>
      <w:bookmarkEnd w:id="135"/>
      <w:bookmarkStart w:id="136" w:name="_Toc184314419"/>
      <w:bookmarkEnd w:id="136"/>
      <w:bookmarkStart w:id="137" w:name="_Toc184308055"/>
      <w:bookmarkEnd w:id="137"/>
      <w:bookmarkStart w:id="138" w:name="_Toc184314428"/>
      <w:bookmarkEnd w:id="138"/>
      <w:bookmarkStart w:id="139" w:name="_Toc184312119"/>
      <w:bookmarkEnd w:id="139"/>
      <w:bookmarkStart w:id="140" w:name="_Toc184314430"/>
      <w:bookmarkEnd w:id="140"/>
      <w:bookmarkStart w:id="141" w:name="_Toc184312086"/>
      <w:bookmarkEnd w:id="141"/>
      <w:bookmarkStart w:id="142" w:name="_Toc184313309"/>
      <w:bookmarkEnd w:id="142"/>
      <w:bookmarkStart w:id="143" w:name="_Toc184314465"/>
      <w:bookmarkEnd w:id="143"/>
      <w:bookmarkStart w:id="144" w:name="_Toc184313276"/>
      <w:bookmarkEnd w:id="144"/>
      <w:bookmarkStart w:id="145" w:name="_Toc184314458"/>
      <w:bookmarkEnd w:id="145"/>
      <w:bookmarkStart w:id="146" w:name="_Toc184312110"/>
      <w:bookmarkEnd w:id="146"/>
      <w:bookmarkStart w:id="147" w:name="_Toc184308074"/>
      <w:bookmarkEnd w:id="147"/>
      <w:bookmarkStart w:id="148" w:name="_Toc184308056"/>
      <w:bookmarkEnd w:id="148"/>
      <w:bookmarkStart w:id="149" w:name="_Toc184313304"/>
      <w:bookmarkEnd w:id="149"/>
      <w:bookmarkStart w:id="150" w:name="_Toc184310316"/>
      <w:bookmarkEnd w:id="150"/>
      <w:bookmarkStart w:id="151" w:name="_Toc184310334"/>
      <w:bookmarkEnd w:id="151"/>
      <w:bookmarkStart w:id="152" w:name="_Toc184312126"/>
      <w:bookmarkEnd w:id="152"/>
      <w:bookmarkStart w:id="153" w:name="_Toc184314440"/>
      <w:bookmarkEnd w:id="153"/>
      <w:bookmarkStart w:id="154" w:name="_Toc184314413"/>
      <w:bookmarkEnd w:id="154"/>
      <w:bookmarkStart w:id="155" w:name="_Toc184313268"/>
      <w:bookmarkEnd w:id="155"/>
      <w:bookmarkStart w:id="156" w:name="_Toc184310302"/>
      <w:bookmarkEnd w:id="156"/>
      <w:bookmarkStart w:id="157" w:name="_Toc184310278"/>
      <w:bookmarkEnd w:id="157"/>
      <w:bookmarkStart w:id="158" w:name="_Toc184312087"/>
      <w:bookmarkEnd w:id="158"/>
      <w:bookmarkStart w:id="159" w:name="_Toc184314459"/>
      <w:bookmarkEnd w:id="159"/>
      <w:bookmarkStart w:id="160" w:name="_Toc184310308"/>
      <w:bookmarkEnd w:id="160"/>
      <w:bookmarkStart w:id="161" w:name="_Toc184313298"/>
      <w:bookmarkEnd w:id="161"/>
      <w:bookmarkStart w:id="162" w:name="_Toc184314427"/>
      <w:bookmarkEnd w:id="162"/>
      <w:bookmarkStart w:id="163" w:name="_Toc184312096"/>
      <w:bookmarkEnd w:id="163"/>
      <w:bookmarkStart w:id="164" w:name="_Toc184308103"/>
      <w:bookmarkEnd w:id="164"/>
      <w:bookmarkStart w:id="165" w:name="_Toc184312090"/>
      <w:bookmarkEnd w:id="165"/>
      <w:bookmarkStart w:id="166" w:name="_Toc184308107"/>
      <w:bookmarkEnd w:id="166"/>
      <w:bookmarkStart w:id="167" w:name="_Toc184310329"/>
      <w:bookmarkEnd w:id="167"/>
      <w:bookmarkStart w:id="168" w:name="_Toc184312136"/>
      <w:bookmarkEnd w:id="168"/>
      <w:bookmarkStart w:id="169" w:name="_Toc184308052"/>
      <w:bookmarkEnd w:id="169"/>
      <w:bookmarkStart w:id="170" w:name="_Toc184314466"/>
      <w:bookmarkEnd w:id="170"/>
      <w:bookmarkStart w:id="171" w:name="_Toc184312122"/>
      <w:bookmarkEnd w:id="171"/>
      <w:bookmarkStart w:id="172" w:name="_Toc184312080"/>
      <w:bookmarkEnd w:id="172"/>
      <w:bookmarkStart w:id="173" w:name="_Toc184313289"/>
      <w:bookmarkEnd w:id="173"/>
      <w:bookmarkStart w:id="174" w:name="_Toc184314455"/>
      <w:bookmarkEnd w:id="174"/>
      <w:bookmarkStart w:id="175" w:name="_Toc184310330"/>
      <w:bookmarkEnd w:id="175"/>
      <w:bookmarkStart w:id="176" w:name="_Toc184310309"/>
      <w:bookmarkEnd w:id="176"/>
      <w:bookmarkStart w:id="177" w:name="_Toc184310284"/>
      <w:bookmarkEnd w:id="177"/>
      <w:bookmarkStart w:id="178" w:name="_Toc184313249"/>
      <w:bookmarkEnd w:id="178"/>
      <w:bookmarkStart w:id="179" w:name="_Toc184308047"/>
      <w:bookmarkEnd w:id="179"/>
      <w:bookmarkStart w:id="180" w:name="_Toc184310286"/>
      <w:bookmarkEnd w:id="180"/>
      <w:bookmarkStart w:id="181" w:name="_Toc184314471"/>
      <w:bookmarkEnd w:id="181"/>
      <w:bookmarkStart w:id="182" w:name="_Toc184313279"/>
      <w:bookmarkEnd w:id="182"/>
      <w:bookmarkStart w:id="183" w:name="_Toc184308084"/>
      <w:bookmarkEnd w:id="183"/>
      <w:bookmarkStart w:id="184" w:name="_Toc184313282"/>
      <w:bookmarkEnd w:id="184"/>
      <w:bookmarkStart w:id="185" w:name="_Toc184310325"/>
      <w:bookmarkEnd w:id="185"/>
      <w:bookmarkStart w:id="186" w:name="_Toc184314435"/>
      <w:bookmarkEnd w:id="186"/>
      <w:bookmarkStart w:id="187" w:name="_Toc184310292"/>
      <w:bookmarkEnd w:id="187"/>
      <w:bookmarkStart w:id="188" w:name="_Toc184308070"/>
      <w:bookmarkEnd w:id="188"/>
      <w:bookmarkStart w:id="189" w:name="_Toc184314434"/>
      <w:bookmarkEnd w:id="189"/>
      <w:bookmarkStart w:id="190" w:name="_Toc184313307"/>
      <w:bookmarkEnd w:id="190"/>
      <w:bookmarkStart w:id="191" w:name="_Toc184313269"/>
      <w:bookmarkEnd w:id="191"/>
      <w:bookmarkStart w:id="192" w:name="_Toc184312091"/>
      <w:bookmarkEnd w:id="192"/>
      <w:bookmarkStart w:id="193" w:name="_Toc184312076"/>
      <w:bookmarkEnd w:id="193"/>
      <w:bookmarkStart w:id="194" w:name="_Toc184310282"/>
      <w:bookmarkEnd w:id="194"/>
      <w:bookmarkStart w:id="195" w:name="_Toc184310273"/>
      <w:bookmarkEnd w:id="195"/>
      <w:bookmarkStart w:id="196" w:name="_Toc184314450"/>
      <w:bookmarkEnd w:id="196"/>
      <w:bookmarkStart w:id="197" w:name="_Toc184313285"/>
      <w:bookmarkEnd w:id="197"/>
      <w:bookmarkStart w:id="198" w:name="_Toc184312131"/>
      <w:bookmarkEnd w:id="198"/>
      <w:bookmarkStart w:id="199" w:name="_Toc184310305"/>
      <w:bookmarkEnd w:id="199"/>
      <w:bookmarkStart w:id="200" w:name="_Toc184308082"/>
      <w:bookmarkEnd w:id="200"/>
      <w:bookmarkStart w:id="201" w:name="_Toc184308071"/>
      <w:bookmarkEnd w:id="201"/>
      <w:bookmarkStart w:id="202" w:name="_Toc184308101"/>
      <w:bookmarkEnd w:id="202"/>
      <w:bookmarkStart w:id="203" w:name="_Toc184314454"/>
      <w:bookmarkEnd w:id="203"/>
      <w:bookmarkStart w:id="204" w:name="_Toc184308100"/>
      <w:bookmarkEnd w:id="204"/>
      <w:bookmarkStart w:id="205" w:name="_Toc184308044"/>
      <w:bookmarkEnd w:id="205"/>
      <w:bookmarkStart w:id="206" w:name="_Toc184313287"/>
      <w:bookmarkEnd w:id="206"/>
      <w:bookmarkStart w:id="207" w:name="_Toc184310297"/>
      <w:bookmarkEnd w:id="207"/>
      <w:bookmarkStart w:id="208" w:name="_Toc184313273"/>
      <w:bookmarkEnd w:id="208"/>
      <w:bookmarkStart w:id="209" w:name="_Toc184310332"/>
      <w:bookmarkEnd w:id="209"/>
      <w:bookmarkStart w:id="210" w:name="_Toc184312073"/>
      <w:bookmarkEnd w:id="210"/>
      <w:bookmarkStart w:id="211" w:name="_Toc184308076"/>
      <w:bookmarkEnd w:id="211"/>
      <w:bookmarkStart w:id="212" w:name="_Toc184313256"/>
      <w:bookmarkEnd w:id="212"/>
      <w:bookmarkStart w:id="213" w:name="_Toc184308063"/>
      <w:bookmarkEnd w:id="213"/>
      <w:bookmarkStart w:id="214" w:name="_Toc184313306"/>
      <w:bookmarkEnd w:id="214"/>
      <w:bookmarkStart w:id="215" w:name="_Toc184312138"/>
      <w:bookmarkEnd w:id="215"/>
      <w:bookmarkStart w:id="216" w:name="_Toc184314461"/>
      <w:bookmarkEnd w:id="216"/>
      <w:bookmarkStart w:id="217" w:name="_Toc184308072"/>
      <w:bookmarkEnd w:id="217"/>
      <w:bookmarkStart w:id="218" w:name="_Toc184312115"/>
      <w:bookmarkEnd w:id="218"/>
      <w:bookmarkStart w:id="219" w:name="_Toc184313255"/>
      <w:bookmarkEnd w:id="219"/>
      <w:bookmarkStart w:id="220" w:name="_Toc184314411"/>
      <w:bookmarkEnd w:id="220"/>
      <w:bookmarkStart w:id="221" w:name="_Toc184313240"/>
      <w:bookmarkEnd w:id="221"/>
      <w:bookmarkStart w:id="222" w:name="_Toc184313250"/>
      <w:bookmarkEnd w:id="222"/>
      <w:bookmarkStart w:id="223" w:name="_Toc184314448"/>
      <w:bookmarkEnd w:id="223"/>
      <w:bookmarkStart w:id="224" w:name="_Toc184313253"/>
      <w:bookmarkEnd w:id="224"/>
      <w:bookmarkStart w:id="225" w:name="_Toc184314436"/>
      <w:bookmarkEnd w:id="225"/>
      <w:bookmarkStart w:id="226" w:name="_Toc184313275"/>
      <w:bookmarkEnd w:id="226"/>
      <w:bookmarkStart w:id="227" w:name="_Toc184312105"/>
      <w:bookmarkEnd w:id="227"/>
      <w:bookmarkStart w:id="228" w:name="_Toc184308040"/>
      <w:bookmarkEnd w:id="228"/>
      <w:bookmarkStart w:id="229" w:name="_Toc184312132"/>
      <w:bookmarkEnd w:id="229"/>
      <w:bookmarkStart w:id="230" w:name="_Toc184312127"/>
      <w:bookmarkEnd w:id="230"/>
      <w:bookmarkStart w:id="231" w:name="_Toc184314445"/>
      <w:bookmarkEnd w:id="231"/>
      <w:bookmarkStart w:id="232" w:name="_Toc184310328"/>
      <w:bookmarkEnd w:id="232"/>
      <w:bookmarkStart w:id="233" w:name="_Toc184314482"/>
      <w:bookmarkEnd w:id="233"/>
      <w:bookmarkStart w:id="234" w:name="_Toc184308036"/>
      <w:bookmarkEnd w:id="234"/>
      <w:bookmarkStart w:id="235" w:name="_Toc184314449"/>
      <w:bookmarkEnd w:id="235"/>
      <w:bookmarkStart w:id="236" w:name="_Toc184313252"/>
      <w:bookmarkEnd w:id="236"/>
      <w:bookmarkStart w:id="237" w:name="_Toc184313243"/>
      <w:bookmarkEnd w:id="237"/>
      <w:bookmarkStart w:id="238" w:name="_Toc184310344"/>
      <w:bookmarkEnd w:id="238"/>
      <w:bookmarkStart w:id="239" w:name="_Toc184310276"/>
      <w:bookmarkEnd w:id="239"/>
      <w:bookmarkStart w:id="240" w:name="_Toc184312099"/>
      <w:bookmarkEnd w:id="240"/>
      <w:bookmarkStart w:id="241" w:name="_Toc184314426"/>
      <w:bookmarkEnd w:id="241"/>
      <w:bookmarkStart w:id="242" w:name="_Toc184313286"/>
      <w:bookmarkEnd w:id="242"/>
      <w:bookmarkStart w:id="243" w:name="_Toc184308080"/>
      <w:bookmarkEnd w:id="243"/>
      <w:bookmarkStart w:id="244" w:name="_Toc184314415"/>
      <w:bookmarkEnd w:id="244"/>
      <w:bookmarkStart w:id="245" w:name="_Toc184312125"/>
      <w:bookmarkEnd w:id="245"/>
      <w:bookmarkStart w:id="246" w:name="_Toc184310342"/>
      <w:bookmarkEnd w:id="246"/>
      <w:bookmarkStart w:id="247" w:name="_Toc184312075"/>
      <w:bookmarkEnd w:id="247"/>
      <w:bookmarkStart w:id="248" w:name="_Toc184310311"/>
      <w:bookmarkEnd w:id="248"/>
      <w:bookmarkStart w:id="249" w:name="_Toc184313238"/>
      <w:bookmarkEnd w:id="249"/>
      <w:bookmarkStart w:id="250" w:name="_Toc184313259"/>
      <w:bookmarkEnd w:id="250"/>
      <w:bookmarkStart w:id="251" w:name="_Toc184308086"/>
      <w:bookmarkEnd w:id="251"/>
      <w:bookmarkStart w:id="252" w:name="_Toc184312139"/>
      <w:bookmarkEnd w:id="252"/>
      <w:bookmarkStart w:id="253" w:name="_Toc184312071"/>
      <w:bookmarkEnd w:id="253"/>
      <w:bookmarkStart w:id="254" w:name="_Toc184313274"/>
      <w:bookmarkEnd w:id="254"/>
      <w:bookmarkStart w:id="255" w:name="_Toc184310272"/>
      <w:bookmarkEnd w:id="255"/>
      <w:bookmarkStart w:id="256" w:name="_Toc184308102"/>
      <w:bookmarkEnd w:id="256"/>
      <w:bookmarkStart w:id="257" w:name="_Toc184314472"/>
      <w:bookmarkEnd w:id="257"/>
      <w:bookmarkStart w:id="258" w:name="_Toc184308066"/>
      <w:bookmarkEnd w:id="258"/>
      <w:bookmarkStart w:id="259" w:name="_Toc184314462"/>
      <w:bookmarkEnd w:id="259"/>
      <w:bookmarkStart w:id="260" w:name="_Toc184312085"/>
      <w:bookmarkEnd w:id="260"/>
      <w:bookmarkStart w:id="261" w:name="_Toc184310324"/>
      <w:bookmarkEnd w:id="261"/>
      <w:bookmarkStart w:id="262" w:name="_Toc184313278"/>
      <w:bookmarkEnd w:id="262"/>
      <w:bookmarkStart w:id="263" w:name="_Toc184308067"/>
      <w:bookmarkEnd w:id="263"/>
      <w:bookmarkStart w:id="264" w:name="_Toc184314416"/>
      <w:bookmarkEnd w:id="264"/>
      <w:bookmarkStart w:id="265" w:name="_Toc184314469"/>
      <w:bookmarkEnd w:id="265"/>
      <w:bookmarkStart w:id="266" w:name="_Toc184310333"/>
      <w:bookmarkEnd w:id="266"/>
      <w:bookmarkStart w:id="267" w:name="_Toc184310318"/>
      <w:bookmarkEnd w:id="267"/>
      <w:bookmarkStart w:id="268" w:name="_Toc184314442"/>
      <w:bookmarkEnd w:id="268"/>
      <w:bookmarkStart w:id="269" w:name="_Toc184314432"/>
      <w:bookmarkEnd w:id="269"/>
      <w:bookmarkStart w:id="270" w:name="_Toc184313297"/>
      <w:bookmarkEnd w:id="270"/>
      <w:bookmarkStart w:id="271" w:name="_Toc184314433"/>
      <w:bookmarkEnd w:id="271"/>
      <w:bookmarkStart w:id="272" w:name="_Toc184308094"/>
      <w:bookmarkEnd w:id="272"/>
      <w:bookmarkStart w:id="273" w:name="_Toc184310296"/>
      <w:bookmarkEnd w:id="273"/>
      <w:bookmarkStart w:id="274" w:name="_Toc184308045"/>
      <w:bookmarkEnd w:id="274"/>
      <w:bookmarkStart w:id="275" w:name="_Toc184310281"/>
      <w:bookmarkEnd w:id="275"/>
      <w:bookmarkStart w:id="276" w:name="_Toc184314478"/>
      <w:bookmarkEnd w:id="276"/>
      <w:bookmarkStart w:id="277" w:name="_Toc184313245"/>
      <w:bookmarkEnd w:id="277"/>
      <w:bookmarkStart w:id="278" w:name="_Toc184308096"/>
      <w:bookmarkEnd w:id="278"/>
      <w:bookmarkStart w:id="279" w:name="_Toc184314414"/>
      <w:bookmarkEnd w:id="279"/>
      <w:bookmarkStart w:id="280" w:name="_Toc184313294"/>
      <w:bookmarkEnd w:id="280"/>
      <w:bookmarkStart w:id="281" w:name="_Toc184313292"/>
      <w:bookmarkEnd w:id="281"/>
      <w:bookmarkStart w:id="282" w:name="_Toc184313260"/>
      <w:bookmarkEnd w:id="282"/>
      <w:bookmarkStart w:id="283" w:name="_Toc184308039"/>
      <w:bookmarkEnd w:id="283"/>
      <w:bookmarkStart w:id="284" w:name="_Toc184314425"/>
      <w:bookmarkEnd w:id="284"/>
      <w:bookmarkStart w:id="285" w:name="_Toc184314447"/>
      <w:bookmarkEnd w:id="285"/>
      <w:bookmarkStart w:id="286" w:name="_Toc184313277"/>
      <w:bookmarkEnd w:id="286"/>
      <w:bookmarkStart w:id="287" w:name="_Toc184312102"/>
      <w:bookmarkEnd w:id="287"/>
      <w:bookmarkStart w:id="288" w:name="_Toc184313264"/>
      <w:bookmarkEnd w:id="288"/>
      <w:bookmarkStart w:id="289" w:name="_Toc184312067"/>
      <w:bookmarkEnd w:id="289"/>
      <w:bookmarkStart w:id="290" w:name="_Toc184313272"/>
      <w:bookmarkEnd w:id="290"/>
      <w:bookmarkStart w:id="291" w:name="_Toc184314431"/>
      <w:bookmarkEnd w:id="291"/>
      <w:bookmarkStart w:id="292" w:name="_Toc184313261"/>
      <w:bookmarkEnd w:id="292"/>
      <w:bookmarkStart w:id="293" w:name="_Toc184312107"/>
      <w:bookmarkEnd w:id="293"/>
      <w:bookmarkStart w:id="294" w:name="_Toc184314457"/>
      <w:bookmarkEnd w:id="294"/>
      <w:bookmarkStart w:id="295" w:name="_Toc184313246"/>
      <w:bookmarkEnd w:id="295"/>
      <w:bookmarkStart w:id="296" w:name="_Toc184312129"/>
      <w:bookmarkEnd w:id="296"/>
      <w:bookmarkStart w:id="297" w:name="_Toc184310319"/>
      <w:bookmarkEnd w:id="297"/>
      <w:bookmarkStart w:id="298" w:name="_Toc184310326"/>
      <w:bookmarkEnd w:id="298"/>
      <w:bookmarkStart w:id="299" w:name="_Toc184310279"/>
      <w:bookmarkEnd w:id="299"/>
      <w:bookmarkStart w:id="300" w:name="_Toc184310289"/>
      <w:bookmarkEnd w:id="300"/>
      <w:bookmarkStart w:id="301" w:name="_Toc184310290"/>
      <w:bookmarkEnd w:id="301"/>
      <w:bookmarkStart w:id="302" w:name="_Toc184312100"/>
      <w:bookmarkEnd w:id="302"/>
      <w:bookmarkStart w:id="303" w:name="_Toc184312106"/>
      <w:bookmarkEnd w:id="303"/>
      <w:bookmarkStart w:id="304" w:name="_Toc184314418"/>
      <w:bookmarkEnd w:id="304"/>
      <w:bookmarkStart w:id="305" w:name="_Toc184314421"/>
      <w:bookmarkEnd w:id="305"/>
      <w:bookmarkStart w:id="306" w:name="_Toc184314417"/>
      <w:bookmarkEnd w:id="306"/>
      <w:bookmarkStart w:id="307" w:name="_Toc184313305"/>
      <w:bookmarkEnd w:id="307"/>
      <w:bookmarkStart w:id="308" w:name="_Toc184312093"/>
      <w:bookmarkEnd w:id="308"/>
      <w:bookmarkStart w:id="309" w:name="_Toc184308106"/>
      <w:bookmarkEnd w:id="309"/>
      <w:bookmarkStart w:id="310" w:name="_Toc184312089"/>
      <w:bookmarkEnd w:id="310"/>
      <w:bookmarkStart w:id="311" w:name="_Toc184312095"/>
      <w:bookmarkEnd w:id="311"/>
      <w:bookmarkStart w:id="312" w:name="_Toc184314473"/>
      <w:bookmarkEnd w:id="312"/>
      <w:bookmarkStart w:id="313" w:name="_Toc184312111"/>
      <w:bookmarkEnd w:id="313"/>
      <w:bookmarkStart w:id="314" w:name="_Toc184310323"/>
      <w:bookmarkEnd w:id="314"/>
      <w:bookmarkStart w:id="315" w:name="_Toc184310301"/>
      <w:bookmarkEnd w:id="315"/>
      <w:bookmarkStart w:id="316" w:name="_Toc184310291"/>
      <w:bookmarkEnd w:id="316"/>
      <w:bookmarkStart w:id="317" w:name="_Toc184313301"/>
      <w:bookmarkEnd w:id="317"/>
      <w:bookmarkStart w:id="318" w:name="_Toc184313265"/>
      <w:bookmarkEnd w:id="318"/>
      <w:bookmarkStart w:id="319" w:name="_Toc184314479"/>
      <w:bookmarkEnd w:id="319"/>
      <w:bookmarkStart w:id="320" w:name="_Toc184313244"/>
      <w:bookmarkEnd w:id="320"/>
      <w:bookmarkStart w:id="321" w:name="_Toc184310339"/>
      <w:bookmarkEnd w:id="321"/>
      <w:bookmarkStart w:id="322" w:name="_Toc184314460"/>
      <w:bookmarkEnd w:id="322"/>
      <w:bookmarkStart w:id="323" w:name="_Toc184313270"/>
      <w:bookmarkEnd w:id="323"/>
      <w:bookmarkStart w:id="324" w:name="_Toc184310312"/>
      <w:bookmarkEnd w:id="324"/>
      <w:bookmarkStart w:id="325" w:name="_Toc184312084"/>
      <w:bookmarkEnd w:id="325"/>
      <w:bookmarkStart w:id="326" w:name="_Toc184308062"/>
      <w:bookmarkEnd w:id="326"/>
      <w:bookmarkStart w:id="327" w:name="_Toc184312078"/>
      <w:bookmarkEnd w:id="327"/>
      <w:bookmarkStart w:id="328" w:name="_Toc184308041"/>
      <w:bookmarkEnd w:id="328"/>
      <w:bookmarkStart w:id="329" w:name="_Toc184312081"/>
      <w:bookmarkEnd w:id="329"/>
      <w:bookmarkStart w:id="330" w:name="_Toc184310288"/>
      <w:bookmarkEnd w:id="330"/>
      <w:bookmarkStart w:id="331" w:name="_Toc184308060"/>
      <w:bookmarkEnd w:id="331"/>
      <w:bookmarkStart w:id="332" w:name="_Toc184314464"/>
      <w:bookmarkEnd w:id="332"/>
      <w:bookmarkStart w:id="333" w:name="_Toc184310287"/>
      <w:bookmarkEnd w:id="333"/>
      <w:bookmarkStart w:id="334" w:name="_Toc184308083"/>
      <w:bookmarkEnd w:id="334"/>
      <w:bookmarkStart w:id="335" w:name="_Toc184310303"/>
      <w:bookmarkEnd w:id="335"/>
      <w:bookmarkStart w:id="336" w:name="_Toc184310277"/>
      <w:bookmarkEnd w:id="336"/>
      <w:bookmarkStart w:id="337" w:name="_Toc184314420"/>
      <w:bookmarkEnd w:id="337"/>
      <w:bookmarkStart w:id="338" w:name="_Toc184312092"/>
      <w:bookmarkEnd w:id="338"/>
      <w:bookmarkStart w:id="339" w:name="_Toc184313280"/>
      <w:bookmarkEnd w:id="339"/>
      <w:bookmarkStart w:id="340" w:name="_Toc184313267"/>
      <w:bookmarkEnd w:id="340"/>
      <w:bookmarkStart w:id="341" w:name="_Toc184308089"/>
      <w:bookmarkEnd w:id="341"/>
      <w:bookmarkStart w:id="342" w:name="_Toc184314474"/>
      <w:bookmarkEnd w:id="342"/>
      <w:bookmarkStart w:id="343" w:name="_Toc184310274"/>
      <w:bookmarkEnd w:id="343"/>
      <w:bookmarkStart w:id="344" w:name="_Toc184312108"/>
      <w:bookmarkEnd w:id="344"/>
      <w:bookmarkStart w:id="345" w:name="_Toc184312097"/>
      <w:bookmarkEnd w:id="345"/>
      <w:bookmarkStart w:id="346" w:name="_Toc184308098"/>
      <w:bookmarkEnd w:id="346"/>
      <w:bookmarkStart w:id="347" w:name="_Toc184313284"/>
      <w:bookmarkEnd w:id="347"/>
      <w:bookmarkStart w:id="348" w:name="_Toc184310295"/>
      <w:bookmarkEnd w:id="348"/>
      <w:bookmarkStart w:id="349" w:name="_Toc184308091"/>
      <w:bookmarkEnd w:id="349"/>
      <w:bookmarkStart w:id="350" w:name="_Toc184313271"/>
      <w:bookmarkEnd w:id="350"/>
      <w:bookmarkStart w:id="351" w:name="_Toc184312098"/>
      <w:bookmarkEnd w:id="351"/>
      <w:bookmarkStart w:id="352" w:name="_Toc184310299"/>
      <w:bookmarkEnd w:id="352"/>
      <w:bookmarkStart w:id="353" w:name="_Toc184313296"/>
      <w:bookmarkEnd w:id="353"/>
      <w:bookmarkStart w:id="354" w:name="_Toc184314422"/>
      <w:bookmarkEnd w:id="354"/>
      <w:bookmarkStart w:id="355" w:name="_Toc184312088"/>
      <w:bookmarkEnd w:id="355"/>
      <w:bookmarkStart w:id="356" w:name="_Toc184314480"/>
      <w:bookmarkEnd w:id="356"/>
      <w:bookmarkStart w:id="357" w:name="_Toc184314423"/>
      <w:bookmarkEnd w:id="357"/>
      <w:bookmarkStart w:id="358" w:name="_Toc184308050"/>
      <w:bookmarkEnd w:id="358"/>
      <w:bookmarkStart w:id="359" w:name="_Toc184313263"/>
      <w:bookmarkEnd w:id="359"/>
      <w:bookmarkStart w:id="360" w:name="_Toc184314439"/>
      <w:bookmarkEnd w:id="360"/>
      <w:bookmarkStart w:id="361" w:name="_Toc184314453"/>
      <w:bookmarkEnd w:id="361"/>
      <w:bookmarkStart w:id="362" w:name="_Toc184314410"/>
      <w:bookmarkEnd w:id="362"/>
      <w:bookmarkStart w:id="363" w:name="_Toc184313254"/>
      <w:bookmarkEnd w:id="363"/>
      <w:bookmarkStart w:id="364" w:name="_Toc184308049"/>
      <w:bookmarkEnd w:id="364"/>
      <w:bookmarkStart w:id="365" w:name="_Toc184308057"/>
      <w:bookmarkEnd w:id="365"/>
      <w:bookmarkStart w:id="366" w:name="_Toc184308095"/>
      <w:bookmarkEnd w:id="366"/>
      <w:bookmarkStart w:id="367" w:name="_Toc184314476"/>
      <w:bookmarkEnd w:id="367"/>
      <w:bookmarkStart w:id="368" w:name="_Toc184308037"/>
      <w:bookmarkEnd w:id="368"/>
      <w:bookmarkStart w:id="369" w:name="_Toc184310285"/>
      <w:bookmarkEnd w:id="369"/>
      <w:bookmarkStart w:id="370" w:name="_Toc184310294"/>
      <w:bookmarkEnd w:id="370"/>
      <w:bookmarkStart w:id="371" w:name="_Toc184313239"/>
      <w:bookmarkEnd w:id="371"/>
      <w:bookmarkStart w:id="372" w:name="_Toc184314412"/>
      <w:bookmarkEnd w:id="372"/>
      <w:bookmarkStart w:id="373" w:name="_Toc184310320"/>
      <w:bookmarkEnd w:id="373"/>
      <w:bookmarkStart w:id="374" w:name="_Toc184308090"/>
      <w:bookmarkEnd w:id="374"/>
      <w:bookmarkStart w:id="375" w:name="_Toc184312135"/>
      <w:bookmarkEnd w:id="375"/>
      <w:bookmarkStart w:id="376" w:name="_Toc184308038"/>
      <w:bookmarkEnd w:id="376"/>
      <w:bookmarkStart w:id="377" w:name="_Toc184308068"/>
      <w:bookmarkEnd w:id="377"/>
      <w:bookmarkStart w:id="378" w:name="_Toc184313283"/>
      <w:bookmarkEnd w:id="378"/>
      <w:bookmarkStart w:id="379" w:name="_Toc184312101"/>
      <w:bookmarkEnd w:id="379"/>
      <w:bookmarkStart w:id="380" w:name="_Toc184312117"/>
      <w:bookmarkEnd w:id="380"/>
      <w:bookmarkStart w:id="381" w:name="_Toc184313266"/>
      <w:bookmarkEnd w:id="381"/>
      <w:bookmarkStart w:id="382" w:name="_Toc184314451"/>
      <w:bookmarkEnd w:id="382"/>
      <w:bookmarkStart w:id="383" w:name="_Toc184310314"/>
      <w:bookmarkEnd w:id="383"/>
      <w:bookmarkStart w:id="384" w:name="_Toc184314456"/>
      <w:bookmarkEnd w:id="384"/>
      <w:bookmarkStart w:id="385" w:name="_Toc184312116"/>
      <w:bookmarkEnd w:id="385"/>
      <w:bookmarkStart w:id="386" w:name="_Toc184310313"/>
      <w:bookmarkEnd w:id="386"/>
      <w:bookmarkStart w:id="387" w:name="_Toc184308058"/>
      <w:bookmarkEnd w:id="387"/>
      <w:bookmarkStart w:id="388" w:name="_Toc184310304"/>
      <w:bookmarkEnd w:id="388"/>
      <w:bookmarkStart w:id="389" w:name="_Toc184313302"/>
      <w:bookmarkEnd w:id="389"/>
      <w:bookmarkStart w:id="390" w:name="_Toc184308077"/>
      <w:bookmarkEnd w:id="390"/>
      <w:bookmarkStart w:id="391" w:name="_Toc184314467"/>
      <w:bookmarkEnd w:id="391"/>
      <w:bookmarkStart w:id="392" w:name="_Toc184312070"/>
      <w:bookmarkEnd w:id="392"/>
      <w:bookmarkStart w:id="393" w:name="_Toc184314446"/>
      <w:bookmarkEnd w:id="393"/>
      <w:bookmarkStart w:id="394" w:name="_Toc184310337"/>
      <w:bookmarkEnd w:id="394"/>
      <w:bookmarkStart w:id="395" w:name="_Toc184313295"/>
      <w:bookmarkEnd w:id="395"/>
      <w:bookmarkStart w:id="396" w:name="_Toc184308051"/>
      <w:bookmarkEnd w:id="396"/>
      <w:bookmarkStart w:id="397" w:name="_Toc184313258"/>
      <w:bookmarkEnd w:id="397"/>
      <w:bookmarkStart w:id="398" w:name="_Toc184314424"/>
      <w:bookmarkEnd w:id="398"/>
      <w:bookmarkStart w:id="399" w:name="_Toc184313291"/>
      <w:bookmarkEnd w:id="399"/>
      <w:r>
        <w:rPr>
          <w:rFonts w:hint="eastAsia" w:ascii="宋体" w:hAnsi="宋体" w:cs="宋体"/>
          <w:b/>
          <w:sz w:val="36"/>
          <w:szCs w:val="36"/>
        </w:rPr>
        <w:t>评标办法</w:t>
      </w: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评标办法前附表</w:t>
      </w:r>
    </w:p>
    <w:tbl>
      <w:tblPr>
        <w:tblStyle w:val="63"/>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4969"/>
        <w:gridCol w:w="476"/>
        <w:gridCol w:w="1224"/>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dxa"/>
            <w:vAlign w:val="center"/>
          </w:tcPr>
          <w:p>
            <w:pPr>
              <w:snapToGrid w:val="0"/>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序号</w:t>
            </w:r>
          </w:p>
        </w:tc>
        <w:tc>
          <w:tcPr>
            <w:tcW w:w="4969" w:type="dxa"/>
            <w:vAlign w:val="center"/>
          </w:tcPr>
          <w:p>
            <w:pPr>
              <w:snapToGrid w:val="0"/>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评标标准</w:t>
            </w:r>
          </w:p>
        </w:tc>
        <w:tc>
          <w:tcPr>
            <w:tcW w:w="476" w:type="dxa"/>
            <w:vAlign w:val="center"/>
          </w:tcPr>
          <w:p>
            <w:pPr>
              <w:snapToGrid w:val="0"/>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权重</w:t>
            </w:r>
          </w:p>
        </w:tc>
        <w:tc>
          <w:tcPr>
            <w:tcW w:w="1224" w:type="dxa"/>
            <w:vAlign w:val="center"/>
          </w:tcPr>
          <w:p>
            <w:pPr>
              <w:snapToGrid w:val="0"/>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主观分/客观分属性</w:t>
            </w:r>
          </w:p>
        </w:tc>
        <w:tc>
          <w:tcPr>
            <w:tcW w:w="1732" w:type="dxa"/>
          </w:tcPr>
          <w:p>
            <w:pPr>
              <w:snapToGrid w:val="0"/>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dxa"/>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4969" w:type="dxa"/>
            <w:vAlign w:val="center"/>
          </w:tcPr>
          <w:p>
            <w:pPr>
              <w:widowControl/>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产品制造商具有有效的ISO9001质量管理体系认证证书，证书的认证范围须包含本项目类别的产品的设计和生产。（复印件、加盖投标人公章）</w:t>
            </w:r>
          </w:p>
        </w:tc>
        <w:tc>
          <w:tcPr>
            <w:tcW w:w="476" w:type="dxa"/>
            <w:vAlign w:val="center"/>
          </w:tcPr>
          <w:p>
            <w:pPr>
              <w:snapToGrid w:val="0"/>
              <w:jc w:val="center"/>
              <w:rPr>
                <w:rFonts w:cs="宋体" w:asciiTheme="minorEastAsia" w:hAnsiTheme="minorEastAsia" w:eastAsiaTheme="minorEastAsia"/>
                <w:szCs w:val="21"/>
              </w:rPr>
            </w:pPr>
            <w:r>
              <w:rPr>
                <w:rFonts w:cs="宋体" w:asciiTheme="minorEastAsia" w:hAnsiTheme="minorEastAsia" w:eastAsiaTheme="minorEastAsia"/>
                <w:szCs w:val="21"/>
              </w:rPr>
              <w:t>2</w:t>
            </w:r>
          </w:p>
        </w:tc>
        <w:tc>
          <w:tcPr>
            <w:tcW w:w="1224" w:type="dxa"/>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客观分</w:t>
            </w:r>
          </w:p>
        </w:tc>
        <w:tc>
          <w:tcPr>
            <w:tcW w:w="1732" w:type="dxa"/>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dxa"/>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4969" w:type="dxa"/>
            <w:vAlign w:val="center"/>
          </w:tcPr>
          <w:p>
            <w:pPr>
              <w:widowControl/>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产品制造商具有有效的ISO14001环境管理体系认证证书，证书的认证范围须包含本项目类别的产品的设计和生产。（复印件、加盖投标人公章）</w:t>
            </w:r>
          </w:p>
        </w:tc>
        <w:tc>
          <w:tcPr>
            <w:tcW w:w="476" w:type="dxa"/>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224" w:type="dxa"/>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客观分</w:t>
            </w:r>
          </w:p>
        </w:tc>
        <w:tc>
          <w:tcPr>
            <w:tcW w:w="1732" w:type="dxa"/>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dxa"/>
            <w:vAlign w:val="center"/>
          </w:tcPr>
          <w:p>
            <w:pPr>
              <w:snapToGrid w:val="0"/>
              <w:jc w:val="center"/>
              <w:rPr>
                <w:rFonts w:cs="宋体" w:asciiTheme="minorEastAsia" w:hAnsiTheme="minorEastAsia" w:eastAsiaTheme="minorEastAsia"/>
                <w:szCs w:val="21"/>
              </w:rPr>
            </w:pPr>
            <w:r>
              <w:rPr>
                <w:rFonts w:cs="宋体" w:asciiTheme="minorEastAsia" w:hAnsiTheme="minorEastAsia" w:eastAsiaTheme="minorEastAsia"/>
                <w:szCs w:val="21"/>
              </w:rPr>
              <w:t>3</w:t>
            </w:r>
          </w:p>
        </w:tc>
        <w:tc>
          <w:tcPr>
            <w:tcW w:w="4969" w:type="dxa"/>
            <w:vAlign w:val="center"/>
          </w:tcPr>
          <w:p>
            <w:pPr>
              <w:widowControl/>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投标响应与采购需求的吻合程度（</w:t>
            </w:r>
            <w:r>
              <w:rPr>
                <w:rFonts w:cs="宋体" w:asciiTheme="minorEastAsia" w:hAnsiTheme="minorEastAsia" w:eastAsiaTheme="minorEastAsia"/>
                <w:bCs/>
                <w:szCs w:val="21"/>
              </w:rPr>
              <w:t>27</w:t>
            </w:r>
            <w:r>
              <w:rPr>
                <w:rFonts w:hint="eastAsia" w:cs="宋体" w:asciiTheme="minorEastAsia" w:hAnsiTheme="minorEastAsia" w:eastAsiaTheme="minorEastAsia"/>
                <w:bCs/>
                <w:szCs w:val="21"/>
              </w:rPr>
              <w:t>分，扣完为止）：</w:t>
            </w:r>
          </w:p>
          <w:p>
            <w:pPr>
              <w:pStyle w:val="24"/>
              <w:snapToGrid w:val="0"/>
              <w:spacing w:after="120" w:line="240" w:lineRule="auto"/>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hint="eastAsia" w:cs="宋体" w:asciiTheme="minorEastAsia" w:hAnsiTheme="minorEastAsia" w:eastAsiaTheme="minorEastAsia"/>
                <w:bCs/>
                <w:sz w:val="21"/>
                <w:szCs w:val="21"/>
              </w:rPr>
              <w:t>一般技术要求不满足采购需求的</w:t>
            </w:r>
            <w:r>
              <w:rPr>
                <w:rFonts w:hint="eastAsia" w:cs="宋体" w:asciiTheme="minorEastAsia" w:hAnsiTheme="minorEastAsia" w:eastAsiaTheme="minorEastAsia"/>
                <w:sz w:val="21"/>
                <w:szCs w:val="21"/>
              </w:rPr>
              <w:t>，按</w:t>
            </w:r>
            <w:r>
              <w:rPr>
                <w:rFonts w:hint="eastAsia" w:cs="宋体" w:asciiTheme="minorEastAsia" w:hAnsiTheme="minorEastAsia" w:eastAsiaTheme="minorEastAsia"/>
                <w:sz w:val="21"/>
                <w:szCs w:val="21"/>
                <w:u w:val="single"/>
              </w:rPr>
              <w:t>椅背</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u w:val="single"/>
              </w:rPr>
              <w:t>椅座</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u w:val="single"/>
              </w:rPr>
              <w:t>布料</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u w:val="single"/>
              </w:rPr>
              <w:t>扶手脚架</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u w:val="single"/>
              </w:rPr>
              <w:t>扶手面</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u w:val="single"/>
              </w:rPr>
              <w:t>写字板</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u w:val="single"/>
              </w:rPr>
              <w:t>回复机构</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u w:val="single"/>
              </w:rPr>
              <w:t>主要规格</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u w:val="single"/>
              </w:rPr>
              <w:t>配件</w:t>
            </w:r>
            <w:r>
              <w:rPr>
                <w:rFonts w:hint="eastAsia" w:cs="宋体" w:asciiTheme="minorEastAsia" w:hAnsiTheme="minorEastAsia" w:eastAsiaTheme="minorEastAsia"/>
                <w:sz w:val="21"/>
                <w:szCs w:val="21"/>
              </w:rPr>
              <w:t>，每项扣</w:t>
            </w: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分。</w:t>
            </w:r>
          </w:p>
        </w:tc>
        <w:tc>
          <w:tcPr>
            <w:tcW w:w="476" w:type="dxa"/>
            <w:vAlign w:val="center"/>
          </w:tcPr>
          <w:p>
            <w:pPr>
              <w:snapToGrid w:val="0"/>
              <w:jc w:val="center"/>
              <w:rPr>
                <w:rFonts w:cs="宋体" w:asciiTheme="minorEastAsia" w:hAnsiTheme="minorEastAsia" w:eastAsiaTheme="minorEastAsia"/>
                <w:szCs w:val="21"/>
              </w:rPr>
            </w:pPr>
            <w:r>
              <w:rPr>
                <w:rFonts w:cs="宋体" w:asciiTheme="minorEastAsia" w:hAnsiTheme="minorEastAsia" w:eastAsiaTheme="minorEastAsia"/>
                <w:szCs w:val="21"/>
              </w:rPr>
              <w:t>27</w:t>
            </w:r>
          </w:p>
        </w:tc>
        <w:tc>
          <w:tcPr>
            <w:tcW w:w="1224" w:type="dxa"/>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客观分</w:t>
            </w:r>
          </w:p>
        </w:tc>
        <w:tc>
          <w:tcPr>
            <w:tcW w:w="1732" w:type="dxa"/>
          </w:tcPr>
          <w:p>
            <w:pPr>
              <w:pStyle w:val="23"/>
              <w:spacing w:line="240" w:lineRule="auto"/>
              <w:rPr>
                <w:rFonts w:cs="宋体" w:asciiTheme="minorEastAsia" w:hAnsiTheme="minorEastAsia" w:eastAsia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dxa"/>
            <w:vAlign w:val="center"/>
          </w:tcPr>
          <w:p>
            <w:pPr>
              <w:snapToGrid w:val="0"/>
              <w:jc w:val="center"/>
              <w:rPr>
                <w:rFonts w:cs="宋体" w:asciiTheme="minorEastAsia" w:hAnsiTheme="minorEastAsia" w:eastAsiaTheme="minorEastAsia"/>
                <w:szCs w:val="21"/>
              </w:rPr>
            </w:pPr>
            <w:r>
              <w:rPr>
                <w:rFonts w:cs="宋体" w:asciiTheme="minorEastAsia" w:hAnsiTheme="minorEastAsia" w:eastAsiaTheme="minorEastAsia"/>
                <w:szCs w:val="21"/>
              </w:rPr>
              <w:t>4</w:t>
            </w:r>
          </w:p>
        </w:tc>
        <w:tc>
          <w:tcPr>
            <w:tcW w:w="4969" w:type="dxa"/>
            <w:vAlign w:val="center"/>
          </w:tcPr>
          <w:p>
            <w:pPr>
              <w:widowControl/>
              <w:jc w:val="left"/>
              <w:rPr>
                <w:rFonts w:cs="宋体" w:asciiTheme="minorEastAsia" w:hAnsiTheme="minorEastAsia" w:eastAsiaTheme="minorEastAsia"/>
                <w:b/>
                <w:szCs w:val="21"/>
              </w:rPr>
            </w:pPr>
            <w:r>
              <w:rPr>
                <w:rFonts w:hint="eastAsia" w:cs="宋体" w:asciiTheme="minorEastAsia" w:hAnsiTheme="minorEastAsia" w:eastAsiaTheme="minorEastAsia"/>
                <w:b/>
                <w:bCs/>
                <w:kern w:val="0"/>
                <w:szCs w:val="21"/>
                <w:lang w:bidi="ar"/>
              </w:rPr>
              <w:t>一、产品尺寸（</w:t>
            </w:r>
            <w:r>
              <w:rPr>
                <w:rFonts w:cs="宋体" w:asciiTheme="minorEastAsia" w:hAnsiTheme="minorEastAsia" w:eastAsiaTheme="minorEastAsia"/>
                <w:b/>
                <w:bCs/>
                <w:kern w:val="0"/>
                <w:szCs w:val="21"/>
                <w:lang w:bidi="ar"/>
              </w:rPr>
              <w:t>2</w:t>
            </w:r>
            <w:r>
              <w:rPr>
                <w:rFonts w:hint="eastAsia" w:cs="宋体" w:asciiTheme="minorEastAsia" w:hAnsiTheme="minorEastAsia" w:eastAsiaTheme="minorEastAsia"/>
                <w:b/>
                <w:bCs/>
                <w:kern w:val="0"/>
                <w:szCs w:val="21"/>
                <w:lang w:bidi="ar"/>
              </w:rPr>
              <w:t>分）：</w:t>
            </w:r>
            <w:r>
              <w:rPr>
                <w:rFonts w:hint="eastAsia" w:cs="宋体" w:asciiTheme="minorEastAsia" w:hAnsiTheme="minorEastAsia" w:eastAsiaTheme="minorEastAsia"/>
                <w:b/>
                <w:kern w:val="0"/>
                <w:szCs w:val="21"/>
                <w:lang w:bidi="ar"/>
              </w:rPr>
              <w:t xml:space="preserve">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1.采购人有明确要求且明示的产品尺寸偏差控制在±</w:t>
            </w:r>
            <w:r>
              <w:rPr>
                <w:rFonts w:cs="宋体" w:asciiTheme="minorEastAsia" w:hAnsiTheme="minorEastAsia" w:eastAsiaTheme="minorEastAsia"/>
                <w:kern w:val="0"/>
                <w:szCs w:val="21"/>
                <w:lang w:bidi="ar"/>
              </w:rPr>
              <w:t>5</w:t>
            </w:r>
            <w:r>
              <w:rPr>
                <w:rFonts w:hint="eastAsia" w:cs="宋体" w:asciiTheme="minorEastAsia" w:hAnsiTheme="minorEastAsia" w:eastAsiaTheme="minorEastAsia"/>
                <w:kern w:val="0"/>
                <w:szCs w:val="21"/>
                <w:lang w:bidi="ar"/>
              </w:rPr>
              <w:t>mm以内，测量工具：0～3m钢卷尺（精度1mm）。</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每偏离一个参数指标扣1分，扣完为止。</w:t>
            </w:r>
          </w:p>
          <w:p>
            <w:pPr>
              <w:widowControl/>
              <w:jc w:val="left"/>
              <w:rPr>
                <w:rFonts w:cs="宋体" w:asciiTheme="minorEastAsia" w:hAnsiTheme="minorEastAsia" w:eastAsiaTheme="minorEastAsia"/>
                <w:b/>
                <w:szCs w:val="21"/>
              </w:rPr>
            </w:pPr>
            <w:r>
              <w:rPr>
                <w:rFonts w:hint="eastAsia" w:cs="宋体" w:asciiTheme="minorEastAsia" w:hAnsiTheme="minorEastAsia" w:eastAsiaTheme="minorEastAsia"/>
                <w:b/>
                <w:bCs/>
                <w:kern w:val="0"/>
                <w:szCs w:val="21"/>
                <w:lang w:bidi="ar"/>
              </w:rPr>
              <w:t>二、功能性要求（</w:t>
            </w:r>
            <w:r>
              <w:rPr>
                <w:rFonts w:cs="宋体" w:asciiTheme="minorEastAsia" w:hAnsiTheme="minorEastAsia" w:eastAsiaTheme="minorEastAsia"/>
                <w:b/>
                <w:bCs/>
                <w:kern w:val="0"/>
                <w:szCs w:val="21"/>
                <w:lang w:bidi="ar"/>
              </w:rPr>
              <w:t>2</w:t>
            </w:r>
            <w:r>
              <w:rPr>
                <w:rFonts w:hint="eastAsia" w:cs="宋体" w:asciiTheme="minorEastAsia" w:hAnsiTheme="minorEastAsia" w:eastAsiaTheme="minorEastAsia"/>
                <w:b/>
                <w:bCs/>
                <w:kern w:val="0"/>
                <w:szCs w:val="21"/>
                <w:lang w:bidi="ar"/>
              </w:rPr>
              <w:t>分）：</w:t>
            </w:r>
            <w:r>
              <w:rPr>
                <w:rFonts w:hint="eastAsia" w:cs="宋体" w:asciiTheme="minorEastAsia" w:hAnsiTheme="minorEastAsia" w:eastAsiaTheme="minorEastAsia"/>
                <w:b/>
                <w:kern w:val="0"/>
                <w:szCs w:val="21"/>
                <w:lang w:bidi="ar"/>
              </w:rPr>
              <w:t xml:space="preserve">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1.回复机构、翻转机构等部件，安装后应灵活使用； </w:t>
            </w:r>
          </w:p>
          <w:p>
            <w:pPr>
              <w:widowControl/>
              <w:jc w:val="left"/>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 xml:space="preserve">2.设计美观、实用，能够实现产品的整体使用功能。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每个不合格项（最小项编号）扣1分，扣完为止。</w:t>
            </w:r>
          </w:p>
          <w:p>
            <w:pPr>
              <w:widowControl/>
              <w:jc w:val="left"/>
              <w:rPr>
                <w:rFonts w:cs="宋体" w:asciiTheme="minorEastAsia" w:hAnsiTheme="minorEastAsia" w:eastAsiaTheme="minorEastAsia"/>
                <w:b/>
                <w:szCs w:val="21"/>
              </w:rPr>
            </w:pPr>
            <w:r>
              <w:rPr>
                <w:rFonts w:hint="eastAsia" w:cs="宋体" w:asciiTheme="minorEastAsia" w:hAnsiTheme="minorEastAsia" w:eastAsiaTheme="minorEastAsia"/>
                <w:b/>
                <w:bCs/>
                <w:kern w:val="0"/>
                <w:szCs w:val="21"/>
                <w:lang w:bidi="ar"/>
              </w:rPr>
              <w:t>三、样品外观（</w:t>
            </w:r>
            <w:r>
              <w:rPr>
                <w:rFonts w:cs="宋体" w:asciiTheme="minorEastAsia" w:hAnsiTheme="minorEastAsia" w:eastAsiaTheme="minorEastAsia"/>
                <w:b/>
                <w:bCs/>
                <w:kern w:val="0"/>
                <w:szCs w:val="21"/>
                <w:lang w:bidi="ar"/>
              </w:rPr>
              <w:t>7</w:t>
            </w:r>
            <w:r>
              <w:rPr>
                <w:rFonts w:hint="eastAsia" w:cs="宋体" w:asciiTheme="minorEastAsia" w:hAnsiTheme="minorEastAsia" w:eastAsiaTheme="minorEastAsia"/>
                <w:b/>
                <w:bCs/>
                <w:kern w:val="0"/>
                <w:szCs w:val="21"/>
                <w:lang w:bidi="ar"/>
              </w:rPr>
              <w:t>分）：</w:t>
            </w:r>
            <w:r>
              <w:rPr>
                <w:rFonts w:hint="eastAsia" w:cs="宋体" w:asciiTheme="minorEastAsia" w:hAnsiTheme="minorEastAsia" w:eastAsiaTheme="minorEastAsia"/>
                <w:b/>
                <w:kern w:val="0"/>
                <w:szCs w:val="21"/>
                <w:lang w:bidi="ar"/>
              </w:rPr>
              <w:t xml:space="preserve">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1.金属件外观要求：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(1)管材：管材应无裂缝、叠缝，外露管口端面应封闭；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(2)焊接件：焊接处应无脱焊、虚焊、焊穿、错位，焊接处应无夹渣、气孔、焊瘤、焊丝头、咬边、飞溅，焊接处表面波纹应均匀；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(3)冲压件：冲压件应无脱层、裂缝；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(4)铆接件：铆接处应铆接牢固，无漏铆、脱铆，铆钉应端正圆滑，无明显锤印；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(5)金属合金件：无锈蚀、氧化膜脱落、刃口、锐棱，表面细密，应无裂纹、毛刺、黑斑等缺陷；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(6)皱纹或波纹：圆管和扁线管弯曲处弧形应圆滑一致；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(7)喷涂层：涂层应无漏喷、锈蚀和脱色、掉色现象，涂层应光滑均匀，色泽一致，应无流挂、疙瘩、皱皮、飞漆等缺陷；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(8)电镀层：表面应无剥落、返锈、毛刺，表面应无烧焦、起泡、针孔、裂纹、花斑（不包括镀彩锌）和划痕。 </w:t>
            </w:r>
          </w:p>
          <w:p>
            <w:pPr>
              <w:widowControl/>
              <w:jc w:val="left"/>
              <w:rPr>
                <w:rFonts w:cs="宋体" w:asciiTheme="minorEastAsia" w:hAnsiTheme="minorEastAsia" w:eastAsiaTheme="minorEastAsia"/>
                <w:szCs w:val="21"/>
              </w:rPr>
            </w:pPr>
            <w:r>
              <w:rPr>
                <w:rFonts w:cs="宋体" w:asciiTheme="minorEastAsia" w:hAnsiTheme="minorEastAsia" w:eastAsiaTheme="minorEastAsia"/>
                <w:kern w:val="0"/>
                <w:szCs w:val="21"/>
                <w:lang w:bidi="ar"/>
              </w:rPr>
              <w:t>2</w:t>
            </w:r>
            <w:r>
              <w:rPr>
                <w:rFonts w:hint="eastAsia" w:cs="宋体" w:asciiTheme="minorEastAsia" w:hAnsiTheme="minorEastAsia" w:eastAsiaTheme="minorEastAsia"/>
                <w:kern w:val="0"/>
                <w:szCs w:val="21"/>
                <w:lang w:bidi="ar"/>
              </w:rPr>
              <w:t xml:space="preserve">.人造板件外观要求：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(1)外表应无干花、湿花,内表干花、湿花面积不超过板面的5%；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(2)外表应无明显划痕、压痕；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(3)表面应无明显色差；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(4)外表应无鼓泡、龟裂、分层。 </w:t>
            </w:r>
          </w:p>
          <w:p>
            <w:pPr>
              <w:widowControl/>
              <w:jc w:val="left"/>
              <w:rPr>
                <w:rFonts w:cs="宋体" w:asciiTheme="minorEastAsia" w:hAnsiTheme="minorEastAsia" w:eastAsiaTheme="minorEastAsia"/>
                <w:szCs w:val="21"/>
              </w:rPr>
            </w:pPr>
            <w:r>
              <w:rPr>
                <w:rFonts w:cs="宋体" w:asciiTheme="minorEastAsia" w:hAnsiTheme="minorEastAsia" w:eastAsiaTheme="minorEastAsia"/>
                <w:kern w:val="0"/>
                <w:szCs w:val="21"/>
                <w:lang w:bidi="ar"/>
              </w:rPr>
              <w:t>3</w:t>
            </w:r>
            <w:r>
              <w:rPr>
                <w:rFonts w:hint="eastAsia" w:cs="宋体" w:asciiTheme="minorEastAsia" w:hAnsiTheme="minorEastAsia" w:eastAsiaTheme="minorEastAsia"/>
                <w:kern w:val="0"/>
                <w:szCs w:val="21"/>
                <w:lang w:bidi="ar"/>
              </w:rPr>
              <w:t xml:space="preserve">.漆膜外观要求：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(1)同色部件的色泽应相似；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(2)应无褪色、掉色现象；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(3)涂层不应有皱皮、发粘或漏漆现象；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(4)涂层应平整光滑、清晰、无明显粒子、涨边现象；应无明显加工痕迹、划痕、雾光、白棱、白点、鼓泡、油白、流挂、缩孔、刷毛、积粉和杂渣。 </w:t>
            </w:r>
          </w:p>
          <w:p>
            <w:pPr>
              <w:widowControl/>
              <w:jc w:val="left"/>
              <w:rPr>
                <w:rFonts w:cs="宋体" w:asciiTheme="minorEastAsia" w:hAnsiTheme="minorEastAsia" w:eastAsiaTheme="minorEastAsia"/>
                <w:szCs w:val="21"/>
              </w:rPr>
            </w:pPr>
            <w:r>
              <w:rPr>
                <w:rFonts w:cs="宋体" w:asciiTheme="minorEastAsia" w:hAnsiTheme="minorEastAsia" w:eastAsiaTheme="minorEastAsia"/>
                <w:kern w:val="0"/>
                <w:szCs w:val="21"/>
                <w:lang w:bidi="ar"/>
              </w:rPr>
              <w:t>4</w:t>
            </w:r>
            <w:r>
              <w:rPr>
                <w:rFonts w:hint="eastAsia" w:cs="宋体" w:asciiTheme="minorEastAsia" w:hAnsiTheme="minorEastAsia" w:eastAsiaTheme="minorEastAsia"/>
                <w:kern w:val="0"/>
                <w:szCs w:val="21"/>
                <w:lang w:bidi="ar"/>
              </w:rPr>
              <w:t xml:space="preserve">.软包件外观要求：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(1)软面包覆表面：包覆的面料拼接对称图案应完整；同一部位绒面料的绒毛方向应一致；不应有明显色差，包覆的面料应无破损、严重划痕、色污、油污，应平服饱满，松紧均匀，不应有明显皱折，对称工艺性皱折应匀称，层次分明；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(2)外露泡钉：排列应整齐，间距基本相等，不应有泡钉明显敲扁或脱漆；</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(3)缝纫：线迹间距应均匀，无明显浮线、跳针或外露线头、脱线、开缝、脱胶。 </w:t>
            </w:r>
          </w:p>
          <w:p>
            <w:pPr>
              <w:widowControl/>
              <w:jc w:val="left"/>
              <w:rPr>
                <w:rFonts w:cs="宋体" w:asciiTheme="minorEastAsia" w:hAnsiTheme="minorEastAsia" w:eastAsiaTheme="minorEastAsia"/>
                <w:szCs w:val="21"/>
              </w:rPr>
            </w:pPr>
            <w:r>
              <w:rPr>
                <w:rFonts w:cs="宋体" w:asciiTheme="minorEastAsia" w:hAnsiTheme="minorEastAsia" w:eastAsiaTheme="minorEastAsia"/>
                <w:kern w:val="0"/>
                <w:szCs w:val="21"/>
                <w:lang w:bidi="ar"/>
              </w:rPr>
              <w:t>5</w:t>
            </w:r>
            <w:r>
              <w:rPr>
                <w:rFonts w:hint="eastAsia" w:cs="宋体" w:asciiTheme="minorEastAsia" w:hAnsiTheme="minorEastAsia" w:eastAsiaTheme="minorEastAsia"/>
                <w:kern w:val="0"/>
                <w:szCs w:val="21"/>
                <w:lang w:bidi="ar"/>
              </w:rPr>
              <w:t xml:space="preserve">.塑料件外观要求：应无裂纹，无明显变形，应无明显缩孔、气泡、杂质、伤痕，外表用塑料件表面应光洁、无划痕、无污渍、无明显色差。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每个不合格项（最小项编号）扣1分，扣完为止。 </w:t>
            </w:r>
          </w:p>
          <w:p>
            <w:pPr>
              <w:widowControl/>
              <w:jc w:val="left"/>
              <w:rPr>
                <w:rFonts w:cs="宋体" w:asciiTheme="minorEastAsia" w:hAnsiTheme="minorEastAsia" w:eastAsiaTheme="minorEastAsia"/>
                <w:b/>
                <w:szCs w:val="21"/>
              </w:rPr>
            </w:pPr>
            <w:r>
              <w:rPr>
                <w:rFonts w:hint="eastAsia" w:cs="宋体" w:asciiTheme="minorEastAsia" w:hAnsiTheme="minorEastAsia" w:eastAsiaTheme="minorEastAsia"/>
                <w:b/>
                <w:bCs/>
                <w:kern w:val="0"/>
                <w:szCs w:val="21"/>
                <w:lang w:bidi="ar"/>
              </w:rPr>
              <w:t>四、制作工艺（4分）：</w:t>
            </w:r>
            <w:r>
              <w:rPr>
                <w:rFonts w:hint="eastAsia" w:cs="宋体" w:asciiTheme="minorEastAsia" w:hAnsiTheme="minorEastAsia" w:eastAsiaTheme="minorEastAsia"/>
                <w:b/>
                <w:kern w:val="0"/>
                <w:szCs w:val="21"/>
                <w:lang w:bidi="ar"/>
              </w:rPr>
              <w:t xml:space="preserve">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1.部件的非交接面应进行封边或涂饰处理；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2.板件或部件在接触人体或贮物部位不应有毛刺、刃口或棱角；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3.板件或部件的外表应光滑，倒棱、圆角、圆线应均匀一致；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4.榫、塞角、零部件等结合处不应断裂；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5.零部件的结合应严密、牢固；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6.各种配件、连接件安装不应有少件、漏钉、透钉（预留孔、选择孔除外）；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7.各种配件特别是连接件的安装应严密、平整、端正、牢固，结合处应无开裂或松动；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 xml:space="preserve">8.雕刻的图案应均匀、清晰、层次分明，对称部位应对称，凹凸和大挖、过桥、棱角、圆弧处应无缺角；铲底应平整，各部位不应有锤印或毛刺； </w:t>
            </w:r>
          </w:p>
          <w:p>
            <w:pPr>
              <w:widowControl/>
              <w:jc w:val="left"/>
              <w:rPr>
                <w:rFonts w:cs="宋体" w:asciiTheme="minorEastAsia" w:hAnsiTheme="minorEastAsia" w:eastAsiaTheme="minorEastAsia"/>
                <w:szCs w:val="21"/>
              </w:rPr>
            </w:pPr>
            <w:r>
              <w:rPr>
                <w:rFonts w:cs="宋体" w:asciiTheme="minorEastAsia" w:hAnsiTheme="minorEastAsia" w:eastAsiaTheme="minorEastAsia"/>
                <w:kern w:val="0"/>
                <w:szCs w:val="21"/>
                <w:lang w:bidi="ar"/>
              </w:rPr>
              <w:t>9</w:t>
            </w:r>
            <w:r>
              <w:rPr>
                <w:rFonts w:hint="eastAsia" w:cs="宋体" w:asciiTheme="minorEastAsia" w:hAnsiTheme="minorEastAsia" w:eastAsiaTheme="minorEastAsia"/>
                <w:kern w:val="0"/>
                <w:szCs w:val="21"/>
                <w:lang w:bidi="ar"/>
              </w:rPr>
              <w:t xml:space="preserve">.涂层无刺激性气味，成膜后应能形成平整的饰面,无明显凹凸或条痕，无气泡龟裂、斑点等现象。 </w:t>
            </w:r>
          </w:p>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lang w:bidi="ar"/>
              </w:rPr>
              <w:t>每个不合格项（最小项编号）扣1分，扣完为止。</w:t>
            </w:r>
          </w:p>
        </w:tc>
        <w:tc>
          <w:tcPr>
            <w:tcW w:w="476" w:type="dxa"/>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w:t>
            </w:r>
          </w:p>
        </w:tc>
        <w:tc>
          <w:tcPr>
            <w:tcW w:w="1224" w:type="dxa"/>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客观分</w:t>
            </w:r>
          </w:p>
        </w:tc>
        <w:tc>
          <w:tcPr>
            <w:tcW w:w="1732" w:type="dxa"/>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dxa"/>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4969" w:type="dxa"/>
            <w:vAlign w:val="center"/>
          </w:tcPr>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剧场椅设计方案的合理性和符合性评价：投标人在投标时应当按照采购要求，就剧场椅提供完整的设计图，设计图内容应当包含对产品结构、功能、布局、尺寸等指标的完整描述。评委根据设计方案的整体合理性、与采购要求的符合性进行评价给分（5分、4分、3分、2分、1分、0分）。</w:t>
            </w:r>
            <w:r>
              <w:rPr>
                <w:rFonts w:hint="eastAsia" w:cs="宋体" w:asciiTheme="minorEastAsia" w:hAnsiTheme="minorEastAsia" w:eastAsiaTheme="minorEastAsia"/>
                <w:bCs/>
                <w:kern w:val="0"/>
                <w:szCs w:val="21"/>
                <w:lang w:bidi="ar"/>
              </w:rPr>
              <w:t xml:space="preserve"> </w:t>
            </w:r>
          </w:p>
        </w:tc>
        <w:tc>
          <w:tcPr>
            <w:tcW w:w="476" w:type="dxa"/>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1224" w:type="dxa"/>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主观分</w:t>
            </w:r>
          </w:p>
        </w:tc>
        <w:tc>
          <w:tcPr>
            <w:tcW w:w="1732" w:type="dxa"/>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dxa"/>
            <w:vAlign w:val="center"/>
          </w:tcPr>
          <w:p>
            <w:pPr>
              <w:snapToGrid w:val="0"/>
              <w:jc w:val="center"/>
              <w:rPr>
                <w:rFonts w:cs="宋体" w:asciiTheme="minorEastAsia" w:hAnsiTheme="minorEastAsia" w:eastAsiaTheme="minorEastAsia"/>
                <w:szCs w:val="21"/>
              </w:rPr>
            </w:pPr>
            <w:r>
              <w:rPr>
                <w:rFonts w:cs="宋体" w:asciiTheme="minorEastAsia" w:hAnsiTheme="minorEastAsia" w:eastAsiaTheme="minorEastAsia"/>
                <w:szCs w:val="21"/>
              </w:rPr>
              <w:t>6</w:t>
            </w:r>
          </w:p>
        </w:tc>
        <w:tc>
          <w:tcPr>
            <w:tcW w:w="4969" w:type="dxa"/>
            <w:vAlign w:val="center"/>
          </w:tcPr>
          <w:p>
            <w:pPr>
              <w:widowControl/>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项目组织实施方案评价。本项目要求投标人在投标时根据采购需求，结合自身行业经验，提供项目组织实施方案，包括项目组织管理架构、进度安排及保障措施、管理和协调方法等。评委根据投标人提交的方案进行评价给分</w:t>
            </w:r>
            <w:r>
              <w:rPr>
                <w:rFonts w:hint="eastAsia" w:cs="宋体" w:asciiTheme="minorEastAsia" w:hAnsiTheme="minorEastAsia" w:eastAsiaTheme="minorEastAsia"/>
                <w:szCs w:val="21"/>
              </w:rPr>
              <w:t>（5分、4分、3分、2分、1分、0分）。</w:t>
            </w:r>
          </w:p>
        </w:tc>
        <w:tc>
          <w:tcPr>
            <w:tcW w:w="476" w:type="dxa"/>
            <w:vAlign w:val="center"/>
          </w:tcPr>
          <w:p>
            <w:pPr>
              <w:snapToGrid w:val="0"/>
              <w:jc w:val="center"/>
              <w:rPr>
                <w:rFonts w:cs="宋体" w:asciiTheme="minorEastAsia" w:hAnsiTheme="minorEastAsia" w:eastAsiaTheme="minorEastAsia"/>
                <w:szCs w:val="21"/>
              </w:rPr>
            </w:pPr>
            <w:r>
              <w:rPr>
                <w:rFonts w:cs="宋体" w:asciiTheme="minorEastAsia" w:hAnsiTheme="minorEastAsia" w:eastAsiaTheme="minorEastAsia"/>
                <w:szCs w:val="21"/>
              </w:rPr>
              <w:t>5</w:t>
            </w:r>
          </w:p>
        </w:tc>
        <w:tc>
          <w:tcPr>
            <w:tcW w:w="1224" w:type="dxa"/>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主观分</w:t>
            </w:r>
          </w:p>
        </w:tc>
        <w:tc>
          <w:tcPr>
            <w:tcW w:w="1732" w:type="dxa"/>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dxa"/>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4969" w:type="dxa"/>
            <w:vAlign w:val="center"/>
          </w:tcPr>
          <w:p>
            <w:pPr>
              <w:widowControl/>
              <w:jc w:val="left"/>
              <w:rPr>
                <w:rFonts w:asciiTheme="minorEastAsia" w:hAnsiTheme="minorEastAsia" w:eastAsiaTheme="minorEastAsia"/>
                <w:szCs w:val="21"/>
                <w:lang w:bidi="ar"/>
              </w:rPr>
            </w:pPr>
            <w:r>
              <w:rPr>
                <w:rFonts w:hint="eastAsia" w:cs="宋体" w:asciiTheme="minorEastAsia" w:hAnsiTheme="minorEastAsia" w:eastAsiaTheme="minorEastAsia"/>
                <w:kern w:val="0"/>
                <w:szCs w:val="21"/>
              </w:rPr>
              <w:t>项目组织实施团队评价。本项目要求投标人在投标时根据采购需求，结合项目实施需要，合理组建项目组织实施团队。其中应设项目负责人1名，</w:t>
            </w:r>
            <w:r>
              <w:rPr>
                <w:rFonts w:hint="eastAsia" w:asciiTheme="minorEastAsia" w:hAnsiTheme="minorEastAsia" w:eastAsiaTheme="minorEastAsia"/>
                <w:szCs w:val="21"/>
              </w:rPr>
              <w:t>具有同类项目管理经验和较好的团队组织和协调能力</w:t>
            </w:r>
            <w:r>
              <w:rPr>
                <w:rFonts w:hint="eastAsia" w:cs="宋体" w:asciiTheme="minorEastAsia" w:hAnsiTheme="minorEastAsia" w:eastAsiaTheme="minorEastAsia"/>
                <w:kern w:val="0"/>
                <w:szCs w:val="21"/>
              </w:rPr>
              <w:t>；设各专业团队人员若干名，要求专业搭配合理、力量充分，具有熟练的技能，能够确保项目顺利实施并交付。评委根据人员数量、专业能力等内容进行评价给分（4分、3分、2分、1分、0分）</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证明材料：提供人员相关证书及距投标截止时间近3个月内任意一个月的社保缴纳证明或劳动合同，否则不得分。</w:t>
            </w:r>
            <w:r>
              <w:rPr>
                <w:rFonts w:cs="宋体" w:asciiTheme="minorEastAsia" w:hAnsiTheme="minorEastAsia" w:eastAsiaTheme="minorEastAsia"/>
                <w:szCs w:val="21"/>
              </w:rPr>
              <w:t>(</w:t>
            </w:r>
            <w:r>
              <w:rPr>
                <w:rFonts w:hint="eastAsia" w:cs="宋体" w:asciiTheme="minorEastAsia" w:hAnsiTheme="minorEastAsia" w:eastAsiaTheme="minorEastAsia"/>
                <w:szCs w:val="21"/>
              </w:rPr>
              <w:t>投标人电子签名或公章）</w:t>
            </w:r>
          </w:p>
        </w:tc>
        <w:tc>
          <w:tcPr>
            <w:tcW w:w="476" w:type="dxa"/>
            <w:vAlign w:val="center"/>
          </w:tcPr>
          <w:p>
            <w:pPr>
              <w:snapToGrid w:val="0"/>
              <w:jc w:val="center"/>
              <w:rPr>
                <w:rFonts w:cs="宋体" w:asciiTheme="minorEastAsia" w:hAnsiTheme="minorEastAsia" w:eastAsiaTheme="minorEastAsia"/>
                <w:szCs w:val="21"/>
              </w:rPr>
            </w:pPr>
            <w:r>
              <w:rPr>
                <w:rFonts w:cs="宋体" w:asciiTheme="minorEastAsia" w:hAnsiTheme="minorEastAsia" w:eastAsiaTheme="minorEastAsia"/>
                <w:szCs w:val="21"/>
              </w:rPr>
              <w:t>4</w:t>
            </w:r>
          </w:p>
        </w:tc>
        <w:tc>
          <w:tcPr>
            <w:tcW w:w="1224" w:type="dxa"/>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主观分</w:t>
            </w:r>
          </w:p>
        </w:tc>
        <w:tc>
          <w:tcPr>
            <w:tcW w:w="1732" w:type="dxa"/>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dxa"/>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4969" w:type="dxa"/>
            <w:vAlign w:val="center"/>
          </w:tcPr>
          <w:p>
            <w:pPr>
              <w:widowControl/>
              <w:jc w:val="left"/>
              <w:rPr>
                <w:rFonts w:cs="宋体" w:asciiTheme="minorEastAsia" w:hAnsiTheme="minorEastAsia" w:eastAsiaTheme="minorEastAsia"/>
                <w:szCs w:val="21"/>
              </w:rPr>
            </w:pPr>
            <w:r>
              <w:rPr>
                <w:rFonts w:hint="eastAsia" w:asciiTheme="minorEastAsia" w:hAnsiTheme="minorEastAsia" w:eastAsiaTheme="minorEastAsia"/>
                <w:szCs w:val="21"/>
              </w:rPr>
              <w:t>投标产品安装调试技术方案评价。</w:t>
            </w:r>
            <w:r>
              <w:rPr>
                <w:rFonts w:hint="eastAsia" w:cs="宋体" w:asciiTheme="minorEastAsia" w:hAnsiTheme="minorEastAsia" w:eastAsiaTheme="minorEastAsia"/>
                <w:bCs/>
                <w:kern w:val="0"/>
                <w:szCs w:val="21"/>
              </w:rPr>
              <w:t>本项目要求投标人在投标时根据所投产品的技术特点，结合采购需求，提供投标产品安装调试技术方案，包括产品安装调试的方式、方法、技术标准和质量控制措施等。</w:t>
            </w:r>
            <w:r>
              <w:rPr>
                <w:rFonts w:hint="eastAsia" w:cs="宋体" w:asciiTheme="minorEastAsia" w:hAnsiTheme="minorEastAsia" w:eastAsiaTheme="minorEastAsia"/>
                <w:kern w:val="0"/>
                <w:szCs w:val="21"/>
              </w:rPr>
              <w:t>评委根据投标人提交的方案进行评价给分（4分、3分、2分、1分、0分）。</w:t>
            </w:r>
          </w:p>
        </w:tc>
        <w:tc>
          <w:tcPr>
            <w:tcW w:w="476" w:type="dxa"/>
            <w:vAlign w:val="center"/>
          </w:tcPr>
          <w:p>
            <w:pPr>
              <w:snapToGrid w:val="0"/>
              <w:jc w:val="center"/>
              <w:rPr>
                <w:rFonts w:cs="宋体" w:asciiTheme="minorEastAsia" w:hAnsiTheme="minorEastAsia" w:eastAsiaTheme="minorEastAsia"/>
                <w:szCs w:val="21"/>
              </w:rPr>
            </w:pPr>
            <w:r>
              <w:rPr>
                <w:rFonts w:cs="宋体" w:asciiTheme="minorEastAsia" w:hAnsiTheme="minorEastAsia" w:eastAsiaTheme="minorEastAsia"/>
                <w:szCs w:val="21"/>
              </w:rPr>
              <w:t>4</w:t>
            </w:r>
          </w:p>
        </w:tc>
        <w:tc>
          <w:tcPr>
            <w:tcW w:w="1224" w:type="dxa"/>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主观分</w:t>
            </w:r>
          </w:p>
        </w:tc>
        <w:tc>
          <w:tcPr>
            <w:tcW w:w="1732" w:type="dxa"/>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dxa"/>
            <w:vAlign w:val="center"/>
          </w:tcPr>
          <w:p>
            <w:pPr>
              <w:snapToGrid w:val="0"/>
              <w:jc w:val="center"/>
              <w:rPr>
                <w:rFonts w:cs="宋体" w:asciiTheme="minorEastAsia" w:hAnsiTheme="minorEastAsia" w:eastAsiaTheme="minorEastAsia"/>
                <w:szCs w:val="21"/>
              </w:rPr>
            </w:pPr>
            <w:r>
              <w:rPr>
                <w:rFonts w:cs="宋体" w:asciiTheme="minorEastAsia" w:hAnsiTheme="minorEastAsia" w:eastAsiaTheme="minorEastAsia"/>
                <w:szCs w:val="21"/>
              </w:rPr>
              <w:t>9</w:t>
            </w:r>
          </w:p>
        </w:tc>
        <w:tc>
          <w:tcPr>
            <w:tcW w:w="4969" w:type="dxa"/>
            <w:vAlign w:val="center"/>
          </w:tcPr>
          <w:p>
            <w:pPr>
              <w:widowControl/>
              <w:jc w:val="left"/>
              <w:rPr>
                <w:rFonts w:cs="宋体" w:asciiTheme="minorEastAsia" w:hAnsiTheme="minorEastAsia" w:eastAsiaTheme="minorEastAsia"/>
                <w:szCs w:val="21"/>
              </w:rPr>
            </w:pPr>
            <w:r>
              <w:rPr>
                <w:rFonts w:hint="eastAsia" w:cs="Arial" w:asciiTheme="minorEastAsia" w:hAnsiTheme="minorEastAsia" w:eastAsiaTheme="minorEastAsia"/>
                <w:szCs w:val="21"/>
              </w:rPr>
              <w:t>售后服务方案评价。</w:t>
            </w:r>
            <w:r>
              <w:rPr>
                <w:rFonts w:hint="eastAsia" w:cs="宋体" w:asciiTheme="minorEastAsia" w:hAnsiTheme="minorEastAsia" w:eastAsiaTheme="minorEastAsia"/>
                <w:bCs/>
                <w:kern w:val="0"/>
                <w:szCs w:val="21"/>
              </w:rPr>
              <w:t>本项目要求投标人在投标时根据所投产品技术水平，结合采购需求，提供售后服务方案，包括售后服务措施、售后服务机构和人员配置情况说明、售后服务质量保证措施等。</w:t>
            </w:r>
            <w:r>
              <w:rPr>
                <w:rFonts w:hint="eastAsia" w:cs="宋体" w:asciiTheme="minorEastAsia" w:hAnsiTheme="minorEastAsia" w:eastAsiaTheme="minorEastAsia"/>
                <w:kern w:val="0"/>
                <w:szCs w:val="21"/>
              </w:rPr>
              <w:t>评委根据投标人提交的方案进行评价给分（4分、3分、2分、1分、0分）。</w:t>
            </w:r>
          </w:p>
        </w:tc>
        <w:tc>
          <w:tcPr>
            <w:tcW w:w="476" w:type="dxa"/>
            <w:vAlign w:val="center"/>
          </w:tcPr>
          <w:p>
            <w:pPr>
              <w:snapToGrid w:val="0"/>
              <w:jc w:val="center"/>
              <w:rPr>
                <w:rFonts w:cs="宋体" w:asciiTheme="minorEastAsia" w:hAnsiTheme="minorEastAsia" w:eastAsiaTheme="minorEastAsia"/>
                <w:szCs w:val="21"/>
              </w:rPr>
            </w:pPr>
            <w:r>
              <w:rPr>
                <w:rFonts w:cs="宋体" w:asciiTheme="minorEastAsia" w:hAnsiTheme="minorEastAsia" w:eastAsiaTheme="minorEastAsia"/>
                <w:szCs w:val="21"/>
              </w:rPr>
              <w:t>4</w:t>
            </w:r>
          </w:p>
        </w:tc>
        <w:tc>
          <w:tcPr>
            <w:tcW w:w="1224" w:type="dxa"/>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主观分</w:t>
            </w:r>
          </w:p>
        </w:tc>
        <w:tc>
          <w:tcPr>
            <w:tcW w:w="1732" w:type="dxa"/>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dxa"/>
            <w:vAlign w:val="center"/>
          </w:tcPr>
          <w:p>
            <w:pPr>
              <w:snapToGrid w:val="0"/>
              <w:jc w:val="center"/>
              <w:rPr>
                <w:rFonts w:cs="宋体" w:asciiTheme="minorEastAsia" w:hAnsiTheme="minorEastAsia" w:eastAsiaTheme="minorEastAsia"/>
                <w:szCs w:val="21"/>
              </w:rPr>
            </w:pPr>
            <w:r>
              <w:rPr>
                <w:rFonts w:cs="宋体" w:asciiTheme="minorEastAsia" w:hAnsiTheme="minorEastAsia" w:eastAsiaTheme="minorEastAsia"/>
                <w:szCs w:val="21"/>
              </w:rPr>
              <w:t>10</w:t>
            </w:r>
          </w:p>
        </w:tc>
        <w:tc>
          <w:tcPr>
            <w:tcW w:w="4969" w:type="dxa"/>
            <w:vAlign w:val="center"/>
          </w:tcPr>
          <w:p>
            <w:pPr>
              <w:pStyle w:val="24"/>
              <w:snapToGrid w:val="0"/>
              <w:spacing w:after="120" w:line="240" w:lineRule="auto"/>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bCs/>
                <w:sz w:val="21"/>
                <w:szCs w:val="21"/>
              </w:rPr>
              <w:t>投标人具有剧场椅项目的业绩（3分）：</w:t>
            </w:r>
            <w:r>
              <w:rPr>
                <w:rFonts w:hint="eastAsia" w:cs="宋体" w:asciiTheme="minorEastAsia" w:hAnsiTheme="minorEastAsia" w:eastAsiaTheme="minorEastAsia"/>
                <w:sz w:val="21"/>
                <w:szCs w:val="21"/>
              </w:rPr>
              <w:t>投标截止时间前三年内承担过的剧场椅项目的情况，每个业绩得</w:t>
            </w:r>
            <w:r>
              <w:rPr>
                <w:rFonts w:cs="宋体" w:asciiTheme="minorEastAsia" w:hAnsiTheme="minorEastAsia" w:eastAsiaTheme="minorEastAsia"/>
                <w:sz w:val="21"/>
                <w:szCs w:val="21"/>
              </w:rPr>
              <w:t>0.5</w:t>
            </w:r>
            <w:r>
              <w:rPr>
                <w:rFonts w:hint="eastAsia" w:cs="宋体" w:asciiTheme="minorEastAsia" w:hAnsiTheme="minorEastAsia" w:eastAsiaTheme="minorEastAsia"/>
                <w:sz w:val="21"/>
                <w:szCs w:val="21"/>
              </w:rPr>
              <w:t>分，最多得3分。证明材料：同时提供合同和用户验收报告，时间以合同签订时间为准。证明材料提供复印件加盖投标人公章。</w:t>
            </w:r>
            <w:r>
              <w:rPr>
                <w:rFonts w:hint="eastAsia" w:cs="宋体" w:asciiTheme="minorEastAsia" w:hAnsiTheme="minorEastAsia" w:eastAsiaTheme="minorEastAsia"/>
                <w:bCs/>
                <w:sz w:val="21"/>
                <w:szCs w:val="21"/>
              </w:rPr>
              <w:t>以分包方式履行政府采购合同的，还需提供该项目采购方同意分包的证明材料；如投标人提供的合同复印件等实施项目证明材料与投标主体无关或违规转包分包的，不得分。</w:t>
            </w:r>
          </w:p>
        </w:tc>
        <w:tc>
          <w:tcPr>
            <w:tcW w:w="476" w:type="dxa"/>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224" w:type="dxa"/>
            <w:vAlign w:val="center"/>
          </w:tcPr>
          <w:p>
            <w:pPr>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客观分</w:t>
            </w:r>
          </w:p>
        </w:tc>
        <w:tc>
          <w:tcPr>
            <w:tcW w:w="1732" w:type="dxa"/>
          </w:tcPr>
          <w:p>
            <w:pPr>
              <w:snapToGrid w:val="0"/>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dxa"/>
            <w:vAlign w:val="center"/>
          </w:tcPr>
          <w:p>
            <w:pPr>
              <w:snapToGrid w:val="0"/>
              <w:jc w:val="center"/>
              <w:rPr>
                <w:rFonts w:cs="宋体" w:asciiTheme="minorEastAsia" w:hAnsiTheme="minorEastAsia" w:eastAsiaTheme="minorEastAsia"/>
                <w:szCs w:val="21"/>
              </w:rPr>
            </w:pPr>
            <w:r>
              <w:rPr>
                <w:rFonts w:cs="宋体" w:asciiTheme="minorEastAsia" w:hAnsiTheme="minorEastAsia" w:eastAsiaTheme="minorEastAsia"/>
                <w:szCs w:val="21"/>
              </w:rPr>
              <w:t>11</w:t>
            </w:r>
          </w:p>
        </w:tc>
        <w:tc>
          <w:tcPr>
            <w:tcW w:w="4969" w:type="dxa"/>
          </w:tcPr>
          <w:p>
            <w:pPr>
              <w:ind w:firstLine="420" w:firstLineChars="200"/>
              <w:outlineLvl w:val="0"/>
              <w:rPr>
                <w:rFonts w:cs="宋体" w:asciiTheme="minorEastAsia" w:hAnsiTheme="minorEastAsia" w:eastAsiaTheme="minorEastAsia"/>
                <w:szCs w:val="21"/>
              </w:rPr>
            </w:pPr>
            <w:r>
              <w:rPr>
                <w:rFonts w:hint="eastAsia" w:cs="宋体" w:asciiTheme="minorEastAsia" w:hAnsiTheme="minorEastAsia" w:eastAsiaTheme="minorEastAsia"/>
                <w:szCs w:val="21"/>
              </w:rPr>
              <w:t>有效投标报价的最低价作为评标基准价，其最低报价为满分；按［投标报价得分=（评标基准价/投标报价）*30］的计算公式计算。</w:t>
            </w:r>
          </w:p>
          <w:p>
            <w:pPr>
              <w:widowControl/>
              <w:shd w:val="clear" w:color="auto" w:fill="FFFFFF"/>
              <w:adjustRightInd/>
              <w:spacing w:after="225"/>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评标过程中，不得去掉报价中的最高报价和最低报价。</w:t>
            </w:r>
          </w:p>
          <w:p>
            <w:pPr>
              <w:widowControl/>
              <w:shd w:val="clear" w:color="auto" w:fill="FFFFFF"/>
              <w:adjustRightInd/>
              <w:spacing w:after="225"/>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对于未预留份额专门面向中小企业的政府采购货物项目，以及预留份额政府采购货物项目中的非预留部分标项，对小型和微型企业的投标报价给予</w:t>
            </w:r>
            <w:r>
              <w:rPr>
                <w:rFonts w:hint="eastAsia" w:cs="宋体" w:asciiTheme="minorEastAsia" w:hAnsiTheme="minorEastAsia" w:eastAsiaTheme="minorEastAsia"/>
                <w:bCs/>
                <w:szCs w:val="21"/>
              </w:rPr>
              <w:t>10%</w:t>
            </w:r>
            <w:r>
              <w:rPr>
                <w:rFonts w:hint="eastAsia" w:cs="宋体" w:asciiTheme="minorEastAsia" w:hAnsiTheme="minorEastAsia" w:eastAsiaTheme="minorEastAsia"/>
                <w:szCs w:val="21"/>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宋体" w:asciiTheme="minorEastAsia" w:hAnsiTheme="minorEastAsia" w:eastAsiaTheme="minorEastAsia"/>
                <w:bCs/>
                <w:szCs w:val="21"/>
              </w:rPr>
              <w:t>4%</w:t>
            </w:r>
            <w:r>
              <w:rPr>
                <w:rFonts w:hint="eastAsia" w:cs="宋体" w:asciiTheme="minorEastAsia" w:hAnsiTheme="minorEastAsia" w:eastAsiaTheme="minorEastAsia"/>
                <w:szCs w:val="21"/>
              </w:rPr>
              <w:t>的扣除，用扣除后的价格参加评审。</w:t>
            </w:r>
          </w:p>
        </w:tc>
        <w:tc>
          <w:tcPr>
            <w:tcW w:w="476" w:type="dxa"/>
            <w:vAlign w:val="center"/>
          </w:tcPr>
          <w:p>
            <w:pPr>
              <w:jc w:val="center"/>
              <w:outlineLvl w:val="0"/>
              <w:rPr>
                <w:rFonts w:cs="宋体" w:asciiTheme="minorEastAsia" w:hAnsiTheme="minorEastAsia" w:eastAsiaTheme="minorEastAsia"/>
                <w:szCs w:val="21"/>
              </w:rPr>
            </w:pPr>
            <w:r>
              <w:rPr>
                <w:rFonts w:hint="eastAsia" w:cs="宋体" w:asciiTheme="minorEastAsia" w:hAnsiTheme="minorEastAsia" w:eastAsiaTheme="minorEastAsia"/>
                <w:szCs w:val="21"/>
              </w:rPr>
              <w:t>30</w:t>
            </w:r>
          </w:p>
        </w:tc>
        <w:tc>
          <w:tcPr>
            <w:tcW w:w="1224" w:type="dxa"/>
            <w:vAlign w:val="center"/>
          </w:tcPr>
          <w:p>
            <w:pPr>
              <w:jc w:val="center"/>
              <w:outlineLvl w:val="0"/>
              <w:rPr>
                <w:rFonts w:cs="宋体" w:asciiTheme="minorEastAsia" w:hAnsiTheme="minorEastAsia" w:eastAsiaTheme="minorEastAsia"/>
                <w:szCs w:val="21"/>
              </w:rPr>
            </w:pPr>
            <w:r>
              <w:rPr>
                <w:rFonts w:hint="eastAsia" w:cs="宋体" w:asciiTheme="minorEastAsia" w:hAnsiTheme="minorEastAsia" w:eastAsiaTheme="minorEastAsia"/>
                <w:szCs w:val="21"/>
              </w:rPr>
              <w:t>客观分</w:t>
            </w:r>
          </w:p>
        </w:tc>
        <w:tc>
          <w:tcPr>
            <w:tcW w:w="1732" w:type="dxa"/>
            <w:vAlign w:val="center"/>
          </w:tcPr>
          <w:p>
            <w:pPr>
              <w:jc w:val="center"/>
              <w:outlineLvl w:val="0"/>
              <w:rPr>
                <w:rFonts w:cs="宋体" w:asciiTheme="minorEastAsia" w:hAnsiTheme="minorEastAsia" w:eastAsiaTheme="minorEastAsia"/>
                <w:szCs w:val="21"/>
              </w:rPr>
            </w:pPr>
            <w:r>
              <w:rPr>
                <w:rFonts w:hint="eastAsia" w:cs="宋体" w:asciiTheme="minorEastAsia" w:hAnsiTheme="minorEastAsia" w:eastAsiaTheme="minorEastAsia"/>
                <w:szCs w:val="21"/>
              </w:rPr>
              <w:t>/</w:t>
            </w:r>
          </w:p>
        </w:tc>
      </w:tr>
    </w:tbl>
    <w:p/>
    <w:p>
      <w:pPr>
        <w:snapToGrid w:val="0"/>
        <w:spacing w:line="360" w:lineRule="auto"/>
        <w:ind w:firstLine="400" w:firstLineChars="200"/>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outlineLvl w:val="1"/>
        <w:rPr>
          <w:rFonts w:ascii="宋体" w:hAnsi="宋体" w:cs="宋体"/>
          <w:b/>
          <w:sz w:val="32"/>
        </w:rPr>
      </w:pPr>
    </w:p>
    <w:p>
      <w:pPr>
        <w:snapToGrid w:val="0"/>
        <w:spacing w:line="360" w:lineRule="auto"/>
        <w:outlineLvl w:val="1"/>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w:t>
      </w:r>
      <w:r>
        <w:rPr>
          <w:rFonts w:ascii="宋体" w:hAnsi="宋体" w:cs="宋体"/>
          <w:b/>
          <w:kern w:val="0"/>
          <w:sz w:val="24"/>
        </w:rPr>
        <w:t xml:space="preserve"> </w:t>
      </w: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宋体" w:hAnsi="宋体" w:cs="宋体"/>
          <w:b/>
          <w:sz w:val="32"/>
        </w:rPr>
      </w:pPr>
    </w:p>
    <w:p>
      <w:pPr>
        <w:adjustRightInd/>
        <w:spacing w:line="360" w:lineRule="auto"/>
        <w:outlineLvl w:val="1"/>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adjustRightInd/>
        <w:spacing w:line="360" w:lineRule="auto"/>
        <w:outlineLvl w:val="1"/>
        <w:rPr>
          <w:rFonts w:ascii="宋体" w:hAnsi="宋体" w:cs="宋体"/>
          <w:b/>
          <w:sz w:val="32"/>
        </w:rPr>
      </w:pPr>
    </w:p>
    <w:p>
      <w:pPr>
        <w:adjustRightInd/>
        <w:spacing w:line="360" w:lineRule="auto"/>
        <w:outlineLvl w:val="1"/>
        <w:rPr>
          <w:rFonts w:ascii="宋体" w:hAnsi="宋体" w:cs="宋体"/>
          <w:b/>
          <w:sz w:val="32"/>
        </w:rPr>
      </w:pPr>
      <w:r>
        <w:rPr>
          <w:rFonts w:hint="eastAsia" w:ascii="宋体" w:hAnsi="宋体" w:cs="宋体"/>
          <w:b/>
          <w:sz w:val="32"/>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w:t>
      </w:r>
      <w:r>
        <w:rPr>
          <w:rFonts w:ascii="宋体" w:hAnsi="宋体" w:cs="宋体"/>
          <w:b/>
          <w:kern w:val="0"/>
          <w:sz w:val="24"/>
        </w:rPr>
        <w:t xml:space="preserve"> </w:t>
      </w:r>
      <w:r>
        <w:rPr>
          <w:rFonts w:hint="eastAsia" w:ascii="宋体" w:hAnsi="宋体" w:cs="宋体"/>
          <w:b/>
          <w:kern w:val="0"/>
          <w:sz w:val="24"/>
        </w:rPr>
        <w:t>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w:t>
      </w:r>
      <w:r>
        <w:rPr>
          <w:rFonts w:ascii="宋体" w:hAnsi="宋体" w:cs="宋体"/>
          <w:b/>
          <w:kern w:val="0"/>
          <w:sz w:val="24"/>
        </w:rPr>
        <w:t xml:space="preserve"> </w:t>
      </w:r>
      <w:r>
        <w:rPr>
          <w:rFonts w:hint="eastAsia" w:ascii="宋体" w:hAnsi="宋体" w:cs="宋体"/>
          <w:b/>
          <w:kern w:val="0"/>
          <w:sz w:val="24"/>
        </w:rPr>
        <w:t>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w:t>
      </w:r>
      <w:r>
        <w:rPr>
          <w:rFonts w:ascii="宋体" w:hAnsi="宋体" w:cs="宋体"/>
          <w:b/>
          <w:kern w:val="0"/>
          <w:sz w:val="24"/>
        </w:rPr>
        <w:t xml:space="preserve"> </w:t>
      </w:r>
      <w:r>
        <w:rPr>
          <w:rFonts w:hint="eastAsia" w:ascii="宋体" w:hAnsi="宋体" w:cs="宋体"/>
          <w:b/>
          <w:kern w:val="0"/>
          <w:sz w:val="24"/>
        </w:rPr>
        <w:t>报价评审。</w:t>
      </w:r>
    </w:p>
    <w:p>
      <w:pPr>
        <w:pStyle w:val="128"/>
        <w:spacing w:before="0"/>
        <w:ind w:firstLine="508" w:firstLineChars="212"/>
        <w:rPr>
          <w:rFonts w:ascii="宋体" w:hAnsi="宋体" w:cs="宋体"/>
          <w:kern w:val="0"/>
        </w:rPr>
      </w:pPr>
      <w:r>
        <w:rPr>
          <w:rFonts w:hint="eastAsia" w:ascii="宋体" w:hAnsi="宋体" w:cs="宋体"/>
          <w:kern w:val="0"/>
        </w:rPr>
        <w:t>3.4.1</w:t>
      </w:r>
      <w:r>
        <w:rPr>
          <w:rFonts w:ascii="宋体" w:hAnsi="宋体" w:cs="宋体"/>
          <w:kern w:val="0"/>
        </w:rPr>
        <w:t xml:space="preserve"> </w:t>
      </w:r>
      <w:r>
        <w:rPr>
          <w:rFonts w:hint="eastAsia" w:ascii="宋体" w:hAnsi="宋体" w:cs="宋体"/>
          <w:kern w:val="0"/>
        </w:rPr>
        <w:t>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w:t>
      </w:r>
      <w:r>
        <w:rPr>
          <w:rFonts w:ascii="宋体" w:hAnsi="宋体" w:cs="宋体"/>
          <w:kern w:val="0"/>
          <w:szCs w:val="24"/>
        </w:rPr>
        <w:t xml:space="preserve"> </w:t>
      </w:r>
      <w:r>
        <w:rPr>
          <w:rFonts w:hint="eastAsia" w:ascii="宋体" w:hAnsi="宋体" w:cs="宋体"/>
          <w:kern w:val="0"/>
          <w:szCs w:val="24"/>
        </w:rPr>
        <w:t>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w:t>
      </w:r>
      <w:r>
        <w:rPr>
          <w:rFonts w:ascii="宋体" w:hAnsi="宋体" w:cs="宋体"/>
          <w:kern w:val="0"/>
          <w:szCs w:val="24"/>
        </w:rPr>
        <w:t xml:space="preserve"> </w:t>
      </w:r>
      <w:r>
        <w:rPr>
          <w:rFonts w:hint="eastAsia" w:ascii="宋体" w:hAnsi="宋体" w:cs="宋体"/>
          <w:kern w:val="0"/>
          <w:szCs w:val="24"/>
        </w:rPr>
        <w:t>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w:t>
      </w:r>
      <w:r>
        <w:rPr>
          <w:rFonts w:ascii="宋体" w:hAnsi="宋体" w:cs="宋体"/>
          <w:kern w:val="0"/>
          <w:szCs w:val="24"/>
        </w:rPr>
        <w:t xml:space="preserve"> </w:t>
      </w:r>
      <w:r>
        <w:rPr>
          <w:rFonts w:hint="eastAsia" w:ascii="宋体" w:hAnsi="宋体" w:cs="宋体"/>
          <w:kern w:val="0"/>
          <w:szCs w:val="24"/>
        </w:rPr>
        <w:t>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w:t>
      </w:r>
      <w:r>
        <w:rPr>
          <w:rFonts w:ascii="宋体" w:hAnsi="宋体" w:cs="宋体"/>
          <w:kern w:val="0"/>
          <w:szCs w:val="24"/>
        </w:rPr>
        <w:t xml:space="preserve"> </w:t>
      </w:r>
      <w:r>
        <w:rPr>
          <w:rFonts w:hint="eastAsia" w:ascii="宋体" w:hAnsi="宋体" w:cs="宋体"/>
          <w:kern w:val="0"/>
          <w:szCs w:val="24"/>
        </w:rPr>
        <w:t>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w:t>
      </w:r>
      <w:r>
        <w:rPr>
          <w:rFonts w:ascii="宋体" w:hAnsi="宋体" w:cs="宋体"/>
          <w:kern w:val="0"/>
          <w:szCs w:val="24"/>
        </w:rPr>
        <w:t xml:space="preserve"> </w:t>
      </w:r>
      <w:r>
        <w:rPr>
          <w:rFonts w:hint="eastAsia" w:ascii="宋体" w:hAnsi="宋体" w:cs="宋体"/>
          <w:kern w:val="0"/>
          <w:szCs w:val="24"/>
        </w:rPr>
        <w:t>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w:t>
      </w:r>
      <w:r>
        <w:rPr>
          <w:rFonts w:ascii="宋体" w:hAnsi="宋体" w:cs="宋体"/>
          <w:kern w:val="0"/>
          <w:sz w:val="24"/>
        </w:rPr>
        <w:t xml:space="preserve"> </w:t>
      </w:r>
      <w:r>
        <w:rPr>
          <w:rFonts w:hint="eastAsia" w:ascii="宋体" w:hAnsi="宋体" w:cs="宋体"/>
          <w:kern w:val="0"/>
          <w:sz w:val="24"/>
        </w:rPr>
        <w:t>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w:t>
      </w:r>
      <w:r>
        <w:rPr>
          <w:rFonts w:ascii="宋体" w:hAnsi="宋体" w:cs="宋体"/>
          <w:kern w:val="0"/>
          <w:sz w:val="24"/>
        </w:rPr>
        <w:t xml:space="preserve"> </w:t>
      </w:r>
      <w:r>
        <w:rPr>
          <w:rFonts w:hint="eastAsia" w:ascii="宋体" w:hAnsi="宋体" w:cs="宋体"/>
          <w:kern w:val="0"/>
          <w:sz w:val="24"/>
        </w:rPr>
        <w:t>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w:t>
      </w:r>
      <w:r>
        <w:rPr>
          <w:rFonts w:ascii="宋体" w:hAnsi="宋体" w:cs="宋体"/>
          <w:kern w:val="0"/>
          <w:szCs w:val="24"/>
        </w:rPr>
        <w:t xml:space="preserve"> </w:t>
      </w:r>
      <w:r>
        <w:rPr>
          <w:rFonts w:hint="eastAsia" w:ascii="宋体" w:hAnsi="宋体" w:cs="宋体"/>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w:t>
      </w:r>
      <w:r>
        <w:rPr>
          <w:rFonts w:ascii="宋体" w:hAnsi="宋体" w:cs="宋体"/>
          <w:kern w:val="0"/>
          <w:szCs w:val="24"/>
        </w:rPr>
        <w:t xml:space="preserve"> </w:t>
      </w:r>
      <w:r>
        <w:rPr>
          <w:rFonts w:hint="eastAsia" w:ascii="宋体" w:hAnsi="宋体" w:cs="宋体"/>
          <w:kern w:val="0"/>
          <w:szCs w:val="24"/>
        </w:rPr>
        <w:t>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w:t>
      </w:r>
      <w:r>
        <w:rPr>
          <w:rFonts w:ascii="宋体" w:hAnsi="宋体" w:cs="宋体"/>
          <w:b/>
          <w:kern w:val="0"/>
          <w:sz w:val="24"/>
        </w:rPr>
        <w:t xml:space="preserve"> </w:t>
      </w:r>
      <w:r>
        <w:rPr>
          <w:rFonts w:hint="eastAsia" w:ascii="宋体" w:hAnsi="宋体" w:cs="宋体"/>
          <w:b/>
          <w:kern w:val="0"/>
          <w:sz w:val="24"/>
        </w:rPr>
        <w:t>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w:t>
      </w:r>
      <w:r>
        <w:rPr>
          <w:rFonts w:ascii="宋体" w:hAnsi="宋体" w:cs="宋体"/>
          <w:b/>
          <w:kern w:val="0"/>
          <w:sz w:val="24"/>
        </w:rPr>
        <w:t xml:space="preserve"> </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outlineLvl w:val="1"/>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w:t>
      </w:r>
      <w:r>
        <w:rPr>
          <w:rFonts w:ascii="宋体" w:hAnsi="宋体" w:cs="宋体"/>
          <w:b/>
          <w:kern w:val="0"/>
          <w:szCs w:val="24"/>
        </w:rPr>
        <w:t xml:space="preserve"> </w:t>
      </w:r>
      <w:r>
        <w:rPr>
          <w:rFonts w:hint="eastAsia" w:ascii="宋体" w:hAnsi="宋体" w:cs="宋体"/>
          <w:b/>
          <w:kern w:val="0"/>
          <w:szCs w:val="24"/>
        </w:rPr>
        <w:t>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w:t>
      </w:r>
      <w:r>
        <w:rPr>
          <w:rFonts w:cs="宋体"/>
          <w:b/>
          <w:kern w:val="0"/>
        </w:rPr>
        <w:t xml:space="preserve"> </w:t>
      </w:r>
      <w:r>
        <w:rPr>
          <w:rFonts w:hint="eastAsia" w:cs="宋体"/>
          <w:b/>
          <w:kern w:val="0"/>
        </w:rPr>
        <w:t>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ascii="宋体" w:hAnsi="宋体" w:cs="宋体"/>
          <w:kern w:val="0"/>
          <w:sz w:val="24"/>
        </w:rPr>
        <w:t xml:space="preserve"> </w:t>
      </w:r>
      <w:r>
        <w:rPr>
          <w:rFonts w:hint="eastAsia" w:ascii="宋体" w:hAnsi="宋体" w:cs="宋体"/>
          <w:kern w:val="0"/>
          <w:sz w:val="24"/>
        </w:rPr>
        <w:t>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w:t>
      </w:r>
      <w:r>
        <w:rPr>
          <w:rFonts w:ascii="宋体" w:hAnsi="宋体" w:cs="宋体"/>
          <w:kern w:val="0"/>
          <w:sz w:val="24"/>
        </w:rPr>
        <w:t xml:space="preserve"> </w:t>
      </w:r>
      <w:r>
        <w:rPr>
          <w:rFonts w:hint="eastAsia" w:ascii="宋体" w:hAnsi="宋体" w:cs="宋体"/>
          <w:kern w:val="0"/>
          <w:sz w:val="24"/>
        </w:rPr>
        <w:t>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w:t>
      </w:r>
      <w:r>
        <w:rPr>
          <w:rFonts w:ascii="宋体" w:hAnsi="宋体" w:cs="宋体"/>
          <w:kern w:val="0"/>
          <w:sz w:val="24"/>
        </w:rPr>
        <w:t xml:space="preserve"> </w:t>
      </w:r>
      <w:r>
        <w:rPr>
          <w:rFonts w:hint="eastAsia" w:ascii="宋体" w:hAnsi="宋体" w:cs="宋体"/>
          <w:kern w:val="0"/>
          <w:sz w:val="24"/>
        </w:rPr>
        <w:t>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w:t>
      </w:r>
      <w:r>
        <w:rPr>
          <w:rFonts w:ascii="宋体" w:hAnsi="宋体" w:cs="宋体"/>
          <w:kern w:val="0"/>
          <w:sz w:val="24"/>
        </w:rPr>
        <w:t xml:space="preserve"> </w:t>
      </w:r>
      <w:r>
        <w:rPr>
          <w:rFonts w:hint="eastAsia" w:ascii="宋体" w:hAnsi="宋体" w:cs="宋体"/>
          <w:kern w:val="0"/>
          <w:sz w:val="24"/>
        </w:rPr>
        <w:t>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w:t>
      </w:r>
      <w:r>
        <w:rPr>
          <w:rFonts w:ascii="宋体" w:hAnsi="宋体" w:cs="宋体"/>
          <w:kern w:val="0"/>
          <w:sz w:val="24"/>
        </w:rPr>
        <w:t xml:space="preserve"> </w:t>
      </w:r>
      <w:r>
        <w:rPr>
          <w:rFonts w:hint="eastAsia" w:ascii="宋体" w:hAnsi="宋体" w:cs="宋体"/>
          <w:kern w:val="0"/>
          <w:sz w:val="24"/>
        </w:rPr>
        <w:t>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w:t>
      </w:r>
      <w:r>
        <w:rPr>
          <w:rFonts w:ascii="宋体" w:hAnsi="宋体" w:cs="宋体"/>
          <w:kern w:val="0"/>
          <w:sz w:val="24"/>
        </w:rPr>
        <w:t xml:space="preserve"> </w:t>
      </w:r>
      <w:r>
        <w:rPr>
          <w:rFonts w:hint="eastAsia" w:ascii="宋体" w:hAnsi="宋体" w:cs="宋体"/>
          <w:kern w:val="0"/>
          <w:sz w:val="24"/>
        </w:rPr>
        <w:t>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w:t>
      </w:r>
      <w:r>
        <w:rPr>
          <w:rFonts w:ascii="宋体" w:hAnsi="宋体" w:cs="宋体"/>
          <w:kern w:val="0"/>
          <w:sz w:val="24"/>
        </w:rPr>
        <w:t xml:space="preserve"> </w:t>
      </w:r>
      <w:r>
        <w:rPr>
          <w:rFonts w:hint="eastAsia" w:ascii="宋体" w:hAnsi="宋体" w:cs="宋体"/>
          <w:kern w:val="0"/>
          <w:sz w:val="24"/>
        </w:rPr>
        <w:t>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w:t>
      </w:r>
      <w:r>
        <w:rPr>
          <w:rFonts w:ascii="宋体" w:hAnsi="宋体" w:cs="宋体"/>
          <w:kern w:val="0"/>
          <w:sz w:val="24"/>
        </w:rPr>
        <w:t xml:space="preserve"> </w:t>
      </w:r>
      <w:r>
        <w:rPr>
          <w:rFonts w:hint="eastAsia"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w:t>
      </w:r>
      <w:r>
        <w:rPr>
          <w:rFonts w:ascii="宋体" w:hAnsi="宋体" w:cs="宋体"/>
          <w:kern w:val="0"/>
          <w:sz w:val="24"/>
        </w:rPr>
        <w:t xml:space="preserve"> </w:t>
      </w:r>
      <w:r>
        <w:rPr>
          <w:rFonts w:hint="eastAsia" w:ascii="宋体" w:hAnsi="宋体" w:cs="宋体"/>
          <w:kern w:val="0"/>
          <w:sz w:val="24"/>
        </w:rPr>
        <w:t>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w:t>
      </w:r>
      <w:r>
        <w:rPr>
          <w:rFonts w:ascii="宋体" w:hAnsi="宋体" w:cs="宋体"/>
          <w:kern w:val="0"/>
          <w:sz w:val="24"/>
        </w:rPr>
        <w:t xml:space="preserve"> </w:t>
      </w:r>
      <w:r>
        <w:rPr>
          <w:rFonts w:hint="eastAsia" w:ascii="宋体" w:hAnsi="宋体" w:cs="宋体"/>
          <w:kern w:val="0"/>
          <w:sz w:val="24"/>
        </w:rPr>
        <w:t>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w:t>
      </w:r>
      <w:r>
        <w:rPr>
          <w:rFonts w:ascii="宋体" w:hAnsi="宋体" w:cs="宋体"/>
          <w:kern w:val="0"/>
          <w:sz w:val="24"/>
        </w:rPr>
        <w:t xml:space="preserve"> </w:t>
      </w:r>
      <w:r>
        <w:rPr>
          <w:rFonts w:hint="eastAsia" w:ascii="宋体" w:hAnsi="宋体" w:cs="宋体"/>
          <w:kern w:val="0"/>
          <w:sz w:val="24"/>
        </w:rPr>
        <w:t>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w:t>
      </w:r>
      <w:r>
        <w:rPr>
          <w:rFonts w:ascii="宋体" w:hAnsi="宋体" w:cs="宋体"/>
          <w:kern w:val="0"/>
          <w:sz w:val="24"/>
        </w:rPr>
        <w:t xml:space="preserve"> </w:t>
      </w:r>
      <w:r>
        <w:rPr>
          <w:rFonts w:hint="eastAsia" w:ascii="宋体" w:hAnsi="宋体" w:cs="宋体"/>
          <w:kern w:val="0"/>
          <w:sz w:val="24"/>
        </w:rPr>
        <w:t>投标人仅提交备份投标文件，未在电子交易平台传输递交投标文件的，投标无效；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4.2.13</w:t>
      </w:r>
      <w:r>
        <w:rPr>
          <w:rFonts w:ascii="宋体" w:hAnsi="宋体" w:cs="宋体"/>
          <w:kern w:val="0"/>
          <w:sz w:val="24"/>
        </w:rPr>
        <w:t xml:space="preserve"> </w:t>
      </w:r>
      <w:r>
        <w:rPr>
          <w:rFonts w:hint="eastAsia" w:ascii="宋体" w:hAnsi="宋体" w:cs="宋体"/>
          <w:kern w:val="0"/>
          <w:sz w:val="24"/>
        </w:rPr>
        <w:t>投标人未提供样品或提供的样品不满足采购需求实质性条件的，投标无效；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4.2.15</w:t>
      </w:r>
      <w:r>
        <w:rPr>
          <w:rFonts w:ascii="宋体" w:hAnsi="宋体" w:cs="宋体"/>
          <w:kern w:val="0"/>
          <w:sz w:val="24"/>
        </w:rPr>
        <w:t xml:space="preserve"> </w:t>
      </w:r>
      <w:r>
        <w:rPr>
          <w:rFonts w:hint="eastAsia" w:ascii="宋体" w:hAnsi="宋体" w:cs="宋体"/>
          <w:kern w:val="0"/>
          <w:sz w:val="24"/>
        </w:rPr>
        <w:t>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w:t>
      </w:r>
      <w:r>
        <w:rPr>
          <w:rFonts w:cs="宋体"/>
          <w:b/>
        </w:rPr>
        <w:t xml:space="preserve"> </w:t>
      </w:r>
      <w:r>
        <w:rPr>
          <w:rFonts w:hint="eastAsia" w:cs="宋体"/>
          <w:b/>
        </w:rPr>
        <w:t>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w:t>
      </w:r>
      <w:r>
        <w:rPr>
          <w:rFonts w:cs="宋体"/>
        </w:rPr>
        <w:t xml:space="preserve"> </w:t>
      </w:r>
      <w:r>
        <w:rPr>
          <w:rFonts w:hint="eastAsia" w:cs="宋体"/>
        </w:rPr>
        <w:t>符合专业条件的供应商或者对招标文件作实质响应的供应商不足3家的；</w:t>
      </w:r>
    </w:p>
    <w:p>
      <w:pPr>
        <w:pStyle w:val="24"/>
        <w:snapToGrid w:val="0"/>
        <w:spacing w:line="360" w:lineRule="auto"/>
        <w:rPr>
          <w:rFonts w:cs="宋体"/>
        </w:rPr>
      </w:pPr>
      <w:r>
        <w:rPr>
          <w:rFonts w:hint="eastAsia" w:cs="宋体"/>
        </w:rPr>
        <w:t>5.2</w:t>
      </w:r>
      <w:r>
        <w:rPr>
          <w:rFonts w:cs="宋体"/>
        </w:rPr>
        <w:t xml:space="preserve"> </w:t>
      </w:r>
      <w:r>
        <w:rPr>
          <w:rFonts w:hint="eastAsia" w:cs="宋体"/>
        </w:rPr>
        <w:t>出现影响采购公正的违法、违规行为的；</w:t>
      </w:r>
    </w:p>
    <w:p>
      <w:pPr>
        <w:pStyle w:val="24"/>
        <w:snapToGrid w:val="0"/>
        <w:spacing w:line="360" w:lineRule="auto"/>
        <w:rPr>
          <w:rFonts w:cs="宋体"/>
        </w:rPr>
      </w:pPr>
      <w:r>
        <w:rPr>
          <w:rFonts w:hint="eastAsia" w:cs="宋体"/>
        </w:rPr>
        <w:t>5.3</w:t>
      </w:r>
      <w:r>
        <w:rPr>
          <w:rFonts w:cs="宋体"/>
        </w:rPr>
        <w:t xml:space="preserve"> </w:t>
      </w:r>
      <w:r>
        <w:rPr>
          <w:rFonts w:hint="eastAsia" w:cs="宋体"/>
        </w:rPr>
        <w:t>投标人的报价均超过了采购预算，采购人不能支付的；</w:t>
      </w:r>
    </w:p>
    <w:p>
      <w:pPr>
        <w:pStyle w:val="24"/>
        <w:snapToGrid w:val="0"/>
        <w:spacing w:line="360" w:lineRule="auto"/>
        <w:rPr>
          <w:rFonts w:cs="宋体"/>
        </w:rPr>
      </w:pPr>
      <w:r>
        <w:rPr>
          <w:rFonts w:hint="eastAsia" w:cs="宋体"/>
        </w:rPr>
        <w:t>5.4</w:t>
      </w:r>
      <w:r>
        <w:rPr>
          <w:rFonts w:cs="宋体"/>
        </w:rPr>
        <w:t xml:space="preserve"> </w:t>
      </w:r>
      <w:r>
        <w:rPr>
          <w:rFonts w:hint="eastAsia" w:cs="宋体"/>
        </w:rPr>
        <w:t>因重大变故，采购任务取消的。</w:t>
      </w:r>
    </w:p>
    <w:p>
      <w:pPr>
        <w:pStyle w:val="24"/>
        <w:snapToGrid w:val="0"/>
        <w:spacing w:line="360" w:lineRule="auto"/>
        <w:rPr>
          <w:rFonts w:cs="宋体"/>
        </w:rPr>
      </w:pPr>
      <w:r>
        <w:rPr>
          <w:rFonts w:hint="eastAsia" w:cs="宋体"/>
        </w:rPr>
        <w:t>废标后，采购机构应当将废标理由通知所有投标人。</w:t>
      </w:r>
    </w:p>
    <w:p>
      <w:pPr>
        <w:pStyle w:val="24"/>
        <w:snapToGrid w:val="0"/>
        <w:spacing w:line="360" w:lineRule="auto"/>
        <w:ind w:firstLine="482"/>
        <w:rPr>
          <w:rFonts w:cs="宋体"/>
        </w:rPr>
      </w:pPr>
      <w:r>
        <w:rPr>
          <w:rFonts w:hint="eastAsia" w:cs="宋体"/>
          <w:b/>
        </w:rPr>
        <w:t>6.</w:t>
      </w:r>
      <w:r>
        <w:rPr>
          <w:rFonts w:cs="宋体"/>
          <w:b/>
        </w:rPr>
        <w:t xml:space="preserve"> </w:t>
      </w:r>
      <w:r>
        <w:rPr>
          <w:rFonts w:hint="eastAsia" w:cs="宋体"/>
          <w:b/>
        </w:rPr>
        <w:t>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rPr>
      </w:pPr>
      <w:r>
        <w:rPr>
          <w:rFonts w:hint="eastAsia" w:cs="宋体"/>
          <w:b/>
          <w:kern w:val="0"/>
        </w:rPr>
        <w:t>7.</w:t>
      </w:r>
      <w:r>
        <w:rPr>
          <w:rFonts w:cs="宋体"/>
          <w:b/>
          <w:kern w:val="0"/>
        </w:rPr>
        <w:t xml:space="preserve"> </w:t>
      </w:r>
      <w:r>
        <w:rPr>
          <w:rFonts w:hint="eastAsia" w:cs="宋体"/>
          <w:b/>
          <w:kern w:val="0"/>
        </w:rPr>
        <w:t>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w:t>
      </w:r>
      <w:r>
        <w:rPr>
          <w:rFonts w:cs="宋体"/>
        </w:rPr>
        <w:t xml:space="preserve"> </w:t>
      </w:r>
      <w:r>
        <w:rPr>
          <w:rFonts w:hint="eastAsia" w:cs="宋体"/>
        </w:rPr>
        <w:t>未确定中标供应商的，终止本次政府采购活动，重新开展政府采购活动。</w:t>
      </w:r>
    </w:p>
    <w:p>
      <w:pPr>
        <w:pStyle w:val="24"/>
        <w:snapToGrid w:val="0"/>
        <w:spacing w:line="360" w:lineRule="auto"/>
        <w:rPr>
          <w:rFonts w:cs="宋体"/>
        </w:rPr>
      </w:pPr>
      <w:r>
        <w:rPr>
          <w:rFonts w:hint="eastAsia" w:cs="宋体"/>
        </w:rPr>
        <w:t>7.2</w:t>
      </w:r>
      <w:r>
        <w:rPr>
          <w:rFonts w:cs="宋体"/>
        </w:rPr>
        <w:t xml:space="preserve"> </w:t>
      </w:r>
      <w:r>
        <w:rPr>
          <w:rFonts w:hint="eastAsia" w:cs="宋体"/>
        </w:rPr>
        <w:t>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w:t>
      </w:r>
      <w:r>
        <w:rPr>
          <w:rFonts w:cs="宋体"/>
        </w:rPr>
        <w:t xml:space="preserve"> </w:t>
      </w:r>
      <w:r>
        <w:rPr>
          <w:rFonts w:hint="eastAsia" w:cs="宋体"/>
        </w:rPr>
        <w:t>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w:t>
      </w:r>
      <w:r>
        <w:rPr>
          <w:rFonts w:cs="宋体"/>
        </w:rPr>
        <w:t xml:space="preserve"> </w:t>
      </w:r>
      <w:r>
        <w:rPr>
          <w:rFonts w:hint="eastAsia" w:cs="宋体"/>
        </w:rPr>
        <w:t>政府采购合同已经履行，给采购人、供应商造成损失的，由责任人承担赔偿责任。</w:t>
      </w:r>
    </w:p>
    <w:p>
      <w:pPr>
        <w:pStyle w:val="24"/>
        <w:snapToGrid w:val="0"/>
        <w:spacing w:line="360" w:lineRule="auto"/>
        <w:rPr>
          <w:rFonts w:cs="宋体"/>
        </w:rPr>
      </w:pPr>
      <w:r>
        <w:rPr>
          <w:rFonts w:hint="eastAsia" w:cs="宋体"/>
        </w:rPr>
        <w:t>7.5</w:t>
      </w:r>
      <w:r>
        <w:rPr>
          <w:rFonts w:cs="宋体"/>
        </w:rPr>
        <w:t xml:space="preserve"> </w:t>
      </w:r>
      <w:r>
        <w:rPr>
          <w:rFonts w:hint="eastAsia" w:cs="宋体"/>
        </w:rPr>
        <w:t>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rPr>
      </w:pPr>
    </w:p>
    <w:bookmarkEnd w:id="31"/>
    <w:p>
      <w:pPr>
        <w:spacing w:line="360" w:lineRule="auto"/>
        <w:ind w:left="720" w:leftChars="343" w:firstLine="1084" w:firstLineChars="300"/>
        <w:rPr>
          <w:rFonts w:ascii="宋体" w:hAnsi="宋体" w:cs="宋体"/>
          <w:b/>
          <w:sz w:val="36"/>
          <w:szCs w:val="36"/>
        </w:rPr>
      </w:pPr>
      <w:bookmarkStart w:id="400" w:name="第五部分"/>
      <w:bookmarkStart w:id="401" w:name="_Toc86217003"/>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pStyle w:val="2"/>
        <w:rPr>
          <w:lang w:val="en-US"/>
        </w:rPr>
      </w:pPr>
    </w:p>
    <w:p>
      <w:pPr>
        <w:spacing w:line="360" w:lineRule="auto"/>
        <w:ind w:left="720" w:leftChars="343" w:firstLine="1084" w:firstLineChars="30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rPr>
      </w:pPr>
    </w:p>
    <w:p>
      <w:pPr>
        <w:rPr>
          <w:rFonts w:ascii="宋体" w:hAnsi="宋体" w:cs="宋体"/>
          <w:b/>
          <w:sz w:val="24"/>
          <w:u w:val="single"/>
        </w:rPr>
      </w:pPr>
      <w:r>
        <w:rPr>
          <w:rFonts w:hint="eastAsia" w:ascii="宋体" w:hAnsi="宋体" w:cs="宋体"/>
          <w:b/>
          <w:sz w:val="24"/>
        </w:rPr>
        <w:t>合同编号：</w:t>
      </w:r>
      <w:r>
        <w:rPr>
          <w:rFonts w:hint="eastAsia" w:ascii="宋体" w:hAnsi="宋体" w:cs="宋体"/>
          <w:b/>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outlineLvl w:val="1"/>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jc w:val="center"/>
        <w:rPr>
          <w:rFonts w:ascii="宋体" w:hAnsi="宋体" w:cs="宋体"/>
          <w:szCs w:val="24"/>
        </w:rPr>
      </w:pPr>
    </w:p>
    <w:p>
      <w:pPr>
        <w:pStyle w:val="699"/>
        <w:ind w:left="0" w:leftChars="0" w:firstLine="0" w:firstLineChars="0"/>
        <w:jc w:val="center"/>
        <w:outlineLvl w:val="1"/>
        <w:rPr>
          <w:rFonts w:ascii="宋体" w:hAnsi="宋体" w:cs="宋体"/>
          <w:b/>
          <w:sz w:val="32"/>
          <w:szCs w:val="32"/>
        </w:rPr>
      </w:pPr>
      <w:r>
        <w:rPr>
          <w:rFonts w:hint="eastAsia" w:ascii="宋体" w:hAnsi="宋体" w:cs="宋体"/>
          <w:b/>
          <w:sz w:val="32"/>
          <w:szCs w:val="32"/>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杭州市拱墅区教育发展服务中心 </w:t>
      </w:r>
      <w:r>
        <w:rPr>
          <w:rFonts w:hint="eastAsia" w:ascii="宋体" w:hAnsi="宋体" w:cs="宋体"/>
          <w:sz w:val="24"/>
        </w:rPr>
        <w:t>以</w:t>
      </w:r>
      <w:r>
        <w:rPr>
          <w:rFonts w:hint="eastAsia" w:ascii="宋体" w:hAnsi="宋体" w:cs="宋体"/>
          <w:sz w:val="24"/>
          <w:u w:val="single"/>
        </w:rPr>
        <w:t xml:space="preserve"> 公开招标方式 </w:t>
      </w:r>
      <w:r>
        <w:rPr>
          <w:rFonts w:hint="eastAsia" w:ascii="宋体" w:hAnsi="宋体" w:cs="宋体"/>
          <w:sz w:val="24"/>
        </w:rPr>
        <w:t>对</w:t>
      </w:r>
      <w:r>
        <w:rPr>
          <w:rFonts w:hint="eastAsia" w:ascii="宋体" w:hAnsi="宋体" w:cs="宋体"/>
          <w:sz w:val="24"/>
          <w:u w:val="single"/>
        </w:rPr>
        <w:t xml:space="preserve">   杭州市拱墅区部分学校剧场椅采购项目（重新招标）</w:t>
      </w:r>
      <w:r>
        <w:rPr>
          <w:rFonts w:hint="eastAsia" w:ascii="宋体" w:hAnsi="宋体" w:cs="宋体"/>
          <w:color w:val="0000FF"/>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评标委员会 </w:t>
      </w:r>
      <w:r>
        <w:rPr>
          <w:rFonts w:hint="eastAsia" w:ascii="宋体" w:hAnsi="宋体" w:cs="宋体"/>
          <w:sz w:val="24"/>
        </w:rPr>
        <w:t>评定，</w:t>
      </w:r>
      <w:r>
        <w:rPr>
          <w:rFonts w:hint="eastAsia" w:ascii="宋体" w:hAnsi="宋体" w:cs="宋体"/>
          <w:sz w:val="24"/>
          <w:u w:val="single"/>
        </w:rPr>
        <w:t>（中标供应商名称）</w:t>
      </w:r>
      <w:r>
        <w:rPr>
          <w:rFonts w:hint="eastAsia" w:ascii="宋体" w:hAnsi="宋体" w:cs="宋体"/>
          <w:sz w:val="24"/>
        </w:rPr>
        <w:t>为该项目中标供应商。现于中标通知书发出之日起10个工作日内，按照采购文件确定的事项签订本合同。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lang w:val="zh-CN"/>
        </w:rPr>
        <w:t xml:space="preserve"> </w:t>
      </w:r>
      <w:r>
        <w:rPr>
          <w:rFonts w:hint="eastAsia" w:ascii="宋体" w:hAnsi="宋体" w:cs="宋体"/>
          <w:sz w:val="24"/>
          <w:u w:val="single"/>
        </w:rPr>
        <w:t xml:space="preserve">杭州市拱墅区教育发展服务中心 </w:t>
      </w:r>
      <w:r>
        <w:rPr>
          <w:rFonts w:hint="eastAsia" w:ascii="宋体" w:hAnsi="宋体" w:cs="宋体"/>
          <w:sz w:val="24"/>
          <w:lang w:val="zh-CN"/>
        </w:rPr>
        <w:t>(以下简称：甲方)和</w:t>
      </w:r>
      <w:r>
        <w:rPr>
          <w:rFonts w:hint="eastAsia" w:ascii="宋体" w:hAnsi="宋体" w:cs="宋体"/>
          <w:sz w:val="24"/>
          <w:u w:val="single"/>
        </w:rPr>
        <w:t>（中标供应商名称）</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2"/>
        <w:rPr>
          <w:rFonts w:ascii="宋体" w:hAnsi="宋体" w:cs="宋体"/>
          <w:b/>
          <w:sz w:val="24"/>
        </w:rPr>
      </w:pPr>
      <w:bookmarkStart w:id="402" w:name="_Toc2232"/>
      <w:bookmarkStart w:id="403" w:name="_Toc3029"/>
      <w:bookmarkStart w:id="404" w:name="_Toc24059"/>
      <w:r>
        <w:rPr>
          <w:rFonts w:hint="eastAsia" w:ascii="宋体" w:hAnsi="宋体" w:cs="宋体"/>
          <w:b/>
          <w:sz w:val="24"/>
        </w:rPr>
        <w:t>1.1 合同组成部分</w:t>
      </w:r>
      <w:bookmarkEnd w:id="402"/>
      <w:bookmarkEnd w:id="403"/>
      <w:bookmarkEnd w:id="404"/>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2"/>
        <w:rPr>
          <w:rFonts w:ascii="宋体" w:hAnsi="宋体" w:cs="宋体"/>
          <w:b/>
          <w:sz w:val="24"/>
        </w:rPr>
      </w:pPr>
      <w:bookmarkStart w:id="405" w:name="_Toc21295"/>
      <w:bookmarkStart w:id="406" w:name="_Toc27126"/>
      <w:bookmarkStart w:id="407" w:name="_Toc24300"/>
      <w:r>
        <w:rPr>
          <w:rFonts w:hint="eastAsia" w:ascii="宋体" w:hAnsi="宋体" w:cs="宋体"/>
          <w:b/>
          <w:sz w:val="24"/>
        </w:rPr>
        <w:t>1.2 货物</w:t>
      </w:r>
      <w:bookmarkEnd w:id="405"/>
      <w:bookmarkEnd w:id="406"/>
      <w:bookmarkEnd w:id="407"/>
    </w:p>
    <w:p>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2"/>
        <w:rPr>
          <w:rFonts w:ascii="宋体" w:hAnsi="宋体" w:cs="宋体"/>
          <w:b/>
          <w:sz w:val="24"/>
        </w:rPr>
      </w:pPr>
      <w:bookmarkStart w:id="408" w:name="_Toc23292"/>
      <w:bookmarkStart w:id="409" w:name="_Toc21631"/>
      <w:bookmarkStart w:id="410" w:name="_Toc21551"/>
      <w:r>
        <w:rPr>
          <w:rFonts w:hint="eastAsia" w:ascii="宋体" w:hAnsi="宋体" w:cs="宋体"/>
          <w:b/>
          <w:sz w:val="24"/>
        </w:rPr>
        <w:t>1.3 价款</w:t>
      </w:r>
      <w:bookmarkEnd w:id="408"/>
      <w:bookmarkEnd w:id="409"/>
      <w:bookmarkEnd w:id="410"/>
    </w:p>
    <w:p>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bl>
    <w:p>
      <w:pPr>
        <w:spacing w:line="360" w:lineRule="auto"/>
        <w:ind w:firstLine="482" w:firstLineChars="200"/>
        <w:outlineLvl w:val="2"/>
        <w:rPr>
          <w:rFonts w:ascii="宋体" w:hAnsi="宋体" w:cs="宋体"/>
          <w:b/>
          <w:sz w:val="24"/>
        </w:rPr>
      </w:pPr>
      <w:bookmarkStart w:id="411" w:name="_Toc10340"/>
      <w:bookmarkStart w:id="412" w:name="_Toc1814"/>
      <w:bookmarkStart w:id="413" w:name="_Toc22618"/>
      <w:r>
        <w:rPr>
          <w:rFonts w:hint="eastAsia" w:ascii="宋体" w:hAnsi="宋体" w:cs="宋体"/>
          <w:b/>
          <w:sz w:val="24"/>
        </w:rPr>
        <w:t>1.4 付款</w:t>
      </w:r>
      <w:bookmarkEnd w:id="411"/>
      <w:bookmarkEnd w:id="412"/>
      <w:bookmarkEnd w:id="413"/>
      <w:r>
        <w:rPr>
          <w:rFonts w:hint="eastAsia" w:ascii="宋体" w:hAnsi="宋体" w:cs="宋体"/>
          <w:b/>
          <w:sz w:val="24"/>
        </w:rPr>
        <w:t>方式、时间和条件</w:t>
      </w:r>
    </w:p>
    <w:p>
      <w:pPr>
        <w:pStyle w:val="957"/>
        <w:spacing w:before="0" w:beforeAutospacing="0" w:after="0" w:afterAutospacing="0" w:line="360" w:lineRule="auto"/>
        <w:ind w:firstLine="480"/>
        <w:rPr>
          <w:kern w:val="2"/>
        </w:rPr>
      </w:pPr>
      <w:r>
        <w:rPr>
          <w:rFonts w:hint="eastAsia"/>
          <w:kern w:val="2"/>
        </w:rPr>
        <w:t>1.4.1</w:t>
      </w:r>
      <w:r>
        <w:rPr>
          <w:kern w:val="2"/>
        </w:rPr>
        <w:t xml:space="preserve"> </w:t>
      </w:r>
      <w:r>
        <w:rPr>
          <w:rFonts w:hint="eastAsia"/>
          <w:kern w:val="2"/>
        </w:rPr>
        <w:t>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宋体" w:hAnsi="宋体" w:cs="宋体"/>
          <w:sz w:val="24"/>
        </w:rPr>
      </w:pPr>
      <w:r>
        <w:rPr>
          <w:rFonts w:hint="eastAsia" w:ascii="宋体" w:hAnsi="宋体" w:cs="宋体"/>
          <w:sz w:val="24"/>
        </w:rPr>
        <w:t>1.4.2</w:t>
      </w:r>
      <w:r>
        <w:rPr>
          <w:rFonts w:ascii="宋体" w:hAnsi="宋体" w:cs="宋体"/>
          <w:sz w:val="24"/>
        </w:rPr>
        <w:t xml:space="preserve"> </w:t>
      </w:r>
      <w:r>
        <w:rPr>
          <w:rFonts w:hint="eastAsia" w:ascii="宋体" w:hAnsi="宋体" w:cs="宋体"/>
          <w:sz w:val="24"/>
        </w:rPr>
        <w:t>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sz w:val="24"/>
        </w:rPr>
      </w:pPr>
      <w:r>
        <w:rPr>
          <w:rFonts w:hint="eastAsia" w:ascii="宋体" w:hAnsi="宋体" w:cs="宋体"/>
          <w:sz w:val="24"/>
        </w:rPr>
        <w:t>1.4.3</w:t>
      </w:r>
      <w:r>
        <w:rPr>
          <w:rFonts w:ascii="宋体" w:hAnsi="宋体" w:cs="宋体"/>
          <w:sz w:val="24"/>
        </w:rPr>
        <w:t xml:space="preserve"> </w:t>
      </w:r>
      <w:r>
        <w:rPr>
          <w:rFonts w:hint="eastAsia" w:ascii="宋体" w:hAnsi="宋体" w:cs="宋体"/>
          <w:sz w:val="24"/>
        </w:rPr>
        <w:t>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rPr>
          <w:rFonts w:ascii="宋体" w:hAnsi="宋体" w:cs="宋体"/>
          <w:sz w:val="24"/>
        </w:rPr>
      </w:pPr>
      <w:r>
        <w:rPr>
          <w:rFonts w:hint="eastAsia" w:ascii="宋体" w:hAnsi="宋体" w:cs="宋体"/>
          <w:sz w:val="24"/>
        </w:rPr>
        <w:t>1.4.4</w:t>
      </w:r>
      <w:r>
        <w:rPr>
          <w:rFonts w:ascii="宋体" w:hAnsi="宋体" w:cs="宋体"/>
          <w:sz w:val="24"/>
        </w:rPr>
        <w:t xml:space="preserve"> </w:t>
      </w:r>
      <w:r>
        <w:rPr>
          <w:rFonts w:hint="eastAsia" w:ascii="宋体" w:hAnsi="宋体" w:cs="宋体"/>
          <w:sz w:val="24"/>
        </w:rPr>
        <w:t>资金支付的方式、时间和条件详见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1.4.5</w:t>
      </w:r>
      <w:r>
        <w:rPr>
          <w:rFonts w:ascii="宋体" w:hAnsi="宋体" w:cs="宋体"/>
          <w:sz w:val="24"/>
        </w:rPr>
        <w:t xml:space="preserve"> </w:t>
      </w:r>
      <w:r>
        <w:rPr>
          <w:rFonts w:hint="eastAsia" w:ascii="宋体" w:hAnsi="宋体" w:cs="宋体"/>
          <w:sz w:val="24"/>
        </w:rPr>
        <w:t>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2"/>
        <w:rPr>
          <w:rFonts w:ascii="宋体" w:hAnsi="宋体" w:cs="宋体"/>
          <w:b/>
          <w:sz w:val="24"/>
        </w:rPr>
      </w:pPr>
      <w:bookmarkStart w:id="414" w:name="_Toc32071"/>
      <w:bookmarkStart w:id="415" w:name="_Toc19304"/>
      <w:bookmarkStart w:id="416" w:name="_Toc2846"/>
      <w:r>
        <w:rPr>
          <w:rFonts w:hint="eastAsia" w:ascii="宋体" w:hAnsi="宋体" w:cs="宋体"/>
          <w:b/>
          <w:sz w:val="24"/>
        </w:rPr>
        <w:t>1.5 货物交付期限、地点和方式</w:t>
      </w:r>
      <w:bookmarkEnd w:id="414"/>
      <w:bookmarkEnd w:id="415"/>
      <w:bookmarkEnd w:id="416"/>
    </w:p>
    <w:p>
      <w:pPr>
        <w:spacing w:line="56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2" w:firstLineChars="200"/>
        <w:outlineLvl w:val="2"/>
        <w:rPr>
          <w:rFonts w:ascii="宋体" w:hAnsi="宋体" w:cs="宋体"/>
          <w:b/>
          <w:sz w:val="24"/>
        </w:rPr>
      </w:pPr>
      <w:bookmarkStart w:id="417" w:name="_Toc27250"/>
      <w:bookmarkStart w:id="418" w:name="_Toc21423"/>
      <w:bookmarkStart w:id="419" w:name="_Toc19554"/>
      <w:r>
        <w:rPr>
          <w:rFonts w:hint="eastAsia" w:ascii="宋体" w:hAnsi="宋体" w:cs="宋体"/>
          <w:b/>
          <w:sz w:val="24"/>
        </w:rPr>
        <w:t>1.6 违约责任</w:t>
      </w:r>
      <w:bookmarkEnd w:id="417"/>
      <w:bookmarkEnd w:id="418"/>
      <w:bookmarkEnd w:id="419"/>
    </w:p>
    <w:p>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1.6.7</w:t>
      </w:r>
      <w:r>
        <w:rPr>
          <w:rFonts w:ascii="宋体" w:hAnsi="宋体" w:cs="宋体"/>
          <w:sz w:val="24"/>
        </w:rPr>
        <w:t xml:space="preserve"> </w:t>
      </w:r>
      <w:r>
        <w:rPr>
          <w:rFonts w:hint="eastAsia" w:ascii="宋体" w:hAnsi="宋体" w:cs="宋体"/>
          <w:sz w:val="24"/>
        </w:rPr>
        <w:t>违约责任</w:t>
      </w:r>
      <w:r>
        <w:rPr>
          <w:rFonts w:hint="eastAsia" w:ascii="宋体" w:hAnsi="宋体" w:cs="宋体"/>
          <w:b/>
          <w:sz w:val="24"/>
          <w:u w:val="single"/>
        </w:rPr>
        <w:t>合同专用条款</w:t>
      </w:r>
      <w:r>
        <w:rPr>
          <w:rFonts w:hint="eastAsia" w:ascii="宋体" w:hAnsi="宋体" w:cs="宋体"/>
          <w:sz w:val="24"/>
        </w:rPr>
        <w:t>另有约定的，从其约定。</w:t>
      </w:r>
    </w:p>
    <w:p>
      <w:pPr>
        <w:spacing w:line="560" w:lineRule="exact"/>
        <w:ind w:firstLine="482" w:firstLineChars="200"/>
        <w:outlineLvl w:val="2"/>
        <w:rPr>
          <w:rFonts w:ascii="宋体" w:hAnsi="宋体" w:cs="宋体"/>
          <w:b/>
          <w:sz w:val="24"/>
        </w:rPr>
      </w:pPr>
      <w:bookmarkStart w:id="420" w:name="_Toc28375"/>
      <w:bookmarkStart w:id="421" w:name="_Toc15583"/>
      <w:bookmarkStart w:id="422" w:name="_Toc16021"/>
      <w:r>
        <w:rPr>
          <w:rFonts w:hint="eastAsia" w:ascii="宋体" w:hAnsi="宋体" w:cs="宋体"/>
          <w:b/>
          <w:sz w:val="24"/>
        </w:rPr>
        <w:t>1.7 合同争议的解决</w:t>
      </w:r>
      <w:bookmarkEnd w:id="420"/>
      <w:bookmarkEnd w:id="421"/>
      <w:bookmarkEnd w:id="422"/>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sz w:val="24"/>
          <w:u w:val="single"/>
        </w:rPr>
        <w:t>合同专用条款</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1.7.1 将争议提交</w:t>
      </w:r>
      <w:r>
        <w:rPr>
          <w:rFonts w:hint="eastAsia" w:ascii="宋体" w:hAnsi="宋体" w:cs="宋体"/>
          <w:b/>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1.7.2 向</w:t>
      </w:r>
      <w:r>
        <w:rPr>
          <w:rFonts w:hint="eastAsia" w:ascii="宋体" w:hAnsi="宋体" w:cs="宋体"/>
          <w:b/>
          <w:sz w:val="24"/>
          <w:u w:val="single"/>
        </w:rPr>
        <w:t>合同专用条款</w:t>
      </w:r>
      <w:r>
        <w:rPr>
          <w:rFonts w:hint="eastAsia" w:ascii="宋体" w:hAnsi="宋体" w:cs="宋体"/>
          <w:sz w:val="24"/>
        </w:rPr>
        <w:t>人民法院起诉。</w:t>
      </w:r>
    </w:p>
    <w:p>
      <w:pPr>
        <w:spacing w:line="560" w:lineRule="exact"/>
        <w:ind w:firstLine="482" w:firstLineChars="200"/>
        <w:outlineLvl w:val="2"/>
        <w:rPr>
          <w:rFonts w:ascii="宋体" w:hAnsi="宋体" w:cs="宋体"/>
          <w:b/>
          <w:sz w:val="24"/>
        </w:rPr>
      </w:pPr>
      <w:bookmarkStart w:id="423" w:name="_Toc15322"/>
      <w:bookmarkStart w:id="424" w:name="_Toc7245"/>
      <w:bookmarkStart w:id="425" w:name="_Toc11173"/>
      <w:r>
        <w:rPr>
          <w:rFonts w:hint="eastAsia" w:ascii="宋体" w:hAnsi="宋体" w:cs="宋体"/>
          <w:b/>
          <w:sz w:val="24"/>
        </w:rPr>
        <w:t>1.8 合同生效</w:t>
      </w:r>
      <w:bookmarkEnd w:id="423"/>
      <w:bookmarkEnd w:id="424"/>
      <w:bookmarkEnd w:id="425"/>
    </w:p>
    <w:p>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widowControl/>
        <w:spacing w:line="560" w:lineRule="exact"/>
        <w:jc w:val="left"/>
        <w:rPr>
          <w:rFonts w:ascii="宋体" w:hAnsi="宋体" w:cs="宋体"/>
          <w:b/>
          <w:sz w:val="24"/>
        </w:rPr>
      </w:pPr>
      <w:bookmarkStart w:id="426" w:name="_Toc331685783"/>
    </w:p>
    <w:p>
      <w:pPr>
        <w:widowControl/>
        <w:adjustRightInd/>
        <w:jc w:val="left"/>
        <w:rPr>
          <w:rFonts w:ascii="宋体" w:hAnsi="宋体" w:cs="宋体"/>
          <w:b/>
          <w:sz w:val="24"/>
        </w:rPr>
      </w:pPr>
      <w:r>
        <w:rPr>
          <w:rFonts w:ascii="宋体" w:hAnsi="宋体" w:cs="宋体"/>
          <w:b/>
        </w:rPr>
        <w:br w:type="page"/>
      </w:r>
    </w:p>
    <w:p>
      <w:pPr>
        <w:pStyle w:val="699"/>
        <w:spacing w:line="560" w:lineRule="exact"/>
        <w:ind w:left="0" w:leftChars="0" w:firstLine="0" w:firstLineChars="0"/>
        <w:jc w:val="center"/>
        <w:outlineLvl w:val="1"/>
        <w:rPr>
          <w:rFonts w:ascii="宋体" w:hAnsi="宋体" w:cs="宋体"/>
          <w:b/>
          <w:sz w:val="32"/>
          <w:szCs w:val="32"/>
        </w:rPr>
      </w:pPr>
      <w:r>
        <w:rPr>
          <w:rFonts w:hint="eastAsia" w:ascii="宋体" w:hAnsi="宋体" w:cs="宋体"/>
          <w:b/>
          <w:sz w:val="32"/>
          <w:szCs w:val="32"/>
        </w:rPr>
        <w:t>第二部分 合同一般条款</w:t>
      </w:r>
      <w:bookmarkEnd w:id="426"/>
    </w:p>
    <w:p>
      <w:pPr>
        <w:spacing w:line="560" w:lineRule="exact"/>
        <w:ind w:firstLine="482" w:firstLineChars="200"/>
        <w:outlineLvl w:val="2"/>
        <w:rPr>
          <w:rFonts w:ascii="宋体" w:hAnsi="宋体" w:cs="宋体"/>
          <w:b/>
          <w:sz w:val="24"/>
        </w:rPr>
      </w:pPr>
      <w:bookmarkStart w:id="427" w:name="_Ref467378463"/>
      <w:bookmarkStart w:id="428" w:name="_Ref467379094"/>
      <w:bookmarkStart w:id="429" w:name="_Ref467379214"/>
      <w:bookmarkStart w:id="430" w:name="_Toc19614"/>
      <w:bookmarkStart w:id="431" w:name="_Ref467378404"/>
      <w:bookmarkStart w:id="432" w:name="_Ref467379205"/>
      <w:bookmarkStart w:id="433" w:name="_Ref467379225"/>
      <w:bookmarkStart w:id="434" w:name="_Toc487900349"/>
      <w:bookmarkStart w:id="435" w:name="_Ref467379195"/>
      <w:bookmarkStart w:id="436" w:name="_Ref467378499"/>
      <w:bookmarkStart w:id="437" w:name="_Toc16917"/>
      <w:bookmarkStart w:id="438" w:name="_Toc28763"/>
      <w:bookmarkStart w:id="439" w:name="_Ref467379101"/>
      <w:bookmarkStart w:id="440" w:name="_Toc279701240"/>
      <w:bookmarkStart w:id="441" w:name="_Toc259093669"/>
      <w:bookmarkStart w:id="442" w:name="_Ref467379109"/>
      <w:r>
        <w:rPr>
          <w:rFonts w:hint="eastAsia" w:ascii="宋体" w:hAnsi="宋体" w:cs="宋体"/>
          <w:b/>
          <w:sz w:val="24"/>
        </w:rPr>
        <w:t>2.1 定义</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43" w:name="_Ref467378840"/>
      <w:r>
        <w:rPr>
          <w:rFonts w:hint="eastAsia" w:ascii="宋体" w:hAnsi="宋体" w:cs="宋体"/>
          <w:sz w:val="24"/>
        </w:rPr>
        <w:t>2.1.4 “甲方”系指与中标供应商签署合同的采购人</w:t>
      </w:r>
      <w:bookmarkEnd w:id="443"/>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4" w:name="_Ref467379400"/>
      <w:r>
        <w:rPr>
          <w:rFonts w:hint="eastAsia" w:ascii="宋体" w:hAnsi="宋体" w:cs="宋体"/>
          <w:sz w:val="24"/>
        </w:rPr>
        <w:t>2.1.5 “乙方”系指根据合同约定交付货物的中标供应商</w:t>
      </w:r>
      <w:bookmarkEnd w:id="444"/>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5" w:name="_Ref467379436"/>
      <w:r>
        <w:rPr>
          <w:rFonts w:hint="eastAsia" w:ascii="宋体" w:hAnsi="宋体" w:cs="宋体"/>
          <w:sz w:val="24"/>
        </w:rPr>
        <w:t>2.1.6 “现场”系指合同约定货物将要运至或者安装的地点。</w:t>
      </w:r>
      <w:bookmarkEnd w:id="445"/>
    </w:p>
    <w:p>
      <w:pPr>
        <w:spacing w:line="560" w:lineRule="exact"/>
        <w:ind w:firstLine="482" w:firstLineChars="200"/>
        <w:outlineLvl w:val="2"/>
        <w:rPr>
          <w:rFonts w:ascii="宋体" w:hAnsi="宋体" w:cs="宋体"/>
          <w:b/>
          <w:sz w:val="24"/>
        </w:rPr>
      </w:pPr>
      <w:bookmarkStart w:id="446" w:name="_Toc27635"/>
      <w:bookmarkStart w:id="447" w:name="_Toc32504"/>
      <w:bookmarkStart w:id="448" w:name="_Toc487900350"/>
      <w:bookmarkStart w:id="449" w:name="_Toc13336"/>
      <w:bookmarkStart w:id="450" w:name="_Toc259093670"/>
      <w:bookmarkStart w:id="451" w:name="_Toc279701241"/>
      <w:r>
        <w:rPr>
          <w:rFonts w:hint="eastAsia" w:ascii="宋体" w:hAnsi="宋体" w:cs="宋体"/>
          <w:b/>
          <w:sz w:val="24"/>
        </w:rPr>
        <w:t>2.2 技术规范</w:t>
      </w:r>
      <w:bookmarkEnd w:id="446"/>
      <w:bookmarkEnd w:id="447"/>
      <w:bookmarkEnd w:id="448"/>
      <w:bookmarkEnd w:id="449"/>
      <w:bookmarkEnd w:id="450"/>
      <w:bookmarkEnd w:id="451"/>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2"/>
        <w:rPr>
          <w:rFonts w:ascii="宋体" w:hAnsi="宋体" w:cs="宋体"/>
          <w:b/>
          <w:sz w:val="24"/>
        </w:rPr>
      </w:pPr>
      <w:bookmarkStart w:id="452" w:name="_Toc279701242"/>
      <w:bookmarkStart w:id="453" w:name="_Toc27853"/>
      <w:bookmarkStart w:id="454" w:name="_Toc259093671"/>
      <w:bookmarkStart w:id="455" w:name="_Toc9829"/>
      <w:bookmarkStart w:id="456" w:name="_Toc487900351"/>
      <w:bookmarkStart w:id="457" w:name="_Toc31634"/>
      <w:r>
        <w:rPr>
          <w:rFonts w:hint="eastAsia" w:ascii="宋体" w:hAnsi="宋体" w:cs="宋体"/>
          <w:b/>
          <w:sz w:val="24"/>
        </w:rPr>
        <w:t>2.3 知识产权</w:t>
      </w:r>
      <w:bookmarkEnd w:id="452"/>
      <w:bookmarkEnd w:id="453"/>
      <w:bookmarkEnd w:id="454"/>
      <w:bookmarkEnd w:id="455"/>
      <w:bookmarkEnd w:id="456"/>
      <w:bookmarkEnd w:id="457"/>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rPr>
      </w:pPr>
      <w:r>
        <w:rPr>
          <w:rFonts w:hint="eastAsia" w:ascii="宋体" w:hAnsi="宋体" w:cs="宋体"/>
          <w:sz w:val="24"/>
        </w:rPr>
        <w:t>2.3.2</w:t>
      </w:r>
      <w:r>
        <w:rPr>
          <w:rFonts w:ascii="宋体" w:hAnsi="宋体" w:cs="宋体"/>
          <w:sz w:val="24"/>
        </w:rPr>
        <w:t xml:space="preserve"> </w:t>
      </w:r>
      <w:r>
        <w:rPr>
          <w:rFonts w:hint="eastAsia" w:ascii="宋体" w:hAnsi="宋体" w:cs="宋体"/>
          <w:sz w:val="24"/>
        </w:rPr>
        <w:t>具有知识产权的计算机软件等货物的知识产权归属，详见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2" w:firstLineChars="200"/>
        <w:outlineLvl w:val="2"/>
        <w:rPr>
          <w:rFonts w:ascii="宋体" w:hAnsi="宋体" w:cs="宋体"/>
          <w:b/>
          <w:sz w:val="24"/>
        </w:rPr>
      </w:pPr>
      <w:bookmarkStart w:id="458" w:name="_Toc29149"/>
      <w:bookmarkStart w:id="459" w:name="_Toc11932"/>
      <w:bookmarkStart w:id="460" w:name="_Toc4194"/>
      <w:r>
        <w:rPr>
          <w:rFonts w:hint="eastAsia" w:ascii="宋体" w:hAnsi="宋体" w:cs="宋体"/>
          <w:b/>
          <w:sz w:val="24"/>
        </w:rPr>
        <w:t>2.4 包装和装运</w:t>
      </w:r>
      <w:bookmarkEnd w:id="458"/>
      <w:bookmarkEnd w:id="459"/>
      <w:bookmarkEnd w:id="460"/>
    </w:p>
    <w:p>
      <w:pPr>
        <w:spacing w:line="560" w:lineRule="exact"/>
        <w:ind w:firstLine="480" w:firstLineChars="200"/>
        <w:rPr>
          <w:rFonts w:ascii="宋体" w:hAnsi="宋体" w:cs="宋体"/>
          <w:sz w:val="24"/>
        </w:rPr>
      </w:pPr>
      <w:r>
        <w:rPr>
          <w:rFonts w:hint="eastAsia" w:ascii="宋体" w:hAnsi="宋体" w:cs="宋体"/>
          <w:sz w:val="24"/>
        </w:rPr>
        <w:t>2.4.1</w:t>
      </w:r>
      <w:r>
        <w:rPr>
          <w:rFonts w:ascii="宋体" w:hAnsi="宋体" w:cs="宋体"/>
          <w:sz w:val="24"/>
        </w:rPr>
        <w:t xml:space="preserve"> </w:t>
      </w:r>
      <w:r>
        <w:rPr>
          <w:rFonts w:hint="eastAsia" w:ascii="宋体" w:hAnsi="宋体" w:cs="宋体"/>
          <w:sz w:val="24"/>
        </w:rPr>
        <w:t>除</w:t>
      </w:r>
      <w:r>
        <w:rPr>
          <w:rFonts w:hint="eastAsia" w:ascii="宋体" w:hAnsi="宋体" w:cs="宋体"/>
          <w:b/>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2.4.2</w:t>
      </w:r>
      <w:r>
        <w:rPr>
          <w:rFonts w:ascii="宋体" w:hAnsi="宋体" w:cs="宋体"/>
          <w:sz w:val="24"/>
        </w:rPr>
        <w:t xml:space="preserve"> </w:t>
      </w:r>
      <w:r>
        <w:rPr>
          <w:rFonts w:hint="eastAsia" w:ascii="宋体" w:hAnsi="宋体" w:cs="宋体"/>
          <w:sz w:val="24"/>
        </w:rPr>
        <w:t xml:space="preserve">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2" w:firstLineChars="200"/>
        <w:outlineLvl w:val="2"/>
        <w:rPr>
          <w:rFonts w:ascii="宋体" w:hAnsi="宋体" w:cs="宋体"/>
          <w:b/>
          <w:sz w:val="24"/>
        </w:rPr>
      </w:pPr>
      <w:bookmarkStart w:id="461" w:name="_Ref467379536"/>
      <w:bookmarkStart w:id="462" w:name="_Toc259093674"/>
      <w:bookmarkStart w:id="463" w:name="_Toc487900354"/>
      <w:bookmarkStart w:id="464" w:name="_Ref467378591"/>
      <w:bookmarkStart w:id="465" w:name="_Ref467379527"/>
      <w:bookmarkStart w:id="466" w:name="_Ref467379542"/>
      <w:bookmarkStart w:id="467" w:name="_Ref467378541"/>
      <w:bookmarkStart w:id="468" w:name="_Toc279701245"/>
      <w:bookmarkStart w:id="469" w:name="_Toc19074"/>
      <w:bookmarkStart w:id="470" w:name="_Toc30272"/>
      <w:bookmarkStart w:id="471" w:name="_Toc26182"/>
      <w:r>
        <w:rPr>
          <w:rFonts w:hint="eastAsia" w:ascii="宋体" w:hAnsi="宋体" w:cs="宋体"/>
          <w:b/>
          <w:sz w:val="24"/>
        </w:rPr>
        <w:t>2.</w:t>
      </w:r>
      <w:bookmarkEnd w:id="461"/>
      <w:bookmarkEnd w:id="462"/>
      <w:bookmarkEnd w:id="463"/>
      <w:bookmarkEnd w:id="464"/>
      <w:bookmarkEnd w:id="465"/>
      <w:bookmarkEnd w:id="466"/>
      <w:bookmarkEnd w:id="467"/>
      <w:bookmarkEnd w:id="468"/>
      <w:r>
        <w:rPr>
          <w:rFonts w:hint="eastAsia" w:ascii="宋体" w:hAnsi="宋体" w:cs="宋体"/>
          <w:b/>
          <w:sz w:val="24"/>
        </w:rPr>
        <w:t>5 履约检查和问题反馈</w:t>
      </w:r>
      <w:bookmarkEnd w:id="469"/>
      <w:bookmarkEnd w:id="470"/>
      <w:bookmarkEnd w:id="471"/>
    </w:p>
    <w:p>
      <w:pPr>
        <w:spacing w:line="560" w:lineRule="exact"/>
        <w:ind w:firstLine="480" w:firstLineChars="200"/>
        <w:rPr>
          <w:rFonts w:ascii="宋体" w:hAnsi="宋体" w:cs="宋体"/>
          <w:sz w:val="24"/>
        </w:rPr>
      </w:pPr>
      <w:bookmarkStart w:id="472" w:name="_Ref467379657"/>
      <w:r>
        <w:rPr>
          <w:rFonts w:hint="eastAsia" w:ascii="宋体" w:hAnsi="宋体" w:cs="宋体"/>
          <w:sz w:val="24"/>
        </w:rPr>
        <w:t>2.5.1</w:t>
      </w:r>
      <w:bookmarkEnd w:id="472"/>
      <w:bookmarkStart w:id="473" w:name="_Toc186431854"/>
      <w:bookmarkStart w:id="474" w:name="_Toc487900357"/>
      <w:bookmarkStart w:id="475" w:name="_Ref467379807"/>
      <w:bookmarkStart w:id="476" w:name="_Ref467379793"/>
      <w:bookmarkStart w:id="477" w:name="_Toc279701247"/>
      <w:bookmarkStart w:id="478" w:name="_Toc259093676"/>
      <w:r>
        <w:rPr>
          <w:rFonts w:ascii="宋体" w:hAnsi="宋体" w:cs="宋体"/>
          <w:sz w:val="24"/>
        </w:rPr>
        <w:t xml:space="preserve"> </w:t>
      </w:r>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3"/>
      <w:bookmarkStart w:id="479" w:name="_Toc186431855"/>
      <w:r>
        <w:rPr>
          <w:rFonts w:hint="eastAsia" w:ascii="宋体" w:hAnsi="宋体" w:cs="宋体"/>
          <w:sz w:val="24"/>
        </w:rPr>
        <w:t>。</w:t>
      </w:r>
    </w:p>
    <w:bookmarkEnd w:id="474"/>
    <w:bookmarkEnd w:id="475"/>
    <w:bookmarkEnd w:id="476"/>
    <w:bookmarkEnd w:id="477"/>
    <w:bookmarkEnd w:id="478"/>
    <w:bookmarkEnd w:id="479"/>
    <w:p>
      <w:pPr>
        <w:spacing w:line="560" w:lineRule="exact"/>
        <w:ind w:firstLine="482" w:firstLineChars="200"/>
        <w:outlineLvl w:val="2"/>
        <w:rPr>
          <w:rFonts w:ascii="宋体" w:hAnsi="宋体" w:cs="宋体"/>
          <w:b/>
          <w:sz w:val="24"/>
        </w:rPr>
      </w:pPr>
      <w:bookmarkStart w:id="480" w:name="_Toc279701248"/>
      <w:bookmarkStart w:id="481" w:name="_Toc259093677"/>
      <w:bookmarkStart w:id="482" w:name="_Ref467379923"/>
      <w:bookmarkStart w:id="483" w:name="_Ref467379852"/>
      <w:bookmarkStart w:id="484" w:name="_Ref467379863"/>
      <w:bookmarkStart w:id="485" w:name="_Toc487900358"/>
      <w:bookmarkStart w:id="486" w:name="_Toc3225"/>
      <w:bookmarkStart w:id="487" w:name="_Toc16110"/>
      <w:bookmarkStart w:id="488" w:name="_Toc774"/>
      <w:r>
        <w:rPr>
          <w:rFonts w:hint="eastAsia" w:ascii="宋体" w:hAnsi="宋体" w:cs="宋体"/>
          <w:b/>
          <w:sz w:val="24"/>
        </w:rPr>
        <w:t>2.6 技术资料</w:t>
      </w:r>
      <w:bookmarkEnd w:id="480"/>
      <w:bookmarkEnd w:id="481"/>
      <w:bookmarkEnd w:id="482"/>
      <w:bookmarkEnd w:id="483"/>
      <w:bookmarkEnd w:id="484"/>
      <w:bookmarkEnd w:id="485"/>
      <w:r>
        <w:rPr>
          <w:rFonts w:hint="eastAsia" w:ascii="宋体" w:hAnsi="宋体" w:cs="宋体"/>
          <w:b/>
          <w:sz w:val="24"/>
        </w:rPr>
        <w:t>和保密义务</w:t>
      </w:r>
      <w:bookmarkEnd w:id="486"/>
      <w:bookmarkEnd w:id="487"/>
      <w:bookmarkEnd w:id="488"/>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2"/>
        <w:rPr>
          <w:rFonts w:ascii="宋体" w:hAnsi="宋体" w:cs="宋体"/>
          <w:b/>
          <w:sz w:val="24"/>
        </w:rPr>
      </w:pPr>
      <w:bookmarkStart w:id="489" w:name="_Toc7860"/>
      <w:r>
        <w:rPr>
          <w:rFonts w:hint="eastAsia" w:ascii="宋体" w:hAnsi="宋体" w:cs="宋体"/>
          <w:b/>
          <w:sz w:val="24"/>
        </w:rPr>
        <w:t>2.7 质量保证</w:t>
      </w:r>
      <w:bookmarkEnd w:id="489"/>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2"/>
        <w:rPr>
          <w:rFonts w:ascii="宋体" w:hAnsi="宋体" w:cs="宋体"/>
          <w:b/>
          <w:sz w:val="24"/>
        </w:rPr>
      </w:pPr>
      <w:bookmarkStart w:id="490" w:name="_Toc17244"/>
      <w:bookmarkStart w:id="491" w:name="_Toc279701252"/>
      <w:bookmarkStart w:id="492" w:name="_Toc259093681"/>
      <w:bookmarkStart w:id="493" w:name="_Toc487900362"/>
      <w:r>
        <w:rPr>
          <w:rFonts w:hint="eastAsia" w:ascii="宋体" w:hAnsi="宋体" w:cs="宋体"/>
          <w:b/>
          <w:sz w:val="24"/>
        </w:rPr>
        <w:t>2.8 货物的风险负担</w:t>
      </w:r>
      <w:bookmarkEnd w:id="490"/>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2" w:firstLineChars="200"/>
        <w:outlineLvl w:val="2"/>
        <w:rPr>
          <w:rFonts w:ascii="宋体" w:hAnsi="宋体" w:cs="宋体"/>
          <w:b/>
          <w:sz w:val="24"/>
        </w:rPr>
      </w:pPr>
      <w:bookmarkStart w:id="494" w:name="_Toc14055"/>
      <w:r>
        <w:rPr>
          <w:rFonts w:hint="eastAsia" w:ascii="宋体" w:hAnsi="宋体" w:cs="宋体"/>
          <w:b/>
          <w:sz w:val="24"/>
        </w:rPr>
        <w:t>2.9 延迟交货</w:t>
      </w:r>
      <w:bookmarkEnd w:id="491"/>
      <w:bookmarkEnd w:id="492"/>
      <w:bookmarkEnd w:id="493"/>
      <w:bookmarkEnd w:id="494"/>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2"/>
        <w:rPr>
          <w:rFonts w:ascii="宋体" w:hAnsi="宋体" w:cs="宋体"/>
          <w:b/>
          <w:sz w:val="24"/>
        </w:rPr>
      </w:pPr>
      <w:bookmarkStart w:id="495" w:name="_Toc7502"/>
      <w:bookmarkStart w:id="496" w:name="_Toc487900364"/>
      <w:bookmarkStart w:id="497" w:name="_Toc279701254"/>
      <w:bookmarkStart w:id="498" w:name="_Toc259093683"/>
      <w:bookmarkStart w:id="499" w:name="_Ref467378121"/>
      <w:r>
        <w:rPr>
          <w:rFonts w:hint="eastAsia" w:ascii="宋体" w:hAnsi="宋体" w:cs="宋体"/>
          <w:b/>
          <w:sz w:val="24"/>
        </w:rPr>
        <w:t>2.10 合同变更</w:t>
      </w:r>
      <w:bookmarkEnd w:id="495"/>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00" w:name="_Toc279701259"/>
      <w:bookmarkStart w:id="501" w:name="_Toc259093688"/>
      <w:bookmarkStart w:id="502" w:name="_Toc487900369"/>
    </w:p>
    <w:p>
      <w:pPr>
        <w:spacing w:line="560" w:lineRule="exact"/>
        <w:ind w:firstLine="482" w:firstLineChars="200"/>
        <w:outlineLvl w:val="2"/>
        <w:rPr>
          <w:rFonts w:ascii="宋体" w:hAnsi="宋体" w:cs="宋体"/>
          <w:b/>
          <w:sz w:val="24"/>
        </w:rPr>
      </w:pPr>
      <w:bookmarkStart w:id="503" w:name="_Toc10366"/>
      <w:bookmarkStart w:id="504" w:name="_Toc22955"/>
      <w:bookmarkStart w:id="505" w:name="_Toc15237"/>
      <w:r>
        <w:rPr>
          <w:rFonts w:hint="eastAsia" w:ascii="宋体" w:hAnsi="宋体" w:cs="宋体"/>
          <w:b/>
          <w:sz w:val="24"/>
        </w:rPr>
        <w:t>2.11 合同转让</w:t>
      </w:r>
      <w:bookmarkEnd w:id="500"/>
      <w:bookmarkEnd w:id="501"/>
      <w:bookmarkEnd w:id="502"/>
      <w:r>
        <w:rPr>
          <w:rFonts w:hint="eastAsia" w:ascii="宋体" w:hAnsi="宋体" w:cs="宋体"/>
          <w:b/>
          <w:sz w:val="24"/>
        </w:rPr>
        <w:t>和分包</w:t>
      </w:r>
      <w:bookmarkEnd w:id="503"/>
      <w:bookmarkEnd w:id="504"/>
      <w:bookmarkEnd w:id="505"/>
    </w:p>
    <w:p>
      <w:pPr>
        <w:spacing w:line="560" w:lineRule="exact"/>
        <w:ind w:firstLine="480" w:firstLineChars="200"/>
        <w:rPr>
          <w:rFonts w:ascii="宋体" w:hAnsi="宋体" w:cs="宋体"/>
          <w:sz w:val="24"/>
        </w:rPr>
      </w:pPr>
      <w:r>
        <w:rPr>
          <w:rFonts w:hint="eastAsia" w:ascii="宋体" w:hAnsi="宋体" w:cs="宋体"/>
          <w:sz w:val="24"/>
        </w:rPr>
        <w:t>2.11.1</w:t>
      </w:r>
      <w:r>
        <w:rPr>
          <w:rFonts w:ascii="宋体" w:hAnsi="宋体" w:cs="宋体"/>
          <w:sz w:val="24"/>
        </w:rPr>
        <w:t xml:space="preserve"> </w:t>
      </w:r>
      <w:r>
        <w:rPr>
          <w:rFonts w:hint="eastAsia" w:ascii="宋体" w:hAnsi="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w:t>
      </w:r>
      <w:r>
        <w:rPr>
          <w:rFonts w:ascii="宋体" w:hAnsi="宋体" w:cs="宋体"/>
          <w:sz w:val="24"/>
        </w:rPr>
        <w:t xml:space="preserve"> </w:t>
      </w:r>
      <w:r>
        <w:rPr>
          <w:rFonts w:hint="eastAsia" w:ascii="宋体" w:hAnsi="宋体" w:cs="宋体"/>
          <w:sz w:val="24"/>
        </w:rPr>
        <w:t>乙方采取分包方式履行合同的，甲方可直接向分包供应商支付款项。</w:t>
      </w:r>
    </w:p>
    <w:p>
      <w:pPr>
        <w:spacing w:line="560" w:lineRule="exact"/>
        <w:ind w:firstLine="482" w:firstLineChars="200"/>
        <w:outlineLvl w:val="2"/>
        <w:rPr>
          <w:rFonts w:ascii="宋体" w:hAnsi="宋体" w:cs="宋体"/>
          <w:b/>
          <w:sz w:val="24"/>
        </w:rPr>
      </w:pPr>
      <w:bookmarkStart w:id="506" w:name="_Toc13566"/>
      <w:bookmarkStart w:id="507" w:name="_Toc16508"/>
      <w:bookmarkStart w:id="508" w:name="_Toc14066"/>
      <w:r>
        <w:rPr>
          <w:rFonts w:hint="eastAsia" w:ascii="宋体" w:hAnsi="宋体" w:cs="宋体"/>
          <w:b/>
          <w:sz w:val="24"/>
        </w:rPr>
        <w:t>2.12 不可抗力</w:t>
      </w:r>
      <w:bookmarkEnd w:id="506"/>
      <w:bookmarkEnd w:id="507"/>
      <w:bookmarkEnd w:id="508"/>
    </w:p>
    <w:p>
      <w:pPr>
        <w:spacing w:line="560" w:lineRule="exact"/>
        <w:ind w:firstLine="480" w:firstLineChars="200"/>
        <w:rPr>
          <w:rFonts w:ascii="宋体" w:hAnsi="宋体" w:cs="宋体"/>
          <w:sz w:val="24"/>
        </w:rPr>
      </w:pPr>
      <w:r>
        <w:rPr>
          <w:rFonts w:hint="eastAsia" w:ascii="宋体" w:hAnsi="宋体" w:cs="宋体"/>
          <w:sz w:val="24"/>
        </w:rPr>
        <w:t>2.12.1</w:t>
      </w:r>
      <w:r>
        <w:rPr>
          <w:rFonts w:ascii="宋体" w:hAnsi="宋体" w:cs="宋体"/>
          <w:sz w:val="24"/>
        </w:rPr>
        <w:t xml:space="preserve"> </w:t>
      </w:r>
      <w:r>
        <w:rPr>
          <w:rFonts w:hint="eastAsia" w:ascii="宋体" w:hAnsi="宋体" w:cs="宋体"/>
          <w:sz w:val="24"/>
        </w:rPr>
        <w:t>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w:t>
      </w:r>
      <w:r>
        <w:rPr>
          <w:rFonts w:ascii="宋体" w:hAnsi="宋体" w:cs="宋体"/>
          <w:sz w:val="24"/>
        </w:rPr>
        <w:t xml:space="preserve"> </w:t>
      </w:r>
      <w:r>
        <w:rPr>
          <w:rFonts w:hint="eastAsia" w:ascii="宋体" w:hAnsi="宋体" w:cs="宋体"/>
          <w:sz w:val="24"/>
        </w:rPr>
        <w:t>受不可抗力影响的一方在不可抗力发生后，应在</w:t>
      </w:r>
      <w:r>
        <w:rPr>
          <w:rFonts w:hint="eastAsia" w:ascii="宋体" w:hAnsi="宋体" w:cs="宋体"/>
          <w:b/>
          <w:sz w:val="24"/>
          <w:u w:val="single"/>
        </w:rPr>
        <w:t>合同专用条款</w:t>
      </w:r>
      <w:r>
        <w:rPr>
          <w:rFonts w:hint="eastAsia" w:ascii="宋体" w:hAnsi="宋体" w:cs="宋体"/>
          <w:sz w:val="24"/>
        </w:rPr>
        <w:t>约定时间内以书面形式通知对方当事人，并在</w:t>
      </w:r>
      <w:r>
        <w:rPr>
          <w:rFonts w:hint="eastAsia" w:ascii="宋体" w:hAnsi="宋体" w:cs="宋体"/>
          <w:b/>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2"/>
        <w:rPr>
          <w:rFonts w:ascii="宋体" w:hAnsi="宋体" w:cs="宋体"/>
          <w:b/>
          <w:sz w:val="24"/>
        </w:rPr>
      </w:pPr>
      <w:bookmarkStart w:id="509" w:name="_Toc6969"/>
      <w:bookmarkStart w:id="510" w:name="_Toc279701255"/>
      <w:bookmarkStart w:id="511" w:name="_Toc30676"/>
      <w:bookmarkStart w:id="512" w:name="_Toc689"/>
      <w:bookmarkStart w:id="513" w:name="_Toc487900365"/>
      <w:bookmarkStart w:id="514" w:name="_Toc259093684"/>
      <w:r>
        <w:rPr>
          <w:rFonts w:hint="eastAsia" w:ascii="宋体" w:hAnsi="宋体" w:cs="宋体"/>
          <w:b/>
          <w:sz w:val="24"/>
        </w:rPr>
        <w:t>2.13 税费</w:t>
      </w:r>
      <w:bookmarkEnd w:id="509"/>
      <w:bookmarkEnd w:id="510"/>
      <w:bookmarkEnd w:id="511"/>
      <w:bookmarkEnd w:id="512"/>
      <w:bookmarkEnd w:id="513"/>
      <w:bookmarkEnd w:id="514"/>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2"/>
        <w:rPr>
          <w:rFonts w:ascii="宋体" w:hAnsi="宋体" w:cs="宋体"/>
          <w:b/>
          <w:sz w:val="24"/>
        </w:rPr>
      </w:pPr>
      <w:bookmarkStart w:id="515" w:name="_Toc16959"/>
      <w:bookmarkStart w:id="516" w:name="_Toc259093687"/>
      <w:bookmarkStart w:id="517" w:name="_Toc279701258"/>
      <w:bookmarkStart w:id="518" w:name="_Toc7102"/>
      <w:bookmarkStart w:id="519" w:name="_Toc8298"/>
      <w:bookmarkStart w:id="520" w:name="_Toc487900368"/>
      <w:r>
        <w:rPr>
          <w:rFonts w:hint="eastAsia" w:ascii="宋体" w:hAnsi="宋体" w:cs="宋体"/>
          <w:b/>
          <w:sz w:val="24"/>
        </w:rPr>
        <w:t>2.14</w:t>
      </w:r>
      <w:r>
        <w:rPr>
          <w:rFonts w:ascii="宋体" w:hAnsi="宋体" w:cs="宋体"/>
          <w:b/>
          <w:sz w:val="24"/>
        </w:rPr>
        <w:t xml:space="preserve"> </w:t>
      </w:r>
      <w:r>
        <w:rPr>
          <w:rFonts w:hint="eastAsia" w:ascii="宋体" w:hAnsi="宋体" w:cs="宋体"/>
          <w:b/>
          <w:sz w:val="24"/>
        </w:rPr>
        <w:t>乙方破产</w:t>
      </w:r>
      <w:bookmarkEnd w:id="515"/>
      <w:bookmarkEnd w:id="516"/>
      <w:bookmarkEnd w:id="517"/>
      <w:bookmarkEnd w:id="518"/>
      <w:bookmarkEnd w:id="519"/>
      <w:bookmarkEnd w:id="520"/>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2"/>
        <w:rPr>
          <w:rFonts w:ascii="宋体" w:hAnsi="宋体" w:cs="宋体"/>
          <w:b/>
          <w:sz w:val="24"/>
        </w:rPr>
      </w:pPr>
      <w:bookmarkStart w:id="521" w:name="_Toc29333"/>
      <w:bookmarkStart w:id="522" w:name="_Toc15387"/>
      <w:bookmarkStart w:id="523" w:name="_Toc6134"/>
      <w:r>
        <w:rPr>
          <w:rFonts w:hint="eastAsia" w:ascii="宋体" w:hAnsi="宋体" w:cs="宋体"/>
          <w:b/>
          <w:sz w:val="24"/>
        </w:rPr>
        <w:t>2.15 合同中止、终止</w:t>
      </w:r>
      <w:bookmarkEnd w:id="521"/>
      <w:bookmarkEnd w:id="522"/>
      <w:bookmarkEnd w:id="523"/>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w:t>
      </w:r>
      <w:r>
        <w:rPr>
          <w:rFonts w:ascii="宋体" w:hAnsi="宋体" w:cs="宋体"/>
          <w:sz w:val="24"/>
        </w:rPr>
        <w:t xml:space="preserve"> </w:t>
      </w:r>
      <w:r>
        <w:rPr>
          <w:rFonts w:hint="eastAsia" w:ascii="宋体" w:hAnsi="宋体" w:cs="宋体"/>
          <w:sz w:val="24"/>
        </w:rPr>
        <w:t>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2"/>
        <w:rPr>
          <w:rFonts w:ascii="宋体" w:hAnsi="宋体" w:cs="宋体"/>
          <w:b/>
          <w:sz w:val="24"/>
        </w:rPr>
      </w:pPr>
      <w:bookmarkStart w:id="524" w:name="_Toc6596"/>
      <w:bookmarkStart w:id="525" w:name="_Toc1125"/>
      <w:bookmarkStart w:id="526" w:name="_Toc14563"/>
      <w:r>
        <w:rPr>
          <w:rFonts w:hint="eastAsia" w:ascii="宋体" w:hAnsi="宋体" w:cs="宋体"/>
          <w:b/>
          <w:sz w:val="24"/>
        </w:rPr>
        <w:t>2.16</w:t>
      </w:r>
      <w:r>
        <w:rPr>
          <w:rFonts w:ascii="宋体" w:hAnsi="宋体" w:cs="宋体"/>
          <w:b/>
          <w:sz w:val="24"/>
        </w:rPr>
        <w:t xml:space="preserve"> </w:t>
      </w:r>
      <w:r>
        <w:rPr>
          <w:rFonts w:hint="eastAsia" w:ascii="宋体" w:hAnsi="宋体" w:cs="宋体"/>
          <w:b/>
          <w:sz w:val="24"/>
        </w:rPr>
        <w:t>检验和验收</w:t>
      </w:r>
      <w:bookmarkEnd w:id="524"/>
      <w:bookmarkEnd w:id="525"/>
      <w:bookmarkEnd w:id="526"/>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w:t>
      </w:r>
      <w:r>
        <w:rPr>
          <w:rFonts w:ascii="宋体" w:hAnsi="宋体" w:cs="宋体"/>
          <w:sz w:val="24"/>
        </w:rPr>
        <w:t xml:space="preserve"> </w:t>
      </w:r>
      <w:r>
        <w:rPr>
          <w:rFonts w:hint="eastAsia" w:ascii="宋体" w:hAnsi="宋体" w:cs="宋体"/>
          <w:sz w:val="24"/>
        </w:rPr>
        <w:t>货物交付前，乙方应对货物的质量、数量等方面进行详细、全面的检验，并向甲方出具证明货物符合合同约定的文件；货物交付时，甲方在</w:t>
      </w:r>
      <w:r>
        <w:rPr>
          <w:rFonts w:hint="eastAsia" w:ascii="宋体" w:hAnsi="宋体" w:cs="宋体"/>
          <w:b/>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w:t>
      </w:r>
      <w:r>
        <w:rPr>
          <w:rFonts w:ascii="宋体" w:hAnsi="宋体" w:cs="宋体"/>
          <w:sz w:val="24"/>
        </w:rPr>
        <w:t xml:space="preserve"> </w:t>
      </w:r>
      <w:r>
        <w:rPr>
          <w:rFonts w:hint="eastAsia" w:ascii="宋体" w:hAnsi="宋体" w:cs="宋体"/>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sz w:val="24"/>
          <w:u w:val="single"/>
        </w:rPr>
        <w:t>合同专用条款</w:t>
      </w:r>
      <w:r>
        <w:rPr>
          <w:rFonts w:hint="eastAsia" w:ascii="宋体" w:hAnsi="宋体" w:cs="宋体"/>
          <w:i/>
          <w:sz w:val="24"/>
        </w:rPr>
        <w:t>。</w:t>
      </w:r>
    </w:p>
    <w:bookmarkEnd w:id="496"/>
    <w:bookmarkEnd w:id="497"/>
    <w:bookmarkEnd w:id="498"/>
    <w:bookmarkEnd w:id="499"/>
    <w:p>
      <w:pPr>
        <w:spacing w:line="480" w:lineRule="auto"/>
        <w:ind w:firstLine="482" w:firstLineChars="200"/>
        <w:outlineLvl w:val="2"/>
        <w:rPr>
          <w:rFonts w:ascii="宋体" w:hAnsi="宋体" w:cs="宋体"/>
          <w:b/>
          <w:sz w:val="24"/>
        </w:rPr>
      </w:pPr>
      <w:bookmarkStart w:id="527" w:name="_Toc487900371"/>
      <w:bookmarkStart w:id="528" w:name="_Toc279701261"/>
      <w:bookmarkStart w:id="529" w:name="_Toc259093690"/>
      <w:bookmarkStart w:id="530" w:name="_Toc19604"/>
      <w:bookmarkStart w:id="531" w:name="_Toc11284"/>
      <w:bookmarkStart w:id="532" w:name="_Toc25182"/>
      <w:r>
        <w:rPr>
          <w:rFonts w:hint="eastAsia" w:ascii="宋体" w:hAnsi="宋体" w:cs="宋体"/>
          <w:b/>
          <w:sz w:val="24"/>
        </w:rPr>
        <w:t>2.17 通知</w:t>
      </w:r>
      <w:bookmarkEnd w:id="527"/>
      <w:bookmarkEnd w:id="528"/>
      <w:bookmarkEnd w:id="529"/>
      <w:r>
        <w:rPr>
          <w:rFonts w:hint="eastAsia" w:ascii="宋体" w:hAnsi="宋体" w:cs="宋体"/>
          <w:b/>
          <w:sz w:val="24"/>
        </w:rPr>
        <w:t>和送达</w:t>
      </w:r>
      <w:bookmarkEnd w:id="530"/>
      <w:bookmarkEnd w:id="531"/>
      <w:bookmarkEnd w:id="532"/>
    </w:p>
    <w:p>
      <w:pPr>
        <w:spacing w:line="480" w:lineRule="auto"/>
        <w:ind w:firstLine="480" w:firstLineChars="200"/>
        <w:outlineLvl w:val="2"/>
        <w:rPr>
          <w:rFonts w:ascii="宋体" w:hAnsi="宋体" w:cs="宋体"/>
          <w:sz w:val="24"/>
        </w:rPr>
      </w:pPr>
      <w:bookmarkStart w:id="533" w:name="_Toc6698"/>
      <w:bookmarkStart w:id="534" w:name="_Toc3135"/>
      <w:bookmarkStart w:id="535" w:name="_Toc259093691"/>
      <w:bookmarkStart w:id="536" w:name="_Toc279701262"/>
      <w:bookmarkStart w:id="537" w:name="_Toc487900372"/>
      <w:r>
        <w:rPr>
          <w:rFonts w:hint="eastAsia" w:ascii="宋体" w:hAnsi="宋体" w:cs="宋体"/>
          <w:sz w:val="24"/>
        </w:rPr>
        <w:t>2.17.1</w:t>
      </w:r>
      <w:r>
        <w:rPr>
          <w:rFonts w:ascii="宋体" w:hAnsi="宋体" w:cs="宋体"/>
          <w:sz w:val="24"/>
        </w:rPr>
        <w:t xml:space="preserve"> </w:t>
      </w:r>
      <w:r>
        <w:rPr>
          <w:rFonts w:hint="eastAsia" w:ascii="宋体" w:hAnsi="宋体" w:cs="宋体"/>
          <w:sz w:val="24"/>
        </w:rPr>
        <w:t>任何一方因履行合同而以合同第一部分尾部所列明的传真或电子邮件        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bookmarkEnd w:id="533"/>
      <w:bookmarkEnd w:id="534"/>
    </w:p>
    <w:p>
      <w:pPr>
        <w:spacing w:line="480" w:lineRule="auto"/>
        <w:ind w:firstLine="480" w:firstLineChars="200"/>
        <w:outlineLvl w:val="2"/>
        <w:rPr>
          <w:rFonts w:ascii="宋体" w:hAnsi="宋体" w:cs="宋体"/>
          <w:sz w:val="24"/>
        </w:rPr>
      </w:pPr>
      <w:bookmarkStart w:id="538" w:name="_Toc23294"/>
      <w:bookmarkStart w:id="539" w:name="_Toc23128"/>
      <w:r>
        <w:rPr>
          <w:rFonts w:hint="eastAsia" w:ascii="宋体" w:hAnsi="宋体" w:cs="宋体"/>
          <w:sz w:val="24"/>
        </w:rPr>
        <w:t>2.17.2</w:t>
      </w:r>
      <w:r>
        <w:rPr>
          <w:rFonts w:ascii="宋体" w:hAnsi="宋体" w:cs="宋体"/>
          <w:sz w:val="24"/>
        </w:rPr>
        <w:t xml:space="preserve"> </w:t>
      </w:r>
      <w:r>
        <w:rPr>
          <w:rFonts w:hint="eastAsia" w:ascii="宋体" w:hAnsi="宋体" w:cs="宋体"/>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38"/>
      <w:bookmarkEnd w:id="539"/>
    </w:p>
    <w:p>
      <w:pPr>
        <w:spacing w:line="480" w:lineRule="auto"/>
        <w:ind w:firstLine="482" w:firstLineChars="200"/>
        <w:outlineLvl w:val="2"/>
        <w:rPr>
          <w:rFonts w:ascii="宋体" w:hAnsi="宋体" w:cs="宋体"/>
          <w:b/>
          <w:sz w:val="24"/>
        </w:rPr>
      </w:pPr>
      <w:bookmarkStart w:id="540" w:name="_Toc18540"/>
      <w:bookmarkStart w:id="541" w:name="_Toc30599"/>
      <w:bookmarkStart w:id="542" w:name="_Toc4355"/>
      <w:r>
        <w:rPr>
          <w:rFonts w:hint="eastAsia" w:ascii="宋体" w:hAnsi="宋体" w:cs="宋体"/>
          <w:b/>
          <w:sz w:val="24"/>
        </w:rPr>
        <w:t>2.18 计量单位</w:t>
      </w:r>
      <w:bookmarkEnd w:id="535"/>
      <w:bookmarkEnd w:id="536"/>
      <w:bookmarkEnd w:id="537"/>
      <w:bookmarkEnd w:id="540"/>
      <w:bookmarkEnd w:id="541"/>
      <w:bookmarkEnd w:id="542"/>
    </w:p>
    <w:p>
      <w:pPr>
        <w:spacing w:line="48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480" w:lineRule="auto"/>
        <w:ind w:firstLine="482" w:firstLineChars="200"/>
        <w:outlineLvl w:val="2"/>
        <w:rPr>
          <w:rFonts w:ascii="宋体" w:hAnsi="宋体" w:cs="宋体"/>
          <w:b/>
          <w:sz w:val="24"/>
        </w:rPr>
      </w:pPr>
      <w:bookmarkStart w:id="543" w:name="_Toc487900373"/>
      <w:bookmarkStart w:id="544" w:name="_Toc279701263"/>
      <w:bookmarkStart w:id="545" w:name="_Toc259093692"/>
      <w:bookmarkStart w:id="546" w:name="_Toc18567"/>
      <w:bookmarkStart w:id="547" w:name="_Toc10330"/>
      <w:bookmarkStart w:id="548" w:name="_Toc12773"/>
      <w:r>
        <w:rPr>
          <w:rFonts w:hint="eastAsia" w:ascii="宋体" w:hAnsi="宋体" w:cs="宋体"/>
          <w:b/>
          <w:sz w:val="24"/>
        </w:rPr>
        <w:t>2.19 合同使用的文字和适用的法律</w:t>
      </w:r>
      <w:bookmarkEnd w:id="543"/>
      <w:bookmarkEnd w:id="544"/>
      <w:bookmarkEnd w:id="545"/>
      <w:bookmarkEnd w:id="546"/>
      <w:bookmarkEnd w:id="547"/>
      <w:bookmarkEnd w:id="548"/>
    </w:p>
    <w:p>
      <w:pPr>
        <w:spacing w:line="480" w:lineRule="auto"/>
        <w:ind w:firstLine="480" w:firstLineChars="200"/>
        <w:rPr>
          <w:rFonts w:ascii="宋体" w:hAnsi="宋体" w:cs="宋体"/>
          <w:sz w:val="24"/>
        </w:rPr>
      </w:pPr>
      <w:r>
        <w:rPr>
          <w:rFonts w:hint="eastAsia" w:ascii="宋体" w:hAnsi="宋体" w:cs="宋体"/>
          <w:sz w:val="24"/>
        </w:rPr>
        <w:t>2.19.1 合同使用汉语书就、变更和解释；</w:t>
      </w:r>
    </w:p>
    <w:p>
      <w:pPr>
        <w:spacing w:line="480" w:lineRule="auto"/>
        <w:ind w:firstLine="480" w:firstLineChars="200"/>
        <w:rPr>
          <w:rFonts w:ascii="宋体" w:hAnsi="宋体" w:cs="宋体"/>
          <w:sz w:val="24"/>
        </w:rPr>
      </w:pPr>
      <w:r>
        <w:rPr>
          <w:rFonts w:hint="eastAsia" w:ascii="宋体" w:hAnsi="宋体" w:cs="宋体"/>
          <w:sz w:val="24"/>
        </w:rPr>
        <w:t>2.19.2 合同适用中华人民共和国法律。</w:t>
      </w:r>
    </w:p>
    <w:p>
      <w:pPr>
        <w:spacing w:line="480" w:lineRule="auto"/>
        <w:ind w:firstLine="482" w:firstLineChars="200"/>
        <w:outlineLvl w:val="2"/>
        <w:rPr>
          <w:rFonts w:ascii="宋体" w:hAnsi="宋体" w:cs="宋体"/>
          <w:b/>
          <w:sz w:val="24"/>
        </w:rPr>
      </w:pPr>
      <w:bookmarkStart w:id="549" w:name="_Toc16673"/>
      <w:bookmarkStart w:id="550" w:name="_Toc3148"/>
      <w:bookmarkStart w:id="551" w:name="_Toc12004"/>
      <w:bookmarkStart w:id="552" w:name="_Toc279701264"/>
      <w:bookmarkStart w:id="553" w:name="_Toc259093693"/>
      <w:bookmarkStart w:id="554" w:name="_Toc487900374"/>
      <w:r>
        <w:rPr>
          <w:rFonts w:hint="eastAsia" w:ascii="宋体" w:hAnsi="宋体" w:cs="宋体"/>
          <w:b/>
          <w:sz w:val="24"/>
        </w:rPr>
        <w:t>2.20 履约保证金</w:t>
      </w:r>
      <w:bookmarkEnd w:id="549"/>
      <w:bookmarkEnd w:id="550"/>
      <w:bookmarkEnd w:id="551"/>
      <w:bookmarkEnd w:id="552"/>
      <w:bookmarkEnd w:id="553"/>
    </w:p>
    <w:p>
      <w:pPr>
        <w:pStyle w:val="957"/>
        <w:spacing w:before="0" w:beforeAutospacing="0" w:after="0" w:afterAutospacing="0" w:line="480" w:lineRule="auto"/>
        <w:ind w:firstLine="480" w:firstLineChars="200"/>
      </w:pPr>
      <w:r>
        <w:rPr>
          <w:rFonts w:hint="eastAsia"/>
        </w:rPr>
        <w:t>2.20.1 采购文件要求乙方提交履约保证金的，乙方应按</w:t>
      </w:r>
      <w:r>
        <w:rPr>
          <w:rFonts w:hint="eastAsia"/>
          <w:b/>
          <w:u w:val="single"/>
        </w:rPr>
        <w:t>合同专用条款</w:t>
      </w:r>
      <w:r>
        <w:rPr>
          <w:rFonts w:hint="eastAsia"/>
        </w:rPr>
        <w:t>约定的方式，以支票、汇票、本票或者金融机构、担保机构出具的保函等非现金形式，提交不超过合同金额</w:t>
      </w:r>
      <w:r>
        <w:t>1%</w:t>
      </w:r>
      <w:r>
        <w:rPr>
          <w:rFonts w:hint="eastAsia"/>
        </w:rPr>
        <w:t>的履约保证金；鼓励和支持乙方以银行、保险公司出具的保函形式提供履约保证，乙方以银行、保险公司出具保函形式提交履约保证金的，甲方不得拒收。</w:t>
      </w:r>
    </w:p>
    <w:p>
      <w:pPr>
        <w:spacing w:line="480" w:lineRule="auto"/>
        <w:ind w:firstLine="480" w:firstLineChars="200"/>
        <w:rPr>
          <w:rFonts w:ascii="宋体" w:hAnsi="宋体" w:cs="宋体"/>
          <w:sz w:val="24"/>
        </w:rPr>
      </w:pPr>
      <w:r>
        <w:rPr>
          <w:rFonts w:ascii="宋体" w:hAnsi="宋体" w:cs="宋体"/>
          <w:sz w:val="24"/>
        </w:rPr>
        <w:t xml:space="preserve">2.20.2 </w:t>
      </w:r>
      <w:r>
        <w:rPr>
          <w:rFonts w:hint="eastAsia" w:ascii="宋体" w:hAnsi="宋体" w:cs="宋体"/>
          <w:sz w:val="24"/>
        </w:rPr>
        <w:t>甲方在项目验收结束后及时退还履约保证金。甲方在项目通过验收之日起</w:t>
      </w:r>
      <w:r>
        <w:rPr>
          <w:rFonts w:hint="eastAsia" w:ascii="宋体" w:hAnsi="宋体" w:cs="宋体"/>
          <w:sz w:val="24"/>
          <w:u w:val="single"/>
        </w:rPr>
        <w:t xml:space="preserve"> </w:t>
      </w:r>
      <w:r>
        <w:rPr>
          <w:rFonts w:hint="eastAsia" w:ascii="宋体" w:hAnsi="宋体" w:cs="宋体"/>
          <w:b/>
          <w:sz w:val="24"/>
          <w:u w:val="single"/>
        </w:rPr>
        <w:t>合同专用条款</w:t>
      </w:r>
      <w:r>
        <w:rPr>
          <w:rFonts w:hint="eastAsia" w:ascii="宋体" w:hAnsi="宋体" w:cs="宋体"/>
          <w:sz w:val="24"/>
        </w:rPr>
        <w:t>个工作日内将履约保证金退还乙方，逾期退还的，乙方可要求甲方支付违约金，违约金按每迟延退还一日的应退还而未退还金额的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pPr>
        <w:spacing w:line="480" w:lineRule="auto"/>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rPr>
      </w:pPr>
      <w:r>
        <w:rPr>
          <w:rFonts w:hint="eastAsia" w:ascii="宋体" w:hAnsi="宋体" w:cs="宋体"/>
          <w:sz w:val="24"/>
        </w:rPr>
        <w:t>2.20.4</w:t>
      </w:r>
      <w:r>
        <w:rPr>
          <w:rFonts w:ascii="宋体" w:hAnsi="宋体" w:cs="宋体"/>
          <w:sz w:val="24"/>
        </w:rPr>
        <w:t xml:space="preserve"> </w:t>
      </w:r>
      <w:r>
        <w:rPr>
          <w:rFonts w:hint="eastAsia" w:ascii="宋体" w:hAnsi="宋体" w:cs="宋体"/>
          <w:sz w:val="24"/>
        </w:rPr>
        <w:t>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sz w:val="24"/>
        </w:rPr>
      </w:pPr>
      <w:r>
        <w:rPr>
          <w:rFonts w:hint="eastAsia" w:ascii="宋体" w:hAnsi="宋体" w:cs="宋体"/>
          <w:sz w:val="24"/>
        </w:rPr>
        <w:t>2.21</w:t>
      </w:r>
      <w:r>
        <w:rPr>
          <w:rFonts w:ascii="宋体" w:hAnsi="宋体" w:cs="宋体"/>
          <w:sz w:val="24"/>
        </w:rPr>
        <w:t xml:space="preserve"> </w:t>
      </w:r>
      <w:r>
        <w:rPr>
          <w:rFonts w:hint="eastAsia" w:ascii="宋体" w:hAnsi="宋体" w:cs="宋体"/>
          <w:sz w:val="24"/>
        </w:rPr>
        <w:t>对于因甲方原因导致变更、中止或者终止政府采购合同的，甲方应当依照合同约定对供应商受到的损失予以赔偿或者补偿。</w:t>
      </w:r>
    </w:p>
    <w:bookmarkEnd w:id="554"/>
    <w:p>
      <w:pPr>
        <w:spacing w:line="560" w:lineRule="exact"/>
        <w:ind w:firstLine="482" w:firstLineChars="200"/>
        <w:outlineLvl w:val="2"/>
        <w:rPr>
          <w:rFonts w:ascii="宋体" w:hAnsi="宋体" w:cs="宋体"/>
          <w:b/>
          <w:sz w:val="24"/>
        </w:rPr>
      </w:pPr>
      <w:bookmarkStart w:id="555" w:name="_Toc19890"/>
      <w:bookmarkStart w:id="556" w:name="_Toc6885"/>
      <w:bookmarkStart w:id="557" w:name="_Toc14001"/>
      <w:r>
        <w:rPr>
          <w:rFonts w:hint="eastAsia" w:ascii="宋体" w:hAnsi="宋体" w:cs="宋体"/>
          <w:b/>
          <w:sz w:val="24"/>
        </w:rPr>
        <w:t>2.22</w:t>
      </w:r>
      <w:r>
        <w:rPr>
          <w:rFonts w:ascii="宋体" w:hAnsi="宋体" w:cs="宋体"/>
          <w:b/>
          <w:sz w:val="24"/>
        </w:rPr>
        <w:t xml:space="preserve"> </w:t>
      </w:r>
      <w:r>
        <w:rPr>
          <w:rFonts w:hint="eastAsia" w:ascii="宋体" w:hAnsi="宋体" w:cs="宋体"/>
          <w:b/>
          <w:sz w:val="24"/>
        </w:rPr>
        <w:t>合同份数</w:t>
      </w:r>
      <w:bookmarkEnd w:id="555"/>
      <w:bookmarkEnd w:id="556"/>
      <w:bookmarkEnd w:id="557"/>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1"/>
        <w:rPr>
          <w:rFonts w:ascii="宋体" w:hAnsi="宋体" w:cs="宋体"/>
          <w:b/>
        </w:rPr>
      </w:pPr>
      <w:r>
        <w:rPr>
          <w:rFonts w:hint="eastAsia" w:ascii="宋体" w:hAnsi="宋体" w:cs="宋体"/>
          <w:kern w:val="0"/>
        </w:rPr>
        <w:br w:type="page"/>
      </w:r>
      <w:r>
        <w:rPr>
          <w:rFonts w:hint="eastAsia" w:ascii="宋体" w:hAnsi="宋体" w:cs="宋体"/>
          <w:b/>
          <w:sz w:val="32"/>
          <w:szCs w:val="20"/>
        </w:rPr>
        <w:t>第三部分 合同专用条款</w:t>
      </w:r>
    </w:p>
    <w:p>
      <w:pPr>
        <w:spacing w:line="360" w:lineRule="auto"/>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jc w:val="center"/>
              <w:rPr>
                <w:rFonts w:ascii="宋体" w:hAnsi="宋体" w:cs="宋体"/>
                <w:b/>
                <w:sz w:val="24"/>
              </w:rPr>
            </w:pPr>
            <w:r>
              <w:rPr>
                <w:rFonts w:hint="eastAsia" w:ascii="宋体" w:hAnsi="宋体" w:cs="宋体"/>
                <w:b/>
                <w:sz w:val="24"/>
              </w:rPr>
              <w:t>条款号</w:t>
            </w:r>
          </w:p>
        </w:tc>
        <w:tc>
          <w:tcPr>
            <w:tcW w:w="4534" w:type="pct"/>
            <w:vAlign w:val="center"/>
          </w:tcPr>
          <w:p>
            <w:pPr>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1.4.4</w:t>
            </w:r>
          </w:p>
        </w:tc>
        <w:tc>
          <w:tcPr>
            <w:tcW w:w="4534" w:type="pct"/>
            <w:vAlign w:val="center"/>
          </w:tcPr>
          <w:p>
            <w:pPr>
              <w:rPr>
                <w:rFonts w:ascii="宋体" w:hAnsi="宋体" w:cs="宋体"/>
                <w:sz w:val="24"/>
              </w:rPr>
            </w:pPr>
            <w:r>
              <w:rPr>
                <w:rFonts w:ascii="宋体" w:hAnsi="宋体" w:cs="宋体"/>
                <w:sz w:val="24"/>
              </w:rPr>
              <w:t>合同签订后5个工作日内</w:t>
            </w:r>
            <w:r>
              <w:rPr>
                <w:rFonts w:hint="eastAsia" w:ascii="宋体" w:hAnsi="宋体" w:cs="宋体"/>
                <w:sz w:val="24"/>
              </w:rPr>
              <w:t>甲方</w:t>
            </w:r>
            <w:r>
              <w:rPr>
                <w:rFonts w:ascii="宋体" w:hAnsi="宋体" w:cs="宋体"/>
                <w:sz w:val="24"/>
              </w:rPr>
              <w:t>支付合同金额</w:t>
            </w:r>
            <w:r>
              <w:rPr>
                <w:rFonts w:hint="eastAsia" w:ascii="宋体" w:hAnsi="宋体" w:cs="宋体"/>
                <w:sz w:val="24"/>
              </w:rPr>
              <w:t>4</w:t>
            </w:r>
            <w:r>
              <w:rPr>
                <w:rFonts w:ascii="宋体" w:hAnsi="宋体" w:cs="宋体"/>
                <w:sz w:val="24"/>
              </w:rPr>
              <w:t>0%</w:t>
            </w:r>
            <w:r>
              <w:rPr>
                <w:rFonts w:hint="eastAsia" w:ascii="宋体" w:hAnsi="宋体" w:cs="宋体"/>
                <w:sz w:val="24"/>
              </w:rPr>
              <w:t>到合同约定的乙方账户。</w:t>
            </w:r>
          </w:p>
          <w:p>
            <w:pPr>
              <w:rPr>
                <w:rFonts w:ascii="宋体" w:hAnsi="宋体" w:cs="宋体"/>
                <w:sz w:val="24"/>
              </w:rPr>
            </w:pPr>
            <w:r>
              <w:rPr>
                <w:rFonts w:hint="eastAsia" w:ascii="宋体" w:hAnsi="宋体" w:cs="宋体"/>
                <w:sz w:val="24"/>
              </w:rPr>
              <w:t>项目验收合格后，甲方自收到全额发票后</w:t>
            </w:r>
            <w:r>
              <w:rPr>
                <w:rFonts w:ascii="宋体" w:hAnsi="宋体" w:cs="宋体"/>
                <w:sz w:val="24"/>
              </w:rPr>
              <w:t>5</w:t>
            </w:r>
            <w:r>
              <w:rPr>
                <w:rFonts w:hint="eastAsia" w:ascii="宋体" w:hAnsi="宋体" w:cs="宋体"/>
                <w:sz w:val="24"/>
              </w:rPr>
              <w:t>个工作日内将</w:t>
            </w:r>
            <w:r>
              <w:rPr>
                <w:rFonts w:ascii="宋体" w:hAnsi="宋体" w:cs="宋体"/>
                <w:sz w:val="24"/>
              </w:rPr>
              <w:t>合同金额</w:t>
            </w:r>
            <w:r>
              <w:rPr>
                <w:rFonts w:hint="eastAsia" w:ascii="宋体" w:hAnsi="宋体" w:cs="宋体"/>
                <w:sz w:val="24"/>
              </w:rPr>
              <w:t>6</w:t>
            </w:r>
            <w:r>
              <w:rPr>
                <w:rFonts w:ascii="宋体" w:hAnsi="宋体" w:cs="宋体"/>
                <w:sz w:val="24"/>
              </w:rPr>
              <w:t>0%</w:t>
            </w:r>
            <w:r>
              <w:rPr>
                <w:rFonts w:hint="eastAsia" w:ascii="宋体" w:hAnsi="宋体" w:cs="宋体"/>
                <w:sz w:val="24"/>
              </w:rPr>
              <w:t>支付到合同约定的乙方账户。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 xml:space="preserve">1.5.1 </w:t>
            </w:r>
          </w:p>
        </w:tc>
        <w:tc>
          <w:tcPr>
            <w:tcW w:w="8275" w:type="dxa"/>
            <w:vAlign w:val="center"/>
          </w:tcPr>
          <w:p>
            <w:pPr>
              <w:rPr>
                <w:rFonts w:ascii="宋体" w:hAnsi="宋体" w:cs="宋体"/>
                <w:sz w:val="24"/>
              </w:rPr>
            </w:pPr>
            <w:r>
              <w:rPr>
                <w:rFonts w:hint="eastAsia" w:ascii="宋体" w:hAnsi="宋体" w:cs="宋体"/>
                <w:bCs/>
                <w:sz w:val="24"/>
              </w:rPr>
              <w:t>202</w:t>
            </w:r>
            <w:r>
              <w:rPr>
                <w:rFonts w:ascii="宋体" w:hAnsi="宋体" w:cs="宋体"/>
                <w:bCs/>
                <w:sz w:val="24"/>
              </w:rPr>
              <w:t>4</w:t>
            </w:r>
            <w:r>
              <w:rPr>
                <w:rFonts w:hint="eastAsia" w:ascii="宋体" w:hAnsi="宋体" w:cs="宋体"/>
                <w:bCs/>
                <w:sz w:val="24"/>
              </w:rPr>
              <w:t>年</w:t>
            </w:r>
            <w:r>
              <w:rPr>
                <w:rFonts w:ascii="宋体" w:hAnsi="宋体" w:cs="宋体"/>
                <w:bCs/>
                <w:sz w:val="24"/>
              </w:rPr>
              <w:t>10</w:t>
            </w:r>
            <w:r>
              <w:rPr>
                <w:rFonts w:hint="eastAsia" w:ascii="宋体" w:hAnsi="宋体" w:cs="宋体"/>
                <w:bCs/>
                <w:sz w:val="24"/>
              </w:rPr>
              <w:t>月</w:t>
            </w:r>
            <w:r>
              <w:rPr>
                <w:rFonts w:ascii="宋体" w:hAnsi="宋体" w:cs="宋体"/>
                <w:bCs/>
                <w:sz w:val="24"/>
              </w:rPr>
              <w:t>20</w:t>
            </w:r>
            <w:r>
              <w:rPr>
                <w:rFonts w:hint="eastAsia" w:ascii="宋体" w:hAnsi="宋体" w:cs="宋体"/>
                <w:bCs/>
                <w:sz w:val="24"/>
              </w:rPr>
              <w:t>日之前完成全部货物的安装交付工作。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1.5.2</w:t>
            </w:r>
          </w:p>
        </w:tc>
        <w:tc>
          <w:tcPr>
            <w:tcW w:w="8275" w:type="dxa"/>
            <w:vAlign w:val="center"/>
          </w:tcPr>
          <w:p>
            <w:pPr>
              <w:rPr>
                <w:rFonts w:ascii="宋体" w:hAnsi="宋体" w:cs="宋体"/>
                <w:b/>
                <w:sz w:val="24"/>
              </w:rPr>
            </w:pPr>
            <w:r>
              <w:rPr>
                <w:rFonts w:hint="eastAsia" w:ascii="宋体" w:hAnsi="宋体" w:cs="宋体"/>
                <w:kern w:val="0"/>
                <w:sz w:val="24"/>
              </w:rPr>
              <w:t>各需求学校。</w:t>
            </w:r>
            <w:r>
              <w:rPr>
                <w:rFonts w:hint="eastAsia" w:hAnsi="宋体" w:cs="仿宋_GB2312"/>
                <w:sz w:val="24"/>
              </w:rPr>
              <w:t>杭州市拱墅区青少年活动中心3</w:t>
            </w:r>
            <w:r>
              <w:rPr>
                <w:rFonts w:hAnsi="宋体" w:cs="仿宋_GB2312"/>
                <w:sz w:val="24"/>
              </w:rPr>
              <w:t>30</w:t>
            </w:r>
            <w:r>
              <w:rPr>
                <w:rFonts w:hint="eastAsia" w:hAnsi="宋体" w:cs="仿宋_GB2312"/>
                <w:sz w:val="24"/>
              </w:rPr>
              <w:t>张、杭州市大关实验中学6</w:t>
            </w:r>
            <w:r>
              <w:rPr>
                <w:rFonts w:hAnsi="宋体" w:cs="仿宋_GB2312"/>
                <w:sz w:val="24"/>
              </w:rPr>
              <w:t>24</w:t>
            </w:r>
            <w:r>
              <w:rPr>
                <w:rFonts w:hint="eastAsia" w:hAnsi="宋体" w:cs="仿宋_GB2312"/>
                <w:sz w:val="24"/>
              </w:rPr>
              <w:t>张、杭州市胜蓝中学3</w:t>
            </w:r>
            <w:r>
              <w:rPr>
                <w:rFonts w:hAnsi="宋体" w:cs="仿宋_GB2312"/>
                <w:sz w:val="24"/>
              </w:rPr>
              <w:t>36</w:t>
            </w:r>
            <w:r>
              <w:rPr>
                <w:rFonts w:hint="eastAsia" w:hAnsi="宋体" w:cs="仿宋_GB2312"/>
                <w:sz w:val="24"/>
              </w:rPr>
              <w:t>张、杭州市文晖实验学校1</w:t>
            </w:r>
            <w:r>
              <w:rPr>
                <w:rFonts w:hAnsi="宋体" w:cs="仿宋_GB2312"/>
                <w:sz w:val="24"/>
              </w:rPr>
              <w:t>20</w:t>
            </w:r>
            <w:r>
              <w:rPr>
                <w:rFonts w:hint="eastAsia" w:hAnsi="宋体" w:cs="仿宋_GB2312"/>
                <w:sz w:val="24"/>
              </w:rPr>
              <w:t>张、杭州市育才大城北学校1</w:t>
            </w:r>
            <w:r>
              <w:rPr>
                <w:rFonts w:hAnsi="宋体" w:cs="仿宋_GB2312"/>
                <w:sz w:val="24"/>
              </w:rPr>
              <w:t>35</w:t>
            </w:r>
            <w:r>
              <w:rPr>
                <w:rFonts w:hint="eastAsia" w:hAnsi="宋体" w:cs="仿宋_GB2312"/>
                <w:sz w:val="24"/>
              </w:rPr>
              <w:t>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 xml:space="preserve">1.5.3 </w:t>
            </w:r>
          </w:p>
        </w:tc>
        <w:tc>
          <w:tcPr>
            <w:tcW w:w="8275" w:type="dxa"/>
            <w:vAlign w:val="center"/>
          </w:tcPr>
          <w:p>
            <w:pPr>
              <w:rPr>
                <w:rFonts w:ascii="宋体" w:hAnsi="宋体" w:cs="宋体"/>
                <w:sz w:val="24"/>
              </w:rPr>
            </w:pPr>
            <w:r>
              <w:rPr>
                <w:rFonts w:hint="eastAsia" w:ascii="宋体" w:hAnsi="宋体" w:cs="宋体"/>
                <w:sz w:val="24"/>
              </w:rPr>
              <w:t>现实交付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1.6.7</w:t>
            </w:r>
          </w:p>
        </w:tc>
        <w:tc>
          <w:tcPr>
            <w:tcW w:w="4534" w:type="pct"/>
            <w:vAlign w:val="center"/>
          </w:tcPr>
          <w:p>
            <w:pPr>
              <w:rPr>
                <w:rFonts w:ascii="宋体" w:hAnsi="宋体" w:cs="宋体"/>
                <w:sz w:val="24"/>
              </w:rPr>
            </w:pPr>
            <w:r>
              <w:rPr>
                <w:rFonts w:hint="eastAsia" w:ascii="宋体" w:hAnsi="宋体" w:cs="宋体"/>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1.7</w:t>
            </w:r>
          </w:p>
        </w:tc>
        <w:tc>
          <w:tcPr>
            <w:tcW w:w="4534" w:type="pct"/>
            <w:vAlign w:val="center"/>
          </w:tcPr>
          <w:p>
            <w:pPr>
              <w:rPr>
                <w:rFonts w:ascii="宋体" w:hAnsi="宋体" w:cs="宋体"/>
                <w:sz w:val="24"/>
              </w:rPr>
            </w:pPr>
            <w:r>
              <w:rPr>
                <w:rFonts w:hint="eastAsia" w:ascii="宋体" w:hAnsi="宋体" w:cs="宋体"/>
                <w:sz w:val="24"/>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1.7.1</w:t>
            </w:r>
          </w:p>
        </w:tc>
        <w:tc>
          <w:tcPr>
            <w:tcW w:w="4534" w:type="pct"/>
            <w:vAlign w:val="center"/>
          </w:tcPr>
          <w:p>
            <w:pPr>
              <w:rPr>
                <w:rFonts w:ascii="宋体" w:hAnsi="宋体" w:cs="宋体"/>
                <w:sz w:val="24"/>
              </w:rPr>
            </w:pPr>
            <w:r>
              <w:rPr>
                <w:rFonts w:hint="eastAsia" w:ascii="宋体" w:hAnsi="宋体" w:cs="宋体"/>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1.7.2</w:t>
            </w:r>
          </w:p>
        </w:tc>
        <w:tc>
          <w:tcPr>
            <w:tcW w:w="4534" w:type="pct"/>
            <w:vAlign w:val="center"/>
          </w:tcPr>
          <w:p>
            <w:pPr>
              <w:rPr>
                <w:rFonts w:ascii="宋体" w:hAnsi="宋体" w:cs="宋体"/>
                <w:sz w:val="24"/>
              </w:rPr>
            </w:pPr>
            <w:r>
              <w:rPr>
                <w:rFonts w:hint="eastAsia" w:ascii="宋体" w:hAnsi="宋体" w:cs="宋体"/>
                <w:sz w:val="24"/>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2.3.2</w:t>
            </w:r>
          </w:p>
        </w:tc>
        <w:tc>
          <w:tcPr>
            <w:tcW w:w="4534" w:type="pct"/>
            <w:vAlign w:val="center"/>
          </w:tcPr>
          <w:p>
            <w:pPr>
              <w:ind w:left="-420" w:leftChars="-200" w:right="-420" w:rightChars="-200" w:firstLine="480" w:firstLineChars="200"/>
              <w:rPr>
                <w:rFonts w:ascii="宋体" w:hAnsi="宋体" w:cs="宋体"/>
                <w:sz w:val="24"/>
              </w:rPr>
            </w:pPr>
            <w:r>
              <w:rPr>
                <w:rFonts w:hint="eastAsia" w:ascii="宋体" w:hAnsi="宋体" w:cs="宋体"/>
                <w:sz w:val="24"/>
              </w:rPr>
              <w:t>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2.4.1</w:t>
            </w:r>
          </w:p>
        </w:tc>
        <w:tc>
          <w:tcPr>
            <w:tcW w:w="4534" w:type="pct"/>
            <w:vAlign w:val="center"/>
          </w:tcPr>
          <w:p>
            <w:pPr>
              <w:ind w:left="-420" w:leftChars="-200" w:right="-420" w:rightChars="-200" w:firstLine="480" w:firstLineChars="200"/>
              <w:rPr>
                <w:rFonts w:ascii="宋体" w:hAnsi="宋体" w:cs="宋体"/>
                <w:sz w:val="24"/>
              </w:rPr>
            </w:pPr>
            <w:r>
              <w:rPr>
                <w:rFonts w:hint="eastAsia" w:ascii="宋体" w:hAnsi="宋体" w:cs="宋体"/>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2.4.3</w:t>
            </w:r>
          </w:p>
        </w:tc>
        <w:tc>
          <w:tcPr>
            <w:tcW w:w="4534" w:type="pct"/>
            <w:vAlign w:val="center"/>
          </w:tcPr>
          <w:p>
            <w:pPr>
              <w:rPr>
                <w:rFonts w:ascii="宋体" w:hAnsi="宋体" w:cs="宋体"/>
                <w:sz w:val="24"/>
              </w:rPr>
            </w:pPr>
            <w:r>
              <w:rPr>
                <w:rFonts w:hint="eastAsia" w:ascii="宋体" w:hAnsi="宋体" w:cs="宋体"/>
                <w:sz w:val="24"/>
              </w:rPr>
              <w:t>在交付期限内自行安排装运，并在货物起运前提前告知采购人。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tcPr>
          <w:p>
            <w:pPr>
              <w:rPr>
                <w:rFonts w:ascii="宋体" w:hAnsi="宋体" w:cs="宋体"/>
                <w:sz w:val="24"/>
              </w:rPr>
            </w:pPr>
            <w:r>
              <w:rPr>
                <w:rFonts w:hint="eastAsia" w:ascii="宋体" w:hAnsi="宋体" w:cs="宋体"/>
                <w:sz w:val="24"/>
              </w:rPr>
              <w:t xml:space="preserve">2.8 </w:t>
            </w:r>
          </w:p>
        </w:tc>
        <w:tc>
          <w:tcPr>
            <w:tcW w:w="4534" w:type="pct"/>
          </w:tcPr>
          <w:p>
            <w:pPr>
              <w:rPr>
                <w:rFonts w:ascii="宋体" w:hAnsi="宋体" w:cs="宋体"/>
                <w:sz w:val="24"/>
              </w:rPr>
            </w:pPr>
            <w:r>
              <w:rPr>
                <w:rFonts w:hint="eastAsia" w:ascii="宋体" w:hAnsi="宋体" w:cs="宋体"/>
                <w:sz w:val="24"/>
              </w:rPr>
              <w:t>由乙方承担一切责任并赔偿甲方损失。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2.12.3</w:t>
            </w:r>
          </w:p>
        </w:tc>
        <w:tc>
          <w:tcPr>
            <w:tcW w:w="8275" w:type="dxa"/>
            <w:vAlign w:val="center"/>
          </w:tcPr>
          <w:p>
            <w:pPr>
              <w:rPr>
                <w:rFonts w:ascii="宋体" w:hAnsi="宋体" w:cs="宋体"/>
                <w:sz w:val="24"/>
              </w:rPr>
            </w:pPr>
            <w:r>
              <w:rPr>
                <w:rFonts w:hint="eastAsia" w:ascii="宋体" w:hAnsi="宋体" w:cs="宋体"/>
                <w:sz w:val="24"/>
              </w:rPr>
              <w:t>3个工作日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2.12.4</w:t>
            </w:r>
          </w:p>
        </w:tc>
        <w:tc>
          <w:tcPr>
            <w:tcW w:w="8275" w:type="dxa"/>
            <w:vAlign w:val="center"/>
          </w:tcPr>
          <w:p>
            <w:pPr>
              <w:rPr>
                <w:rFonts w:ascii="宋体" w:hAnsi="宋体" w:cs="宋体"/>
                <w:sz w:val="24"/>
              </w:rPr>
            </w:pPr>
            <w:r>
              <w:rPr>
                <w:rFonts w:hint="eastAsia" w:ascii="宋体" w:hAnsi="宋体" w:cs="宋体"/>
                <w:sz w:val="24"/>
              </w:rPr>
              <w:t>1个工作日；3个工作日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2.16.1</w:t>
            </w:r>
          </w:p>
        </w:tc>
        <w:tc>
          <w:tcPr>
            <w:tcW w:w="8275" w:type="dxa"/>
            <w:vAlign w:val="center"/>
          </w:tcPr>
          <w:p>
            <w:pPr>
              <w:rPr>
                <w:rFonts w:ascii="宋体" w:hAnsi="宋体" w:cs="宋体"/>
                <w:sz w:val="24"/>
              </w:rPr>
            </w:pPr>
            <w:r>
              <w:rPr>
                <w:rFonts w:hint="eastAsia" w:ascii="宋体" w:hAnsi="宋体" w:cs="宋体"/>
                <w:sz w:val="24"/>
              </w:rPr>
              <w:t>5个工作日内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2.16.3</w:t>
            </w:r>
          </w:p>
        </w:tc>
        <w:tc>
          <w:tcPr>
            <w:tcW w:w="8275" w:type="dxa"/>
            <w:vAlign w:val="center"/>
          </w:tcPr>
          <w:p>
            <w:pPr>
              <w:rPr>
                <w:rFonts w:ascii="宋体" w:hAnsi="宋体" w:cs="宋体"/>
                <w:sz w:val="24"/>
              </w:rPr>
            </w:pPr>
            <w:r>
              <w:rPr>
                <w:rFonts w:hint="eastAsia" w:ascii="宋体" w:hAnsi="宋体" w:cs="宋体"/>
                <w:sz w:val="24"/>
              </w:rPr>
              <w:t>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tcPr>
          <w:p>
            <w:pPr>
              <w:rPr>
                <w:rFonts w:ascii="宋体" w:hAnsi="宋体" w:cs="宋体"/>
                <w:sz w:val="24"/>
              </w:rPr>
            </w:pPr>
            <w:r>
              <w:rPr>
                <w:rFonts w:hint="eastAsia" w:ascii="宋体" w:hAnsi="宋体" w:cs="宋体"/>
                <w:sz w:val="24"/>
              </w:rPr>
              <w:t>2.20.1</w:t>
            </w:r>
          </w:p>
        </w:tc>
        <w:tc>
          <w:tcPr>
            <w:tcW w:w="4534" w:type="pct"/>
          </w:tcPr>
          <w:p>
            <w:pPr>
              <w:rPr>
                <w:rFonts w:ascii="宋体" w:hAnsi="宋体" w:cs="宋体"/>
                <w:sz w:val="24"/>
              </w:rPr>
            </w:pPr>
            <w:r>
              <w:rPr>
                <w:rFonts w:hint="eastAsia" w:ascii="宋体" w:hAnsi="宋体" w:cs="宋体"/>
                <w:kern w:val="0"/>
                <w:sz w:val="24"/>
              </w:rPr>
              <w:t>合同签订后一周内，中标人向采购人提交合同总价1%的履约保证金。履约保证金</w:t>
            </w:r>
            <w:r>
              <w:rPr>
                <w:rFonts w:hint="eastAsia" w:ascii="宋体" w:hAnsi="宋体" w:cs="宋体"/>
                <w:sz w:val="24"/>
              </w:rPr>
              <w:t>以支票、汇票、</w:t>
            </w:r>
            <w:r>
              <w:rPr>
                <w:rFonts w:hint="eastAsia" w:ascii="宋体" w:hAnsi="宋体" w:cs="宋体"/>
                <w:kern w:val="0"/>
                <w:sz w:val="24"/>
              </w:rPr>
              <w:t>本票或者金融机构、担保机构出具的保函等非现金形式提交</w:t>
            </w:r>
            <w:r>
              <w:rPr>
                <w:rFonts w:hint="eastAsia" w:ascii="宋体" w:hAnsi="宋体" w:cs="宋体"/>
                <w:sz w:val="24"/>
              </w:rPr>
              <w:t>。鼓励和支持供应商以银行、保险公司出具的保函形式提供履约保证金。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rPr>
                <w:rFonts w:ascii="宋体" w:hAnsi="宋体" w:cs="宋体"/>
                <w:sz w:val="24"/>
              </w:rPr>
            </w:pPr>
            <w:r>
              <w:rPr>
                <w:rFonts w:hint="eastAsia" w:ascii="宋体" w:hAnsi="宋体" w:cs="宋体"/>
                <w:sz w:val="24"/>
              </w:rPr>
              <w:t xml:space="preserve">2.20.2 </w:t>
            </w:r>
          </w:p>
        </w:tc>
        <w:tc>
          <w:tcPr>
            <w:tcW w:w="4534" w:type="pct"/>
            <w:vAlign w:val="center"/>
          </w:tcPr>
          <w:p>
            <w:pPr>
              <w:rPr>
                <w:rFonts w:ascii="宋体" w:hAnsi="宋体" w:cs="宋体"/>
                <w:sz w:val="24"/>
              </w:rPr>
            </w:pPr>
            <w:r>
              <w:rPr>
                <w:rFonts w:hint="eastAsia" w:ascii="宋体" w:hAnsi="宋体" w:cs="宋体"/>
                <w:sz w:val="24"/>
              </w:rPr>
              <w:t>7个工作日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6" w:type="pct"/>
            <w:tcBorders>
              <w:left w:val="single" w:color="auto" w:sz="4" w:space="0"/>
            </w:tcBorders>
            <w:vAlign w:val="center"/>
          </w:tcPr>
          <w:p>
            <w:pPr>
              <w:ind w:right="-420" w:rightChars="-200"/>
              <w:outlineLvl w:val="0"/>
              <w:rPr>
                <w:rFonts w:ascii="宋体" w:hAnsi="宋体" w:cs="宋体"/>
                <w:sz w:val="24"/>
              </w:rPr>
            </w:pPr>
            <w:r>
              <w:rPr>
                <w:rFonts w:hint="eastAsia" w:ascii="宋体" w:hAnsi="宋体" w:cs="宋体"/>
                <w:sz w:val="24"/>
              </w:rPr>
              <w:t xml:space="preserve">2.22 </w:t>
            </w:r>
          </w:p>
        </w:tc>
        <w:tc>
          <w:tcPr>
            <w:tcW w:w="4534" w:type="pct"/>
            <w:vAlign w:val="center"/>
          </w:tcPr>
          <w:p>
            <w:pPr>
              <w:rPr>
                <w:rFonts w:ascii="宋体" w:hAnsi="宋体" w:cs="宋体"/>
                <w:sz w:val="24"/>
              </w:rPr>
            </w:pPr>
            <w:r>
              <w:rPr>
                <w:rFonts w:hint="eastAsia" w:ascii="宋体" w:hAnsi="宋体" w:cs="宋体"/>
                <w:sz w:val="24"/>
              </w:rPr>
              <w:t>一式肆份，双方各执贰份。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rPr>
          <w:rFonts w:ascii="宋体" w:hAnsi="宋体" w:cs="宋体"/>
          <w:sz w:val="24"/>
        </w:rPr>
      </w:pPr>
    </w:p>
    <w:p>
      <w:pPr>
        <w:spacing w:line="360" w:lineRule="auto"/>
        <w:ind w:left="-420" w:leftChars="-200" w:right="-420" w:rightChars="-200" w:firstLine="480" w:firstLineChars="200"/>
        <w:jc w:val="center"/>
        <w:rPr>
          <w:rFonts w:ascii="宋体" w:hAnsi="宋体" w:cs="宋体"/>
          <w:sz w:val="24"/>
        </w:rPr>
      </w:pPr>
    </w:p>
    <w:p>
      <w:pPr>
        <w:spacing w:line="360" w:lineRule="auto"/>
        <w:ind w:left="720" w:firstLine="723" w:firstLineChars="200"/>
        <w:rPr>
          <w:rFonts w:ascii="宋体" w:hAnsi="宋体" w:cs="宋体"/>
          <w:b/>
          <w:sz w:val="36"/>
          <w:szCs w:val="20"/>
        </w:rPr>
      </w:pP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0"/>
      <w:r>
        <w:rPr>
          <w:rFonts w:hint="eastAsia" w:ascii="宋体" w:hAnsi="宋体" w:cs="宋体"/>
          <w:b/>
          <w:sz w:val="36"/>
          <w:szCs w:val="20"/>
        </w:rPr>
        <w:t xml:space="preserve"> </w:t>
      </w:r>
      <w:bookmarkEnd w:id="401"/>
      <w:r>
        <w:rPr>
          <w:rFonts w:hint="eastAsia" w:ascii="宋体" w:hAnsi="宋体" w:cs="宋体"/>
          <w:b/>
          <w:sz w:val="36"/>
          <w:szCs w:val="20"/>
        </w:rPr>
        <w:t>应提交的有关格式范例</w:t>
      </w:r>
    </w:p>
    <w:p>
      <w:pPr>
        <w:spacing w:line="360" w:lineRule="auto"/>
        <w:jc w:val="center"/>
        <w:rPr>
          <w:rFonts w:ascii="宋体" w:hAnsi="宋体" w:cs="宋体"/>
          <w:b/>
          <w:kern w:val="0"/>
          <w:sz w:val="36"/>
          <w:szCs w:val="36"/>
        </w:rPr>
      </w:pPr>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outlineLvl w:val="2"/>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color w:val="0000FF"/>
          <w:sz w:val="24"/>
        </w:rPr>
        <w:t>（采购代理机构）</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杭州市拱墅区部分学校剧场椅采购项目（重新招标）</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tabs>
          <w:tab w:val="left" w:pos="432"/>
        </w:tabs>
      </w:pPr>
    </w:p>
    <w:p>
      <w:pPr>
        <w:snapToGrid w:val="0"/>
        <w:spacing w:line="360" w:lineRule="auto"/>
        <w:ind w:right="480" w:firstLine="559" w:firstLineChars="233"/>
        <w:jc w:val="left"/>
        <w:rPr>
          <w:rFonts w:ascii="宋体" w:hAnsi="宋体" w:cs="宋体"/>
          <w:b/>
          <w:kern w:val="0"/>
          <w:sz w:val="32"/>
          <w:szCs w:val="32"/>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hAnsi="宋体" w:cs="宋体"/>
        </w:rPr>
      </w:pPr>
    </w:p>
    <w:p>
      <w:pPr>
        <w:widowControl/>
        <w:spacing w:line="360" w:lineRule="auto"/>
        <w:jc w:val="center"/>
        <w:outlineLvl w:val="2"/>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outlineLvl w:val="2"/>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82" w:firstLineChars="200"/>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82" w:firstLineChars="200"/>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pStyle w:val="2"/>
        <w:rPr>
          <w:lang w:val="en-US"/>
        </w:rPr>
      </w:pPr>
    </w:p>
    <w:p>
      <w:pPr>
        <w:widowControl/>
        <w:spacing w:line="360" w:lineRule="auto"/>
        <w:jc w:val="center"/>
        <w:outlineLvl w:val="2"/>
        <w:rPr>
          <w:rFonts w:ascii="宋体" w:hAnsi="宋体" w:cs="宋体"/>
          <w:b/>
          <w:kern w:val="0"/>
          <w:sz w:val="32"/>
          <w:szCs w:val="32"/>
        </w:rPr>
      </w:pPr>
      <w:r>
        <w:rPr>
          <w:rFonts w:hint="eastAsia" w:ascii="宋体" w:hAnsi="宋体" w:cs="宋体"/>
          <w:b/>
          <w:kern w:val="0"/>
          <w:sz w:val="32"/>
          <w:szCs w:val="32"/>
        </w:rPr>
        <w:t>四、本项目的特定资格要求</w:t>
      </w:r>
      <w:r>
        <w:rPr>
          <w:rFonts w:hint="eastAsia" w:ascii="宋体" w:hAnsi="宋体" w:cs="宋体"/>
          <w:b/>
          <w:color w:val="FF0000"/>
          <w:kern w:val="0"/>
          <w:sz w:val="32"/>
          <w:szCs w:val="32"/>
        </w:rPr>
        <w:t>（如果有）</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jc w:val="center"/>
        <w:outlineLvl w:val="1"/>
        <w:rPr>
          <w:rFonts w:ascii="宋体" w:hAnsi="宋体" w:cs="宋体"/>
          <w:b/>
          <w:kern w:val="0"/>
          <w:sz w:val="36"/>
          <w:szCs w:val="36"/>
        </w:rPr>
      </w:pPr>
    </w:p>
    <w:p>
      <w:pPr>
        <w:spacing w:line="360" w:lineRule="auto"/>
        <w:ind w:right="420"/>
        <w:jc w:val="center"/>
        <w:outlineLvl w:val="1"/>
        <w:rPr>
          <w:rFonts w:ascii="宋体" w:hAnsi="宋体" w:cs="宋体"/>
          <w:b/>
          <w:kern w:val="0"/>
          <w:sz w:val="36"/>
          <w:szCs w:val="36"/>
        </w:rPr>
      </w:pPr>
    </w:p>
    <w:p>
      <w:pPr>
        <w:spacing w:line="360" w:lineRule="auto"/>
        <w:ind w:right="420"/>
        <w:jc w:val="center"/>
        <w:outlineLvl w:val="1"/>
        <w:rPr>
          <w:rFonts w:ascii="宋体" w:hAnsi="宋体" w:cs="宋体"/>
          <w:b/>
          <w:kern w:val="0"/>
          <w:sz w:val="36"/>
          <w:szCs w:val="36"/>
        </w:rPr>
      </w:pPr>
    </w:p>
    <w:p>
      <w:pPr>
        <w:spacing w:line="360" w:lineRule="auto"/>
        <w:ind w:right="420"/>
        <w:jc w:val="center"/>
        <w:outlineLvl w:val="1"/>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rPr>
      </w:pPr>
    </w:p>
    <w:p>
      <w:pPr>
        <w:snapToGrid w:val="0"/>
        <w:spacing w:line="360" w:lineRule="auto"/>
        <w:jc w:val="center"/>
        <w:rPr>
          <w:rFonts w:ascii="宋体" w:hAnsi="宋体" w:cs="宋体"/>
          <w:b/>
          <w:kern w:val="0"/>
          <w:sz w:val="32"/>
          <w:szCs w:val="32"/>
        </w:rPr>
      </w:pPr>
    </w:p>
    <w:p>
      <w:pPr>
        <w:rPr>
          <w:rFonts w:ascii="宋体" w:hAnsi="宋体" w:cs="宋体"/>
        </w:rPr>
      </w:pPr>
    </w:p>
    <w:p>
      <w:pPr>
        <w:snapToGrid w:val="0"/>
        <w:spacing w:line="360" w:lineRule="auto"/>
        <w:jc w:val="center"/>
        <w:rPr>
          <w:rFonts w:ascii="宋体" w:hAnsi="宋体" w:cs="宋体"/>
          <w:b/>
          <w:kern w:val="0"/>
          <w:sz w:val="32"/>
          <w:szCs w:val="32"/>
        </w:rPr>
      </w:pPr>
    </w:p>
    <w:p>
      <w:pPr>
        <w:snapToGrid w:val="0"/>
        <w:spacing w:line="360" w:lineRule="auto"/>
        <w:jc w:val="center"/>
        <w:rPr>
          <w:rFonts w:ascii="宋体" w:hAnsi="宋体" w:cs="宋体"/>
          <w:b/>
          <w:kern w:val="0"/>
          <w:sz w:val="32"/>
          <w:szCs w:val="32"/>
        </w:rPr>
      </w:pPr>
    </w:p>
    <w:p>
      <w:pPr>
        <w:tabs>
          <w:tab w:val="left" w:pos="432"/>
        </w:tabs>
      </w:pPr>
    </w:p>
    <w:p/>
    <w:p>
      <w:pPr>
        <w:snapToGrid w:val="0"/>
        <w:spacing w:line="360" w:lineRule="auto"/>
        <w:ind w:firstLine="3855" w:firstLineChars="1200"/>
        <w:outlineLvl w:val="2"/>
        <w:rPr>
          <w:rFonts w:ascii="宋体" w:hAnsi="宋体" w:cs="宋体"/>
          <w:b/>
          <w:kern w:val="0"/>
          <w:sz w:val="32"/>
          <w:szCs w:val="32"/>
        </w:rPr>
      </w:pPr>
    </w:p>
    <w:p>
      <w:pPr>
        <w:snapToGrid w:val="0"/>
        <w:spacing w:line="360" w:lineRule="auto"/>
        <w:jc w:val="center"/>
        <w:outlineLvl w:val="2"/>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color w:val="0000FF"/>
          <w:sz w:val="24"/>
        </w:rPr>
        <w:t>（采购代理机构）</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杭州市拱墅区部分学校剧场椅采购项目（重新招标）</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outlineLvl w:val="2"/>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color w:val="0000FF"/>
          <w:sz w:val="24"/>
        </w:rPr>
        <w:t>（采购代理机构）</w:t>
      </w:r>
      <w:r>
        <w:rPr>
          <w:rFonts w:hint="eastAsia" w:ascii="宋体" w:hAnsi="宋体" w:cs="宋体"/>
          <w:kern w:val="0"/>
          <w:sz w:val="24"/>
          <w:lang w:val="zh-CN"/>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杭州市拱墅区部分学校剧场椅采购项目（重新招标）</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rPr>
          <w:rFonts w:ascii="宋体" w:hAnsi="宋体" w:cs="宋体"/>
          <w:sz w:val="24"/>
        </w:rPr>
      </w:pPr>
    </w:p>
    <w:p>
      <w:pPr>
        <w:pStyle w:val="2"/>
        <w:rPr>
          <w:lang w:val="en-US"/>
        </w:rPr>
      </w:pPr>
    </w:p>
    <w:p>
      <w:pPr>
        <w:spacing w:line="360" w:lineRule="auto"/>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color w:val="0000FF"/>
          <w:sz w:val="24"/>
        </w:rPr>
        <w:t>（采购代理机构）</w:t>
      </w:r>
      <w:r>
        <w:rPr>
          <w:rFonts w:hint="eastAsia" w:ascii="宋体" w:hAnsi="宋体" w:cs="宋体"/>
          <w:kern w:val="0"/>
          <w:sz w:val="24"/>
          <w:lang w:val="zh-CN"/>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杭州市拱墅区部分学校剧场椅采购项目（重新招标）</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firstLine="480" w:firstLineChars="200"/>
        <w:rPr>
          <w:rFonts w:ascii="宋体" w:hAnsi="宋体" w:cs="宋体"/>
          <w:kern w:val="0"/>
          <w:sz w:val="24"/>
          <w:highlight w:val="cyan"/>
          <w:lang w:val="zh-CN"/>
        </w:rPr>
      </w:pP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outlineLvl w:val="2"/>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b/>
          <w:sz w:val="24"/>
        </w:rPr>
      </w:pPr>
      <w:bookmarkStart w:id="558" w:name="_Hlk101169080"/>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p>
    <w:bookmarkEnd w:id="558"/>
    <w:p>
      <w:pPr>
        <w:snapToGrid w:val="0"/>
        <w:spacing w:line="360" w:lineRule="auto"/>
        <w:rPr>
          <w:rFonts w:ascii="宋体" w:hAnsi="宋体" w:cs="宋体"/>
          <w:kern w:val="0"/>
          <w:sz w:val="24"/>
        </w:rPr>
      </w:pPr>
    </w:p>
    <w:p>
      <w:pPr>
        <w:jc w:val="center"/>
        <w:rPr>
          <w:rFonts w:ascii="宋体" w:hAnsi="宋体" w:cs="宋体"/>
          <w:b/>
          <w:kern w:val="0"/>
          <w:sz w:val="32"/>
          <w:szCs w:val="32"/>
        </w:rPr>
      </w:pPr>
    </w:p>
    <w:p>
      <w:pPr>
        <w:tabs>
          <w:tab w:val="left" w:pos="432"/>
        </w:tabs>
      </w:pPr>
    </w:p>
    <w:p/>
    <w:p>
      <w:pPr>
        <w:tabs>
          <w:tab w:val="left" w:pos="432"/>
        </w:tabs>
      </w:pPr>
    </w:p>
    <w:p>
      <w:pPr>
        <w:jc w:val="center"/>
        <w:rPr>
          <w:rFonts w:ascii="宋体" w:hAnsi="宋体" w:cs="宋体"/>
          <w:b/>
          <w:kern w:val="0"/>
          <w:sz w:val="32"/>
          <w:szCs w:val="32"/>
        </w:rPr>
      </w:pPr>
    </w:p>
    <w:p>
      <w:pPr>
        <w:jc w:val="center"/>
        <w:outlineLvl w:val="2"/>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outlineLvl w:val="2"/>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outlineLvl w:val="2"/>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outlineLvl w:val="2"/>
        <w:rPr>
          <w:rFonts w:ascii="宋体" w:hAnsi="宋体" w:cs="宋体"/>
          <w:b/>
          <w:kern w:val="0"/>
          <w:sz w:val="32"/>
          <w:szCs w:val="32"/>
        </w:rPr>
      </w:pPr>
    </w:p>
    <w:p>
      <w:pPr>
        <w:jc w:val="center"/>
        <w:outlineLvl w:val="2"/>
        <w:rPr>
          <w:rFonts w:ascii="宋体" w:hAnsi="宋体" w:cs="宋体"/>
          <w:b/>
          <w:kern w:val="0"/>
          <w:sz w:val="32"/>
          <w:szCs w:val="32"/>
        </w:rPr>
      </w:pPr>
    </w:p>
    <w:p>
      <w:pPr>
        <w:jc w:val="center"/>
        <w:outlineLvl w:val="2"/>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outlineLvl w:val="2"/>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color w:val="0000FF"/>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1"/>
        <w:rPr>
          <w:rFonts w:ascii="宋体" w:hAnsi="宋体" w:cs="宋体"/>
          <w:b/>
          <w:kern w:val="0"/>
          <w:sz w:val="36"/>
          <w:szCs w:val="36"/>
        </w:rPr>
      </w:pPr>
    </w:p>
    <w:p>
      <w:pPr>
        <w:spacing w:line="360" w:lineRule="auto"/>
        <w:jc w:val="center"/>
        <w:outlineLvl w:val="1"/>
        <w:rPr>
          <w:rFonts w:ascii="宋体" w:hAnsi="宋体" w:cs="宋体"/>
          <w:b/>
          <w:kern w:val="0"/>
          <w:sz w:val="36"/>
          <w:szCs w:val="36"/>
        </w:rPr>
      </w:pPr>
    </w:p>
    <w:p>
      <w:pPr>
        <w:spacing w:line="360" w:lineRule="auto"/>
        <w:jc w:val="center"/>
        <w:outlineLvl w:val="1"/>
        <w:rPr>
          <w:rFonts w:ascii="宋体" w:hAnsi="宋体" w:cs="宋体"/>
          <w:b/>
          <w:kern w:val="0"/>
          <w:sz w:val="36"/>
          <w:szCs w:val="36"/>
        </w:rPr>
      </w:pPr>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2"/>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color w:val="0000FF"/>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杭州市拱墅区部分学校剧场椅采购项目（重新招标）</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b/>
          <w:sz w:val="24"/>
        </w:rPr>
      </w:pPr>
      <w:r>
        <w:rPr>
          <w:rFonts w:hint="eastAsia" w:ascii="宋体" w:hAnsi="宋体" w:cs="宋体"/>
          <w:kern w:val="0"/>
          <w:sz w:val="24"/>
          <w:lang w:val="zh-CN"/>
        </w:rPr>
        <w:t>2、有关本项目实施所涉及的一切费用均计入报价。总价不为零，报价明细表中部分产品、服务单价为零的，视作已包含在总价中。</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sz w:val="24"/>
        </w:rPr>
      </w:pPr>
      <w:r>
        <w:rPr>
          <w:rFonts w:hint="eastAsia" w:ascii="宋体" w:hAnsi="宋体" w:cs="宋体"/>
          <w:b/>
          <w:sz w:val="24"/>
        </w:rPr>
        <w:t>5、特别说明：▲供应商报价低于项目预算50%的，应当在报价文件中详细阐述不影响产品质量或者诚信履约的具体原因。</w:t>
      </w: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outlineLvl w:val="2"/>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59" w:name="_Hlk101259491"/>
      <w:r>
        <w:rPr>
          <w:rFonts w:hint="eastAsia" w:ascii="宋体" w:hAnsi="宋体" w:eastAsia="宋体" w:cs="宋体"/>
          <w:color w:val="FF0000"/>
          <w:sz w:val="32"/>
          <w:szCs w:val="32"/>
        </w:rPr>
        <w:t>（如果有）</w:t>
      </w:r>
      <w:bookmarkEnd w:id="559"/>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428" w:hanging="428" w:hangingChars="97"/>
        <w:jc w:val="center"/>
        <w:rPr>
          <w:rFonts w:ascii="宋体" w:hAnsi="宋体" w:cs="宋体"/>
        </w:rPr>
      </w:pPr>
      <w:bookmarkStart w:id="560" w:name="_Toc465665161"/>
      <w:r>
        <w:rPr>
          <w:rFonts w:hint="eastAsia" w:ascii="宋体" w:hAnsi="宋体" w:cs="宋体"/>
        </w:rPr>
        <w:t>附件</w:t>
      </w:r>
      <w:bookmarkEnd w:id="560"/>
    </w:p>
    <w:p>
      <w:pPr>
        <w:spacing w:line="360" w:lineRule="auto"/>
        <w:outlineLvl w:val="1"/>
        <w:rPr>
          <w:rFonts w:ascii="宋体" w:hAnsi="宋体" w:cs="宋体"/>
          <w:b/>
          <w:spacing w:val="6"/>
          <w:sz w:val="32"/>
          <w:szCs w:val="32"/>
        </w:rPr>
      </w:pPr>
      <w:r>
        <w:rPr>
          <w:rFonts w:hint="eastAsia" w:ascii="宋体" w:hAnsi="宋体" w:cs="宋体"/>
          <w:b/>
          <w:spacing w:val="6"/>
          <w:sz w:val="32"/>
          <w:szCs w:val="32"/>
        </w:rPr>
        <w:t>附件1：残疾人福利性单位声明函</w:t>
      </w:r>
    </w:p>
    <w:p>
      <w:pPr>
        <w:spacing w:line="360" w:lineRule="auto"/>
        <w:jc w:val="center"/>
        <w:rPr>
          <w:rFonts w:ascii="宋体" w:hAnsi="宋体" w:cs="宋体"/>
          <w:b/>
          <w:spacing w:val="6"/>
          <w:sz w:val="32"/>
          <w:szCs w:val="32"/>
        </w:rPr>
      </w:pPr>
      <w:bookmarkStart w:id="561" w:name="OLE_LINK14"/>
      <w:bookmarkStart w:id="562" w:name="OLE_LINK13"/>
      <w:r>
        <w:rPr>
          <w:rFonts w:hint="eastAsia" w:ascii="宋体" w:hAnsi="宋体" w:cs="宋体"/>
          <w:b/>
          <w:spacing w:val="6"/>
          <w:sz w:val="32"/>
          <w:szCs w:val="32"/>
        </w:rPr>
        <w:t>残疾人福利性单位声明函</w:t>
      </w:r>
    </w:p>
    <w:bookmarkEnd w:id="561"/>
    <w:bookmarkEnd w:id="56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FF"/>
          <w:sz w:val="24"/>
          <w:u w:val="single"/>
        </w:rPr>
        <w:t>（采购人）</w:t>
      </w:r>
      <w:r>
        <w:rPr>
          <w:rFonts w:hint="eastAsia" w:ascii="宋体" w:hAnsi="宋体" w:cs="宋体"/>
          <w:sz w:val="24"/>
        </w:rPr>
        <w:t>单位的</w:t>
      </w:r>
      <w:r>
        <w:rPr>
          <w:rFonts w:hint="eastAsia" w:ascii="宋体" w:hAnsi="宋体" w:cs="宋体"/>
          <w:color w:val="0000FF"/>
          <w:sz w:val="24"/>
          <w:u w:val="single"/>
        </w:rPr>
        <w:t>杭州市拱墅区部分学校剧场椅采购项目（重新招标）</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outlineLvl w:val="1"/>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outlineLvl w:val="1"/>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outlineLvl w:val="1"/>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杭州市拱墅区部分学校剧场椅采购项目（重新招标）</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1"/>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杭州市拱墅区部分学校剧场椅采购项目（重新招标）</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6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63"/>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1"/>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b/>
          <w:sz w:val="24"/>
        </w:rPr>
      </w:pPr>
      <w:r>
        <w:rPr>
          <w:rFonts w:hint="eastAsia" w:ascii="宋体" w:hAnsi="宋体" w:cs="宋体"/>
          <w:b/>
          <w:sz w:val="24"/>
        </w:rPr>
        <w:t>（中标后以分包方式履行合同的，提供分包意向协议；采购人不同意分包或者投标人中标后不以分包方式履行合同的，则不需要提供。）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杭州市拱墅区部分学校剧场椅采购项目（重新招标）</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lang w:val="zh-CN"/>
        </w:rPr>
        <w:t xml:space="preserve">XX工作内容 </w:t>
      </w:r>
      <w:r>
        <w:rPr>
          <w:rFonts w:ascii="宋体" w:hAnsi="宋体" w:cs="宋体"/>
          <w:kern w:val="0"/>
          <w:sz w:val="24"/>
          <w:u w:val="single"/>
          <w:lang w:val="zh-CN"/>
        </w:rPr>
        <w:t xml:space="preserve"> </w:t>
      </w:r>
      <w:r>
        <w:rPr>
          <w:rFonts w:hint="eastAsia" w:ascii="宋体" w:hAnsi="宋体" w:cs="宋体"/>
          <w:kern w:val="0"/>
          <w:sz w:val="24"/>
          <w:lang w:val="zh-CN"/>
        </w:rPr>
        <w:t>相应资质条件且不得再次分包；</w:t>
      </w:r>
    </w:p>
    <w:p>
      <w:pPr>
        <w:tabs>
          <w:tab w:val="left" w:pos="432"/>
        </w:tabs>
        <w:ind w:left="664" w:leftChars="316" w:firstLine="228" w:firstLineChars="95"/>
        <w:rPr>
          <w:rFonts w:ascii="宋体" w:hAnsi="宋体" w:cs="宋体"/>
          <w:kern w:val="0"/>
          <w:sz w:val="24"/>
        </w:rPr>
      </w:pPr>
      <w:r>
        <w:rPr>
          <w:rFonts w:hint="eastAsia" w:ascii="宋体" w:hAnsi="宋体" w:cs="宋体"/>
          <w:kern w:val="0"/>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6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中中小企业、其中小微企业合同金额应当达到的比例要求填写。</w:t>
      </w:r>
      <w:r>
        <w:rPr>
          <w:rFonts w:hint="eastAsia" w:ascii="宋体" w:hAnsi="宋体" w:cs="宋体"/>
          <w:b/>
          <w:bCs/>
          <w:kern w:val="0"/>
          <w:sz w:val="24"/>
          <w:lang w:val="zh-CN"/>
        </w:rPr>
        <w:t>）</w:t>
      </w:r>
      <w:bookmarkEnd w:id="56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1"/>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color w:val="0000FF"/>
          <w:sz w:val="24"/>
          <w:u w:val="single"/>
        </w:rPr>
        <w:t>（采购人）</w:t>
      </w:r>
      <w:r>
        <w:rPr>
          <w:rFonts w:hint="eastAsia" w:ascii="宋体" w:hAnsi="宋体" w:cs="宋体"/>
          <w:sz w:val="24"/>
        </w:rPr>
        <w:t>的</w:t>
      </w:r>
      <w:r>
        <w:rPr>
          <w:rFonts w:hint="eastAsia" w:ascii="宋体" w:hAnsi="宋体" w:cs="宋体"/>
          <w:color w:val="0000FF"/>
          <w:sz w:val="24"/>
          <w:u w:val="single"/>
        </w:rPr>
        <w:t>杭州市拱墅区部分学校剧场椅采购项目（重新招标）</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24"/>
        </w:rPr>
      </w:pPr>
    </w:p>
    <w:p>
      <w:pPr>
        <w:spacing w:line="360" w:lineRule="auto"/>
        <w:jc w:val="left"/>
        <w:rPr>
          <w:rFonts w:ascii="宋体" w:hAnsi="宋体" w:cs="宋体"/>
          <w:szCs w:val="21"/>
        </w:rPr>
      </w:pPr>
      <w:r>
        <w:rPr>
          <w:rFonts w:hint="eastAsia" w:ascii="宋体" w:hAnsi="宋体" w:cs="宋体"/>
          <w:szCs w:val="21"/>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decorative"/>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65" w:name="_Toc164085800"/>
    <w:bookmarkStart w:id="566" w:name="_Toc131845147"/>
    <w:bookmarkStart w:id="567" w:name="_Toc36110187"/>
    <w:bookmarkStart w:id="568" w:name="_Toc91899912"/>
    <w:r>
      <w:rPr>
        <w:rFonts w:hint="eastAsia" w:ascii="仿宋_GB2312" w:eastAsia="仿宋_GB2312"/>
        <w:kern w:val="0"/>
        <w:szCs w:val="21"/>
      </w:rPr>
      <w:t xml:space="preserve"> 页</w:t>
    </w:r>
    <w:bookmarkEnd w:id="565"/>
    <w:bookmarkEnd w:id="566"/>
    <w:bookmarkEnd w:id="567"/>
    <w:bookmarkEnd w:id="56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w:t>
    </w:r>
  </w:p>
  <w:p>
    <w:pPr>
      <w:pStyle w:val="40"/>
    </w:pPr>
    <w:r>
      <w:rPr>
        <w:rFonts w:hint="eastAsia"/>
      </w:rPr>
      <w:t xml:space="preserve">                                                                  </w:t>
    </w:r>
    <w:r>
      <w:t xml:space="preserve">       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OWFlZmQ0YjdlMGEyODBkZDg0ZWZkOTVhYWZjMDgifQ=="/>
  </w:docVars>
  <w:rsids>
    <w:rsidRoot w:val="00172A27"/>
    <w:rsid w:val="00000451"/>
    <w:rsid w:val="0000108B"/>
    <w:rsid w:val="0000133D"/>
    <w:rsid w:val="00001509"/>
    <w:rsid w:val="000032B2"/>
    <w:rsid w:val="0000363B"/>
    <w:rsid w:val="00003922"/>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2C7"/>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671"/>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5DB6"/>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2D2"/>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0F"/>
    <w:rsid w:val="000C2264"/>
    <w:rsid w:val="000C256B"/>
    <w:rsid w:val="000C3970"/>
    <w:rsid w:val="000C3B1A"/>
    <w:rsid w:val="000C3D25"/>
    <w:rsid w:val="000C4727"/>
    <w:rsid w:val="000C47AE"/>
    <w:rsid w:val="000C4A76"/>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916"/>
    <w:rsid w:val="000E5B7E"/>
    <w:rsid w:val="000E5C92"/>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AAB"/>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4DBF"/>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776DE"/>
    <w:rsid w:val="00180A47"/>
    <w:rsid w:val="001827B7"/>
    <w:rsid w:val="001827EF"/>
    <w:rsid w:val="00182982"/>
    <w:rsid w:val="001829BC"/>
    <w:rsid w:val="00182D68"/>
    <w:rsid w:val="00183031"/>
    <w:rsid w:val="0018317A"/>
    <w:rsid w:val="00183468"/>
    <w:rsid w:val="0018397E"/>
    <w:rsid w:val="00184083"/>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643"/>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1D5"/>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BE3"/>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5B5E"/>
    <w:rsid w:val="001E7F81"/>
    <w:rsid w:val="001F0FD1"/>
    <w:rsid w:val="001F1526"/>
    <w:rsid w:val="001F19D1"/>
    <w:rsid w:val="001F1CB9"/>
    <w:rsid w:val="001F1F18"/>
    <w:rsid w:val="001F2F92"/>
    <w:rsid w:val="001F41F3"/>
    <w:rsid w:val="001F43F8"/>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33EF"/>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34"/>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CC6"/>
    <w:rsid w:val="0026119C"/>
    <w:rsid w:val="00261AFE"/>
    <w:rsid w:val="0026212A"/>
    <w:rsid w:val="002621D7"/>
    <w:rsid w:val="00262996"/>
    <w:rsid w:val="00263044"/>
    <w:rsid w:val="00263759"/>
    <w:rsid w:val="002638BD"/>
    <w:rsid w:val="00263ABE"/>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4F11"/>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4C0"/>
    <w:rsid w:val="002C3635"/>
    <w:rsid w:val="002C3890"/>
    <w:rsid w:val="002C3AD9"/>
    <w:rsid w:val="002C4286"/>
    <w:rsid w:val="002C43FC"/>
    <w:rsid w:val="002C45C3"/>
    <w:rsid w:val="002C47DA"/>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625"/>
    <w:rsid w:val="002E587E"/>
    <w:rsid w:val="002E672A"/>
    <w:rsid w:val="002E6853"/>
    <w:rsid w:val="002E7EC1"/>
    <w:rsid w:val="002E7EE5"/>
    <w:rsid w:val="002F0323"/>
    <w:rsid w:val="002F0491"/>
    <w:rsid w:val="002F0DFB"/>
    <w:rsid w:val="002F134F"/>
    <w:rsid w:val="002F1D0B"/>
    <w:rsid w:val="002F1E1D"/>
    <w:rsid w:val="002F1F02"/>
    <w:rsid w:val="002F27E5"/>
    <w:rsid w:val="002F2D81"/>
    <w:rsid w:val="002F2F66"/>
    <w:rsid w:val="002F39D4"/>
    <w:rsid w:val="002F4BA9"/>
    <w:rsid w:val="002F541B"/>
    <w:rsid w:val="002F5591"/>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211"/>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759"/>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AAB"/>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520"/>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1F79"/>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28B"/>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346"/>
    <w:rsid w:val="0049418F"/>
    <w:rsid w:val="004947D8"/>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2FE"/>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406"/>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8B2"/>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DFD"/>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A1E"/>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53B"/>
    <w:rsid w:val="0057200B"/>
    <w:rsid w:val="00572297"/>
    <w:rsid w:val="0057345D"/>
    <w:rsid w:val="0057347D"/>
    <w:rsid w:val="00573560"/>
    <w:rsid w:val="00574E7B"/>
    <w:rsid w:val="00574F36"/>
    <w:rsid w:val="00575E80"/>
    <w:rsid w:val="00576B5C"/>
    <w:rsid w:val="005770CC"/>
    <w:rsid w:val="005802F9"/>
    <w:rsid w:val="005806D5"/>
    <w:rsid w:val="00580DFC"/>
    <w:rsid w:val="0058134C"/>
    <w:rsid w:val="005815CD"/>
    <w:rsid w:val="005827A7"/>
    <w:rsid w:val="005828EE"/>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54F"/>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BBE"/>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D7F76"/>
    <w:rsid w:val="005E0067"/>
    <w:rsid w:val="005E0141"/>
    <w:rsid w:val="005E09CA"/>
    <w:rsid w:val="005E198D"/>
    <w:rsid w:val="005E1AB4"/>
    <w:rsid w:val="005E1F81"/>
    <w:rsid w:val="005E255B"/>
    <w:rsid w:val="005E2CF7"/>
    <w:rsid w:val="005E37FD"/>
    <w:rsid w:val="005E3A94"/>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E9C"/>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B45"/>
    <w:rsid w:val="00695C78"/>
    <w:rsid w:val="00695E6C"/>
    <w:rsid w:val="00695EAC"/>
    <w:rsid w:val="00696C79"/>
    <w:rsid w:val="00697068"/>
    <w:rsid w:val="006977DE"/>
    <w:rsid w:val="00697D5F"/>
    <w:rsid w:val="006A035B"/>
    <w:rsid w:val="006A0582"/>
    <w:rsid w:val="006A060C"/>
    <w:rsid w:val="006A06F8"/>
    <w:rsid w:val="006A071C"/>
    <w:rsid w:val="006A0D3F"/>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C92"/>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114"/>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F49"/>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3555"/>
    <w:rsid w:val="007444E6"/>
    <w:rsid w:val="00744D20"/>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848"/>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AD2"/>
    <w:rsid w:val="007660EC"/>
    <w:rsid w:val="007662C7"/>
    <w:rsid w:val="00766862"/>
    <w:rsid w:val="007675DD"/>
    <w:rsid w:val="007702BF"/>
    <w:rsid w:val="007705F0"/>
    <w:rsid w:val="00771CAC"/>
    <w:rsid w:val="00772036"/>
    <w:rsid w:val="00773098"/>
    <w:rsid w:val="00773594"/>
    <w:rsid w:val="007739A3"/>
    <w:rsid w:val="00773BD9"/>
    <w:rsid w:val="00773CB0"/>
    <w:rsid w:val="00773D71"/>
    <w:rsid w:val="00775526"/>
    <w:rsid w:val="00775651"/>
    <w:rsid w:val="00775F3F"/>
    <w:rsid w:val="0077710B"/>
    <w:rsid w:val="0077765A"/>
    <w:rsid w:val="007778AE"/>
    <w:rsid w:val="00780032"/>
    <w:rsid w:val="00780636"/>
    <w:rsid w:val="00780E86"/>
    <w:rsid w:val="00781022"/>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8A6"/>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3956"/>
    <w:rsid w:val="0081497F"/>
    <w:rsid w:val="00814B90"/>
    <w:rsid w:val="00814FC7"/>
    <w:rsid w:val="00815FAD"/>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09A8"/>
    <w:rsid w:val="008320D2"/>
    <w:rsid w:val="008321CE"/>
    <w:rsid w:val="0083257C"/>
    <w:rsid w:val="0083261B"/>
    <w:rsid w:val="00832B44"/>
    <w:rsid w:val="00832EC9"/>
    <w:rsid w:val="00833138"/>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232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479"/>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0D1"/>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4A88"/>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202"/>
    <w:rsid w:val="00926939"/>
    <w:rsid w:val="00926F4C"/>
    <w:rsid w:val="00927330"/>
    <w:rsid w:val="00927710"/>
    <w:rsid w:val="009307CA"/>
    <w:rsid w:val="009312F9"/>
    <w:rsid w:val="00931445"/>
    <w:rsid w:val="00931AB8"/>
    <w:rsid w:val="00931C19"/>
    <w:rsid w:val="00931C63"/>
    <w:rsid w:val="00931D10"/>
    <w:rsid w:val="0093218A"/>
    <w:rsid w:val="0093386D"/>
    <w:rsid w:val="009341A2"/>
    <w:rsid w:val="00934C8E"/>
    <w:rsid w:val="00935194"/>
    <w:rsid w:val="00936EA5"/>
    <w:rsid w:val="00937114"/>
    <w:rsid w:val="0094015D"/>
    <w:rsid w:val="00940916"/>
    <w:rsid w:val="009412B7"/>
    <w:rsid w:val="00941B13"/>
    <w:rsid w:val="0094215C"/>
    <w:rsid w:val="00942F8E"/>
    <w:rsid w:val="00943543"/>
    <w:rsid w:val="009441DB"/>
    <w:rsid w:val="00944834"/>
    <w:rsid w:val="009451A9"/>
    <w:rsid w:val="00946128"/>
    <w:rsid w:val="0094633F"/>
    <w:rsid w:val="00947BA5"/>
    <w:rsid w:val="009504E7"/>
    <w:rsid w:val="00950805"/>
    <w:rsid w:val="009517E4"/>
    <w:rsid w:val="009518D4"/>
    <w:rsid w:val="009520BC"/>
    <w:rsid w:val="009521D2"/>
    <w:rsid w:val="00952403"/>
    <w:rsid w:val="00952589"/>
    <w:rsid w:val="00952BD8"/>
    <w:rsid w:val="00953573"/>
    <w:rsid w:val="009537C0"/>
    <w:rsid w:val="009557A9"/>
    <w:rsid w:val="00956305"/>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BF4"/>
    <w:rsid w:val="00964F5A"/>
    <w:rsid w:val="0096527F"/>
    <w:rsid w:val="009653ED"/>
    <w:rsid w:val="00965B85"/>
    <w:rsid w:val="00966A21"/>
    <w:rsid w:val="00966AD2"/>
    <w:rsid w:val="0097025C"/>
    <w:rsid w:val="00971415"/>
    <w:rsid w:val="009716D8"/>
    <w:rsid w:val="00971A8D"/>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810"/>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3C20"/>
    <w:rsid w:val="00A044AA"/>
    <w:rsid w:val="00A053A4"/>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17C36"/>
    <w:rsid w:val="00A21674"/>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82"/>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651"/>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49E"/>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1D"/>
    <w:rsid w:val="00B038F1"/>
    <w:rsid w:val="00B03C1B"/>
    <w:rsid w:val="00B04678"/>
    <w:rsid w:val="00B047C9"/>
    <w:rsid w:val="00B04A04"/>
    <w:rsid w:val="00B04B78"/>
    <w:rsid w:val="00B04C37"/>
    <w:rsid w:val="00B04F00"/>
    <w:rsid w:val="00B05107"/>
    <w:rsid w:val="00B05700"/>
    <w:rsid w:val="00B05BA6"/>
    <w:rsid w:val="00B05EDB"/>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C0"/>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97A"/>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C79"/>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9B5"/>
    <w:rsid w:val="00BF7EF5"/>
    <w:rsid w:val="00C00BED"/>
    <w:rsid w:val="00C00BF6"/>
    <w:rsid w:val="00C01146"/>
    <w:rsid w:val="00C01571"/>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2DFF"/>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85"/>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3EB3"/>
    <w:rsid w:val="00C643ED"/>
    <w:rsid w:val="00C64534"/>
    <w:rsid w:val="00C64D93"/>
    <w:rsid w:val="00C64F49"/>
    <w:rsid w:val="00C64F71"/>
    <w:rsid w:val="00C650E3"/>
    <w:rsid w:val="00C65200"/>
    <w:rsid w:val="00C65BD3"/>
    <w:rsid w:val="00C664FB"/>
    <w:rsid w:val="00C665DE"/>
    <w:rsid w:val="00C667C3"/>
    <w:rsid w:val="00C6728B"/>
    <w:rsid w:val="00C70718"/>
    <w:rsid w:val="00C70A75"/>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5C33"/>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59EB"/>
    <w:rsid w:val="00CA6A2E"/>
    <w:rsid w:val="00CA6B56"/>
    <w:rsid w:val="00CA7CB7"/>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6A36"/>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2DE"/>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425"/>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4C5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9B"/>
    <w:rsid w:val="00D82BE4"/>
    <w:rsid w:val="00D82E05"/>
    <w:rsid w:val="00D837F3"/>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22"/>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FF1"/>
    <w:rsid w:val="00DF50E8"/>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365"/>
    <w:rsid w:val="00E2376D"/>
    <w:rsid w:val="00E2449B"/>
    <w:rsid w:val="00E24A62"/>
    <w:rsid w:val="00E24F52"/>
    <w:rsid w:val="00E255CC"/>
    <w:rsid w:val="00E25636"/>
    <w:rsid w:val="00E25755"/>
    <w:rsid w:val="00E25C5B"/>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F4A"/>
    <w:rsid w:val="00E4208F"/>
    <w:rsid w:val="00E42E94"/>
    <w:rsid w:val="00E43006"/>
    <w:rsid w:val="00E4312A"/>
    <w:rsid w:val="00E4331B"/>
    <w:rsid w:val="00E43551"/>
    <w:rsid w:val="00E437FA"/>
    <w:rsid w:val="00E45136"/>
    <w:rsid w:val="00E45A2C"/>
    <w:rsid w:val="00E46A6B"/>
    <w:rsid w:val="00E46A9C"/>
    <w:rsid w:val="00E47DB1"/>
    <w:rsid w:val="00E50BDD"/>
    <w:rsid w:val="00E510CF"/>
    <w:rsid w:val="00E513D7"/>
    <w:rsid w:val="00E519FE"/>
    <w:rsid w:val="00E5206C"/>
    <w:rsid w:val="00E52AAB"/>
    <w:rsid w:val="00E542D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0BB"/>
    <w:rsid w:val="00E726F2"/>
    <w:rsid w:val="00E7289A"/>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8A9"/>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66E"/>
    <w:rsid w:val="00EB0831"/>
    <w:rsid w:val="00EB089C"/>
    <w:rsid w:val="00EB0AA8"/>
    <w:rsid w:val="00EB0B65"/>
    <w:rsid w:val="00EB0C65"/>
    <w:rsid w:val="00EB0F22"/>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00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B46"/>
    <w:rsid w:val="00ED3692"/>
    <w:rsid w:val="00ED4A77"/>
    <w:rsid w:val="00ED4B6E"/>
    <w:rsid w:val="00ED5981"/>
    <w:rsid w:val="00ED613A"/>
    <w:rsid w:val="00ED6514"/>
    <w:rsid w:val="00ED66B2"/>
    <w:rsid w:val="00ED66EA"/>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436"/>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4B55"/>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2F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8CE"/>
    <w:rsid w:val="00F61918"/>
    <w:rsid w:val="00F62123"/>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24D"/>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A3E"/>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BF3"/>
    <w:rsid w:val="00FB7823"/>
    <w:rsid w:val="00FC05B2"/>
    <w:rsid w:val="00FC08B3"/>
    <w:rsid w:val="00FC09D7"/>
    <w:rsid w:val="00FC0ABE"/>
    <w:rsid w:val="00FC1269"/>
    <w:rsid w:val="00FC22D0"/>
    <w:rsid w:val="00FC284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D08"/>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6AFB"/>
    <w:rsid w:val="013C48A7"/>
    <w:rsid w:val="01541149"/>
    <w:rsid w:val="01876AB6"/>
    <w:rsid w:val="019F7441"/>
    <w:rsid w:val="01B37585"/>
    <w:rsid w:val="01C979FE"/>
    <w:rsid w:val="01D55165"/>
    <w:rsid w:val="01DF6BF8"/>
    <w:rsid w:val="01EC2C57"/>
    <w:rsid w:val="025F0711"/>
    <w:rsid w:val="026B2E25"/>
    <w:rsid w:val="02824D4D"/>
    <w:rsid w:val="02DC4B10"/>
    <w:rsid w:val="02DD76CE"/>
    <w:rsid w:val="02F36323"/>
    <w:rsid w:val="02F5619C"/>
    <w:rsid w:val="02FE11C8"/>
    <w:rsid w:val="03020A00"/>
    <w:rsid w:val="0326446A"/>
    <w:rsid w:val="032D5555"/>
    <w:rsid w:val="036634D2"/>
    <w:rsid w:val="03BE6034"/>
    <w:rsid w:val="03DD35E4"/>
    <w:rsid w:val="04076900"/>
    <w:rsid w:val="041A5A3B"/>
    <w:rsid w:val="042311BA"/>
    <w:rsid w:val="042B157A"/>
    <w:rsid w:val="044D2C6F"/>
    <w:rsid w:val="048F763B"/>
    <w:rsid w:val="049F330E"/>
    <w:rsid w:val="04AA775C"/>
    <w:rsid w:val="04AF1889"/>
    <w:rsid w:val="04F66F48"/>
    <w:rsid w:val="05251E14"/>
    <w:rsid w:val="053F44F8"/>
    <w:rsid w:val="05A16594"/>
    <w:rsid w:val="05A7762D"/>
    <w:rsid w:val="05FA4E5A"/>
    <w:rsid w:val="060E5941"/>
    <w:rsid w:val="06110FAF"/>
    <w:rsid w:val="06493CA7"/>
    <w:rsid w:val="065A6178"/>
    <w:rsid w:val="066F1CF3"/>
    <w:rsid w:val="06930BB8"/>
    <w:rsid w:val="06D50452"/>
    <w:rsid w:val="07245D42"/>
    <w:rsid w:val="07264C62"/>
    <w:rsid w:val="0779354C"/>
    <w:rsid w:val="08061376"/>
    <w:rsid w:val="08072D93"/>
    <w:rsid w:val="08452D77"/>
    <w:rsid w:val="086401F8"/>
    <w:rsid w:val="08751CAA"/>
    <w:rsid w:val="087E4C40"/>
    <w:rsid w:val="08A871D0"/>
    <w:rsid w:val="08D66AD6"/>
    <w:rsid w:val="08DA33A3"/>
    <w:rsid w:val="08E80F13"/>
    <w:rsid w:val="09335624"/>
    <w:rsid w:val="0944690F"/>
    <w:rsid w:val="09535675"/>
    <w:rsid w:val="095F057D"/>
    <w:rsid w:val="09636B90"/>
    <w:rsid w:val="09642282"/>
    <w:rsid w:val="09733572"/>
    <w:rsid w:val="09742F1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3715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745B3"/>
    <w:rsid w:val="0D184CFB"/>
    <w:rsid w:val="0D4A7419"/>
    <w:rsid w:val="0D6071CB"/>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70674"/>
    <w:rsid w:val="10F33360"/>
    <w:rsid w:val="10FC16EA"/>
    <w:rsid w:val="110F1D40"/>
    <w:rsid w:val="11266F33"/>
    <w:rsid w:val="112D573C"/>
    <w:rsid w:val="116E4835"/>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ED2C64"/>
    <w:rsid w:val="150536C3"/>
    <w:rsid w:val="150C1963"/>
    <w:rsid w:val="151447A0"/>
    <w:rsid w:val="154A6454"/>
    <w:rsid w:val="156E4D9E"/>
    <w:rsid w:val="15762120"/>
    <w:rsid w:val="1646419B"/>
    <w:rsid w:val="16A8729C"/>
    <w:rsid w:val="16B33777"/>
    <w:rsid w:val="16BC70A7"/>
    <w:rsid w:val="16C6339E"/>
    <w:rsid w:val="172F2D79"/>
    <w:rsid w:val="17557BEF"/>
    <w:rsid w:val="177A5491"/>
    <w:rsid w:val="17AF2468"/>
    <w:rsid w:val="17D349C1"/>
    <w:rsid w:val="1830729E"/>
    <w:rsid w:val="1870062C"/>
    <w:rsid w:val="18817102"/>
    <w:rsid w:val="18830A15"/>
    <w:rsid w:val="18852B28"/>
    <w:rsid w:val="188B5321"/>
    <w:rsid w:val="18FD10E5"/>
    <w:rsid w:val="19932372"/>
    <w:rsid w:val="19A20DD5"/>
    <w:rsid w:val="19AE03F1"/>
    <w:rsid w:val="19D55670"/>
    <w:rsid w:val="1A071A03"/>
    <w:rsid w:val="1A1F16AE"/>
    <w:rsid w:val="1A3B5C77"/>
    <w:rsid w:val="1A635396"/>
    <w:rsid w:val="1A643C5B"/>
    <w:rsid w:val="1A984BAD"/>
    <w:rsid w:val="1AB8220E"/>
    <w:rsid w:val="1AE4166C"/>
    <w:rsid w:val="1AF06CFB"/>
    <w:rsid w:val="1AF11B8D"/>
    <w:rsid w:val="1B11359C"/>
    <w:rsid w:val="1B2A271F"/>
    <w:rsid w:val="1B530544"/>
    <w:rsid w:val="1B713184"/>
    <w:rsid w:val="1B83082F"/>
    <w:rsid w:val="1BA209CF"/>
    <w:rsid w:val="1BB4777D"/>
    <w:rsid w:val="1BD75AB8"/>
    <w:rsid w:val="1BE475CF"/>
    <w:rsid w:val="1C0459C2"/>
    <w:rsid w:val="1C1B3B4A"/>
    <w:rsid w:val="1C88086E"/>
    <w:rsid w:val="1D266CE1"/>
    <w:rsid w:val="1D3963AF"/>
    <w:rsid w:val="1D55566A"/>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295BFA"/>
    <w:rsid w:val="216133FC"/>
    <w:rsid w:val="21D56769"/>
    <w:rsid w:val="21E52EF3"/>
    <w:rsid w:val="21FB5D7B"/>
    <w:rsid w:val="22015E94"/>
    <w:rsid w:val="220B1C3D"/>
    <w:rsid w:val="221D1D20"/>
    <w:rsid w:val="22334A87"/>
    <w:rsid w:val="22BE6801"/>
    <w:rsid w:val="233500BF"/>
    <w:rsid w:val="23377FF7"/>
    <w:rsid w:val="233C68DC"/>
    <w:rsid w:val="236B425F"/>
    <w:rsid w:val="23836192"/>
    <w:rsid w:val="23901F29"/>
    <w:rsid w:val="239C0061"/>
    <w:rsid w:val="23B908A4"/>
    <w:rsid w:val="23E95BEF"/>
    <w:rsid w:val="23FD0064"/>
    <w:rsid w:val="24476BBD"/>
    <w:rsid w:val="245375B0"/>
    <w:rsid w:val="24642C0A"/>
    <w:rsid w:val="24B22173"/>
    <w:rsid w:val="24B95AD9"/>
    <w:rsid w:val="24BE24DA"/>
    <w:rsid w:val="24CF5825"/>
    <w:rsid w:val="24D663E6"/>
    <w:rsid w:val="24D77F2B"/>
    <w:rsid w:val="258B00E2"/>
    <w:rsid w:val="25A917A6"/>
    <w:rsid w:val="25BE27CC"/>
    <w:rsid w:val="25CC175F"/>
    <w:rsid w:val="25F74A5C"/>
    <w:rsid w:val="2628662C"/>
    <w:rsid w:val="262D45DE"/>
    <w:rsid w:val="26871DC8"/>
    <w:rsid w:val="26873E45"/>
    <w:rsid w:val="26A53EF9"/>
    <w:rsid w:val="26A94201"/>
    <w:rsid w:val="26AC274F"/>
    <w:rsid w:val="27044A29"/>
    <w:rsid w:val="271D34C8"/>
    <w:rsid w:val="276142BF"/>
    <w:rsid w:val="27783712"/>
    <w:rsid w:val="27807BE0"/>
    <w:rsid w:val="27907362"/>
    <w:rsid w:val="28333E1D"/>
    <w:rsid w:val="28454BD6"/>
    <w:rsid w:val="28455253"/>
    <w:rsid w:val="28551971"/>
    <w:rsid w:val="285B1C53"/>
    <w:rsid w:val="289F7086"/>
    <w:rsid w:val="28C32028"/>
    <w:rsid w:val="28CC490F"/>
    <w:rsid w:val="28DE40AA"/>
    <w:rsid w:val="29345E77"/>
    <w:rsid w:val="29363ABF"/>
    <w:rsid w:val="294C65AD"/>
    <w:rsid w:val="29806583"/>
    <w:rsid w:val="298B3C4C"/>
    <w:rsid w:val="29AA23E9"/>
    <w:rsid w:val="29F26D24"/>
    <w:rsid w:val="2A15033F"/>
    <w:rsid w:val="2A1662C1"/>
    <w:rsid w:val="2A1C7367"/>
    <w:rsid w:val="2A2815FA"/>
    <w:rsid w:val="2A6D6092"/>
    <w:rsid w:val="2A7D76B4"/>
    <w:rsid w:val="2B3E18CD"/>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66318E"/>
    <w:rsid w:val="2E9A3C18"/>
    <w:rsid w:val="2EBB0FEE"/>
    <w:rsid w:val="2EC40E47"/>
    <w:rsid w:val="2EC63002"/>
    <w:rsid w:val="2F0A6B38"/>
    <w:rsid w:val="2F946CCB"/>
    <w:rsid w:val="2FD25781"/>
    <w:rsid w:val="2FDC745C"/>
    <w:rsid w:val="2FFD7934"/>
    <w:rsid w:val="30733ACD"/>
    <w:rsid w:val="308C3862"/>
    <w:rsid w:val="309379D8"/>
    <w:rsid w:val="30A270F7"/>
    <w:rsid w:val="30DF1478"/>
    <w:rsid w:val="30EC586F"/>
    <w:rsid w:val="3157337F"/>
    <w:rsid w:val="319C6071"/>
    <w:rsid w:val="31AC537E"/>
    <w:rsid w:val="31B859A2"/>
    <w:rsid w:val="31E3679B"/>
    <w:rsid w:val="31E732FD"/>
    <w:rsid w:val="324B0876"/>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28C4"/>
    <w:rsid w:val="358D5588"/>
    <w:rsid w:val="363A3B40"/>
    <w:rsid w:val="365302AE"/>
    <w:rsid w:val="36607A0A"/>
    <w:rsid w:val="366E227C"/>
    <w:rsid w:val="366F2E0D"/>
    <w:rsid w:val="367B6A5C"/>
    <w:rsid w:val="369E361B"/>
    <w:rsid w:val="36A74ADA"/>
    <w:rsid w:val="36AD60D5"/>
    <w:rsid w:val="36B224F9"/>
    <w:rsid w:val="36EC0CC9"/>
    <w:rsid w:val="37377380"/>
    <w:rsid w:val="373F410B"/>
    <w:rsid w:val="37EE7094"/>
    <w:rsid w:val="38296C89"/>
    <w:rsid w:val="383002EB"/>
    <w:rsid w:val="38586797"/>
    <w:rsid w:val="38600932"/>
    <w:rsid w:val="38BC0149"/>
    <w:rsid w:val="38D87D1C"/>
    <w:rsid w:val="39636459"/>
    <w:rsid w:val="396B7F6C"/>
    <w:rsid w:val="39B417A9"/>
    <w:rsid w:val="39FC5695"/>
    <w:rsid w:val="3A006D8E"/>
    <w:rsid w:val="3A3651E5"/>
    <w:rsid w:val="3A744481"/>
    <w:rsid w:val="3A7641F6"/>
    <w:rsid w:val="3A772A1D"/>
    <w:rsid w:val="3A8C7BEF"/>
    <w:rsid w:val="3A906246"/>
    <w:rsid w:val="3B2349B7"/>
    <w:rsid w:val="3B616CFF"/>
    <w:rsid w:val="3B6259F6"/>
    <w:rsid w:val="3B976654"/>
    <w:rsid w:val="3BC01EFC"/>
    <w:rsid w:val="3BCA786A"/>
    <w:rsid w:val="3BD31E2F"/>
    <w:rsid w:val="3BF15831"/>
    <w:rsid w:val="3C105946"/>
    <w:rsid w:val="3C3D3B62"/>
    <w:rsid w:val="3C471448"/>
    <w:rsid w:val="3C5F759A"/>
    <w:rsid w:val="3C6C525A"/>
    <w:rsid w:val="3CCE23CB"/>
    <w:rsid w:val="3CD17D17"/>
    <w:rsid w:val="3D33541E"/>
    <w:rsid w:val="3D3C7F39"/>
    <w:rsid w:val="3D440F09"/>
    <w:rsid w:val="3D4504A0"/>
    <w:rsid w:val="3D8734BB"/>
    <w:rsid w:val="3D9918A0"/>
    <w:rsid w:val="3D9A11D4"/>
    <w:rsid w:val="3DA16D89"/>
    <w:rsid w:val="3DA364BE"/>
    <w:rsid w:val="3DE041CB"/>
    <w:rsid w:val="3E002631"/>
    <w:rsid w:val="3E0D48F6"/>
    <w:rsid w:val="3E1868B4"/>
    <w:rsid w:val="3E377251"/>
    <w:rsid w:val="3E42664B"/>
    <w:rsid w:val="3E546750"/>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956BF"/>
    <w:rsid w:val="4019356B"/>
    <w:rsid w:val="40592157"/>
    <w:rsid w:val="406E1CAE"/>
    <w:rsid w:val="40A0133A"/>
    <w:rsid w:val="40C31A53"/>
    <w:rsid w:val="40FE2FE8"/>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9A302D"/>
    <w:rsid w:val="43A3342B"/>
    <w:rsid w:val="43C77C27"/>
    <w:rsid w:val="43DE09EE"/>
    <w:rsid w:val="43F565F9"/>
    <w:rsid w:val="44002FAD"/>
    <w:rsid w:val="446134BD"/>
    <w:rsid w:val="449101DD"/>
    <w:rsid w:val="4491320F"/>
    <w:rsid w:val="44DE1391"/>
    <w:rsid w:val="451B225C"/>
    <w:rsid w:val="452410C9"/>
    <w:rsid w:val="45317DFB"/>
    <w:rsid w:val="454105AC"/>
    <w:rsid w:val="456D3CE4"/>
    <w:rsid w:val="4579042C"/>
    <w:rsid w:val="457F0571"/>
    <w:rsid w:val="45851176"/>
    <w:rsid w:val="45C63B94"/>
    <w:rsid w:val="460E7DA5"/>
    <w:rsid w:val="46422483"/>
    <w:rsid w:val="4659254A"/>
    <w:rsid w:val="465B0637"/>
    <w:rsid w:val="465E3F0D"/>
    <w:rsid w:val="466A16E6"/>
    <w:rsid w:val="46893F2B"/>
    <w:rsid w:val="46C4686E"/>
    <w:rsid w:val="475C24EB"/>
    <w:rsid w:val="477B778F"/>
    <w:rsid w:val="477F7169"/>
    <w:rsid w:val="478203EC"/>
    <w:rsid w:val="47B025FA"/>
    <w:rsid w:val="4809698F"/>
    <w:rsid w:val="4811697D"/>
    <w:rsid w:val="4839608B"/>
    <w:rsid w:val="487A3E25"/>
    <w:rsid w:val="488B5503"/>
    <w:rsid w:val="48937E21"/>
    <w:rsid w:val="489A0361"/>
    <w:rsid w:val="48B94FF3"/>
    <w:rsid w:val="48E37AAB"/>
    <w:rsid w:val="48FD4B4C"/>
    <w:rsid w:val="490A68E0"/>
    <w:rsid w:val="491055FE"/>
    <w:rsid w:val="492520E1"/>
    <w:rsid w:val="495F5B3E"/>
    <w:rsid w:val="496F77D7"/>
    <w:rsid w:val="497033E0"/>
    <w:rsid w:val="497654FD"/>
    <w:rsid w:val="499C12C5"/>
    <w:rsid w:val="49B64211"/>
    <w:rsid w:val="49F6167F"/>
    <w:rsid w:val="4A064FA0"/>
    <w:rsid w:val="4A16615C"/>
    <w:rsid w:val="4A4424D7"/>
    <w:rsid w:val="4AB82D0F"/>
    <w:rsid w:val="4AEB7664"/>
    <w:rsid w:val="4AFD7C19"/>
    <w:rsid w:val="4B0567D1"/>
    <w:rsid w:val="4B236AAE"/>
    <w:rsid w:val="4B707271"/>
    <w:rsid w:val="4B9739F7"/>
    <w:rsid w:val="4BBE6C52"/>
    <w:rsid w:val="4BEE2503"/>
    <w:rsid w:val="4C245A30"/>
    <w:rsid w:val="4C892707"/>
    <w:rsid w:val="4CB6685F"/>
    <w:rsid w:val="4CC367FE"/>
    <w:rsid w:val="4CF64C10"/>
    <w:rsid w:val="4D077F3C"/>
    <w:rsid w:val="4D123355"/>
    <w:rsid w:val="4D2A3B31"/>
    <w:rsid w:val="4D312C52"/>
    <w:rsid w:val="4D905305"/>
    <w:rsid w:val="4D964A72"/>
    <w:rsid w:val="4D9C1254"/>
    <w:rsid w:val="4D9C6E2F"/>
    <w:rsid w:val="4DF80AFB"/>
    <w:rsid w:val="4E1103A0"/>
    <w:rsid w:val="4E693057"/>
    <w:rsid w:val="4E793892"/>
    <w:rsid w:val="4E800872"/>
    <w:rsid w:val="4EC569ED"/>
    <w:rsid w:val="4ED50EA1"/>
    <w:rsid w:val="4EEC050C"/>
    <w:rsid w:val="4F104EC3"/>
    <w:rsid w:val="4F47354A"/>
    <w:rsid w:val="4F911C54"/>
    <w:rsid w:val="4FE625E0"/>
    <w:rsid w:val="5021480F"/>
    <w:rsid w:val="50864307"/>
    <w:rsid w:val="50962ECB"/>
    <w:rsid w:val="50A34FD8"/>
    <w:rsid w:val="50A42E38"/>
    <w:rsid w:val="50A4577F"/>
    <w:rsid w:val="50AC6291"/>
    <w:rsid w:val="50B73D1F"/>
    <w:rsid w:val="50BD5BC9"/>
    <w:rsid w:val="50C11EEE"/>
    <w:rsid w:val="50E97CFC"/>
    <w:rsid w:val="50FA4028"/>
    <w:rsid w:val="510D65B7"/>
    <w:rsid w:val="511157AB"/>
    <w:rsid w:val="5142540C"/>
    <w:rsid w:val="518832C8"/>
    <w:rsid w:val="519D3C50"/>
    <w:rsid w:val="51A0432A"/>
    <w:rsid w:val="51A86090"/>
    <w:rsid w:val="51B7396D"/>
    <w:rsid w:val="52114133"/>
    <w:rsid w:val="522E38F2"/>
    <w:rsid w:val="522E4CC3"/>
    <w:rsid w:val="5244713B"/>
    <w:rsid w:val="52615633"/>
    <w:rsid w:val="526F4DE4"/>
    <w:rsid w:val="52977FD4"/>
    <w:rsid w:val="52A25790"/>
    <w:rsid w:val="52A96B6F"/>
    <w:rsid w:val="52B45975"/>
    <w:rsid w:val="52D94AA4"/>
    <w:rsid w:val="52EA3A62"/>
    <w:rsid w:val="52F50BB8"/>
    <w:rsid w:val="53097272"/>
    <w:rsid w:val="532716FD"/>
    <w:rsid w:val="53544462"/>
    <w:rsid w:val="5397158E"/>
    <w:rsid w:val="54013861"/>
    <w:rsid w:val="54221594"/>
    <w:rsid w:val="54487265"/>
    <w:rsid w:val="544D6070"/>
    <w:rsid w:val="54605E1E"/>
    <w:rsid w:val="54B3506A"/>
    <w:rsid w:val="54CA0D16"/>
    <w:rsid w:val="54DD4057"/>
    <w:rsid w:val="54E4643E"/>
    <w:rsid w:val="54E7490F"/>
    <w:rsid w:val="550764A4"/>
    <w:rsid w:val="550B2BF6"/>
    <w:rsid w:val="55214EB5"/>
    <w:rsid w:val="552A2BBF"/>
    <w:rsid w:val="55364EFD"/>
    <w:rsid w:val="555D4828"/>
    <w:rsid w:val="557A4162"/>
    <w:rsid w:val="557A4C8B"/>
    <w:rsid w:val="558931E1"/>
    <w:rsid w:val="55923347"/>
    <w:rsid w:val="55925180"/>
    <w:rsid w:val="55983B1B"/>
    <w:rsid w:val="55A8376B"/>
    <w:rsid w:val="55DC29B6"/>
    <w:rsid w:val="55DD4241"/>
    <w:rsid w:val="55E32217"/>
    <w:rsid w:val="566B6D1E"/>
    <w:rsid w:val="56A7044E"/>
    <w:rsid w:val="57032A2C"/>
    <w:rsid w:val="570452C9"/>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C603B4"/>
    <w:rsid w:val="58E363A9"/>
    <w:rsid w:val="595E1678"/>
    <w:rsid w:val="596D5BD4"/>
    <w:rsid w:val="597E3DD8"/>
    <w:rsid w:val="59F80043"/>
    <w:rsid w:val="59FBB0F5"/>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235B2D"/>
    <w:rsid w:val="5D397964"/>
    <w:rsid w:val="5D5A391C"/>
    <w:rsid w:val="5D5F10C0"/>
    <w:rsid w:val="5D891B7B"/>
    <w:rsid w:val="5DA02C88"/>
    <w:rsid w:val="5DAD38EE"/>
    <w:rsid w:val="5E006862"/>
    <w:rsid w:val="5E0207B9"/>
    <w:rsid w:val="5E1834A1"/>
    <w:rsid w:val="5E261785"/>
    <w:rsid w:val="5E325597"/>
    <w:rsid w:val="5E4A7017"/>
    <w:rsid w:val="5E552BBA"/>
    <w:rsid w:val="5E611C10"/>
    <w:rsid w:val="5E7A0F3F"/>
    <w:rsid w:val="5EFC7377"/>
    <w:rsid w:val="5F06174D"/>
    <w:rsid w:val="5F3A3602"/>
    <w:rsid w:val="5F45733B"/>
    <w:rsid w:val="5F6277C6"/>
    <w:rsid w:val="5F6D0B1D"/>
    <w:rsid w:val="5F85612A"/>
    <w:rsid w:val="5F8D0B82"/>
    <w:rsid w:val="5FCC5339"/>
    <w:rsid w:val="5FE34A5B"/>
    <w:rsid w:val="5FFE1E36"/>
    <w:rsid w:val="60232584"/>
    <w:rsid w:val="607330CE"/>
    <w:rsid w:val="60825176"/>
    <w:rsid w:val="609F2AC4"/>
    <w:rsid w:val="60FA2EE8"/>
    <w:rsid w:val="61054A27"/>
    <w:rsid w:val="610A52BC"/>
    <w:rsid w:val="611D2366"/>
    <w:rsid w:val="61421856"/>
    <w:rsid w:val="615227C4"/>
    <w:rsid w:val="61524EF4"/>
    <w:rsid w:val="61654E3F"/>
    <w:rsid w:val="6182292A"/>
    <w:rsid w:val="619F7F92"/>
    <w:rsid w:val="61F94C26"/>
    <w:rsid w:val="62000E56"/>
    <w:rsid w:val="624F3E49"/>
    <w:rsid w:val="62632286"/>
    <w:rsid w:val="62885958"/>
    <w:rsid w:val="62A446BF"/>
    <w:rsid w:val="62F40B65"/>
    <w:rsid w:val="62FC2CFE"/>
    <w:rsid w:val="63024505"/>
    <w:rsid w:val="635600A5"/>
    <w:rsid w:val="635B1DB5"/>
    <w:rsid w:val="63711FED"/>
    <w:rsid w:val="63880DDC"/>
    <w:rsid w:val="638D750D"/>
    <w:rsid w:val="63AC6CC0"/>
    <w:rsid w:val="63CD32CA"/>
    <w:rsid w:val="64055776"/>
    <w:rsid w:val="64240056"/>
    <w:rsid w:val="643271E9"/>
    <w:rsid w:val="643E143A"/>
    <w:rsid w:val="64491666"/>
    <w:rsid w:val="648B6EEF"/>
    <w:rsid w:val="64C158BF"/>
    <w:rsid w:val="64CE2EAA"/>
    <w:rsid w:val="653C3090"/>
    <w:rsid w:val="65854376"/>
    <w:rsid w:val="658767BE"/>
    <w:rsid w:val="65892531"/>
    <w:rsid w:val="65C45983"/>
    <w:rsid w:val="65F1774C"/>
    <w:rsid w:val="66195831"/>
    <w:rsid w:val="662966F6"/>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33A1A"/>
    <w:rsid w:val="67FA1285"/>
    <w:rsid w:val="68551F4F"/>
    <w:rsid w:val="687C10C9"/>
    <w:rsid w:val="68840C16"/>
    <w:rsid w:val="68876EFB"/>
    <w:rsid w:val="68884654"/>
    <w:rsid w:val="689F444F"/>
    <w:rsid w:val="68B96DBB"/>
    <w:rsid w:val="68CA2805"/>
    <w:rsid w:val="68E53982"/>
    <w:rsid w:val="68E937A3"/>
    <w:rsid w:val="693E15D3"/>
    <w:rsid w:val="69627681"/>
    <w:rsid w:val="6977531D"/>
    <w:rsid w:val="69CC2BFF"/>
    <w:rsid w:val="69FD55B8"/>
    <w:rsid w:val="6A0B1C62"/>
    <w:rsid w:val="6A2406C8"/>
    <w:rsid w:val="6ADE0BD1"/>
    <w:rsid w:val="6AE96859"/>
    <w:rsid w:val="6B064398"/>
    <w:rsid w:val="6B147746"/>
    <w:rsid w:val="6B24787C"/>
    <w:rsid w:val="6B573233"/>
    <w:rsid w:val="6B5B6274"/>
    <w:rsid w:val="6B935D53"/>
    <w:rsid w:val="6B981292"/>
    <w:rsid w:val="6C196F71"/>
    <w:rsid w:val="6C226FCB"/>
    <w:rsid w:val="6C31226F"/>
    <w:rsid w:val="6C552F0B"/>
    <w:rsid w:val="6C8C67B7"/>
    <w:rsid w:val="6C9D744C"/>
    <w:rsid w:val="6D083A72"/>
    <w:rsid w:val="6D167928"/>
    <w:rsid w:val="6D26299B"/>
    <w:rsid w:val="6D322664"/>
    <w:rsid w:val="6D4772EC"/>
    <w:rsid w:val="6D5F48BA"/>
    <w:rsid w:val="6D9078AF"/>
    <w:rsid w:val="6D9A0E0B"/>
    <w:rsid w:val="6DAA3FEF"/>
    <w:rsid w:val="6DBE0F5A"/>
    <w:rsid w:val="6DC0172B"/>
    <w:rsid w:val="6DCB690C"/>
    <w:rsid w:val="6DD41A5B"/>
    <w:rsid w:val="6DF43C2E"/>
    <w:rsid w:val="6DF51CA3"/>
    <w:rsid w:val="6E1A6650"/>
    <w:rsid w:val="6E8335BD"/>
    <w:rsid w:val="6E8E12EF"/>
    <w:rsid w:val="6E972936"/>
    <w:rsid w:val="6ED446C5"/>
    <w:rsid w:val="6F2A7D94"/>
    <w:rsid w:val="6F8331F1"/>
    <w:rsid w:val="6FAA5C3A"/>
    <w:rsid w:val="6FAE1A09"/>
    <w:rsid w:val="6FD75BF8"/>
    <w:rsid w:val="6FFF1196"/>
    <w:rsid w:val="707723D0"/>
    <w:rsid w:val="70F5661B"/>
    <w:rsid w:val="71360107"/>
    <w:rsid w:val="713B688E"/>
    <w:rsid w:val="71D43752"/>
    <w:rsid w:val="71F1796A"/>
    <w:rsid w:val="72154626"/>
    <w:rsid w:val="72262B5D"/>
    <w:rsid w:val="72283FF7"/>
    <w:rsid w:val="722E7212"/>
    <w:rsid w:val="723A0474"/>
    <w:rsid w:val="725923E4"/>
    <w:rsid w:val="72864BF7"/>
    <w:rsid w:val="729023FC"/>
    <w:rsid w:val="72A262A2"/>
    <w:rsid w:val="73C0646E"/>
    <w:rsid w:val="742222F5"/>
    <w:rsid w:val="74476126"/>
    <w:rsid w:val="74706664"/>
    <w:rsid w:val="747F3682"/>
    <w:rsid w:val="749C4185"/>
    <w:rsid w:val="75067759"/>
    <w:rsid w:val="752E6DCD"/>
    <w:rsid w:val="7551380D"/>
    <w:rsid w:val="75600BE5"/>
    <w:rsid w:val="7564475C"/>
    <w:rsid w:val="7583797F"/>
    <w:rsid w:val="758B5587"/>
    <w:rsid w:val="75D20F1D"/>
    <w:rsid w:val="75DA2C18"/>
    <w:rsid w:val="75F54412"/>
    <w:rsid w:val="761D08E0"/>
    <w:rsid w:val="765972B7"/>
    <w:rsid w:val="765D347C"/>
    <w:rsid w:val="76826699"/>
    <w:rsid w:val="76C87133"/>
    <w:rsid w:val="76CD08D5"/>
    <w:rsid w:val="76DB4B92"/>
    <w:rsid w:val="76F73D90"/>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BD70A9"/>
    <w:rsid w:val="79E27E8B"/>
    <w:rsid w:val="79F850CE"/>
    <w:rsid w:val="79FD443C"/>
    <w:rsid w:val="7A1D1975"/>
    <w:rsid w:val="7A2B7F7C"/>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B244A3"/>
    <w:rsid w:val="7CE27788"/>
    <w:rsid w:val="7D0C32F1"/>
    <w:rsid w:val="7D0F408D"/>
    <w:rsid w:val="7D491C6C"/>
    <w:rsid w:val="7D5429C0"/>
    <w:rsid w:val="7D6E6D43"/>
    <w:rsid w:val="7DB57A34"/>
    <w:rsid w:val="7DE60973"/>
    <w:rsid w:val="7DEF0916"/>
    <w:rsid w:val="7E0929FF"/>
    <w:rsid w:val="7E1E5218"/>
    <w:rsid w:val="7E3231B3"/>
    <w:rsid w:val="7E9A4E1F"/>
    <w:rsid w:val="7EA7723A"/>
    <w:rsid w:val="7EF56FBB"/>
    <w:rsid w:val="7F0768EB"/>
    <w:rsid w:val="7F143BEC"/>
    <w:rsid w:val="7F29292E"/>
    <w:rsid w:val="7F715AF2"/>
    <w:rsid w:val="7F886E69"/>
    <w:rsid w:val="7F8D2652"/>
    <w:rsid w:val="BB7FA927"/>
    <w:rsid w:val="ED3ADBA2"/>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99"/>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99"/>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0"/>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7140</Words>
  <Characters>40699</Characters>
  <Lines>339</Lines>
  <Paragraphs>95</Paragraphs>
  <TotalTime>233</TotalTime>
  <ScaleCrop>false</ScaleCrop>
  <LinksUpToDate>false</LinksUpToDate>
  <CharactersWithSpaces>47744</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hp</cp:lastModifiedBy>
  <cp:lastPrinted>2021-12-27T19:06:00Z</cp:lastPrinted>
  <dcterms:modified xsi:type="dcterms:W3CDTF">2024-08-12T08:49:22Z</dcterms:modified>
  <dc:title>杭州市市民卡扩大发卡工程</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