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p>
    <w:p>
      <w:pPr>
        <w:adjustRightInd/>
        <w:spacing w:line="360" w:lineRule="auto"/>
        <w:jc w:val="center"/>
        <w:rPr>
          <w:rFonts w:ascii="宋体" w:hAnsi="宋体" w:cs="宋体"/>
          <w:b/>
          <w:sz w:val="44"/>
          <w:szCs w:val="44"/>
          <w:highlight w:val="none"/>
        </w:rPr>
      </w:pPr>
    </w:p>
    <w:p>
      <w:pPr>
        <w:spacing w:line="360" w:lineRule="auto"/>
        <w:jc w:val="center"/>
        <w:rPr>
          <w:rFonts w:ascii="宋体" w:hAnsi="宋体" w:cs="宋体"/>
          <w:b/>
          <w:sz w:val="44"/>
          <w:szCs w:val="44"/>
          <w:highlight w:val="none"/>
        </w:rPr>
      </w:pPr>
    </w:p>
    <w:p>
      <w:pPr>
        <w:adjustRightInd/>
        <w:spacing w:line="360" w:lineRule="auto"/>
        <w:jc w:val="center"/>
        <w:rPr>
          <w:rFonts w:ascii="宋体" w:hAnsi="宋体" w:cs="宋体"/>
          <w:b/>
          <w:sz w:val="48"/>
          <w:szCs w:val="48"/>
          <w:highlight w:val="none"/>
        </w:rPr>
      </w:pPr>
    </w:p>
    <w:p>
      <w:pPr>
        <w:adjustRightInd/>
        <w:spacing w:line="360" w:lineRule="auto"/>
        <w:jc w:val="center"/>
        <w:rPr>
          <w:rFonts w:ascii="宋体" w:hAnsi="宋体" w:cs="宋体"/>
          <w:sz w:val="48"/>
          <w:szCs w:val="48"/>
          <w:highlight w:val="none"/>
        </w:rPr>
      </w:pPr>
    </w:p>
    <w:p>
      <w:pPr>
        <w:adjustRightInd/>
        <w:spacing w:line="360" w:lineRule="auto"/>
        <w:jc w:val="center"/>
        <w:rPr>
          <w:rFonts w:hint="eastAsia" w:ascii="宋体" w:hAnsi="宋体" w:cs="宋体"/>
          <w:sz w:val="48"/>
          <w:szCs w:val="48"/>
          <w:highlight w:val="none"/>
        </w:rPr>
      </w:pPr>
      <w:r>
        <w:rPr>
          <w:rFonts w:hint="eastAsia" w:ascii="宋体" w:hAnsi="宋体" w:cs="宋体"/>
          <w:sz w:val="48"/>
          <w:szCs w:val="48"/>
          <w:highlight w:val="none"/>
        </w:rPr>
        <w:t>杭州市拱墅区小河街道余杭塘路未来社区家具采购项目</w:t>
      </w:r>
    </w:p>
    <w:p>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 xml:space="preserve">招标文件 </w:t>
      </w:r>
    </w:p>
    <w:p>
      <w:pPr>
        <w:adjustRightInd/>
        <w:spacing w:line="360" w:lineRule="auto"/>
        <w:jc w:val="center"/>
        <w:rPr>
          <w:rFonts w:ascii="宋体" w:hAnsi="宋体" w:cs="宋体"/>
          <w:b/>
          <w:sz w:val="44"/>
          <w:szCs w:val="44"/>
          <w:highlight w:val="none"/>
        </w:rPr>
      </w:pPr>
      <w:r>
        <w:rPr>
          <w:rFonts w:hint="eastAsia" w:ascii="宋体" w:hAnsi="宋体" w:cs="宋体"/>
          <w:b/>
          <w:sz w:val="44"/>
          <w:szCs w:val="44"/>
          <w:highlight w:val="none"/>
        </w:rPr>
        <w:t xml:space="preserve"> （电子招投标）</w:t>
      </w:r>
    </w:p>
    <w:p>
      <w:pPr>
        <w:snapToGrid w:val="0"/>
        <w:spacing w:line="360" w:lineRule="auto"/>
        <w:jc w:val="center"/>
        <w:rPr>
          <w:rFonts w:ascii="宋体" w:hAnsi="宋体" w:cs="宋体"/>
          <w:sz w:val="30"/>
          <w:szCs w:val="30"/>
          <w:highlight w:val="none"/>
        </w:rPr>
      </w:pPr>
      <w:r>
        <w:rPr>
          <w:rFonts w:hint="eastAsia" w:ascii="宋体" w:hAnsi="宋体" w:cs="宋体"/>
          <w:sz w:val="30"/>
          <w:szCs w:val="30"/>
          <w:highlight w:val="none"/>
        </w:rPr>
        <w:t>编号:</w:t>
      </w:r>
      <w:r>
        <w:rPr>
          <w:rFonts w:hint="eastAsia" w:ascii="仿宋_GB2312" w:eastAsia="仿宋_GB2312" w:cs="仿宋_GB2312"/>
          <w:sz w:val="30"/>
          <w:szCs w:val="30"/>
          <w:highlight w:val="none"/>
        </w:rPr>
        <w:t>GSZFCG-2024-061</w:t>
      </w:r>
    </w:p>
    <w:p>
      <w:pPr>
        <w:adjustRightInd/>
        <w:spacing w:line="360" w:lineRule="auto"/>
        <w:rPr>
          <w:rFonts w:ascii="宋体" w:hAnsi="宋体" w:cs="宋体"/>
          <w:sz w:val="28"/>
          <w:szCs w:val="20"/>
          <w:highlight w:val="none"/>
        </w:rPr>
      </w:pPr>
    </w:p>
    <w:p>
      <w:pPr>
        <w:spacing w:line="360" w:lineRule="auto"/>
        <w:jc w:val="center"/>
        <w:rPr>
          <w:rFonts w:ascii="宋体" w:hAnsi="宋体" w:cs="宋体"/>
          <w:b/>
          <w:sz w:val="44"/>
          <w:szCs w:val="44"/>
          <w:highlight w:val="none"/>
        </w:rPr>
      </w:pPr>
    </w:p>
    <w:p>
      <w:pPr>
        <w:spacing w:line="360" w:lineRule="auto"/>
        <w:jc w:val="center"/>
        <w:rPr>
          <w:rFonts w:ascii="宋体" w:hAnsi="宋体" w:cs="宋体"/>
          <w:b/>
          <w:sz w:val="44"/>
          <w:szCs w:val="44"/>
          <w:highlight w:val="none"/>
        </w:rPr>
      </w:pPr>
    </w:p>
    <w:p>
      <w:pPr>
        <w:spacing w:line="360" w:lineRule="auto"/>
        <w:jc w:val="center"/>
        <w:rPr>
          <w:rFonts w:ascii="宋体" w:hAnsi="宋体" w:cs="宋体"/>
          <w:sz w:val="24"/>
          <w:highlight w:val="none"/>
        </w:rPr>
      </w:pPr>
    </w:p>
    <w:p>
      <w:pPr>
        <w:spacing w:line="360" w:lineRule="auto"/>
        <w:jc w:val="center"/>
        <w:rPr>
          <w:rFonts w:ascii="宋体" w:hAnsi="宋体" w:cs="宋体"/>
          <w:sz w:val="24"/>
          <w:highlight w:val="none"/>
        </w:rPr>
      </w:pPr>
    </w:p>
    <w:p>
      <w:pPr>
        <w:spacing w:line="360" w:lineRule="auto"/>
        <w:rPr>
          <w:rFonts w:ascii="宋体" w:hAnsi="宋体" w:cs="宋体"/>
          <w:sz w:val="32"/>
          <w:szCs w:val="32"/>
          <w:highlight w:val="none"/>
        </w:rPr>
      </w:pPr>
    </w:p>
    <w:p>
      <w:pPr>
        <w:spacing w:line="360" w:lineRule="auto"/>
        <w:jc w:val="center"/>
        <w:rPr>
          <w:rFonts w:hint="eastAsia" w:ascii="宋体" w:hAnsi="宋体" w:cs="宋体"/>
          <w:bCs/>
          <w:sz w:val="32"/>
          <w:szCs w:val="32"/>
          <w:highlight w:val="none"/>
        </w:rPr>
      </w:pPr>
      <w:r>
        <w:rPr>
          <w:rFonts w:hint="eastAsia" w:ascii="宋体" w:hAnsi="宋体" w:cs="宋体"/>
          <w:bCs/>
          <w:sz w:val="32"/>
          <w:szCs w:val="32"/>
          <w:highlight w:val="none"/>
        </w:rPr>
        <w:t>杭州市拱墅区人民政府小河街道办事处</w:t>
      </w:r>
    </w:p>
    <w:p>
      <w:pPr>
        <w:spacing w:line="360" w:lineRule="auto"/>
        <w:jc w:val="center"/>
        <w:rPr>
          <w:rFonts w:ascii="宋体" w:hAnsi="宋体" w:cs="宋体"/>
          <w:bCs/>
          <w:sz w:val="32"/>
          <w:szCs w:val="32"/>
          <w:highlight w:val="none"/>
        </w:rPr>
      </w:pPr>
      <w:r>
        <w:rPr>
          <w:rFonts w:hint="eastAsia" w:ascii="宋体" w:hAnsi="宋体" w:cs="宋体"/>
          <w:bCs/>
          <w:sz w:val="32"/>
          <w:szCs w:val="32"/>
          <w:highlight w:val="none"/>
        </w:rPr>
        <w:t>杭州市公共资源交易中心拱墅分中心</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二〇二四年十一月</w:t>
      </w:r>
      <w:r>
        <w:rPr>
          <w:rFonts w:hint="eastAsia" w:ascii="宋体" w:hAnsi="宋体" w:cs="宋体"/>
          <w:bCs/>
          <w:color w:val="auto"/>
          <w:sz w:val="32"/>
          <w:szCs w:val="32"/>
          <w:highlight w:val="none"/>
          <w:lang w:val="en-US" w:eastAsia="zh-CN"/>
        </w:rPr>
        <w:t>二十九</w:t>
      </w:r>
      <w:r>
        <w:rPr>
          <w:rFonts w:hint="eastAsia" w:ascii="宋体" w:hAnsi="宋体" w:cs="宋体"/>
          <w:bCs/>
          <w:color w:val="auto"/>
          <w:sz w:val="32"/>
          <w:szCs w:val="32"/>
          <w:highlight w:val="none"/>
        </w:rPr>
        <w:t>日</w:t>
      </w:r>
    </w:p>
    <w:p>
      <w:pPr>
        <w:spacing w:line="360" w:lineRule="auto"/>
        <w:jc w:val="center"/>
        <w:rPr>
          <w:rFonts w:ascii="宋体" w:hAnsi="宋体" w:cs="宋体"/>
          <w:sz w:val="24"/>
          <w:highlight w:val="none"/>
        </w:rPr>
      </w:pPr>
      <w:r>
        <w:rPr>
          <w:rFonts w:hint="eastAsia" w:ascii="宋体" w:hAnsi="宋体" w:cs="宋体"/>
          <w:sz w:val="24"/>
          <w:highlight w:val="none"/>
        </w:rPr>
        <w:br w:type="page"/>
      </w:r>
      <w:bookmarkStart w:id="0" w:name="_Hlt67893495"/>
      <w:bookmarkEnd w:id="0"/>
    </w:p>
    <w:p>
      <w:pPr>
        <w:spacing w:line="360" w:lineRule="auto"/>
        <w:jc w:val="center"/>
        <w:rPr>
          <w:rFonts w:ascii="宋体" w:hAnsi="宋体" w:cs="宋体"/>
          <w:sz w:val="24"/>
          <w:highlight w:val="none"/>
        </w:rPr>
      </w:pPr>
    </w:p>
    <w:p>
      <w:pPr>
        <w:spacing w:line="360" w:lineRule="auto"/>
        <w:jc w:val="center"/>
        <w:rPr>
          <w:rFonts w:ascii="宋体" w:hAnsi="宋体" w:cs="宋体"/>
          <w:b/>
          <w:sz w:val="48"/>
          <w:szCs w:val="48"/>
          <w:highlight w:val="none"/>
        </w:rPr>
      </w:pPr>
      <w:r>
        <w:rPr>
          <w:rFonts w:hint="eastAsia" w:ascii="宋体" w:hAnsi="宋体" w:cs="宋体"/>
          <w:b/>
          <w:sz w:val="48"/>
          <w:szCs w:val="48"/>
          <w:highlight w:val="none"/>
        </w:rPr>
        <w:t>目  录</w:t>
      </w:r>
    </w:p>
    <w:p>
      <w:pPr>
        <w:spacing w:line="360" w:lineRule="auto"/>
        <w:rPr>
          <w:rFonts w:ascii="宋体" w:hAnsi="宋体" w:cs="宋体"/>
          <w:sz w:val="32"/>
          <w:szCs w:val="32"/>
          <w:highlight w:val="none"/>
        </w:rPr>
      </w:pPr>
    </w:p>
    <w:p>
      <w:pPr>
        <w:spacing w:line="360" w:lineRule="auto"/>
        <w:rPr>
          <w:rFonts w:ascii="宋体" w:hAnsi="宋体" w:cs="宋体"/>
          <w:sz w:val="32"/>
          <w:szCs w:val="32"/>
          <w:highlight w:val="none"/>
        </w:rPr>
      </w:pP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第一部分      招标公告</w:t>
      </w: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第二部分      投标人须知</w:t>
      </w: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第三部分      采购需求</w:t>
      </w: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第四部分      评标办法</w:t>
      </w: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第五部分      拟签订的合同文本</w:t>
      </w:r>
    </w:p>
    <w:p>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第六部分      应提交的有关格式范例</w:t>
      </w:r>
    </w:p>
    <w:p>
      <w:pPr>
        <w:spacing w:line="360" w:lineRule="auto"/>
        <w:ind w:firstLine="549" w:firstLineChars="229"/>
        <w:rPr>
          <w:rFonts w:ascii="宋体" w:hAnsi="宋体" w:cs="宋体"/>
          <w:sz w:val="24"/>
          <w:highlight w:val="none"/>
        </w:rPr>
      </w:pPr>
      <w:bookmarkStart w:id="1" w:name="_Hlt91233176"/>
      <w:bookmarkEnd w:id="1"/>
      <w:bookmarkStart w:id="2" w:name="_Toc91899869"/>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rPr>
          <w:rFonts w:ascii="宋体" w:hAnsi="宋体" w:cs="宋体"/>
          <w:sz w:val="24"/>
          <w:highlight w:val="none"/>
        </w:rPr>
      </w:pPr>
    </w:p>
    <w:p>
      <w:pPr>
        <w:adjustRightInd/>
        <w:spacing w:line="360" w:lineRule="auto"/>
        <w:jc w:val="center"/>
        <w:outlineLvl w:val="0"/>
        <w:rPr>
          <w:rFonts w:ascii="宋体" w:hAnsi="宋体" w:cs="宋体"/>
          <w:b/>
          <w:sz w:val="36"/>
          <w:szCs w:val="20"/>
          <w:highlight w:val="none"/>
        </w:rPr>
      </w:pPr>
      <w:bookmarkStart w:id="3" w:name="第一部分"/>
      <w:r>
        <w:rPr>
          <w:rFonts w:hint="eastAsia" w:ascii="宋体" w:hAnsi="宋体" w:cs="宋体"/>
          <w:b/>
          <w:sz w:val="36"/>
          <w:szCs w:val="36"/>
          <w:highlight w:val="none"/>
        </w:rPr>
        <w:br w:type="page"/>
      </w:r>
      <w:bookmarkEnd w:id="2"/>
      <w:bookmarkEnd w:id="3"/>
      <w:bookmarkStart w:id="4" w:name="_Hlt74729822"/>
      <w:bookmarkEnd w:id="4"/>
      <w:bookmarkStart w:id="5" w:name="_Hlt74649545"/>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cs="仿宋_GB2312" w:asciiTheme="minorEastAsia" w:hAnsiTheme="minorEastAsia" w:eastAsiaTheme="minorEastAsia"/>
          <w:color w:val="0000FF"/>
          <w:sz w:val="24"/>
          <w:highlight w:val="none"/>
          <w:u w:val="single"/>
        </w:rPr>
      </w:pPr>
      <w:r>
        <w:rPr>
          <w:rFonts w:hint="eastAsia" w:asciiTheme="minorEastAsia" w:hAnsiTheme="minorEastAsia" w:eastAsiaTheme="minorEastAsia"/>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highlight w:val="none"/>
          <w:u w:val="single"/>
        </w:rPr>
      </w:pPr>
      <w:r>
        <w:rPr>
          <w:rFonts w:hint="eastAsia" w:ascii="宋体" w:hAnsi="宋体" w:cs="宋体"/>
          <w:color w:val="auto"/>
          <w:sz w:val="24"/>
          <w:highlight w:val="none"/>
          <w:u w:val="single"/>
        </w:rPr>
        <w:t>杭州市拱墅区小河街道余杭塘路未来社区家具采购项目</w:t>
      </w:r>
      <w:r>
        <w:rPr>
          <w:rFonts w:hint="eastAsia" w:asciiTheme="minorEastAsia" w:hAnsiTheme="minorEastAsia" w:eastAsiaTheme="minorEastAsia"/>
          <w:sz w:val="24"/>
          <w:highlight w:val="none"/>
        </w:rPr>
        <w:t>招标项目的潜在投标人应在政采云平台（</w:t>
      </w:r>
      <w:r>
        <w:rPr>
          <w:highlight w:val="none"/>
        </w:rPr>
        <w:fldChar w:fldCharType="begin"/>
      </w:r>
      <w:r>
        <w:rPr>
          <w:highlight w:val="none"/>
        </w:rPr>
        <w:instrText xml:space="preserve"> HYPERLINK "https://www.zcygov.cn/）获取（下载）招标文件，并于2023年%20月%20日%20点%20分00秒" </w:instrText>
      </w:r>
      <w:r>
        <w:rPr>
          <w:highlight w:val="none"/>
        </w:rPr>
        <w:fldChar w:fldCharType="separate"/>
      </w:r>
      <w:r>
        <w:rPr>
          <w:rStyle w:val="76"/>
          <w:rFonts w:cs="Times New Roman" w:asciiTheme="minorEastAsia" w:hAnsiTheme="minorEastAsia" w:eastAsiaTheme="minorEastAsia"/>
          <w:snapToGrid/>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u w:val="single"/>
        </w:rPr>
        <w:t>2024</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12</w:t>
      </w:r>
      <w:r>
        <w:rPr>
          <w:rStyle w:val="76"/>
          <w:rFonts w:hint="eastAsia" w:cs="Times New Roman" w:asciiTheme="minorEastAsia" w:hAnsiTheme="minorEastAsia" w:eastAsiaTheme="minorEastAsia"/>
          <w:snapToGrid/>
          <w:color w:val="auto"/>
          <w:kern w:val="2"/>
          <w:sz w:val="24"/>
          <w:szCs w:val="24"/>
          <w:highlight w:val="none"/>
          <w:u w:val="single"/>
        </w:rPr>
        <w:t xml:space="preserve">月 </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19</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Style w:val="76"/>
          <w:rFonts w:hint="eastAsia" w:cs="Times New Roman" w:asciiTheme="minorEastAsia" w:hAnsiTheme="minorEastAsia" w:eastAsiaTheme="minorEastAsia"/>
          <w:bCs/>
          <w:snapToGrid/>
          <w:color w:val="FF0000"/>
          <w:kern w:val="2"/>
          <w:sz w:val="24"/>
          <w:szCs w:val="24"/>
          <w:highlight w:val="none"/>
          <w:u w:val="single"/>
        </w:rPr>
        <w:fldChar w:fldCharType="end"/>
      </w:r>
      <w:r>
        <w:rPr>
          <w:rFonts w:hint="eastAsia" w:asciiTheme="minorEastAsia" w:hAnsiTheme="minorEastAsia" w:eastAsiaTheme="minorEastAsia"/>
          <w:bCs/>
          <w:sz w:val="24"/>
          <w:highlight w:val="none"/>
        </w:rPr>
        <w:t>（北京时间）前</w:t>
      </w:r>
      <w:r>
        <w:rPr>
          <w:rFonts w:hint="eastAsia" w:asciiTheme="minorEastAsia" w:hAnsiTheme="minorEastAsia" w:eastAsiaTheme="minorEastAsia"/>
          <w:sz w:val="24"/>
          <w:highlight w:val="none"/>
        </w:rPr>
        <w:t>递交（上传）投标文件。</w:t>
      </w:r>
    </w:p>
    <w:p>
      <w:pPr>
        <w:spacing w:line="360" w:lineRule="auto"/>
        <w:outlineLvl w:val="1"/>
        <w:rPr>
          <w:rFonts w:ascii="宋体" w:hAnsi="宋体" w:cs="宋体"/>
          <w:b/>
          <w:sz w:val="24"/>
          <w:highlight w:val="none"/>
        </w:rPr>
      </w:pPr>
      <w:r>
        <w:rPr>
          <w:rFonts w:hint="eastAsia" w:ascii="宋体" w:hAnsi="宋体" w:cs="宋体"/>
          <w:b/>
          <w:sz w:val="24"/>
          <w:highlight w:val="none"/>
        </w:rPr>
        <w:t xml:space="preserve">一、项目基本情况                                            </w:t>
      </w:r>
    </w:p>
    <w:p>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项目编号：</w:t>
      </w:r>
      <w:r>
        <w:rPr>
          <w:rFonts w:hint="eastAsia" w:ascii="宋体" w:hAnsi="宋体" w:cs="宋体"/>
          <w:b/>
          <w:sz w:val="24"/>
          <w:highlight w:val="none"/>
          <w:lang w:val="en-US"/>
        </w:rPr>
        <w:t>GSZFCG-2024-061</w:t>
      </w:r>
    </w:p>
    <w:p>
      <w:pPr>
        <w:spacing w:line="360" w:lineRule="auto"/>
        <w:ind w:firstLine="482" w:firstLineChars="200"/>
        <w:rPr>
          <w:rFonts w:hint="eastAsia" w:ascii="宋体" w:hAnsi="宋体" w:cs="宋体"/>
          <w:b/>
          <w:sz w:val="24"/>
          <w:highlight w:val="none"/>
          <w:lang w:val="en-US"/>
        </w:rPr>
      </w:pPr>
      <w:r>
        <w:rPr>
          <w:rFonts w:hint="eastAsia" w:ascii="宋体" w:hAnsi="宋体" w:cs="宋体"/>
          <w:b/>
          <w:sz w:val="24"/>
          <w:highlight w:val="none"/>
        </w:rPr>
        <w:t>项目名称：</w:t>
      </w:r>
      <w:r>
        <w:rPr>
          <w:rFonts w:hint="eastAsia" w:ascii="宋体" w:hAnsi="宋体" w:cs="宋体"/>
          <w:b/>
          <w:sz w:val="24"/>
          <w:highlight w:val="none"/>
          <w:lang w:val="en-US"/>
        </w:rPr>
        <w:t>杭州市拱墅区小河街道余杭塘路未来社区家具采购项目</w:t>
      </w:r>
    </w:p>
    <w:p>
      <w:pPr>
        <w:spacing w:line="360" w:lineRule="auto"/>
        <w:rPr>
          <w:rFonts w:hint="eastAsia" w:ascii="宋体" w:hAnsi="宋体" w:cs="宋体"/>
          <w:b/>
          <w:sz w:val="24"/>
          <w:highlight w:val="none"/>
        </w:rPr>
      </w:pPr>
      <w:r>
        <w:rPr>
          <w:rFonts w:hint="eastAsia" w:ascii="宋体" w:hAnsi="宋体" w:cs="宋体"/>
          <w:b/>
          <w:sz w:val="24"/>
          <w:highlight w:val="none"/>
        </w:rPr>
        <w:t xml:space="preserve"> </w:t>
      </w:r>
      <w:r>
        <w:rPr>
          <w:rFonts w:hint="eastAsia" w:ascii="宋体" w:hAnsi="宋体" w:cs="宋体"/>
          <w:b/>
          <w:sz w:val="24"/>
          <w:highlight w:val="none"/>
          <w:lang w:val="en-US" w:eastAsia="zh-CN"/>
        </w:rPr>
        <w:t xml:space="preserve">   </w:t>
      </w:r>
      <w:r>
        <w:rPr>
          <w:rFonts w:hint="eastAsia" w:ascii="宋体" w:hAnsi="宋体" w:cs="宋体"/>
          <w:b/>
          <w:sz w:val="24"/>
          <w:highlight w:val="none"/>
        </w:rPr>
        <w:t>预算金额（元）：19</w:t>
      </w:r>
      <w:r>
        <w:rPr>
          <w:rFonts w:hint="eastAsia" w:ascii="宋体" w:hAnsi="宋体" w:cs="宋体"/>
          <w:b/>
          <w:sz w:val="24"/>
          <w:highlight w:val="none"/>
          <w:lang w:val="en-US" w:eastAsia="zh-CN"/>
        </w:rPr>
        <w:t>2.0875</w:t>
      </w:r>
      <w:r>
        <w:rPr>
          <w:rFonts w:hint="eastAsia" w:ascii="宋体" w:hAnsi="宋体" w:cs="宋体"/>
          <w:b/>
          <w:sz w:val="24"/>
          <w:highlight w:val="none"/>
        </w:rPr>
        <w:t>万元。</w:t>
      </w:r>
    </w:p>
    <w:p>
      <w:pPr>
        <w:spacing w:line="360" w:lineRule="auto"/>
        <w:rPr>
          <w:rFonts w:ascii="宋体" w:hAnsi="宋体" w:cs="宋体"/>
          <w:color w:val="0000FF"/>
          <w:sz w:val="24"/>
          <w:highlight w:val="none"/>
        </w:rPr>
      </w:pPr>
      <w:r>
        <w:rPr>
          <w:rFonts w:hint="eastAsia" w:ascii="宋体" w:hAnsi="宋体" w:cs="宋体"/>
          <w:b/>
          <w:sz w:val="24"/>
          <w:highlight w:val="none"/>
        </w:rPr>
        <w:t>最高限价（元）：190万元 。</w:t>
      </w:r>
      <w:r>
        <w:rPr>
          <w:rFonts w:hint="eastAsia" w:ascii="宋体" w:hAnsi="宋体" w:cs="宋体"/>
          <w:b/>
          <w:bCs/>
          <w:sz w:val="24"/>
          <w:highlight w:val="none"/>
        </w:rPr>
        <w:t>最高限价以《拱墅区行政事业单位通用办公家具配置标准》为准。（所有设置最高限价的货物均已在采购清单中进行了标注，未标注的货物不设最高限价）</w:t>
      </w:r>
    </w:p>
    <w:p>
      <w:pPr>
        <w:pStyle w:val="5"/>
        <w:spacing w:line="360" w:lineRule="auto"/>
        <w:ind w:firstLine="480"/>
        <w:rPr>
          <w:rFonts w:hAnsi="宋体" w:cs="宋体"/>
          <w:b w:val="0"/>
          <w:bCs w:val="0"/>
          <w:snapToGrid/>
          <w:color w:val="auto"/>
          <w:kern w:val="2"/>
          <w:sz w:val="24"/>
          <w:szCs w:val="24"/>
          <w:highlight w:val="none"/>
          <w:u w:val="none"/>
        </w:rPr>
      </w:pPr>
      <w:r>
        <w:rPr>
          <w:rFonts w:hint="eastAsia" w:hAnsi="宋体" w:cs="宋体"/>
          <w:b/>
          <w:color w:val="auto"/>
          <w:sz w:val="24"/>
          <w:highlight w:val="none"/>
        </w:rPr>
        <w:t>采购需求：</w:t>
      </w:r>
      <w:r>
        <w:rPr>
          <w:rFonts w:hint="eastAsia" w:hAnsi="宋体" w:cs="宋体"/>
          <w:b w:val="0"/>
          <w:bCs w:val="0"/>
          <w:snapToGrid/>
          <w:color w:val="auto"/>
          <w:kern w:val="2"/>
          <w:sz w:val="24"/>
          <w:szCs w:val="24"/>
          <w:highlight w:val="none"/>
          <w:u w:val="none"/>
        </w:rPr>
        <w:t>本次主要内容为杭州市拱墅区小河街道余杭塘路未来社区采购家具，具体包含所有货物的制造、供货、运输、安装、调试、验收配合、售后服务等全部内容。</w:t>
      </w:r>
      <w:r>
        <w:rPr>
          <w:rFonts w:hint="eastAsia" w:asciiTheme="minorEastAsia" w:hAnsiTheme="minorEastAsia" w:eastAsiaTheme="minorEastAsia"/>
          <w:b w:val="0"/>
          <w:bCs w:val="0"/>
          <w:snapToGrid/>
          <w:color w:val="auto"/>
          <w:kern w:val="2"/>
          <w:sz w:val="24"/>
          <w:szCs w:val="24"/>
          <w:highlight w:val="none"/>
          <w:u w:val="none"/>
        </w:rPr>
        <w:t>具体以招标文件第三部分采购需求为准，供应商可点击本公告下方“浏览采购文件”查看采购需求。</w:t>
      </w:r>
    </w:p>
    <w:p>
      <w:pPr>
        <w:spacing w:line="360" w:lineRule="auto"/>
        <w:ind w:firstLine="480"/>
        <w:rPr>
          <w:rFonts w:ascii="宋体" w:hAnsi="宋体" w:cs="宋体"/>
          <w:b/>
          <w:sz w:val="24"/>
          <w:highlight w:val="none"/>
        </w:rPr>
      </w:pPr>
      <w:r>
        <w:rPr>
          <w:rFonts w:hint="eastAsia" w:ascii="宋体" w:hAnsi="宋体" w:cs="宋体"/>
          <w:b/>
          <w:sz w:val="24"/>
          <w:highlight w:val="none"/>
        </w:rPr>
        <w:t>合同履约期限：</w:t>
      </w:r>
      <w:r>
        <w:rPr>
          <w:rFonts w:hint="default" w:ascii="宋体" w:hAnsi="宋体" w:cs="宋体"/>
          <w:b/>
          <w:sz w:val="24"/>
          <w:highlight w:val="none"/>
        </w:rPr>
        <w:t>合同签订完成日起2个月内完成全部货物的交付验收工作，且符合验收标准。</w:t>
      </w:r>
    </w:p>
    <w:p>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sdtPr>
        <w:sdtEndPr>
          <w:rPr>
            <w:rFonts w:hint="eastAsia"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2"/>
        </w:sdtPr>
        <w:sdtEndPr>
          <w:rPr>
            <w:rFonts w:hint="eastAsia"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outlineLvl w:val="1"/>
        <w:rPr>
          <w:rFonts w:ascii="宋体" w:hAnsi="宋体" w:cs="宋体"/>
          <w:b/>
          <w:sz w:val="24"/>
          <w:highlight w:val="none"/>
        </w:rPr>
      </w:pPr>
      <w:r>
        <w:rPr>
          <w:rFonts w:hint="eastAsia" w:ascii="宋体" w:hAnsi="宋体" w:cs="宋体"/>
          <w:b/>
          <w:sz w:val="24"/>
          <w:highlight w:val="none"/>
        </w:rPr>
        <w:t>二、</w:t>
      </w:r>
      <w:bookmarkStart w:id="11" w:name="_Hlk101132948"/>
      <w:r>
        <w:rPr>
          <w:rFonts w:hint="eastAsia" w:ascii="宋体" w:hAnsi="宋体" w:cs="宋体"/>
          <w:b/>
          <w:sz w:val="24"/>
          <w:highlight w:val="none"/>
        </w:rPr>
        <w:t>申请人的资格要求</w:t>
      </w:r>
      <w:bookmarkEnd w:id="11"/>
      <w:r>
        <w:rPr>
          <w:rFonts w:hint="eastAsia" w:ascii="宋体" w:hAnsi="宋体" w:cs="宋体"/>
          <w:b/>
          <w:sz w:val="24"/>
          <w:highlight w:val="none"/>
        </w:rPr>
        <w:t>：</w:t>
      </w:r>
    </w:p>
    <w:p>
      <w:pPr>
        <w:spacing w:line="360" w:lineRule="auto"/>
        <w:ind w:firstLine="480"/>
        <w:rPr>
          <w:rFonts w:ascii="宋体" w:hAnsi="宋体" w:cs="宋体"/>
          <w:snapToGrid w:val="0"/>
          <w:kern w:val="28"/>
          <w:sz w:val="24"/>
          <w:szCs w:val="20"/>
          <w:highlight w:val="none"/>
        </w:rPr>
      </w:pPr>
      <w:r>
        <w:rPr>
          <w:rFonts w:hint="eastAsia" w:ascii="宋体" w:hAnsi="宋体" w:cs="宋体"/>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highlight w:val="none"/>
        </w:rPr>
      </w:pPr>
      <w:r>
        <w:rPr>
          <w:rFonts w:ascii="宋体" w:hAnsi="宋体" w:cs="宋体"/>
          <w:snapToGrid w:val="0"/>
          <w:kern w:val="28"/>
          <w:sz w:val="24"/>
          <w:szCs w:val="20"/>
          <w:highlight w:val="none"/>
        </w:rPr>
        <w:t>2</w:t>
      </w:r>
      <w:r>
        <w:rPr>
          <w:rFonts w:hint="eastAsia" w:ascii="宋体" w:hAnsi="宋体" w:cs="宋体"/>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highlight w:val="none"/>
        </w:rPr>
      </w:pPr>
      <w:r>
        <w:rPr>
          <w:rFonts w:ascii="宋体" w:hAnsi="宋体" w:cs="宋体"/>
          <w:snapToGrid w:val="0"/>
          <w:kern w:val="28"/>
          <w:sz w:val="24"/>
          <w:szCs w:val="20"/>
          <w:highlight w:val="none"/>
        </w:rPr>
        <w:t>3</w:t>
      </w:r>
      <w:r>
        <w:rPr>
          <w:rFonts w:hint="eastAsia" w:ascii="宋体" w:hAnsi="宋体" w:cs="宋体"/>
          <w:snapToGrid w:val="0"/>
          <w:kern w:val="28"/>
          <w:sz w:val="24"/>
          <w:szCs w:val="20"/>
          <w:highlight w:val="none"/>
        </w:rPr>
        <w:t>.落实政府采购政策需满足的资格要求：</w:t>
      </w:r>
    </w:p>
    <w:p>
      <w:pPr>
        <w:spacing w:line="360" w:lineRule="auto"/>
        <w:ind w:firstLine="480" w:firstLineChars="200"/>
        <w:rPr>
          <w:rFonts w:ascii="宋体" w:hAnsi="宋体" w:cs="宋体"/>
          <w:sz w:val="24"/>
          <w:highlight w:val="none"/>
        </w:rPr>
      </w:pPr>
      <w:sdt>
        <w:sdtPr>
          <w:rPr>
            <w:rFonts w:hint="eastAsia" w:ascii="宋体" w:hAnsi="宋体" w:cs="宋体"/>
            <w:kern w:val="0"/>
            <w:sz w:val="24"/>
            <w:highlight w:val="none"/>
          </w:rPr>
          <w:id w:val="1928616923"/>
        </w:sdtPr>
        <w:sdtEndPr>
          <w:rPr>
            <w:rFonts w:hint="eastAsia" w:ascii="宋体" w:hAnsi="宋体" w:cs="宋体"/>
            <w:kern w:val="0"/>
            <w:sz w:val="24"/>
            <w:highlight w:val="none"/>
          </w:rPr>
        </w:sdtEndPr>
        <w:sdtContent>
          <w:r>
            <w:rPr>
              <w:rFonts w:hint="eastAsia" w:ascii="MS Gothic" w:hAnsi="MS Gothic" w:cs="宋体"/>
              <w:kern w:val="0"/>
              <w:sz w:val="24"/>
              <w:highlight w:val="none"/>
            </w:rPr>
            <w:t>☐</w:t>
          </w:r>
        </w:sdtContent>
      </w:sdt>
      <w:r>
        <w:rPr>
          <w:rFonts w:hint="eastAsia" w:ascii="宋体" w:hAnsi="宋体" w:cs="宋体"/>
          <w:sz w:val="24"/>
          <w:highlight w:val="none"/>
        </w:rPr>
        <w:t>无</w:t>
      </w:r>
      <w:r>
        <w:rPr>
          <w:rFonts w:hint="eastAsia" w:ascii="宋体" w:hAnsi="宋体" w:cs="宋体"/>
          <w:snapToGrid w:val="0"/>
          <w:kern w:val="28"/>
          <w:sz w:val="24"/>
          <w:szCs w:val="20"/>
          <w:highlight w:val="none"/>
        </w:rPr>
        <w:t>（注：不得限制大中型企业与小微企业组成联合体参与投标）</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sdt>
        <w:sdtPr>
          <w:rPr>
            <w:rFonts w:hint="eastAsia" w:ascii="宋体" w:hAnsi="宋体" w:cs="宋体"/>
            <w:kern w:val="0"/>
            <w:sz w:val="24"/>
            <w:highlight w:val="none"/>
          </w:rPr>
          <w:id w:val="4"/>
        </w:sdtPr>
        <w:sdtEndPr>
          <w:rPr>
            <w:rFonts w:hint="eastAsia" w:ascii="宋体" w:hAnsi="宋体" w:cs="宋体"/>
            <w:kern w:val="0"/>
            <w:sz w:val="24"/>
            <w:highlight w:val="none"/>
          </w:rPr>
        </w:sdtEndPr>
        <w:sdtContent>
          <w:r>
            <w:rPr>
              <w:rFonts w:ascii="Wingdings" w:hAnsi="Wingdings" w:eastAsia="MS Gothic" w:cs="宋体"/>
              <w:kern w:val="0"/>
              <w:sz w:val="24"/>
              <w:highlight w:val="none"/>
            </w:rPr>
            <w:t></w:t>
          </w:r>
        </w:sdtContent>
      </w:sdt>
      <w:r>
        <w:rPr>
          <w:rFonts w:hint="eastAsia" w:ascii="宋体" w:hAnsi="宋体" w:cs="宋体"/>
          <w:kern w:val="0"/>
          <w:sz w:val="24"/>
          <w:highlight w:val="none"/>
        </w:rPr>
        <w:t>专</w:t>
      </w:r>
      <w:r>
        <w:rPr>
          <w:rFonts w:hint="eastAsia" w:ascii="宋体" w:hAnsi="宋体" w:cs="宋体"/>
          <w:sz w:val="24"/>
          <w:highlight w:val="none"/>
        </w:rPr>
        <w:t>门面向中小企业</w:t>
      </w:r>
    </w:p>
    <w:p>
      <w:pPr>
        <w:spacing w:line="360" w:lineRule="auto"/>
        <w:ind w:firstLine="897" w:firstLineChars="374"/>
        <w:rPr>
          <w:rFonts w:ascii="宋体" w:hAnsi="宋体" w:cs="宋体"/>
          <w:sz w:val="24"/>
          <w:highlight w:val="none"/>
          <w:u w:val="single"/>
        </w:rPr>
      </w:pPr>
      <w:sdt>
        <w:sdtPr>
          <w:rPr>
            <w:rFonts w:hint="eastAsia" w:ascii="宋体" w:hAnsi="宋体" w:cs="宋体"/>
            <w:kern w:val="0"/>
            <w:sz w:val="24"/>
            <w:highlight w:val="none"/>
          </w:rPr>
          <w:id w:val="5"/>
        </w:sdtPr>
        <w:sdtEndPr>
          <w:rPr>
            <w:rFonts w:hint="eastAsia" w:ascii="宋体" w:hAnsi="宋体" w:cs="宋体"/>
            <w:kern w:val="0"/>
            <w:sz w:val="24"/>
            <w:highlight w:val="none"/>
          </w:rPr>
        </w:sdtEndPr>
        <w:sdtContent>
          <w:r>
            <w:rPr>
              <w:rFonts w:ascii="Wingdings" w:hAnsi="Wingdings" w:eastAsia="MS Gothic" w:cs="宋体"/>
              <w:kern w:val="0"/>
              <w:sz w:val="24"/>
              <w:highlight w:val="none"/>
            </w:rPr>
            <w:t></w:t>
          </w:r>
        </w:sdtContent>
      </w:sdt>
      <w:r>
        <w:rPr>
          <w:rFonts w:hint="eastAsia" w:ascii="宋体" w:hAnsi="宋体" w:cs="宋体"/>
          <w:sz w:val="24"/>
          <w:highlight w:val="none"/>
        </w:rPr>
        <w:t>货物全部由符合政策要求的中小微企业制造，提供中小企业声明函；</w:t>
      </w:r>
    </w:p>
    <w:p>
      <w:pPr>
        <w:spacing w:line="360" w:lineRule="auto"/>
        <w:ind w:firstLine="897" w:firstLineChars="374"/>
        <w:rPr>
          <w:rFonts w:ascii="宋体" w:hAnsi="宋体" w:cs="宋体"/>
          <w:sz w:val="24"/>
          <w:highlight w:val="none"/>
        </w:rPr>
      </w:pPr>
      <w:sdt>
        <w:sdtPr>
          <w:rPr>
            <w:rFonts w:hint="eastAsia" w:ascii="宋体" w:hAnsi="宋体" w:cs="宋体"/>
            <w:kern w:val="0"/>
            <w:sz w:val="24"/>
            <w:highlight w:val="none"/>
          </w:rPr>
          <w:id w:val="6"/>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货物全部由符合政策要求的小微企业制造，提供中小企业声明函；</w:t>
      </w:r>
    </w:p>
    <w:p>
      <w:pPr>
        <w:spacing w:line="360" w:lineRule="auto"/>
        <w:ind w:firstLine="480" w:firstLineChars="200"/>
        <w:rPr>
          <w:rFonts w:ascii="宋体" w:hAnsi="宋体" w:cs="宋体"/>
          <w:sz w:val="24"/>
          <w:highlight w:val="none"/>
        </w:rPr>
      </w:pPr>
      <w:sdt>
        <w:sdtPr>
          <w:rPr>
            <w:rFonts w:hint="eastAsia" w:ascii="宋体" w:hAnsi="宋体" w:cs="宋体"/>
            <w:kern w:val="0"/>
            <w:sz w:val="24"/>
            <w:highlight w:val="none"/>
          </w:rPr>
          <w:id w:val="7"/>
        </w:sdtPr>
        <w:sdtEndPr>
          <w:rPr>
            <w:rFonts w:hint="eastAsia" w:ascii="宋体" w:hAnsi="宋体" w:cs="宋体"/>
            <w:kern w:val="0"/>
            <w:sz w:val="24"/>
            <w:highlight w:val="none"/>
          </w:rPr>
        </w:sdtEndPr>
        <w:sdtContent>
          <w:r>
            <w:rPr>
              <w:rFonts w:hint="eastAsia" w:ascii="宋体" w:hAnsi="宋体" w:cs="宋体"/>
              <w:kern w:val="0"/>
              <w:sz w:val="24"/>
              <w:highlight w:val="none"/>
            </w:rPr>
            <w:t>☐</w:t>
          </w:r>
          <w:bookmarkStart w:id="12" w:name="_Hlk101132524"/>
        </w:sdtContent>
      </w:sdt>
      <w:r>
        <w:rPr>
          <w:rFonts w:hint="eastAsia" w:ascii="宋体" w:hAnsi="宋体" w:cs="宋体"/>
          <w:sz w:val="24"/>
          <w:highlight w:val="none"/>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highlight w:val="none"/>
        </w:rPr>
        <w:t>；</w:t>
      </w:r>
    </w:p>
    <w:bookmarkEnd w:id="12"/>
    <w:p>
      <w:pPr>
        <w:spacing w:line="360" w:lineRule="auto"/>
        <w:ind w:firstLine="480" w:firstLineChars="200"/>
        <w:rPr>
          <w:rFonts w:ascii="宋体" w:hAnsi="宋体" w:cs="宋体"/>
          <w:sz w:val="24"/>
          <w:highlight w:val="none"/>
        </w:rPr>
      </w:pPr>
      <w:sdt>
        <w:sdtPr>
          <w:rPr>
            <w:rFonts w:hint="eastAsia" w:ascii="宋体" w:hAnsi="宋体" w:cs="宋体"/>
            <w:kern w:val="0"/>
            <w:sz w:val="24"/>
            <w:highlight w:val="none"/>
          </w:rPr>
          <w:id w:val="34630645"/>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要求合同分包，提供分包意向协议和中小企业声明函，分包意向协议中中小企业合同金额应当达到达到% ，其中小微企业合同金额应当达到% ;</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highlight w:val="none"/>
        </w:rPr>
        <w:t>；</w:t>
      </w:r>
    </w:p>
    <w:p>
      <w:pPr>
        <w:snapToGrid w:val="0"/>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cs="宋体"/>
          <w:sz w:val="24"/>
          <w:highlight w:val="none"/>
        </w:rPr>
        <w:t>.本项目的特定资格要求：</w:t>
      </w:r>
    </w:p>
    <w:p>
      <w:pPr>
        <w:snapToGrid w:val="0"/>
        <w:spacing w:line="360" w:lineRule="auto"/>
        <w:ind w:firstLine="480" w:firstLineChars="200"/>
        <w:rPr>
          <w:rFonts w:ascii="宋体" w:hAnsi="宋体" w:cs="宋体"/>
          <w:sz w:val="24"/>
          <w:highlight w:val="none"/>
        </w:rPr>
      </w:pPr>
      <w:sdt>
        <w:sdtPr>
          <w:rPr>
            <w:rFonts w:hint="eastAsia" w:ascii="宋体" w:hAnsi="宋体" w:cs="宋体"/>
            <w:kern w:val="0"/>
            <w:sz w:val="24"/>
            <w:highlight w:val="none"/>
          </w:rPr>
          <w:id w:val="9"/>
        </w:sdtPr>
        <w:sdtEndPr>
          <w:rPr>
            <w:rFonts w:hint="eastAsia" w:ascii="宋体" w:hAnsi="宋体" w:cs="宋体"/>
            <w:kern w:val="0"/>
            <w:sz w:val="24"/>
            <w:highlight w:val="none"/>
          </w:rPr>
        </w:sdtEndPr>
        <w:sdtContent>
          <w:r>
            <w:rPr>
              <w:rFonts w:ascii="Wingdings" w:hAnsi="Wingdings" w:eastAsia="MS Gothic" w:cs="宋体"/>
              <w:kern w:val="0"/>
              <w:sz w:val="24"/>
              <w:highlight w:val="none"/>
            </w:rPr>
            <w:t></w:t>
          </w:r>
        </w:sdtContent>
      </w:sdt>
      <w:r>
        <w:rPr>
          <w:rFonts w:hint="eastAsia" w:ascii="宋体" w:hAnsi="宋体" w:cs="宋体"/>
          <w:sz w:val="24"/>
          <w:highlight w:val="none"/>
        </w:rPr>
        <w:t>无</w:t>
      </w:r>
    </w:p>
    <w:p>
      <w:pPr>
        <w:snapToGrid w:val="0"/>
        <w:spacing w:line="360" w:lineRule="auto"/>
        <w:ind w:firstLine="480" w:firstLineChars="200"/>
        <w:rPr>
          <w:rFonts w:ascii="宋体" w:hAnsi="宋体" w:cs="宋体"/>
          <w:sz w:val="24"/>
          <w:highlight w:val="none"/>
          <w:u w:val="single"/>
        </w:rPr>
      </w:pPr>
      <w:sdt>
        <w:sdtPr>
          <w:rPr>
            <w:rFonts w:hint="eastAsia" w:ascii="宋体" w:hAnsi="宋体" w:cs="宋体"/>
            <w:kern w:val="0"/>
            <w:sz w:val="24"/>
            <w:highlight w:val="none"/>
          </w:rPr>
          <w:id w:val="10"/>
        </w:sdtPr>
        <w:sdtEndPr>
          <w:rPr>
            <w:rFonts w:hint="eastAsia" w:ascii="宋体" w:hAnsi="宋体" w:cs="宋体"/>
            <w:kern w:val="0"/>
            <w:sz w:val="24"/>
            <w:highlight w:val="none"/>
          </w:rPr>
        </w:sdtEndPr>
        <w:sdtContent>
          <w:r>
            <w:rPr>
              <w:rFonts w:hint="eastAsia" w:ascii="MS Gothic" w:hAnsi="MS Gothic" w:eastAsia="MS Gothic" w:cs="宋体"/>
              <w:kern w:val="0"/>
              <w:sz w:val="24"/>
              <w:highlight w:val="none"/>
            </w:rPr>
            <w:t>☐</w:t>
          </w:r>
        </w:sdtContent>
      </w:sdt>
      <w:r>
        <w:rPr>
          <w:rFonts w:hint="eastAsia" w:ascii="宋体" w:hAnsi="宋体" w:cs="宋体"/>
          <w:sz w:val="24"/>
          <w:highlight w:val="none"/>
        </w:rPr>
        <w:t>有特定资格要求：，该特定条件的法律法规依据：。</w:t>
      </w:r>
    </w:p>
    <w:p>
      <w:pPr>
        <w:snapToGrid w:val="0"/>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cs="宋体"/>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outlineLvl w:val="1"/>
        <w:rPr>
          <w:rFonts w:ascii="宋体" w:hAnsi="宋体" w:cs="宋体"/>
          <w:b/>
          <w:sz w:val="24"/>
          <w:highlight w:val="none"/>
        </w:rPr>
      </w:pPr>
      <w:r>
        <w:rPr>
          <w:rFonts w:hint="eastAsia" w:ascii="宋体" w:hAnsi="宋体" w:cs="宋体"/>
          <w:b/>
          <w:sz w:val="24"/>
          <w:highlight w:val="none"/>
        </w:rPr>
        <w:t xml:space="preserve">三、获取招标文件 </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时间：</w:t>
      </w:r>
      <w:r>
        <w:rPr>
          <w:rFonts w:hint="eastAsia" w:ascii="宋体" w:hAnsi="宋体" w:cs="宋体"/>
          <w:sz w:val="24"/>
          <w:highlight w:val="none"/>
        </w:rPr>
        <w:t>/至</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rPr>
        <w:t>，</w:t>
      </w:r>
      <w:r>
        <w:rPr>
          <w:rFonts w:hint="eastAsia" w:ascii="宋体" w:hAnsi="宋体" w:cs="宋体"/>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地点（网址）：</w:t>
      </w:r>
      <w:r>
        <w:rPr>
          <w:rFonts w:hint="eastAsia" w:ascii="宋体" w:hAnsi="宋体" w:cs="宋体"/>
          <w:sz w:val="24"/>
          <w:highlight w:val="none"/>
        </w:rPr>
        <w:t xml:space="preserve">政采云平台（https://www.zcygov.cn/） </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方式：</w:t>
      </w:r>
      <w:r>
        <w:rPr>
          <w:rFonts w:hint="eastAsia" w:ascii="宋体" w:hAnsi="宋体" w:cs="宋体"/>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售价（元）：</w:t>
      </w:r>
      <w:r>
        <w:rPr>
          <w:rFonts w:hint="eastAsia" w:ascii="宋体" w:hAnsi="宋体" w:cs="宋体"/>
          <w:sz w:val="24"/>
          <w:highlight w:val="none"/>
        </w:rPr>
        <w:t xml:space="preserve">0 </w:t>
      </w:r>
      <w:r>
        <w:rPr>
          <w:rFonts w:hint="eastAsia" w:ascii="宋体" w:hAnsi="宋体" w:cs="宋体"/>
          <w:sz w:val="24"/>
          <w:highlight w:val="none"/>
        </w:rPr>
        <w:tab/>
      </w:r>
    </w:p>
    <w:p>
      <w:pPr>
        <w:spacing w:line="360" w:lineRule="auto"/>
        <w:outlineLvl w:val="1"/>
        <w:rPr>
          <w:rFonts w:ascii="宋体" w:hAnsi="宋体" w:cs="宋体"/>
          <w:b/>
          <w:sz w:val="24"/>
          <w:highlight w:val="none"/>
        </w:rPr>
      </w:pPr>
      <w:r>
        <w:rPr>
          <w:rFonts w:hint="eastAsia" w:ascii="宋体" w:hAnsi="宋体" w:cs="宋体"/>
          <w:b/>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sz w:val="24"/>
          <w:highlight w:val="none"/>
        </w:rPr>
        <w:t>提交投标文件截止</w:t>
      </w:r>
      <w:r>
        <w:rPr>
          <w:rFonts w:hint="eastAsia" w:ascii="宋体" w:hAnsi="宋体" w:cs="宋体"/>
          <w:b/>
          <w:color w:val="auto"/>
          <w:sz w:val="24"/>
          <w:highlight w:val="none"/>
        </w:rPr>
        <w:t>时间：</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（以公告发布的开标</w:t>
      </w:r>
      <w:r>
        <w:rPr>
          <w:rFonts w:ascii="宋体" w:hAnsi="宋体" w:cs="宋体"/>
          <w:bCs/>
          <w:color w:val="auto"/>
          <w:sz w:val="24"/>
          <w:highlight w:val="none"/>
          <w:u w:val="single"/>
        </w:rPr>
        <w:t>截止</w:t>
      </w:r>
      <w:r>
        <w:rPr>
          <w:rFonts w:hint="eastAsia" w:ascii="宋体" w:hAnsi="宋体" w:cs="宋体"/>
          <w:bCs/>
          <w:color w:val="auto"/>
          <w:sz w:val="24"/>
          <w:highlight w:val="none"/>
          <w:u w:val="single"/>
        </w:rPr>
        <w:t>时间为准）</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pPr>
        <w:spacing w:line="360" w:lineRule="auto"/>
        <w:outlineLvl w:val="1"/>
        <w:rPr>
          <w:rFonts w:ascii="宋体" w:hAnsi="宋体" w:cs="宋体"/>
          <w:sz w:val="24"/>
          <w:highlight w:val="none"/>
        </w:rPr>
      </w:pPr>
      <w:r>
        <w:rPr>
          <w:rFonts w:hint="eastAsia" w:ascii="宋体" w:hAnsi="宋体" w:cs="宋体"/>
          <w:b/>
          <w:sz w:val="24"/>
          <w:highlight w:val="none"/>
        </w:rPr>
        <w:t xml:space="preserve">五、公告期限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自本公告发布之日起5个工作日。</w:t>
      </w:r>
    </w:p>
    <w:p>
      <w:pPr>
        <w:spacing w:line="360" w:lineRule="auto"/>
        <w:outlineLvl w:val="1"/>
        <w:rPr>
          <w:rFonts w:ascii="宋体" w:hAnsi="宋体" w:cs="宋体"/>
          <w:b/>
          <w:sz w:val="24"/>
          <w:highlight w:val="none"/>
        </w:rPr>
      </w:pPr>
      <w:r>
        <w:rPr>
          <w:rFonts w:hint="eastAsia" w:ascii="宋体" w:hAnsi="宋体" w:cs="宋体"/>
          <w:b/>
          <w:sz w:val="24"/>
          <w:highlight w:val="none"/>
        </w:rPr>
        <w:t>六、其他补充事宜</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1. </w:t>
      </w:r>
      <w:r>
        <w:rPr>
          <w:rFonts w:ascii="宋体" w:hAnsi="宋体" w:cs="宋体"/>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outlineLvl w:val="1"/>
        <w:rPr>
          <w:rFonts w:ascii="宋体" w:hAnsi="宋体" w:cs="宋体"/>
          <w:b/>
          <w:sz w:val="24"/>
          <w:highlight w:val="none"/>
        </w:rPr>
      </w:pPr>
      <w:r>
        <w:rPr>
          <w:rFonts w:hint="eastAsia" w:ascii="宋体" w:hAnsi="宋体" w:cs="宋体"/>
          <w:b/>
          <w:sz w:val="24"/>
          <w:highlight w:val="none"/>
        </w:rPr>
        <w:t>七、对本次采购提出询问、质疑、投诉，请按以下方式联系</w:t>
      </w:r>
    </w:p>
    <w:p>
      <w:pPr>
        <w:spacing w:line="360" w:lineRule="auto"/>
        <w:rPr>
          <w:rFonts w:ascii="宋体" w:hAnsi="宋体" w:cs="宋体"/>
          <w:sz w:val="24"/>
          <w:highlight w:val="none"/>
        </w:rPr>
      </w:pPr>
      <w:r>
        <w:rPr>
          <w:rFonts w:hint="eastAsia" w:ascii="宋体" w:hAnsi="宋体" w:cs="宋体"/>
          <w:sz w:val="24"/>
          <w:highlight w:val="none"/>
        </w:rPr>
        <w:t xml:space="preserve">    1.采购人信息</w:t>
      </w:r>
    </w:p>
    <w:p>
      <w:pPr>
        <w:spacing w:line="360" w:lineRule="auto"/>
        <w:rPr>
          <w:rFonts w:ascii="宋体" w:hAnsi="宋体" w:cs="宋体"/>
          <w:sz w:val="24"/>
          <w:highlight w:val="none"/>
        </w:rPr>
      </w:pPr>
      <w:r>
        <w:rPr>
          <w:rFonts w:hint="eastAsia" w:ascii="宋体" w:hAnsi="宋体" w:cs="宋体"/>
          <w:sz w:val="24"/>
          <w:highlight w:val="none"/>
        </w:rPr>
        <w:t xml:space="preserve">    名    称：杭州市拱墅区人民政府小河街道办事处 </w:t>
      </w:r>
    </w:p>
    <w:p>
      <w:pPr>
        <w:spacing w:line="360" w:lineRule="auto"/>
        <w:rPr>
          <w:rFonts w:ascii="宋体" w:hAnsi="宋体" w:cs="宋体"/>
          <w:sz w:val="24"/>
          <w:highlight w:val="none"/>
        </w:rPr>
      </w:pPr>
      <w:r>
        <w:rPr>
          <w:rFonts w:hint="eastAsia" w:ascii="宋体" w:hAnsi="宋体" w:cs="宋体"/>
          <w:sz w:val="24"/>
          <w:highlight w:val="none"/>
        </w:rPr>
        <w:t xml:space="preserve">    地    址：杭州市拱墅区古运路85号古运大厦 </w:t>
      </w:r>
    </w:p>
    <w:p>
      <w:pPr>
        <w:spacing w:line="360" w:lineRule="auto"/>
        <w:ind w:firstLine="480"/>
        <w:rPr>
          <w:rFonts w:ascii="宋体" w:hAnsi="宋体" w:cs="宋体"/>
          <w:sz w:val="24"/>
          <w:highlight w:val="none"/>
        </w:rPr>
      </w:pPr>
      <w:r>
        <w:rPr>
          <w:rFonts w:hint="eastAsia" w:ascii="宋体" w:hAnsi="宋体" w:cs="宋体"/>
          <w:sz w:val="24"/>
          <w:highlight w:val="none"/>
        </w:rPr>
        <w:t>传    真： /</w:t>
      </w:r>
    </w:p>
    <w:p>
      <w:pPr>
        <w:spacing w:line="360" w:lineRule="auto"/>
        <w:ind w:firstLine="480"/>
        <w:rPr>
          <w:rFonts w:ascii="宋体" w:hAnsi="宋体" w:cs="宋体"/>
          <w:sz w:val="24"/>
          <w:highlight w:val="none"/>
        </w:rPr>
      </w:pPr>
      <w:r>
        <w:rPr>
          <w:rFonts w:hint="eastAsia" w:ascii="宋体" w:hAnsi="宋体" w:cs="宋体"/>
          <w:sz w:val="24"/>
          <w:highlight w:val="none"/>
        </w:rPr>
        <w:t xml:space="preserve">项目联系人（询问）：从女士  </w:t>
      </w:r>
    </w:p>
    <w:p>
      <w:pPr>
        <w:spacing w:line="360" w:lineRule="auto"/>
        <w:rPr>
          <w:rFonts w:ascii="宋体" w:hAnsi="宋体" w:cs="宋体"/>
          <w:sz w:val="24"/>
          <w:highlight w:val="none"/>
        </w:rPr>
      </w:pPr>
      <w:r>
        <w:rPr>
          <w:rFonts w:hint="eastAsia" w:ascii="宋体" w:hAnsi="宋体" w:cs="宋体"/>
          <w:sz w:val="24"/>
          <w:highlight w:val="none"/>
        </w:rPr>
        <w:t xml:space="preserve">    项目联系方式（询问）： 0571-89506474</w:t>
      </w:r>
    </w:p>
    <w:p>
      <w:pPr>
        <w:spacing w:line="360" w:lineRule="auto"/>
        <w:rPr>
          <w:rFonts w:ascii="宋体" w:hAnsi="宋体" w:cs="宋体"/>
          <w:sz w:val="24"/>
          <w:highlight w:val="none"/>
        </w:rPr>
      </w:pPr>
      <w:r>
        <w:rPr>
          <w:rFonts w:hint="eastAsia" w:ascii="宋体" w:hAnsi="宋体" w:cs="宋体"/>
          <w:sz w:val="24"/>
          <w:highlight w:val="none"/>
        </w:rPr>
        <w:t xml:space="preserve">    质疑联系人：王女士</w:t>
      </w:r>
    </w:p>
    <w:p>
      <w:pPr>
        <w:spacing w:line="360" w:lineRule="auto"/>
        <w:rPr>
          <w:rFonts w:ascii="宋体" w:hAnsi="宋体" w:cs="宋体"/>
          <w:sz w:val="24"/>
          <w:highlight w:val="none"/>
        </w:rPr>
      </w:pPr>
      <w:r>
        <w:rPr>
          <w:rFonts w:hint="eastAsia" w:ascii="宋体" w:hAnsi="宋体" w:cs="宋体"/>
          <w:sz w:val="24"/>
          <w:highlight w:val="none"/>
        </w:rPr>
        <w:t xml:space="preserve">    质疑联系方式： 0571-89506474</w:t>
      </w:r>
    </w:p>
    <w:p>
      <w:pPr>
        <w:spacing w:line="360" w:lineRule="auto"/>
        <w:rPr>
          <w:rFonts w:ascii="宋体" w:hAnsi="宋体" w:cs="宋体"/>
          <w:sz w:val="24"/>
          <w:highlight w:val="none"/>
        </w:rPr>
      </w:pPr>
      <w:r>
        <w:rPr>
          <w:rFonts w:hint="eastAsia" w:ascii="宋体" w:hAnsi="宋体" w:cs="宋体"/>
          <w:sz w:val="24"/>
          <w:highlight w:val="none"/>
        </w:rPr>
        <w:t xml:space="preserve">  2.采购代理机构信息            </w:t>
      </w:r>
    </w:p>
    <w:p>
      <w:pPr>
        <w:spacing w:line="360" w:lineRule="auto"/>
        <w:ind w:firstLine="480"/>
        <w:rPr>
          <w:rFonts w:ascii="宋体" w:hAnsi="宋体" w:cs="宋体"/>
          <w:sz w:val="24"/>
          <w:highlight w:val="none"/>
        </w:rPr>
      </w:pPr>
      <w:r>
        <w:rPr>
          <w:rFonts w:hint="eastAsia" w:ascii="宋体" w:hAnsi="宋体" w:cs="宋体"/>
          <w:sz w:val="24"/>
          <w:highlight w:val="none"/>
        </w:rPr>
        <w:t xml:space="preserve">名    称：杭州市公共资源交易中心拱墅分中心  </w:t>
      </w:r>
    </w:p>
    <w:p>
      <w:pPr>
        <w:spacing w:line="360" w:lineRule="auto"/>
        <w:ind w:firstLine="480"/>
        <w:rPr>
          <w:rFonts w:ascii="宋体" w:hAnsi="宋体" w:cs="宋体"/>
          <w:sz w:val="24"/>
          <w:highlight w:val="none"/>
        </w:rPr>
      </w:pPr>
      <w:r>
        <w:rPr>
          <w:rFonts w:hint="eastAsia" w:ascii="宋体" w:hAnsi="宋体" w:cs="宋体"/>
          <w:sz w:val="24"/>
          <w:highlight w:val="none"/>
        </w:rPr>
        <w:t>地    址：杭州市拱墅区香积寺东路58号3楼</w:t>
      </w:r>
    </w:p>
    <w:p>
      <w:pPr>
        <w:spacing w:line="360" w:lineRule="auto"/>
        <w:rPr>
          <w:rFonts w:ascii="宋体" w:hAnsi="宋体" w:cs="宋体"/>
          <w:sz w:val="24"/>
          <w:highlight w:val="none"/>
        </w:rPr>
      </w:pPr>
      <w:r>
        <w:rPr>
          <w:rFonts w:hint="eastAsia" w:ascii="宋体" w:hAnsi="宋体" w:cs="宋体"/>
          <w:sz w:val="24"/>
          <w:highlight w:val="none"/>
        </w:rPr>
        <w:t xml:space="preserve">    传    真： /</w:t>
      </w:r>
    </w:p>
    <w:p>
      <w:pPr>
        <w:spacing w:line="360" w:lineRule="auto"/>
        <w:rPr>
          <w:rFonts w:ascii="宋体" w:hAnsi="宋体" w:cs="宋体"/>
          <w:sz w:val="24"/>
          <w:highlight w:val="none"/>
        </w:rPr>
      </w:pPr>
      <w:r>
        <w:rPr>
          <w:rFonts w:hint="eastAsia" w:ascii="宋体" w:hAnsi="宋体" w:cs="宋体"/>
          <w:sz w:val="24"/>
          <w:highlight w:val="none"/>
        </w:rPr>
        <w:t xml:space="preserve">    项目联系人（询问）：周工</w:t>
      </w:r>
    </w:p>
    <w:p>
      <w:pPr>
        <w:spacing w:line="360" w:lineRule="auto"/>
        <w:ind w:firstLine="480"/>
        <w:rPr>
          <w:rFonts w:ascii="宋体" w:hAnsi="宋体" w:cs="宋体"/>
          <w:sz w:val="24"/>
          <w:highlight w:val="none"/>
        </w:rPr>
      </w:pPr>
      <w:r>
        <w:rPr>
          <w:rFonts w:hint="eastAsia" w:ascii="宋体" w:hAnsi="宋体" w:cs="宋体"/>
          <w:sz w:val="24"/>
          <w:highlight w:val="none"/>
        </w:rPr>
        <w:t>项目联系方式（询问）：0571-89507139</w:t>
      </w:r>
    </w:p>
    <w:p>
      <w:pPr>
        <w:spacing w:line="360" w:lineRule="auto"/>
        <w:ind w:firstLine="480"/>
        <w:rPr>
          <w:rFonts w:ascii="宋体" w:hAnsi="宋体" w:cs="宋体"/>
          <w:sz w:val="24"/>
          <w:highlight w:val="none"/>
        </w:rPr>
      </w:pPr>
      <w:r>
        <w:rPr>
          <w:rFonts w:hint="eastAsia" w:ascii="宋体" w:hAnsi="宋体" w:cs="宋体"/>
          <w:sz w:val="24"/>
          <w:highlight w:val="none"/>
        </w:rPr>
        <w:t xml:space="preserve">质疑联系人：陈工  </w:t>
      </w:r>
    </w:p>
    <w:p>
      <w:pPr>
        <w:spacing w:line="360" w:lineRule="auto"/>
        <w:rPr>
          <w:rFonts w:ascii="宋体" w:hAnsi="宋体" w:cs="宋体"/>
          <w:sz w:val="24"/>
          <w:highlight w:val="none"/>
        </w:rPr>
      </w:pPr>
      <w:r>
        <w:rPr>
          <w:rFonts w:hint="eastAsia" w:ascii="宋体" w:hAnsi="宋体" w:cs="宋体"/>
          <w:sz w:val="24"/>
          <w:highlight w:val="none"/>
        </w:rPr>
        <w:t xml:space="preserve">    质疑联系方式：0571-86598253</w:t>
      </w:r>
    </w:p>
    <w:p>
      <w:pPr>
        <w:spacing w:line="360" w:lineRule="auto"/>
        <w:rPr>
          <w:rFonts w:ascii="宋体" w:hAnsi="宋体" w:cs="宋体"/>
          <w:sz w:val="24"/>
          <w:highlight w:val="none"/>
        </w:rPr>
      </w:pPr>
      <w:r>
        <w:rPr>
          <w:rFonts w:hint="eastAsia" w:ascii="宋体" w:hAnsi="宋体" w:cs="宋体"/>
          <w:sz w:val="24"/>
          <w:highlight w:val="none"/>
        </w:rPr>
        <w:t xml:space="preserve">   3.同级政府采购监督管理部门            </w:t>
      </w:r>
    </w:p>
    <w:p>
      <w:pPr>
        <w:spacing w:line="360" w:lineRule="auto"/>
        <w:rPr>
          <w:rFonts w:ascii="宋体" w:hAnsi="宋体" w:cs="宋体"/>
          <w:sz w:val="24"/>
          <w:highlight w:val="none"/>
        </w:rPr>
      </w:pPr>
      <w:r>
        <w:rPr>
          <w:rFonts w:hint="eastAsia" w:ascii="宋体" w:hAnsi="宋体" w:cs="宋体"/>
          <w:sz w:val="24"/>
          <w:highlight w:val="none"/>
        </w:rPr>
        <w:t xml:space="preserve">    名    称：杭州市拱墅区财政局政府采购监管处/浙江省政府采购行政裁决服务中心（杭州）</w:t>
      </w:r>
    </w:p>
    <w:p>
      <w:pPr>
        <w:spacing w:line="360" w:lineRule="auto"/>
        <w:rPr>
          <w:rFonts w:ascii="宋体" w:hAnsi="宋体" w:cs="宋体"/>
          <w:sz w:val="24"/>
          <w:highlight w:val="none"/>
        </w:rPr>
      </w:pPr>
      <w:r>
        <w:rPr>
          <w:rFonts w:hint="eastAsia" w:ascii="宋体" w:hAnsi="宋体" w:cs="宋体"/>
          <w:sz w:val="24"/>
          <w:highlight w:val="none"/>
        </w:rPr>
        <w:t xml:space="preserve">    地    址：杭州市上城区四季青街道新业路市民之家G03办公室 </w:t>
      </w:r>
    </w:p>
    <w:p>
      <w:pPr>
        <w:spacing w:line="360" w:lineRule="auto"/>
        <w:rPr>
          <w:rFonts w:ascii="宋体" w:hAnsi="宋体" w:cs="宋体"/>
          <w:sz w:val="24"/>
          <w:highlight w:val="none"/>
        </w:rPr>
      </w:pPr>
      <w:r>
        <w:rPr>
          <w:rFonts w:hint="eastAsia" w:ascii="宋体" w:hAnsi="宋体" w:cs="宋体"/>
          <w:sz w:val="24"/>
          <w:highlight w:val="none"/>
        </w:rPr>
        <w:t xml:space="preserve">    传    真： /</w:t>
      </w:r>
    </w:p>
    <w:p>
      <w:pPr>
        <w:spacing w:line="360" w:lineRule="auto"/>
        <w:rPr>
          <w:rFonts w:ascii="宋体" w:hAnsi="宋体" w:cs="宋体"/>
          <w:sz w:val="24"/>
          <w:highlight w:val="none"/>
        </w:rPr>
      </w:pPr>
      <w:r>
        <w:rPr>
          <w:rFonts w:hint="eastAsia" w:ascii="宋体" w:hAnsi="宋体" w:cs="宋体"/>
          <w:sz w:val="24"/>
          <w:highlight w:val="none"/>
        </w:rPr>
        <w:t xml:space="preserve">    联系人 ：朱女士、王女士</w:t>
      </w:r>
    </w:p>
    <w:p>
      <w:pPr>
        <w:spacing w:line="360" w:lineRule="auto"/>
        <w:ind w:firstLine="480"/>
        <w:rPr>
          <w:rFonts w:ascii="宋体" w:hAnsi="宋体" w:cs="宋体"/>
          <w:sz w:val="24"/>
          <w:highlight w:val="none"/>
        </w:rPr>
      </w:pPr>
      <w:r>
        <w:rPr>
          <w:rFonts w:hint="eastAsia" w:ascii="宋体" w:hAnsi="宋体" w:cs="宋体"/>
          <w:sz w:val="24"/>
          <w:highlight w:val="none"/>
        </w:rPr>
        <w:t>监督投诉电话：电话：0571-85252453</w:t>
      </w:r>
    </w:p>
    <w:p>
      <w:pPr>
        <w:spacing w:line="360" w:lineRule="auto"/>
        <w:ind w:firstLine="480"/>
        <w:rPr>
          <w:rFonts w:ascii="宋体" w:hAnsi="宋体" w:cs="宋体"/>
          <w:sz w:val="24"/>
          <w:highlight w:val="none"/>
        </w:rPr>
      </w:pPr>
      <w:r>
        <w:rPr>
          <w:rFonts w:hint="eastAsia" w:ascii="宋体" w:hAnsi="宋体" w:cs="宋体"/>
          <w:sz w:val="24"/>
          <w:highlight w:val="none"/>
        </w:rPr>
        <w:t xml:space="preserve">政策咨询：彭先生：0571-89505676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若对项目采购电子交易系统操作有疑问，可登录政采云（https://www.zcygov.cn/），点击右侧咨询小采，获取采小蜜智能服务管家帮助，或拨打政采云服务热线</w:t>
      </w:r>
      <w:r>
        <w:rPr>
          <w:rFonts w:hint="eastAsia" w:ascii="微软雅黑" w:hAnsi="微软雅黑" w:eastAsia="微软雅黑"/>
          <w:color w:val="333333"/>
          <w:szCs w:val="21"/>
          <w:highlight w:val="none"/>
          <w:shd w:val="clear" w:color="auto" w:fill="FFFFFF"/>
        </w:rPr>
        <w:t>95763</w:t>
      </w:r>
      <w:r>
        <w:rPr>
          <w:rFonts w:hint="eastAsia" w:ascii="宋体" w:hAnsi="宋体" w:cs="宋体"/>
          <w:sz w:val="24"/>
          <w:highlight w:val="none"/>
        </w:rPr>
        <w:t>获取热线服务帮助。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CA问题联系电话（人工）：汇信CA 400-888-4636；天谷CA 400-087-8198。</w:t>
      </w:r>
    </w:p>
    <w:p>
      <w:pPr>
        <w:pStyle w:val="32"/>
        <w:spacing w:line="360" w:lineRule="auto"/>
        <w:rPr>
          <w:rFonts w:hAnsi="宋体" w:cs="宋体"/>
          <w:b/>
          <w:sz w:val="36"/>
          <w:szCs w:val="20"/>
          <w:highlight w:val="none"/>
        </w:rPr>
      </w:pPr>
    </w:p>
    <w:p>
      <w:pPr>
        <w:tabs>
          <w:tab w:val="left" w:pos="432"/>
        </w:tabs>
        <w:rPr>
          <w:rFonts w:ascii="宋体"/>
          <w:snapToGrid w:val="0"/>
          <w:highlight w:val="none"/>
        </w:rPr>
      </w:pPr>
      <w:r>
        <w:rPr>
          <w:highlight w:val="none"/>
        </w:rPr>
        <w:br w:type="page"/>
      </w:r>
    </w:p>
    <w:p>
      <w:pPr>
        <w:adjustRightInd/>
        <w:spacing w:line="360" w:lineRule="auto"/>
        <w:jc w:val="center"/>
        <w:outlineLvl w:val="0"/>
        <w:rPr>
          <w:rFonts w:ascii="宋体" w:hAnsi="宋体" w:cs="宋体"/>
          <w:b/>
          <w:sz w:val="36"/>
          <w:szCs w:val="20"/>
          <w:highlight w:val="none"/>
        </w:rPr>
      </w:pPr>
      <w:r>
        <w:rPr>
          <w:rFonts w:hint="eastAsia" w:ascii="宋体" w:hAnsi="宋体" w:cs="宋体"/>
          <w:b/>
          <w:sz w:val="36"/>
          <w:szCs w:val="20"/>
          <w:highlight w:val="none"/>
        </w:rPr>
        <w:t>第二部分</w:t>
      </w:r>
      <w:bookmarkEnd w:id="8"/>
      <w:r>
        <w:rPr>
          <w:rFonts w:hint="eastAsia" w:ascii="宋体" w:hAnsi="宋体" w:cs="宋体"/>
          <w:b/>
          <w:sz w:val="36"/>
          <w:szCs w:val="20"/>
          <w:highlight w:val="none"/>
        </w:rPr>
        <w:t xml:space="preserve"> 投标人须知</w:t>
      </w:r>
      <w:bookmarkEnd w:id="9"/>
    </w:p>
    <w:p>
      <w:pPr>
        <w:adjustRightInd/>
        <w:spacing w:line="360" w:lineRule="auto"/>
        <w:ind w:firstLine="3845" w:firstLineChars="1197"/>
        <w:outlineLvl w:val="1"/>
        <w:rPr>
          <w:rFonts w:ascii="宋体" w:hAnsi="宋体" w:cs="宋体"/>
          <w:b/>
          <w:sz w:val="32"/>
          <w:szCs w:val="20"/>
          <w:highlight w:val="none"/>
        </w:rPr>
      </w:pPr>
      <w:r>
        <w:rPr>
          <w:rFonts w:hint="eastAsia" w:ascii="宋体" w:hAnsi="宋体" w:cs="宋体"/>
          <w:b/>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r>
              <w:rPr>
                <w:rFonts w:hint="eastAsia" w:ascii="宋体" w:hAnsi="宋体" w:cs="宋体"/>
                <w:sz w:val="24"/>
                <w:highlight w:val="none"/>
              </w:rPr>
              <w:t>货物类，</w:t>
            </w:r>
            <w:r>
              <w:rPr>
                <w:rFonts w:hint="eastAsia" w:ascii="宋体" w:hAnsi="宋体" w:cs="宋体"/>
                <w:color w:val="auto"/>
                <w:sz w:val="24"/>
                <w:highlight w:val="none"/>
              </w:rPr>
              <w:t>单一产品或</w:t>
            </w:r>
            <w:r>
              <w:rPr>
                <w:rFonts w:hint="eastAsia" w:ascii="宋体" w:hAnsi="宋体" w:cs="宋体"/>
                <w:color w:val="auto"/>
                <w:kern w:val="0"/>
                <w:sz w:val="24"/>
                <w:highlight w:val="none"/>
              </w:rPr>
              <w:t>核心产品为：</w:t>
            </w:r>
            <w:r>
              <w:rPr>
                <w:rFonts w:hint="eastAsia" w:ascii="宋体" w:hAnsi="宋体" w:cs="宋体"/>
                <w:snapToGrid w:val="0"/>
                <w:color w:val="auto"/>
                <w:kern w:val="28"/>
                <w:sz w:val="24"/>
                <w:highlight w:val="none"/>
                <w:u w:val="single"/>
              </w:rPr>
              <w:t>序号</w:t>
            </w:r>
            <w:r>
              <w:rPr>
                <w:rFonts w:hint="eastAsia" w:ascii="宋体" w:hAnsi="宋体" w:cs="宋体"/>
                <w:snapToGrid w:val="0"/>
                <w:color w:val="auto"/>
                <w:kern w:val="28"/>
                <w:sz w:val="24"/>
                <w:highlight w:val="none"/>
                <w:u w:val="single"/>
                <w:lang w:val="en-US" w:eastAsia="zh-CN"/>
              </w:rPr>
              <w:t>97</w:t>
            </w:r>
            <w:r>
              <w:rPr>
                <w:rFonts w:hint="eastAsia" w:ascii="宋体" w:hAnsi="宋体" w:cs="宋体"/>
                <w:snapToGrid w:val="0"/>
                <w:color w:val="auto"/>
                <w:kern w:val="28"/>
                <w:sz w:val="24"/>
                <w:highlight w:val="none"/>
                <w:u w:val="single"/>
              </w:rPr>
              <w:t>办公椅1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rPr>
                <w:rFonts w:cs="宋体" w:asciiTheme="minorEastAsia" w:hAnsiTheme="minorEastAsia" w:eastAsiaTheme="minorEastAsia"/>
                <w:kern w:val="0"/>
                <w:sz w:val="24"/>
                <w:highlight w:val="none"/>
              </w:rPr>
            </w:pPr>
            <w:r>
              <w:rPr>
                <w:rFonts w:hint="eastAsia" w:ascii="宋体" w:hAnsi="宋体" w:cs="宋体"/>
                <w:color w:val="auto"/>
                <w:kern w:val="0"/>
                <w:sz w:val="24"/>
                <w:highlight w:val="none"/>
              </w:rPr>
              <w:t>（1）标的：</w:t>
            </w:r>
            <w:r>
              <w:rPr>
                <w:rFonts w:hint="eastAsia" w:cs="宋体" w:asciiTheme="minorEastAsia" w:hAnsiTheme="minorEastAsia" w:eastAsiaTheme="minorEastAsia"/>
                <w:kern w:val="0"/>
                <w:sz w:val="24"/>
                <w:highlight w:val="none"/>
              </w:rPr>
              <w:t>详见</w:t>
            </w:r>
            <w:r>
              <w:rPr>
                <w:rFonts w:hint="eastAsia" w:cs="宋体" w:asciiTheme="minorEastAsia" w:hAnsiTheme="minorEastAsia" w:eastAsiaTheme="minorEastAsia"/>
                <w:kern w:val="0"/>
                <w:sz w:val="24"/>
                <w:highlight w:val="none"/>
                <w:u w:val="single"/>
              </w:rPr>
              <w:t>采购需求-采购清单内所有货物</w:t>
            </w:r>
            <w:r>
              <w:rPr>
                <w:rFonts w:hint="eastAsia" w:cs="宋体" w:asciiTheme="minorEastAsia" w:hAnsiTheme="minorEastAsia" w:eastAsiaTheme="minorEastAsia"/>
                <w:kern w:val="0"/>
                <w:sz w:val="24"/>
                <w:highlight w:val="none"/>
              </w:rPr>
              <w:t>，属于</w:t>
            </w:r>
            <w:r>
              <w:rPr>
                <w:rFonts w:hint="eastAsia" w:cs="宋体" w:asciiTheme="minorEastAsia" w:hAnsiTheme="minorEastAsia" w:eastAsiaTheme="minorEastAsia"/>
                <w:kern w:val="0"/>
                <w:sz w:val="24"/>
                <w:highlight w:val="none"/>
                <w:u w:val="single"/>
              </w:rPr>
              <w:t>工业</w:t>
            </w:r>
            <w:r>
              <w:rPr>
                <w:rFonts w:hint="eastAsia" w:cs="宋体" w:asciiTheme="minorEastAsia" w:hAnsiTheme="minorEastAsia" w:eastAsiaTheme="minorEastAsia"/>
                <w:kern w:val="0"/>
                <w:sz w:val="24"/>
                <w:highlight w:val="none"/>
              </w:rPr>
              <w:t>行业。</w:t>
            </w:r>
          </w:p>
          <w:p>
            <w:pPr>
              <w:pStyle w:val="3"/>
              <w:rPr>
                <w:rFonts w:ascii="宋体" w:hAnsi="宋体" w:eastAsia="宋体" w:cs="宋体"/>
                <w:highlight w:val="none"/>
                <w:lang w:val="en-US"/>
              </w:rPr>
            </w:pPr>
            <w:r>
              <w:rPr>
                <w:rFonts w:hint="eastAsia" w:cs="宋体" w:asciiTheme="minorEastAsia" w:hAnsiTheme="minorEastAsia" w:eastAsiaTheme="minorEastAsia"/>
                <w:bCs w:val="0"/>
                <w:kern w:val="0"/>
                <w:sz w:val="24"/>
                <w:szCs w:val="24"/>
                <w:highlight w:val="none"/>
                <w:lang w:val="en-US"/>
              </w:rPr>
              <w:t>注：投标人在填写中小企业声明函（货物）时，须将</w:t>
            </w:r>
            <w:r>
              <w:rPr>
                <w:rFonts w:hint="eastAsia" w:cs="宋体" w:asciiTheme="minorEastAsia" w:hAnsiTheme="minorEastAsia" w:eastAsiaTheme="minorEastAsia"/>
                <w:bCs w:val="0"/>
                <w:kern w:val="0"/>
                <w:sz w:val="24"/>
                <w:szCs w:val="24"/>
                <w:highlight w:val="none"/>
                <w:u w:val="single"/>
                <w:lang w:val="en-US"/>
              </w:rPr>
              <w:t>采购需求-采购清单内所有货物</w:t>
            </w:r>
            <w:r>
              <w:rPr>
                <w:rFonts w:hint="eastAsia" w:cs="宋体" w:asciiTheme="minorEastAsia" w:hAnsiTheme="minorEastAsia" w:eastAsiaTheme="minorEastAsia"/>
                <w:bCs w:val="0"/>
                <w:kern w:val="0"/>
                <w:sz w:val="24"/>
                <w:szCs w:val="24"/>
                <w:highlight w:val="none"/>
                <w:lang w:val="en-US"/>
              </w:rPr>
              <w:t>逐一填写，不得缺漏。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highlight w:val="none"/>
              </w:rPr>
            </w:pPr>
            <w:sdt>
              <w:sdtPr>
                <w:rPr>
                  <w:rFonts w:hint="eastAsia" w:ascii="宋体" w:hAnsi="宋体" w:cs="宋体"/>
                  <w:kern w:val="0"/>
                  <w:sz w:val="24"/>
                  <w:highlight w:val="none"/>
                </w:rPr>
                <w:id w:val="11"/>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0"/>
                <w:sz w:val="24"/>
                <w:highlight w:val="none"/>
              </w:rPr>
              <w:t>本项目不允许采购进口产品。</w:t>
            </w:r>
          </w:p>
          <w:p>
            <w:pPr>
              <w:spacing w:line="360" w:lineRule="auto"/>
              <w:rPr>
                <w:rFonts w:ascii="宋体" w:hAnsi="宋体" w:cs="宋体"/>
                <w:highlight w:val="none"/>
              </w:rPr>
            </w:pPr>
            <w:sdt>
              <w:sdtPr>
                <w:rPr>
                  <w:rFonts w:hint="eastAsia" w:ascii="宋体" w:hAnsi="宋体" w:cs="宋体"/>
                  <w:kern w:val="0"/>
                  <w:sz w:val="24"/>
                  <w:highlight w:val="none"/>
                </w:rPr>
                <w:id w:val="12"/>
              </w:sdtPr>
              <w:sdtEndPr>
                <w:rPr>
                  <w:rFonts w:hint="eastAsia" w:ascii="宋体" w:hAnsi="宋体" w:cs="宋体"/>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color w:val="auto"/>
                <w:kern w:val="0"/>
                <w:sz w:val="24"/>
                <w:highlight w:val="none"/>
              </w:rPr>
              <w:t>可以就采购进口产品。优先采购向我国企业转让技术、与我国企业签订消化吸收再创新方案的供应商的进口产品，详见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highlight w:val="none"/>
              </w:rPr>
            </w:pPr>
            <w:r>
              <w:rPr>
                <w:rFonts w:hint="eastAsia" w:ascii="宋体" w:hAnsi="宋体" w:cs="宋体"/>
                <w:b/>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sz w:val="24"/>
                <w:highlight w:val="none"/>
              </w:rPr>
            </w:pPr>
            <w:sdt>
              <w:sdtPr>
                <w:rPr>
                  <w:rFonts w:hint="eastAsia" w:ascii="宋体" w:hAnsi="宋体" w:cs="宋体"/>
                  <w:kern w:val="0"/>
                  <w:sz w:val="24"/>
                  <w:highlight w:val="none"/>
                </w:rPr>
                <w:id w:val="13"/>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kern w:val="0"/>
                <w:sz w:val="24"/>
                <w:highlight w:val="none"/>
              </w:rPr>
              <w:t xml:space="preserve"> A</w:t>
            </w:r>
            <w:r>
              <w:rPr>
                <w:rFonts w:hint="eastAsia" w:ascii="宋体" w:hAnsi="宋体" w:cs="宋体"/>
                <w:color w:val="auto"/>
                <w:sz w:val="24"/>
                <w:highlight w:val="none"/>
              </w:rPr>
              <w:t>同意将非主体、非关键性的</w:t>
            </w:r>
            <w:r>
              <w:rPr>
                <w:rFonts w:hint="eastAsia" w:cs="宋体" w:asciiTheme="minorEastAsia" w:hAnsiTheme="minorEastAsia" w:eastAsiaTheme="minorEastAsia"/>
                <w:color w:val="auto"/>
                <w:sz w:val="24"/>
                <w:highlight w:val="none"/>
                <w:u w:val="single"/>
              </w:rPr>
              <w:t>运输、安装</w:t>
            </w:r>
            <w:r>
              <w:rPr>
                <w:rFonts w:hint="eastAsia" w:ascii="宋体" w:hAnsi="宋体" w:cs="宋体"/>
                <w:color w:val="auto"/>
                <w:sz w:val="24"/>
                <w:highlight w:val="none"/>
              </w:rPr>
              <w:t>工作分包。</w:t>
            </w:r>
          </w:p>
          <w:p>
            <w:pPr>
              <w:spacing w:line="360" w:lineRule="auto"/>
              <w:rPr>
                <w:rFonts w:ascii="宋体" w:hAnsi="宋体" w:cs="宋体"/>
                <w:sz w:val="24"/>
                <w:highlight w:val="none"/>
              </w:rPr>
            </w:pPr>
            <w:sdt>
              <w:sdtPr>
                <w:rPr>
                  <w:rFonts w:hint="eastAsia" w:ascii="宋体" w:hAnsi="宋体" w:cs="宋体"/>
                  <w:kern w:val="0"/>
                  <w:sz w:val="24"/>
                  <w:highlight w:val="none"/>
                </w:rPr>
                <w:id w:val="14"/>
              </w:sdtPr>
              <w:sdtEndPr>
                <w:rPr>
                  <w:rFonts w:hint="eastAsia" w:ascii="宋体" w:hAnsi="宋体" w:cs="宋体"/>
                  <w:kern w:val="0"/>
                  <w:sz w:val="24"/>
                  <w:highlight w:val="none"/>
                </w:rPr>
              </w:sdtEndPr>
              <w:sdtContent>
                <w:r>
                  <w:rPr>
                    <w:rFonts w:hint="eastAsia" w:ascii="MS Gothic" w:hAnsi="MS Gothic" w:cs="宋体"/>
                    <w:kern w:val="0"/>
                    <w:sz w:val="24"/>
                    <w:highlight w:val="none"/>
                  </w:rPr>
                  <w:t>☐</w:t>
                </w:r>
              </w:sdtContent>
            </w:sdt>
            <w:r>
              <w:rPr>
                <w:rFonts w:hint="eastAsia" w:ascii="宋体" w:hAnsi="宋体" w:cs="宋体"/>
                <w:kern w:val="0"/>
                <w:sz w:val="24"/>
                <w:highlight w:val="none"/>
              </w:rPr>
              <w:t xml:space="preserve"> B</w:t>
            </w:r>
            <w:r>
              <w:rPr>
                <w:rFonts w:hint="eastAsia" w:ascii="宋体" w:hAnsi="宋体" w:cs="宋体"/>
                <w:sz w:val="24"/>
                <w:highlight w:val="none"/>
              </w:rPr>
              <w:t>不同意分包。</w:t>
            </w:r>
          </w:p>
          <w:p>
            <w:pPr>
              <w:spacing w:line="360" w:lineRule="auto"/>
              <w:rPr>
                <w:rFonts w:ascii="宋体" w:hAnsi="宋体" w:cs="宋体"/>
                <w:sz w:val="24"/>
                <w:highlight w:val="none"/>
              </w:rPr>
            </w:pPr>
            <w:r>
              <w:rPr>
                <w:rFonts w:hint="eastAsia" w:ascii="宋体" w:hAnsi="宋体" w:cs="宋体"/>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sdt>
              <w:sdtPr>
                <w:rPr>
                  <w:rFonts w:hint="eastAsia" w:ascii="宋体" w:hAnsi="宋体" w:cs="宋体"/>
                  <w:color w:val="0000FF"/>
                  <w:kern w:val="0"/>
                  <w:sz w:val="24"/>
                  <w:highlight w:val="none"/>
                </w:rPr>
                <w:id w:val="15"/>
              </w:sdtPr>
              <w:sdtEndPr>
                <w:rPr>
                  <w:rFonts w:hint="eastAsia" w:ascii="宋体" w:hAnsi="宋体" w:cs="宋体"/>
                  <w:color w:val="auto"/>
                  <w:kern w:val="0"/>
                  <w:sz w:val="24"/>
                  <w:highlight w:val="none"/>
                </w:rPr>
              </w:sdtEndPr>
              <w:sdtContent>
                <w:r>
                  <w:rPr>
                    <w:rFonts w:ascii="Wingdings" w:hAnsi="Wingdings" w:eastAsia="MS Gothic" w:cs="宋体"/>
                    <w:kern w:val="0"/>
                    <w:sz w:val="24"/>
                    <w:highlight w:val="none"/>
                  </w:rPr>
                  <w:t></w:t>
                </w:r>
              </w:sdtContent>
            </w:sdt>
            <w:r>
              <w:rPr>
                <w:rFonts w:hint="eastAsia" w:ascii="宋体" w:hAnsi="宋体" w:cs="宋体"/>
                <w:kern w:val="0"/>
                <w:sz w:val="24"/>
                <w:highlight w:val="none"/>
              </w:rPr>
              <w:t>A</w:t>
            </w:r>
            <w:r>
              <w:rPr>
                <w:rFonts w:hint="eastAsia" w:ascii="宋体" w:hAnsi="宋体" w:cs="宋体"/>
                <w:sz w:val="24"/>
                <w:highlight w:val="none"/>
              </w:rPr>
              <w:t>不组织。</w:t>
            </w:r>
          </w:p>
          <w:p>
            <w:pPr>
              <w:spacing w:line="360" w:lineRule="auto"/>
              <w:rPr>
                <w:rFonts w:ascii="宋体" w:hAnsi="宋体" w:cs="宋体"/>
                <w:sz w:val="24"/>
                <w:szCs w:val="20"/>
                <w:highlight w:val="none"/>
              </w:rPr>
            </w:pPr>
            <w:sdt>
              <w:sdtPr>
                <w:rPr>
                  <w:rFonts w:hint="eastAsia" w:ascii="宋体" w:hAnsi="宋体" w:cs="宋体"/>
                  <w:kern w:val="0"/>
                  <w:sz w:val="24"/>
                  <w:highlight w:val="none"/>
                </w:rPr>
                <w:id w:val="16"/>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B组织，</w:t>
            </w:r>
            <w:r>
              <w:rPr>
                <w:rFonts w:hint="eastAsia" w:ascii="宋体" w:hAnsi="宋体" w:cs="宋体"/>
                <w:sz w:val="24"/>
                <w:highlight w:val="none"/>
              </w:rPr>
              <w:t>时间：,地点：，联系人：，联系方式：</w:t>
            </w:r>
            <w:r>
              <w:rPr>
                <w:rFonts w:hint="eastAsia" w:ascii="宋体" w:hAnsi="宋体" w:cs="宋体"/>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sdt>
              <w:sdtPr>
                <w:rPr>
                  <w:rFonts w:hint="eastAsia" w:ascii="宋体" w:hAnsi="宋体" w:cs="宋体"/>
                  <w:kern w:val="0"/>
                  <w:sz w:val="24"/>
                  <w:highlight w:val="none"/>
                </w:rPr>
                <w:id w:val="17"/>
              </w:sdtPr>
              <w:sdtEndPr>
                <w:rPr>
                  <w:rFonts w:hint="eastAsia" w:ascii="宋体" w:hAnsi="宋体" w:cs="宋体"/>
                  <w:kern w:val="0"/>
                  <w:sz w:val="24"/>
                  <w:highlight w:val="none"/>
                </w:rPr>
              </w:sdtEndPr>
              <w:sdtContent>
                <w:r>
                  <w:rPr>
                    <w:rFonts w:hint="eastAsia" w:ascii="MS Gothic" w:hAnsi="MS Gothic" w:cs="宋体"/>
                    <w:kern w:val="0"/>
                    <w:sz w:val="24"/>
                    <w:highlight w:val="none"/>
                  </w:rPr>
                  <w:t>☐</w:t>
                </w:r>
              </w:sdtContent>
            </w:sdt>
            <w:r>
              <w:rPr>
                <w:rFonts w:hint="eastAsia" w:ascii="宋体" w:hAnsi="宋体" w:cs="宋体"/>
                <w:kern w:val="0"/>
                <w:sz w:val="24"/>
                <w:highlight w:val="none"/>
              </w:rPr>
              <w:t>A</w:t>
            </w:r>
            <w:r>
              <w:rPr>
                <w:rFonts w:hint="eastAsia" w:ascii="宋体" w:hAnsi="宋体" w:cs="宋体"/>
                <w:sz w:val="24"/>
                <w:highlight w:val="none"/>
              </w:rPr>
              <w:t>不要求提供。</w:t>
            </w:r>
          </w:p>
          <w:p>
            <w:pPr>
              <w:spacing w:line="360" w:lineRule="auto"/>
              <w:rPr>
                <w:rFonts w:ascii="宋体" w:hAnsi="宋体" w:cs="宋体"/>
                <w:kern w:val="0"/>
                <w:sz w:val="24"/>
                <w:highlight w:val="none"/>
              </w:rPr>
            </w:pPr>
            <w:sdt>
              <w:sdtPr>
                <w:rPr>
                  <w:rFonts w:hint="eastAsia" w:ascii="宋体" w:hAnsi="宋体" w:cs="宋体"/>
                  <w:kern w:val="0"/>
                  <w:sz w:val="24"/>
                  <w:highlight w:val="none"/>
                </w:rPr>
                <w:id w:val="1026831988"/>
              </w:sdtPr>
              <w:sdtEndPr>
                <w:rPr>
                  <w:rFonts w:hint="eastAsia" w:ascii="宋体" w:hAnsi="宋体" w:cs="宋体"/>
                  <w:kern w:val="0"/>
                  <w:sz w:val="24"/>
                  <w:highlight w:val="none"/>
                </w:rPr>
              </w:sdtEndPr>
              <w:sdtContent>
                <w:r>
                  <w:rPr>
                    <w:rFonts w:ascii="Wingdings" w:hAnsi="Wingdings" w:eastAsia="MS Gothic" w:cs="宋体"/>
                    <w:kern w:val="0"/>
                    <w:sz w:val="24"/>
                    <w:highlight w:val="none"/>
                  </w:rPr>
                  <w:t></w:t>
                </w:r>
              </w:sdtContent>
            </w:sdt>
            <w:r>
              <w:rPr>
                <w:rFonts w:hint="eastAsia" w:ascii="宋体" w:hAnsi="宋体" w:cs="宋体"/>
                <w:kern w:val="0"/>
                <w:sz w:val="24"/>
                <w:highlight w:val="none"/>
              </w:rPr>
              <w:t>B要求提供（未提供样品的供应商，投标无效）：</w:t>
            </w:r>
          </w:p>
          <w:p>
            <w:pPr>
              <w:numPr>
                <w:ilvl w:val="0"/>
                <w:numId w:val="1"/>
              </w:numPr>
              <w:spacing w:line="360" w:lineRule="auto"/>
              <w:rPr>
                <w:rFonts w:ascii="宋体" w:hAnsi="宋体" w:cs="宋体"/>
                <w:kern w:val="0"/>
                <w:sz w:val="24"/>
                <w:highlight w:val="none"/>
              </w:rPr>
            </w:pPr>
            <w:r>
              <w:rPr>
                <w:rFonts w:hint="eastAsia" w:ascii="宋体" w:hAnsi="宋体" w:cs="宋体"/>
                <w:snapToGrid w:val="0"/>
                <w:kern w:val="28"/>
                <w:sz w:val="24"/>
                <w:highlight w:val="none"/>
              </w:rPr>
              <w:t>样品：</w:t>
            </w:r>
            <w:r>
              <w:rPr>
                <w:rFonts w:hint="eastAsia" w:ascii="宋体" w:hAnsi="宋体" w:cs="宋体"/>
                <w:snapToGrid w:val="0"/>
                <w:color w:val="auto"/>
                <w:kern w:val="28"/>
                <w:sz w:val="24"/>
                <w:highlight w:val="none"/>
                <w:u w:val="single"/>
              </w:rPr>
              <w:t>序号</w:t>
            </w:r>
            <w:r>
              <w:rPr>
                <w:rFonts w:hint="eastAsia" w:ascii="宋体" w:hAnsi="宋体" w:cs="宋体"/>
                <w:snapToGrid w:val="0"/>
                <w:color w:val="auto"/>
                <w:kern w:val="28"/>
                <w:sz w:val="24"/>
                <w:highlight w:val="none"/>
                <w:u w:val="single"/>
                <w:lang w:val="en-US" w:eastAsia="zh-CN"/>
              </w:rPr>
              <w:t>97</w:t>
            </w:r>
            <w:r>
              <w:rPr>
                <w:rFonts w:hint="eastAsia" w:ascii="宋体" w:hAnsi="宋体" w:cs="宋体"/>
                <w:snapToGrid w:val="0"/>
                <w:color w:val="auto"/>
                <w:kern w:val="28"/>
                <w:sz w:val="24"/>
                <w:highlight w:val="none"/>
                <w:u w:val="single"/>
              </w:rPr>
              <w:t>办公椅1</w:t>
            </w:r>
            <w:r>
              <w:rPr>
                <w:rFonts w:hint="eastAsia" w:ascii="宋体" w:hAnsi="宋体" w:cs="宋体"/>
                <w:color w:val="auto"/>
                <w:kern w:val="0"/>
                <w:sz w:val="24"/>
                <w:highlight w:val="none"/>
              </w:rPr>
              <w:t>；</w:t>
            </w:r>
          </w:p>
          <w:p>
            <w:pPr>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Theme="minorEastAsia" w:hAnsiTheme="minorEastAsia" w:eastAsiaTheme="minorEastAsia"/>
                <w:sz w:val="24"/>
                <w:highlight w:val="none"/>
                <w:u w:val="single"/>
              </w:rPr>
              <w:t>详见《第三部分 采购需求》中的要求</w:t>
            </w:r>
            <w:r>
              <w:rPr>
                <w:rFonts w:hint="eastAsia" w:cs="宋体" w:asciiTheme="minorEastAsia" w:hAnsiTheme="minorEastAsia" w:eastAsiaTheme="minorEastAsia"/>
                <w:kern w:val="0"/>
                <w:sz w:val="24"/>
                <w:highlight w:val="none"/>
              </w:rPr>
              <w:t>；</w:t>
            </w:r>
          </w:p>
          <w:p>
            <w:pPr>
              <w:spacing w:line="360" w:lineRule="auto"/>
              <w:rPr>
                <w:rFonts w:ascii="宋体" w:hAnsi="宋体" w:cs="宋体"/>
                <w:kern w:val="0"/>
                <w:sz w:val="24"/>
                <w:highlight w:val="none"/>
              </w:rPr>
            </w:pPr>
            <w:r>
              <w:rPr>
                <w:rFonts w:hint="eastAsia" w:ascii="宋体" w:hAnsi="宋体" w:cs="宋体"/>
                <w:kern w:val="0"/>
                <w:sz w:val="24"/>
                <w:highlight w:val="none"/>
              </w:rPr>
              <w:t>（3）样品的评审方法以及评审标准：</w:t>
            </w:r>
          </w:p>
          <w:p>
            <w:pPr>
              <w:spacing w:line="360" w:lineRule="auto"/>
              <w:ind w:firstLine="240" w:firstLineChars="100"/>
              <w:rPr>
                <w:rFonts w:ascii="宋体" w:hAnsi="宋体" w:cs="宋体"/>
                <w:color w:val="auto"/>
                <w:sz w:val="24"/>
                <w:highlight w:val="none"/>
              </w:rPr>
            </w:pPr>
            <w:sdt>
              <w:sdtPr>
                <w:rPr>
                  <w:rFonts w:hint="eastAsia" w:ascii="宋体" w:hAnsi="宋体" w:cs="宋体"/>
                  <w:color w:val="auto"/>
                  <w:kern w:val="0"/>
                  <w:sz w:val="24"/>
                  <w:highlight w:val="none"/>
                </w:rPr>
                <w:id w:val="19"/>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样品分未超过价格分的50%；</w:t>
            </w:r>
          </w:p>
          <w:p>
            <w:pPr>
              <w:spacing w:line="360" w:lineRule="auto"/>
              <w:ind w:firstLine="240" w:firstLineChars="100"/>
              <w:rPr>
                <w:rFonts w:ascii="宋体" w:hAnsi="宋体" w:cs="宋体"/>
                <w:color w:val="auto"/>
                <w:kern w:val="0"/>
                <w:sz w:val="24"/>
                <w:highlight w:val="none"/>
              </w:rPr>
            </w:pPr>
            <w:sdt>
              <w:sdtPr>
                <w:rPr>
                  <w:rFonts w:hint="eastAsia" w:ascii="宋体" w:hAnsi="宋体" w:cs="宋体"/>
                  <w:color w:val="auto"/>
                  <w:kern w:val="0"/>
                  <w:sz w:val="24"/>
                  <w:highlight w:val="none"/>
                </w:rPr>
                <w:id w:val="20"/>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样品分超过价格分的50%，理由</w:t>
            </w:r>
            <w:r>
              <w:rPr>
                <w:rFonts w:hint="eastAsia" w:ascii="宋体" w:hAnsi="宋体" w:cs="宋体"/>
                <w:color w:val="auto"/>
                <w:kern w:val="0"/>
                <w:sz w:val="24"/>
                <w:highlight w:val="none"/>
              </w:rPr>
              <w:t>；</w:t>
            </w:r>
          </w:p>
          <w:p>
            <w:pPr>
              <w:spacing w:line="360" w:lineRule="auto"/>
              <w:ind w:firstLine="240" w:firstLineChars="100"/>
              <w:rPr>
                <w:rFonts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 xml:space="preserve">。 </w:t>
            </w:r>
          </w:p>
          <w:p>
            <w:pPr>
              <w:spacing w:line="360" w:lineRule="auto"/>
              <w:rPr>
                <w:rFonts w:ascii="宋体" w:hAnsi="宋体" w:cs="宋体"/>
                <w:kern w:val="0"/>
                <w:sz w:val="24"/>
                <w:highlight w:val="none"/>
              </w:rPr>
            </w:pPr>
            <w:r>
              <w:rPr>
                <w:rFonts w:hint="eastAsia" w:ascii="宋体" w:hAnsi="宋体" w:cs="宋体"/>
                <w:kern w:val="0"/>
                <w:sz w:val="24"/>
                <w:highlight w:val="none"/>
              </w:rPr>
              <w:t>（4）是否需要随样品提交检测报告：</w:t>
            </w:r>
            <w:sdt>
              <w:sdtPr>
                <w:rPr>
                  <w:rFonts w:hint="eastAsia" w:ascii="宋体" w:hAnsi="宋体" w:cs="宋体"/>
                  <w:kern w:val="0"/>
                  <w:sz w:val="24"/>
                  <w:highlight w:val="none"/>
                </w:rPr>
                <w:id w:val="1303421454"/>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0"/>
                <w:sz w:val="24"/>
                <w:highlight w:val="none"/>
              </w:rPr>
              <w:t>否；</w:t>
            </w:r>
            <w:sdt>
              <w:sdtPr>
                <w:rPr>
                  <w:rFonts w:hint="eastAsia" w:ascii="宋体" w:hAnsi="宋体" w:cs="宋体"/>
                  <w:kern w:val="0"/>
                  <w:sz w:val="24"/>
                  <w:highlight w:val="none"/>
                </w:rPr>
                <w:id w:val="1621728433"/>
              </w:sdtPr>
              <w:sdtEndPr>
                <w:rPr>
                  <w:rFonts w:hint="eastAsia" w:ascii="宋体" w:hAnsi="宋体" w:cs="宋体"/>
                  <w:kern w:val="0"/>
                  <w:sz w:val="24"/>
                  <w:highlight w:val="none"/>
                </w:rPr>
              </w:sdtEndPr>
              <w:sdtContent>
                <w:r>
                  <w:rPr>
                    <w:rFonts w:hint="eastAsia" w:ascii="MS Gothic" w:hAnsi="MS Gothic" w:eastAsia="MS Gothic" w:cs="宋体"/>
                    <w:kern w:val="0"/>
                    <w:sz w:val="24"/>
                    <w:highlight w:val="none"/>
                  </w:rPr>
                  <w:t>☐</w:t>
                </w:r>
              </w:sdtContent>
            </w:sdt>
            <w:r>
              <w:rPr>
                <w:rFonts w:hint="eastAsia" w:ascii="宋体" w:hAnsi="宋体" w:cs="宋体"/>
                <w:kern w:val="0"/>
                <w:sz w:val="24"/>
                <w:highlight w:val="none"/>
              </w:rPr>
              <w:t>是，检测机构的要求</w:t>
            </w:r>
            <w:r>
              <w:rPr>
                <w:rFonts w:hint="eastAsia" w:ascii="宋体" w:hAnsi="宋体" w:cs="宋体"/>
                <w:sz w:val="24"/>
                <w:highlight w:val="none"/>
              </w:rPr>
              <w:t>：</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kern w:val="0"/>
                <w:sz w:val="24"/>
                <w:highlight w:val="none"/>
              </w:rPr>
              <w:t>。</w:t>
            </w:r>
          </w:p>
          <w:p>
            <w:pPr>
              <w:spacing w:line="360" w:lineRule="auto"/>
              <w:rPr>
                <w:rFonts w:ascii="宋体" w:hAnsi="宋体" w:cs="宋体"/>
                <w:sz w:val="24"/>
                <w:highlight w:val="none"/>
              </w:rPr>
            </w:pPr>
            <w:r>
              <w:rPr>
                <w:rFonts w:hint="eastAsia" w:ascii="宋体" w:hAnsi="宋体" w:cs="宋体"/>
                <w:sz w:val="24"/>
                <w:highlight w:val="none"/>
              </w:rPr>
              <w:t>（5）提供样品的时间：</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日9点00分至2024年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日9点30分</w:t>
            </w:r>
            <w:r>
              <w:rPr>
                <w:rFonts w:hint="eastAsia" w:ascii="宋体" w:hAnsi="宋体" w:cs="宋体"/>
                <w:sz w:val="24"/>
                <w:highlight w:val="none"/>
              </w:rPr>
              <w:t>；地点：</w:t>
            </w:r>
            <w:r>
              <w:rPr>
                <w:rFonts w:hint="eastAsia" w:ascii="宋体" w:hAnsi="宋体" w:cs="宋体"/>
                <w:sz w:val="24"/>
                <w:highlight w:val="none"/>
                <w:u w:val="single"/>
              </w:rPr>
              <w:t>杭州市拱墅区香积寺东路58号3楼样品陈列室</w:t>
            </w:r>
            <w:r>
              <w:rPr>
                <w:rFonts w:hint="eastAsia" w:ascii="宋体" w:hAnsi="宋体" w:cs="宋体"/>
                <w:sz w:val="24"/>
                <w:highlight w:val="none"/>
              </w:rPr>
              <w:t>；联系人:</w:t>
            </w:r>
            <w:r>
              <w:rPr>
                <w:rFonts w:hint="eastAsia" w:ascii="宋体" w:hAnsi="宋体" w:cs="宋体"/>
                <w:sz w:val="24"/>
                <w:highlight w:val="none"/>
                <w:u w:val="single"/>
              </w:rPr>
              <w:t>孙工</w:t>
            </w:r>
            <w:r>
              <w:rPr>
                <w:rFonts w:hint="eastAsia" w:ascii="宋体" w:hAnsi="宋体" w:cs="宋体"/>
                <w:sz w:val="24"/>
                <w:highlight w:val="none"/>
              </w:rPr>
              <w:t>，联系电话：</w:t>
            </w:r>
            <w:r>
              <w:rPr>
                <w:rFonts w:hint="eastAsia" w:ascii="宋体" w:hAnsi="宋体" w:cs="宋体"/>
                <w:sz w:val="24"/>
                <w:highlight w:val="none"/>
                <w:u w:val="single"/>
              </w:rPr>
              <w:t>0571-89507115</w:t>
            </w:r>
            <w:r>
              <w:rPr>
                <w:rFonts w:hint="eastAsia" w:ascii="宋体" w:hAnsi="宋体" w:cs="宋体"/>
                <w:sz w:val="24"/>
                <w:highlight w:val="none"/>
              </w:rPr>
              <w:t>。</w:t>
            </w:r>
            <w:r>
              <w:rPr>
                <w:rFonts w:hint="eastAsia" w:cs="宋体" w:asciiTheme="minorEastAsia" w:hAnsiTheme="minorEastAsia" w:eastAsiaTheme="minorEastAsia"/>
                <w:b/>
                <w:bCs/>
                <w:color w:val="auto"/>
                <w:sz w:val="24"/>
                <w:highlight w:val="none"/>
              </w:rPr>
              <w:t>请投标人在上述时间内提供样品且自行携带遮盖物件。</w:t>
            </w:r>
            <w:r>
              <w:rPr>
                <w:rFonts w:hint="eastAsia" w:ascii="宋体" w:hAnsi="宋体" w:cs="宋体"/>
                <w:sz w:val="24"/>
                <w:highlight w:val="none"/>
              </w:rPr>
              <w:t>超过截止时间的，采购人或采购代理机构将不予接收，并将清场并封闭样品现场。</w:t>
            </w:r>
          </w:p>
          <w:p>
            <w:pPr>
              <w:spacing w:line="360" w:lineRule="auto"/>
              <w:rPr>
                <w:rFonts w:ascii="宋体" w:hAnsi="宋体" w:cs="宋体"/>
                <w:sz w:val="24"/>
                <w:highlight w:val="none"/>
              </w:rPr>
            </w:pPr>
            <w:r>
              <w:rPr>
                <w:rFonts w:hint="eastAsia" w:ascii="宋体" w:hAnsi="宋体" w:cs="宋体"/>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宋体" w:hAnsi="宋体" w:cs="宋体"/>
                <w:b/>
                <w:sz w:val="24"/>
                <w:highlight w:val="none"/>
              </w:rPr>
            </w:pPr>
            <w:r>
              <w:rPr>
                <w:rFonts w:hint="eastAsia" w:ascii="宋体" w:hAnsi="宋体" w:cs="宋体"/>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highlight w:val="none"/>
              </w:rPr>
            </w:pPr>
            <w:r>
              <w:rPr>
                <w:rFonts w:hint="eastAsia" w:ascii="宋体" w:hAnsi="宋体" w:cs="宋体"/>
                <w:b/>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3"/>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（1）在评标时安排每个投标人进行方案讲解演示。每个投标人时间不超过10分钟，讲解次序以投标文件解密时间先后次序为准，讲解演示人员不超过3人。讲解演示结束后按要求解答评标委员会提问。</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（2）方案讲解演示可选择以下其中一种方式：</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方式二：交易中心现场讲解演示。现场讲解地点为，讲解演示所用电脑等设备由投标人自备。现场讲解演示人员进场时提供讲解人员名单（加盖公章或授权代表签名）及身份证明，否则不得讲解演示。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highlight w:val="none"/>
                <w:lang w:val="zh-CN"/>
              </w:rPr>
            </w:pPr>
            <w:r>
              <w:rPr>
                <w:rFonts w:hint="eastAsia" w:ascii="宋体" w:hAnsi="宋体" w:cs="宋体"/>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（1）资格证明文件：见招标文件第二部分11.1。</w:t>
            </w:r>
          </w:p>
          <w:p>
            <w:pPr>
              <w:spacing w:line="360" w:lineRule="auto"/>
              <w:rPr>
                <w:rFonts w:ascii="宋体" w:hAnsi="宋体" w:cs="宋体"/>
                <w:snapToGrid w:val="0"/>
                <w:kern w:val="0"/>
                <w:szCs w:val="21"/>
                <w:highlight w:val="none"/>
              </w:rPr>
            </w:pPr>
            <w:r>
              <w:rPr>
                <w:rFonts w:hint="eastAsia" w:ascii="宋体" w:hAnsi="宋体" w:cs="宋体"/>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lang w:val="zh-CN"/>
              </w:rPr>
            </w:pPr>
            <w:sdt>
              <w:sdtPr>
                <w:rPr>
                  <w:rFonts w:hint="eastAsia" w:ascii="宋体" w:hAnsi="宋体" w:cs="宋体"/>
                  <w:kern w:val="0"/>
                  <w:sz w:val="24"/>
                  <w:highlight w:val="none"/>
                </w:rPr>
                <w:id w:val="386232013"/>
              </w:sdtPr>
              <w:sdtEndPr>
                <w:rPr>
                  <w:rFonts w:hint="eastAsia" w:ascii="宋体" w:hAnsi="宋体" w:cs="宋体"/>
                  <w:kern w:val="0"/>
                  <w:sz w:val="24"/>
                  <w:highlight w:val="none"/>
                  <w:lang w:val="zh-CN"/>
                </w:rPr>
              </w:sdtEndPr>
              <w:sdtContent>
                <w:r>
                  <w:rPr>
                    <w:rFonts w:ascii="Wingdings" w:hAnsi="Wingdings" w:cs="宋体"/>
                    <w:kern w:val="0"/>
                    <w:sz w:val="24"/>
                    <w:highlight w:val="none"/>
                    <w:lang w:val="zh-CN"/>
                  </w:rPr>
                  <w:sym w:font="Wingdings" w:char="00FE"/>
                </w:r>
              </w:sdtContent>
            </w:sdt>
            <w:r>
              <w:rPr>
                <w:rFonts w:hint="eastAsia" w:ascii="宋体" w:hAnsi="宋体" w:cs="宋体"/>
                <w:kern w:val="0"/>
                <w:sz w:val="24"/>
                <w:highlight w:val="none"/>
                <w:lang w:val="zh-CN"/>
              </w:rPr>
              <w:t>依据国家确定的认证机构出具的、处于有效期之内的节能产品认证证书，对获得证书的产品实施政府优先采购或强制采购；其中，</w:t>
            </w:r>
            <w:r>
              <w:rPr>
                <w:rFonts w:hint="eastAsia" w:ascii="宋体" w:hAnsi="宋体" w:cs="宋体"/>
                <w:color w:val="auto"/>
                <w:kern w:val="0"/>
                <w:sz w:val="24"/>
                <w:highlight w:val="none"/>
                <w:lang w:val="zh-CN"/>
              </w:rPr>
              <w:t>对</w:t>
            </w:r>
            <w:r>
              <w:rPr>
                <w:rFonts w:hint="eastAsia" w:ascii="宋体" w:hAnsi="宋体" w:cs="宋体"/>
                <w:color w:val="auto"/>
                <w:kern w:val="0"/>
                <w:sz w:val="24"/>
                <w:highlight w:val="none"/>
                <w:u w:val="single"/>
              </w:rPr>
              <w:t>无产品</w:t>
            </w:r>
            <w:r>
              <w:rPr>
                <w:rFonts w:hint="eastAsia" w:ascii="宋体" w:hAnsi="宋体" w:cs="宋体"/>
                <w:color w:val="auto"/>
                <w:kern w:val="0"/>
                <w:sz w:val="24"/>
                <w:highlight w:val="none"/>
                <w:lang w:val="zh-CN"/>
              </w:rPr>
              <w:t>实施政府优先采购，</w:t>
            </w:r>
            <w:r>
              <w:rPr>
                <w:rFonts w:hint="eastAsia" w:ascii="宋体" w:hAnsi="宋体" w:cs="宋体"/>
                <w:kern w:val="0"/>
                <w:sz w:val="24"/>
                <w:highlight w:val="none"/>
              </w:rPr>
              <w:t>详</w:t>
            </w:r>
            <w:r>
              <w:rPr>
                <w:rFonts w:hint="eastAsia" w:ascii="宋体" w:hAnsi="宋体" w:cs="宋体"/>
                <w:kern w:val="0"/>
                <w:sz w:val="24"/>
                <w:highlight w:val="none"/>
                <w:lang w:val="zh-CN"/>
              </w:rPr>
              <w:t>见</w:t>
            </w:r>
            <w:r>
              <w:rPr>
                <w:rFonts w:hint="eastAsia" w:ascii="宋体" w:hAnsi="宋体" w:cs="宋体"/>
                <w:kern w:val="0"/>
                <w:sz w:val="24"/>
                <w:highlight w:val="none"/>
                <w:u w:val="single"/>
                <w:lang w:val="zh-CN"/>
              </w:rPr>
              <w:t>评分</w:t>
            </w:r>
            <w:r>
              <w:rPr>
                <w:rFonts w:hint="eastAsia" w:ascii="宋体" w:hAnsi="宋体" w:cs="宋体"/>
                <w:color w:val="auto"/>
                <w:kern w:val="0"/>
                <w:sz w:val="24"/>
                <w:highlight w:val="none"/>
                <w:u w:val="single"/>
                <w:lang w:val="zh-CN"/>
              </w:rPr>
              <w:t>标准</w:t>
            </w:r>
            <w:r>
              <w:rPr>
                <w:rFonts w:hint="eastAsia" w:ascii="宋体" w:hAnsi="宋体" w:cs="宋体"/>
                <w:color w:val="auto"/>
                <w:kern w:val="0"/>
                <w:sz w:val="24"/>
                <w:highlight w:val="none"/>
                <w:lang w:val="zh-CN"/>
              </w:rPr>
              <w:t>；</w:t>
            </w:r>
            <w:r>
              <w:rPr>
                <w:rFonts w:hint="eastAsia" w:ascii="宋体" w:hAnsi="宋体" w:cs="宋体"/>
                <w:color w:val="auto"/>
                <w:sz w:val="24"/>
                <w:highlight w:val="none"/>
              </w:rPr>
              <w:t>▲</w:t>
            </w:r>
            <w:r>
              <w:rPr>
                <w:rFonts w:hint="eastAsia" w:ascii="宋体" w:hAnsi="宋体" w:cs="宋体"/>
                <w:color w:val="auto"/>
                <w:kern w:val="0"/>
                <w:sz w:val="24"/>
                <w:highlight w:val="none"/>
                <w:lang w:val="zh-CN"/>
              </w:rPr>
              <w:t>对</w:t>
            </w:r>
            <w:r>
              <w:rPr>
                <w:rFonts w:hint="eastAsia" w:ascii="宋体" w:hAnsi="宋体" w:cs="宋体"/>
                <w:color w:val="auto"/>
                <w:kern w:val="0"/>
                <w:sz w:val="24"/>
                <w:highlight w:val="none"/>
                <w:u w:val="single"/>
              </w:rPr>
              <w:t>无产品</w:t>
            </w:r>
            <w:r>
              <w:rPr>
                <w:rFonts w:hint="eastAsia" w:ascii="宋体" w:hAnsi="宋体" w:cs="宋体"/>
                <w:color w:val="auto"/>
                <w:kern w:val="0"/>
                <w:sz w:val="24"/>
                <w:highlight w:val="none"/>
                <w:lang w:val="zh-CN"/>
              </w:rPr>
              <w:t>实施政府强制采购，</w:t>
            </w:r>
            <w:r>
              <w:rPr>
                <w:rFonts w:hint="eastAsia" w:ascii="宋体" w:hAnsi="宋体" w:cs="宋体"/>
                <w:b/>
                <w:bCs/>
                <w:color w:val="auto"/>
                <w:kern w:val="0"/>
                <w:sz w:val="24"/>
                <w:highlight w:val="none"/>
                <w:lang w:val="zh-CN"/>
              </w:rPr>
              <w:t>投标人</w:t>
            </w:r>
            <w:r>
              <w:rPr>
                <w:rFonts w:hint="eastAsia" w:ascii="宋体" w:hAnsi="宋体" w:cs="宋体"/>
                <w:b/>
                <w:bCs/>
                <w:color w:val="auto"/>
                <w:kern w:val="0"/>
                <w:sz w:val="24"/>
                <w:highlight w:val="none"/>
              </w:rPr>
              <w:t>就</w:t>
            </w:r>
            <w:r>
              <w:rPr>
                <w:rFonts w:hint="eastAsia" w:ascii="宋体" w:hAnsi="宋体" w:cs="宋体"/>
                <w:b/>
                <w:bCs/>
                <w:color w:val="auto"/>
                <w:kern w:val="0"/>
                <w:sz w:val="24"/>
                <w:highlight w:val="none"/>
                <w:lang w:val="zh-CN"/>
              </w:rPr>
              <w:t>相应的投标产品未</w:t>
            </w:r>
            <w:r>
              <w:rPr>
                <w:rFonts w:hint="eastAsia" w:ascii="宋体" w:hAnsi="宋体" w:cs="宋体"/>
                <w:b/>
                <w:bCs/>
                <w:color w:val="auto"/>
                <w:kern w:val="0"/>
                <w:sz w:val="24"/>
                <w:highlight w:val="none"/>
              </w:rPr>
              <w:t>提供</w:t>
            </w:r>
            <w:r>
              <w:rPr>
                <w:rFonts w:hint="eastAsia" w:ascii="宋体" w:hAnsi="宋体" w:cs="宋体"/>
                <w:b/>
                <w:bCs/>
                <w:color w:val="auto"/>
                <w:kern w:val="0"/>
                <w:sz w:val="24"/>
                <w:highlight w:val="none"/>
                <w:lang w:val="zh-CN"/>
              </w:rPr>
              <w:t>国家确定的认证机构出具的、处于有效期之内的节能产品认证证书的，投标无效</w:t>
            </w:r>
            <w:r>
              <w:rPr>
                <w:rFonts w:hint="eastAsia" w:ascii="宋体" w:hAnsi="宋体" w:cs="宋体"/>
                <w:color w:val="auto"/>
                <w:kern w:val="0"/>
                <w:sz w:val="24"/>
                <w:highlight w:val="none"/>
                <w:lang w:val="zh-CN"/>
              </w:rPr>
              <w:t>。</w:t>
            </w:r>
          </w:p>
          <w:p>
            <w:pPr>
              <w:spacing w:line="360" w:lineRule="auto"/>
              <w:rPr>
                <w:rFonts w:ascii="宋体" w:hAnsi="宋体" w:cs="宋体"/>
                <w:color w:val="auto"/>
                <w:kern w:val="0"/>
                <w:sz w:val="24"/>
                <w:highlight w:val="none"/>
                <w:lang w:val="zh-CN"/>
              </w:rPr>
            </w:pPr>
            <w:sdt>
              <w:sdtPr>
                <w:rPr>
                  <w:rFonts w:hint="eastAsia" w:ascii="宋体" w:hAnsi="宋体" w:cs="宋体"/>
                  <w:color w:val="auto"/>
                  <w:kern w:val="0"/>
                  <w:sz w:val="24"/>
                  <w:highlight w:val="none"/>
                  <w:lang w:val="zh-CN"/>
                </w:rPr>
                <w:id w:val="93515011"/>
              </w:sdtPr>
              <w:sdtEndPr>
                <w:rPr>
                  <w:rFonts w:hint="eastAsia" w:ascii="宋体" w:hAnsi="宋体" w:cs="宋体"/>
                  <w:color w:val="auto"/>
                  <w:kern w:val="0"/>
                  <w:sz w:val="24"/>
                  <w:highlight w:val="none"/>
                  <w:lang w:val="zh-CN"/>
                </w:rPr>
              </w:sdtEndPr>
              <w:sdtContent>
                <w:r>
                  <w:rPr>
                    <w:rFonts w:ascii="Wingdings" w:hAnsi="Wingdings" w:cs="宋体"/>
                    <w:color w:val="auto"/>
                    <w:kern w:val="0"/>
                    <w:sz w:val="24"/>
                    <w:highlight w:val="none"/>
                    <w:lang w:val="zh-CN"/>
                  </w:rPr>
                  <w:t></w:t>
                </w:r>
              </w:sdtContent>
            </w:sdt>
            <w:r>
              <w:rPr>
                <w:rFonts w:hint="eastAsia" w:ascii="宋体" w:hAnsi="宋体" w:cs="宋体"/>
                <w:color w:val="auto"/>
                <w:kern w:val="0"/>
                <w:sz w:val="24"/>
                <w:highlight w:val="none"/>
                <w:lang w:val="zh-CN"/>
              </w:rPr>
              <w:t>依据国家确定的认证机构出具的、处于有效期之内的环境标志产品认证证书，对获得证书的</w:t>
            </w:r>
            <w:r>
              <w:rPr>
                <w:rFonts w:hint="eastAsia" w:cs="宋体" w:asciiTheme="minorEastAsia" w:hAnsiTheme="minorEastAsia" w:eastAsiaTheme="minorEastAsia"/>
                <w:b/>
                <w:color w:val="auto"/>
                <w:kern w:val="0"/>
                <w:sz w:val="24"/>
                <w:highlight w:val="none"/>
                <w:u w:val="single"/>
              </w:rPr>
              <w:t>采购需求-采购清单内所有货物</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p>
          <w:p>
            <w:pPr>
              <w:spacing w:line="360" w:lineRule="auto"/>
              <w:rPr>
                <w:highlight w:val="none"/>
              </w:rPr>
            </w:pPr>
            <w:sdt>
              <w:sdtPr>
                <w:rPr>
                  <w:rFonts w:hint="eastAsia" w:ascii="宋体" w:hAnsi="宋体" w:cs="宋体"/>
                  <w:color w:val="auto"/>
                  <w:kern w:val="0"/>
                  <w:sz w:val="24"/>
                  <w:highlight w:val="none"/>
                </w:rPr>
                <w:id w:val="27"/>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highlight w:val="none"/>
                <w:lang w:val="zh-CN"/>
              </w:rPr>
              <w:t>投标文件中价格全部采用人民币报价。招标文件未列明，而投标人认为必需的费用也需列入报价。</w:t>
            </w:r>
            <w:r>
              <w:rPr>
                <w:rFonts w:hint="eastAsia" w:ascii="宋体" w:hAnsi="宋体" w:cs="宋体"/>
                <w:b/>
                <w:kern w:val="0"/>
                <w:sz w:val="24"/>
                <w:highlight w:val="none"/>
                <w:lang w:val="zh-CN"/>
              </w:rPr>
              <w:t>提醒：验收时检测费用由采购人承担，不包含在投标总价中。</w:t>
            </w:r>
          </w:p>
          <w:p>
            <w:pPr>
              <w:snapToGrid w:val="0"/>
              <w:spacing w:line="360" w:lineRule="auto"/>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sz w:val="24"/>
                <w:highlight w:val="none"/>
              </w:rPr>
            </w:pPr>
            <w:r>
              <w:rPr>
                <w:rFonts w:hint="eastAsia" w:ascii="宋体" w:hAnsi="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highlight w:val="none"/>
              </w:rPr>
              <w:t>;</w:t>
            </w:r>
          </w:p>
          <w:p>
            <w:pPr>
              <w:spacing w:line="360" w:lineRule="auto"/>
              <w:ind w:firstLine="241" w:firstLineChars="100"/>
              <w:rPr>
                <w:rFonts w:ascii="宋体" w:hAnsi="宋体" w:cs="宋体"/>
                <w:sz w:val="24"/>
                <w:highlight w:val="none"/>
              </w:rPr>
            </w:pPr>
            <w:r>
              <w:rPr>
                <w:rFonts w:hint="eastAsia" w:ascii="宋体" w:hAnsi="宋体" w:cs="宋体"/>
                <w:b/>
                <w:kern w:val="0"/>
                <w:sz w:val="24"/>
                <w:highlight w:val="none"/>
              </w:rPr>
              <w:t>投标人对根据修正原则修正后的报价不确认的</w:t>
            </w:r>
            <w:r>
              <w:rPr>
                <w:rFonts w:hint="eastAsia" w:ascii="宋体" w:hAnsi="宋体" w:cs="宋体"/>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5"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z w:val="24"/>
                <w:highlight w:val="none"/>
              </w:rPr>
            </w:pPr>
            <w:r>
              <w:rPr>
                <w:rFonts w:hint="eastAsia" w:ascii="宋体" w:hAnsi="宋体" w:cs="宋体"/>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hAnsi="宋体" w:cs="宋体"/>
                <w:kern w:val="28"/>
                <w:sz w:val="24"/>
                <w:highlight w:val="none"/>
              </w:rPr>
            </w:pPr>
            <w:r>
              <w:rPr>
                <w:rFonts w:hint="eastAsia" w:hAnsi="宋体" w:cs="宋体"/>
                <w:kern w:val="28"/>
                <w:sz w:val="24"/>
                <w:szCs w:val="24"/>
                <w:highlight w:val="none"/>
              </w:rPr>
              <w:t>备份投标文件送达地点：</w:t>
            </w:r>
            <w:r>
              <w:rPr>
                <w:rFonts w:hint="eastAsia" w:cs="Times New Roman" w:asciiTheme="minorEastAsia" w:hAnsiTheme="minorEastAsia" w:eastAsiaTheme="minorEastAsia"/>
                <w:kern w:val="28"/>
                <w:sz w:val="24"/>
                <w:szCs w:val="24"/>
                <w:highlight w:val="none"/>
                <w:u w:val="single"/>
              </w:rPr>
              <w:t>杭州市拱墅区香积寺东路58号3楼353办公室（杭州市公共资源交易中心拱墅分中心）</w:t>
            </w:r>
            <w:r>
              <w:rPr>
                <w:rFonts w:hint="eastAsia" w:hAnsi="宋体" w:cs="宋体"/>
                <w:kern w:val="28"/>
                <w:sz w:val="24"/>
                <w:szCs w:val="24"/>
                <w:highlight w:val="none"/>
              </w:rPr>
              <w:t>；备份投标文件签收人员联系电话：</w:t>
            </w:r>
            <w:r>
              <w:rPr>
                <w:rFonts w:hint="eastAsia" w:hAnsi="宋体" w:cs="宋体"/>
                <w:sz w:val="24"/>
                <w:highlight w:val="none"/>
                <w:u w:val="single"/>
              </w:rPr>
              <w:t xml:space="preserve"> 0571-89507163</w:t>
            </w:r>
            <w:r>
              <w:rPr>
                <w:rFonts w:hint="eastAsia" w:hAnsi="宋体" w:cs="宋体"/>
                <w:sz w:val="24"/>
                <w:szCs w:val="24"/>
                <w:highlight w:val="none"/>
              </w:rPr>
              <w:t>。</w:t>
            </w:r>
            <w:r>
              <w:rPr>
                <w:rFonts w:hint="eastAsia" w:hAnsi="宋体" w:cs="宋体"/>
                <w:b/>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cs="仿宋_GB2312" w:asciiTheme="minorEastAsia" w:hAnsiTheme="minorEastAsia" w:eastAsiaTheme="minorEastAsia"/>
                <w:b/>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highlight w:val="none"/>
              </w:rPr>
            </w:pPr>
            <w:r>
              <w:rPr>
                <w:rFonts w:hint="eastAsia" w:ascii="宋体" w:hAnsi="宋体" w:cs="宋体"/>
                <w:snapToGrid w:val="0"/>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28"/>
              </w:sdtPr>
              <w:sdtEndPr>
                <w:rPr>
                  <w:rFonts w:hint="eastAsia" w:cs="Arial" w:asciiTheme="minorEastAsia" w:hAnsiTheme="minorEastAsia" w:eastAsiaTheme="minorEastAsia"/>
                  <w:kern w:val="0"/>
                  <w:sz w:val="24"/>
                  <w:highlight w:val="none"/>
                </w:rPr>
              </w:sdtEndPr>
              <w:sdtContent>
                <w:r>
                  <w:rPr>
                    <w:rFonts w:hint="eastAsia" w:ascii="MS Mincho" w:hAnsi="MS Mincho" w:eastAsia="MS Mincho" w:cs="MS Mincho"/>
                    <w:kern w:val="0"/>
                    <w:sz w:val="24"/>
                    <w:highlight w:val="none"/>
                  </w:rPr>
                  <w:t>☐</w:t>
                </w:r>
              </w:sdtContent>
            </w:sdt>
            <w:r>
              <w:rPr>
                <w:rFonts w:hint="eastAsia" w:ascii="宋体" w:hAnsi="宋体" w:cs="宋体"/>
                <w:snapToGrid w:val="0"/>
                <w:kern w:val="28"/>
                <w:sz w:val="24"/>
                <w:highlight w:val="none"/>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1052570136"/>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ascii="宋体" w:hAnsi="宋体" w:cs="宋体"/>
                <w:snapToGrid w:val="0"/>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评审因素对应的要求视为采购需求的一部分。</w:t>
            </w:r>
          </w:p>
        </w:tc>
      </w:tr>
    </w:tbl>
    <w:p>
      <w:pPr>
        <w:snapToGrid w:val="0"/>
        <w:spacing w:line="360" w:lineRule="auto"/>
        <w:jc w:val="center"/>
        <w:rPr>
          <w:rFonts w:ascii="宋体" w:hAnsi="宋体" w:cs="宋体"/>
          <w:b/>
          <w:sz w:val="32"/>
          <w:szCs w:val="20"/>
          <w:highlight w:val="none"/>
        </w:rPr>
      </w:pPr>
    </w:p>
    <w:bookmarkEnd w:id="10"/>
    <w:p>
      <w:pPr>
        <w:adjustRightInd/>
        <w:spacing w:line="360" w:lineRule="auto"/>
        <w:ind w:firstLine="3845" w:firstLineChars="1197"/>
        <w:outlineLvl w:val="1"/>
        <w:rPr>
          <w:rFonts w:ascii="宋体" w:hAnsi="宋体" w:cs="宋体"/>
          <w:b/>
          <w:sz w:val="32"/>
          <w:szCs w:val="20"/>
          <w:highlight w:val="none"/>
        </w:rPr>
      </w:pPr>
      <w:bookmarkStart w:id="13" w:name="第三部分"/>
      <w:bookmarkStart w:id="14" w:name="_Toc164416483"/>
      <w:r>
        <w:rPr>
          <w:rFonts w:hint="eastAsia" w:ascii="宋体" w:hAnsi="宋体" w:cs="宋体"/>
          <w:b/>
          <w:sz w:val="32"/>
          <w:szCs w:val="20"/>
          <w:highlight w:val="none"/>
        </w:rPr>
        <w:t>一、总则</w:t>
      </w:r>
    </w:p>
    <w:p>
      <w:pPr>
        <w:snapToGrid w:val="0"/>
        <w:spacing w:line="360" w:lineRule="auto"/>
        <w:ind w:firstLine="361" w:firstLineChars="150"/>
        <w:jc w:val="left"/>
        <w:rPr>
          <w:rFonts w:ascii="宋体" w:hAnsi="宋体" w:cs="宋体"/>
          <w:b/>
          <w:sz w:val="24"/>
          <w:highlight w:val="none"/>
        </w:rPr>
      </w:pPr>
      <w:r>
        <w:rPr>
          <w:rFonts w:hint="eastAsia" w:ascii="宋体" w:hAnsi="宋体" w:cs="宋体"/>
          <w:b/>
          <w:sz w:val="24"/>
          <w:highlight w:val="none"/>
        </w:rPr>
        <w:t>1. 适用范围</w:t>
      </w:r>
    </w:p>
    <w:p>
      <w:pPr>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本招标文件适用于该项目的招标、投标、开标、资格审查及信用信息查询、评标、定标、合同、验收等行为（法律、法规另有规定的，从其规定）。</w:t>
      </w:r>
    </w:p>
    <w:p>
      <w:pPr>
        <w:snapToGrid w:val="0"/>
        <w:spacing w:line="360" w:lineRule="auto"/>
        <w:ind w:firstLine="361" w:firstLineChars="150"/>
        <w:jc w:val="left"/>
        <w:rPr>
          <w:rFonts w:ascii="宋体" w:hAnsi="宋体" w:cs="宋体"/>
          <w:b/>
          <w:sz w:val="24"/>
          <w:highlight w:val="none"/>
        </w:rPr>
      </w:pPr>
      <w:r>
        <w:rPr>
          <w:rFonts w:hint="eastAsia" w:ascii="宋体" w:hAnsi="宋体" w:cs="宋体"/>
          <w:b/>
          <w:sz w:val="24"/>
          <w:highlight w:val="none"/>
        </w:rPr>
        <w:t>2.定义</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2.1 “采购人”系指招标公告中载明的本项目的采购人。</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2.2 “采购机构”系指招标公告中载明的本项目的采购机构。</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2.3 “投标人”系指是指响应招标、参加投标竞争的法人、其他组织或者自然人。</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2.6“电子交易平台”是指本项目政府采购活动所依托的政府采购云平台（https://www.zcygov.cn/）。</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2.7 “▲” 系指实质性要求条款，“</w:t>
      </w:r>
      <w:sdt>
        <w:sdtPr>
          <w:rPr>
            <w:rFonts w:hint="eastAsia" w:ascii="宋体" w:hAnsi="宋体" w:cs="宋体"/>
            <w:kern w:val="0"/>
            <w:sz w:val="24"/>
            <w:highlight w:val="none"/>
          </w:rPr>
          <w:id w:val="512970236"/>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sz w:val="24"/>
          <w:highlight w:val="none"/>
        </w:rPr>
        <w:t>” 系指适用本项目的要求，“</w:t>
      </w:r>
      <w:sdt>
        <w:sdtPr>
          <w:rPr>
            <w:rFonts w:hint="eastAsia" w:ascii="宋体" w:hAnsi="宋体" w:cs="宋体"/>
            <w:kern w:val="0"/>
            <w:sz w:val="24"/>
            <w:highlight w:val="none"/>
          </w:rPr>
          <w:id w:val="404888855"/>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 系指不适用本项目的要求。</w:t>
      </w:r>
    </w:p>
    <w:p>
      <w:pPr>
        <w:spacing w:line="360" w:lineRule="auto"/>
        <w:ind w:firstLine="241" w:firstLineChars="100"/>
        <w:rPr>
          <w:rFonts w:ascii="宋体" w:hAnsi="宋体" w:cs="宋体"/>
          <w:b/>
          <w:sz w:val="24"/>
          <w:highlight w:val="none"/>
        </w:rPr>
      </w:pPr>
      <w:r>
        <w:rPr>
          <w:rFonts w:hint="eastAsia" w:ascii="宋体" w:hAnsi="宋体" w:cs="宋体"/>
          <w:b/>
          <w:sz w:val="24"/>
          <w:highlight w:val="none"/>
        </w:rPr>
        <w:t>3.采购项目需要落实的政府采购政策</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highlight w:val="none"/>
        </w:rPr>
        <w:t>优先采购向我国企业转让技术、与我国企业签订消化吸收再创新方案的供应商的进口产品</w:t>
      </w:r>
      <w:r>
        <w:rPr>
          <w:rFonts w:hint="eastAsia" w:ascii="宋体" w:hAnsi="宋体" w:cs="宋体"/>
          <w:sz w:val="24"/>
          <w:highlight w:val="none"/>
        </w:rPr>
        <w:t>。</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3.2 支持绿色发展</w:t>
      </w:r>
    </w:p>
    <w:p>
      <w:pPr>
        <w:spacing w:line="360" w:lineRule="auto"/>
        <w:ind w:firstLine="480" w:firstLineChars="200"/>
        <w:rPr>
          <w:rFonts w:ascii="宋体" w:hAnsi="宋体" w:cs="宋体"/>
          <w:b/>
          <w:sz w:val="24"/>
          <w:highlight w:val="none"/>
        </w:rPr>
      </w:pPr>
      <w:r>
        <w:rPr>
          <w:rFonts w:hint="eastAsia" w:ascii="宋体" w:hAnsi="宋体" w:cs="宋体"/>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sz w:val="24"/>
          <w:highlight w:val="none"/>
        </w:rPr>
        <w:t>优先采购绿色包装产品、绿色物流配送服务以及循环利用产品</w:t>
      </w:r>
      <w:bookmarkEnd w:id="15"/>
      <w:r>
        <w:rPr>
          <w:rFonts w:hint="eastAsia" w:ascii="宋体" w:hAnsi="宋体" w:cs="宋体"/>
          <w:sz w:val="24"/>
          <w:highlight w:val="none"/>
        </w:rPr>
        <w:t>。</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3.3支持中小企业发展</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highlight w:val="none"/>
        </w:rPr>
      </w:pPr>
      <w:r>
        <w:rPr>
          <w:rFonts w:ascii="宋体" w:hAnsi="宋体" w:cs="宋体"/>
          <w:bCs/>
          <w:sz w:val="24"/>
          <w:highlight w:val="none"/>
        </w:rPr>
        <w:t>3.3.2</w:t>
      </w:r>
      <w:r>
        <w:rPr>
          <w:rFonts w:hint="eastAsia" w:ascii="宋体" w:hAnsi="宋体" w:cs="宋体"/>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sz w:val="24"/>
          <w:highlight w:val="none"/>
        </w:rPr>
        <w:t>20</w:t>
      </w:r>
      <w:r>
        <w:rPr>
          <w:rFonts w:hint="eastAsia" w:ascii="宋体" w:hAnsi="宋体" w:cs="宋体"/>
          <w:sz w:val="24"/>
          <w:highlight w:val="none"/>
        </w:rPr>
        <w:t>%的扣除（</w:t>
      </w:r>
      <w:r>
        <w:rPr>
          <w:rFonts w:hint="eastAsia" w:ascii="宋体" w:hAnsi="宋体" w:cs="宋体"/>
          <w:snapToGrid w:val="0"/>
          <w:kern w:val="28"/>
          <w:sz w:val="24"/>
          <w:highlight w:val="none"/>
        </w:rPr>
        <w:t>招标文件第四部分</w:t>
      </w:r>
      <w:r>
        <w:rPr>
          <w:rFonts w:hint="eastAsia" w:ascii="宋体" w:hAnsi="宋体" w:cs="宋体"/>
          <w:sz w:val="24"/>
          <w:highlight w:val="none"/>
          <w:u w:val="single"/>
        </w:rPr>
        <w:t>评标办分法明确具体的扣除比例，未明确的，</w:t>
      </w:r>
      <w:r>
        <w:rPr>
          <w:rFonts w:hint="eastAsia" w:ascii="宋体" w:hAnsi="宋体" w:cs="宋体"/>
          <w:sz w:val="24"/>
          <w:highlight w:val="none"/>
        </w:rPr>
        <w:t>给予</w:t>
      </w:r>
      <w:r>
        <w:rPr>
          <w:rFonts w:ascii="宋体" w:hAnsi="宋体" w:cs="宋体"/>
          <w:sz w:val="24"/>
          <w:highlight w:val="none"/>
        </w:rPr>
        <w:t>20</w:t>
      </w:r>
      <w:r>
        <w:rPr>
          <w:rFonts w:hint="eastAsia" w:ascii="宋体" w:hAnsi="宋体" w:cs="宋体"/>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highlight w:val="none"/>
        </w:rPr>
        <w:t>联合协议或者分包意向协议约定小微企业的合同份额占到合同总金额30%以上的</w:t>
      </w:r>
      <w:bookmarkEnd w:id="16"/>
      <w:r>
        <w:rPr>
          <w:rFonts w:hint="eastAsia" w:ascii="宋体" w:hAnsi="宋体" w:cs="宋体"/>
          <w:sz w:val="24"/>
          <w:highlight w:val="none"/>
        </w:rPr>
        <w:t>，对联合体或者大中型企业的报价给予4%-</w:t>
      </w:r>
      <w:r>
        <w:rPr>
          <w:rFonts w:ascii="宋体" w:hAnsi="宋体" w:cs="宋体"/>
          <w:sz w:val="24"/>
          <w:highlight w:val="none"/>
        </w:rPr>
        <w:t>6</w:t>
      </w:r>
      <w:r>
        <w:rPr>
          <w:rFonts w:hint="eastAsia" w:ascii="宋体" w:hAnsi="宋体" w:cs="宋体"/>
          <w:sz w:val="24"/>
          <w:highlight w:val="none"/>
        </w:rPr>
        <w:t>%（</w:t>
      </w:r>
      <w:r>
        <w:rPr>
          <w:rFonts w:hint="eastAsia" w:ascii="宋体" w:hAnsi="宋体" w:cs="宋体"/>
          <w:snapToGrid w:val="0"/>
          <w:kern w:val="28"/>
          <w:sz w:val="24"/>
          <w:highlight w:val="none"/>
        </w:rPr>
        <w:t>招标文件第四部分</w:t>
      </w:r>
      <w:r>
        <w:rPr>
          <w:rFonts w:hint="eastAsia" w:ascii="宋体" w:hAnsi="宋体" w:cs="宋体"/>
          <w:sz w:val="24"/>
          <w:highlight w:val="none"/>
          <w:u w:val="single"/>
        </w:rPr>
        <w:t>评标办分法明确具体的扣除比例，未明确的，</w:t>
      </w:r>
      <w:r>
        <w:rPr>
          <w:rFonts w:hint="eastAsia" w:ascii="宋体" w:hAnsi="宋体" w:cs="宋体"/>
          <w:sz w:val="24"/>
          <w:highlight w:val="none"/>
        </w:rPr>
        <w:t>给予6%的扣除）的扣除，用扣除后的价格参加评审。组成联合体或者接受分包的小微企业与联合体内其他企业、分包企业之间存在直接控股、管理关系的，不享受价格扣除优惠政策。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3.4</w:t>
      </w:r>
      <w:r>
        <w:rPr>
          <w:rFonts w:hint="eastAsia" w:ascii="宋体" w:hAnsi="宋体" w:cs="宋体"/>
          <w:bCs/>
          <w:sz w:val="24"/>
          <w:highlight w:val="none"/>
        </w:rPr>
        <w:t>支持创新发展</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3.4.1 采购人优先采购被认定为首台套产品和“制造精品”的自主创新产品。</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3.4.2首台套产品被纳入《首台套产品推广应用指导目录》之日起</w:t>
      </w:r>
      <w:r>
        <w:rPr>
          <w:rFonts w:ascii="宋体" w:hAnsi="宋体" w:cs="宋体"/>
          <w:sz w:val="24"/>
          <w:highlight w:val="none"/>
        </w:rPr>
        <w:t>3</w:t>
      </w:r>
      <w:r>
        <w:rPr>
          <w:rFonts w:hint="eastAsia" w:ascii="宋体" w:hAnsi="宋体" w:cs="宋体"/>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3.5平等对待内外资企业和符合条件的破产重整企业</w:t>
      </w:r>
    </w:p>
    <w:p>
      <w:pPr>
        <w:spacing w:line="360" w:lineRule="auto"/>
        <w:ind w:firstLine="480" w:firstLineChars="200"/>
        <w:rPr>
          <w:rFonts w:ascii="宋体" w:hAnsi="宋体" w:cs="宋体"/>
          <w:b/>
          <w:sz w:val="24"/>
          <w:highlight w:val="none"/>
        </w:rPr>
      </w:pPr>
      <w:r>
        <w:rPr>
          <w:rFonts w:hint="eastAsia" w:ascii="宋体" w:hAnsi="宋体" w:cs="宋体"/>
          <w:sz w:val="24"/>
          <w:highlight w:val="none"/>
        </w:rPr>
        <w:t>平等对待内外资企业和符合条件的破产重整企业，切实保障企业公平竞争，平等维护企业的合法利益。</w:t>
      </w:r>
      <w:r>
        <w:rPr>
          <w:rFonts w:hint="eastAsia" w:ascii="宋体" w:hAnsi="宋体" w:cs="宋体"/>
          <w:sz w:val="24"/>
          <w:highlight w:val="none"/>
        </w:rPr>
        <w:cr/>
      </w:r>
      <w:r>
        <w:rPr>
          <w:rFonts w:hint="eastAsia" w:ascii="宋体" w:hAnsi="宋体" w:cs="宋体"/>
          <w:b/>
          <w:sz w:val="24"/>
          <w:highlight w:val="none"/>
        </w:rPr>
        <w:t>4. 询问、质疑、投诉</w:t>
      </w:r>
    </w:p>
    <w:p>
      <w:pPr>
        <w:autoSpaceDE w:val="0"/>
        <w:autoSpaceDN w:val="0"/>
        <w:spacing w:line="360"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4.1在线询问、质疑、投诉</w:t>
      </w:r>
    </w:p>
    <w:p>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4.2供应商询问</w:t>
      </w:r>
    </w:p>
    <w:p>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4.3供应商质疑</w:t>
      </w:r>
    </w:p>
    <w:p>
      <w:pPr>
        <w:pStyle w:val="32"/>
        <w:spacing w:line="360"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2"/>
        <w:spacing w:line="360" w:lineRule="auto"/>
        <w:ind w:left="479" w:leftChars="228"/>
        <w:rPr>
          <w:rFonts w:hAnsi="宋体" w:cs="宋体"/>
          <w:sz w:val="24"/>
          <w:highlight w:val="none"/>
        </w:rPr>
      </w:pPr>
      <w:r>
        <w:rPr>
          <w:rFonts w:hint="eastAsia" w:hAnsi="宋体" w:cs="宋体"/>
          <w:sz w:val="24"/>
          <w:highlight w:val="none"/>
        </w:rPr>
        <w:t>4.3.2.2对采购过程提出质疑的，质疑期限为各采购程序环节结束之日起计算。4.3.2.3对采购结果提出质疑的，质疑期限自采购结果公告期限届满之日起计算。</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4.3.3</w:t>
      </w:r>
      <w:r>
        <w:rPr>
          <w:rFonts w:hint="eastAsia" w:hAnsi="宋体" w:cs="宋体"/>
          <w:sz w:val="24"/>
          <w:highlight w:val="none"/>
        </w:rPr>
        <w:t>供应商提出质疑应当提交质疑函和必要的证明材料。质疑函应当包括下列内容：</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　　4.3.3.1供应商的姓名或者名称、地址、邮编、联系人及联系电话；</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　　4.3.3.2质疑项目的名称、编号；</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　　4.3.3.3具体、明确的质疑事项和与质疑事项相关的请求；</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　　4.3.3.4事实依据；</w:t>
      </w:r>
    </w:p>
    <w:p>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　　4.3.3.5必要的法律依据；</w:t>
      </w:r>
    </w:p>
    <w:p>
      <w:pPr>
        <w:pStyle w:val="32"/>
        <w:spacing w:line="360" w:lineRule="auto"/>
        <w:ind w:firstLine="960" w:firstLineChars="400"/>
        <w:rPr>
          <w:rFonts w:hAnsi="宋体" w:cs="宋体"/>
          <w:kern w:val="0"/>
          <w:sz w:val="24"/>
          <w:highlight w:val="none"/>
          <w:lang w:val="zh-CN"/>
        </w:rPr>
      </w:pPr>
      <w:r>
        <w:rPr>
          <w:rFonts w:hint="eastAsia" w:hAnsi="宋体" w:cs="宋体"/>
          <w:kern w:val="0"/>
          <w:sz w:val="24"/>
          <w:highlight w:val="none"/>
          <w:lang w:val="zh-CN"/>
        </w:rPr>
        <w:t>4.3.3.6提出质疑的日期。</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质疑函范本及制作说明详见附件2。</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rPr>
          <w:highlight w:val="none"/>
        </w:rPr>
      </w:pPr>
      <w:r>
        <w:rPr>
          <w:rFonts w:hint="eastAsia"/>
          <w:highlight w:val="none"/>
          <w:lang w:val="zh-CN"/>
        </w:rPr>
        <w:t>4.3</w:t>
      </w:r>
      <w:r>
        <w:rPr>
          <w:rFonts w:hint="eastAsia"/>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highlight w:val="none"/>
        </w:rPr>
      </w:pPr>
      <w:r>
        <w:rPr>
          <w:rFonts w:hint="eastAsia"/>
          <w:highlight w:val="none"/>
          <w:lang w:val="zh-CN"/>
        </w:rPr>
        <w:t>4.3</w:t>
      </w:r>
      <w:r>
        <w:rPr>
          <w:rFonts w:hint="eastAsia"/>
          <w:highlight w:val="none"/>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highlight w:val="none"/>
          <w:lang w:val="zh-CN"/>
        </w:rPr>
      </w:pPr>
      <w:r>
        <w:rPr>
          <w:rFonts w:hint="eastAsia"/>
          <w:highlight w:val="none"/>
          <w:lang w:val="zh-CN"/>
        </w:rPr>
        <w:t>4.4供应商投诉</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4.4.1质疑供应商对采购人、采购机构的答复不满意或者采购人、采购机构未在规定的时间内作出答复的，可以在答复期满后十五个工作日内向同级政府采购监督管理部门提出投诉。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4.4.</w:t>
      </w:r>
      <w:r>
        <w:rPr>
          <w:rFonts w:hint="eastAsia"/>
          <w:highlight w:val="none"/>
          <w:lang w:val="zh-CN"/>
        </w:rPr>
        <w:t>2</w:t>
      </w:r>
      <w:r>
        <w:rPr>
          <w:rFonts w:hint="eastAsia"/>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4.4.3供应商投诉应当有明确的请求和必要的证明材料。</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4.4.4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4.4.5浙江省本级、杭州市本级、拱墅区、富阳区政府采购项目投诉材料可寄送浙江省政府采购行政裁决服务中心（杭州），地址：杭州市上城区四季青街道新业路市民之家G03办公室，收件人：朱女士，电话：15121014815。</w:t>
      </w:r>
    </w:p>
    <w:p>
      <w:pPr>
        <w:pStyle w:val="886"/>
        <w:shd w:val="clear" w:color="auto" w:fill="FFFFFF"/>
        <w:snapToGrid w:val="0"/>
        <w:spacing w:after="240" w:afterAutospacing="0" w:line="360" w:lineRule="auto"/>
        <w:ind w:firstLine="400"/>
        <w:contextualSpacing/>
        <w:rPr>
          <w:highlight w:val="none"/>
        </w:rPr>
      </w:pPr>
      <w:r>
        <w:rPr>
          <w:rFonts w:hint="eastAsia"/>
          <w:highlight w:val="none"/>
        </w:rPr>
        <w:t>投诉书范本及制作说明详见附件3。</w:t>
      </w:r>
    </w:p>
    <w:p>
      <w:pPr>
        <w:pStyle w:val="128"/>
        <w:snapToGrid w:val="0"/>
        <w:spacing w:before="0"/>
        <w:ind w:firstLine="360"/>
        <w:rPr>
          <w:rFonts w:ascii="宋体" w:hAnsi="宋体" w:cs="宋体"/>
          <w:sz w:val="18"/>
          <w:szCs w:val="18"/>
          <w:highlight w:val="none"/>
        </w:rPr>
      </w:pPr>
    </w:p>
    <w:p>
      <w:pPr>
        <w:adjustRightInd/>
        <w:spacing w:line="360" w:lineRule="auto"/>
        <w:jc w:val="center"/>
        <w:outlineLvl w:val="1"/>
        <w:rPr>
          <w:rFonts w:ascii="宋体" w:hAnsi="宋体" w:cs="宋体"/>
          <w:b/>
          <w:sz w:val="32"/>
          <w:szCs w:val="20"/>
          <w:highlight w:val="none"/>
        </w:rPr>
      </w:pPr>
      <w:r>
        <w:rPr>
          <w:rFonts w:hint="eastAsia" w:ascii="宋体" w:hAnsi="宋体" w:cs="宋体"/>
          <w:b/>
          <w:sz w:val="32"/>
          <w:szCs w:val="20"/>
          <w:highlight w:val="none"/>
        </w:rPr>
        <w:t>二、招标文件的构成、澄清、修改</w:t>
      </w:r>
    </w:p>
    <w:p>
      <w:pPr>
        <w:pStyle w:val="32"/>
        <w:spacing w:line="360" w:lineRule="auto"/>
        <w:rPr>
          <w:rFonts w:hAnsi="宋体" w:cs="宋体"/>
          <w:b/>
          <w:sz w:val="24"/>
          <w:szCs w:val="24"/>
          <w:highlight w:val="none"/>
        </w:rPr>
      </w:pPr>
      <w:r>
        <w:rPr>
          <w:rFonts w:hint="eastAsia" w:hAnsi="宋体" w:cs="宋体"/>
          <w:b/>
          <w:sz w:val="24"/>
          <w:szCs w:val="24"/>
          <w:highlight w:val="none"/>
        </w:rPr>
        <w:t>5．招标文件的构成</w:t>
      </w:r>
    </w:p>
    <w:p>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5.1 招标文件包括下列文件及附件：</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5.1.1招标公告；</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5.1.2投标人须知；</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5.1.3采购需求；</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5.1.4评标办法；</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5.1.5拟签订的合同文本；</w:t>
      </w:r>
    </w:p>
    <w:p>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highlight w:val="none"/>
        </w:rPr>
        <w:t>5.1.6</w:t>
      </w:r>
      <w:r>
        <w:rPr>
          <w:rFonts w:hint="eastAsia" w:hAnsi="宋体" w:cs="宋体"/>
          <w:sz w:val="24"/>
          <w:szCs w:val="24"/>
          <w:highlight w:val="none"/>
        </w:rPr>
        <w:t>应提交的有关格式范例。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5.2与本项目有关的</w:t>
      </w:r>
      <w:r>
        <w:rPr>
          <w:rFonts w:hint="eastAsia" w:ascii="宋体" w:hAnsi="宋体" w:cs="宋体"/>
          <w:bCs/>
          <w:sz w:val="24"/>
          <w:highlight w:val="none"/>
        </w:rPr>
        <w:t>澄清或者修改的内容为招标文件的组成部分</w:t>
      </w:r>
      <w:r>
        <w:rPr>
          <w:rFonts w:hint="eastAsia" w:ascii="宋体" w:hAnsi="宋体" w:cs="宋体"/>
          <w:sz w:val="24"/>
          <w:highlight w:val="none"/>
        </w:rPr>
        <w:t>。</w:t>
      </w:r>
    </w:p>
    <w:p>
      <w:pPr>
        <w:pStyle w:val="32"/>
        <w:spacing w:line="360" w:lineRule="auto"/>
        <w:rPr>
          <w:rFonts w:hAnsi="宋体" w:cs="宋体"/>
          <w:b/>
          <w:sz w:val="24"/>
          <w:szCs w:val="24"/>
          <w:highlight w:val="none"/>
        </w:rPr>
      </w:pPr>
      <w:r>
        <w:rPr>
          <w:rFonts w:hint="eastAsia" w:hAnsi="宋体" w:cs="宋体"/>
          <w:b/>
          <w:sz w:val="24"/>
          <w:szCs w:val="24"/>
          <w:highlight w:val="none"/>
        </w:rPr>
        <w:t>6. 招标文件的澄清、修改</w:t>
      </w:r>
    </w:p>
    <w:p>
      <w:pPr>
        <w:pStyle w:val="128"/>
        <w:snapToGrid w:val="0"/>
        <w:spacing w:before="0"/>
        <w:ind w:firstLine="480"/>
        <w:rPr>
          <w:rFonts w:ascii="宋体" w:hAnsi="宋体" w:cs="宋体"/>
          <w:highlight w:val="none"/>
        </w:rPr>
      </w:pPr>
      <w:r>
        <w:rPr>
          <w:rFonts w:hint="eastAsia" w:ascii="宋体" w:hAnsi="宋体" w:cs="宋体"/>
          <w:highlight w:val="none"/>
        </w:rPr>
        <w:t>6.1已获取招标文件的潜在投标人，若有问题需要澄清，应于投标截止时间前，以书面形式向采购机构提出。</w:t>
      </w:r>
    </w:p>
    <w:p>
      <w:pPr>
        <w:pStyle w:val="128"/>
        <w:snapToGrid w:val="0"/>
        <w:spacing w:before="0"/>
        <w:ind w:firstLine="480"/>
        <w:rPr>
          <w:rFonts w:ascii="宋体" w:hAnsi="宋体" w:cs="宋体"/>
          <w:highlight w:val="none"/>
        </w:rPr>
      </w:pPr>
      <w:r>
        <w:rPr>
          <w:rFonts w:hint="eastAsia" w:ascii="宋体" w:hAnsi="宋体" w:cs="宋体"/>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sz w:val="18"/>
          <w:szCs w:val="18"/>
          <w:highlight w:val="none"/>
          <w:lang w:val="en-US"/>
        </w:rPr>
      </w:pPr>
    </w:p>
    <w:p>
      <w:pPr>
        <w:adjustRightInd/>
        <w:spacing w:line="360" w:lineRule="auto"/>
        <w:jc w:val="center"/>
        <w:outlineLvl w:val="1"/>
        <w:rPr>
          <w:rFonts w:ascii="宋体" w:hAnsi="宋体" w:cs="宋体"/>
          <w:b/>
          <w:sz w:val="30"/>
          <w:szCs w:val="20"/>
          <w:highlight w:val="none"/>
        </w:rPr>
      </w:pPr>
      <w:r>
        <w:rPr>
          <w:rFonts w:hint="eastAsia" w:ascii="宋体" w:hAnsi="宋体" w:cs="宋体"/>
          <w:b/>
          <w:sz w:val="30"/>
          <w:szCs w:val="20"/>
          <w:highlight w:val="none"/>
        </w:rPr>
        <w:t>三、投标</w:t>
      </w:r>
    </w:p>
    <w:p>
      <w:pPr>
        <w:pStyle w:val="32"/>
        <w:spacing w:line="360" w:lineRule="auto"/>
        <w:rPr>
          <w:rFonts w:hAnsi="宋体" w:cs="宋体"/>
          <w:b/>
          <w:sz w:val="24"/>
          <w:szCs w:val="24"/>
          <w:highlight w:val="none"/>
        </w:rPr>
      </w:pPr>
      <w:r>
        <w:rPr>
          <w:rFonts w:hint="eastAsia" w:hAnsi="宋体" w:cs="宋体"/>
          <w:b/>
          <w:sz w:val="24"/>
          <w:szCs w:val="24"/>
          <w:highlight w:val="none"/>
        </w:rPr>
        <w:t>7. 招标文件的获取</w:t>
      </w:r>
    </w:p>
    <w:p>
      <w:pPr>
        <w:spacing w:line="360" w:lineRule="auto"/>
        <w:ind w:firstLine="480" w:firstLineChars="200"/>
        <w:rPr>
          <w:rFonts w:ascii="宋体" w:hAnsi="宋体" w:cs="宋体"/>
          <w:snapToGrid w:val="0"/>
          <w:kern w:val="28"/>
          <w:sz w:val="24"/>
          <w:highlight w:val="none"/>
        </w:rPr>
      </w:pPr>
      <w:r>
        <w:rPr>
          <w:rFonts w:hint="eastAsia" w:ascii="宋体" w:hAnsi="宋体" w:cs="宋体"/>
          <w:snapToGrid w:val="0"/>
          <w:kern w:val="28"/>
          <w:sz w:val="24"/>
          <w:highlight w:val="none"/>
        </w:rPr>
        <w:t>详见招标公告中获取招标文件的时间期限、地点、方式及招标文件售价。</w:t>
      </w:r>
    </w:p>
    <w:p>
      <w:pPr>
        <w:pStyle w:val="32"/>
        <w:spacing w:line="360" w:lineRule="auto"/>
        <w:rPr>
          <w:rFonts w:hAnsi="宋体" w:cs="宋体"/>
          <w:b/>
          <w:sz w:val="24"/>
          <w:szCs w:val="24"/>
          <w:highlight w:val="none"/>
        </w:rPr>
      </w:pPr>
      <w:r>
        <w:rPr>
          <w:rFonts w:hint="eastAsia" w:hAnsi="宋体" w:cs="宋体"/>
          <w:b/>
          <w:sz w:val="24"/>
          <w:szCs w:val="24"/>
          <w:highlight w:val="none"/>
        </w:rPr>
        <w:t>8.开标前答疑会或现场考察</w:t>
      </w:r>
    </w:p>
    <w:p>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采购人组织潜在投标人现场考察或者召开开标前答疑会的，潜在投标人按第二部分投标人须知前附表的规定参加现场考察或者开标前答疑会。</w:t>
      </w:r>
    </w:p>
    <w:p>
      <w:pPr>
        <w:pStyle w:val="32"/>
        <w:spacing w:line="360" w:lineRule="auto"/>
        <w:rPr>
          <w:rFonts w:hAnsi="宋体" w:cs="宋体"/>
          <w:b/>
          <w:szCs w:val="24"/>
          <w:highlight w:val="none"/>
        </w:rPr>
      </w:pPr>
      <w:r>
        <w:rPr>
          <w:rFonts w:hint="eastAsia" w:hAnsi="宋体" w:cs="宋体"/>
          <w:b/>
          <w:kern w:val="28"/>
          <w:sz w:val="24"/>
          <w:szCs w:val="24"/>
          <w:highlight w:val="none"/>
        </w:rPr>
        <w:t>9.投标保证金</w:t>
      </w:r>
    </w:p>
    <w:p>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2"/>
        <w:spacing w:line="360" w:lineRule="auto"/>
        <w:rPr>
          <w:rFonts w:hAnsi="宋体" w:cs="宋体"/>
          <w:b/>
          <w:sz w:val="24"/>
          <w:szCs w:val="24"/>
          <w:highlight w:val="none"/>
        </w:rPr>
      </w:pPr>
      <w:r>
        <w:rPr>
          <w:rFonts w:hint="eastAsia" w:hAnsi="宋体" w:cs="宋体"/>
          <w:b/>
          <w:sz w:val="24"/>
          <w:szCs w:val="24"/>
          <w:highlight w:val="none"/>
        </w:rPr>
        <w:t>10. 投标文件的语言</w:t>
      </w:r>
    </w:p>
    <w:p>
      <w:pPr>
        <w:autoSpaceDE w:val="0"/>
        <w:autoSpaceDN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rPr>
        <w:t>投标文件及投标人与采购有关的来往通知、函件和文件均应使用中文。</w:t>
      </w:r>
    </w:p>
    <w:p>
      <w:pPr>
        <w:pStyle w:val="32"/>
        <w:spacing w:line="360" w:lineRule="auto"/>
        <w:rPr>
          <w:rFonts w:hAnsi="宋体" w:cs="宋体"/>
          <w:b/>
          <w:sz w:val="24"/>
          <w:szCs w:val="24"/>
          <w:highlight w:val="none"/>
        </w:rPr>
      </w:pPr>
      <w:r>
        <w:rPr>
          <w:rFonts w:hint="eastAsia" w:hAnsi="宋体" w:cs="宋体"/>
          <w:b/>
          <w:sz w:val="24"/>
          <w:szCs w:val="24"/>
          <w:highlight w:val="none"/>
        </w:rPr>
        <w:t>11. 投标文件的组成</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11.1</w:t>
      </w:r>
      <w:r>
        <w:rPr>
          <w:rFonts w:hint="eastAsia" w:ascii="宋体" w:hAnsi="宋体" w:cs="宋体"/>
          <w:b/>
          <w:sz w:val="24"/>
          <w:highlight w:val="none"/>
        </w:rPr>
        <w:t>资格文件</w:t>
      </w:r>
      <w:r>
        <w:rPr>
          <w:rFonts w:hint="eastAsia" w:ascii="宋体" w:hAnsi="宋体" w:cs="宋体"/>
          <w:sz w:val="24"/>
          <w:highlight w:val="none"/>
        </w:rPr>
        <w:t>：</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11.1.1符合参加政府采购活动应当具备的一般条件的承诺函；</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1.1.2</w:t>
      </w:r>
      <w:bookmarkStart w:id="17" w:name="_Hlk101259339"/>
      <w:r>
        <w:rPr>
          <w:rFonts w:hint="eastAsia" w:ascii="宋体" w:hAnsi="宋体" w:cs="宋体"/>
          <w:snapToGrid w:val="0"/>
          <w:kern w:val="28"/>
          <w:sz w:val="24"/>
          <w:szCs w:val="20"/>
          <w:highlight w:val="none"/>
        </w:rPr>
        <w:t>联合协议</w:t>
      </w:r>
      <w:bookmarkEnd w:id="17"/>
      <w:r>
        <w:rPr>
          <w:rFonts w:hint="eastAsia" w:ascii="宋体" w:hAnsi="宋体" w:cs="宋体"/>
          <w:snapToGrid w:val="0"/>
          <w:color w:val="FF0000"/>
          <w:kern w:val="28"/>
          <w:sz w:val="24"/>
          <w:szCs w:val="20"/>
          <w:highlight w:val="none"/>
        </w:rPr>
        <w:t>（如果有)</w:t>
      </w:r>
      <w:r>
        <w:rPr>
          <w:rFonts w:hint="eastAsia" w:ascii="宋体" w:hAnsi="宋体" w:cs="宋体"/>
          <w:snapToGrid w:val="0"/>
          <w:kern w:val="28"/>
          <w:sz w:val="24"/>
          <w:szCs w:val="20"/>
          <w:highlight w:val="none"/>
        </w:rPr>
        <w:t>；</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3</w:t>
      </w:r>
      <w:r>
        <w:rPr>
          <w:rFonts w:hint="eastAsia" w:ascii="宋体" w:hAnsi="宋体" w:cs="宋体"/>
          <w:sz w:val="24"/>
          <w:highlight w:val="none"/>
        </w:rPr>
        <w:t>落实政府采购政策需满足的资格要求</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11.</w:t>
      </w:r>
      <w:r>
        <w:rPr>
          <w:rFonts w:hint="eastAsia" w:ascii="宋体" w:hAnsi="宋体" w:cs="宋体"/>
          <w:sz w:val="24"/>
          <w:highlight w:val="none"/>
        </w:rPr>
        <w:t>2商务技术</w:t>
      </w:r>
      <w:r>
        <w:rPr>
          <w:rFonts w:hint="eastAsia" w:ascii="宋体" w:hAnsi="宋体" w:cs="宋体"/>
          <w:sz w:val="24"/>
          <w:highlight w:val="none"/>
          <w:lang w:val="zh-CN"/>
        </w:rPr>
        <w:t>文件：</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11.2.1投标函；</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11.2.2授权委托书或法定代表人（单位负责人、自然人本人）身份证明；</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4</w:t>
      </w:r>
      <w:r>
        <w:rPr>
          <w:rFonts w:hint="eastAsia" w:ascii="宋体" w:hAnsi="宋体" w:cs="宋体"/>
          <w:sz w:val="24"/>
          <w:highlight w:val="none"/>
        </w:rPr>
        <w:t>符合性审查资料；</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5</w:t>
      </w:r>
      <w:r>
        <w:rPr>
          <w:rFonts w:hint="eastAsia" w:ascii="宋体" w:hAnsi="宋体" w:cs="宋体"/>
          <w:sz w:val="24"/>
          <w:highlight w:val="none"/>
        </w:rPr>
        <w:t>评标标准相应的商务技术资料；</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6</w:t>
      </w:r>
      <w:r>
        <w:rPr>
          <w:rFonts w:hint="eastAsia" w:ascii="宋体" w:hAnsi="宋体" w:cs="宋体"/>
          <w:sz w:val="24"/>
          <w:highlight w:val="none"/>
        </w:rPr>
        <w:t>投标标的清单；</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7</w:t>
      </w:r>
      <w:r>
        <w:rPr>
          <w:rFonts w:hint="eastAsia" w:ascii="宋体" w:hAnsi="宋体" w:cs="宋体"/>
          <w:sz w:val="24"/>
          <w:highlight w:val="none"/>
        </w:rPr>
        <w:t>商务技术偏离表；</w:t>
      </w:r>
    </w:p>
    <w:p>
      <w:pPr>
        <w:snapToGrid w:val="0"/>
        <w:spacing w:line="360" w:lineRule="auto"/>
        <w:ind w:firstLine="960" w:firstLineChars="400"/>
        <w:rPr>
          <w:rFonts w:ascii="宋体" w:hAnsi="宋体" w:cs="宋体"/>
          <w:sz w:val="24"/>
          <w:highlight w:val="none"/>
          <w:lang w:val="zh-CN"/>
        </w:rPr>
      </w:pPr>
      <w:r>
        <w:rPr>
          <w:rFonts w:hint="eastAsia" w:ascii="宋体" w:hAnsi="宋体" w:cs="宋体"/>
          <w:sz w:val="24"/>
          <w:highlight w:val="none"/>
          <w:lang w:val="zh-CN"/>
        </w:rPr>
        <w:t>11.</w:t>
      </w:r>
      <w:r>
        <w:rPr>
          <w:rFonts w:hint="eastAsia" w:ascii="宋体" w:hAnsi="宋体" w:cs="宋体"/>
          <w:sz w:val="24"/>
          <w:highlight w:val="none"/>
        </w:rPr>
        <w:t>2</w:t>
      </w: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p>
    <w:p>
      <w:pPr>
        <w:snapToGrid w:val="0"/>
        <w:spacing w:line="360" w:lineRule="auto"/>
        <w:ind w:firstLine="480" w:firstLineChars="200"/>
        <w:rPr>
          <w:rFonts w:ascii="宋体" w:hAnsi="宋体" w:cs="宋体"/>
          <w:sz w:val="24"/>
          <w:highlight w:val="none"/>
          <w:u w:val="single"/>
          <w:lang w:val="zh-CN"/>
        </w:rPr>
      </w:pPr>
      <w:r>
        <w:rPr>
          <w:rFonts w:hint="eastAsia" w:ascii="宋体" w:hAnsi="宋体" w:cs="宋体"/>
          <w:kern w:val="0"/>
          <w:sz w:val="24"/>
          <w:highlight w:val="none"/>
          <w:lang w:val="zh-CN"/>
        </w:rPr>
        <w:t>11.</w:t>
      </w:r>
      <w:r>
        <w:rPr>
          <w:rFonts w:hint="eastAsia" w:ascii="宋体" w:hAnsi="宋体" w:cs="宋体"/>
          <w:kern w:val="0"/>
          <w:sz w:val="24"/>
          <w:highlight w:val="none"/>
        </w:rPr>
        <w:t>3</w:t>
      </w:r>
      <w:r>
        <w:rPr>
          <w:rFonts w:hint="eastAsia" w:ascii="宋体" w:hAnsi="宋体" w:cs="宋体"/>
          <w:b/>
          <w:sz w:val="24"/>
          <w:highlight w:val="none"/>
        </w:rPr>
        <w:t>报价文件：</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11.3.1开标一览表（报价表）；</w:t>
      </w:r>
    </w:p>
    <w:p>
      <w:pPr>
        <w:snapToGrid w:val="0"/>
        <w:spacing w:line="360" w:lineRule="auto"/>
        <w:ind w:firstLine="960" w:firstLineChars="400"/>
        <w:rPr>
          <w:rFonts w:ascii="宋体" w:hAnsi="宋体" w:cs="宋体"/>
          <w:color w:val="FF0000"/>
          <w:sz w:val="24"/>
          <w:highlight w:val="none"/>
        </w:rPr>
      </w:pPr>
      <w:r>
        <w:rPr>
          <w:rFonts w:hint="eastAsia" w:ascii="宋体" w:hAnsi="宋体" w:cs="宋体"/>
          <w:color w:val="FF0000"/>
          <w:sz w:val="24"/>
          <w:highlight w:val="none"/>
        </w:rPr>
        <w:t>11.3.2中小企业声明函。</w:t>
      </w:r>
    </w:p>
    <w:p>
      <w:pPr>
        <w:spacing w:line="360" w:lineRule="auto"/>
        <w:ind w:firstLine="723" w:firstLineChars="300"/>
        <w:rPr>
          <w:rFonts w:ascii="宋体" w:hAnsi="宋体" w:cs="宋体"/>
          <w:b/>
          <w:sz w:val="24"/>
          <w:highlight w:val="none"/>
        </w:rPr>
      </w:pPr>
      <w:r>
        <w:rPr>
          <w:rFonts w:hint="eastAsia" w:ascii="宋体" w:hAnsi="宋体" w:cs="宋体"/>
          <w:b/>
          <w:sz w:val="24"/>
          <w:highlight w:val="none"/>
        </w:rPr>
        <w:t>投标文件含有采购人不能接受的附加条件的，投标无效；</w:t>
      </w:r>
    </w:p>
    <w:p>
      <w:pPr>
        <w:spacing w:line="360" w:lineRule="auto"/>
        <w:ind w:firstLine="723" w:firstLineChars="300"/>
        <w:rPr>
          <w:rFonts w:ascii="宋体" w:hAnsi="宋体" w:cs="宋体"/>
          <w:b/>
          <w:sz w:val="24"/>
          <w:szCs w:val="21"/>
          <w:highlight w:val="none"/>
        </w:rPr>
      </w:pPr>
      <w:r>
        <w:rPr>
          <w:rFonts w:hint="eastAsia" w:ascii="宋体" w:hAnsi="宋体" w:cs="宋体"/>
          <w:b/>
          <w:sz w:val="24"/>
          <w:highlight w:val="none"/>
        </w:rPr>
        <w:t>投标人提供虚假材料投标的，投标无效。</w:t>
      </w:r>
    </w:p>
    <w:p>
      <w:pPr>
        <w:pStyle w:val="128"/>
        <w:snapToGrid w:val="0"/>
        <w:spacing w:before="0"/>
        <w:ind w:firstLine="0" w:firstLineChars="0"/>
        <w:rPr>
          <w:rFonts w:ascii="宋体" w:hAnsi="宋体" w:cs="宋体"/>
          <w:b/>
          <w:szCs w:val="24"/>
          <w:highlight w:val="none"/>
        </w:rPr>
      </w:pPr>
      <w:r>
        <w:rPr>
          <w:rFonts w:hint="eastAsia" w:ascii="宋体" w:hAnsi="宋体" w:cs="宋体"/>
          <w:b/>
          <w:szCs w:val="24"/>
          <w:highlight w:val="none"/>
        </w:rPr>
        <w:t>12</w:t>
      </w:r>
      <w:r>
        <w:rPr>
          <w:rFonts w:hint="eastAsia" w:ascii="宋体" w:hAnsi="宋体" w:cs="宋体"/>
          <w:b/>
          <w:kern w:val="0"/>
          <w:szCs w:val="24"/>
          <w:highlight w:val="none"/>
          <w:lang w:val="zh-CN"/>
        </w:rPr>
        <w:t xml:space="preserve">. </w:t>
      </w:r>
      <w:r>
        <w:rPr>
          <w:rFonts w:hint="eastAsia" w:ascii="宋体" w:hAnsi="宋体" w:cs="宋体"/>
          <w:b/>
          <w:szCs w:val="24"/>
          <w:highlight w:val="none"/>
        </w:rPr>
        <w:t>投标文件的编制</w:t>
      </w:r>
    </w:p>
    <w:p>
      <w:pPr>
        <w:spacing w:line="360" w:lineRule="auto"/>
        <w:ind w:firstLine="480" w:firstLineChars="200"/>
        <w:rPr>
          <w:rFonts w:ascii="宋体" w:hAnsi="宋体" w:cs="宋体"/>
          <w:b/>
          <w:sz w:val="24"/>
          <w:highlight w:val="none"/>
        </w:rPr>
      </w:pPr>
      <w:r>
        <w:rPr>
          <w:rFonts w:hint="eastAsia" w:ascii="宋体" w:hAnsi="宋体" w:cs="宋体"/>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highlight w:val="none"/>
        </w:rPr>
      </w:pPr>
      <w:r>
        <w:rPr>
          <w:rFonts w:hint="eastAsia" w:ascii="宋体" w:hAnsi="宋体" w:cs="宋体"/>
          <w:b/>
          <w:sz w:val="24"/>
          <w:highlight w:val="none"/>
        </w:rPr>
        <w:t>13.投标文件的签署、盖章</w:t>
      </w:r>
    </w:p>
    <w:p>
      <w:pPr>
        <w:pStyle w:val="128"/>
        <w:snapToGrid w:val="0"/>
        <w:spacing w:before="0"/>
        <w:ind w:firstLine="480"/>
        <w:rPr>
          <w:rFonts w:ascii="宋体" w:hAnsi="宋体" w:cs="宋体"/>
          <w:b/>
          <w:highlight w:val="none"/>
        </w:rPr>
      </w:pPr>
      <w:r>
        <w:rPr>
          <w:rFonts w:hint="eastAsia" w:ascii="宋体" w:hAnsi="宋体" w:cs="宋体"/>
          <w:szCs w:val="24"/>
          <w:highlight w:val="none"/>
        </w:rPr>
        <w:t>13.1投标文件按照招标文件第六部分格式要</w:t>
      </w:r>
      <w:r>
        <w:rPr>
          <w:rFonts w:hint="eastAsia" w:ascii="宋体" w:hAnsi="宋体" w:cs="宋体"/>
          <w:highlight w:val="none"/>
        </w:rPr>
        <w:t>求进行签署、盖章。</w:t>
      </w:r>
      <w:r>
        <w:rPr>
          <w:rFonts w:hint="eastAsia" w:ascii="宋体" w:hAnsi="宋体" w:cs="宋体"/>
          <w:b/>
          <w:highlight w:val="none"/>
        </w:rPr>
        <w:t>▲投标人的投标文件未按照招标文件要求签署、盖章的，其投标无效</w:t>
      </w:r>
      <w:r>
        <w:rPr>
          <w:rFonts w:hint="eastAsia" w:ascii="宋体" w:hAnsi="宋体" w:cs="宋体"/>
          <w:szCs w:val="24"/>
          <w:highlight w:val="none"/>
        </w:rPr>
        <w:t>。</w:t>
      </w:r>
    </w:p>
    <w:p>
      <w:pPr>
        <w:pStyle w:val="128"/>
        <w:snapToGrid w:val="0"/>
        <w:spacing w:before="0"/>
        <w:ind w:firstLine="480"/>
        <w:rPr>
          <w:rFonts w:ascii="宋体" w:hAnsi="宋体" w:cs="宋体"/>
          <w:highlight w:val="none"/>
        </w:rPr>
      </w:pPr>
      <w:r>
        <w:rPr>
          <w:rFonts w:hint="eastAsia" w:ascii="宋体" w:hAnsi="宋体" w:cs="宋体"/>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szCs w:val="24"/>
          <w:highlight w:val="none"/>
        </w:rPr>
      </w:pPr>
      <w:r>
        <w:rPr>
          <w:rFonts w:hint="eastAsia" w:ascii="宋体" w:hAnsi="宋体" w:cs="宋体"/>
          <w:highlight w:val="none"/>
        </w:rPr>
        <w:t>13.3招标文件对投标文件签署、盖章的要求适用于电子签名。</w:t>
      </w:r>
    </w:p>
    <w:p>
      <w:pPr>
        <w:snapToGrid w:val="0"/>
        <w:spacing w:line="360" w:lineRule="auto"/>
        <w:rPr>
          <w:rFonts w:ascii="宋体" w:hAnsi="宋体" w:cs="宋体"/>
          <w:b/>
          <w:sz w:val="24"/>
          <w:highlight w:val="none"/>
        </w:rPr>
      </w:pPr>
      <w:r>
        <w:rPr>
          <w:rFonts w:hint="eastAsia" w:ascii="宋体" w:hAnsi="宋体" w:cs="宋体"/>
          <w:b/>
          <w:sz w:val="24"/>
          <w:highlight w:val="none"/>
        </w:rPr>
        <w:t>14. 投标文件的提交、补充、修改、撤回</w:t>
      </w:r>
    </w:p>
    <w:p>
      <w:pPr>
        <w:pStyle w:val="128"/>
        <w:spacing w:before="0"/>
        <w:ind w:firstLine="480"/>
        <w:rPr>
          <w:rFonts w:ascii="宋体" w:hAnsi="宋体" w:cs="宋体"/>
          <w:szCs w:val="24"/>
          <w:highlight w:val="none"/>
        </w:rPr>
      </w:pPr>
      <w:r>
        <w:rPr>
          <w:rFonts w:hint="eastAsia" w:ascii="宋体" w:hAnsi="宋体" w:cs="宋体"/>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128"/>
        <w:spacing w:before="0"/>
        <w:ind w:firstLine="480"/>
        <w:rPr>
          <w:rFonts w:ascii="宋体" w:hAnsi="宋体" w:cs="宋体"/>
          <w:szCs w:val="24"/>
          <w:highlight w:val="none"/>
        </w:rPr>
      </w:pPr>
      <w:r>
        <w:rPr>
          <w:rFonts w:hint="eastAsia" w:ascii="宋体" w:hAnsi="宋体" w:cs="宋体"/>
          <w:szCs w:val="24"/>
          <w:highlight w:val="none"/>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cs="宋体"/>
          <w:szCs w:val="24"/>
          <w:highlight w:val="none"/>
        </w:rPr>
        <w:tab/>
      </w:r>
    </w:p>
    <w:p>
      <w:pPr>
        <w:pStyle w:val="128"/>
        <w:spacing w:before="0"/>
        <w:ind w:firstLine="480"/>
        <w:rPr>
          <w:rFonts w:ascii="宋体" w:hAnsi="宋体" w:cs="宋体"/>
          <w:szCs w:val="24"/>
          <w:highlight w:val="none"/>
        </w:rPr>
      </w:pPr>
      <w:r>
        <w:rPr>
          <w:rFonts w:hint="eastAsia" w:ascii="宋体" w:hAnsi="宋体" w:cs="宋体"/>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2"/>
        <w:spacing w:line="360" w:lineRule="auto"/>
        <w:rPr>
          <w:rFonts w:hAnsi="宋体" w:cs="宋体"/>
          <w:b/>
          <w:sz w:val="24"/>
          <w:szCs w:val="24"/>
          <w:highlight w:val="none"/>
        </w:rPr>
      </w:pPr>
      <w:r>
        <w:rPr>
          <w:rFonts w:hint="eastAsia" w:hAnsi="宋体" w:cs="宋体"/>
          <w:b/>
          <w:sz w:val="24"/>
          <w:szCs w:val="24"/>
          <w:highlight w:val="none"/>
        </w:rPr>
        <w:t>15.备份投标文件</w:t>
      </w:r>
    </w:p>
    <w:p>
      <w:pPr>
        <w:pStyle w:val="32"/>
        <w:spacing w:line="360" w:lineRule="auto"/>
        <w:ind w:firstLine="360" w:firstLineChars="150"/>
        <w:rPr>
          <w:rFonts w:hAnsi="宋体" w:cs="宋体"/>
          <w:b/>
          <w:sz w:val="24"/>
          <w:szCs w:val="24"/>
          <w:highlight w:val="none"/>
        </w:rPr>
      </w:pPr>
      <w:r>
        <w:rPr>
          <w:rFonts w:hint="eastAsia" w:hAnsi="宋体" w:cs="宋体"/>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sz w:val="24"/>
          <w:szCs w:val="24"/>
          <w:highlight w:val="none"/>
        </w:rPr>
        <w:t>但采购人、采购机构不强制或变相强制投标人提交备份投标文件。</w:t>
      </w:r>
    </w:p>
    <w:p>
      <w:pPr>
        <w:pStyle w:val="32"/>
        <w:spacing w:line="360" w:lineRule="auto"/>
        <w:ind w:firstLine="480" w:firstLineChars="200"/>
        <w:rPr>
          <w:rFonts w:hAnsi="宋体" w:cs="宋体"/>
          <w:b/>
          <w:sz w:val="24"/>
          <w:szCs w:val="24"/>
          <w:highlight w:val="none"/>
        </w:rPr>
      </w:pPr>
      <w:r>
        <w:rPr>
          <w:rFonts w:hint="eastAsia" w:hAnsi="宋体" w:cs="宋体"/>
          <w:sz w:val="24"/>
          <w:szCs w:val="24"/>
          <w:highlight w:val="none"/>
        </w:rPr>
        <w:t>15.2备份投标文件须在“政采云投标客户端”制作生成，并储存在</w:t>
      </w:r>
      <w:r>
        <w:rPr>
          <w:rFonts w:hint="eastAsia" w:hAnsi="宋体" w:cs="宋体"/>
          <w:sz w:val="24"/>
          <w:highlight w:val="none"/>
        </w:rPr>
        <w:t>DVD光盘</w:t>
      </w:r>
      <w:r>
        <w:rPr>
          <w:rFonts w:hint="eastAsia" w:hAnsi="宋体" w:cs="宋体"/>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highlight w:val="none"/>
        </w:rPr>
        <w:t>不符合上述制作、</w:t>
      </w:r>
      <w:r>
        <w:rPr>
          <w:rFonts w:hint="eastAsia" w:hAnsi="宋体" w:cs="宋体"/>
          <w:b/>
          <w:sz w:val="24"/>
          <w:szCs w:val="24"/>
          <w:highlight w:val="none"/>
        </w:rPr>
        <w:t>存储、密封规定的备份投标文件将被视为无效或者被拒绝接收。</w:t>
      </w:r>
    </w:p>
    <w:p>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highlight w:val="none"/>
        </w:rPr>
        <w:t>招标文件第二部分投标人须知前附表规定的备份投标文件送达地点；</w:t>
      </w:r>
      <w:r>
        <w:rPr>
          <w:rFonts w:hint="eastAsia" w:hAnsi="宋体" w:cs="宋体"/>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2"/>
        <w:spacing w:line="360" w:lineRule="auto"/>
        <w:ind w:firstLine="479" w:firstLineChars="199"/>
        <w:rPr>
          <w:rFonts w:hAnsi="宋体" w:cs="宋体"/>
          <w:b/>
          <w:sz w:val="24"/>
          <w:szCs w:val="24"/>
          <w:highlight w:val="none"/>
        </w:rPr>
      </w:pPr>
      <w:r>
        <w:rPr>
          <w:rFonts w:hint="eastAsia" w:hAnsi="宋体" w:cs="宋体"/>
          <w:b/>
          <w:sz w:val="24"/>
          <w:szCs w:val="24"/>
          <w:highlight w:val="none"/>
        </w:rPr>
        <w:t>15.5投标人仅提交备份投标文件，未在电子交易平台传输递交投标文件的，投标无效。</w:t>
      </w:r>
    </w:p>
    <w:p>
      <w:pPr>
        <w:pStyle w:val="128"/>
        <w:spacing w:before="0"/>
        <w:ind w:firstLine="0" w:firstLineChars="0"/>
        <w:rPr>
          <w:rFonts w:ascii="宋体" w:hAnsi="宋体" w:cs="宋体"/>
          <w:b/>
          <w:szCs w:val="24"/>
          <w:highlight w:val="none"/>
        </w:rPr>
      </w:pPr>
      <w:r>
        <w:rPr>
          <w:rFonts w:hint="eastAsia" w:ascii="宋体" w:hAnsi="宋体" w:cs="宋体"/>
          <w:b/>
          <w:szCs w:val="24"/>
          <w:highlight w:val="none"/>
        </w:rPr>
        <w:t>16.投标文件的无效处理</w:t>
      </w:r>
    </w:p>
    <w:p>
      <w:pPr>
        <w:pStyle w:val="24"/>
        <w:spacing w:line="360" w:lineRule="auto"/>
        <w:ind w:firstLine="360" w:firstLineChars="150"/>
        <w:rPr>
          <w:rFonts w:cs="宋体"/>
          <w:szCs w:val="21"/>
          <w:highlight w:val="none"/>
        </w:rPr>
      </w:pPr>
      <w:r>
        <w:rPr>
          <w:rFonts w:hint="eastAsia" w:cs="宋体"/>
          <w:szCs w:val="21"/>
          <w:highlight w:val="none"/>
        </w:rPr>
        <w:t>有招标文件第四部分</w:t>
      </w:r>
      <w:r>
        <w:rPr>
          <w:rFonts w:cs="宋体"/>
          <w:highlight w:val="none"/>
        </w:rPr>
        <w:t>4.2规定</w:t>
      </w:r>
      <w:r>
        <w:rPr>
          <w:rFonts w:hint="eastAsia" w:cs="宋体"/>
          <w:szCs w:val="21"/>
          <w:highlight w:val="none"/>
        </w:rPr>
        <w:t>的情形之一的，投标无效：</w:t>
      </w:r>
    </w:p>
    <w:p>
      <w:pPr>
        <w:pStyle w:val="128"/>
        <w:spacing w:before="0"/>
        <w:ind w:firstLine="0" w:firstLineChars="0"/>
        <w:rPr>
          <w:rFonts w:ascii="宋体" w:hAnsi="宋体" w:cs="宋体"/>
          <w:b/>
          <w:szCs w:val="24"/>
          <w:highlight w:val="none"/>
        </w:rPr>
      </w:pPr>
      <w:r>
        <w:rPr>
          <w:rFonts w:hint="eastAsia" w:ascii="宋体" w:hAnsi="宋体" w:cs="宋体"/>
          <w:b/>
          <w:szCs w:val="24"/>
          <w:highlight w:val="none"/>
        </w:rPr>
        <w:t>17.投标有效期</w:t>
      </w:r>
    </w:p>
    <w:p>
      <w:pPr>
        <w:spacing w:line="360" w:lineRule="auto"/>
        <w:ind w:firstLine="480" w:firstLineChars="200"/>
        <w:rPr>
          <w:rFonts w:ascii="宋体" w:hAnsi="宋体" w:cs="宋体"/>
          <w:b/>
          <w:sz w:val="24"/>
          <w:szCs w:val="21"/>
          <w:highlight w:val="none"/>
        </w:rPr>
      </w:pPr>
      <w:r>
        <w:rPr>
          <w:rFonts w:hint="eastAsia" w:ascii="宋体" w:hAnsi="宋体" w:cs="宋体"/>
          <w:sz w:val="24"/>
          <w:szCs w:val="20"/>
          <w:highlight w:val="none"/>
        </w:rPr>
        <w:t>17.1投标有效期为从提交投标文件的截止之日起90天。▲</w:t>
      </w:r>
      <w:r>
        <w:rPr>
          <w:rFonts w:hint="eastAsia" w:ascii="宋体" w:hAnsi="宋体" w:cs="宋体"/>
          <w:b/>
          <w:sz w:val="24"/>
          <w:szCs w:val="20"/>
          <w:highlight w:val="none"/>
        </w:rPr>
        <w:t>投标人的投标文件中承</w:t>
      </w:r>
      <w:r>
        <w:rPr>
          <w:rFonts w:hint="eastAsia" w:ascii="宋体" w:hAnsi="宋体" w:cs="宋体"/>
          <w:b/>
          <w:sz w:val="24"/>
          <w:szCs w:val="21"/>
          <w:highlight w:val="none"/>
        </w:rPr>
        <w:t>诺的投标有效期少于招标文件中载明的投标有效期的，投标无效。</w:t>
      </w:r>
    </w:p>
    <w:p>
      <w:pPr>
        <w:pStyle w:val="128"/>
        <w:spacing w:before="0"/>
        <w:ind w:firstLine="480"/>
        <w:rPr>
          <w:rFonts w:ascii="宋体" w:hAnsi="宋体" w:cs="宋体"/>
          <w:highlight w:val="none"/>
        </w:rPr>
      </w:pPr>
      <w:r>
        <w:rPr>
          <w:rFonts w:hint="eastAsia" w:ascii="宋体" w:hAnsi="宋体" w:cs="宋体"/>
          <w:highlight w:val="none"/>
        </w:rPr>
        <w:t>17.2投标文件合格投递后，自投标截止日期起，在投标有效期内有效。</w:t>
      </w:r>
    </w:p>
    <w:p>
      <w:pPr>
        <w:pStyle w:val="128"/>
        <w:spacing w:before="0"/>
        <w:ind w:firstLine="480"/>
        <w:rPr>
          <w:rFonts w:ascii="宋体" w:hAnsi="宋体" w:cs="宋体"/>
          <w:highlight w:val="none"/>
        </w:rPr>
      </w:pPr>
      <w:r>
        <w:rPr>
          <w:rFonts w:hint="eastAsia" w:ascii="宋体" w:hAnsi="宋体" w:cs="宋体"/>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480"/>
        <w:rPr>
          <w:rFonts w:ascii="宋体" w:hAnsi="宋体" w:cs="宋体"/>
          <w:highlight w:val="none"/>
        </w:rPr>
      </w:pPr>
      <w:r>
        <w:rPr>
          <w:rFonts w:hint="eastAsia" w:ascii="宋体" w:hAnsi="宋体" w:cs="宋体"/>
          <w:highlight w:val="none"/>
        </w:rPr>
        <w:t>17.4在投标截止时间起至投标有效期届满，供应商投标文件不可撤销。</w:t>
      </w:r>
    </w:p>
    <w:p>
      <w:pPr>
        <w:pStyle w:val="128"/>
        <w:spacing w:before="0"/>
        <w:ind w:firstLine="643"/>
        <w:rPr>
          <w:rFonts w:ascii="宋体" w:hAnsi="宋体" w:cs="宋体"/>
          <w:b/>
          <w:sz w:val="32"/>
          <w:highlight w:val="none"/>
        </w:rPr>
      </w:pPr>
    </w:p>
    <w:p>
      <w:pPr>
        <w:pStyle w:val="128"/>
        <w:spacing w:before="0"/>
        <w:ind w:firstLine="1928" w:firstLineChars="600"/>
        <w:outlineLvl w:val="1"/>
        <w:rPr>
          <w:rFonts w:ascii="宋体" w:hAnsi="宋体" w:cs="宋体"/>
          <w:b/>
          <w:sz w:val="32"/>
          <w:highlight w:val="none"/>
        </w:rPr>
      </w:pPr>
      <w:r>
        <w:rPr>
          <w:rFonts w:hint="eastAsia" w:ascii="宋体" w:hAnsi="宋体" w:cs="宋体"/>
          <w:b/>
          <w:sz w:val="32"/>
          <w:highlight w:val="none"/>
        </w:rPr>
        <w:t>四、开标、资格审查与信用信息查询</w:t>
      </w:r>
    </w:p>
    <w:p>
      <w:pPr>
        <w:pStyle w:val="554"/>
        <w:spacing w:before="0" w:line="360" w:lineRule="auto"/>
        <w:ind w:left="0" w:firstLine="241" w:firstLineChars="100"/>
        <w:contextualSpacing/>
        <w:rPr>
          <w:rFonts w:ascii="宋体" w:hAnsi="宋体" w:cs="宋体"/>
          <w:sz w:val="24"/>
          <w:highlight w:val="none"/>
        </w:rPr>
      </w:pPr>
      <w:r>
        <w:rPr>
          <w:rFonts w:hint="eastAsia" w:ascii="宋体" w:hAnsi="宋体" w:cs="宋体"/>
          <w:b/>
          <w:sz w:val="24"/>
          <w:szCs w:val="24"/>
          <w:highlight w:val="none"/>
        </w:rPr>
        <w:t>18.开标</w:t>
      </w:r>
    </w:p>
    <w:p>
      <w:pPr>
        <w:pStyle w:val="554"/>
        <w:spacing w:before="0" w:line="360" w:lineRule="auto"/>
        <w:ind w:left="0" w:firstLine="480" w:firstLineChars="200"/>
        <w:contextualSpacing/>
        <w:rPr>
          <w:rFonts w:ascii="宋体" w:hAnsi="宋体" w:cs="宋体"/>
          <w:sz w:val="24"/>
          <w:highlight w:val="none"/>
        </w:rPr>
      </w:pPr>
      <w:r>
        <w:rPr>
          <w:rFonts w:hint="eastAsia" w:ascii="宋体" w:hAnsi="宋体" w:cs="宋体"/>
          <w:sz w:val="24"/>
          <w:highlight w:val="none"/>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sz w:val="24"/>
          <w:highlight w:val="none"/>
        </w:rPr>
      </w:pPr>
      <w:r>
        <w:rPr>
          <w:rFonts w:hint="eastAsia" w:ascii="宋体" w:hAnsi="宋体" w:cs="宋体"/>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sz w:val="24"/>
          <w:highlight w:val="none"/>
        </w:rPr>
      </w:pPr>
      <w:r>
        <w:rPr>
          <w:rFonts w:hint="eastAsia" w:ascii="宋体" w:hAnsi="宋体" w:cs="宋体"/>
          <w:sz w:val="24"/>
          <w:highlight w:val="none"/>
        </w:rPr>
        <w:t>　18.3</w:t>
      </w:r>
      <w:r>
        <w:rPr>
          <w:rFonts w:hint="eastAsia" w:ascii="宋体" w:hAnsi="宋体" w:cs="宋体"/>
          <w:b/>
          <w:sz w:val="24"/>
          <w:highlight w:val="none"/>
        </w:rPr>
        <w:t>投标文件未按时解密，投标人提供了备份投标文件的，以备份投标文件作为依据，否则视为投标文件撤回。投标文件已按时解密的，备份投标文件自动失效。</w:t>
      </w:r>
    </w:p>
    <w:p>
      <w:pPr>
        <w:pStyle w:val="128"/>
        <w:spacing w:before="0"/>
        <w:ind w:firstLine="0" w:firstLineChars="0"/>
        <w:rPr>
          <w:rFonts w:ascii="宋体" w:hAnsi="宋体" w:cs="宋体"/>
          <w:b/>
          <w:szCs w:val="24"/>
          <w:highlight w:val="none"/>
        </w:rPr>
      </w:pPr>
      <w:r>
        <w:rPr>
          <w:rFonts w:hint="eastAsia" w:ascii="宋体" w:hAnsi="宋体" w:cs="宋体"/>
          <w:b/>
          <w:szCs w:val="24"/>
          <w:highlight w:val="none"/>
        </w:rPr>
        <w:t>　19、资格审查</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19.1开标后，采购人将依据法律法规和招标文件的规定，对投标人的资格进行审查。</w:t>
      </w:r>
    </w:p>
    <w:p>
      <w:pPr>
        <w:pStyle w:val="128"/>
        <w:spacing w:before="0"/>
        <w:ind w:firstLine="480"/>
        <w:rPr>
          <w:rFonts w:ascii="宋体" w:hAnsi="宋体" w:cs="宋体"/>
          <w:highlight w:val="none"/>
        </w:rPr>
      </w:pPr>
      <w:r>
        <w:rPr>
          <w:rFonts w:hint="eastAsia" w:ascii="宋体" w:hAnsi="宋体" w:cs="宋体"/>
          <w:kern w:val="0"/>
          <w:szCs w:val="24"/>
          <w:highlight w:val="none"/>
        </w:rPr>
        <w:t>19.2投标人未按照招标文件要求提供与</w:t>
      </w:r>
      <w:r>
        <w:rPr>
          <w:rFonts w:hint="eastAsia" w:ascii="宋体" w:hAnsi="宋体" w:cs="宋体"/>
          <w:highlight w:val="none"/>
        </w:rPr>
        <w:t>资格条件相应的</w:t>
      </w:r>
      <w:r>
        <w:rPr>
          <w:rFonts w:hint="eastAsia" w:ascii="宋体" w:hAnsi="宋体" w:cs="宋体"/>
          <w:kern w:val="0"/>
          <w:szCs w:val="24"/>
          <w:highlight w:val="none"/>
        </w:rPr>
        <w:t>有效资格证明材料的，视为</w:t>
      </w:r>
      <w:r>
        <w:rPr>
          <w:rFonts w:hint="eastAsia" w:ascii="宋体" w:hAnsi="宋体" w:cs="宋体"/>
          <w:highlight w:val="none"/>
        </w:rPr>
        <w:t>投标人不具备招标文件中规定的资格要求，其投标无效。</w:t>
      </w:r>
    </w:p>
    <w:p>
      <w:pPr>
        <w:pStyle w:val="128"/>
        <w:spacing w:before="0"/>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3对未通过资格审查的投标人，告知其未通过的原因。</w:t>
      </w:r>
    </w:p>
    <w:p>
      <w:pPr>
        <w:pStyle w:val="128"/>
        <w:spacing w:before="0"/>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4合格投标人不足3家的，不再评标。</w:t>
      </w:r>
    </w:p>
    <w:p>
      <w:pPr>
        <w:pStyle w:val="128"/>
        <w:spacing w:before="0"/>
        <w:ind w:firstLine="0" w:firstLineChars="0"/>
        <w:rPr>
          <w:rFonts w:ascii="宋体" w:hAnsi="宋体" w:cs="宋体"/>
          <w:b/>
          <w:szCs w:val="24"/>
          <w:highlight w:val="none"/>
        </w:rPr>
      </w:pPr>
      <w:r>
        <w:rPr>
          <w:rFonts w:hint="eastAsia" w:ascii="宋体" w:hAnsi="宋体" w:cs="宋体"/>
          <w:b/>
          <w:szCs w:val="24"/>
          <w:highlight w:val="none"/>
        </w:rPr>
        <w:t>20、信用信息查询</w:t>
      </w:r>
    </w:p>
    <w:p>
      <w:pPr>
        <w:pStyle w:val="128"/>
        <w:spacing w:before="0"/>
        <w:ind w:firstLine="495" w:firstLineChars="0"/>
        <w:rPr>
          <w:rFonts w:ascii="宋体" w:hAnsi="宋体" w:cs="宋体"/>
          <w:kern w:val="0"/>
          <w:szCs w:val="24"/>
          <w:highlight w:val="none"/>
        </w:rPr>
      </w:pPr>
      <w:r>
        <w:rPr>
          <w:rFonts w:hint="eastAsia" w:ascii="宋体" w:hAnsi="宋体" w:cs="宋体"/>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128"/>
        <w:spacing w:before="0"/>
        <w:ind w:firstLine="495" w:firstLineChars="0"/>
        <w:rPr>
          <w:rFonts w:ascii="宋体" w:hAnsi="宋体" w:cs="宋体"/>
          <w:kern w:val="0"/>
          <w:szCs w:val="24"/>
          <w:highlight w:val="none"/>
        </w:rPr>
      </w:pPr>
      <w:r>
        <w:rPr>
          <w:rFonts w:hint="eastAsia" w:ascii="宋体" w:hAnsi="宋体" w:cs="宋体"/>
          <w:kern w:val="0"/>
          <w:szCs w:val="24"/>
          <w:highlight w:val="none"/>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kern w:val="0"/>
          <w:szCs w:val="24"/>
          <w:highlight w:val="none"/>
        </w:rPr>
      </w:pPr>
      <w:r>
        <w:rPr>
          <w:rFonts w:hint="eastAsia" w:ascii="宋体" w:hAnsi="宋体" w:cs="宋体"/>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highlight w:val="none"/>
        </w:rPr>
      </w:pPr>
      <w:r>
        <w:rPr>
          <w:rFonts w:hint="eastAsia" w:ascii="宋体" w:hAnsi="宋体" w:cs="宋体"/>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highlight w:val="none"/>
        </w:rPr>
        <w:t>。</w:t>
      </w:r>
    </w:p>
    <w:p>
      <w:pPr>
        <w:pStyle w:val="128"/>
        <w:spacing w:before="0"/>
        <w:ind w:firstLine="0" w:firstLineChars="0"/>
        <w:rPr>
          <w:rFonts w:ascii="宋体" w:hAnsi="宋体" w:cs="宋体"/>
          <w:kern w:val="0"/>
          <w:szCs w:val="24"/>
          <w:highlight w:val="none"/>
        </w:rPr>
      </w:pPr>
    </w:p>
    <w:p>
      <w:pPr>
        <w:snapToGrid w:val="0"/>
        <w:spacing w:line="360" w:lineRule="auto"/>
        <w:jc w:val="center"/>
        <w:outlineLvl w:val="1"/>
        <w:rPr>
          <w:rFonts w:ascii="宋体" w:hAnsi="宋体" w:cs="宋体"/>
          <w:b/>
          <w:sz w:val="36"/>
          <w:szCs w:val="36"/>
          <w:highlight w:val="none"/>
        </w:rPr>
      </w:pPr>
      <w:r>
        <w:rPr>
          <w:rFonts w:hint="eastAsia" w:ascii="宋体" w:hAnsi="宋体" w:cs="宋体"/>
          <w:b/>
          <w:sz w:val="36"/>
          <w:szCs w:val="36"/>
          <w:highlight w:val="none"/>
        </w:rPr>
        <w:t>五、评标</w:t>
      </w:r>
    </w:p>
    <w:p>
      <w:pPr>
        <w:spacing w:line="360" w:lineRule="auto"/>
        <w:rPr>
          <w:rFonts w:ascii="宋体" w:hAnsi="宋体" w:cs="宋体"/>
          <w:b/>
          <w:sz w:val="24"/>
          <w:highlight w:val="none"/>
        </w:rPr>
      </w:pPr>
      <w:bookmarkStart w:id="18" w:name="_Toc91899903"/>
      <w:r>
        <w:rPr>
          <w:rFonts w:hint="eastAsia" w:ascii="宋体" w:hAnsi="宋体" w:cs="宋体"/>
          <w:b/>
          <w:sz w:val="24"/>
          <w:highlight w:val="none"/>
        </w:rPr>
        <w:t>21.</w:t>
      </w:r>
      <w:r>
        <w:rPr>
          <w:rFonts w:hint="eastAsia" w:ascii="宋体" w:hAnsi="宋体" w:cs="宋体"/>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highlight w:val="none"/>
        </w:rPr>
        <w:t>详见招标文件第四部分评标办法。</w:t>
      </w:r>
    </w:p>
    <w:p>
      <w:pPr>
        <w:spacing w:line="360" w:lineRule="auto"/>
        <w:rPr>
          <w:rFonts w:ascii="宋体" w:hAnsi="宋体" w:cs="宋体"/>
          <w:b/>
          <w:sz w:val="24"/>
          <w:highlight w:val="none"/>
        </w:rPr>
      </w:pPr>
    </w:p>
    <w:p>
      <w:pPr>
        <w:snapToGrid w:val="0"/>
        <w:spacing w:line="360" w:lineRule="auto"/>
        <w:jc w:val="center"/>
        <w:outlineLvl w:val="1"/>
        <w:rPr>
          <w:rFonts w:ascii="宋体" w:hAnsi="宋体" w:cs="宋体"/>
          <w:b/>
          <w:sz w:val="36"/>
          <w:szCs w:val="36"/>
          <w:highlight w:val="none"/>
        </w:rPr>
      </w:pPr>
      <w:r>
        <w:rPr>
          <w:rFonts w:hint="eastAsia" w:ascii="宋体" w:hAnsi="宋体" w:cs="宋体"/>
          <w:b/>
          <w:sz w:val="36"/>
          <w:szCs w:val="36"/>
          <w:highlight w:val="none"/>
        </w:rPr>
        <w:t>六、定 标</w:t>
      </w:r>
    </w:p>
    <w:p>
      <w:pPr>
        <w:pStyle w:val="24"/>
        <w:spacing w:line="360" w:lineRule="auto"/>
        <w:ind w:left="479" w:hanging="479" w:hangingChars="199"/>
        <w:rPr>
          <w:rFonts w:cs="宋体"/>
          <w:b/>
          <w:highlight w:val="none"/>
        </w:rPr>
      </w:pPr>
      <w:r>
        <w:rPr>
          <w:rFonts w:hint="eastAsia" w:cs="宋体"/>
          <w:b/>
          <w:highlight w:val="none"/>
        </w:rPr>
        <w:t>22. 确定中标供应商</w:t>
      </w:r>
    </w:p>
    <w:p>
      <w:pPr>
        <w:pStyle w:val="128"/>
        <w:snapToGrid w:val="0"/>
        <w:spacing w:before="0"/>
        <w:ind w:firstLine="480"/>
        <w:rPr>
          <w:rFonts w:ascii="宋体" w:hAnsi="宋体" w:cs="宋体"/>
          <w:szCs w:val="24"/>
          <w:highlight w:val="none"/>
        </w:rPr>
      </w:pPr>
      <w:r>
        <w:rPr>
          <w:rFonts w:hint="eastAsia" w:ascii="宋体" w:hAnsi="宋体" w:cs="宋体"/>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候选人撤销投标文件不能成为采购人不确认采购结果的正当理由。中标通知书和中标结果公告应当在规定时间内同时发出。</w:t>
      </w:r>
    </w:p>
    <w:p>
      <w:pPr>
        <w:pStyle w:val="128"/>
        <w:snapToGrid w:val="0"/>
        <w:spacing w:before="0"/>
        <w:ind w:firstLine="0" w:firstLineChars="0"/>
        <w:rPr>
          <w:rFonts w:ascii="宋体" w:hAnsi="宋体" w:cs="宋体"/>
          <w:b/>
          <w:szCs w:val="24"/>
          <w:highlight w:val="none"/>
        </w:rPr>
      </w:pPr>
      <w:r>
        <w:rPr>
          <w:rFonts w:hint="eastAsia" w:ascii="宋体" w:hAnsi="宋体" w:cs="宋体"/>
          <w:b/>
          <w:szCs w:val="24"/>
          <w:highlight w:val="none"/>
        </w:rPr>
        <w:t>23. 中标通知与中标结果公告</w:t>
      </w:r>
    </w:p>
    <w:p>
      <w:pPr>
        <w:widowControl/>
        <w:shd w:val="clear" w:color="auto" w:fill="FFFFFF"/>
        <w:spacing w:line="360" w:lineRule="auto"/>
        <w:ind w:firstLine="480"/>
        <w:jc w:val="left"/>
        <w:rPr>
          <w:rFonts w:ascii="宋体" w:hAnsi="宋体" w:cs="宋体"/>
          <w:sz w:val="24"/>
          <w:highlight w:val="none"/>
        </w:rPr>
      </w:pPr>
      <w:r>
        <w:rPr>
          <w:rFonts w:hint="eastAsia" w:ascii="宋体" w:hAnsi="宋体" w:cs="宋体"/>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highlight w:val="none"/>
        </w:rPr>
      </w:pPr>
      <w:r>
        <w:rPr>
          <w:rFonts w:hint="eastAsia" w:ascii="宋体" w:hAnsi="宋体" w:cs="宋体"/>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highlight w:val="none"/>
        </w:rPr>
      </w:pPr>
      <w:r>
        <w:rPr>
          <w:rFonts w:hint="eastAsia" w:ascii="宋体" w:hAnsi="宋体" w:cs="宋体"/>
          <w:sz w:val="24"/>
          <w:highlight w:val="none"/>
        </w:rPr>
        <w:t>23.3公告期限为1个工作日。</w:t>
      </w:r>
    </w:p>
    <w:p>
      <w:pPr>
        <w:snapToGrid w:val="0"/>
        <w:spacing w:line="360" w:lineRule="auto"/>
        <w:ind w:left="120" w:leftChars="57" w:firstLine="482" w:firstLineChars="150"/>
        <w:jc w:val="center"/>
        <w:rPr>
          <w:rFonts w:ascii="宋体" w:hAnsi="宋体" w:cs="宋体"/>
          <w:b/>
          <w:sz w:val="32"/>
          <w:highlight w:val="none"/>
        </w:rPr>
      </w:pPr>
    </w:p>
    <w:p>
      <w:pPr>
        <w:snapToGrid w:val="0"/>
        <w:spacing w:line="360" w:lineRule="auto"/>
        <w:ind w:left="120" w:leftChars="57" w:firstLine="482" w:firstLineChars="150"/>
        <w:jc w:val="center"/>
        <w:outlineLvl w:val="1"/>
        <w:rPr>
          <w:rFonts w:ascii="宋体" w:hAnsi="宋体" w:cs="宋体"/>
          <w:b/>
          <w:sz w:val="32"/>
          <w:highlight w:val="none"/>
        </w:rPr>
      </w:pPr>
      <w:r>
        <w:rPr>
          <w:rFonts w:hint="eastAsia" w:ascii="宋体" w:hAnsi="宋体" w:cs="宋体"/>
          <w:b/>
          <w:sz w:val="32"/>
          <w:highlight w:val="none"/>
        </w:rPr>
        <w:t>七、合同授予</w:t>
      </w:r>
    </w:p>
    <w:p>
      <w:pPr>
        <w:pStyle w:val="24"/>
        <w:spacing w:line="360" w:lineRule="auto"/>
        <w:ind w:left="479" w:hanging="479" w:hangingChars="199"/>
        <w:rPr>
          <w:rFonts w:cs="宋体"/>
          <w:b/>
          <w:highlight w:val="none"/>
        </w:rPr>
      </w:pPr>
      <w:r>
        <w:rPr>
          <w:rFonts w:hint="eastAsia" w:cs="宋体"/>
          <w:b/>
          <w:highlight w:val="none"/>
        </w:rPr>
        <w:t>24. 合同主要条款详见第五部分拟签订的合同文本。</w:t>
      </w:r>
    </w:p>
    <w:p>
      <w:pPr>
        <w:pStyle w:val="24"/>
        <w:spacing w:line="360" w:lineRule="auto"/>
        <w:ind w:left="479" w:hanging="479" w:hangingChars="199"/>
        <w:rPr>
          <w:rFonts w:cs="宋体"/>
          <w:b/>
          <w:highlight w:val="none"/>
        </w:rPr>
      </w:pPr>
      <w:r>
        <w:rPr>
          <w:rFonts w:hint="eastAsia" w:cs="宋体"/>
          <w:b/>
          <w:highlight w:val="none"/>
        </w:rPr>
        <w:t>25. 合同的签订</w:t>
      </w:r>
    </w:p>
    <w:p>
      <w:pPr>
        <w:widowControl/>
        <w:shd w:val="clear" w:color="auto" w:fill="FFFFFF"/>
        <w:spacing w:line="360" w:lineRule="auto"/>
        <w:ind w:firstLine="480"/>
        <w:jc w:val="left"/>
        <w:rPr>
          <w:rFonts w:ascii="宋体" w:hAnsi="宋体" w:cs="宋体"/>
          <w:kern w:val="0"/>
          <w:sz w:val="24"/>
          <w:highlight w:val="none"/>
        </w:rPr>
      </w:pPr>
      <w:r>
        <w:rPr>
          <w:rFonts w:hint="eastAsia" w:ascii="宋体" w:hAnsi="宋体" w:cs="宋体"/>
          <w:sz w:val="24"/>
          <w:highlight w:val="none"/>
        </w:rPr>
        <w:t>25.1</w:t>
      </w:r>
      <w:r>
        <w:rPr>
          <w:rFonts w:hint="eastAsia" w:ascii="宋体" w:hAnsi="宋体" w:cs="宋体"/>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ascii="宋体" w:hAnsi="宋体" w:cs="宋体"/>
          <w:kern w:val="0"/>
          <w:highlight w:val="none"/>
        </w:rPr>
      </w:pPr>
      <w:r>
        <w:rPr>
          <w:rFonts w:hint="eastAsia" w:ascii="宋体" w:hAnsi="宋体" w:cs="宋体"/>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highlight w:val="none"/>
        </w:rPr>
      </w:pPr>
      <w:r>
        <w:rPr>
          <w:rFonts w:hint="eastAsia" w:ascii="宋体" w:hAnsi="宋体" w:cs="宋体"/>
          <w:highlight w:val="none"/>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highlight w:val="none"/>
        </w:rPr>
      </w:pPr>
      <w:r>
        <w:rPr>
          <w:rFonts w:hint="eastAsia" w:ascii="宋体" w:hAnsi="宋体" w:cs="宋体"/>
          <w:highlight w:val="none"/>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ind w:firstLine="480"/>
        <w:rPr>
          <w:rFonts w:ascii="宋体" w:hAnsi="宋体" w:cs="宋体"/>
          <w:highlight w:val="none"/>
        </w:rPr>
      </w:pPr>
      <w:r>
        <w:rPr>
          <w:rFonts w:hint="eastAsia" w:ascii="宋体" w:hAnsi="宋体" w:cs="宋体"/>
          <w:highlight w:val="none"/>
        </w:rPr>
        <w:t>25.5采购合同由采购人与中标供应商根据招标文件、投标文件等内容通过政府采购电子交易平台在线签订，自动备案。</w:t>
      </w:r>
    </w:p>
    <w:p>
      <w:pPr>
        <w:pStyle w:val="24"/>
        <w:spacing w:line="360" w:lineRule="auto"/>
        <w:ind w:left="479" w:hanging="479" w:hangingChars="199"/>
        <w:rPr>
          <w:rFonts w:cs="宋体"/>
          <w:b/>
          <w:highlight w:val="none"/>
        </w:rPr>
      </w:pPr>
      <w:r>
        <w:rPr>
          <w:rFonts w:hint="eastAsia" w:cs="宋体"/>
          <w:b/>
          <w:highlight w:val="none"/>
        </w:rPr>
        <w:t>26. 履约保证金</w:t>
      </w:r>
    </w:p>
    <w:p>
      <w:pPr>
        <w:tabs>
          <w:tab w:val="left" w:pos="0"/>
        </w:tabs>
        <w:spacing w:line="360" w:lineRule="auto"/>
        <w:ind w:firstLine="482"/>
        <w:rPr>
          <w:rFonts w:ascii="宋体" w:hAnsi="宋体" w:cs="宋体"/>
          <w:sz w:val="24"/>
          <w:highlight w:val="none"/>
        </w:rPr>
      </w:pPr>
      <w:r>
        <w:rPr>
          <w:rFonts w:hint="eastAsia" w:ascii="宋体" w:hAnsi="宋体" w:cs="宋体"/>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sz w:val="24"/>
          <w:highlight w:val="none"/>
        </w:rPr>
        <w:t>。履约保证金的数额不得超过政府采购合同金额的</w:t>
      </w:r>
      <w:r>
        <w:rPr>
          <w:rFonts w:ascii="宋体" w:hAnsi="宋体" w:cs="宋体"/>
          <w:sz w:val="24"/>
          <w:highlight w:val="none"/>
        </w:rPr>
        <w:t>1</w:t>
      </w:r>
      <w:r>
        <w:rPr>
          <w:rFonts w:hint="eastAsia" w:ascii="宋体" w:hAnsi="宋体" w:cs="宋体"/>
          <w:sz w:val="24"/>
          <w:highlight w:val="none"/>
        </w:rPr>
        <w:t>%。鼓励和支持供应商以银行、保险公司出具的保函形式提供履约保证金。采购人不得拒收履约保函，项目验收结束后应及时退还，</w:t>
      </w:r>
      <w:r>
        <w:rPr>
          <w:rFonts w:ascii="宋体" w:hAnsi="宋体" w:cs="宋体"/>
          <w:sz w:val="24"/>
          <w:highlight w:val="none"/>
        </w:rPr>
        <w:t>延迟退还的，应当按照合同约定和法律规定承担相应的赔偿责任</w:t>
      </w:r>
      <w:r>
        <w:rPr>
          <w:rFonts w:hint="eastAsia" w:ascii="宋体" w:hAnsi="宋体" w:cs="宋体"/>
          <w:sz w:val="24"/>
          <w:highlight w:val="none"/>
        </w:rPr>
        <w:t>。</w:t>
      </w:r>
    </w:p>
    <w:p>
      <w:pPr>
        <w:tabs>
          <w:tab w:val="left" w:pos="0"/>
        </w:tabs>
        <w:spacing w:line="360" w:lineRule="auto"/>
        <w:ind w:firstLine="482"/>
        <w:rPr>
          <w:rFonts w:ascii="宋体" w:hAnsi="宋体" w:cs="宋体"/>
          <w:kern w:val="0"/>
          <w:sz w:val="24"/>
          <w:highlight w:val="none"/>
        </w:rPr>
      </w:pPr>
      <w:r>
        <w:rPr>
          <w:rFonts w:hint="eastAsia" w:ascii="宋体" w:hAnsi="宋体" w:cs="宋体"/>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sz w:val="32"/>
          <w:highlight w:val="none"/>
        </w:rPr>
      </w:pPr>
    </w:p>
    <w:p>
      <w:pPr>
        <w:snapToGrid w:val="0"/>
        <w:spacing w:line="360" w:lineRule="auto"/>
        <w:ind w:firstLine="3357" w:firstLineChars="1045"/>
        <w:outlineLvl w:val="1"/>
        <w:rPr>
          <w:rFonts w:ascii="宋体" w:hAnsi="宋体" w:cs="宋体"/>
          <w:b/>
          <w:sz w:val="24"/>
          <w:highlight w:val="none"/>
        </w:rPr>
      </w:pPr>
      <w:r>
        <w:rPr>
          <w:rFonts w:hint="eastAsia" w:ascii="宋体" w:hAnsi="宋体" w:cs="宋体"/>
          <w:b/>
          <w:sz w:val="32"/>
          <w:highlight w:val="none"/>
        </w:rPr>
        <w:t>八、电子交易活动的中止</w:t>
      </w:r>
    </w:p>
    <w:p>
      <w:pPr>
        <w:pStyle w:val="128"/>
        <w:snapToGrid w:val="0"/>
        <w:spacing w:before="0"/>
        <w:ind w:firstLine="0" w:firstLineChars="0"/>
        <w:rPr>
          <w:rFonts w:ascii="宋体" w:hAnsi="宋体" w:cs="宋体"/>
          <w:highlight w:val="none"/>
        </w:rPr>
      </w:pPr>
      <w:r>
        <w:rPr>
          <w:rFonts w:hint="eastAsia" w:ascii="宋体" w:hAnsi="宋体" w:cs="宋体"/>
          <w:highlight w:val="none"/>
        </w:rPr>
        <w:t>2</w:t>
      </w:r>
      <w:r>
        <w:rPr>
          <w:rFonts w:hint="eastAsia" w:ascii="宋体" w:hAnsi="宋体" w:cs="宋体"/>
          <w:b/>
          <w:szCs w:val="24"/>
          <w:highlight w:val="none"/>
        </w:rPr>
        <w:t>7. 电子交易活动的中止。</w:t>
      </w:r>
      <w:r>
        <w:rPr>
          <w:rFonts w:hint="eastAsia" w:ascii="宋体" w:hAnsi="宋体" w:cs="宋体"/>
          <w:highlight w:val="none"/>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ascii="宋体" w:hAnsi="宋体" w:cs="宋体"/>
          <w:highlight w:val="none"/>
        </w:rPr>
      </w:pPr>
      <w:r>
        <w:rPr>
          <w:rFonts w:hint="eastAsia" w:ascii="宋体" w:hAnsi="宋体" w:cs="宋体"/>
          <w:highlight w:val="none"/>
        </w:rPr>
        <w:t xml:space="preserve">27.1电子交易平台发生故障而无法登录访问的； </w:t>
      </w:r>
    </w:p>
    <w:p>
      <w:pPr>
        <w:pStyle w:val="128"/>
        <w:snapToGrid w:val="0"/>
        <w:spacing w:before="0"/>
        <w:ind w:firstLine="480"/>
        <w:rPr>
          <w:rFonts w:ascii="宋体" w:hAnsi="宋体" w:cs="宋体"/>
          <w:highlight w:val="none"/>
        </w:rPr>
      </w:pPr>
      <w:r>
        <w:rPr>
          <w:rFonts w:hint="eastAsia" w:ascii="宋体" w:hAnsi="宋体" w:cs="宋体"/>
          <w:highlight w:val="none"/>
        </w:rPr>
        <w:t>27.2电子交易平台应用或数据库出现错误，不能进行正常操作的；</w:t>
      </w:r>
    </w:p>
    <w:p>
      <w:pPr>
        <w:pStyle w:val="128"/>
        <w:snapToGrid w:val="0"/>
        <w:spacing w:before="0"/>
        <w:ind w:firstLine="480"/>
        <w:rPr>
          <w:rFonts w:ascii="宋体" w:hAnsi="宋体" w:cs="宋体"/>
          <w:highlight w:val="none"/>
        </w:rPr>
      </w:pPr>
      <w:r>
        <w:rPr>
          <w:rFonts w:hint="eastAsia" w:ascii="宋体" w:hAnsi="宋体" w:cs="宋体"/>
          <w:highlight w:val="none"/>
        </w:rPr>
        <w:t>27.3电子交易平台发现严重安全漏洞，有潜在泄密危险的；</w:t>
      </w:r>
    </w:p>
    <w:p>
      <w:pPr>
        <w:pStyle w:val="128"/>
        <w:snapToGrid w:val="0"/>
        <w:spacing w:before="0"/>
        <w:ind w:firstLine="480"/>
        <w:rPr>
          <w:rFonts w:ascii="宋体" w:hAnsi="宋体" w:cs="宋体"/>
          <w:highlight w:val="none"/>
        </w:rPr>
      </w:pPr>
      <w:r>
        <w:rPr>
          <w:rFonts w:hint="eastAsia" w:ascii="宋体" w:hAnsi="宋体" w:cs="宋体"/>
          <w:highlight w:val="none"/>
        </w:rPr>
        <w:t xml:space="preserve">27.4病毒发作导致不能进行正常操作的； </w:t>
      </w:r>
    </w:p>
    <w:p>
      <w:pPr>
        <w:pStyle w:val="128"/>
        <w:snapToGrid w:val="0"/>
        <w:spacing w:before="0"/>
        <w:ind w:firstLine="480"/>
        <w:rPr>
          <w:rFonts w:ascii="宋体" w:hAnsi="宋体" w:cs="宋体"/>
          <w:highlight w:val="none"/>
        </w:rPr>
      </w:pPr>
      <w:r>
        <w:rPr>
          <w:rFonts w:hint="eastAsia" w:ascii="宋体" w:hAnsi="宋体" w:cs="宋体"/>
          <w:highlight w:val="none"/>
        </w:rPr>
        <w:t>27.5其他无法保证电子交易的公平、公正和安全的情况。</w:t>
      </w:r>
    </w:p>
    <w:p>
      <w:pPr>
        <w:pStyle w:val="128"/>
        <w:snapToGrid w:val="0"/>
        <w:spacing w:before="0"/>
        <w:ind w:firstLine="0" w:firstLineChars="0"/>
        <w:rPr>
          <w:rFonts w:ascii="宋体" w:hAnsi="宋体" w:cs="宋体"/>
          <w:highlight w:val="none"/>
        </w:rPr>
      </w:pPr>
      <w:r>
        <w:rPr>
          <w:rFonts w:hint="eastAsia" w:ascii="宋体" w:hAnsi="宋体" w:cs="宋体"/>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highlight w:val="none"/>
        </w:rPr>
      </w:pPr>
    </w:p>
    <w:p>
      <w:pPr>
        <w:snapToGrid w:val="0"/>
        <w:spacing w:line="360" w:lineRule="auto"/>
        <w:ind w:left="120" w:leftChars="57" w:firstLine="482" w:firstLineChars="150"/>
        <w:jc w:val="center"/>
        <w:outlineLvl w:val="1"/>
        <w:rPr>
          <w:rFonts w:ascii="宋体" w:hAnsi="宋体" w:cs="宋体"/>
          <w:b/>
          <w:sz w:val="32"/>
          <w:highlight w:val="none"/>
        </w:rPr>
      </w:pPr>
      <w:r>
        <w:rPr>
          <w:rFonts w:hint="eastAsia" w:ascii="宋体" w:hAnsi="宋体" w:cs="宋体"/>
          <w:b/>
          <w:sz w:val="32"/>
          <w:highlight w:val="none"/>
        </w:rPr>
        <w:t>九、验收</w:t>
      </w:r>
    </w:p>
    <w:p>
      <w:pPr>
        <w:pStyle w:val="24"/>
        <w:spacing w:line="360" w:lineRule="auto"/>
        <w:ind w:firstLine="0" w:firstLineChars="0"/>
        <w:rPr>
          <w:rFonts w:cs="宋体"/>
          <w:b/>
          <w:highlight w:val="none"/>
        </w:rPr>
      </w:pPr>
      <w:r>
        <w:rPr>
          <w:rFonts w:hint="eastAsia" w:cs="宋体"/>
          <w:b/>
          <w:highlight w:val="none"/>
        </w:rPr>
        <w:t>29.验收</w:t>
      </w:r>
    </w:p>
    <w:p>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highlight w:val="none"/>
        </w:rPr>
      </w:pPr>
      <w:r>
        <w:rPr>
          <w:rFonts w:hint="eastAsia" w:ascii="宋体" w:hAnsi="宋体" w:cs="宋体"/>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73093"/>
      <w:bookmarkEnd w:id="19"/>
      <w:bookmarkStart w:id="20" w:name="_Hlt75236101"/>
      <w:bookmarkEnd w:id="20"/>
      <w:bookmarkStart w:id="21" w:name="_Hlt74707468"/>
      <w:bookmarkEnd w:id="21"/>
      <w:bookmarkStart w:id="22" w:name="_Hlt68072990"/>
      <w:bookmarkEnd w:id="22"/>
      <w:bookmarkStart w:id="23" w:name="_Hlt68072998"/>
      <w:bookmarkEnd w:id="23"/>
      <w:bookmarkStart w:id="24" w:name="_Hlt75236011"/>
      <w:bookmarkEnd w:id="24"/>
      <w:bookmarkStart w:id="25" w:name="_Hlt74730295"/>
      <w:bookmarkEnd w:id="25"/>
      <w:bookmarkStart w:id="26" w:name="_Hlt68057669"/>
      <w:bookmarkEnd w:id="26"/>
      <w:bookmarkStart w:id="27" w:name="_Hlt74729768"/>
      <w:bookmarkEnd w:id="27"/>
      <w:bookmarkStart w:id="28" w:name="_Hlt74714665"/>
      <w:bookmarkEnd w:id="28"/>
      <w:bookmarkStart w:id="29" w:name="_Hlt75236290"/>
      <w:bookmarkEnd w:id="29"/>
      <w:bookmarkStart w:id="30" w:name="_Hlt68403820"/>
      <w:bookmarkEnd w:id="30"/>
    </w:p>
    <w:bookmarkEnd w:id="13"/>
    <w:bookmarkEnd w:id="14"/>
    <w:p>
      <w:pPr>
        <w:spacing w:line="360" w:lineRule="auto"/>
        <w:jc w:val="center"/>
        <w:outlineLvl w:val="0"/>
        <w:rPr>
          <w:rFonts w:ascii="宋体" w:hAnsi="宋体" w:cs="宋体"/>
          <w:b/>
          <w:sz w:val="36"/>
          <w:szCs w:val="36"/>
          <w:highlight w:val="none"/>
        </w:rPr>
      </w:pPr>
      <w:bookmarkStart w:id="31" w:name="第四部分"/>
      <w:r>
        <w:rPr>
          <w:rFonts w:hint="eastAsia" w:ascii="宋体" w:hAnsi="宋体" w:cs="宋体"/>
          <w:b/>
          <w:sz w:val="36"/>
          <w:szCs w:val="36"/>
          <w:highlight w:val="none"/>
        </w:rPr>
        <w:t>第三部分   采购需求</w:t>
      </w:r>
    </w:p>
    <w:p>
      <w:pPr>
        <w:spacing w:beforeLines="50" w:afterLines="50" w:line="360" w:lineRule="auto"/>
        <w:jc w:val="left"/>
        <w:rPr>
          <w:rFonts w:ascii="宋体" w:hAnsi="宋体" w:cs="宋体"/>
          <w:b/>
          <w:bCs/>
          <w:snapToGrid w:val="0"/>
          <w:kern w:val="0"/>
          <w:sz w:val="24"/>
          <w:highlight w:val="none"/>
          <w:lang w:val="zh-CN"/>
        </w:rPr>
      </w:pPr>
      <w:r>
        <w:rPr>
          <w:rFonts w:hint="eastAsia" w:ascii="宋体" w:hAnsi="宋体" w:cs="宋体"/>
          <w:b/>
          <w:bCs/>
          <w:snapToGrid w:val="0"/>
          <w:kern w:val="0"/>
          <w:sz w:val="24"/>
          <w:highlight w:val="none"/>
          <w:lang w:val="zh-CN"/>
        </w:rPr>
        <w:t>属于实质性要求条款的，已用符号“▲”标明，否则属于非实质性要求。</w:t>
      </w:r>
    </w:p>
    <w:p>
      <w:pPr>
        <w:spacing w:line="360" w:lineRule="auto"/>
        <w:rPr>
          <w:rFonts w:ascii="宋体" w:hAnsi="宋体" w:cs="宋体"/>
          <w:b/>
          <w:sz w:val="24"/>
          <w:highlight w:val="none"/>
        </w:rPr>
      </w:pPr>
      <w:r>
        <w:rPr>
          <w:rFonts w:hint="eastAsia" w:ascii="宋体" w:hAnsi="宋体" w:cs="宋体"/>
          <w:b/>
          <w:bCs/>
          <w:snapToGrid w:val="0"/>
          <w:kern w:val="0"/>
          <w:sz w:val="24"/>
          <w:highlight w:val="none"/>
          <w:lang w:val="zh-CN"/>
        </w:rPr>
        <w:t>“★”系产品采购项目中单一产品或核心产品。</w:t>
      </w:r>
    </w:p>
    <w:p>
      <w:pPr>
        <w:tabs>
          <w:tab w:val="left" w:pos="0"/>
        </w:tabs>
        <w:spacing w:line="360" w:lineRule="auto"/>
        <w:rPr>
          <w:rFonts w:ascii="宋体" w:hAnsi="宋体" w:cs="宋体"/>
          <w:kern w:val="0"/>
          <w:sz w:val="24"/>
          <w:highlight w:val="none"/>
        </w:rPr>
      </w:pPr>
    </w:p>
    <w:p>
      <w:pPr>
        <w:pStyle w:val="3"/>
        <w:spacing w:before="120" w:after="120"/>
        <w:ind w:left="0" w:firstLine="0"/>
        <w:rPr>
          <w:rFonts w:ascii="宋体" w:hAnsi="宋体" w:eastAsia="宋体" w:cs="宋体"/>
          <w:sz w:val="24"/>
          <w:szCs w:val="24"/>
          <w:highlight w:val="none"/>
        </w:rPr>
      </w:pPr>
      <w:bookmarkStart w:id="32" w:name="_Toc25476"/>
      <w:r>
        <w:rPr>
          <w:rFonts w:hint="eastAsia" w:ascii="宋体" w:hAnsi="宋体" w:eastAsia="宋体" w:cs="宋体"/>
          <w:sz w:val="24"/>
          <w:szCs w:val="24"/>
          <w:highlight w:val="none"/>
        </w:rPr>
        <w:t>一、项目概述</w:t>
      </w:r>
      <w:bookmarkEnd w:id="32"/>
    </w:p>
    <w:p>
      <w:pPr>
        <w:adjustRightInd/>
        <w:spacing w:line="360" w:lineRule="auto"/>
        <w:jc w:val="center"/>
        <w:rPr>
          <w:rFonts w:ascii="宋体" w:hAnsi="宋体" w:cs="宋体"/>
          <w:sz w:val="48"/>
          <w:szCs w:val="48"/>
          <w:highlight w:val="none"/>
        </w:rPr>
      </w:pPr>
    </w:p>
    <w:p>
      <w:pPr>
        <w:pStyle w:val="23"/>
        <w:ind w:firstLine="480" w:firstLineChars="200"/>
        <w:rPr>
          <w:rFonts w:hAnsi="宋体" w:cs="宋体"/>
          <w:bCs/>
          <w:highlight w:val="none"/>
        </w:rPr>
      </w:pPr>
      <w:r>
        <w:rPr>
          <w:rFonts w:hint="eastAsia" w:hAnsi="宋体" w:cs="宋体"/>
          <w:color w:val="auto"/>
          <w:highlight w:val="none"/>
          <w:lang w:val="en-US"/>
        </w:rPr>
        <w:t>杭州市拱墅区小河街道余杭塘路未来社区家具采购项目</w:t>
      </w:r>
      <w:r>
        <w:rPr>
          <w:rFonts w:hint="eastAsia" w:hAnsi="宋体" w:cs="宋体"/>
          <w:bCs/>
          <w:snapToGrid/>
          <w:color w:val="auto"/>
          <w:szCs w:val="24"/>
          <w:highlight w:val="none"/>
        </w:rPr>
        <w:t>主</w:t>
      </w:r>
      <w:r>
        <w:rPr>
          <w:rFonts w:hint="eastAsia" w:hAnsi="宋体" w:cs="宋体"/>
          <w:bCs/>
          <w:snapToGrid/>
          <w:szCs w:val="24"/>
          <w:highlight w:val="none"/>
        </w:rPr>
        <w:t>要内容：</w:t>
      </w:r>
      <w:r>
        <w:rPr>
          <w:rFonts w:hint="eastAsia" w:hAnsi="宋体" w:cs="宋体"/>
          <w:bCs/>
          <w:snapToGrid/>
          <w:szCs w:val="24"/>
          <w:highlight w:val="none"/>
          <w:u w:val="none"/>
          <w:lang w:val="en-US"/>
        </w:rPr>
        <w:t>采购清单内</w:t>
      </w:r>
      <w:r>
        <w:rPr>
          <w:rFonts w:hint="eastAsia" w:hAnsi="宋体" w:cs="宋体"/>
          <w:bCs/>
          <w:snapToGrid/>
          <w:szCs w:val="24"/>
          <w:highlight w:val="none"/>
        </w:rPr>
        <w:t>家具的制造、供货、运输、安装、调试、验收配合、售后服务等全部内容。</w:t>
      </w:r>
    </w:p>
    <w:p>
      <w:pPr>
        <w:pStyle w:val="23"/>
        <w:rPr>
          <w:rFonts w:hAnsi="宋体" w:cs="宋体"/>
          <w:bCs/>
          <w:snapToGrid/>
          <w:szCs w:val="24"/>
          <w:highlight w:val="none"/>
        </w:rPr>
      </w:pPr>
    </w:p>
    <w:p>
      <w:pPr>
        <w:widowControl/>
        <w:spacing w:line="360" w:lineRule="auto"/>
        <w:jc w:val="left"/>
        <w:rPr>
          <w:sz w:val="24"/>
          <w:highlight w:val="none"/>
        </w:rPr>
      </w:pPr>
      <w:r>
        <w:rPr>
          <w:rFonts w:hint="eastAsia" w:ascii="宋体" w:hAnsi="宋体" w:cs="宋体"/>
          <w:b/>
          <w:bCs/>
          <w:kern w:val="0"/>
          <w:sz w:val="24"/>
          <w:highlight w:val="none"/>
        </w:rPr>
        <w:t>二、需执行的国家相关标准、行业标准、地方标准或者其他标准、规范</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如有未特别注明需执行的国家相关标准、行业标准、地方标准或者其他标准、规范，则统一执行最新标准、规范。</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1.QB/T 4463-2013 《家具用封边条技术要求》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2.GB 18581-2020《木器涂料中有害物质限量》</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3.HJ 2537-2014 《环境标志产品技术要求 水性涂料》</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4.GB/T 35607-2017《绿色产品评价家具》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5.GB/T 3324-2017《木家具通用技术条件》</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6.GB/T 3325-2017《金属家具通用技术条件》</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7.GB/T 19942-2019《皮革和毛皮 化学试验禁用偶氮染料的测定》</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8.GB/T 4897-2015 《刨花板》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9.GB/T 16799-2018 《家具用皮革》</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10.QB/T 1952.1-2012《软体家具沙发》</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11.GB 20286-2006《公共场所阻燃制品及组件燃烧性能要求和标识》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12.GB/T 2280-2016《办公家具办公椅》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13.GB/T 6461-2002《金属基体上金属和其他无机覆盖层 经腐蚀试验后的试样和试件的评级》</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14.QB/T 2714-2018 《皮革物理和机械试验耐折牢度的测定》</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15.GB/T 23986-2009《色漆和清漆挥发性有机化合物（VOC）含量的测定 气相色谱法》</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16.GB/T 32487-2016《塑料家具通用技术条件》</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17.GB/T 13237-2013《优质碳素结构钢冷轧钢板和钢带》</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18.GB/T 17657-2022《人造板及饰面人造板理化性能试验方法》</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xml:space="preserve">19.QB/T 4371-2012《家具抗菌性能的评价》                 </w:t>
      </w:r>
    </w:p>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20.JC/T 2039-2010《抗菌防霉木质装饰板》</w:t>
      </w:r>
    </w:p>
    <w:p>
      <w:pPr>
        <w:widowControl/>
        <w:spacing w:line="360" w:lineRule="auto"/>
        <w:ind w:firstLine="480" w:firstLineChars="200"/>
        <w:jc w:val="left"/>
        <w:rPr>
          <w:rFonts w:hAnsi="宋体" w:cs="仿宋_GB2312"/>
          <w:highlight w:val="none"/>
        </w:rPr>
      </w:pPr>
      <w:r>
        <w:rPr>
          <w:rFonts w:hint="eastAsia" w:ascii="宋体" w:hAnsi="宋体" w:cs="宋体"/>
          <w:kern w:val="0"/>
          <w:sz w:val="24"/>
          <w:highlight w:val="none"/>
        </w:rPr>
        <w:t>服务过程应符合采购人相关工作标准及涉及的相关技术标准要求，满足采购人质量、环境、职业健康安全、信息安全、社会责任管理体系要求。</w:t>
      </w:r>
    </w:p>
    <w:p>
      <w:pPr>
        <w:pStyle w:val="60"/>
        <w:ind w:firstLine="482"/>
        <w:rPr>
          <w:rFonts w:hAnsi="宋体" w:cs="宋体"/>
          <w:b/>
          <w:bCs/>
          <w:szCs w:val="24"/>
          <w:highlight w:val="none"/>
        </w:rPr>
      </w:pPr>
    </w:p>
    <w:p>
      <w:pPr>
        <w:pStyle w:val="60"/>
        <w:ind w:firstLine="0"/>
        <w:rPr>
          <w:rFonts w:hAnsi="宋体" w:cs="宋体"/>
          <w:b/>
          <w:bCs/>
          <w:szCs w:val="24"/>
          <w:highlight w:val="none"/>
        </w:rPr>
      </w:pPr>
      <w:r>
        <w:rPr>
          <w:rFonts w:hint="eastAsia" w:hAnsi="宋体" w:cs="宋体"/>
          <w:b/>
          <w:bCs/>
          <w:szCs w:val="24"/>
          <w:highlight w:val="none"/>
        </w:rPr>
        <w:t>三、采购清单</w:t>
      </w:r>
    </w:p>
    <w:tbl>
      <w:tblPr>
        <w:tblStyle w:val="62"/>
        <w:tblW w:w="84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797"/>
        <w:gridCol w:w="1856"/>
        <w:gridCol w:w="1026"/>
        <w:gridCol w:w="2562"/>
        <w:gridCol w:w="425"/>
        <w:gridCol w:w="538"/>
        <w:gridCol w:w="8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1"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序号</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产品名称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参考图片</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规格</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材质说明</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数量</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单位</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华文细黑" w:hAnsi="华文细黑" w:eastAsia="华文细黑" w:cs="华文细黑"/>
                <w:b/>
                <w:bCs/>
                <w:i w:val="0"/>
                <w:iCs w:val="0"/>
                <w:color w:val="000000"/>
                <w:sz w:val="18"/>
                <w:szCs w:val="18"/>
                <w:highlight w:val="none"/>
                <w:u w:val="none"/>
              </w:rPr>
            </w:pPr>
            <w:r>
              <w:rPr>
                <w:rFonts w:hint="eastAsia" w:ascii="华文细黑" w:hAnsi="华文细黑" w:eastAsia="华文细黑" w:cs="华文细黑"/>
                <w:b/>
                <w:bCs/>
                <w:i w:val="0"/>
                <w:iCs w:val="0"/>
                <w:color w:val="000000"/>
                <w:kern w:val="0"/>
                <w:sz w:val="18"/>
                <w:szCs w:val="18"/>
                <w:highlight w:val="none"/>
                <w:u w:val="none"/>
                <w:lang w:val="en-US" w:eastAsia="zh-CN" w:bidi="ar"/>
              </w:rPr>
              <w:t>价格上限（元）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95375" cy="1000125"/>
                  <wp:effectExtent l="0" t="0" r="9525" b="952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6"/>
                          <a:stretch>
                            <a:fillRect/>
                          </a:stretch>
                        </pic:blipFill>
                        <pic:spPr>
                          <a:xfrm>
                            <a:off x="0" y="0"/>
                            <a:ext cx="1095375" cy="10001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ø1600*420/780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1、座面：表面采用超纤皮革，抗污易清洁、表面柔软舒适；                    2、海绵：采用高密度高回弹海绵，座面密度45kg/m³以上，靠背密度38kg/m³以上；达到国家阻燃标准；                                                      3、框架：采用多层板基材；                                                                                                                                                                                                                 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95375" cy="1000125"/>
                  <wp:effectExtent l="0" t="0" r="9525" b="9525"/>
                  <wp:docPr id="2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7"/>
                          <pic:cNvPicPr>
                            <a:picLocks noChangeAspect="1"/>
                          </pic:cNvPicPr>
                        </pic:nvPicPr>
                        <pic:blipFill>
                          <a:blip r:embed="rId26"/>
                          <a:stretch>
                            <a:fillRect/>
                          </a:stretch>
                        </pic:blipFill>
                        <pic:spPr>
                          <a:xfrm>
                            <a:off x="0" y="0"/>
                            <a:ext cx="1095375" cy="10001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ø1100*420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1、座面：表面采用超纤皮革，抗污易清洁、表面柔软舒适；                    2、海绵：采用高密度高回弹海绵，座面密度45kg/m³以上，靠背密度38kg/m³以上；达到国家阻燃标准；                                                      3、框架：采用多层板基材；                                                                                                                                                                                                                 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方餐桌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09625" cy="79057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27"/>
                          <a:stretch>
                            <a:fillRect/>
                          </a:stretch>
                        </pic:blipFill>
                        <pic:spPr>
                          <a:xfrm>
                            <a:off x="0" y="0"/>
                            <a:ext cx="809625" cy="7905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1、桌面：采用多层板基材，表面0.6mm厚实木皮贴面；                         2、支架：白蜡木实木，榫卯工艺与现代工艺相结合；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餐椅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28650" cy="1009650"/>
                  <wp:effectExtent l="0" t="0" r="0" b="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8"/>
                          <a:stretch>
                            <a:fillRect/>
                          </a:stretch>
                        </pic:blipFill>
                        <pic:spPr>
                          <a:xfrm>
                            <a:off x="0" y="0"/>
                            <a:ext cx="628650" cy="10096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520*530*770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1、座面及靠背软包：表面采用超纤皮革，抗污易清洁、表面柔软舒适；                    2、海绵：采用高密度高回弹海绵，座面密度45kg/m³以上，靠背密度38kg/m³以上；达到国家阻燃标准；                                                       3、支架：白蜡木实木，榫卯工艺与现代工艺相结合；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82675" cy="474345"/>
                  <wp:effectExtent l="0" t="0" r="3175" b="190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29"/>
                          <a:stretch>
                            <a:fillRect/>
                          </a:stretch>
                        </pic:blipFill>
                        <pic:spPr>
                          <a:xfrm>
                            <a:off x="0" y="0"/>
                            <a:ext cx="1082675" cy="47434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1600*700*750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1、桌面：采用多层板基材，表面0.6mm厚实木皮贴面；                         2、支架：白蜡木实木，榫卯工艺与现代工艺相结合；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实木椅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41400" cy="1033145"/>
                  <wp:effectExtent l="0" t="0" r="6350" b="14605"/>
                  <wp:docPr id="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61"/>
                          <pic:cNvPicPr>
                            <a:picLocks noChangeAspect="1"/>
                          </pic:cNvPicPr>
                        </pic:nvPicPr>
                        <pic:blipFill>
                          <a:blip r:embed="rId30"/>
                          <a:stretch>
                            <a:fillRect/>
                          </a:stretch>
                        </pic:blipFill>
                        <pic:spPr>
                          <a:xfrm>
                            <a:off x="0" y="0"/>
                            <a:ext cx="1041400" cy="103314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640*530*800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1、座面软包：表面采用超纤皮革，抗污易清洁、表面柔软舒适；                    2、海绵：采用高密度高回弹海绵，座面密度45kg/m³以上，靠背密度38kg/m³以上；达到国家阻燃标准；                                                       3、支架：白蜡木实木，榫卯工艺与现代工艺相结合；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长桌</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72185" cy="502285"/>
                  <wp:effectExtent l="0" t="0" r="18415" b="1206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31"/>
                          <a:stretch>
                            <a:fillRect/>
                          </a:stretch>
                        </pic:blipFill>
                        <pic:spPr>
                          <a:xfrm>
                            <a:off x="0" y="0"/>
                            <a:ext cx="972185" cy="50228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1、桌面：采用多层板基材，表面0.6mm厚实木皮贴面；                         2、支架：白蜡木实木，榫卯工艺与现代工艺相结合；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椅子</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1、座面：热压成型曲木板；                                                                           2、支架：1.5mm壁厚钢制喷涂支架。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长桌</w:t>
            </w:r>
          </w:p>
        </w:tc>
        <w:tc>
          <w:tcPr>
            <w:tcW w:w="18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01725" cy="568960"/>
                  <wp:effectExtent l="0" t="0" r="3175" b="2540"/>
                  <wp:docPr id="2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3"/>
                          <pic:cNvPicPr>
                            <a:picLocks noChangeAspect="1"/>
                          </pic:cNvPicPr>
                        </pic:nvPicPr>
                        <pic:blipFill>
                          <a:blip r:embed="rId31"/>
                          <a:stretch>
                            <a:fillRect/>
                          </a:stretch>
                        </pic:blipFill>
                        <pic:spPr>
                          <a:xfrm>
                            <a:off x="0" y="0"/>
                            <a:ext cx="1101725" cy="56896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1400*700*750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1、桌面：采用多层板基材，表面0.6mm厚实木皮贴面；                         2、支架：白蜡木实木，榫卯工艺与现代工艺相结合；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餐桌</w:t>
            </w:r>
          </w:p>
        </w:tc>
        <w:tc>
          <w:tcPr>
            <w:tcW w:w="18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color w:val="auto"/>
                <w:highlight w:val="none"/>
              </w:rPr>
              <w:drawing>
                <wp:inline distT="0" distB="0" distL="114300" distR="114300">
                  <wp:extent cx="1040130" cy="863600"/>
                  <wp:effectExtent l="0" t="0" r="7620" b="1270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32"/>
                          <a:stretch>
                            <a:fillRect/>
                          </a:stretch>
                        </pic:blipFill>
                        <pic:spPr>
                          <a:xfrm>
                            <a:off x="0" y="0"/>
                            <a:ext cx="1040130" cy="863600"/>
                          </a:xfrm>
                          <a:prstGeom prst="rect">
                            <a:avLst/>
                          </a:prstGeom>
                          <a:noFill/>
                          <a:ln>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1600*800*760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1、桌面：采用多层板基材，表面0.6mm厚实木皮贴面；                         2、支架：白蜡木实木，榫卯工艺与现代工艺相结合；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11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指挥台</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57300" cy="647700"/>
                  <wp:effectExtent l="0" t="0" r="0" b="0"/>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33"/>
                          <a:stretch>
                            <a:fillRect/>
                          </a:stretch>
                        </pic:blipFill>
                        <pic:spPr>
                          <a:xfrm>
                            <a:off x="0" y="0"/>
                            <a:ext cx="1257300" cy="64770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2400*900*950H</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1、基材：采用E1级中密度纤维板，甲醛释放量≦0.050mg/m³；                2、油漆：表面用环保水性油漆，甲醛含量、VOC含量符合GB 18581-2020 《木器 涂料中有害物质限量》标准；                                                                 3、配件：优质阻尼铰链、防撞锁具。</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12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指挥台</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3600*900*950H</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餐台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47750" cy="476250"/>
                  <wp:effectExtent l="0" t="0" r="0" b="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34"/>
                          <a:stretch>
                            <a:fillRect/>
                          </a:stretch>
                        </pic:blipFill>
                        <pic:spPr>
                          <a:xfrm>
                            <a:off x="0" y="0"/>
                            <a:ext cx="1047750" cy="4762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3000*600*800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1、柜体：采用多层板基材，环保水性漆全封闭涂装，符合国家环保标准；                 2、台面：人造石英石包面，四周磨边处理。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软体爬滑组合</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23900" cy="590550"/>
                  <wp:effectExtent l="0" t="0" r="0" b="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35"/>
                          <a:stretch>
                            <a:fillRect/>
                          </a:stretch>
                        </pic:blipFill>
                        <pic:spPr>
                          <a:xfrm>
                            <a:off x="0" y="0"/>
                            <a:ext cx="723900" cy="5905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1200*1600*450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1、软包：表面采用医用抗菌皮革，抗菌、抗污、耐磨易清洁、表面柔软舒适；                    2、海绵：采用高密度高回弹海绵，座面密度45kg/m³以上，靠背密度38kg/m³以上；达到国家阻燃标准。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儿童玩具桌椅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95325" cy="69532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36"/>
                          <a:stretch>
                            <a:fillRect/>
                          </a:stretch>
                        </pic:blipFill>
                        <pic:spPr>
                          <a:xfrm>
                            <a:off x="0" y="0"/>
                            <a:ext cx="695325" cy="6953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ø670*350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环保PP塑料一次成型。1桌4椅</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户外桌</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19175" cy="971550"/>
                  <wp:effectExtent l="0" t="0" r="9525" b="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37"/>
                          <a:stretch>
                            <a:fillRect/>
                          </a:stretch>
                        </pic:blipFill>
                        <pic:spPr>
                          <a:xfrm>
                            <a:off x="0" y="0"/>
                            <a:ext cx="1019175" cy="9715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ø1200*750</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仿生藤编工艺，铝合金框架制作。</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7"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户外椅</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户外遮阳伞</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04875" cy="809625"/>
                  <wp:effectExtent l="0" t="0" r="9525" b="9525"/>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38"/>
                          <a:stretch>
                            <a:fillRect/>
                          </a:stretch>
                        </pic:blipFill>
                        <pic:spPr>
                          <a:xfrm>
                            <a:off x="0" y="0"/>
                            <a:ext cx="904875" cy="8096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ø3000*2800H</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加厚伞布，铝合金骨架。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玄关台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33475" cy="752475"/>
                  <wp:effectExtent l="0" t="0" r="9525" b="9525"/>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39"/>
                          <a:stretch>
                            <a:fillRect/>
                          </a:stretch>
                        </pic:blipFill>
                        <pic:spPr>
                          <a:xfrm>
                            <a:off x="0" y="0"/>
                            <a:ext cx="1133475" cy="7524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1100*350*900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1、面材：采用多层板基材，表面0.6mm厚实木皮贴面；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2、油漆：表面用环保水性油漆，甲醛含量、VOC含量符合GB 18581-2020 《木器 涂料中有害物质限量》标准；                                                 3、中花白岩板台面，四周磨边处理。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20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吧台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296545</wp:posOffset>
                  </wp:positionV>
                  <wp:extent cx="979805" cy="491490"/>
                  <wp:effectExtent l="0" t="0" r="10795" b="3810"/>
                  <wp:wrapNone/>
                  <wp:docPr id="15" name="图片_92"/>
                  <wp:cNvGraphicFramePr/>
                  <a:graphic xmlns:a="http://schemas.openxmlformats.org/drawingml/2006/main">
                    <a:graphicData uri="http://schemas.openxmlformats.org/drawingml/2006/picture">
                      <pic:pic xmlns:pic="http://schemas.openxmlformats.org/drawingml/2006/picture">
                        <pic:nvPicPr>
                          <pic:cNvPr id="15" name="图片_92"/>
                          <pic:cNvPicPr/>
                        </pic:nvPicPr>
                        <pic:blipFill>
                          <a:blip r:embed="rId40"/>
                          <a:stretch>
                            <a:fillRect/>
                          </a:stretch>
                        </pic:blipFill>
                        <pic:spPr>
                          <a:xfrm>
                            <a:off x="0" y="0"/>
                            <a:ext cx="979805" cy="49149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1200*450*1050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1、基材：采用优质E1级环保多层板；                                                                       2、表面：人造石英石包面，四周磨边处理。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吧台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100330</wp:posOffset>
                  </wp:positionV>
                  <wp:extent cx="955040" cy="593725"/>
                  <wp:effectExtent l="0" t="0" r="16510" b="15875"/>
                  <wp:wrapNone/>
                  <wp:docPr id="9" name="图片_91"/>
                  <wp:cNvGraphicFramePr/>
                  <a:graphic xmlns:a="http://schemas.openxmlformats.org/drawingml/2006/main">
                    <a:graphicData uri="http://schemas.openxmlformats.org/drawingml/2006/picture">
                      <pic:pic xmlns:pic="http://schemas.openxmlformats.org/drawingml/2006/picture">
                        <pic:nvPicPr>
                          <pic:cNvPr id="9" name="图片_91"/>
                          <pic:cNvPicPr/>
                        </pic:nvPicPr>
                        <pic:blipFill>
                          <a:blip r:embed="rId41"/>
                          <a:stretch>
                            <a:fillRect/>
                          </a:stretch>
                        </pic:blipFill>
                        <pic:spPr>
                          <a:xfrm>
                            <a:off x="0" y="0"/>
                            <a:ext cx="955040" cy="59372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1200*700*1050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1、基材：采用优质E1级环保多层板；                                                                       2、表面：人造石英石包面，四周磨边处理。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讲台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340360</wp:posOffset>
                  </wp:positionV>
                  <wp:extent cx="996315" cy="681990"/>
                  <wp:effectExtent l="0" t="0" r="13335" b="3810"/>
                  <wp:wrapNone/>
                  <wp:docPr id="11" name="图片_141"/>
                  <wp:cNvGraphicFramePr/>
                  <a:graphic xmlns:a="http://schemas.openxmlformats.org/drawingml/2006/main">
                    <a:graphicData uri="http://schemas.openxmlformats.org/drawingml/2006/picture">
                      <pic:pic xmlns:pic="http://schemas.openxmlformats.org/drawingml/2006/picture">
                        <pic:nvPicPr>
                          <pic:cNvPr id="11" name="图片_141"/>
                          <pic:cNvPicPr/>
                        </pic:nvPicPr>
                        <pic:blipFill>
                          <a:blip r:embed="rId42"/>
                          <a:stretch>
                            <a:fillRect/>
                          </a:stretch>
                        </pic:blipFill>
                        <pic:spPr>
                          <a:xfrm>
                            <a:off x="0" y="0"/>
                            <a:ext cx="996315" cy="68199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600*450*1100（脚踏500*450*120）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1、前档及脚踏：采用优质E1级环保多层板，贴面采用环保三聚氰胺板渍胶纸，PVC同色封边；                                                                       2、柜体：采用多层板基材，表面用环保水性油漆，甲醛含量、VOC含量符合GB 18581-2020 《木器 涂料中有害物质限量》标准；                                3、配件：采用阻尼铰链，三节导轨，优质三合一连接件。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长条凳</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286385</wp:posOffset>
                  </wp:positionV>
                  <wp:extent cx="992505" cy="586105"/>
                  <wp:effectExtent l="0" t="0" r="17145" b="4445"/>
                  <wp:wrapNone/>
                  <wp:docPr id="21" name="图片_140"/>
                  <wp:cNvGraphicFramePr/>
                  <a:graphic xmlns:a="http://schemas.openxmlformats.org/drawingml/2006/main">
                    <a:graphicData uri="http://schemas.openxmlformats.org/drawingml/2006/picture">
                      <pic:pic xmlns:pic="http://schemas.openxmlformats.org/drawingml/2006/picture">
                        <pic:nvPicPr>
                          <pic:cNvPr id="21" name="图片_140"/>
                          <pic:cNvPicPr/>
                        </pic:nvPicPr>
                        <pic:blipFill>
                          <a:blip r:embed="rId43"/>
                          <a:stretch>
                            <a:fillRect/>
                          </a:stretch>
                        </pic:blipFill>
                        <pic:spPr>
                          <a:xfrm>
                            <a:off x="0" y="0"/>
                            <a:ext cx="992505" cy="58610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600*300*450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1、采用优质E1级环保多层板，贴面采用环保三聚氰胺板渍胶纸，PVC同色封边；                                                                       2、软包：表面采用布艺面料，表面柔软舒适；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3、海绵：采用高密度高回弹海绵，座面密度45kg/m³以上，靠背密度38kg/m³以上；达到国家阻燃标准。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空格柜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295910</wp:posOffset>
                  </wp:positionV>
                  <wp:extent cx="1073150" cy="488315"/>
                  <wp:effectExtent l="0" t="0" r="12700" b="6985"/>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44"/>
                          <a:stretch>
                            <a:fillRect/>
                          </a:stretch>
                        </pic:blipFill>
                        <pic:spPr>
                          <a:xfrm>
                            <a:off x="0" y="0"/>
                            <a:ext cx="1073150" cy="48831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2700*400*900H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1、采用优质E1级环保多层板，贴面采用环保三聚氰胺板渍胶纸，PVC同色封边；                                                                      2、软包：表面采用医用抗菌皮革，抗菌、抗污、耐磨易清洁、表面柔软舒适；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3、海绵：采用高密度高回弹海绵，座面密度45kg/m³以上，靠背密度38kg/m³以上；达到国家阻燃标准。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空格柜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436245</wp:posOffset>
                  </wp:positionV>
                  <wp:extent cx="1010285" cy="563245"/>
                  <wp:effectExtent l="0" t="0" r="18415" b="8255"/>
                  <wp:wrapNone/>
                  <wp:docPr id="18" name="图片_21"/>
                  <wp:cNvGraphicFramePr/>
                  <a:graphic xmlns:a="http://schemas.openxmlformats.org/drawingml/2006/main">
                    <a:graphicData uri="http://schemas.openxmlformats.org/drawingml/2006/picture">
                      <pic:pic xmlns:pic="http://schemas.openxmlformats.org/drawingml/2006/picture">
                        <pic:nvPicPr>
                          <pic:cNvPr id="18" name="图片_21"/>
                          <pic:cNvPicPr/>
                        </pic:nvPicPr>
                        <pic:blipFill>
                          <a:blip r:embed="rId45"/>
                          <a:stretch>
                            <a:fillRect/>
                          </a:stretch>
                        </pic:blipFill>
                        <pic:spPr>
                          <a:xfrm>
                            <a:off x="0" y="0"/>
                            <a:ext cx="1010285" cy="5632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1800*400*900H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1、采用优质E1级环保多层板，贴面采用环保三聚氰胺板渍胶纸，PVC同色封边；                                                                       2、配件：采用优质三合一连接件。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物品柜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249555</wp:posOffset>
                  </wp:positionH>
                  <wp:positionV relativeFrom="paragraph">
                    <wp:posOffset>36195</wp:posOffset>
                  </wp:positionV>
                  <wp:extent cx="705485" cy="1117600"/>
                  <wp:effectExtent l="0" t="0" r="18415" b="6350"/>
                  <wp:wrapNone/>
                  <wp:docPr id="16" name="图片_10"/>
                  <wp:cNvGraphicFramePr/>
                  <a:graphic xmlns:a="http://schemas.openxmlformats.org/drawingml/2006/main">
                    <a:graphicData uri="http://schemas.openxmlformats.org/drawingml/2006/picture">
                      <pic:pic xmlns:pic="http://schemas.openxmlformats.org/drawingml/2006/picture">
                        <pic:nvPicPr>
                          <pic:cNvPr id="16" name="图片_10"/>
                          <pic:cNvPicPr/>
                        </pic:nvPicPr>
                        <pic:blipFill>
                          <a:blip r:embed="rId46"/>
                          <a:stretch>
                            <a:fillRect/>
                          </a:stretch>
                        </pic:blipFill>
                        <pic:spPr>
                          <a:xfrm>
                            <a:off x="0" y="0"/>
                            <a:ext cx="705485" cy="111760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800*400*1100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1、采用优质E1级环保多层板，贴面采用环保三聚氰胺板渍胶纸，PVC同色封边；                                                                       2、柜体采用侧板外包柜门结构，侧板正面边为可见面，采用白色铝合金窄边封边条，铝合金封边条正面可见宽度为6.5mm</w:t>
            </w:r>
            <w:r>
              <w:rPr>
                <w:rStyle w:val="987"/>
                <w:sz w:val="18"/>
                <w:szCs w:val="18"/>
                <w:highlight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7.5mm</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                          3、配件：采用阻尼铰链，防折锁具，优质三合一连接件。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储物柜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135890</wp:posOffset>
                  </wp:positionV>
                  <wp:extent cx="932180" cy="1006475"/>
                  <wp:effectExtent l="0" t="0" r="1270" b="3175"/>
                  <wp:wrapNone/>
                  <wp:docPr id="17" name="图片_153"/>
                  <wp:cNvGraphicFramePr/>
                  <a:graphic xmlns:a="http://schemas.openxmlformats.org/drawingml/2006/main">
                    <a:graphicData uri="http://schemas.openxmlformats.org/drawingml/2006/picture">
                      <pic:pic xmlns:pic="http://schemas.openxmlformats.org/drawingml/2006/picture">
                        <pic:nvPicPr>
                          <pic:cNvPr id="17" name="图片_153"/>
                          <pic:cNvPicPr/>
                        </pic:nvPicPr>
                        <pic:blipFill>
                          <a:blip r:embed="rId47"/>
                          <a:stretch>
                            <a:fillRect/>
                          </a:stretch>
                        </pic:blipFill>
                        <pic:spPr>
                          <a:xfrm>
                            <a:off x="0" y="0"/>
                            <a:ext cx="932180" cy="100647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950*450*1100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1、采用优质E1级环保多层板，贴面采用环保三聚氰胺板渍胶纸，PVC同色封边；                                                                       2、柜体采用侧板外包柜门结构，侧板正面边为可见面，采用白色铝合金窄边封边条，铝合金封边条正面可见宽度为6.5mm</w:t>
            </w:r>
            <w:r>
              <w:rPr>
                <w:rStyle w:val="987"/>
                <w:sz w:val="18"/>
                <w:szCs w:val="18"/>
                <w:highlight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7.5mm</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                            3、配件：采用阻尼铰链，防折锁具，优质三合一连接件。 内部2块活动层板。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衣柜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457835</wp:posOffset>
                  </wp:positionH>
                  <wp:positionV relativeFrom="paragraph">
                    <wp:posOffset>120650</wp:posOffset>
                  </wp:positionV>
                  <wp:extent cx="497205" cy="1031240"/>
                  <wp:effectExtent l="0" t="0" r="17145" b="16510"/>
                  <wp:wrapNone/>
                  <wp:docPr id="31" name="图片_111"/>
                  <wp:cNvGraphicFramePr/>
                  <a:graphic xmlns:a="http://schemas.openxmlformats.org/drawingml/2006/main">
                    <a:graphicData uri="http://schemas.openxmlformats.org/drawingml/2006/picture">
                      <pic:pic xmlns:pic="http://schemas.openxmlformats.org/drawingml/2006/picture">
                        <pic:nvPicPr>
                          <pic:cNvPr id="31" name="图片_111"/>
                          <pic:cNvPicPr/>
                        </pic:nvPicPr>
                        <pic:blipFill>
                          <a:blip r:embed="rId48"/>
                          <a:stretch>
                            <a:fillRect/>
                          </a:stretch>
                        </pic:blipFill>
                        <pic:spPr>
                          <a:xfrm>
                            <a:off x="0" y="0"/>
                            <a:ext cx="497205" cy="10312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229235</wp:posOffset>
                  </wp:positionV>
                  <wp:extent cx="405130" cy="863600"/>
                  <wp:effectExtent l="0" t="0" r="13970" b="12700"/>
                  <wp:wrapNone/>
                  <wp:docPr id="37" name="图片_110"/>
                  <wp:cNvGraphicFramePr/>
                  <a:graphic xmlns:a="http://schemas.openxmlformats.org/drawingml/2006/main">
                    <a:graphicData uri="http://schemas.openxmlformats.org/drawingml/2006/picture">
                      <pic:pic xmlns:pic="http://schemas.openxmlformats.org/drawingml/2006/picture">
                        <pic:nvPicPr>
                          <pic:cNvPr id="37" name="图片_110"/>
                          <pic:cNvPicPr/>
                        </pic:nvPicPr>
                        <pic:blipFill>
                          <a:blip r:embed="rId49"/>
                          <a:stretch>
                            <a:fillRect/>
                          </a:stretch>
                        </pic:blipFill>
                        <pic:spPr>
                          <a:xfrm>
                            <a:off x="0" y="0"/>
                            <a:ext cx="405130" cy="86360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800*600*2000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3、配件：采用阻尼铰链，铝合金挂衣杆，优质三合一连接件。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24765</wp:posOffset>
                  </wp:positionV>
                  <wp:extent cx="614045" cy="1332865"/>
                  <wp:effectExtent l="0" t="0" r="0" b="635"/>
                  <wp:wrapNone/>
                  <wp:docPr id="49" name="图片_78"/>
                  <wp:cNvGraphicFramePr/>
                  <a:graphic xmlns:a="http://schemas.openxmlformats.org/drawingml/2006/main">
                    <a:graphicData uri="http://schemas.openxmlformats.org/drawingml/2006/picture">
                      <pic:pic xmlns:pic="http://schemas.openxmlformats.org/drawingml/2006/picture">
                        <pic:nvPicPr>
                          <pic:cNvPr id="49" name="图片_78"/>
                          <pic:cNvPicPr/>
                        </pic:nvPicPr>
                        <pic:blipFill>
                          <a:blip r:embed="rId50"/>
                          <a:stretch>
                            <a:fillRect/>
                          </a:stretch>
                        </pic:blipFill>
                        <pic:spPr>
                          <a:xfrm>
                            <a:off x="0" y="0"/>
                            <a:ext cx="614045" cy="133286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1、基材：采用优质E1级环保实木颗粒板，贴面采用环保三聚氰胺板渍胶纸，PVC同色封边条；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2、柜体采用侧板外包柜门结构，侧板正面边为可见面，采用白色铝合金窄边封边条，铝合金封边条正面可见宽度为6.5mm~7.5mm</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3、配件：采用阻尼铰链，防折锁具，优质三合一连接件。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30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81025" cy="1247775"/>
                  <wp:effectExtent l="0" t="0" r="9525" b="9525"/>
                  <wp:docPr id="4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IMG_271"/>
                          <pic:cNvPicPr>
                            <a:picLocks noChangeAspect="1"/>
                          </pic:cNvPicPr>
                        </pic:nvPicPr>
                        <pic:blipFill>
                          <a:blip r:embed="rId51"/>
                          <a:stretch>
                            <a:fillRect/>
                          </a:stretch>
                        </pic:blipFill>
                        <pic:spPr>
                          <a:xfrm>
                            <a:off x="0" y="0"/>
                            <a:ext cx="581025" cy="12477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3、配件：采用阻尼铰链，防折锁具，优质三合一连接件。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定制文件柜2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130175</wp:posOffset>
                  </wp:positionV>
                  <wp:extent cx="754380" cy="1219835"/>
                  <wp:effectExtent l="0" t="0" r="7620" b="18415"/>
                  <wp:wrapNone/>
                  <wp:docPr id="51" name="图片_55"/>
                  <wp:cNvGraphicFramePr/>
                  <a:graphic xmlns:a="http://schemas.openxmlformats.org/drawingml/2006/main">
                    <a:graphicData uri="http://schemas.openxmlformats.org/drawingml/2006/picture">
                      <pic:pic xmlns:pic="http://schemas.openxmlformats.org/drawingml/2006/picture">
                        <pic:nvPicPr>
                          <pic:cNvPr id="51" name="图片_55"/>
                          <pic:cNvPicPr/>
                        </pic:nvPicPr>
                        <pic:blipFill>
                          <a:blip r:embed="rId52"/>
                          <a:stretch>
                            <a:fillRect/>
                          </a:stretch>
                        </pic:blipFill>
                        <pic:spPr>
                          <a:xfrm>
                            <a:off x="0" y="0"/>
                            <a:ext cx="754380" cy="121983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1200*400*2200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定制文件柜1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273050</wp:posOffset>
                  </wp:positionV>
                  <wp:extent cx="754380" cy="1219835"/>
                  <wp:effectExtent l="0" t="0" r="7620" b="18415"/>
                  <wp:wrapNone/>
                  <wp:docPr id="52" name="图片_59"/>
                  <wp:cNvGraphicFramePr/>
                  <a:graphic xmlns:a="http://schemas.openxmlformats.org/drawingml/2006/main">
                    <a:graphicData uri="http://schemas.openxmlformats.org/drawingml/2006/picture">
                      <pic:pic xmlns:pic="http://schemas.openxmlformats.org/drawingml/2006/picture">
                        <pic:nvPicPr>
                          <pic:cNvPr id="52" name="图片_59"/>
                          <pic:cNvPicPr/>
                        </pic:nvPicPr>
                        <pic:blipFill>
                          <a:blip r:embed="rId52"/>
                          <a:stretch>
                            <a:fillRect/>
                          </a:stretch>
                        </pic:blipFill>
                        <pic:spPr>
                          <a:xfrm>
                            <a:off x="0" y="0"/>
                            <a:ext cx="754380" cy="121983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1120*400*2200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定制书柜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95250</wp:posOffset>
                  </wp:positionV>
                  <wp:extent cx="814705" cy="1227455"/>
                  <wp:effectExtent l="0" t="0" r="4445" b="10795"/>
                  <wp:wrapNone/>
                  <wp:docPr id="30" name="图片_47"/>
                  <wp:cNvGraphicFramePr/>
                  <a:graphic xmlns:a="http://schemas.openxmlformats.org/drawingml/2006/main">
                    <a:graphicData uri="http://schemas.openxmlformats.org/drawingml/2006/picture">
                      <pic:pic xmlns:pic="http://schemas.openxmlformats.org/drawingml/2006/picture">
                        <pic:nvPicPr>
                          <pic:cNvPr id="30" name="图片_47"/>
                          <pic:cNvPicPr/>
                        </pic:nvPicPr>
                        <pic:blipFill>
                          <a:blip r:embed="rId53"/>
                          <a:stretch>
                            <a:fillRect/>
                          </a:stretch>
                        </pic:blipFill>
                        <pic:spPr>
                          <a:xfrm>
                            <a:off x="0" y="0"/>
                            <a:ext cx="814705" cy="122745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1600*400*1800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3、五金：采用阻尼铰链，防折锁具，优质三合一连接件。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定制书柜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97155</wp:posOffset>
                  </wp:positionV>
                  <wp:extent cx="681990" cy="1285240"/>
                  <wp:effectExtent l="0" t="0" r="3810" b="10160"/>
                  <wp:wrapNone/>
                  <wp:docPr id="32" name="图片_67"/>
                  <wp:cNvGraphicFramePr/>
                  <a:graphic xmlns:a="http://schemas.openxmlformats.org/drawingml/2006/main">
                    <a:graphicData uri="http://schemas.openxmlformats.org/drawingml/2006/picture">
                      <pic:pic xmlns:pic="http://schemas.openxmlformats.org/drawingml/2006/picture">
                        <pic:nvPicPr>
                          <pic:cNvPr id="32" name="图片_67"/>
                          <pic:cNvPicPr/>
                        </pic:nvPicPr>
                        <pic:blipFill>
                          <a:blip r:embed="rId54"/>
                          <a:stretch>
                            <a:fillRect/>
                          </a:stretch>
                        </pic:blipFill>
                        <pic:spPr>
                          <a:xfrm>
                            <a:off x="0" y="0"/>
                            <a:ext cx="681990" cy="128524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4000*350*2000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3、配件：优质三合一连接件。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定制矮柜2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262890</wp:posOffset>
                  </wp:positionV>
                  <wp:extent cx="960755" cy="888365"/>
                  <wp:effectExtent l="0" t="0" r="10795" b="6985"/>
                  <wp:wrapNone/>
                  <wp:docPr id="34" name="图片_58"/>
                  <wp:cNvGraphicFramePr/>
                  <a:graphic xmlns:a="http://schemas.openxmlformats.org/drawingml/2006/main">
                    <a:graphicData uri="http://schemas.openxmlformats.org/drawingml/2006/picture">
                      <pic:pic xmlns:pic="http://schemas.openxmlformats.org/drawingml/2006/picture">
                        <pic:nvPicPr>
                          <pic:cNvPr id="34" name="图片_58"/>
                          <pic:cNvPicPr/>
                        </pic:nvPicPr>
                        <pic:blipFill>
                          <a:blip r:embed="rId55"/>
                          <a:stretch>
                            <a:fillRect/>
                          </a:stretch>
                        </pic:blipFill>
                        <pic:spPr>
                          <a:xfrm>
                            <a:off x="0" y="0"/>
                            <a:ext cx="960755" cy="88836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1800*400*1000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茶水柜1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368935</wp:posOffset>
                  </wp:positionV>
                  <wp:extent cx="986155" cy="852805"/>
                  <wp:effectExtent l="0" t="0" r="4445" b="4445"/>
                  <wp:wrapNone/>
                  <wp:docPr id="53" name="图片_61"/>
                  <wp:cNvGraphicFramePr/>
                  <a:graphic xmlns:a="http://schemas.openxmlformats.org/drawingml/2006/main">
                    <a:graphicData uri="http://schemas.openxmlformats.org/drawingml/2006/picture">
                      <pic:pic xmlns:pic="http://schemas.openxmlformats.org/drawingml/2006/picture">
                        <pic:nvPicPr>
                          <pic:cNvPr id="53" name="图片_61"/>
                          <pic:cNvPicPr/>
                        </pic:nvPicPr>
                        <pic:blipFill>
                          <a:blip r:embed="rId56"/>
                          <a:stretch>
                            <a:fillRect/>
                          </a:stretch>
                        </pic:blipFill>
                        <pic:spPr>
                          <a:xfrm>
                            <a:off x="0" y="0"/>
                            <a:ext cx="986155" cy="85280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800*400*800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w:t>
            </w:r>
            <w:r>
              <w:rPr>
                <w:rFonts w:hint="eastAsia" w:ascii="宋体" w:hAnsi="宋体" w:cs="宋体"/>
                <w:i w:val="0"/>
                <w:iCs w:val="0"/>
                <w:color w:val="000000"/>
                <w:kern w:val="0"/>
                <w:sz w:val="18"/>
                <w:szCs w:val="18"/>
                <w:highlight w:val="none"/>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 xml:space="preserve"> 、配件：优质阻尼铰链、三节静音滚珠滑轨。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茶水柜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255270</wp:posOffset>
                  </wp:positionV>
                  <wp:extent cx="829945" cy="778510"/>
                  <wp:effectExtent l="0" t="0" r="8255" b="2540"/>
                  <wp:wrapNone/>
                  <wp:docPr id="54" name="图片_38"/>
                  <wp:cNvGraphicFramePr/>
                  <a:graphic xmlns:a="http://schemas.openxmlformats.org/drawingml/2006/main">
                    <a:graphicData uri="http://schemas.openxmlformats.org/drawingml/2006/picture">
                      <pic:pic xmlns:pic="http://schemas.openxmlformats.org/drawingml/2006/picture">
                        <pic:nvPicPr>
                          <pic:cNvPr id="54" name="图片_38"/>
                          <pic:cNvPicPr/>
                        </pic:nvPicPr>
                        <pic:blipFill>
                          <a:blip r:embed="rId57"/>
                          <a:stretch>
                            <a:fillRect/>
                          </a:stretch>
                        </pic:blipFill>
                        <pic:spPr>
                          <a:xfrm>
                            <a:off x="0" y="0"/>
                            <a:ext cx="829945" cy="77851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900*400*850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1、面材：采用0.6mm厚度胡桃木木皮贴面；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2、基材：采用E1级中密度纤维板，甲醛释放量≦0.050mg/m³；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3、油漆：采用环保水性油漆，甲醛含量、VOC含量符合GB 18581-2020 《木器 涂料中有害物质限量》标准；                                               4、配件：优质阻尼铰链、三节静音滚珠滑轨。</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255905</wp:posOffset>
                  </wp:positionV>
                  <wp:extent cx="996315" cy="1283970"/>
                  <wp:effectExtent l="0" t="0" r="13335" b="11430"/>
                  <wp:wrapNone/>
                  <wp:docPr id="38" name="图片_62"/>
                  <wp:cNvGraphicFramePr/>
                  <a:graphic xmlns:a="http://schemas.openxmlformats.org/drawingml/2006/main">
                    <a:graphicData uri="http://schemas.openxmlformats.org/drawingml/2006/picture">
                      <pic:pic xmlns:pic="http://schemas.openxmlformats.org/drawingml/2006/picture">
                        <pic:nvPicPr>
                          <pic:cNvPr id="38" name="图片_62"/>
                          <pic:cNvPicPr/>
                        </pic:nvPicPr>
                        <pic:blipFill>
                          <a:blip r:embed="rId58"/>
                          <a:stretch>
                            <a:fillRect/>
                          </a:stretch>
                        </pic:blipFill>
                        <pic:spPr>
                          <a:xfrm>
                            <a:off x="0" y="0"/>
                            <a:ext cx="996315" cy="128397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600*400*800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 xml:space="preserve">配件：优质阻尼铰链、三节静音滚珠滑轨。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cs="宋体"/>
                <w:i w:val="0"/>
                <w:iCs w:val="0"/>
                <w:color w:val="000000"/>
                <w:kern w:val="0"/>
                <w:sz w:val="18"/>
                <w:szCs w:val="18"/>
                <w:highlight w:val="none"/>
                <w:u w:val="none"/>
                <w:lang w:val="en-US" w:eastAsia="zh-CN" w:bidi="ar"/>
              </w:rPr>
              <w:t>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衣柜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485775" cy="1247775"/>
                  <wp:effectExtent l="0" t="0" r="9525" b="9525"/>
                  <wp:docPr id="4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IMG_272"/>
                          <pic:cNvPicPr>
                            <a:picLocks noChangeAspect="1"/>
                          </pic:cNvPicPr>
                        </pic:nvPicPr>
                        <pic:blipFill>
                          <a:blip r:embed="rId59"/>
                          <a:stretch>
                            <a:fillRect/>
                          </a:stretch>
                        </pic:blipFill>
                        <pic:spPr>
                          <a:xfrm>
                            <a:off x="0" y="0"/>
                            <a:ext cx="485775" cy="12477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600*600*2000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1、柜体：采用优质三聚氰胺饰面板，基材采用E1级环保实木颗粒板，贴面采用环保三聚氰胺板渍胶纸；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3、配件：采用阻尼铰链、三节导轨，铝合金挂衣杆，优质三合一连接件。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40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76300" cy="1514475"/>
                  <wp:effectExtent l="0" t="0" r="0" b="9525"/>
                  <wp:docPr id="5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IMG_273"/>
                          <pic:cNvPicPr>
                            <a:picLocks noChangeAspect="1"/>
                          </pic:cNvPicPr>
                        </pic:nvPicPr>
                        <pic:blipFill>
                          <a:blip r:embed="rId60"/>
                          <a:stretch>
                            <a:fillRect/>
                          </a:stretch>
                        </pic:blipFill>
                        <pic:spPr>
                          <a:xfrm>
                            <a:off x="0" y="0"/>
                            <a:ext cx="876300" cy="15144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900*400*1850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mm，整体经酸洗、磷化、钝化等八道防锈工序前处理，金属表面采用环氧树脂静电粉末，全自动涂装工艺，涂漆厚度不低于60um，喷涂硬度＞2H；</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2、五金：门板采用优质品牌阻尼铰链，可换锁芯锁具，使用寿命2万次以上。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3、配置：钢制内嵌拉手，可调层板设计,上门内含2块活动层板，下门内含1块活动层板；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4、具有调平功能,钢柜底部配置4个调节脚。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钢制装备柜1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71525" cy="1200150"/>
                  <wp:effectExtent l="0" t="0" r="9525" b="0"/>
                  <wp:docPr id="5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IMG_274"/>
                          <pic:cNvPicPr>
                            <a:picLocks noChangeAspect="1"/>
                          </pic:cNvPicPr>
                        </pic:nvPicPr>
                        <pic:blipFill>
                          <a:blip r:embed="rId61"/>
                          <a:stretch>
                            <a:fillRect/>
                          </a:stretch>
                        </pic:blipFill>
                        <pic:spPr>
                          <a:xfrm>
                            <a:off x="0" y="0"/>
                            <a:ext cx="771525" cy="12001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900*400*1850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mm，整体经酸洗、磷化、钝化等八道防锈工序前处理，金属表面采用环氧树脂静电粉末，全自动涂装工艺，涂漆厚度不低于60um，喷涂硬度＞2H；</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2、五金：门板采用优质品牌阻尼铰链，可换锁芯锁具，使用寿命2万次以上。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3、配置：钢制内嵌拉手，可调层板设计,上门内含2块活动层板，下门内含1块活动层板；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4、具有调平功能,钢柜底部配置4个调节脚。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钢制装备柜2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81915</wp:posOffset>
                  </wp:positionV>
                  <wp:extent cx="617220" cy="1240155"/>
                  <wp:effectExtent l="0" t="0" r="11430" b="17145"/>
                  <wp:wrapNone/>
                  <wp:docPr id="39" name="Picture_8"/>
                  <wp:cNvGraphicFramePr/>
                  <a:graphic xmlns:a="http://schemas.openxmlformats.org/drawingml/2006/main">
                    <a:graphicData uri="http://schemas.openxmlformats.org/drawingml/2006/picture">
                      <pic:pic xmlns:pic="http://schemas.openxmlformats.org/drawingml/2006/picture">
                        <pic:nvPicPr>
                          <pic:cNvPr id="39" name="Picture_8"/>
                          <pic:cNvPicPr/>
                        </pic:nvPicPr>
                        <pic:blipFill>
                          <a:blip r:embed="rId62"/>
                          <a:stretch>
                            <a:fillRect/>
                          </a:stretch>
                        </pic:blipFill>
                        <pic:spPr>
                          <a:xfrm>
                            <a:off x="0" y="0"/>
                            <a:ext cx="617220" cy="124015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900*400*1850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mm，整体经酸洗、磷化、纯化等八道防锈工序前处理，金属表面采用环氧树脂静电粉末，全自动涂装工艺，涂漆厚度不低于60um，喷涂硬度＞2H；</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2、五金：门板配可换锁芯锁具，使用寿命2万次以上。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3、配置：铝合金玻璃双开门，钢制内嵌拉手，可调层板设计,门内含4块活动层板；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4、具有调平功能,钢柜底部配置4个调节脚。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双门更衣柜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302260</wp:posOffset>
                  </wp:positionV>
                  <wp:extent cx="992505" cy="993140"/>
                  <wp:effectExtent l="0" t="0" r="17145" b="16510"/>
                  <wp:wrapNone/>
                  <wp:docPr id="33" name="图片_51"/>
                  <wp:cNvGraphicFramePr/>
                  <a:graphic xmlns:a="http://schemas.openxmlformats.org/drawingml/2006/main">
                    <a:graphicData uri="http://schemas.openxmlformats.org/drawingml/2006/picture">
                      <pic:pic xmlns:pic="http://schemas.openxmlformats.org/drawingml/2006/picture">
                        <pic:nvPicPr>
                          <pic:cNvPr id="33" name="图片_51"/>
                          <pic:cNvPicPr/>
                        </pic:nvPicPr>
                        <pic:blipFill>
                          <a:blip r:embed="rId63"/>
                          <a:stretch>
                            <a:fillRect/>
                          </a:stretch>
                        </pic:blipFill>
                        <pic:spPr>
                          <a:xfrm>
                            <a:off x="0" y="0"/>
                            <a:ext cx="992505" cy="99314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900*500*1850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mm，整体经酸洗、磷化、纯化等八道防锈工序前处理，金属表面采用环氧树脂静电粉末，全自动涂装工艺，涂漆厚度不低于60um，喷涂硬度＞2H；</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2、五金：门板配可换锁芯锁具，使用寿命2万次以上。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3、配置：钢制内嵌拉手，可换锁芯钥匙，门内带挂衣杆、内部上下各一块层板，门上带衣镜；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4、具有调平功能,底部配置4个调节脚。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三门更衣柜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22225</wp:posOffset>
                  </wp:positionV>
                  <wp:extent cx="987425" cy="1363345"/>
                  <wp:effectExtent l="0" t="0" r="3175" b="8255"/>
                  <wp:wrapNone/>
                  <wp:docPr id="40" name="图片_72"/>
                  <wp:cNvGraphicFramePr/>
                  <a:graphic xmlns:a="http://schemas.openxmlformats.org/drawingml/2006/main">
                    <a:graphicData uri="http://schemas.openxmlformats.org/drawingml/2006/picture">
                      <pic:pic xmlns:pic="http://schemas.openxmlformats.org/drawingml/2006/picture">
                        <pic:nvPicPr>
                          <pic:cNvPr id="40" name="图片_72"/>
                          <pic:cNvPicPr/>
                        </pic:nvPicPr>
                        <pic:blipFill>
                          <a:blip r:embed="rId64"/>
                          <a:stretch>
                            <a:fillRect/>
                          </a:stretch>
                        </pic:blipFill>
                        <pic:spPr>
                          <a:xfrm>
                            <a:off x="0" y="0"/>
                            <a:ext cx="987425" cy="13633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900*500*1850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mm，整体经酸洗、磷化、纯化等八道防锈工序前处理，金属表面采用环氧树脂静电粉末，全自动涂装工艺，涂漆厚度不低于60um，喷涂硬度＞2H；</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2、五金：门板配可换锁芯锁具，使用寿命2万次以上。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3、配置：钢制内嵌拉手，可换锁芯钥匙，门内带挂衣杆、内部上下各一块层板，门上带衣镜；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4、具有调平功能,底部配置4个调节脚。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更衣凳</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63625" cy="833120"/>
                  <wp:effectExtent l="0" t="0" r="3175" b="5080"/>
                  <wp:docPr id="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75"/>
                          <pic:cNvPicPr>
                            <a:picLocks noChangeAspect="1"/>
                          </pic:cNvPicPr>
                        </pic:nvPicPr>
                        <pic:blipFill>
                          <a:blip r:embed="rId65"/>
                          <a:stretch>
                            <a:fillRect/>
                          </a:stretch>
                        </pic:blipFill>
                        <pic:spPr>
                          <a:xfrm>
                            <a:off x="0" y="0"/>
                            <a:ext cx="1063625" cy="83312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1400*450*450</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1、柜体：采用优质三聚氰胺饰面板，基材采用E1级环保实木颗粒板，贴面采用环保三聚氰胺板渍胶纸；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3、座面及靠背软包：西皮包面，柔软舒适、易清洁打理；                   4、海绵：采用高密度高回弹海绵，座面密度30kg/m³以上，达到国家阻燃标准。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更衣凳</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900*400*450</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货架1</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44575" cy="738505"/>
                  <wp:effectExtent l="0" t="0" r="3175" b="4445"/>
                  <wp:docPr id="4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IMG_276"/>
                          <pic:cNvPicPr>
                            <a:picLocks noChangeAspect="1"/>
                          </pic:cNvPicPr>
                        </pic:nvPicPr>
                        <pic:blipFill>
                          <a:blip r:embed="rId66"/>
                          <a:stretch>
                            <a:fillRect/>
                          </a:stretch>
                        </pic:blipFill>
                        <pic:spPr>
                          <a:xfrm>
                            <a:off x="0" y="0"/>
                            <a:ext cx="1044575" cy="73850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1200*500*2000</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优质一级冷轧钢，立柱钢板厚度≥1.5mm，立柱两面均布冲裁双排蝴蝶型挂孔，上下可任意调节；层板采用冷轧钢板一次冲压成型，底部配两道加强筋，层板钢板厚度≥0.6mm，经酸洗、磷化、纯化等八道防锈工序前处理。金属表面采用优质抑菌粉末，全自动涂装工艺，涂漆厚度不低于60um，喷涂硬度＞2H；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2、含5层置物层面，层面高度可调节。</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货架2</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1500*500*2000</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货架3</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1800*500*2000</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四层货架</w:t>
            </w:r>
          </w:p>
        </w:tc>
        <w:tc>
          <w:tcPr>
            <w:tcW w:w="18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23925" cy="819150"/>
                  <wp:effectExtent l="0" t="0" r="9525" b="0"/>
                  <wp:docPr id="4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IMG_277"/>
                          <pic:cNvPicPr>
                            <a:picLocks noChangeAspect="1"/>
                          </pic:cNvPicPr>
                        </pic:nvPicPr>
                        <pic:blipFill>
                          <a:blip r:embed="rId67"/>
                          <a:stretch>
                            <a:fillRect/>
                          </a:stretch>
                        </pic:blipFill>
                        <pic:spPr>
                          <a:xfrm>
                            <a:off x="0" y="0"/>
                            <a:ext cx="923925" cy="8191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2000*400*2000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优质一级冷轧钢，立柱钢板厚度≥1.5mm，立柱两面均布冲裁双排蝴蝶型挂孔，上下可任意调节；层板采用冷轧钢板一次冲压成型，底部配两道加强筋，层板钢板厚度≥0.6mm，经酸洗、磷化、纯化等八道防锈工序前处理。金属表面采用优质抑菌粉末，全自动涂装工艺，涂漆厚度不低于60um，喷涂硬度＞2H；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2、含4层置物层面，层面高度可调节。</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r>
              <w:rPr>
                <w:rFonts w:hint="eastAsia" w:ascii="宋体" w:hAnsi="宋体" w:cs="宋体"/>
                <w:i w:val="0"/>
                <w:iCs w:val="0"/>
                <w:color w:val="000000"/>
                <w:kern w:val="0"/>
                <w:sz w:val="18"/>
                <w:szCs w:val="18"/>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90600" cy="828675"/>
                  <wp:effectExtent l="0" t="0" r="0" b="9525"/>
                  <wp:docPr id="4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IMG_278"/>
                          <pic:cNvPicPr>
                            <a:picLocks noChangeAspect="1"/>
                          </pic:cNvPicPr>
                        </pic:nvPicPr>
                        <pic:blipFill>
                          <a:blip r:embed="rId68"/>
                          <a:stretch>
                            <a:fillRect/>
                          </a:stretch>
                        </pic:blipFill>
                        <pic:spPr>
                          <a:xfrm>
                            <a:off x="0" y="0"/>
                            <a:ext cx="990600" cy="8286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2200*2000*760（台面2000*900）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1、台面及柜门：采用0.6mm厚度胡桃木木皮贴面；E1级中密度纤维板基材，甲醛释放量≦0.050mg/m³；环保水性油漆饰面，甲醛含量、VOC含量符合GB 18581-2020 《木器 涂料中有害物质限量》标准；                                       2、柜体：采用优质三聚氰胺饰面板，基材采用E1级环保实木颗粒板，贴面采用环保三聚氰胺板渍胶纸；PVC同色封边，全自动封边工艺，严密、平整、无脱胶、表面无露胶；                                                            3、配件：台面配优质抗污皮板，侧柜配一个黑色铝合金线盒，抽屉带指纹锁；阻尼铰链，三节导轨，优质三合一连接件。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r>
              <w:rPr>
                <w:rFonts w:hint="eastAsia" w:ascii="宋体" w:hAnsi="宋体" w:cs="宋体"/>
                <w:i w:val="0"/>
                <w:iCs w:val="0"/>
                <w:color w:val="000000"/>
                <w:kern w:val="0"/>
                <w:sz w:val="18"/>
                <w:szCs w:val="18"/>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696595</wp:posOffset>
                  </wp:positionV>
                  <wp:extent cx="920115" cy="595630"/>
                  <wp:effectExtent l="0" t="0" r="13335" b="13970"/>
                  <wp:wrapNone/>
                  <wp:docPr id="48" name="图片_32"/>
                  <wp:cNvGraphicFramePr/>
                  <a:graphic xmlns:a="http://schemas.openxmlformats.org/drawingml/2006/main">
                    <a:graphicData uri="http://schemas.openxmlformats.org/drawingml/2006/picture">
                      <pic:pic xmlns:pic="http://schemas.openxmlformats.org/drawingml/2006/picture">
                        <pic:nvPicPr>
                          <pic:cNvPr id="48" name="图片_32"/>
                          <pic:cNvPicPr/>
                        </pic:nvPicPr>
                        <pic:blipFill>
                          <a:blip r:embed="rId69"/>
                          <a:stretch>
                            <a:fillRect/>
                          </a:stretch>
                        </pic:blipFill>
                        <pic:spPr>
                          <a:xfrm>
                            <a:off x="0" y="0"/>
                            <a:ext cx="920115" cy="5956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2000*1800*760（台面1800*900）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1、台面及柜门：采用0.6mm厚度胡桃木木皮贴面；E1级中密度纤维板基材，甲醛释放量≦0.050mg/m³；环保水性油漆饰面，甲醛含量、VOC含量符合GB 18581-2020 《木器 涂料中有害物质限量》标准；                                       2、柜体：采用优质三聚氰胺饰面板，基材采用E1级环保实木颗粒板，贴面采用环保三聚氰胺板渍胶纸；PVC同色封边，全自动封边工艺，严密、平整、无脱胶、表面无露胶；                                                               3、配件：侧柜配一个铝合金线盒，阻尼铰链，三节导轨、防折锁具，优质三合一连接件。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r>
              <w:rPr>
                <w:rFonts w:hint="eastAsia" w:ascii="宋体" w:hAnsi="宋体" w:cs="宋体"/>
                <w:i w:val="0"/>
                <w:iCs w:val="0"/>
                <w:color w:val="000000"/>
                <w:kern w:val="0"/>
                <w:sz w:val="18"/>
                <w:szCs w:val="18"/>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65530" cy="589915"/>
                  <wp:effectExtent l="0" t="0" r="1270" b="635"/>
                  <wp:docPr id="2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79"/>
                          <pic:cNvPicPr>
                            <a:picLocks noChangeAspect="1"/>
                          </pic:cNvPicPr>
                        </pic:nvPicPr>
                        <pic:blipFill>
                          <a:blip r:embed="rId70"/>
                          <a:stretch>
                            <a:fillRect/>
                          </a:stretch>
                        </pic:blipFill>
                        <pic:spPr>
                          <a:xfrm>
                            <a:off x="0" y="0"/>
                            <a:ext cx="1065530" cy="58991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1800*1600*750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3、配件：采用阻尼铰链，三节导轨、防折锁具，优质三合一连接件。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417195</wp:posOffset>
                  </wp:positionV>
                  <wp:extent cx="903605" cy="526415"/>
                  <wp:effectExtent l="0" t="0" r="10795" b="6985"/>
                  <wp:wrapNone/>
                  <wp:docPr id="44" name="图片_118"/>
                  <wp:cNvGraphicFramePr/>
                  <a:graphic xmlns:a="http://schemas.openxmlformats.org/drawingml/2006/main">
                    <a:graphicData uri="http://schemas.openxmlformats.org/drawingml/2006/picture">
                      <pic:pic xmlns:pic="http://schemas.openxmlformats.org/drawingml/2006/picture">
                        <pic:nvPicPr>
                          <pic:cNvPr id="44" name="图片_118"/>
                          <pic:cNvPicPr/>
                        </pic:nvPicPr>
                        <pic:blipFill>
                          <a:blip r:embed="rId71"/>
                          <a:stretch>
                            <a:fillRect/>
                          </a:stretch>
                        </pic:blipFill>
                        <pic:spPr>
                          <a:xfrm>
                            <a:off x="0" y="0"/>
                            <a:ext cx="903605" cy="52641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1400*700*750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3、配件：采用阻尼铰链，三节导轨、防折锁具，优质三合一连接件。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办公桌3</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499110</wp:posOffset>
                  </wp:positionV>
                  <wp:extent cx="983615" cy="597535"/>
                  <wp:effectExtent l="0" t="0" r="6985" b="12065"/>
                  <wp:wrapNone/>
                  <wp:docPr id="35" name="图片_119"/>
                  <wp:cNvGraphicFramePr/>
                  <a:graphic xmlns:a="http://schemas.openxmlformats.org/drawingml/2006/main">
                    <a:graphicData uri="http://schemas.openxmlformats.org/drawingml/2006/picture">
                      <pic:pic xmlns:pic="http://schemas.openxmlformats.org/drawingml/2006/picture">
                        <pic:nvPicPr>
                          <pic:cNvPr id="35" name="图片_119"/>
                          <pic:cNvPicPr/>
                        </pic:nvPicPr>
                        <pic:blipFill>
                          <a:blip r:embed="rId72"/>
                          <a:stretch>
                            <a:fillRect/>
                          </a:stretch>
                        </pic:blipFill>
                        <pic:spPr>
                          <a:xfrm>
                            <a:off x="0" y="0"/>
                            <a:ext cx="983615" cy="59753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1400*600*750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3、配件：采用阻尼铰链，三节导轨、防折锁具，优质三合一连接件。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员工工作位</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95375" cy="638175"/>
                  <wp:effectExtent l="0" t="0" r="9525" b="9525"/>
                  <wp:docPr id="5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descr="IMG_280"/>
                          <pic:cNvPicPr>
                            <a:picLocks noChangeAspect="1"/>
                          </pic:cNvPicPr>
                        </pic:nvPicPr>
                        <pic:blipFill>
                          <a:blip r:embed="rId73"/>
                          <a:stretch>
                            <a:fillRect/>
                          </a:stretch>
                        </pic:blipFill>
                        <pic:spPr>
                          <a:xfrm>
                            <a:off x="0" y="0"/>
                            <a:ext cx="1095375" cy="6381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1400*1400*1200H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1、屏风：采用40mm厚，白色铝合金边框，三聚氰胺板饰面，前档屏风顶部透明或磨砂玻璃，底部带铝合金走线槽；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2、台面：选用25mm厚E1级环保实木颗粒板，贴面采用环保三聚氰胺板渍胶纸，PVC同色封边，硬度高，耐磨、耐热性好；                                               3、柜子：三抽活动柜，三节导轨；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4、桌脚：回形钢制支撑脚。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位</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两人L办公桌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31875" cy="902970"/>
                  <wp:effectExtent l="0" t="0" r="15875" b="11430"/>
                  <wp:docPr id="3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81"/>
                          <pic:cNvPicPr>
                            <a:picLocks noChangeAspect="1"/>
                          </pic:cNvPicPr>
                        </pic:nvPicPr>
                        <pic:blipFill>
                          <a:blip r:embed="rId74"/>
                          <a:stretch>
                            <a:fillRect/>
                          </a:stretch>
                        </pic:blipFill>
                        <pic:spPr>
                          <a:xfrm>
                            <a:off x="0" y="0"/>
                            <a:ext cx="1031875" cy="90297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2840*1440*1100H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1、屏风：采用40mm厚，白色铝合金边框，三聚氰胺板饰面，前档屏风顶部透明或磨砂玻璃；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2、台面：选用25mm厚E1级环保实木颗粒板，贴面采用环保三聚氰胺板渍胶纸，PVC同色封边，硬度高，耐磨、耐热性好；                                               3、柜子：三抽活动柜，三节导轨；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4000元/组（2000元/位）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办公桌4</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38225" cy="706120"/>
                  <wp:effectExtent l="0" t="0" r="9525" b="17780"/>
                  <wp:docPr id="2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282"/>
                          <pic:cNvPicPr>
                            <a:picLocks noChangeAspect="1"/>
                          </pic:cNvPicPr>
                        </pic:nvPicPr>
                        <pic:blipFill>
                          <a:blip r:embed="rId75"/>
                          <a:stretch>
                            <a:fillRect/>
                          </a:stretch>
                        </pic:blipFill>
                        <pic:spPr>
                          <a:xfrm>
                            <a:off x="0" y="0"/>
                            <a:ext cx="1038225" cy="70612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1200*600*750（单人位）</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4、桌上含屏风挡板，桌面配铝合金线盒，桌下含走线槽。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位</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47725" cy="895350"/>
                  <wp:effectExtent l="0" t="0" r="9525" b="0"/>
                  <wp:docPr id="4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IMG_283"/>
                          <pic:cNvPicPr>
                            <a:picLocks noChangeAspect="1"/>
                          </pic:cNvPicPr>
                        </pic:nvPicPr>
                        <pic:blipFill>
                          <a:blip r:embed="rId76"/>
                          <a:stretch>
                            <a:fillRect/>
                          </a:stretch>
                        </pic:blipFill>
                        <pic:spPr>
                          <a:xfrm>
                            <a:off x="0" y="0"/>
                            <a:ext cx="847725" cy="8953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4、配件：带桌下档板，桌面配铝合金线盒，采用阻尼铰链，三节导轨、防折锁具，优质三合一连接件。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187960</wp:posOffset>
                  </wp:positionV>
                  <wp:extent cx="854075" cy="895985"/>
                  <wp:effectExtent l="0" t="0" r="3175" b="18415"/>
                  <wp:wrapNone/>
                  <wp:docPr id="29" name="图片_102"/>
                  <wp:cNvGraphicFramePr/>
                  <a:graphic xmlns:a="http://schemas.openxmlformats.org/drawingml/2006/main">
                    <a:graphicData uri="http://schemas.openxmlformats.org/drawingml/2006/picture">
                      <pic:pic xmlns:pic="http://schemas.openxmlformats.org/drawingml/2006/picture">
                        <pic:nvPicPr>
                          <pic:cNvPr id="29" name="图片_102"/>
                          <pic:cNvPicPr/>
                        </pic:nvPicPr>
                        <pic:blipFill>
                          <a:blip r:embed="rId77"/>
                          <a:stretch>
                            <a:fillRect/>
                          </a:stretch>
                        </pic:blipFill>
                        <pic:spPr>
                          <a:xfrm>
                            <a:off x="0" y="0"/>
                            <a:ext cx="854075" cy="89598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1400*600*750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4、配件：带桌下档板，桌面配铝合金线盒，采用阻尼铰链，三节导轨、防折锁具，优质三合一连接件。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双人办公桌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164465</wp:posOffset>
                  </wp:positionV>
                  <wp:extent cx="928370" cy="913130"/>
                  <wp:effectExtent l="0" t="0" r="5080" b="1270"/>
                  <wp:wrapNone/>
                  <wp:docPr id="50" name="图片_101"/>
                  <wp:cNvGraphicFramePr/>
                  <a:graphic xmlns:a="http://schemas.openxmlformats.org/drawingml/2006/main">
                    <a:graphicData uri="http://schemas.openxmlformats.org/drawingml/2006/picture">
                      <pic:pic xmlns:pic="http://schemas.openxmlformats.org/drawingml/2006/picture">
                        <pic:nvPicPr>
                          <pic:cNvPr id="50" name="图片_101"/>
                          <pic:cNvPicPr/>
                        </pic:nvPicPr>
                        <pic:blipFill>
                          <a:blip r:embed="rId78"/>
                          <a:stretch>
                            <a:fillRect/>
                          </a:stretch>
                        </pic:blipFill>
                        <pic:spPr>
                          <a:xfrm>
                            <a:off x="0" y="0"/>
                            <a:ext cx="928370" cy="9131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1100*1000*750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4、配件：桌面布艺屏风，桌面配铝合金线盒，采用阻尼铰链，三节导轨、防折锁具，优质三合一连接件。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4000元/组（2000元/位）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双人办公桌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164465</wp:posOffset>
                  </wp:positionV>
                  <wp:extent cx="928370" cy="913130"/>
                  <wp:effectExtent l="0" t="0" r="5080" b="1270"/>
                  <wp:wrapNone/>
                  <wp:docPr id="83" name="图片_95"/>
                  <wp:cNvGraphicFramePr/>
                  <a:graphic xmlns:a="http://schemas.openxmlformats.org/drawingml/2006/main">
                    <a:graphicData uri="http://schemas.openxmlformats.org/drawingml/2006/picture">
                      <pic:pic xmlns:pic="http://schemas.openxmlformats.org/drawingml/2006/picture">
                        <pic:nvPicPr>
                          <pic:cNvPr id="83" name="图片_95"/>
                          <pic:cNvPicPr/>
                        </pic:nvPicPr>
                        <pic:blipFill>
                          <a:blip r:embed="rId78"/>
                          <a:stretch>
                            <a:fillRect/>
                          </a:stretch>
                        </pic:blipFill>
                        <pic:spPr>
                          <a:xfrm>
                            <a:off x="0" y="0"/>
                            <a:ext cx="928370" cy="9131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1200*1000*750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4、配件：桌面布艺屏风，桌面配铝合金线盒，采用阻尼铰链，三节导轨、防折锁具，优质三合一连接件。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4000元/组（2000元/位）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工作台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212725</wp:posOffset>
                  </wp:positionV>
                  <wp:extent cx="1017270" cy="807720"/>
                  <wp:effectExtent l="0" t="0" r="11430" b="11430"/>
                  <wp:wrapNone/>
                  <wp:docPr id="68" name="图片_46"/>
                  <wp:cNvGraphicFramePr/>
                  <a:graphic xmlns:a="http://schemas.openxmlformats.org/drawingml/2006/main">
                    <a:graphicData uri="http://schemas.openxmlformats.org/drawingml/2006/picture">
                      <pic:pic xmlns:pic="http://schemas.openxmlformats.org/drawingml/2006/picture">
                        <pic:nvPicPr>
                          <pic:cNvPr id="68" name="图片_46"/>
                          <pic:cNvPicPr/>
                        </pic:nvPicPr>
                        <pic:blipFill>
                          <a:blip r:embed="rId79"/>
                          <a:stretch>
                            <a:fillRect/>
                          </a:stretch>
                        </pic:blipFill>
                        <pic:spPr>
                          <a:xfrm>
                            <a:off x="0" y="0"/>
                            <a:ext cx="1017270" cy="80772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1400*700*750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3、支架：钢制支架，表面静电喷涂。 带桌下档板， 配活动柜一只。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358775</wp:posOffset>
                  </wp:positionV>
                  <wp:extent cx="1010285" cy="695325"/>
                  <wp:effectExtent l="0" t="0" r="18415" b="9525"/>
                  <wp:wrapNone/>
                  <wp:docPr id="72" name="图片_53"/>
                  <wp:cNvGraphicFramePr/>
                  <a:graphic xmlns:a="http://schemas.openxmlformats.org/drawingml/2006/main">
                    <a:graphicData uri="http://schemas.openxmlformats.org/drawingml/2006/picture">
                      <pic:pic xmlns:pic="http://schemas.openxmlformats.org/drawingml/2006/picture">
                        <pic:nvPicPr>
                          <pic:cNvPr id="72" name="图片_53"/>
                          <pic:cNvPicPr/>
                        </pic:nvPicPr>
                        <pic:blipFill>
                          <a:blip r:embed="rId80"/>
                          <a:stretch>
                            <a:fillRect/>
                          </a:stretch>
                        </pic:blipFill>
                        <pic:spPr>
                          <a:xfrm>
                            <a:off x="0" y="0"/>
                            <a:ext cx="1010285" cy="69532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1600*800*750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3、支架：铝合金支架，表面静电喷涂；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4、配件：配铝合金双翻线盒。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82040" cy="771525"/>
                  <wp:effectExtent l="0" t="0" r="3810" b="9525"/>
                  <wp:docPr id="8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descr="IMG_284"/>
                          <pic:cNvPicPr>
                            <a:picLocks noChangeAspect="1"/>
                          </pic:cNvPicPr>
                        </pic:nvPicPr>
                        <pic:blipFill>
                          <a:blip r:embed="rId81"/>
                          <a:stretch>
                            <a:fillRect/>
                          </a:stretch>
                        </pic:blipFill>
                        <pic:spPr>
                          <a:xfrm>
                            <a:off x="0" y="0"/>
                            <a:ext cx="1082040" cy="7715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2000*1200*750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3、支架：铝合金支架，表面静电喷涂；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4、配件：配铝合金双翻线盒。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254635</wp:posOffset>
                  </wp:positionV>
                  <wp:extent cx="980440" cy="570230"/>
                  <wp:effectExtent l="0" t="0" r="10160" b="1270"/>
                  <wp:wrapNone/>
                  <wp:docPr id="76" name="图片_65"/>
                  <wp:cNvGraphicFramePr/>
                  <a:graphic xmlns:a="http://schemas.openxmlformats.org/drawingml/2006/main">
                    <a:graphicData uri="http://schemas.openxmlformats.org/drawingml/2006/picture">
                      <pic:pic xmlns:pic="http://schemas.openxmlformats.org/drawingml/2006/picture">
                        <pic:nvPicPr>
                          <pic:cNvPr id="76" name="图片_65"/>
                          <pic:cNvPicPr/>
                        </pic:nvPicPr>
                        <pic:blipFill>
                          <a:blip r:embed="rId82"/>
                          <a:stretch>
                            <a:fillRect/>
                          </a:stretch>
                        </pic:blipFill>
                        <pic:spPr>
                          <a:xfrm>
                            <a:off x="0" y="0"/>
                            <a:ext cx="980440" cy="5702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2800*1200*750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4、配件：配铝合金双翻线盒。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421640</wp:posOffset>
                  </wp:positionV>
                  <wp:extent cx="993775" cy="648970"/>
                  <wp:effectExtent l="0" t="0" r="15875" b="17780"/>
                  <wp:wrapNone/>
                  <wp:docPr id="67" name="图片_64"/>
                  <wp:cNvGraphicFramePr/>
                  <a:graphic xmlns:a="http://schemas.openxmlformats.org/drawingml/2006/main">
                    <a:graphicData uri="http://schemas.openxmlformats.org/drawingml/2006/picture">
                      <pic:pic xmlns:pic="http://schemas.openxmlformats.org/drawingml/2006/picture">
                        <pic:nvPicPr>
                          <pic:cNvPr id="67" name="图片_64"/>
                          <pic:cNvPicPr/>
                        </pic:nvPicPr>
                        <pic:blipFill>
                          <a:blip r:embed="rId83"/>
                          <a:stretch>
                            <a:fillRect/>
                          </a:stretch>
                        </pic:blipFill>
                        <pic:spPr>
                          <a:xfrm>
                            <a:off x="0" y="0"/>
                            <a:ext cx="993775" cy="64897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2600*1200*750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4、配件：配铝合金双翻线盒。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68</w:t>
            </w:r>
          </w:p>
        </w:tc>
        <w:tc>
          <w:tcPr>
            <w:tcW w:w="79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330835</wp:posOffset>
                  </wp:positionV>
                  <wp:extent cx="989965" cy="541655"/>
                  <wp:effectExtent l="0" t="0" r="635" b="10795"/>
                  <wp:wrapNone/>
                  <wp:docPr id="80" name="图片_44"/>
                  <wp:cNvGraphicFramePr/>
                  <a:graphic xmlns:a="http://schemas.openxmlformats.org/drawingml/2006/main">
                    <a:graphicData uri="http://schemas.openxmlformats.org/drawingml/2006/picture">
                      <pic:pic xmlns:pic="http://schemas.openxmlformats.org/drawingml/2006/picture">
                        <pic:nvPicPr>
                          <pic:cNvPr id="80" name="图片_44"/>
                          <pic:cNvPicPr/>
                        </pic:nvPicPr>
                        <pic:blipFill>
                          <a:blip r:embed="rId84"/>
                          <a:stretch>
                            <a:fillRect/>
                          </a:stretch>
                        </pic:blipFill>
                        <pic:spPr>
                          <a:xfrm>
                            <a:off x="0" y="0"/>
                            <a:ext cx="989965" cy="541655"/>
                          </a:xfrm>
                          <a:prstGeom prst="rect">
                            <a:avLst/>
                          </a:prstGeom>
                          <a:noFill/>
                          <a:ln>
                            <a:noFill/>
                          </a:ln>
                        </pic:spPr>
                      </pic:pic>
                    </a:graphicData>
                  </a:graphic>
                </wp:anchor>
              </w:drawing>
            </w:r>
          </w:p>
        </w:tc>
        <w:tc>
          <w:tcPr>
            <w:tcW w:w="102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2200*800*750</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3、支架：钢制支架，表面静电喷涂处理。   </w:t>
            </w:r>
          </w:p>
        </w:tc>
        <w:tc>
          <w:tcPr>
            <w:tcW w:w="4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69</w:t>
            </w:r>
          </w:p>
        </w:tc>
        <w:tc>
          <w:tcPr>
            <w:tcW w:w="79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323215</wp:posOffset>
                  </wp:positionV>
                  <wp:extent cx="1068070" cy="516255"/>
                  <wp:effectExtent l="0" t="0" r="17780" b="17145"/>
                  <wp:wrapNone/>
                  <wp:docPr id="79" name="图片_45"/>
                  <wp:cNvGraphicFramePr/>
                  <a:graphic xmlns:a="http://schemas.openxmlformats.org/drawingml/2006/main">
                    <a:graphicData uri="http://schemas.openxmlformats.org/drawingml/2006/picture">
                      <pic:pic xmlns:pic="http://schemas.openxmlformats.org/drawingml/2006/picture">
                        <pic:nvPicPr>
                          <pic:cNvPr id="79" name="图片_45"/>
                          <pic:cNvPicPr/>
                        </pic:nvPicPr>
                        <pic:blipFill>
                          <a:blip r:embed="rId85"/>
                          <a:stretch>
                            <a:fillRect/>
                          </a:stretch>
                        </pic:blipFill>
                        <pic:spPr>
                          <a:xfrm>
                            <a:off x="0" y="0"/>
                            <a:ext cx="1068070" cy="51625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1600*800*750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3、支架：钢制支架，表面静电喷涂处理。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179070</wp:posOffset>
                  </wp:positionV>
                  <wp:extent cx="958215" cy="598170"/>
                  <wp:effectExtent l="0" t="0" r="13335" b="11430"/>
                  <wp:wrapNone/>
                  <wp:docPr id="62" name="图片_22"/>
                  <wp:cNvGraphicFramePr/>
                  <a:graphic xmlns:a="http://schemas.openxmlformats.org/drawingml/2006/main">
                    <a:graphicData uri="http://schemas.openxmlformats.org/drawingml/2006/picture">
                      <pic:pic xmlns:pic="http://schemas.openxmlformats.org/drawingml/2006/picture">
                        <pic:nvPicPr>
                          <pic:cNvPr id="62" name="图片_22"/>
                          <pic:cNvPicPr/>
                        </pic:nvPicPr>
                        <pic:blipFill>
                          <a:blip r:embed="rId86"/>
                          <a:stretch>
                            <a:fillRect/>
                          </a:stretch>
                        </pic:blipFill>
                        <pic:spPr>
                          <a:xfrm>
                            <a:off x="0" y="0"/>
                            <a:ext cx="958215" cy="59817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2100*700*750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1、桌面：采用优质E1级环保多层板，贴面采用环保三聚氰胺板渍胶纸，PVC同色封边；                                                                  2、支架：铝合金支架，表面静电喷涂。</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177165</wp:posOffset>
                  </wp:positionV>
                  <wp:extent cx="954405" cy="721360"/>
                  <wp:effectExtent l="0" t="0" r="17145" b="2540"/>
                  <wp:wrapNone/>
                  <wp:docPr id="88" name="图片_97"/>
                  <wp:cNvGraphicFramePr/>
                  <a:graphic xmlns:a="http://schemas.openxmlformats.org/drawingml/2006/main">
                    <a:graphicData uri="http://schemas.openxmlformats.org/drawingml/2006/picture">
                      <pic:pic xmlns:pic="http://schemas.openxmlformats.org/drawingml/2006/picture">
                        <pic:nvPicPr>
                          <pic:cNvPr id="88" name="图片_97"/>
                          <pic:cNvPicPr/>
                        </pic:nvPicPr>
                        <pic:blipFill>
                          <a:blip r:embed="rId87"/>
                          <a:stretch>
                            <a:fillRect/>
                          </a:stretch>
                        </pic:blipFill>
                        <pic:spPr>
                          <a:xfrm>
                            <a:off x="0" y="0"/>
                            <a:ext cx="954405" cy="7213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2200*800*750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3、支架：钢制支架，表面静电喷涂。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307975</wp:posOffset>
                  </wp:positionV>
                  <wp:extent cx="1006475" cy="937260"/>
                  <wp:effectExtent l="0" t="0" r="3175" b="15240"/>
                  <wp:wrapNone/>
                  <wp:docPr id="75" name="图片_76"/>
                  <wp:cNvGraphicFramePr/>
                  <a:graphic xmlns:a="http://schemas.openxmlformats.org/drawingml/2006/main">
                    <a:graphicData uri="http://schemas.openxmlformats.org/drawingml/2006/picture">
                      <pic:pic xmlns:pic="http://schemas.openxmlformats.org/drawingml/2006/picture">
                        <pic:nvPicPr>
                          <pic:cNvPr id="75" name="图片_76"/>
                          <pic:cNvPicPr/>
                        </pic:nvPicPr>
                        <pic:blipFill>
                          <a:blip r:embed="rId88"/>
                          <a:stretch>
                            <a:fillRect/>
                          </a:stretch>
                        </pic:blipFill>
                        <pic:spPr>
                          <a:xfrm>
                            <a:off x="0" y="0"/>
                            <a:ext cx="1006475" cy="9372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2000*1100*750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3、支架：钢制支架，表面静电喷涂；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161925</wp:posOffset>
                  </wp:positionV>
                  <wp:extent cx="1004570" cy="614680"/>
                  <wp:effectExtent l="0" t="0" r="5080" b="13970"/>
                  <wp:wrapNone/>
                  <wp:docPr id="84" name="图片_54"/>
                  <wp:cNvGraphicFramePr/>
                  <a:graphic xmlns:a="http://schemas.openxmlformats.org/drawingml/2006/main">
                    <a:graphicData uri="http://schemas.openxmlformats.org/drawingml/2006/picture">
                      <pic:pic xmlns:pic="http://schemas.openxmlformats.org/drawingml/2006/picture">
                        <pic:nvPicPr>
                          <pic:cNvPr id="84" name="图片_54"/>
                          <pic:cNvPicPr/>
                        </pic:nvPicPr>
                        <pic:blipFill>
                          <a:blip r:embed="rId89"/>
                          <a:stretch>
                            <a:fillRect/>
                          </a:stretch>
                        </pic:blipFill>
                        <pic:spPr>
                          <a:xfrm>
                            <a:off x="0" y="0"/>
                            <a:ext cx="1004570" cy="61468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2000*1000*750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3、支架：钢制斜切支架，表面静电喷涂；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4、配件：配铝合金双翻线盒。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152400</wp:posOffset>
                  </wp:positionV>
                  <wp:extent cx="1040765" cy="749300"/>
                  <wp:effectExtent l="0" t="0" r="6985" b="12700"/>
                  <wp:wrapNone/>
                  <wp:docPr id="86" name="图片_33"/>
                  <wp:cNvGraphicFramePr/>
                  <a:graphic xmlns:a="http://schemas.openxmlformats.org/drawingml/2006/main">
                    <a:graphicData uri="http://schemas.openxmlformats.org/drawingml/2006/picture">
                      <pic:pic xmlns:pic="http://schemas.openxmlformats.org/drawingml/2006/picture">
                        <pic:nvPicPr>
                          <pic:cNvPr id="86" name="图片_33"/>
                          <pic:cNvPicPr/>
                        </pic:nvPicPr>
                        <pic:blipFill>
                          <a:blip r:embed="rId90"/>
                          <a:stretch>
                            <a:fillRect/>
                          </a:stretch>
                        </pic:blipFill>
                        <pic:spPr>
                          <a:xfrm>
                            <a:off x="0" y="0"/>
                            <a:ext cx="1040765" cy="74930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2400*1400*750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1、面材：采用中密度板基材，表面0.6mm厚实木皮贴面；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158750</wp:posOffset>
                  </wp:positionV>
                  <wp:extent cx="981075" cy="488315"/>
                  <wp:effectExtent l="0" t="0" r="9525" b="6985"/>
                  <wp:wrapNone/>
                  <wp:docPr id="87" name="图片_2"/>
                  <wp:cNvGraphicFramePr/>
                  <a:graphic xmlns:a="http://schemas.openxmlformats.org/drawingml/2006/main">
                    <a:graphicData uri="http://schemas.openxmlformats.org/drawingml/2006/picture">
                      <pic:pic xmlns:pic="http://schemas.openxmlformats.org/drawingml/2006/picture">
                        <pic:nvPicPr>
                          <pic:cNvPr id="87" name="图片_2"/>
                          <pic:cNvPicPr/>
                        </pic:nvPicPr>
                        <pic:blipFill>
                          <a:blip r:embed="rId91"/>
                          <a:stretch>
                            <a:fillRect/>
                          </a:stretch>
                        </pic:blipFill>
                        <pic:spPr>
                          <a:xfrm>
                            <a:off x="0" y="0"/>
                            <a:ext cx="981075" cy="48831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4800*1200*750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基材</w:t>
            </w:r>
            <w:r>
              <w:rPr>
                <w:rFonts w:hint="eastAsia" w:ascii="宋体" w:hAnsi="宋体" w:eastAsia="宋体" w:cs="宋体"/>
                <w:i w:val="0"/>
                <w:iCs w:val="0"/>
                <w:color w:val="000000"/>
                <w:kern w:val="0"/>
                <w:sz w:val="18"/>
                <w:szCs w:val="18"/>
                <w:highlight w:val="none"/>
                <w:u w:val="none"/>
                <w:lang w:val="en-US" w:eastAsia="zh-CN" w:bidi="ar"/>
              </w:rPr>
              <w:t>：采用中密度板基材，表面0.6mm厚实木皮贴面；</w:t>
            </w:r>
          </w:p>
          <w:p>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油漆：</w:t>
            </w:r>
            <w:r>
              <w:rPr>
                <w:rFonts w:hint="eastAsia" w:ascii="宋体" w:hAnsi="宋体" w:eastAsia="宋体" w:cs="宋体"/>
                <w:i w:val="0"/>
                <w:iCs w:val="0"/>
                <w:color w:val="000000"/>
                <w:kern w:val="0"/>
                <w:sz w:val="18"/>
                <w:szCs w:val="18"/>
                <w:highlight w:val="none"/>
                <w:u w:val="none"/>
                <w:lang w:val="en-US" w:eastAsia="zh-CN" w:bidi="ar"/>
              </w:rPr>
              <w:t xml:space="preserve">表面用环保水性油漆，甲醛含量、VOC含量符合GB 18581-2020 《木器 涂料中有害物质限量》标准；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3、配件：桌面配铝合金线盒。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3"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57275" cy="542925"/>
                  <wp:effectExtent l="0" t="0" r="9525" b="9525"/>
                  <wp:docPr id="8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0" descr="IMG_285"/>
                          <pic:cNvPicPr>
                            <a:picLocks noChangeAspect="1"/>
                          </pic:cNvPicPr>
                        </pic:nvPicPr>
                        <pic:blipFill>
                          <a:blip r:embed="rId92"/>
                          <a:stretch>
                            <a:fillRect/>
                          </a:stretch>
                        </pic:blipFill>
                        <pic:spPr>
                          <a:xfrm>
                            <a:off x="0" y="0"/>
                            <a:ext cx="1057275" cy="5429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4500*1400*750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基材</w:t>
            </w:r>
            <w:r>
              <w:rPr>
                <w:rFonts w:hint="eastAsia" w:ascii="宋体" w:hAnsi="宋体" w:eastAsia="宋体" w:cs="宋体"/>
                <w:i w:val="0"/>
                <w:iCs w:val="0"/>
                <w:color w:val="000000"/>
                <w:kern w:val="0"/>
                <w:sz w:val="18"/>
                <w:szCs w:val="18"/>
                <w:highlight w:val="none"/>
                <w:u w:val="none"/>
                <w:lang w:val="en-US" w:eastAsia="zh-CN" w:bidi="ar"/>
              </w:rPr>
              <w:t>：采用中密度板基材，表面0.6mm厚实木皮贴面；</w:t>
            </w:r>
          </w:p>
          <w:p>
            <w:pPr>
              <w:keepNext w:val="0"/>
              <w:keepLines w:val="0"/>
              <w:widowControl/>
              <w:numPr>
                <w:ilvl w:val="0"/>
                <w:numId w:val="5"/>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油漆：</w:t>
            </w:r>
            <w:r>
              <w:rPr>
                <w:rFonts w:hint="eastAsia" w:ascii="宋体" w:hAnsi="宋体" w:eastAsia="宋体" w:cs="宋体"/>
                <w:i w:val="0"/>
                <w:iCs w:val="0"/>
                <w:color w:val="000000"/>
                <w:kern w:val="0"/>
                <w:sz w:val="18"/>
                <w:szCs w:val="18"/>
                <w:highlight w:val="none"/>
                <w:u w:val="none"/>
                <w:lang w:val="en-US" w:eastAsia="zh-CN" w:bidi="ar"/>
              </w:rPr>
              <w:t xml:space="preserve">表面用环保水性油漆，甲醛含量、VOC含量符合GB 18581-2020 《木器 涂料中有害物质限量》标准；                                                                       </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3、配件：桌面配铝合金线盒。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397510</wp:posOffset>
                  </wp:positionV>
                  <wp:extent cx="1006475" cy="505460"/>
                  <wp:effectExtent l="0" t="0" r="3175" b="8890"/>
                  <wp:wrapNone/>
                  <wp:docPr id="63" name="图片_23"/>
                  <wp:cNvGraphicFramePr/>
                  <a:graphic xmlns:a="http://schemas.openxmlformats.org/drawingml/2006/main">
                    <a:graphicData uri="http://schemas.openxmlformats.org/drawingml/2006/picture">
                      <pic:pic xmlns:pic="http://schemas.openxmlformats.org/drawingml/2006/picture">
                        <pic:nvPicPr>
                          <pic:cNvPr id="63" name="图片_23"/>
                          <pic:cNvPicPr/>
                        </pic:nvPicPr>
                        <pic:blipFill>
                          <a:blip r:embed="rId93"/>
                          <a:stretch>
                            <a:fillRect/>
                          </a:stretch>
                        </pic:blipFill>
                        <pic:spPr>
                          <a:xfrm>
                            <a:off x="0" y="0"/>
                            <a:ext cx="1006475" cy="5054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3000*1200*750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 xml:space="preserve">基材：采用0.6mm厚度胡桃木木皮贴面；E1级中密度纤维板基材，甲醛释放量≦0.050mg/m³；  </w:t>
            </w:r>
          </w:p>
          <w:p>
            <w:pPr>
              <w:keepNext w:val="0"/>
              <w:keepLines w:val="0"/>
              <w:widowControl/>
              <w:numPr>
                <w:ilvl w:val="0"/>
                <w:numId w:val="6"/>
              </w:numPr>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油漆：环保水性油漆饰面，甲醛含量、VOC含量符合GB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9800元/张（700/位，按周长600mm/座位计算）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主席桌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99820" cy="758190"/>
                  <wp:effectExtent l="0" t="0" r="5080" b="3810"/>
                  <wp:docPr id="6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descr="IMG_286"/>
                          <pic:cNvPicPr>
                            <a:picLocks noChangeAspect="1"/>
                          </pic:cNvPicPr>
                        </pic:nvPicPr>
                        <pic:blipFill>
                          <a:blip r:embed="rId94"/>
                          <a:stretch>
                            <a:fillRect/>
                          </a:stretch>
                        </pic:blipFill>
                        <pic:spPr>
                          <a:xfrm>
                            <a:off x="0" y="0"/>
                            <a:ext cx="1099820" cy="75819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1400*600*760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1、面材：采用0.6mm厚度胡桃木木皮贴面；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2、基材：采用E1级中密度纤维板，甲醛释放量≦0.050mg/m³；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3、油漆：采用环保水性油漆，甲醛含量、VOC含量符合GB 18581-2020 《木器 涂料中有害物质限量》标准；                                               4、配件：优质三合一连接件。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00455" cy="795655"/>
                  <wp:effectExtent l="0" t="0" r="4445" b="4445"/>
                  <wp:docPr id="5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IMG_287"/>
                          <pic:cNvPicPr>
                            <a:picLocks noChangeAspect="1"/>
                          </pic:cNvPicPr>
                        </pic:nvPicPr>
                        <pic:blipFill>
                          <a:blip r:embed="rId95"/>
                          <a:stretch>
                            <a:fillRect/>
                          </a:stretch>
                        </pic:blipFill>
                        <pic:spPr>
                          <a:xfrm>
                            <a:off x="0" y="0"/>
                            <a:ext cx="1100455" cy="79565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1200*450*750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3、配件：钢制下架，底部带尼龙刹车轮子，带折叠置物架。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18540" cy="737235"/>
                  <wp:effectExtent l="0" t="0" r="10160" b="5715"/>
                  <wp:docPr id="6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descr="IMG_288"/>
                          <pic:cNvPicPr>
                            <a:picLocks noChangeAspect="1"/>
                          </pic:cNvPicPr>
                        </pic:nvPicPr>
                        <pic:blipFill>
                          <a:blip r:embed="rId96"/>
                          <a:stretch>
                            <a:fillRect/>
                          </a:stretch>
                        </pic:blipFill>
                        <pic:spPr>
                          <a:xfrm>
                            <a:off x="0" y="0"/>
                            <a:ext cx="1018540" cy="73723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1400*550*750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桌架：采用优质50*20MM圆角冷轧扁管经模具压弯成型，美观的造型设计，上下双脚外圆弧为R50,上脚内角度110°，下脚内角度70°。表面采用防锈静电喷涂处理，整体牢固耐用，抗变型。配以优质皮革包裹装饰，美观大方。桌脚预装优质塑料脚轮连接件，前端采用单管塑料连接件，后端采用双管塑料连接件，桌脚管型不外露，达到稳定和美观的效果；                                      4、脚轮采用65mmPU静音万向带刹车脚轮；                                      5、功能：台架有旋钮折叠装置，安全且可多数量推叠，节省存放空间。</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1400元/张（700/位）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演讲台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76275" cy="971550"/>
                  <wp:effectExtent l="0" t="0" r="9525" b="0"/>
                  <wp:docPr id="7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descr="IMG_289"/>
                          <pic:cNvPicPr>
                            <a:picLocks noChangeAspect="1"/>
                          </pic:cNvPicPr>
                        </pic:nvPicPr>
                        <pic:blipFill>
                          <a:blip r:embed="rId97"/>
                          <a:stretch>
                            <a:fillRect/>
                          </a:stretch>
                        </pic:blipFill>
                        <pic:spPr>
                          <a:xfrm>
                            <a:off x="0" y="0"/>
                            <a:ext cx="676275" cy="9715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700*500*1150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1、面材：采用0.6mm厚度胡桃木木皮贴面；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2、基材：采用E1级中密度纤维板，甲醛释放量≦0.050mg/m³；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3、油漆：采用环保水性油漆，甲醛含量、VOC含量符合GB 18581-2020 《木器 涂料中有害物质限量》标准；                                               4、配件：优质三合一连接件。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洽谈桌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00125" cy="914400"/>
                  <wp:effectExtent l="0" t="0" r="9525" b="0"/>
                  <wp:docPr id="59"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descr="IMG_290"/>
                          <pic:cNvPicPr>
                            <a:picLocks noChangeAspect="1"/>
                          </pic:cNvPicPr>
                        </pic:nvPicPr>
                        <pic:blipFill>
                          <a:blip r:embed="rId98"/>
                          <a:stretch>
                            <a:fillRect/>
                          </a:stretch>
                        </pic:blipFill>
                        <pic:spPr>
                          <a:xfrm>
                            <a:off x="0" y="0"/>
                            <a:ext cx="1000125" cy="91440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3、支架：拉丝不锈钢圆盘脚。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8"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洽谈桌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-22225</wp:posOffset>
                  </wp:positionV>
                  <wp:extent cx="878840" cy="925830"/>
                  <wp:effectExtent l="0" t="0" r="16510" b="7620"/>
                  <wp:wrapNone/>
                  <wp:docPr id="65" name="图片_19"/>
                  <wp:cNvGraphicFramePr/>
                  <a:graphic xmlns:a="http://schemas.openxmlformats.org/drawingml/2006/main">
                    <a:graphicData uri="http://schemas.openxmlformats.org/drawingml/2006/picture">
                      <pic:pic xmlns:pic="http://schemas.openxmlformats.org/drawingml/2006/picture">
                        <pic:nvPicPr>
                          <pic:cNvPr id="65" name="图片_19"/>
                          <pic:cNvPicPr/>
                        </pic:nvPicPr>
                        <pic:blipFill>
                          <a:blip r:embed="rId99"/>
                          <a:srcRect l="47122" t="11247" b="20630"/>
                          <a:stretch>
                            <a:fillRect/>
                          </a:stretch>
                        </pic:blipFill>
                        <pic:spPr>
                          <a:xfrm>
                            <a:off x="0" y="0"/>
                            <a:ext cx="878840" cy="9258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1、台面：中花白岩板台面，四周磨边处理；                                                                       2、支架：钢制喷涂支架，金属质感，稳固性强。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洽谈桌</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00125" cy="600075"/>
                  <wp:effectExtent l="0" t="0" r="9525" b="9525"/>
                  <wp:docPr id="7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descr="IMG_291"/>
                          <pic:cNvPicPr>
                            <a:picLocks noChangeAspect="1"/>
                          </pic:cNvPicPr>
                        </pic:nvPicPr>
                        <pic:blipFill>
                          <a:blip r:embed="rId100"/>
                          <a:stretch>
                            <a:fillRect/>
                          </a:stretch>
                        </pic:blipFill>
                        <pic:spPr>
                          <a:xfrm>
                            <a:off x="0" y="0"/>
                            <a:ext cx="1000125" cy="6000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ø800*750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1、面材：采用E1级实木多层板，表面0.6mm厚实木皮贴面；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2、油漆：表面用环保水性油漆，甲醛含量、VOC含量符合GB 18581-2020 《木器 涂料中有害物质限量》标准；                                                  3、支架：一体成型塑钢支架。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讲台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0</wp:posOffset>
                  </wp:positionV>
                  <wp:extent cx="885825" cy="1298575"/>
                  <wp:effectExtent l="0" t="0" r="9525" b="15875"/>
                  <wp:wrapNone/>
                  <wp:docPr id="82" name="图片_13"/>
                  <wp:cNvGraphicFramePr/>
                  <a:graphic xmlns:a="http://schemas.openxmlformats.org/drawingml/2006/main">
                    <a:graphicData uri="http://schemas.openxmlformats.org/drawingml/2006/picture">
                      <pic:pic xmlns:pic="http://schemas.openxmlformats.org/drawingml/2006/picture">
                        <pic:nvPicPr>
                          <pic:cNvPr id="82" name="图片_13"/>
                          <pic:cNvPicPr/>
                        </pic:nvPicPr>
                        <pic:blipFill>
                          <a:blip r:embed="rId101"/>
                          <a:stretch>
                            <a:fillRect/>
                          </a:stretch>
                        </pic:blipFill>
                        <pic:spPr>
                          <a:xfrm>
                            <a:off x="0" y="0"/>
                            <a:ext cx="885825" cy="129857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800*600*750-1100H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1、台面：采用优质E1级环保实木颗粒板，贴面采用环保三聚氰胺板渍胶纸。桌面板材厚度≥25mm；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3、桌支撑脚：优质钢脚，带升降功能。</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单人床</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152400</wp:posOffset>
                  </wp:positionV>
                  <wp:extent cx="914400" cy="626745"/>
                  <wp:effectExtent l="0" t="0" r="0" b="1905"/>
                  <wp:wrapNone/>
                  <wp:docPr id="70" name="图片_1(6)"/>
                  <wp:cNvGraphicFramePr/>
                  <a:graphic xmlns:a="http://schemas.openxmlformats.org/drawingml/2006/main">
                    <a:graphicData uri="http://schemas.openxmlformats.org/drawingml/2006/picture">
                      <pic:pic xmlns:pic="http://schemas.openxmlformats.org/drawingml/2006/picture">
                        <pic:nvPicPr>
                          <pic:cNvPr id="70" name="图片_1(6)"/>
                          <pic:cNvPicPr/>
                        </pic:nvPicPr>
                        <pic:blipFill>
                          <a:blip r:embed="rId102"/>
                          <a:stretch>
                            <a:fillRect/>
                          </a:stretch>
                        </pic:blipFill>
                        <pic:spPr>
                          <a:xfrm>
                            <a:off x="0" y="0"/>
                            <a:ext cx="914400" cy="6267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2000*1000*980H</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3、床垫：80mm厚棕垫。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床头柜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51435</wp:posOffset>
                  </wp:positionV>
                  <wp:extent cx="702945" cy="716280"/>
                  <wp:effectExtent l="0" t="0" r="1905" b="7620"/>
                  <wp:wrapNone/>
                  <wp:docPr id="66" name="图片_69"/>
                  <wp:cNvGraphicFramePr/>
                  <a:graphic xmlns:a="http://schemas.openxmlformats.org/drawingml/2006/main">
                    <a:graphicData uri="http://schemas.openxmlformats.org/drawingml/2006/picture">
                      <pic:pic xmlns:pic="http://schemas.openxmlformats.org/drawingml/2006/picture">
                        <pic:nvPicPr>
                          <pic:cNvPr id="66" name="图片_69"/>
                          <pic:cNvPicPr/>
                        </pic:nvPicPr>
                        <pic:blipFill>
                          <a:blip r:embed="rId103"/>
                          <a:stretch>
                            <a:fillRect/>
                          </a:stretch>
                        </pic:blipFill>
                        <pic:spPr>
                          <a:xfrm>
                            <a:off x="0" y="0"/>
                            <a:ext cx="702945" cy="71628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450*400*450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1、台面：采用优质三聚氰胺饰面板，基材采用E1级环保实木颗粒板，贴面采用环保三聚氰胺板渍胶纸；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2、封边：采用PVC同色封边条，全自动封边工艺，严密、平整、无脱胶、表面无露胶；                                                                     3、配件：采用三节导轨，优质三合一连接件。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洽谈椅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81050" cy="800100"/>
                  <wp:effectExtent l="0" t="0" r="0" b="0"/>
                  <wp:docPr id="6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IMG_292"/>
                          <pic:cNvPicPr>
                            <a:picLocks noChangeAspect="1"/>
                          </pic:cNvPicPr>
                        </pic:nvPicPr>
                        <pic:blipFill>
                          <a:blip r:embed="rId104"/>
                          <a:stretch>
                            <a:fillRect/>
                          </a:stretch>
                        </pic:blipFill>
                        <pic:spPr>
                          <a:xfrm>
                            <a:off x="0" y="0"/>
                            <a:ext cx="781050" cy="80010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600*560*810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1、座面及靠背软包：表面采用西皮，耐磨易清洁、表面柔软舒适；                    2、海绵：采用高密度高回弹海绵，座面填充丝绵，座感舒适；                                                       3、支架：8*30钢制支架，金属质感，稳固性强。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89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会客椅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0</wp:posOffset>
                  </wp:positionV>
                  <wp:extent cx="676275" cy="857885"/>
                  <wp:effectExtent l="0" t="0" r="9525" b="18415"/>
                  <wp:wrapNone/>
                  <wp:docPr id="69" name="图片_34"/>
                  <wp:cNvGraphicFramePr/>
                  <a:graphic xmlns:a="http://schemas.openxmlformats.org/drawingml/2006/main">
                    <a:graphicData uri="http://schemas.openxmlformats.org/drawingml/2006/picture">
                      <pic:pic xmlns:pic="http://schemas.openxmlformats.org/drawingml/2006/picture">
                        <pic:nvPicPr>
                          <pic:cNvPr id="69" name="图片_34"/>
                          <pic:cNvPicPr/>
                        </pic:nvPicPr>
                        <pic:blipFill>
                          <a:blip r:embed="rId105"/>
                          <a:stretch>
                            <a:fillRect/>
                          </a:stretch>
                        </pic:blipFill>
                        <pic:spPr>
                          <a:xfrm>
                            <a:off x="0" y="0"/>
                            <a:ext cx="676275" cy="85788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780*650*530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1、全新料PP塑胶板；                                                      2、座垫和后背带</w:t>
            </w:r>
            <w:r>
              <w:rPr>
                <w:rFonts w:hint="eastAsia" w:ascii="宋体" w:hAnsi="宋体" w:cs="宋体"/>
                <w:i w:val="0"/>
                <w:iCs w:val="0"/>
                <w:color w:val="000000"/>
                <w:kern w:val="0"/>
                <w:sz w:val="18"/>
                <w:szCs w:val="18"/>
                <w:highlight w:val="none"/>
                <w:u w:val="none"/>
                <w:lang w:val="en-US" w:eastAsia="zh-CN" w:bidi="ar"/>
              </w:rPr>
              <w:t>布艺</w:t>
            </w:r>
            <w:r>
              <w:rPr>
                <w:rFonts w:hint="eastAsia" w:ascii="宋体" w:hAnsi="宋体" w:eastAsia="宋体" w:cs="宋体"/>
                <w:i w:val="0"/>
                <w:iCs w:val="0"/>
                <w:color w:val="000000"/>
                <w:kern w:val="0"/>
                <w:sz w:val="18"/>
                <w:szCs w:val="18"/>
                <w:highlight w:val="none"/>
                <w:u w:val="none"/>
                <w:lang w:val="en-US" w:eastAsia="zh-CN" w:bidi="ar"/>
              </w:rPr>
              <w:t>软包，</w:t>
            </w:r>
            <w:r>
              <w:rPr>
                <w:rFonts w:hint="eastAsia" w:ascii="宋体" w:hAnsi="宋体" w:cs="宋体"/>
                <w:i w:val="0"/>
                <w:iCs w:val="0"/>
                <w:color w:val="000000"/>
                <w:kern w:val="0"/>
                <w:sz w:val="18"/>
                <w:szCs w:val="18"/>
                <w:highlight w:val="none"/>
                <w:u w:val="none"/>
                <w:lang w:val="en-US" w:eastAsia="zh-CN" w:bidi="ar"/>
              </w:rPr>
              <w:t>高</w:t>
            </w:r>
            <w:r>
              <w:rPr>
                <w:rFonts w:hint="eastAsia" w:ascii="宋体" w:hAnsi="宋体" w:eastAsia="宋体" w:cs="宋体"/>
                <w:i w:val="0"/>
                <w:iCs w:val="0"/>
                <w:color w:val="000000"/>
                <w:kern w:val="0"/>
                <w:sz w:val="18"/>
                <w:szCs w:val="18"/>
                <w:highlight w:val="none"/>
                <w:u w:val="none"/>
                <w:lang w:val="en-US" w:eastAsia="zh-CN" w:bidi="ar"/>
              </w:rPr>
              <w:t>密度定型棉</w:t>
            </w:r>
            <w:r>
              <w:rPr>
                <w:rFonts w:hint="eastAsia" w:ascii="宋体" w:hAnsi="宋体" w:cs="宋体"/>
                <w:i w:val="0"/>
                <w:iCs w:val="0"/>
                <w:color w:val="000000"/>
                <w:kern w:val="0"/>
                <w:sz w:val="18"/>
                <w:szCs w:val="18"/>
                <w:highlight w:val="none"/>
                <w:u w:val="none"/>
                <w:lang w:val="en-US" w:eastAsia="zh-CN" w:bidi="ar"/>
              </w:rPr>
              <w:t>居中</w:t>
            </w:r>
            <w:r>
              <w:rPr>
                <w:rFonts w:hint="eastAsia" w:ascii="宋体" w:hAnsi="宋体" w:eastAsia="宋体" w:cs="宋体"/>
                <w:i w:val="0"/>
                <w:iCs w:val="0"/>
                <w:color w:val="000000"/>
                <w:kern w:val="0"/>
                <w:sz w:val="18"/>
                <w:szCs w:val="18"/>
                <w:highlight w:val="none"/>
                <w:u w:val="none"/>
                <w:lang w:val="en-US" w:eastAsia="zh-CN" w:bidi="ar"/>
              </w:rPr>
              <w:t xml:space="preserve">；                     3、铝合金托盘，铝合金四星固定脚。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吧椅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67310</wp:posOffset>
                  </wp:positionV>
                  <wp:extent cx="723900" cy="1024255"/>
                  <wp:effectExtent l="0" t="0" r="0" b="4445"/>
                  <wp:wrapNone/>
                  <wp:docPr id="78" name="图片_28"/>
                  <wp:cNvGraphicFramePr/>
                  <a:graphic xmlns:a="http://schemas.openxmlformats.org/drawingml/2006/main">
                    <a:graphicData uri="http://schemas.openxmlformats.org/drawingml/2006/picture">
                      <pic:pic xmlns:pic="http://schemas.openxmlformats.org/drawingml/2006/picture">
                        <pic:nvPicPr>
                          <pic:cNvPr id="78" name="图片_28"/>
                          <pic:cNvPicPr/>
                        </pic:nvPicPr>
                        <pic:blipFill>
                          <a:blip r:embed="rId106"/>
                          <a:stretch>
                            <a:fillRect/>
                          </a:stretch>
                        </pic:blipFill>
                        <pic:spPr>
                          <a:xfrm>
                            <a:off x="0" y="0"/>
                            <a:ext cx="723900" cy="102425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高脚</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1、座面：表面采用西皮，耐磨易清洁、表面柔软舒适；                     2、海绵：采用高密度高回弹海绵，座感舒适；                                                       3、支架：钢制实心支架，表面静电喷涂处理。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91</w:t>
            </w:r>
          </w:p>
        </w:tc>
        <w:tc>
          <w:tcPr>
            <w:tcW w:w="7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圆凳</w:t>
            </w:r>
          </w:p>
        </w:tc>
        <w:tc>
          <w:tcPr>
            <w:tcW w:w="18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71120</wp:posOffset>
                  </wp:positionV>
                  <wp:extent cx="471170" cy="708025"/>
                  <wp:effectExtent l="0" t="0" r="5080" b="15875"/>
                  <wp:wrapNone/>
                  <wp:docPr id="74" name="图片_6_SpCnt_1"/>
                  <wp:cNvGraphicFramePr/>
                  <a:graphic xmlns:a="http://schemas.openxmlformats.org/drawingml/2006/main">
                    <a:graphicData uri="http://schemas.openxmlformats.org/drawingml/2006/picture">
                      <pic:pic xmlns:pic="http://schemas.openxmlformats.org/drawingml/2006/picture">
                        <pic:nvPicPr>
                          <pic:cNvPr id="74" name="图片_6_SpCnt_1"/>
                          <pic:cNvPicPr/>
                        </pic:nvPicPr>
                        <pic:blipFill>
                          <a:blip r:embed="rId107"/>
                          <a:stretch>
                            <a:fillRect/>
                          </a:stretch>
                        </pic:blipFill>
                        <pic:spPr>
                          <a:xfrm>
                            <a:off x="0" y="0"/>
                            <a:ext cx="471170" cy="708025"/>
                          </a:xfrm>
                          <a:prstGeom prst="rect">
                            <a:avLst/>
                          </a:prstGeom>
                          <a:noFill/>
                          <a:ln>
                            <a:noFill/>
                          </a:ln>
                        </pic:spPr>
                      </pic:pic>
                    </a:graphicData>
                  </a:graphic>
                </wp:anchor>
              </w:drawing>
            </w:r>
          </w:p>
        </w:tc>
        <w:tc>
          <w:tcPr>
            <w:tcW w:w="10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ø350*450</w:t>
            </w:r>
          </w:p>
        </w:tc>
        <w:tc>
          <w:tcPr>
            <w:tcW w:w="2562"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环保PP塑料一次成型。</w:t>
            </w:r>
          </w:p>
        </w:tc>
        <w:tc>
          <w:tcPr>
            <w:tcW w:w="4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53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圆凳</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68580</wp:posOffset>
                  </wp:positionV>
                  <wp:extent cx="824865" cy="875030"/>
                  <wp:effectExtent l="0" t="0" r="13335" b="1270"/>
                  <wp:wrapNone/>
                  <wp:docPr id="81" name="图片_16"/>
                  <wp:cNvGraphicFramePr/>
                  <a:graphic xmlns:a="http://schemas.openxmlformats.org/drawingml/2006/main">
                    <a:graphicData uri="http://schemas.openxmlformats.org/drawingml/2006/picture">
                      <pic:pic xmlns:pic="http://schemas.openxmlformats.org/drawingml/2006/picture">
                        <pic:nvPicPr>
                          <pic:cNvPr id="81" name="图片_16"/>
                          <pic:cNvPicPr/>
                        </pic:nvPicPr>
                        <pic:blipFill>
                          <a:blip r:embed="rId108"/>
                          <a:stretch>
                            <a:fillRect/>
                          </a:stretch>
                        </pic:blipFill>
                        <pic:spPr>
                          <a:xfrm>
                            <a:off x="0" y="0"/>
                            <a:ext cx="824865" cy="8750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1、椅面：高密度海绵，表面超纤皮包面；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2、支架：万向环形开关底盘、合金钢椅爪，钢脚壁厚≥1.2MM。配φ≥70mm的优质品牌尼龙纤维滚轮，滑动时无杂音、活动自如，PU脚轮。</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软垫</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156845</wp:posOffset>
                  </wp:positionV>
                  <wp:extent cx="759460" cy="563245"/>
                  <wp:effectExtent l="0" t="0" r="0" b="7620"/>
                  <wp:wrapNone/>
                  <wp:docPr id="77" name="图片_30"/>
                  <wp:cNvGraphicFramePr/>
                  <a:graphic xmlns:a="http://schemas.openxmlformats.org/drawingml/2006/main">
                    <a:graphicData uri="http://schemas.openxmlformats.org/drawingml/2006/picture">
                      <pic:pic xmlns:pic="http://schemas.openxmlformats.org/drawingml/2006/picture">
                        <pic:nvPicPr>
                          <pic:cNvPr id="77" name="图片_30"/>
                          <pic:cNvPicPr/>
                        </pic:nvPicPr>
                        <pic:blipFill>
                          <a:blip r:embed="rId109"/>
                          <a:stretch>
                            <a:fillRect/>
                          </a:stretch>
                        </pic:blipFill>
                        <pic:spPr>
                          <a:xfrm>
                            <a:off x="0" y="0"/>
                            <a:ext cx="759460" cy="5632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ø400*50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1、面料：采用麻绒布艺，表面透气舒适；                                     2、海绵：采用高密度高回弹海绵。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94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诊床</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144145</wp:posOffset>
                  </wp:positionV>
                  <wp:extent cx="1014730" cy="625475"/>
                  <wp:effectExtent l="0" t="0" r="13970" b="3175"/>
                  <wp:wrapNone/>
                  <wp:docPr id="1" name="图片_138"/>
                  <wp:cNvGraphicFramePr/>
                  <a:graphic xmlns:a="http://schemas.openxmlformats.org/drawingml/2006/main">
                    <a:graphicData uri="http://schemas.openxmlformats.org/drawingml/2006/picture">
                      <pic:pic xmlns:pic="http://schemas.openxmlformats.org/drawingml/2006/picture">
                        <pic:nvPicPr>
                          <pic:cNvPr id="1" name="图片_138"/>
                          <pic:cNvPicPr/>
                        </pic:nvPicPr>
                        <pic:blipFill>
                          <a:blip r:embed="rId110"/>
                          <a:stretch>
                            <a:fillRect/>
                          </a:stretch>
                        </pic:blipFill>
                        <pic:spPr>
                          <a:xfrm>
                            <a:off x="0" y="0"/>
                            <a:ext cx="1014730" cy="62547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1900*700*680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1、座面及靠背软包：表面采用超纤皮革，抗污易清洁、表面柔软舒适；                    2、海绵：采用高密度高回弹海绵，达到国家阻燃标准；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3、支撑脚：优质一级冷轧钢，钢板厚度≥1.5mm，金属表面采用优质抑菌粉末，全自动涂装工艺，涂漆厚度不低于60um，喷涂硬度＞2H。含布艺床罩。</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81025" cy="914400"/>
                  <wp:effectExtent l="0" t="0" r="9525" b="0"/>
                  <wp:docPr id="12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8" descr="IMG_293"/>
                          <pic:cNvPicPr>
                            <a:picLocks noChangeAspect="1"/>
                          </pic:cNvPicPr>
                        </pic:nvPicPr>
                        <pic:blipFill>
                          <a:blip r:embed="rId111"/>
                          <a:stretch>
                            <a:fillRect/>
                          </a:stretch>
                        </pic:blipFill>
                        <pic:spPr>
                          <a:xfrm>
                            <a:off x="0" y="0"/>
                            <a:ext cx="581025" cy="91440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650*690*1130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1、面料：西皮包面，柔软舒适、易清洁打理；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2、椅面：采用高密度防火阻燃海绵；                                                  3、扶手：尼龙固定扶手；                                                      4、底盘：原位锁定、倾仰底盘；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5、脚架：铝合金五星脚，底部尼龙活动轮；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6、气压棒：采用四级防爆气压棒，升降行程60-100mm，可承受250KG压力，升降次数可达8-12万次。</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会客椅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95325" cy="981075"/>
                  <wp:effectExtent l="0" t="0" r="9525" b="9525"/>
                  <wp:docPr id="9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descr="IMG_294"/>
                          <pic:cNvPicPr>
                            <a:picLocks noChangeAspect="1"/>
                          </pic:cNvPicPr>
                        </pic:nvPicPr>
                        <pic:blipFill>
                          <a:blip r:embed="rId112"/>
                          <a:stretch>
                            <a:fillRect/>
                          </a:stretch>
                        </pic:blipFill>
                        <pic:spPr>
                          <a:xfrm>
                            <a:off x="0" y="0"/>
                            <a:ext cx="695325" cy="9810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650*690*980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1、面料：西皮包面，柔软舒适、易清洁打理；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2、椅面：采用高密度防火阻燃海绵；                                                                    3、扶手：尼龙固定扶手；                                                       4、支架：同步倾仰底盘；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5、脚架；采用钢制电镀弓型架。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b/>
                <w:bCs/>
                <w:snapToGrid w:val="0"/>
                <w:kern w:val="0"/>
                <w:sz w:val="24"/>
                <w:highlight w:val="none"/>
                <w:lang w:val="zh-CN"/>
              </w:rPr>
              <w:t>★</w:t>
            </w:r>
            <w:r>
              <w:rPr>
                <w:rFonts w:hint="eastAsia" w:ascii="宋体" w:hAnsi="宋体" w:eastAsia="宋体" w:cs="宋体"/>
                <w:i w:val="0"/>
                <w:iCs w:val="0"/>
                <w:color w:val="000000"/>
                <w:kern w:val="0"/>
                <w:sz w:val="18"/>
                <w:szCs w:val="18"/>
                <w:highlight w:val="none"/>
                <w:u w:val="none"/>
                <w:lang w:val="en-US" w:eastAsia="zh-CN" w:bidi="ar"/>
              </w:rPr>
              <w:t>办公椅1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62025" cy="1019175"/>
                  <wp:effectExtent l="0" t="0" r="9525" b="9525"/>
                  <wp:docPr id="9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descr="IMG_295"/>
                          <pic:cNvPicPr>
                            <a:picLocks noChangeAspect="1"/>
                          </pic:cNvPicPr>
                        </pic:nvPicPr>
                        <pic:blipFill>
                          <a:blip r:embed="rId113"/>
                          <a:stretch>
                            <a:fillRect/>
                          </a:stretch>
                        </pic:blipFill>
                        <pic:spPr>
                          <a:xfrm>
                            <a:off x="0" y="0"/>
                            <a:ext cx="962025" cy="10191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600*545*940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1、面料：背架全新进口PA+玻纤，一体注塑成型；进口特网，舒适透气，美观耐用；椅背具备转轴逍遥顶腰功能；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2、座面：PP座壳，座垫采用密度≥45kg/m³防火阻燃定型海绵，表面布艺包面，舒适透气；                                                             3、扶手：PA固定扶手；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4、脚架；黑色烤漆铁架，带脚垫。</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办公椅2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09625" cy="1143000"/>
                  <wp:effectExtent l="0" t="0" r="9525" b="0"/>
                  <wp:docPr id="10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1" descr="IMG_296"/>
                          <pic:cNvPicPr>
                            <a:picLocks noChangeAspect="1"/>
                          </pic:cNvPicPr>
                        </pic:nvPicPr>
                        <pic:blipFill>
                          <a:blip r:embed="rId114"/>
                          <a:stretch>
                            <a:fillRect/>
                          </a:stretch>
                        </pic:blipFill>
                        <pic:spPr>
                          <a:xfrm>
                            <a:off x="0" y="0"/>
                            <a:ext cx="809625" cy="114300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660*620*1000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1、面料：背架全新进口PA+玻纤，一体注塑成型；进口特网，舒适透气，美观耐用；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2、座面：采用≥45密度防火阻燃定型海绵，表面布艺包面，舒适透气；                                 3、扶手：PP固定扶手；                        4、底盘：三档锁定自载重底盘；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5、脚架；尼龙支架，底部尼龙活动轮；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6、气压棒：采用三级防爆气压棒，壁管，升降行程60-100mm，可承受250KG压力，升降次数可达8-12万次。</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2"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办公椅3</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58520" cy="1022350"/>
                  <wp:effectExtent l="0" t="0" r="17780" b="6350"/>
                  <wp:docPr id="116"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2" descr="IMG_297"/>
                          <pic:cNvPicPr>
                            <a:picLocks noChangeAspect="1"/>
                          </pic:cNvPicPr>
                        </pic:nvPicPr>
                        <pic:blipFill>
                          <a:blip r:embed="rId115"/>
                          <a:stretch>
                            <a:fillRect/>
                          </a:stretch>
                        </pic:blipFill>
                        <pic:spPr>
                          <a:xfrm>
                            <a:off x="0" y="0"/>
                            <a:ext cx="858520" cy="10223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610mm*560mm*910mm</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 xml:space="preserve">黑色尼龙加玻纤背架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cs="宋体"/>
                <w:i w:val="0"/>
                <w:iCs w:val="0"/>
                <w:color w:val="000000"/>
                <w:kern w:val="0"/>
                <w:sz w:val="18"/>
                <w:szCs w:val="18"/>
                <w:highlight w:val="none"/>
                <w:u w:val="none"/>
                <w:lang w:val="en-US" w:eastAsia="zh-CN" w:bidi="ar"/>
              </w:rPr>
              <w:t>2、</w:t>
            </w:r>
            <w:r>
              <w:rPr>
                <w:rFonts w:hint="eastAsia" w:ascii="宋体" w:hAnsi="宋体" w:eastAsia="宋体" w:cs="宋体"/>
                <w:i w:val="0"/>
                <w:iCs w:val="0"/>
                <w:color w:val="000000"/>
                <w:kern w:val="0"/>
                <w:sz w:val="18"/>
                <w:szCs w:val="18"/>
                <w:highlight w:val="none"/>
                <w:u w:val="none"/>
                <w:lang w:val="en-US" w:eastAsia="zh-CN" w:bidi="ar"/>
              </w:rPr>
              <w:t xml:space="preserve">定型海绵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cs="宋体"/>
                <w:i w:val="0"/>
                <w:iCs w:val="0"/>
                <w:color w:val="000000"/>
                <w:kern w:val="0"/>
                <w:sz w:val="18"/>
                <w:szCs w:val="18"/>
                <w:highlight w:val="none"/>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 xml:space="preserve">黑色PP连体固定扶手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cs="宋体"/>
                <w:i w:val="0"/>
                <w:iCs w:val="0"/>
                <w:color w:val="000000"/>
                <w:kern w:val="0"/>
                <w:sz w:val="18"/>
                <w:szCs w:val="18"/>
                <w:highlight w:val="none"/>
                <w:u w:val="none"/>
                <w:lang w:val="en-US" w:eastAsia="zh-CN" w:bidi="ar"/>
              </w:rPr>
              <w:t>4、直径</w:t>
            </w:r>
            <w:r>
              <w:rPr>
                <w:rFonts w:hint="eastAsia" w:ascii="宋体" w:hAnsi="宋体" w:eastAsia="宋体" w:cs="宋体"/>
                <w:i w:val="0"/>
                <w:iCs w:val="0"/>
                <w:color w:val="000000"/>
                <w:kern w:val="0"/>
                <w:sz w:val="18"/>
                <w:szCs w:val="18"/>
                <w:highlight w:val="none"/>
                <w:u w:val="none"/>
                <w:lang w:val="en-US" w:eastAsia="zh-CN" w:bidi="ar"/>
              </w:rPr>
              <w:t>25</w:t>
            </w:r>
            <w:r>
              <w:rPr>
                <w:rFonts w:hint="eastAsia" w:ascii="宋体" w:hAnsi="宋体" w:cs="宋体"/>
                <w:i w:val="0"/>
                <w:iCs w:val="0"/>
                <w:color w:val="000000"/>
                <w:kern w:val="0"/>
                <w:sz w:val="18"/>
                <w:szCs w:val="18"/>
                <w:highlight w:val="none"/>
                <w:u w:val="none"/>
                <w:lang w:val="en-US" w:eastAsia="zh-CN" w:bidi="ar"/>
              </w:rPr>
              <w:t>钢</w:t>
            </w:r>
            <w:r>
              <w:rPr>
                <w:rFonts w:hint="eastAsia" w:ascii="宋体" w:hAnsi="宋体" w:eastAsia="宋体" w:cs="宋体"/>
                <w:i w:val="0"/>
                <w:iCs w:val="0"/>
                <w:color w:val="000000"/>
                <w:kern w:val="0"/>
                <w:sz w:val="18"/>
                <w:szCs w:val="18"/>
                <w:highlight w:val="none"/>
                <w:u w:val="none"/>
                <w:lang w:val="en-US" w:eastAsia="zh-CN" w:bidi="ar"/>
              </w:rPr>
              <w:t>管1.8</w:t>
            </w:r>
            <w:r>
              <w:rPr>
                <w:rFonts w:hint="eastAsia" w:ascii="宋体" w:hAnsi="宋体" w:cs="宋体"/>
                <w:i w:val="0"/>
                <w:iCs w:val="0"/>
                <w:color w:val="000000"/>
                <w:kern w:val="0"/>
                <w:sz w:val="18"/>
                <w:szCs w:val="18"/>
                <w:highlight w:val="none"/>
                <w:u w:val="none"/>
                <w:lang w:val="en-US" w:eastAsia="zh-CN" w:bidi="ar"/>
              </w:rPr>
              <w:t>壁厚，表面</w:t>
            </w:r>
            <w:r>
              <w:rPr>
                <w:rFonts w:hint="eastAsia" w:ascii="宋体" w:hAnsi="宋体" w:eastAsia="宋体" w:cs="宋体"/>
                <w:i w:val="0"/>
                <w:iCs w:val="0"/>
                <w:color w:val="000000"/>
                <w:kern w:val="0"/>
                <w:sz w:val="18"/>
                <w:szCs w:val="18"/>
                <w:highlight w:val="none"/>
                <w:u w:val="none"/>
                <w:lang w:val="en-US" w:eastAsia="zh-CN" w:bidi="ar"/>
              </w:rPr>
              <w:t>黑色喷粉</w:t>
            </w:r>
            <w:r>
              <w:rPr>
                <w:rFonts w:hint="eastAsia" w:ascii="宋体" w:hAnsi="宋体" w:cs="宋体"/>
                <w:i w:val="0"/>
                <w:iCs w:val="0"/>
                <w:color w:val="000000"/>
                <w:kern w:val="0"/>
                <w:sz w:val="18"/>
                <w:szCs w:val="18"/>
                <w:highlight w:val="none"/>
                <w:u w:val="none"/>
                <w:lang w:val="en-US" w:eastAsia="zh-CN" w:bidi="ar"/>
              </w:rPr>
              <w:t>处理。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办公椅4</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144780</wp:posOffset>
                  </wp:positionV>
                  <wp:extent cx="755015" cy="1022350"/>
                  <wp:effectExtent l="0" t="0" r="6985" b="6350"/>
                  <wp:wrapNone/>
                  <wp:docPr id="102" name="图片_82"/>
                  <wp:cNvGraphicFramePr/>
                  <a:graphic xmlns:a="http://schemas.openxmlformats.org/drawingml/2006/main">
                    <a:graphicData uri="http://schemas.openxmlformats.org/drawingml/2006/picture">
                      <pic:pic xmlns:pic="http://schemas.openxmlformats.org/drawingml/2006/picture">
                        <pic:nvPicPr>
                          <pic:cNvPr id="102" name="图片_82"/>
                          <pic:cNvPicPr/>
                        </pic:nvPicPr>
                        <pic:blipFill>
                          <a:blip r:embed="rId116"/>
                          <a:stretch>
                            <a:fillRect/>
                          </a:stretch>
                        </pic:blipFill>
                        <pic:spPr>
                          <a:xfrm>
                            <a:off x="0" y="0"/>
                            <a:ext cx="755015" cy="102235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1、一体成型PP椅座，标配定型绵坐垫；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2、可选四种颜色意大利布；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3、细砂粉喷2.0mm实心钢材雪橇架</w:t>
            </w:r>
            <w:r>
              <w:rPr>
                <w:rFonts w:hint="eastAsia" w:ascii="宋体" w:hAnsi="宋体" w:cs="宋体"/>
                <w:i w:val="0"/>
                <w:iCs w:val="0"/>
                <w:color w:val="000000"/>
                <w:kern w:val="0"/>
                <w:sz w:val="18"/>
                <w:szCs w:val="18"/>
                <w:highlight w:val="none"/>
                <w:u w:val="none"/>
                <w:lang w:val="en-US" w:eastAsia="zh-CN" w:bidi="ar"/>
              </w:rPr>
              <w:t>。</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14375" cy="1038225"/>
                  <wp:effectExtent l="0" t="0" r="9525" b="9525"/>
                  <wp:docPr id="12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descr="IMG_298"/>
                          <pic:cNvPicPr>
                            <a:picLocks noChangeAspect="1"/>
                          </pic:cNvPicPr>
                        </pic:nvPicPr>
                        <pic:blipFill>
                          <a:blip r:embed="rId117"/>
                          <a:stretch>
                            <a:fillRect/>
                          </a:stretch>
                        </pic:blipFill>
                        <pic:spPr>
                          <a:xfrm>
                            <a:off x="0" y="0"/>
                            <a:ext cx="714375" cy="10382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1、面料：背架全新进口PA+玻纤，一体注塑成型；进口特网，舒适透气，美观耐用；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2、座面：采用防火阻燃定型海绵，表面布艺包面，舒适透气；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3、支架：钢制弓形椅架脚。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会议椅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19150" cy="933450"/>
                  <wp:effectExtent l="0" t="0" r="0" b="0"/>
                  <wp:docPr id="10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4" descr="IMG_299"/>
                          <pic:cNvPicPr>
                            <a:picLocks noChangeAspect="1"/>
                          </pic:cNvPicPr>
                        </pic:nvPicPr>
                        <pic:blipFill>
                          <a:blip r:embed="rId118"/>
                          <a:stretch>
                            <a:fillRect/>
                          </a:stretch>
                        </pic:blipFill>
                        <pic:spPr>
                          <a:xfrm>
                            <a:off x="0" y="0"/>
                            <a:ext cx="819150" cy="9334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590*550*812</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1、面料：背架全新进口PA+玻纤，一体注塑成型；进口特网，舒适透气，美观耐用；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2、座面：座壳采用吹塑工艺无木板，坐垫骨架采用PE材质加高强度玻璃纤维制成，填充物高密度海绵组合，面料为环保透气布料；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3、支架：采用钢管制成，壁厚1.8mm，喷塑金属脚架；符合BIFMA5.1测试标准,座面载荷 109kg，循环测试 12 万次。</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培训椅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eastAsia="zh-CN"/>
              </w:rPr>
            </w:pPr>
            <w:r>
              <w:rPr>
                <w:rFonts w:hint="eastAsia" w:ascii="宋体" w:hAnsi="宋体" w:eastAsia="宋体" w:cs="宋体"/>
                <w:i w:val="0"/>
                <w:iCs w:val="0"/>
                <w:color w:val="000000"/>
                <w:sz w:val="18"/>
                <w:szCs w:val="18"/>
                <w:highlight w:val="none"/>
                <w:u w:val="none"/>
                <w:lang w:eastAsia="zh-CN"/>
              </w:rPr>
              <w:drawing>
                <wp:inline distT="0" distB="0" distL="114300" distR="114300">
                  <wp:extent cx="985520" cy="1403985"/>
                  <wp:effectExtent l="0" t="0" r="5080" b="5715"/>
                  <wp:docPr id="19" name="图片 19" descr="bc802b78efe638834545a34761b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c802b78efe638834545a34761b5000"/>
                          <pic:cNvPicPr>
                            <a:picLocks noChangeAspect="1"/>
                          </pic:cNvPicPr>
                        </pic:nvPicPr>
                        <pic:blipFill>
                          <a:blip r:embed="rId119"/>
                          <a:stretch>
                            <a:fillRect/>
                          </a:stretch>
                        </pic:blipFill>
                        <pic:spPr>
                          <a:xfrm>
                            <a:off x="0" y="0"/>
                            <a:ext cx="985520" cy="1403985"/>
                          </a:xfrm>
                          <a:prstGeom prst="rect">
                            <a:avLst/>
                          </a:prstGeom>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1、面料：背架全新进口PA+玻纤，一体注塑成型；进口特网，舒适透气，美观耐用；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2、座面：采用防火阻燃定型海绵，表面布艺包面，舒适透气；座垫配置 E1 级曲木板,满足GB/T 9846-2015；                                                               3、支架：1.5mm壁厚钢制喷涂支架，稳固性强；。</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主席椅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01040" cy="956310"/>
                  <wp:effectExtent l="0" t="0" r="3810" b="15240"/>
                  <wp:docPr id="9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6" descr="IMG_301"/>
                          <pic:cNvPicPr>
                            <a:picLocks noChangeAspect="1"/>
                          </pic:cNvPicPr>
                        </pic:nvPicPr>
                        <pic:blipFill>
                          <a:blip r:embed="rId120"/>
                          <a:stretch>
                            <a:fillRect/>
                          </a:stretch>
                        </pic:blipFill>
                        <pic:spPr>
                          <a:xfrm>
                            <a:off x="0" y="0"/>
                            <a:ext cx="701040" cy="95631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1、面料：西皮包面，柔软舒适、易清洁打理；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2、海绵：采用防火阻燃定型海绵，表面布艺包面，舒适透气；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3、支架：实木架脚，表面油漆饰面。</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主席椅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306070</wp:posOffset>
                  </wp:positionH>
                  <wp:positionV relativeFrom="paragraph">
                    <wp:posOffset>333375</wp:posOffset>
                  </wp:positionV>
                  <wp:extent cx="650875" cy="868680"/>
                  <wp:effectExtent l="0" t="0" r="15875" b="7620"/>
                  <wp:wrapNone/>
                  <wp:docPr id="98" name="图片_80"/>
                  <wp:cNvGraphicFramePr/>
                  <a:graphic xmlns:a="http://schemas.openxmlformats.org/drawingml/2006/main">
                    <a:graphicData uri="http://schemas.openxmlformats.org/drawingml/2006/picture">
                      <pic:pic xmlns:pic="http://schemas.openxmlformats.org/drawingml/2006/picture">
                        <pic:nvPicPr>
                          <pic:cNvPr id="98" name="图片_80"/>
                          <pic:cNvPicPr/>
                        </pic:nvPicPr>
                        <pic:blipFill>
                          <a:blip r:embed="rId121"/>
                          <a:stretch>
                            <a:fillRect/>
                          </a:stretch>
                        </pic:blipFill>
                        <pic:spPr>
                          <a:xfrm>
                            <a:off x="0" y="0"/>
                            <a:ext cx="650875" cy="86868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1、面料：西皮包面，柔软舒适、易清洁打理；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2、海绵：采用防火阻燃定型海绵，表面布艺包面，舒适透气；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3、支架：实木架脚，表面油漆饰面。</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106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会客</w:t>
            </w:r>
            <w:r>
              <w:rPr>
                <w:rFonts w:hint="eastAsia" w:ascii="宋体" w:hAnsi="宋体" w:eastAsia="宋体" w:cs="宋体"/>
                <w:i w:val="0"/>
                <w:iCs w:val="0"/>
                <w:color w:val="auto"/>
                <w:kern w:val="0"/>
                <w:sz w:val="18"/>
                <w:szCs w:val="18"/>
                <w:highlight w:val="none"/>
                <w:u w:val="none"/>
                <w:lang w:val="en-US" w:eastAsia="zh-CN" w:bidi="ar"/>
              </w:rPr>
              <w:t>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332740</wp:posOffset>
                  </wp:positionH>
                  <wp:positionV relativeFrom="paragraph">
                    <wp:posOffset>379095</wp:posOffset>
                  </wp:positionV>
                  <wp:extent cx="667385" cy="975360"/>
                  <wp:effectExtent l="0" t="0" r="18415" b="15240"/>
                  <wp:wrapNone/>
                  <wp:docPr id="137" name="图片_24"/>
                  <wp:cNvGraphicFramePr/>
                  <a:graphic xmlns:a="http://schemas.openxmlformats.org/drawingml/2006/main">
                    <a:graphicData uri="http://schemas.openxmlformats.org/drawingml/2006/picture">
                      <pic:pic xmlns:pic="http://schemas.openxmlformats.org/drawingml/2006/picture">
                        <pic:nvPicPr>
                          <pic:cNvPr id="137" name="图片_24"/>
                          <pic:cNvPicPr/>
                        </pic:nvPicPr>
                        <pic:blipFill>
                          <a:blip r:embed="rId122"/>
                          <a:stretch>
                            <a:fillRect/>
                          </a:stretch>
                        </pic:blipFill>
                        <pic:spPr>
                          <a:xfrm>
                            <a:off x="0" y="0"/>
                            <a:ext cx="667385" cy="9753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1、座面及靠背软包：表面采用超纤皮革，抗污易清洁、表面柔软舒适；                               2、海绵：采用高密度高回弹海绵，达到国家阻燃标准；座垫配置 E1 级曲木板,满足GB/T 9846-2015；                                                         3、支架：实木</w:t>
            </w:r>
            <w:r>
              <w:rPr>
                <w:rFonts w:hint="eastAsia" w:ascii="宋体" w:hAnsi="宋体" w:cs="宋体"/>
                <w:i w:val="0"/>
                <w:iCs w:val="0"/>
                <w:color w:val="auto"/>
                <w:kern w:val="0"/>
                <w:sz w:val="18"/>
                <w:szCs w:val="18"/>
                <w:highlight w:val="none"/>
                <w:u w:val="none"/>
                <w:lang w:val="en-US" w:eastAsia="zh-CN" w:bidi="ar"/>
              </w:rPr>
              <w:t>脚架</w:t>
            </w:r>
            <w:r>
              <w:rPr>
                <w:rFonts w:hint="eastAsia" w:ascii="宋体" w:hAnsi="宋体" w:eastAsia="宋体" w:cs="宋体"/>
                <w:i w:val="0"/>
                <w:iCs w:val="0"/>
                <w:color w:val="auto"/>
                <w:kern w:val="0"/>
                <w:sz w:val="18"/>
                <w:szCs w:val="18"/>
                <w:highlight w:val="none"/>
                <w:u w:val="none"/>
                <w:lang w:val="en-US" w:eastAsia="zh-CN" w:bidi="ar"/>
              </w:rPr>
              <w:t>，榫卯工艺与现代工艺相结合；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4、油漆：表面用环保水性油漆，甲醛含量、VOC含量符合GB 18581-2020 《木器 涂料中有害物质限量》标准。</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500</w:t>
            </w:r>
            <w:r>
              <w:rPr>
                <w:rStyle w:val="988"/>
                <w:color w:val="auto"/>
                <w:sz w:val="18"/>
                <w:szCs w:val="18"/>
                <w:highlight w:val="none"/>
                <w:lang w:val="en-US" w:eastAsia="zh-CN" w:bidi="ar"/>
              </w:rPr>
              <w:t>元</w:t>
            </w:r>
            <w:r>
              <w:rPr>
                <w:rFonts w:hint="default" w:ascii="Times New Roman" w:hAnsi="Times New Roman" w:eastAsia="宋体" w:cs="Times New Roman"/>
                <w:i w:val="0"/>
                <w:iCs w:val="0"/>
                <w:color w:val="auto"/>
                <w:kern w:val="0"/>
                <w:sz w:val="18"/>
                <w:szCs w:val="18"/>
                <w:highlight w:val="none"/>
                <w:u w:val="none"/>
                <w:lang w:val="en-US" w:eastAsia="zh-CN" w:bidi="ar"/>
              </w:rPr>
              <w:t>/</w:t>
            </w:r>
            <w:r>
              <w:rPr>
                <w:rStyle w:val="988"/>
                <w:color w:val="auto"/>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107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折叠椅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62000" cy="1171575"/>
                  <wp:effectExtent l="0" t="0" r="0" b="9525"/>
                  <wp:docPr id="9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8" descr="IMG_303"/>
                          <pic:cNvPicPr>
                            <a:picLocks noChangeAspect="1"/>
                          </pic:cNvPicPr>
                        </pic:nvPicPr>
                        <pic:blipFill>
                          <a:blip r:embed="rId123"/>
                          <a:stretch>
                            <a:fillRect/>
                          </a:stretch>
                        </pic:blipFill>
                        <pic:spPr>
                          <a:xfrm>
                            <a:off x="0" y="0"/>
                            <a:ext cx="762000" cy="1171575"/>
                          </a:xfrm>
                          <a:prstGeom prst="rect">
                            <a:avLst/>
                          </a:prstGeom>
                          <a:noFill/>
                          <a:ln w="9525">
                            <a:noFill/>
                          </a:ln>
                        </pic:spPr>
                      </pic:pic>
                    </a:graphicData>
                  </a:graphic>
                </wp:inline>
              </w:drawing>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85725</wp:posOffset>
                  </wp:positionV>
                  <wp:extent cx="763270" cy="0"/>
                  <wp:effectExtent l="0" t="0" r="0" b="0"/>
                  <wp:wrapNone/>
                  <wp:docPr id="94" name="图片_3"/>
                  <wp:cNvGraphicFramePr/>
                  <a:graphic xmlns:a="http://schemas.openxmlformats.org/drawingml/2006/main">
                    <a:graphicData uri="http://schemas.openxmlformats.org/drawingml/2006/picture">
                      <pic:pic xmlns:pic="http://schemas.openxmlformats.org/drawingml/2006/picture">
                        <pic:nvPicPr>
                          <pic:cNvPr id="94" name="图片_3"/>
                          <pic:cNvPicPr/>
                        </pic:nvPicPr>
                        <pic:blipFill>
                          <a:blip r:embed="rId124"/>
                          <a:stretch>
                            <a:fillRect/>
                          </a:stretch>
                        </pic:blipFill>
                        <pic:spPr>
                          <a:xfrm>
                            <a:off x="0" y="0"/>
                            <a:ext cx="763270" cy="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1、座面及靠背软包：表面采用西皮，耐磨易清洁、表面柔软舒适；                    2、海绵：采用高密度高回弹海绵，座面填充丝绵，座感舒适；                                                       3、实木支架 /可折叠。</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藤椅加藤制圆茶几（1+3）</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41275</wp:posOffset>
                  </wp:positionV>
                  <wp:extent cx="676275" cy="885825"/>
                  <wp:effectExtent l="0" t="0" r="9525" b="9525"/>
                  <wp:wrapNone/>
                  <wp:docPr id="95" name="图片_86"/>
                  <wp:cNvGraphicFramePr/>
                  <a:graphic xmlns:a="http://schemas.openxmlformats.org/drawingml/2006/main">
                    <a:graphicData uri="http://schemas.openxmlformats.org/drawingml/2006/picture">
                      <pic:pic xmlns:pic="http://schemas.openxmlformats.org/drawingml/2006/picture">
                        <pic:nvPicPr>
                          <pic:cNvPr id="95" name="图片_86"/>
                          <pic:cNvPicPr/>
                        </pic:nvPicPr>
                        <pic:blipFill>
                          <a:blip r:embed="rId125"/>
                          <a:stretch>
                            <a:fillRect/>
                          </a:stretch>
                        </pic:blipFill>
                        <pic:spPr>
                          <a:xfrm>
                            <a:off x="0" y="0"/>
                            <a:ext cx="676275" cy="88582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1079500</wp:posOffset>
                  </wp:positionV>
                  <wp:extent cx="504825" cy="828675"/>
                  <wp:effectExtent l="0" t="0" r="9525" b="9525"/>
                  <wp:wrapNone/>
                  <wp:docPr id="103" name="图片_88"/>
                  <wp:cNvGraphicFramePr/>
                  <a:graphic xmlns:a="http://schemas.openxmlformats.org/drawingml/2006/main">
                    <a:graphicData uri="http://schemas.openxmlformats.org/drawingml/2006/picture">
                      <pic:pic xmlns:pic="http://schemas.openxmlformats.org/drawingml/2006/picture">
                        <pic:nvPicPr>
                          <pic:cNvPr id="103" name="图片_88"/>
                          <pic:cNvPicPr/>
                        </pic:nvPicPr>
                        <pic:blipFill>
                          <a:blip r:embed="rId126"/>
                          <a:stretch>
                            <a:fillRect/>
                          </a:stretch>
                        </pic:blipFill>
                        <pic:spPr>
                          <a:xfrm>
                            <a:off x="0" y="0"/>
                            <a:ext cx="504825" cy="82867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1张直径600mm的藤制圆茶几＋三个藤椅子</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橡胶木实木框架，搭配流线型造型，结实稳固，椅子本身采用印尼天然藤条编织而成，纯手工编织，外架环保本色油漆，茶几面上配80mm厚钢化玻璃。</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洽谈椅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85850" cy="657225"/>
                  <wp:effectExtent l="0" t="0" r="0" b="9525"/>
                  <wp:docPr id="104"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9" descr="IMG_304"/>
                          <pic:cNvPicPr>
                            <a:picLocks noChangeAspect="1"/>
                          </pic:cNvPicPr>
                        </pic:nvPicPr>
                        <pic:blipFill>
                          <a:blip r:embed="rId127"/>
                          <a:stretch>
                            <a:fillRect/>
                          </a:stretch>
                        </pic:blipFill>
                        <pic:spPr>
                          <a:xfrm>
                            <a:off x="0" y="0"/>
                            <a:ext cx="1085850" cy="6572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1、座面及靠背软包：表面采用超纤皮革，抗污易清洁、表面柔软舒适；                    2、海绵：采用高密度高回弹海绵，达到国家阻燃标准；座垫配置 E1 级曲木板,满足GB/T 9846-2015；                                                         3、支架：白蜡木实木，榫卯工艺与现代工艺相结合；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会客椅</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379095</wp:posOffset>
                  </wp:positionV>
                  <wp:extent cx="667385" cy="975360"/>
                  <wp:effectExtent l="0" t="0" r="18415" b="15240"/>
                  <wp:wrapNone/>
                  <wp:docPr id="92" name="图片_24"/>
                  <wp:cNvGraphicFramePr/>
                  <a:graphic xmlns:a="http://schemas.openxmlformats.org/drawingml/2006/main">
                    <a:graphicData uri="http://schemas.openxmlformats.org/drawingml/2006/picture">
                      <pic:pic xmlns:pic="http://schemas.openxmlformats.org/drawingml/2006/picture">
                        <pic:nvPicPr>
                          <pic:cNvPr id="92" name="图片_24"/>
                          <pic:cNvPicPr/>
                        </pic:nvPicPr>
                        <pic:blipFill>
                          <a:blip r:embed="rId122"/>
                          <a:stretch>
                            <a:fillRect/>
                          </a:stretch>
                        </pic:blipFill>
                        <pic:spPr>
                          <a:xfrm>
                            <a:off x="0" y="0"/>
                            <a:ext cx="667385" cy="9753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1、座面及靠背软包：表面采用超纤皮革，抗污易清洁、表面柔软舒适；                               2、海绵：采用高密度高回弹海绵，达到国家阻燃标准；座垫配置 E1 级曲木板,满足GB/T 9846-2015；                                                         3、支架：实木</w:t>
            </w:r>
            <w:r>
              <w:rPr>
                <w:rFonts w:hint="eastAsia" w:ascii="宋体" w:hAnsi="宋体" w:cs="宋体"/>
                <w:i w:val="0"/>
                <w:iCs w:val="0"/>
                <w:color w:val="000000"/>
                <w:kern w:val="0"/>
                <w:sz w:val="18"/>
                <w:szCs w:val="18"/>
                <w:highlight w:val="none"/>
                <w:u w:val="none"/>
                <w:lang w:val="en-US" w:eastAsia="zh-CN" w:bidi="ar"/>
              </w:rPr>
              <w:t>脚架</w:t>
            </w:r>
            <w:r>
              <w:rPr>
                <w:rFonts w:hint="eastAsia" w:ascii="宋体" w:hAnsi="宋体" w:eastAsia="宋体" w:cs="宋体"/>
                <w:i w:val="0"/>
                <w:iCs w:val="0"/>
                <w:color w:val="000000"/>
                <w:kern w:val="0"/>
                <w:sz w:val="18"/>
                <w:szCs w:val="18"/>
                <w:highlight w:val="none"/>
                <w:u w:val="none"/>
                <w:lang w:val="en-US" w:eastAsia="zh-CN" w:bidi="ar"/>
              </w:rPr>
              <w:t>，榫卯工艺与现代工艺相结合；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4、油漆：表面用环保水性油漆，甲醛含量、VOC含量符合GB 18581-2020 《木器 涂料中有害物质限量》标准。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休闲沙发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713105</wp:posOffset>
                  </wp:positionV>
                  <wp:extent cx="816610" cy="646430"/>
                  <wp:effectExtent l="0" t="0" r="2540" b="1270"/>
                  <wp:wrapNone/>
                  <wp:docPr id="105" name="图片_14"/>
                  <wp:cNvGraphicFramePr/>
                  <a:graphic xmlns:a="http://schemas.openxmlformats.org/drawingml/2006/main">
                    <a:graphicData uri="http://schemas.openxmlformats.org/drawingml/2006/picture">
                      <pic:pic xmlns:pic="http://schemas.openxmlformats.org/drawingml/2006/picture">
                        <pic:nvPicPr>
                          <pic:cNvPr id="105" name="图片_14"/>
                          <pic:cNvPicPr/>
                        </pic:nvPicPr>
                        <pic:blipFill>
                          <a:blip r:embed="rId128"/>
                          <a:stretch>
                            <a:fillRect/>
                          </a:stretch>
                        </pic:blipFill>
                        <pic:spPr>
                          <a:xfrm>
                            <a:off x="0" y="0"/>
                            <a:ext cx="816610" cy="64643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-123190</wp:posOffset>
                  </wp:positionV>
                  <wp:extent cx="697230" cy="641350"/>
                  <wp:effectExtent l="0" t="0" r="7620" b="6350"/>
                  <wp:wrapNone/>
                  <wp:docPr id="111" name="图片_15"/>
                  <wp:cNvGraphicFramePr/>
                  <a:graphic xmlns:a="http://schemas.openxmlformats.org/drawingml/2006/main">
                    <a:graphicData uri="http://schemas.openxmlformats.org/drawingml/2006/picture">
                      <pic:pic xmlns:pic="http://schemas.openxmlformats.org/drawingml/2006/picture">
                        <pic:nvPicPr>
                          <pic:cNvPr id="111" name="图片_15"/>
                          <pic:cNvPicPr/>
                        </pic:nvPicPr>
                        <pic:blipFill>
                          <a:blip r:embed="rId129"/>
                          <a:stretch>
                            <a:fillRect/>
                          </a:stretch>
                        </pic:blipFill>
                        <pic:spPr>
                          <a:xfrm>
                            <a:off x="0" y="0"/>
                            <a:ext cx="697230" cy="64135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收起：W760*D850*H920   展开W760*D1940*H580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1、座面及靠背软包：表面采用超纤皮革，抗污易清洁、表面柔软舒适；                    2、海绵：采用高密度高回弹海绵，达到国家阻燃标准；                                                                                           3、多功能设计，收起时作为沙发，有陪护需要时可拉开作为陪护床使用，将有限的空间利用发挥到极致；内框架采用折叠结构，使用更加轻松自然。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休闲沙发</w:t>
            </w: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42975" cy="942975"/>
                  <wp:effectExtent l="0" t="0" r="9525" b="9525"/>
                  <wp:docPr id="9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0" descr="IMG_305"/>
                          <pic:cNvPicPr>
                            <a:picLocks noChangeAspect="1"/>
                          </pic:cNvPicPr>
                        </pic:nvPicPr>
                        <pic:blipFill>
                          <a:blip r:embed="rId130"/>
                          <a:stretch>
                            <a:fillRect/>
                          </a:stretch>
                        </pic:blipFill>
                        <pic:spPr>
                          <a:xfrm>
                            <a:off x="0" y="0"/>
                            <a:ext cx="942975" cy="9429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690*790*820</w:t>
            </w:r>
          </w:p>
        </w:tc>
        <w:tc>
          <w:tcPr>
            <w:tcW w:w="256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1、座面及靠背软包：西皮包面，柔软舒适、易清洁打理；                                        2、海绵：采用高密度高回弹海绵，座面密度45kg/m³以上，靠背密度38kg/m³以上；达到国家阻燃标准；                                                       3、支架：不锈钢黑钛脚。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-312420</wp:posOffset>
                  </wp:positionV>
                  <wp:extent cx="1083945" cy="613410"/>
                  <wp:effectExtent l="0" t="0" r="1905" b="15240"/>
                  <wp:wrapNone/>
                  <wp:docPr id="112" name="图片_3_SpCnt_1"/>
                  <wp:cNvGraphicFramePr/>
                  <a:graphic xmlns:a="http://schemas.openxmlformats.org/drawingml/2006/main">
                    <a:graphicData uri="http://schemas.openxmlformats.org/drawingml/2006/picture">
                      <pic:pic xmlns:pic="http://schemas.openxmlformats.org/drawingml/2006/picture">
                        <pic:nvPicPr>
                          <pic:cNvPr id="112" name="图片_3_SpCnt_1"/>
                          <pic:cNvPicPr/>
                        </pic:nvPicPr>
                        <pic:blipFill>
                          <a:blip r:embed="rId131"/>
                          <a:stretch>
                            <a:fillRect/>
                          </a:stretch>
                        </pic:blipFill>
                        <pic:spPr>
                          <a:xfrm>
                            <a:off x="0" y="0"/>
                            <a:ext cx="1083945" cy="61341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1930*800*760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1、座面及靠背软包：表面采用超纤皮革，抗污易清洁、表面柔软舒适；                    2、海绵：采用高密度高回弹海绵，座面密度45kg/m³以上，靠背密度38kg/m³以上；达到国家阻燃标准；                                                       3、内框架：实木框架配多层夹板+木方装钉而成；                                                                                                                                                                                                                 4、承重弹力结构：靠背装钉进口多条橡筋，坐垫为标准间距蛇形簧+平衡进口橡筋+面布；黑色喷涂钢制脚。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164465</wp:posOffset>
                  </wp:positionV>
                  <wp:extent cx="939800" cy="711200"/>
                  <wp:effectExtent l="0" t="0" r="12700" b="12700"/>
                  <wp:wrapNone/>
                  <wp:docPr id="100" name="图片_100"/>
                  <wp:cNvGraphicFramePr/>
                  <a:graphic xmlns:a="http://schemas.openxmlformats.org/drawingml/2006/main">
                    <a:graphicData uri="http://schemas.openxmlformats.org/drawingml/2006/picture">
                      <pic:pic xmlns:pic="http://schemas.openxmlformats.org/drawingml/2006/picture">
                        <pic:nvPicPr>
                          <pic:cNvPr id="100" name="图片_100"/>
                          <pic:cNvPicPr/>
                        </pic:nvPicPr>
                        <pic:blipFill>
                          <a:blip r:embed="rId132"/>
                          <a:stretch>
                            <a:fillRect/>
                          </a:stretch>
                        </pic:blipFill>
                        <pic:spPr>
                          <a:xfrm>
                            <a:off x="0" y="0"/>
                            <a:ext cx="939800" cy="71120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1840*760*725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1、框架：内框松木框架，钢制脚；</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2、海绵：采用高密度高回弹海绵，座面密度45kg/m³以上，靠背密度38kg/m³以上；表层丝绵、海绵各性能符合标准GB/T10802-2006；                                                                                                                                   3、座面及靠背软包：采用西皮包面，耐污性好。</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292735</wp:posOffset>
                  </wp:positionV>
                  <wp:extent cx="903605" cy="789305"/>
                  <wp:effectExtent l="0" t="0" r="10795" b="10795"/>
                  <wp:wrapNone/>
                  <wp:docPr id="106" name="图片_155"/>
                  <wp:cNvGraphicFramePr/>
                  <a:graphic xmlns:a="http://schemas.openxmlformats.org/drawingml/2006/main">
                    <a:graphicData uri="http://schemas.openxmlformats.org/drawingml/2006/picture">
                      <pic:pic xmlns:pic="http://schemas.openxmlformats.org/drawingml/2006/picture">
                        <pic:nvPicPr>
                          <pic:cNvPr id="106" name="图片_155"/>
                          <pic:cNvPicPr/>
                        </pic:nvPicPr>
                        <pic:blipFill>
                          <a:blip r:embed="rId133"/>
                          <a:stretch>
                            <a:fillRect/>
                          </a:stretch>
                        </pic:blipFill>
                        <pic:spPr>
                          <a:xfrm>
                            <a:off x="0" y="0"/>
                            <a:ext cx="903605" cy="78930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850*810*780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1、座面及靠背软包：西皮包面，柔软舒适、易清洁打理；                    2、海绵：采用高密度高回弹海绵，座面密度45kg/m³以上，靠背密度38kg/m³以上；达到国家阻燃标准；                                                       3、内框架：实木框架配多层夹板+木方装钉而成；                                                                                                                                                                                                                 4、承重弹力结构：靠背装钉进口多条橡筋，坐垫为标准间距蛇形簧+平衡进口橡筋+面布；钢制脚。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156210</wp:posOffset>
                  </wp:positionV>
                  <wp:extent cx="916940" cy="753745"/>
                  <wp:effectExtent l="0" t="0" r="16510" b="8255"/>
                  <wp:wrapNone/>
                  <wp:docPr id="108" name="图片_105"/>
                  <wp:cNvGraphicFramePr/>
                  <a:graphic xmlns:a="http://schemas.openxmlformats.org/drawingml/2006/main">
                    <a:graphicData uri="http://schemas.openxmlformats.org/drawingml/2006/picture">
                      <pic:pic xmlns:pic="http://schemas.openxmlformats.org/drawingml/2006/picture">
                        <pic:nvPicPr>
                          <pic:cNvPr id="108" name="图片_105"/>
                          <pic:cNvPicPr/>
                        </pic:nvPicPr>
                        <pic:blipFill>
                          <a:blip r:embed="rId134"/>
                          <a:stretch>
                            <a:fillRect/>
                          </a:stretch>
                        </pic:blipFill>
                        <pic:spPr>
                          <a:xfrm>
                            <a:off x="0" y="0"/>
                            <a:ext cx="916940" cy="7537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三人位</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1、座面及靠背软包：西皮包面，柔软舒适、易清洁打理；                   2、海绵：采用高密度高回弹海绵，座面密度45kg/m³以上，靠背密度38kg/m³以上；达到国家阻燃标准；                                                       3、内框架：实木框架配多层夹板+木方装钉而成；                                                                                                                                                                                                                 4、承重弹力结构：靠背装钉进口多条橡筋，坐垫为标准间距蛇形簧+平衡进口橡筋+面布；                                                                         5、钢制脚。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220980</wp:posOffset>
                  </wp:positionV>
                  <wp:extent cx="937895" cy="508635"/>
                  <wp:effectExtent l="0" t="0" r="14605" b="5715"/>
                  <wp:wrapNone/>
                  <wp:docPr id="113" name="图片_99"/>
                  <wp:cNvGraphicFramePr/>
                  <a:graphic xmlns:a="http://schemas.openxmlformats.org/drawingml/2006/main">
                    <a:graphicData uri="http://schemas.openxmlformats.org/drawingml/2006/picture">
                      <pic:pic xmlns:pic="http://schemas.openxmlformats.org/drawingml/2006/picture">
                        <pic:nvPicPr>
                          <pic:cNvPr id="113" name="图片_99"/>
                          <pic:cNvPicPr/>
                        </pic:nvPicPr>
                        <pic:blipFill>
                          <a:blip r:embed="rId135"/>
                          <a:stretch>
                            <a:fillRect/>
                          </a:stretch>
                        </pic:blipFill>
                        <pic:spPr>
                          <a:xfrm>
                            <a:off x="0" y="0"/>
                            <a:ext cx="937895" cy="50863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1990*780*830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1、框架：内框松木框架，钢制脚；</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2、海绵：采用高密度高回弹海绵，座面密度45kg/m³以上，靠背密度38kg/m³以上；表层丝绵、海绵各性能符合标准GB/T10802-2006；                                                                                                                                   3、座面及靠背软包：采用西皮包面，耐污性好。</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72390</wp:posOffset>
                  </wp:positionV>
                  <wp:extent cx="970915" cy="695960"/>
                  <wp:effectExtent l="0" t="0" r="635" b="8890"/>
                  <wp:wrapNone/>
                  <wp:docPr id="114" name="图片_106"/>
                  <wp:cNvGraphicFramePr/>
                  <a:graphic xmlns:a="http://schemas.openxmlformats.org/drawingml/2006/main">
                    <a:graphicData uri="http://schemas.openxmlformats.org/drawingml/2006/picture">
                      <pic:pic xmlns:pic="http://schemas.openxmlformats.org/drawingml/2006/picture">
                        <pic:nvPicPr>
                          <pic:cNvPr id="114" name="图片_106"/>
                          <pic:cNvPicPr/>
                        </pic:nvPicPr>
                        <pic:blipFill>
                          <a:blip r:embed="rId136"/>
                          <a:stretch>
                            <a:fillRect/>
                          </a:stretch>
                        </pic:blipFill>
                        <pic:spPr>
                          <a:xfrm>
                            <a:off x="0" y="0"/>
                            <a:ext cx="970915" cy="6959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2010*800*770</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1、座面及靠背软包：西皮包面，柔软舒适、易清洁打理；                                2、海绵：采用高密度高回弹海绵，座面密度45kg/m³以上，靠背密度38kg/m³以上；达到国家阻燃标准；                                                       3、内框架：实木框架配多层夹板+木方装钉而成；                                                                                                                                                                                                                 4、承重弹力结构：靠背装钉进口多条橡筋，坐垫为标准间距蛇形簧+平衡进口橡筋+面布；                                                                         5、钢制脚。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119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60325</wp:posOffset>
                  </wp:positionV>
                  <wp:extent cx="680720" cy="671830"/>
                  <wp:effectExtent l="0" t="0" r="5080" b="13970"/>
                  <wp:wrapNone/>
                  <wp:docPr id="115" name="图片_107"/>
                  <wp:cNvGraphicFramePr/>
                  <a:graphic xmlns:a="http://schemas.openxmlformats.org/drawingml/2006/main">
                    <a:graphicData uri="http://schemas.openxmlformats.org/drawingml/2006/picture">
                      <pic:pic xmlns:pic="http://schemas.openxmlformats.org/drawingml/2006/picture">
                        <pic:nvPicPr>
                          <pic:cNvPr id="115" name="图片_107"/>
                          <pic:cNvPicPr/>
                        </pic:nvPicPr>
                        <pic:blipFill>
                          <a:blip r:embed="rId137"/>
                          <a:stretch>
                            <a:fillRect/>
                          </a:stretch>
                        </pic:blipFill>
                        <pic:spPr>
                          <a:xfrm>
                            <a:off x="0" y="0"/>
                            <a:ext cx="680720" cy="6718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880*800*770</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90625" cy="771525"/>
                  <wp:effectExtent l="0" t="0" r="9525" b="9525"/>
                  <wp:docPr id="11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1" descr="IMG_306"/>
                          <pic:cNvPicPr>
                            <a:picLocks noChangeAspect="1"/>
                          </pic:cNvPicPr>
                        </pic:nvPicPr>
                        <pic:blipFill>
                          <a:blip r:embed="rId138"/>
                          <a:stretch>
                            <a:fillRect/>
                          </a:stretch>
                        </pic:blipFill>
                        <pic:spPr>
                          <a:xfrm>
                            <a:off x="0" y="0"/>
                            <a:ext cx="1190625" cy="77152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2330*930*740</w:t>
            </w:r>
          </w:p>
        </w:tc>
        <w:tc>
          <w:tcPr>
            <w:tcW w:w="2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1、座面及靠背软包：西皮包面，柔软舒适、易清洁打理；                                        2、海绵：采用高密度高回弹海绵，座面密度45kg/m³以上，靠背密度38kg/m³以上；达到国家阻燃标准；                                                       3、内框架：实木框架配多层夹板+木方装钉而成；                                                                                                                                                                                                                 4、承重弹力结构：靠背装钉进口多条橡筋，坐垫为标准间距蛇形簧+平衡进口橡筋+面布；钢制脚。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38225" cy="676275"/>
                  <wp:effectExtent l="0" t="0" r="9525" b="9525"/>
                  <wp:docPr id="118"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2" descr="IMG_307"/>
                          <pic:cNvPicPr>
                            <a:picLocks noChangeAspect="1"/>
                          </pic:cNvPicPr>
                        </pic:nvPicPr>
                        <pic:blipFill>
                          <a:blip r:embed="rId139"/>
                          <a:stretch>
                            <a:fillRect/>
                          </a:stretch>
                        </pic:blipFill>
                        <pic:spPr>
                          <a:xfrm>
                            <a:off x="0" y="0"/>
                            <a:ext cx="1038225" cy="6762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三人位</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1、面料：西皮包面，柔软舒适、易清洁打理；                                    2、海绵：采用高密度高回弹海绵，座面密度45kg/m³以上，靠背密度38kg/m³以上；达到国家阻燃标准；                                                       3、内框架：实木框架配多层夹板+木方装钉而成；                                                                                                                                                                                                                 4、承重弹力结构：靠背装钉进口多条橡筋，坐垫为标准间距蛇形簧+平衡进口橡筋+面布；                                                                         5、电镀钢制脚。</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单人沙发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71500" cy="628650"/>
                  <wp:effectExtent l="0" t="0" r="0" b="0"/>
                  <wp:docPr id="12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3" descr="IMG_308"/>
                          <pic:cNvPicPr>
                            <a:picLocks noChangeAspect="1"/>
                          </pic:cNvPicPr>
                        </pic:nvPicPr>
                        <pic:blipFill>
                          <a:blip r:embed="rId140"/>
                          <a:stretch>
                            <a:fillRect/>
                          </a:stretch>
                        </pic:blipFill>
                        <pic:spPr>
                          <a:xfrm>
                            <a:off x="0" y="0"/>
                            <a:ext cx="571500" cy="6286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单人位</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294640</wp:posOffset>
                  </wp:positionV>
                  <wp:extent cx="1046480" cy="652145"/>
                  <wp:effectExtent l="0" t="0" r="1270" b="14605"/>
                  <wp:wrapNone/>
                  <wp:docPr id="126" name="图片_98"/>
                  <wp:cNvGraphicFramePr/>
                  <a:graphic xmlns:a="http://schemas.openxmlformats.org/drawingml/2006/main">
                    <a:graphicData uri="http://schemas.openxmlformats.org/drawingml/2006/picture">
                      <pic:pic xmlns:pic="http://schemas.openxmlformats.org/drawingml/2006/picture">
                        <pic:nvPicPr>
                          <pic:cNvPr id="126" name="图片_98"/>
                          <pic:cNvPicPr/>
                        </pic:nvPicPr>
                        <pic:blipFill>
                          <a:blip r:embed="rId141"/>
                          <a:stretch>
                            <a:fillRect/>
                          </a:stretch>
                        </pic:blipFill>
                        <pic:spPr>
                          <a:xfrm>
                            <a:off x="0" y="0"/>
                            <a:ext cx="1046480" cy="652145"/>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700*700*380</w:t>
            </w:r>
          </w:p>
        </w:tc>
        <w:tc>
          <w:tcPr>
            <w:tcW w:w="2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1、面板：12MM岩板面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2、支架：不锈钢黑钛无指纹支架。</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500*500*480</w:t>
            </w:r>
          </w:p>
        </w:tc>
        <w:tc>
          <w:tcPr>
            <w:tcW w:w="2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highlight w:val="none"/>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23925" cy="628650"/>
                  <wp:effectExtent l="0" t="0" r="9525" b="0"/>
                  <wp:docPr id="12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4" descr="IMG_309"/>
                          <pic:cNvPicPr>
                            <a:picLocks noChangeAspect="1"/>
                          </pic:cNvPicPr>
                        </pic:nvPicPr>
                        <pic:blipFill>
                          <a:blip r:embed="rId142"/>
                          <a:stretch>
                            <a:fillRect/>
                          </a:stretch>
                        </pic:blipFill>
                        <pic:spPr>
                          <a:xfrm>
                            <a:off x="0" y="0"/>
                            <a:ext cx="923925" cy="628650"/>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1200*600*420</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1、基材：采用0.6mm厚度胡桃木木皮贴面；E1级中密度纤维板基材，甲醛释放量≦0.050mg/m³；环保水性油漆饰面，甲醛含量、VOC含量符合GB 18581-2020 《木器 涂料中有害物质限量》标准；                                                                         2、支架：钢制支架，表面静电喷涂。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71525" cy="676275"/>
                  <wp:effectExtent l="0" t="0" r="9525" b="9525"/>
                  <wp:docPr id="12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5" descr="IMG_310"/>
                          <pic:cNvPicPr>
                            <a:picLocks noChangeAspect="1"/>
                          </pic:cNvPicPr>
                        </pic:nvPicPr>
                        <pic:blipFill>
                          <a:blip r:embed="rId143"/>
                          <a:stretch>
                            <a:fillRect/>
                          </a:stretch>
                        </pic:blipFill>
                        <pic:spPr>
                          <a:xfrm>
                            <a:off x="0" y="0"/>
                            <a:ext cx="771525" cy="67627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600*600*420</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1、基材：采用0.6mm厚度胡桃木木皮贴面；E1级中密度纤维板基材，甲醛释放量≦0.050mg/m³；环保水性油漆饰面，甲醛含量、VOC含量符合GB 18581-2020 《木器 涂料中有害物质限量》标准；                                                                         2、支架：钢制支架，表面静电喷涂。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127</w:t>
            </w:r>
          </w:p>
        </w:tc>
        <w:tc>
          <w:tcPr>
            <w:tcW w:w="7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180340</wp:posOffset>
                  </wp:positionV>
                  <wp:extent cx="968375" cy="697865"/>
                  <wp:effectExtent l="0" t="0" r="3175" b="6985"/>
                  <wp:wrapNone/>
                  <wp:docPr id="129" name="图片_103"/>
                  <wp:cNvGraphicFramePr/>
                  <a:graphic xmlns:a="http://schemas.openxmlformats.org/drawingml/2006/main">
                    <a:graphicData uri="http://schemas.openxmlformats.org/drawingml/2006/picture">
                      <pic:pic xmlns:pic="http://schemas.openxmlformats.org/drawingml/2006/picture">
                        <pic:nvPicPr>
                          <pic:cNvPr id="129" name="图片_103"/>
                          <pic:cNvPicPr/>
                        </pic:nvPicPr>
                        <pic:blipFill>
                          <a:blip r:embed="rId144"/>
                          <a:stretch>
                            <a:fillRect/>
                          </a:stretch>
                        </pic:blipFill>
                        <pic:spPr>
                          <a:xfrm>
                            <a:off x="0" y="0"/>
                            <a:ext cx="968375" cy="697865"/>
                          </a:xfrm>
                          <a:prstGeom prst="rect">
                            <a:avLst/>
                          </a:prstGeom>
                          <a:noFill/>
                          <a:ln>
                            <a:noFill/>
                          </a:ln>
                        </pic:spPr>
                      </pic:pic>
                    </a:graphicData>
                  </a:graphic>
                </wp:anchor>
              </w:drawing>
            </w:r>
          </w:p>
        </w:tc>
        <w:tc>
          <w:tcPr>
            <w:tcW w:w="10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1200*600*420</w:t>
            </w:r>
          </w:p>
        </w:tc>
        <w:tc>
          <w:tcPr>
            <w:tcW w:w="256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1、基材：采用优质三聚氰胺饰面板，基材采用E1级环保实木颗粒板，贴面采用环保三聚氰胺板渍胶纸；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2、封边：采用PVC同色封边条，全自动封边工艺，严密、平整、无脱胶、表面无露胶；                                                                         3、支架：钢制支架，表面静电喷涂。                                                        </w:t>
            </w:r>
          </w:p>
        </w:tc>
        <w:tc>
          <w:tcPr>
            <w:tcW w:w="4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38735</wp:posOffset>
                  </wp:positionV>
                  <wp:extent cx="809625" cy="756920"/>
                  <wp:effectExtent l="0" t="0" r="9525" b="5080"/>
                  <wp:wrapNone/>
                  <wp:docPr id="117" name="图片_108"/>
                  <wp:cNvGraphicFramePr/>
                  <a:graphic xmlns:a="http://schemas.openxmlformats.org/drawingml/2006/main">
                    <a:graphicData uri="http://schemas.openxmlformats.org/drawingml/2006/picture">
                      <pic:pic xmlns:pic="http://schemas.openxmlformats.org/drawingml/2006/picture">
                        <pic:nvPicPr>
                          <pic:cNvPr id="117" name="图片_108"/>
                          <pic:cNvPicPr/>
                        </pic:nvPicPr>
                        <pic:blipFill>
                          <a:blip r:embed="rId145"/>
                          <a:stretch>
                            <a:fillRect/>
                          </a:stretch>
                        </pic:blipFill>
                        <pic:spPr>
                          <a:xfrm>
                            <a:off x="0" y="0"/>
                            <a:ext cx="809625" cy="75692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600*600*420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1、台面：采用优质E1级环保实木颗粒板，贴面采用环保三聚氰胺板渍胶纸，PVC同色封边条，全自动封边工艺，严密、平整、无脱胶、表面无露胶；                                                                     2、支架：钢制支架，表面静电喷涂；。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347980</wp:posOffset>
                  </wp:positionV>
                  <wp:extent cx="951865" cy="582930"/>
                  <wp:effectExtent l="0" t="0" r="635" b="7620"/>
                  <wp:wrapNone/>
                  <wp:docPr id="123" name="图片_100_SpCnt_1"/>
                  <wp:cNvGraphicFramePr/>
                  <a:graphic xmlns:a="http://schemas.openxmlformats.org/drawingml/2006/main">
                    <a:graphicData uri="http://schemas.openxmlformats.org/drawingml/2006/picture">
                      <pic:pic xmlns:pic="http://schemas.openxmlformats.org/drawingml/2006/picture">
                        <pic:nvPicPr>
                          <pic:cNvPr id="123" name="图片_100_SpCnt_1"/>
                          <pic:cNvPicPr/>
                        </pic:nvPicPr>
                        <pic:blipFill>
                          <a:blip r:embed="rId146"/>
                          <a:stretch>
                            <a:fillRect/>
                          </a:stretch>
                        </pic:blipFill>
                        <pic:spPr>
                          <a:xfrm>
                            <a:off x="0" y="0"/>
                            <a:ext cx="951865" cy="58293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1200*600*420</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1、基材：采用0.6mm厚度胡桃木木皮贴面；E1级中密度纤维板基材，甲醛释放量≦0.050mg/m³；环保水性油漆饰面，甲醛含量、VOC含量符合GB 18581-2020 《木器 涂料中有害物质限量》标准；                                                                         2、支架：不锈钢支架，表面拉丝处理。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130</w:t>
            </w:r>
          </w:p>
        </w:tc>
        <w:tc>
          <w:tcPr>
            <w:tcW w:w="79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18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309245</wp:posOffset>
                  </wp:positionV>
                  <wp:extent cx="941705" cy="857885"/>
                  <wp:effectExtent l="0" t="0" r="0" b="0"/>
                  <wp:wrapNone/>
                  <wp:docPr id="124" name="图片_29"/>
                  <wp:cNvGraphicFramePr/>
                  <a:graphic xmlns:a="http://schemas.openxmlformats.org/drawingml/2006/main">
                    <a:graphicData uri="http://schemas.openxmlformats.org/drawingml/2006/picture">
                      <pic:pic xmlns:pic="http://schemas.openxmlformats.org/drawingml/2006/picture">
                        <pic:nvPicPr>
                          <pic:cNvPr id="124" name="图片_29"/>
                          <pic:cNvPicPr/>
                        </pic:nvPicPr>
                        <pic:blipFill>
                          <a:blip r:embed="rId147"/>
                          <a:srcRect t="14385" r="9738"/>
                          <a:stretch>
                            <a:fillRect/>
                          </a:stretch>
                        </pic:blipFill>
                        <pic:spPr>
                          <a:xfrm>
                            <a:off x="0" y="0"/>
                            <a:ext cx="941705" cy="857885"/>
                          </a:xfrm>
                          <a:prstGeom prst="rect">
                            <a:avLst/>
                          </a:prstGeom>
                          <a:noFill/>
                          <a:ln>
                            <a:noFill/>
                          </a:ln>
                        </pic:spPr>
                      </pic:pic>
                    </a:graphicData>
                  </a:graphic>
                </wp:anchor>
              </w:drawing>
            </w:r>
          </w:p>
        </w:tc>
        <w:tc>
          <w:tcPr>
            <w:tcW w:w="102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600*400*450</w:t>
            </w:r>
          </w:p>
        </w:tc>
        <w:tc>
          <w:tcPr>
            <w:tcW w:w="25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1、面材：采用多层板基材，表面0.6mm厚实木皮贴面；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2、油漆：表面用环保水性油漆，甲醛含量、VOC含量符合GB 18581-2020 《木器 涂料中有害物质限量》标准。</w:t>
            </w:r>
          </w:p>
        </w:tc>
        <w:tc>
          <w:tcPr>
            <w:tcW w:w="4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131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边</w:t>
            </w:r>
            <w:r>
              <w:rPr>
                <w:rFonts w:hint="eastAsia" w:ascii="宋体" w:hAnsi="宋体" w:eastAsia="宋体" w:cs="宋体"/>
                <w:i w:val="0"/>
                <w:iCs w:val="0"/>
                <w:color w:val="000000"/>
                <w:kern w:val="0"/>
                <w:sz w:val="18"/>
                <w:szCs w:val="18"/>
                <w:highlight w:val="none"/>
                <w:u w:val="none"/>
                <w:lang w:val="en-US" w:eastAsia="zh-CN" w:bidi="ar"/>
              </w:rPr>
              <w:t>几</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84455</wp:posOffset>
                  </wp:positionV>
                  <wp:extent cx="788035" cy="1051560"/>
                  <wp:effectExtent l="0" t="0" r="12065" b="15240"/>
                  <wp:wrapNone/>
                  <wp:docPr id="128" name="图片_49"/>
                  <wp:cNvGraphicFramePr/>
                  <a:graphic xmlns:a="http://schemas.openxmlformats.org/drawingml/2006/main">
                    <a:graphicData uri="http://schemas.openxmlformats.org/drawingml/2006/picture">
                      <pic:pic xmlns:pic="http://schemas.openxmlformats.org/drawingml/2006/picture">
                        <pic:nvPicPr>
                          <pic:cNvPr id="128" name="图片_49"/>
                          <pic:cNvPicPr/>
                        </pic:nvPicPr>
                        <pic:blipFill>
                          <a:blip r:embed="rId148"/>
                          <a:stretch>
                            <a:fillRect/>
                          </a:stretch>
                        </pic:blipFill>
                        <pic:spPr>
                          <a:xfrm>
                            <a:off x="0" y="0"/>
                            <a:ext cx="788035" cy="1051560"/>
                          </a:xfrm>
                          <a:prstGeom prst="rect">
                            <a:avLst/>
                          </a:prstGeom>
                          <a:noFill/>
                          <a:ln>
                            <a:noFill/>
                          </a:ln>
                        </pic:spPr>
                      </pic:pic>
                    </a:graphicData>
                  </a:graphic>
                </wp:anchor>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ø600*600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1、台面：采用优质E1级环保实木颗粒板，贴面采用环保三聚氰胺板渍胶纸，四周PVC同色封边条，全自动封边工艺，严密、平整、无脱胶、表面无露胶；                                                                                        2、支架：钢制支架，表面静电喷涂处理。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w:t>
            </w:r>
            <w:r>
              <w:rPr>
                <w:rStyle w:val="988"/>
                <w:sz w:val="18"/>
                <w:szCs w:val="18"/>
                <w:highlight w:val="none"/>
                <w:lang w:val="en-US" w:eastAsia="zh-CN" w:bidi="ar"/>
              </w:rPr>
              <w:t>元</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Style w:val="988"/>
                <w:sz w:val="18"/>
                <w:szCs w:val="18"/>
                <w:highlight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132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钢制活动柜</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bdr w:val="single" w:color="000000" w:sz="4" w:space="0"/>
                <w:lang w:val="en-US" w:eastAsia="zh-CN" w:bidi="ar"/>
              </w:rPr>
            </w:pPr>
            <w:r>
              <w:rPr>
                <w:highlight w:val="none"/>
              </w:rPr>
              <w:drawing>
                <wp:inline distT="0" distB="0" distL="114300" distR="114300">
                  <wp:extent cx="797560" cy="1016635"/>
                  <wp:effectExtent l="0" t="0" r="2540" b="12065"/>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149"/>
                          <a:stretch>
                            <a:fillRect/>
                          </a:stretch>
                        </pic:blipFill>
                        <pic:spPr>
                          <a:xfrm>
                            <a:off x="0" y="0"/>
                            <a:ext cx="797560" cy="1016635"/>
                          </a:xfrm>
                          <a:prstGeom prst="rect">
                            <a:avLst/>
                          </a:prstGeom>
                          <a:noFill/>
                          <a:ln w="9525">
                            <a:noFill/>
                          </a:ln>
                        </pic:spPr>
                      </pic:pic>
                    </a:graphicData>
                  </a:graphic>
                </wp:inline>
              </w:drawing>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390*520*600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1、基材：优质一级冷轧钢，钢板厚度≥0.</w:t>
            </w:r>
            <w:r>
              <w:rPr>
                <w:rFonts w:hint="eastAsia" w:ascii="宋体" w:hAnsi="宋体" w:cs="宋体"/>
                <w:i w:val="0"/>
                <w:iCs w:val="0"/>
                <w:color w:val="000000"/>
                <w:kern w:val="0"/>
                <w:sz w:val="18"/>
                <w:szCs w:val="18"/>
                <w:highlight w:val="none"/>
                <w:u w:val="none"/>
                <w:lang w:val="en-US" w:eastAsia="zh-CN" w:bidi="ar"/>
              </w:rPr>
              <w:t>7</w:t>
            </w:r>
            <w:r>
              <w:rPr>
                <w:rFonts w:hint="eastAsia" w:ascii="宋体" w:hAnsi="宋体" w:eastAsia="宋体" w:cs="宋体"/>
                <w:i w:val="0"/>
                <w:iCs w:val="0"/>
                <w:color w:val="000000"/>
                <w:kern w:val="0"/>
                <w:sz w:val="18"/>
                <w:szCs w:val="18"/>
                <w:highlight w:val="none"/>
                <w:u w:val="none"/>
                <w:lang w:val="en-US" w:eastAsia="zh-CN" w:bidi="ar"/>
              </w:rPr>
              <w:t>mm，整体经酸洗、磷化、钝化等八道防锈工序前处理，金属表面采用环氧树脂静电粉末，全自动涂装工艺，涂漆厚度不低于60um，喷涂硬度＞2H；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2、五金：采用三节导轨，可换锁芯锁具，使用寿命2万次以上。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3、配置：抽屉带互锁装置，上抽内带笔盒。</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只</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w:t>
            </w:r>
          </w:p>
        </w:tc>
      </w:tr>
    </w:tbl>
    <w:p>
      <w:pPr>
        <w:spacing w:line="360" w:lineRule="auto"/>
        <w:outlineLvl w:val="0"/>
        <w:rPr>
          <w:rFonts w:hint="eastAsia" w:ascii="宋体" w:hAnsi="宋体" w:cs="宋体"/>
          <w:b/>
          <w:sz w:val="24"/>
          <w:highlight w:val="none"/>
        </w:rPr>
      </w:pPr>
    </w:p>
    <w:p>
      <w:pPr>
        <w:spacing w:line="360" w:lineRule="auto"/>
        <w:outlineLvl w:val="0"/>
        <w:rPr>
          <w:rFonts w:ascii="宋体" w:hAnsi="宋体" w:cs="宋体"/>
          <w:b/>
          <w:sz w:val="24"/>
          <w:highlight w:val="none"/>
        </w:rPr>
      </w:pPr>
      <w:r>
        <w:rPr>
          <w:rFonts w:hint="eastAsia" w:ascii="宋体" w:hAnsi="宋体" w:cs="宋体"/>
          <w:b/>
          <w:sz w:val="24"/>
          <w:highlight w:val="none"/>
        </w:rPr>
        <w:t>说明：</w:t>
      </w:r>
    </w:p>
    <w:p>
      <w:pPr>
        <w:spacing w:line="360" w:lineRule="auto"/>
        <w:outlineLvl w:val="0"/>
        <w:rPr>
          <w:rFonts w:ascii="宋体" w:hAnsi="宋体" w:cs="宋体"/>
          <w:b/>
          <w:sz w:val="24"/>
          <w:highlight w:val="none"/>
        </w:rPr>
      </w:pPr>
      <w:r>
        <w:rPr>
          <w:rFonts w:hint="eastAsia" w:ascii="宋体" w:hAnsi="宋体" w:cs="宋体"/>
          <w:b/>
          <w:sz w:val="24"/>
          <w:highlight w:val="none"/>
        </w:rPr>
        <w:t>1、由于产品的功能、外观结构无法准确描述，因此对产品提供了结构及功能示意图，结构及功能示意图仅仅是为了让投标人更好的理解本次采购的需求，并非对投标产品进行指定或指明，我们欢迎投标人选择其他同等档次或更优的产品参加本次投标。</w:t>
      </w:r>
    </w:p>
    <w:p>
      <w:pPr>
        <w:spacing w:line="360" w:lineRule="auto"/>
        <w:outlineLvl w:val="0"/>
        <w:rPr>
          <w:rFonts w:ascii="宋体" w:hAnsi="宋体" w:cs="宋体"/>
          <w:b/>
          <w:sz w:val="24"/>
          <w:highlight w:val="none"/>
        </w:rPr>
      </w:pPr>
      <w:r>
        <w:rPr>
          <w:rFonts w:hint="eastAsia" w:ascii="宋体" w:hAnsi="宋体" w:cs="宋体"/>
          <w:b/>
          <w:sz w:val="24"/>
          <w:highlight w:val="none"/>
        </w:rPr>
        <w:t>2、本项目所使用的多层板、金属件、海绵、布料，五金件以及其他材料，采购要求中已有明确产品标准的，按照明确的标准执行，没有明确标准的，按照国家相关标准执行。</w:t>
      </w:r>
    </w:p>
    <w:p>
      <w:pPr>
        <w:pStyle w:val="3"/>
        <w:spacing w:before="120" w:after="120"/>
        <w:ind w:left="0" w:firstLine="0"/>
        <w:rPr>
          <w:rFonts w:ascii="宋体" w:hAnsi="宋体" w:eastAsia="宋体" w:cs="宋体"/>
          <w:sz w:val="24"/>
          <w:szCs w:val="24"/>
          <w:highlight w:val="none"/>
        </w:rPr>
      </w:pPr>
      <w:r>
        <w:rPr>
          <w:rFonts w:hint="eastAsia" w:ascii="宋体" w:hAnsi="宋体" w:eastAsia="宋体" w:cs="宋体"/>
          <w:sz w:val="24"/>
          <w:szCs w:val="24"/>
          <w:highlight w:val="none"/>
        </w:rPr>
        <w:t>四、</w:t>
      </w:r>
      <w:r>
        <w:rPr>
          <w:rFonts w:hint="eastAsia" w:ascii="宋体" w:hAnsi="宋体" w:eastAsia="宋体" w:cs="宋体"/>
          <w:sz w:val="24"/>
          <w:szCs w:val="24"/>
          <w:highlight w:val="none"/>
          <w:lang w:val="en-US"/>
        </w:rPr>
        <w:t>服务标准、期限、效率等要求：</w:t>
      </w:r>
    </w:p>
    <w:p>
      <w:pPr>
        <w:tabs>
          <w:tab w:val="left" w:pos="0"/>
        </w:tabs>
        <w:spacing w:line="360" w:lineRule="auto"/>
        <w:rPr>
          <w:rFonts w:ascii="宋体" w:hAnsi="宋体" w:cs="宋体"/>
          <w:b/>
          <w:bCs/>
          <w:kern w:val="0"/>
          <w:sz w:val="24"/>
          <w:highlight w:val="none"/>
        </w:rPr>
      </w:pPr>
    </w:p>
    <w:p>
      <w:pPr>
        <w:tabs>
          <w:tab w:val="left" w:pos="0"/>
        </w:tabs>
        <w:spacing w:line="360" w:lineRule="auto"/>
        <w:rPr>
          <w:rFonts w:ascii="宋体" w:hAnsi="宋体" w:cs="宋体"/>
          <w:b w:val="0"/>
          <w:bCs w:val="0"/>
          <w:kern w:val="0"/>
          <w:sz w:val="24"/>
          <w:highlight w:val="none"/>
        </w:rPr>
      </w:pPr>
      <w:r>
        <w:rPr>
          <w:rFonts w:hint="eastAsia" w:ascii="宋体" w:hAnsi="宋体" w:cs="宋体"/>
          <w:b w:val="0"/>
          <w:bCs w:val="0"/>
          <w:kern w:val="0"/>
          <w:sz w:val="24"/>
          <w:highlight w:val="none"/>
        </w:rPr>
        <w:t>1.项目组织实施方案：本项目要求投标人在投标时根据采购需求，结合自身行业经验，提供项目组织实施方案，包括项目组织管理架构、进度安排及保障措施、管理和协调方法等。</w:t>
      </w:r>
    </w:p>
    <w:p>
      <w:pPr>
        <w:tabs>
          <w:tab w:val="left" w:pos="0"/>
        </w:tabs>
        <w:spacing w:line="360" w:lineRule="auto"/>
        <w:rPr>
          <w:rFonts w:ascii="宋体" w:hAnsi="宋体" w:cs="宋体"/>
          <w:kern w:val="0"/>
          <w:sz w:val="24"/>
          <w:highlight w:val="none"/>
        </w:rPr>
      </w:pPr>
      <w:r>
        <w:rPr>
          <w:rFonts w:hint="eastAsia" w:ascii="宋体" w:hAnsi="宋体" w:cs="宋体"/>
          <w:kern w:val="0"/>
          <w:sz w:val="24"/>
          <w:highlight w:val="none"/>
        </w:rPr>
        <w:t xml:space="preserve">2.投标人需要提供生产实施方案，包括原材料采购、加工制作等各个环节的实施方案，在规定的时间内有计划的完成项目需求产品的生产和装配。 </w:t>
      </w:r>
    </w:p>
    <w:p>
      <w:pPr>
        <w:tabs>
          <w:tab w:val="left" w:pos="0"/>
        </w:tabs>
        <w:spacing w:line="360" w:lineRule="auto"/>
        <w:rPr>
          <w:rFonts w:ascii="宋体" w:hAnsi="宋体" w:cs="宋体"/>
          <w:kern w:val="0"/>
          <w:sz w:val="24"/>
          <w:highlight w:val="none"/>
        </w:rPr>
      </w:pPr>
      <w:r>
        <w:rPr>
          <w:rFonts w:hint="eastAsia" w:ascii="宋体" w:hAnsi="宋体" w:cs="宋体"/>
          <w:kern w:val="0"/>
          <w:sz w:val="24"/>
          <w:highlight w:val="none"/>
        </w:rPr>
        <w:t xml:space="preserve">3.投标人需要提供品控管理方案，对产品品质有管理管控过程，有独立品管部门和专门品管人员，确保产品生产过程中的质量控制完善。 </w:t>
      </w:r>
    </w:p>
    <w:p>
      <w:pPr>
        <w:tabs>
          <w:tab w:val="left" w:pos="0"/>
        </w:tabs>
        <w:spacing w:line="360" w:lineRule="auto"/>
        <w:rPr>
          <w:rFonts w:ascii="宋体" w:hAnsi="宋体" w:cs="宋体"/>
          <w:kern w:val="0"/>
          <w:sz w:val="24"/>
          <w:highlight w:val="none"/>
        </w:rPr>
      </w:pPr>
      <w:r>
        <w:rPr>
          <w:rFonts w:hint="eastAsia" w:ascii="宋体" w:hAnsi="宋体" w:cs="宋体"/>
          <w:kern w:val="0"/>
          <w:sz w:val="24"/>
          <w:highlight w:val="none"/>
        </w:rPr>
        <w:t>4.投标人需要提供安装服务实施方案，根据货物交付时间节点，落实送货安装时间和人员安排，确保按期交付使用。</w:t>
      </w:r>
    </w:p>
    <w:p>
      <w:pPr>
        <w:tabs>
          <w:tab w:val="left" w:pos="0"/>
        </w:tabs>
        <w:spacing w:line="360" w:lineRule="auto"/>
        <w:rPr>
          <w:rFonts w:ascii="宋体" w:hAnsi="宋体" w:cs="宋体"/>
          <w:kern w:val="0"/>
          <w:sz w:val="24"/>
          <w:highlight w:val="none"/>
        </w:rPr>
      </w:pPr>
      <w:r>
        <w:rPr>
          <w:rFonts w:hint="eastAsia" w:ascii="宋体" w:hAnsi="宋体" w:cs="宋体"/>
          <w:kern w:val="0"/>
          <w:sz w:val="24"/>
          <w:highlight w:val="none"/>
        </w:rPr>
        <w:t>5.项目团队要求：供应商需要提供项目技术团队及其能力说明，提供人员清单、履历、专业技术能力等资料。</w:t>
      </w:r>
    </w:p>
    <w:p>
      <w:pPr>
        <w:pStyle w:val="23"/>
        <w:rPr>
          <w:highlight w:val="none"/>
          <w:lang w:val="en-US"/>
        </w:rPr>
      </w:pPr>
    </w:p>
    <w:p>
      <w:pPr>
        <w:pStyle w:val="3"/>
        <w:spacing w:before="120" w:after="120"/>
        <w:ind w:left="0" w:firstLine="0"/>
        <w:rPr>
          <w:rFonts w:ascii="宋体" w:hAnsi="宋体" w:eastAsia="宋体" w:cs="宋体"/>
          <w:sz w:val="24"/>
          <w:szCs w:val="24"/>
          <w:highlight w:val="none"/>
        </w:rPr>
      </w:pPr>
      <w:r>
        <w:rPr>
          <w:rFonts w:hint="eastAsia" w:ascii="宋体" w:hAnsi="宋体" w:eastAsia="宋体" w:cs="宋体"/>
          <w:sz w:val="24"/>
          <w:szCs w:val="24"/>
          <w:highlight w:val="none"/>
        </w:rPr>
        <w:t>五、商务要求</w:t>
      </w:r>
    </w:p>
    <w:p>
      <w:pPr>
        <w:tabs>
          <w:tab w:val="left" w:pos="0"/>
        </w:tabs>
        <w:spacing w:line="360" w:lineRule="auto"/>
        <w:rPr>
          <w:rFonts w:ascii="宋体" w:hAnsi="宋体" w:cs="宋体"/>
          <w:b/>
          <w:bCs/>
          <w:kern w:val="0"/>
          <w:sz w:val="24"/>
          <w:highlight w:val="none"/>
        </w:rPr>
      </w:pPr>
      <w:r>
        <w:rPr>
          <w:rFonts w:hint="eastAsia" w:ascii="宋体" w:hAnsi="宋体" w:cs="宋体"/>
          <w:b/>
          <w:bCs/>
          <w:kern w:val="0"/>
          <w:sz w:val="24"/>
          <w:highlight w:val="none"/>
        </w:rPr>
        <w:t>1、完工期</w:t>
      </w:r>
    </w:p>
    <w:p>
      <w:pPr>
        <w:spacing w:line="360" w:lineRule="auto"/>
        <w:ind w:firstLine="480"/>
        <w:rPr>
          <w:rFonts w:ascii="宋体" w:hAnsi="宋体" w:cs="宋体"/>
          <w:b w:val="0"/>
          <w:bCs/>
          <w:sz w:val="24"/>
          <w:highlight w:val="none"/>
          <w:u w:val="single"/>
        </w:rPr>
      </w:pPr>
      <w:bookmarkStart w:id="33" w:name="_Toc17912"/>
      <w:r>
        <w:rPr>
          <w:rFonts w:hint="default" w:ascii="宋体" w:hAnsi="宋体" w:cs="宋体"/>
          <w:b w:val="0"/>
          <w:bCs/>
          <w:sz w:val="24"/>
          <w:highlight w:val="none"/>
          <w:u w:val="single"/>
        </w:rPr>
        <w:t>合同签订完成日起2个月内完成全部货物的交付验收工作，且符合验收标准。</w:t>
      </w:r>
    </w:p>
    <w:p>
      <w:pPr>
        <w:tabs>
          <w:tab w:val="left" w:pos="0"/>
        </w:tabs>
        <w:spacing w:line="360" w:lineRule="auto"/>
        <w:rPr>
          <w:rFonts w:ascii="宋体" w:hAnsi="宋体" w:cs="宋体"/>
          <w:b/>
          <w:bCs/>
          <w:kern w:val="0"/>
          <w:sz w:val="24"/>
          <w:highlight w:val="none"/>
        </w:rPr>
      </w:pPr>
      <w:r>
        <w:rPr>
          <w:rFonts w:hint="eastAsia" w:ascii="宋体" w:hAnsi="宋体" w:cs="宋体"/>
          <w:b/>
          <w:bCs/>
          <w:kern w:val="0"/>
          <w:sz w:val="24"/>
          <w:highlight w:val="none"/>
        </w:rPr>
        <w:t>2、实施地点及数量</w:t>
      </w:r>
      <w:bookmarkStart w:id="569" w:name="_GoBack"/>
      <w:bookmarkEnd w:id="569"/>
    </w:p>
    <w:p>
      <w:pPr>
        <w:tabs>
          <w:tab w:val="left" w:pos="0"/>
        </w:tabs>
        <w:spacing w:line="360" w:lineRule="auto"/>
        <w:ind w:firstLine="470" w:firstLineChars="196"/>
        <w:rPr>
          <w:rFonts w:ascii="宋体" w:hAnsi="宋体" w:cs="宋体"/>
          <w:bCs/>
          <w:kern w:val="0"/>
          <w:sz w:val="24"/>
          <w:highlight w:val="none"/>
        </w:rPr>
      </w:pPr>
      <w:r>
        <w:rPr>
          <w:rFonts w:hint="eastAsia" w:hAnsi="宋体" w:cs="仿宋_GB2312"/>
          <w:sz w:val="24"/>
          <w:highlight w:val="none"/>
        </w:rPr>
        <w:t>采购人指定地点：拱墅区小河街道塘河新村社区、余杭塘路社区。</w:t>
      </w:r>
    </w:p>
    <w:p>
      <w:pPr>
        <w:tabs>
          <w:tab w:val="left" w:pos="0"/>
        </w:tabs>
        <w:spacing w:line="360" w:lineRule="auto"/>
        <w:rPr>
          <w:rFonts w:ascii="宋体" w:hAnsi="宋体" w:cs="宋体"/>
          <w:b/>
          <w:bCs/>
          <w:kern w:val="0"/>
          <w:sz w:val="24"/>
          <w:highlight w:val="none"/>
        </w:rPr>
      </w:pPr>
      <w:r>
        <w:rPr>
          <w:rFonts w:hint="eastAsia" w:ascii="宋体" w:hAnsi="宋体" w:cs="宋体"/>
          <w:b/>
          <w:bCs/>
          <w:kern w:val="0"/>
          <w:sz w:val="24"/>
          <w:highlight w:val="none"/>
        </w:rPr>
        <w:t>3、安装</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（1）本项目所有货物的安装涉及的所有工作均由中标供应商负责，费用计入投标总价。</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（2）安装标准：符合国家安全技术标准。</w:t>
      </w:r>
    </w:p>
    <w:p>
      <w:pPr>
        <w:tabs>
          <w:tab w:val="left" w:pos="0"/>
        </w:tabs>
        <w:spacing w:line="360" w:lineRule="auto"/>
        <w:rPr>
          <w:rFonts w:ascii="宋体" w:hAnsi="宋体" w:cs="宋体"/>
          <w:kern w:val="0"/>
          <w:sz w:val="24"/>
          <w:highlight w:val="none"/>
        </w:rPr>
      </w:pPr>
      <w:r>
        <w:rPr>
          <w:rFonts w:hint="eastAsia" w:ascii="宋体" w:hAnsi="宋体" w:cs="宋体"/>
          <w:b/>
          <w:bCs/>
          <w:kern w:val="0"/>
          <w:sz w:val="24"/>
          <w:highlight w:val="none"/>
        </w:rPr>
        <w:t>4、交付验收</w:t>
      </w:r>
      <w:bookmarkEnd w:id="33"/>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（1）本合同交付验收由采购人组织实施，中标供应商应派专业的技术人员协助进行验收。</w:t>
      </w:r>
    </w:p>
    <w:p>
      <w:pPr>
        <w:spacing w:line="360" w:lineRule="auto"/>
        <w:ind w:right="-420" w:rightChars="-200" w:firstLine="480" w:firstLineChars="200"/>
        <w:rPr>
          <w:rFonts w:ascii="宋体" w:hAnsi="宋体" w:cs="宋体"/>
          <w:sz w:val="24"/>
          <w:highlight w:val="none"/>
        </w:rPr>
      </w:pPr>
      <w:r>
        <w:rPr>
          <w:rFonts w:hint="eastAsia" w:ascii="宋体" w:hAnsi="宋体" w:cs="宋体"/>
          <w:kern w:val="0"/>
          <w:sz w:val="24"/>
          <w:highlight w:val="none"/>
        </w:rPr>
        <w:t>（2）交付验收标准：</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①所供产品的规格、数量符合招标文件和供应商投标承诺及采购合同约定的要求。</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②所供产品的材质、颜色符合招标文件和供应商投标承诺及采购合同约定的要求。</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③所供产品的外观完好，无严重碰撞、表皮脱落、五金件生锈等明显瑕疵。</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④所供产品结构牢固，无安全隐患。</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⑤如有抽检要求的，检测结果符合招标文件和供应商投标承诺及采购合同约定的要求。</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⑥所有产品均已运输至指定地点，并安装调试完毕。</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⑦招标文件和供应商投标承诺及采购合同约定的附件、工具、技术资料等齐全；提供产品使用说明书、合格证。</w:t>
      </w:r>
    </w:p>
    <w:p>
      <w:pPr>
        <w:tabs>
          <w:tab w:val="left" w:pos="0"/>
        </w:tabs>
        <w:spacing w:line="360" w:lineRule="auto"/>
        <w:rPr>
          <w:rFonts w:ascii="宋体" w:hAnsi="宋体" w:cs="宋体"/>
          <w:b/>
          <w:bCs/>
          <w:kern w:val="0"/>
          <w:sz w:val="24"/>
          <w:highlight w:val="none"/>
        </w:rPr>
      </w:pPr>
      <w:r>
        <w:rPr>
          <w:rFonts w:hint="eastAsia" w:ascii="宋体" w:hAnsi="宋体" w:cs="宋体"/>
          <w:b/>
          <w:bCs/>
          <w:kern w:val="0"/>
          <w:sz w:val="24"/>
          <w:highlight w:val="none"/>
        </w:rPr>
        <w:t>5、售后服务</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u w:val="single"/>
        </w:rPr>
        <w:t>质保期：提供自交付验收合格之日起3年质保。</w:t>
      </w:r>
      <w:r>
        <w:rPr>
          <w:rFonts w:hint="eastAsia" w:ascii="宋体" w:hAnsi="宋体" w:cs="宋体"/>
          <w:kern w:val="0"/>
          <w:sz w:val="24"/>
          <w:highlight w:val="none"/>
        </w:rPr>
        <w:t>质保期内，如在正常使用过程中出现的质量问题，供应商须负责免费维修或调换。供应商需提供24小时售后服务，且维修人员须在接到维修电话后24小时内赶到现场，提供不间断的服务直到修复为止。维修点需提供足够的备件以适应采购人维修需求 。</w:t>
      </w:r>
    </w:p>
    <w:p>
      <w:pPr>
        <w:pStyle w:val="3"/>
        <w:spacing w:before="120" w:after="120"/>
        <w:ind w:left="0" w:firstLine="0"/>
        <w:rPr>
          <w:rFonts w:ascii="宋体" w:hAnsi="宋体" w:eastAsia="宋体" w:cs="宋体"/>
          <w:sz w:val="24"/>
          <w:szCs w:val="24"/>
          <w:highlight w:val="none"/>
        </w:rPr>
      </w:pPr>
    </w:p>
    <w:p>
      <w:pPr>
        <w:pStyle w:val="3"/>
        <w:spacing w:before="120" w:after="120"/>
        <w:ind w:left="0" w:firstLine="0"/>
        <w:rPr>
          <w:rFonts w:ascii="宋体" w:hAnsi="宋体" w:eastAsia="宋体" w:cs="宋体"/>
          <w:kern w:val="0"/>
          <w:sz w:val="24"/>
          <w:szCs w:val="24"/>
          <w:highlight w:val="none"/>
        </w:rPr>
      </w:pPr>
      <w:r>
        <w:rPr>
          <w:rFonts w:hint="eastAsia" w:ascii="宋体" w:hAnsi="宋体" w:eastAsia="宋体" w:cs="宋体"/>
          <w:sz w:val="24"/>
          <w:szCs w:val="24"/>
          <w:highlight w:val="none"/>
        </w:rPr>
        <w:t>六、特别说明与规定</w:t>
      </w:r>
    </w:p>
    <w:p>
      <w:pPr>
        <w:tabs>
          <w:tab w:val="left" w:pos="0"/>
        </w:tabs>
        <w:spacing w:line="360" w:lineRule="auto"/>
        <w:ind w:firstLine="480" w:firstLineChars="200"/>
        <w:rPr>
          <w:rFonts w:ascii="宋体" w:hAnsi="宋体" w:cs="宋体"/>
          <w:bCs/>
          <w:sz w:val="24"/>
          <w:highlight w:val="none"/>
        </w:rPr>
      </w:pPr>
      <w:r>
        <w:rPr>
          <w:rFonts w:hint="eastAsia" w:ascii="宋体" w:hAnsi="宋体" w:cs="宋体"/>
          <w:kern w:val="0"/>
          <w:sz w:val="24"/>
          <w:highlight w:val="none"/>
        </w:rPr>
        <w:t>1、</w:t>
      </w:r>
      <w:r>
        <w:rPr>
          <w:rFonts w:hint="eastAsia" w:ascii="宋体" w:hAnsi="宋体" w:cs="宋体"/>
          <w:bCs/>
          <w:sz w:val="24"/>
          <w:highlight w:val="none"/>
        </w:rPr>
        <w:t>本项目单独一个标项</w:t>
      </w:r>
      <w:r>
        <w:rPr>
          <w:rFonts w:hint="eastAsia" w:ascii="宋体" w:hAnsi="宋体" w:cs="宋体"/>
          <w:bCs/>
          <w:kern w:val="0"/>
          <w:sz w:val="24"/>
          <w:highlight w:val="none"/>
        </w:rPr>
        <w:t>。</w:t>
      </w:r>
      <w:r>
        <w:rPr>
          <w:rFonts w:hint="eastAsia" w:ascii="宋体" w:hAnsi="宋体" w:cs="宋体"/>
          <w:kern w:val="0"/>
          <w:sz w:val="24"/>
          <w:highlight w:val="none"/>
        </w:rPr>
        <w:t>标项是最小投标单位，投标人必须对标项内的所有内容发起投标响应。</w:t>
      </w:r>
      <w:r>
        <w:rPr>
          <w:rFonts w:hint="eastAsia" w:ascii="宋体" w:hAnsi="宋体" w:cs="宋体"/>
          <w:bCs/>
          <w:sz w:val="24"/>
          <w:highlight w:val="none"/>
        </w:rPr>
        <w:t>▲投标时，核心产品缺漏的视为没有实质性响应招标要求作无效标处理；非核心产品缺漏的，视为“未响应”，如中标，须由供应商按招标文件的要求补齐。</w:t>
      </w:r>
    </w:p>
    <w:p>
      <w:pPr>
        <w:tabs>
          <w:tab w:val="left" w:pos="0"/>
        </w:tabs>
        <w:spacing w:line="360" w:lineRule="auto"/>
        <w:ind w:firstLine="480"/>
        <w:rPr>
          <w:rFonts w:ascii="宋体" w:hAnsi="宋体" w:cs="宋体"/>
          <w:sz w:val="24"/>
          <w:highlight w:val="none"/>
        </w:rPr>
      </w:pPr>
      <w:r>
        <w:rPr>
          <w:rFonts w:hint="eastAsia" w:ascii="宋体" w:hAnsi="宋体" w:cs="宋体"/>
          <w:kern w:val="0"/>
          <w:sz w:val="24"/>
          <w:highlight w:val="none"/>
        </w:rPr>
        <w:t>2、本章节技术要求中所列的货物尺寸是由需求方根据自身情况测算，投标供应商应选择符合需求方要求尺寸的货物参加投标。</w:t>
      </w:r>
      <w:r>
        <w:rPr>
          <w:rFonts w:hint="eastAsia" w:ascii="宋体" w:hAnsi="宋体" w:cs="宋体"/>
          <w:b/>
          <w:bCs/>
          <w:kern w:val="0"/>
          <w:sz w:val="24"/>
          <w:highlight w:val="none"/>
        </w:rPr>
        <w:t>在不影响安全、美观度以及实际使用功能的前提下，允许存在合理的尺寸偏差（偏差控制在±3</w:t>
      </w:r>
      <w:r>
        <w:rPr>
          <w:rFonts w:hint="eastAsia" w:ascii="宋体" w:hAnsi="宋体" w:cs="宋体"/>
          <w:b/>
          <w:bCs/>
          <w:kern w:val="0"/>
          <w:sz w:val="24"/>
          <w:highlight w:val="none"/>
          <w:lang w:val="en-US" w:eastAsia="zh-CN"/>
        </w:rPr>
        <w:t>m</w:t>
      </w:r>
      <w:r>
        <w:rPr>
          <w:rFonts w:hint="eastAsia" w:ascii="宋体" w:hAnsi="宋体" w:cs="宋体"/>
          <w:b/>
          <w:bCs/>
          <w:kern w:val="0"/>
          <w:sz w:val="24"/>
          <w:highlight w:val="none"/>
        </w:rPr>
        <w:t>m以内）。</w:t>
      </w:r>
      <w:r>
        <w:rPr>
          <w:rFonts w:hint="eastAsia" w:ascii="宋体" w:hAnsi="宋体" w:cs="宋体"/>
          <w:kern w:val="0"/>
          <w:sz w:val="24"/>
          <w:highlight w:val="none"/>
        </w:rPr>
        <w:t>同时，投标供应商应无条件接受采购人提出的部分货物尺寸的细微调整，产生的费用请各投标供应商在报价时综合评估，并计入投标总价。</w:t>
      </w:r>
    </w:p>
    <w:p>
      <w:pPr>
        <w:pStyle w:val="23"/>
        <w:ind w:firstLine="480" w:firstLineChars="200"/>
        <w:rPr>
          <w:rFonts w:hAnsi="宋体" w:cs="宋体"/>
          <w:kern w:val="0"/>
          <w:szCs w:val="24"/>
          <w:highlight w:val="none"/>
          <w:lang w:val="en-US"/>
        </w:rPr>
      </w:pPr>
      <w:bookmarkStart w:id="34" w:name="_Toc7338"/>
      <w:r>
        <w:rPr>
          <w:rFonts w:hint="eastAsia" w:hAnsi="宋体" w:cs="宋体"/>
          <w:kern w:val="0"/>
          <w:szCs w:val="24"/>
          <w:highlight w:val="none"/>
          <w:lang w:val="en-US"/>
        </w:rPr>
        <w:t>3、</w:t>
      </w:r>
      <w:r>
        <w:rPr>
          <w:rFonts w:hint="eastAsia" w:hAnsi="宋体" w:cs="宋体"/>
          <w:snapToGrid/>
          <w:kern w:val="0"/>
          <w:szCs w:val="24"/>
          <w:highlight w:val="none"/>
          <w:lang w:val="en-US"/>
        </w:rPr>
        <w:t>投标响应前后矛盾导致评标委员会有疑问的，评标委员会认为必要时可以要求投标人在规定的时间（30分钟）内提供相关技术证明材料，投标人不能按时提供相关技术证明材料的视为“未响应”。</w:t>
      </w:r>
    </w:p>
    <w:p>
      <w:pPr>
        <w:tabs>
          <w:tab w:val="left" w:pos="0"/>
        </w:tabs>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采购人将以合同形式有偿取得货物或服务，不接受投标人给予的任何赠品、回扣或者与采购无关的其他商品、服务，不得出现“0元”、“免费赠送”等形式的无偿报价，否则视为投标文件含有采购人不能接受的附加条件，投标无效。</w:t>
      </w:r>
    </w:p>
    <w:p>
      <w:pPr>
        <w:pStyle w:val="23"/>
        <w:ind w:firstLine="480" w:firstLineChars="200"/>
        <w:rPr>
          <w:rFonts w:hAnsi="宋体" w:cs="宋体"/>
          <w:szCs w:val="24"/>
          <w:highlight w:val="none"/>
        </w:rPr>
      </w:pPr>
      <w:r>
        <w:rPr>
          <w:rFonts w:hint="eastAsia" w:hAnsi="宋体" w:cs="宋体"/>
          <w:snapToGrid/>
          <w:kern w:val="0"/>
          <w:szCs w:val="24"/>
          <w:highlight w:val="none"/>
          <w:lang w:val="en-US"/>
        </w:rPr>
        <w:t>5、投标人须对采购中涉及到的专利负责，并保证不伤害采购人的利益。在法律范围内，所有文字、商标和技术侵权造成的相关费用，采购人概不负责。</w:t>
      </w:r>
      <w:bookmarkEnd w:id="34"/>
      <w:r>
        <w:rPr>
          <w:rFonts w:hint="eastAsia" w:hAnsi="宋体" w:cs="宋体"/>
          <w:snapToGrid/>
          <w:kern w:val="0"/>
          <w:szCs w:val="24"/>
          <w:highlight w:val="none"/>
          <w:lang w:val="en-US"/>
        </w:rPr>
        <w:br w:type="textWrapping"/>
      </w:r>
    </w:p>
    <w:p>
      <w:pPr>
        <w:pStyle w:val="3"/>
        <w:spacing w:before="120" w:after="120"/>
        <w:ind w:left="0" w:firstLine="0"/>
        <w:rPr>
          <w:rFonts w:ascii="宋体" w:hAnsi="宋体" w:eastAsia="宋体" w:cs="宋体"/>
          <w:sz w:val="24"/>
          <w:szCs w:val="24"/>
          <w:highlight w:val="none"/>
        </w:rPr>
      </w:pPr>
      <w:r>
        <w:rPr>
          <w:rFonts w:hint="eastAsia" w:ascii="宋体" w:hAnsi="宋体" w:eastAsia="宋体" w:cs="宋体"/>
          <w:sz w:val="24"/>
          <w:szCs w:val="24"/>
          <w:highlight w:val="none"/>
        </w:rPr>
        <w:t>七、样品要求</w:t>
      </w:r>
    </w:p>
    <w:p>
      <w:pPr>
        <w:pStyle w:val="788"/>
        <w:tabs>
          <w:tab w:val="left" w:pos="-105"/>
          <w:tab w:val="left" w:pos="567"/>
        </w:tabs>
        <w:adjustRightInd w:val="0"/>
        <w:snapToGrid w:val="0"/>
        <w:ind w:firstLine="480"/>
        <w:rPr>
          <w:rFonts w:ascii="宋体" w:hAnsi="宋体" w:cs="宋体"/>
          <w:b/>
          <w:bCs/>
          <w:szCs w:val="24"/>
          <w:highlight w:val="none"/>
        </w:rPr>
      </w:pPr>
      <w:r>
        <w:rPr>
          <w:rFonts w:hint="eastAsia" w:ascii="宋体" w:hAnsi="宋体" w:cs="宋体"/>
          <w:szCs w:val="24"/>
          <w:highlight w:val="none"/>
        </w:rPr>
        <w:t>1、</w:t>
      </w:r>
      <w:r>
        <w:rPr>
          <w:rFonts w:hint="eastAsia" w:ascii="宋体" w:hAnsi="宋体" w:cs="宋体"/>
          <w:snapToGrid w:val="0"/>
          <w:kern w:val="0"/>
          <w:szCs w:val="24"/>
          <w:highlight w:val="none"/>
        </w:rPr>
        <w:t>为了更加直观、准确的评价各供应商所投产品与采购需求的符合性，以及评价各供应商所投产品的材质、制造工艺等，本项目要求投标供应商按要求递交投标样品。</w:t>
      </w:r>
      <w:r>
        <w:rPr>
          <w:rFonts w:hint="eastAsia" w:ascii="宋体" w:hAnsi="宋体" w:cs="宋体"/>
          <w:highlight w:val="none"/>
        </w:rPr>
        <w:t>▲</w:t>
      </w:r>
      <w:r>
        <w:rPr>
          <w:rFonts w:hint="eastAsia" w:ascii="宋体" w:hAnsi="宋体" w:cs="宋体"/>
          <w:b/>
          <w:bCs/>
          <w:szCs w:val="24"/>
          <w:highlight w:val="none"/>
        </w:rPr>
        <w:t>未提供样品的供应商，投标无效。</w:t>
      </w:r>
    </w:p>
    <w:p>
      <w:pPr>
        <w:pStyle w:val="788"/>
        <w:tabs>
          <w:tab w:val="left" w:pos="-105"/>
          <w:tab w:val="left" w:pos="567"/>
        </w:tabs>
        <w:adjustRightInd w:val="0"/>
        <w:snapToGrid w:val="0"/>
        <w:ind w:firstLine="480"/>
        <w:rPr>
          <w:rFonts w:ascii="宋体" w:hAnsi="宋体" w:cs="宋体"/>
          <w:snapToGrid w:val="0"/>
          <w:kern w:val="0"/>
          <w:szCs w:val="24"/>
          <w:highlight w:val="none"/>
        </w:rPr>
      </w:pPr>
      <w:r>
        <w:rPr>
          <w:rFonts w:hint="eastAsia" w:ascii="宋体" w:hAnsi="宋体" w:cs="宋体"/>
          <w:snapToGrid w:val="0"/>
          <w:kern w:val="0"/>
          <w:szCs w:val="24"/>
          <w:highlight w:val="none"/>
        </w:rPr>
        <w:t>2、投标样品需标注：投标供应商名称、产品制造商名称、样品名称、尺寸、材质等信息。</w:t>
      </w:r>
    </w:p>
    <w:p>
      <w:pPr>
        <w:pStyle w:val="788"/>
        <w:tabs>
          <w:tab w:val="left" w:pos="-105"/>
          <w:tab w:val="left" w:pos="567"/>
        </w:tabs>
        <w:adjustRightInd w:val="0"/>
        <w:snapToGrid w:val="0"/>
        <w:ind w:firstLine="480"/>
        <w:rPr>
          <w:rFonts w:ascii="宋体" w:hAnsi="宋体" w:cs="宋体"/>
          <w:b/>
          <w:bCs/>
          <w:snapToGrid w:val="0"/>
          <w:kern w:val="0"/>
          <w:szCs w:val="24"/>
          <w:highlight w:val="none"/>
        </w:rPr>
      </w:pPr>
      <w:r>
        <w:rPr>
          <w:rFonts w:hint="eastAsia" w:ascii="宋体" w:hAnsi="宋体" w:cs="宋体"/>
          <w:snapToGrid w:val="0"/>
          <w:kern w:val="0"/>
          <w:szCs w:val="24"/>
          <w:highlight w:val="none"/>
        </w:rPr>
        <w:t>3、</w:t>
      </w:r>
      <w:r>
        <w:rPr>
          <w:rFonts w:hint="eastAsia" w:ascii="宋体" w:hAnsi="宋体" w:cs="宋体"/>
          <w:b/>
          <w:bCs/>
          <w:snapToGrid w:val="0"/>
          <w:kern w:val="0"/>
          <w:szCs w:val="24"/>
          <w:highlight w:val="none"/>
        </w:rPr>
        <w:t>样品为成品提供，即送即走。</w:t>
      </w:r>
    </w:p>
    <w:tbl>
      <w:tblPr>
        <w:tblStyle w:val="62"/>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92"/>
        <w:gridCol w:w="1472"/>
        <w:gridCol w:w="1268"/>
        <w:gridCol w:w="4092"/>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40" w:type="dxa"/>
            <w:shd w:val="clear" w:color="auto" w:fill="auto"/>
            <w:vAlign w:val="center"/>
          </w:tcPr>
          <w:p>
            <w:pPr>
              <w:snapToGrid w:val="0"/>
              <w:jc w:val="center"/>
              <w:rPr>
                <w:rFonts w:ascii="宋体" w:hAnsi="宋体" w:cs="宋体"/>
                <w:b/>
                <w:kern w:val="0"/>
                <w:szCs w:val="21"/>
                <w:highlight w:val="none"/>
              </w:rPr>
            </w:pPr>
            <w:r>
              <w:rPr>
                <w:rFonts w:hint="eastAsia" w:ascii="宋体" w:hAnsi="宋体" w:cs="宋体"/>
                <w:b/>
                <w:kern w:val="0"/>
                <w:szCs w:val="21"/>
                <w:highlight w:val="none"/>
              </w:rPr>
              <w:t>序号</w:t>
            </w:r>
          </w:p>
        </w:tc>
        <w:tc>
          <w:tcPr>
            <w:tcW w:w="992" w:type="dxa"/>
            <w:shd w:val="clear" w:color="auto" w:fill="auto"/>
            <w:vAlign w:val="center"/>
          </w:tcPr>
          <w:p>
            <w:pPr>
              <w:snapToGrid w:val="0"/>
              <w:jc w:val="center"/>
              <w:rPr>
                <w:rFonts w:ascii="宋体" w:hAnsi="宋体" w:cs="宋体"/>
                <w:b/>
                <w:szCs w:val="21"/>
                <w:highlight w:val="none"/>
              </w:rPr>
            </w:pPr>
            <w:r>
              <w:rPr>
                <w:rFonts w:hint="eastAsia" w:ascii="宋体" w:hAnsi="宋体" w:cs="宋体"/>
                <w:b/>
                <w:szCs w:val="21"/>
                <w:highlight w:val="none"/>
              </w:rPr>
              <w:t>名称</w:t>
            </w:r>
          </w:p>
        </w:tc>
        <w:tc>
          <w:tcPr>
            <w:tcW w:w="1472" w:type="dxa"/>
            <w:shd w:val="clear" w:color="auto" w:fill="auto"/>
            <w:vAlign w:val="center"/>
          </w:tcPr>
          <w:p>
            <w:pPr>
              <w:snapToGrid w:val="0"/>
              <w:jc w:val="center"/>
              <w:rPr>
                <w:rFonts w:ascii="宋体" w:hAnsi="宋体" w:cs="宋体"/>
                <w:b/>
                <w:szCs w:val="21"/>
                <w:highlight w:val="none"/>
              </w:rPr>
            </w:pPr>
            <w:r>
              <w:rPr>
                <w:rFonts w:hint="eastAsia" w:ascii="宋体" w:hAnsi="宋体" w:cs="宋体"/>
                <w:b/>
                <w:bCs/>
                <w:szCs w:val="21"/>
                <w:highlight w:val="none"/>
              </w:rPr>
              <w:t>参考图片</w:t>
            </w:r>
          </w:p>
        </w:tc>
        <w:tc>
          <w:tcPr>
            <w:tcW w:w="1268" w:type="dxa"/>
            <w:shd w:val="clear" w:color="auto" w:fill="auto"/>
            <w:vAlign w:val="center"/>
          </w:tcPr>
          <w:p>
            <w:pPr>
              <w:snapToGrid w:val="0"/>
              <w:jc w:val="center"/>
              <w:rPr>
                <w:rFonts w:ascii="宋体" w:hAnsi="宋体" w:cs="宋体"/>
                <w:b/>
                <w:bCs/>
                <w:szCs w:val="21"/>
                <w:highlight w:val="none"/>
              </w:rPr>
            </w:pPr>
            <w:r>
              <w:rPr>
                <w:rFonts w:hint="eastAsia" w:ascii="宋体" w:hAnsi="宋体" w:cs="宋体"/>
                <w:b/>
                <w:bCs/>
                <w:szCs w:val="21"/>
                <w:highlight w:val="none"/>
              </w:rPr>
              <w:t>规格</w:t>
            </w:r>
          </w:p>
        </w:tc>
        <w:tc>
          <w:tcPr>
            <w:tcW w:w="4092" w:type="dxa"/>
            <w:shd w:val="clear" w:color="auto" w:fill="auto"/>
            <w:vAlign w:val="center"/>
          </w:tcPr>
          <w:p>
            <w:pPr>
              <w:snapToGrid w:val="0"/>
              <w:jc w:val="center"/>
              <w:rPr>
                <w:rFonts w:ascii="宋体" w:hAnsi="宋体" w:cs="宋体"/>
                <w:b/>
                <w:szCs w:val="21"/>
                <w:highlight w:val="none"/>
              </w:rPr>
            </w:pPr>
            <w:r>
              <w:rPr>
                <w:rFonts w:hint="eastAsia" w:ascii="宋体" w:hAnsi="宋体" w:cs="宋体"/>
                <w:b/>
                <w:bCs/>
                <w:szCs w:val="21"/>
                <w:highlight w:val="none"/>
              </w:rPr>
              <w:t>材质工艺要求</w:t>
            </w:r>
          </w:p>
        </w:tc>
        <w:tc>
          <w:tcPr>
            <w:tcW w:w="710" w:type="dxa"/>
            <w:shd w:val="clear" w:color="auto" w:fill="auto"/>
            <w:vAlign w:val="center"/>
          </w:tcPr>
          <w:p>
            <w:pPr>
              <w:snapToGrid w:val="0"/>
              <w:jc w:val="center"/>
              <w:rPr>
                <w:rFonts w:ascii="宋体" w:hAnsi="宋体" w:cs="宋体"/>
                <w:b/>
                <w:szCs w:val="21"/>
                <w:highlight w:val="none"/>
              </w:rPr>
            </w:pPr>
            <w:r>
              <w:rPr>
                <w:rFonts w:hint="eastAsia" w:ascii="宋体" w:hAnsi="宋体" w:cs="宋体"/>
                <w:b/>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740" w:type="dxa"/>
            <w:vAlign w:val="center"/>
          </w:tcPr>
          <w:p>
            <w:pPr>
              <w:jc w:val="center"/>
              <w:rPr>
                <w:rFonts w:hint="eastAsia" w:eastAsia="宋体"/>
                <w:highlight w:val="none"/>
                <w:lang w:eastAsia="zh-CN"/>
              </w:rPr>
            </w:pPr>
            <w:r>
              <w:rPr>
                <w:rFonts w:hint="eastAsia"/>
                <w:highlight w:val="none"/>
              </w:rPr>
              <w:t>9</w:t>
            </w:r>
            <w:r>
              <w:rPr>
                <w:rFonts w:hint="eastAsia"/>
                <w:highlight w:val="none"/>
                <w:lang w:val="en-US" w:eastAsia="zh-CN"/>
              </w:rPr>
              <w:t>7</w:t>
            </w:r>
          </w:p>
        </w:tc>
        <w:tc>
          <w:tcPr>
            <w:tcW w:w="992" w:type="dxa"/>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b/>
                <w:bCs/>
                <w:snapToGrid w:val="0"/>
                <w:kern w:val="0"/>
                <w:sz w:val="24"/>
                <w:highlight w:val="none"/>
                <w:lang w:val="zh-CN"/>
              </w:rPr>
              <w:t>★</w:t>
            </w:r>
            <w:r>
              <w:rPr>
                <w:rFonts w:hint="eastAsia" w:ascii="宋体" w:hAnsi="宋体" w:cs="宋体"/>
                <w:color w:val="000000"/>
                <w:kern w:val="0"/>
                <w:sz w:val="22"/>
                <w:szCs w:val="22"/>
                <w:highlight w:val="none"/>
              </w:rPr>
              <w:t>办公椅1</w:t>
            </w:r>
          </w:p>
        </w:tc>
        <w:tc>
          <w:tcPr>
            <w:tcW w:w="1472" w:type="dxa"/>
            <w:vAlign w:val="center"/>
          </w:tcPr>
          <w:p>
            <w:pPr>
              <w:rPr>
                <w:highlight w:val="none"/>
              </w:rPr>
            </w:pPr>
            <w:r>
              <w:rPr>
                <w:highlight w:val="none"/>
              </w:rPr>
              <w:drawing>
                <wp:inline distT="0" distB="0" distL="114300" distR="114300">
                  <wp:extent cx="782955" cy="831215"/>
                  <wp:effectExtent l="0" t="0" r="17145" b="6985"/>
                  <wp:docPr id="2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61"/>
                          <pic:cNvPicPr>
                            <a:picLocks noChangeAspect="1"/>
                          </pic:cNvPicPr>
                        </pic:nvPicPr>
                        <pic:blipFill>
                          <a:blip r:embed="rId150"/>
                          <a:stretch>
                            <a:fillRect/>
                          </a:stretch>
                        </pic:blipFill>
                        <pic:spPr>
                          <a:xfrm>
                            <a:off x="0" y="0"/>
                            <a:ext cx="782955" cy="831215"/>
                          </a:xfrm>
                          <a:prstGeom prst="rect">
                            <a:avLst/>
                          </a:prstGeom>
                          <a:noFill/>
                          <a:ln w="9525">
                            <a:noFill/>
                          </a:ln>
                        </pic:spPr>
                      </pic:pic>
                    </a:graphicData>
                  </a:graphic>
                </wp:inline>
              </w:drawing>
            </w:r>
          </w:p>
        </w:tc>
        <w:tc>
          <w:tcPr>
            <w:tcW w:w="1268" w:type="dxa"/>
            <w:vAlign w:val="center"/>
          </w:tcPr>
          <w:p>
            <w:pPr>
              <w:rPr>
                <w:highlight w:val="none"/>
              </w:rPr>
            </w:pPr>
            <w:r>
              <w:rPr>
                <w:rFonts w:hint="eastAsia" w:ascii="宋体" w:hAnsi="宋体" w:cs="宋体"/>
                <w:color w:val="000000"/>
                <w:kern w:val="0"/>
                <w:sz w:val="22"/>
                <w:szCs w:val="22"/>
                <w:highlight w:val="none"/>
              </w:rPr>
              <w:t>600*545*940</w:t>
            </w:r>
          </w:p>
        </w:tc>
        <w:tc>
          <w:tcPr>
            <w:tcW w:w="4092" w:type="dxa"/>
            <w:vAlign w:val="center"/>
          </w:tcPr>
          <w:p>
            <w:pPr>
              <w:jc w:val="left"/>
              <w:rPr>
                <w:highlight w:val="none"/>
              </w:rPr>
            </w:pPr>
            <w:r>
              <w:rPr>
                <w:rFonts w:hint="eastAsia"/>
                <w:highlight w:val="none"/>
              </w:rPr>
              <w:t>1、面料：背架全新进口PA+玻纤，一体注塑成型；进口特网，舒适透气，美观耐用；椅背具备转轴逍遥顶腰功能；</w:t>
            </w:r>
          </w:p>
          <w:p>
            <w:pPr>
              <w:jc w:val="left"/>
              <w:rPr>
                <w:highlight w:val="none"/>
              </w:rPr>
            </w:pPr>
            <w:r>
              <w:rPr>
                <w:rFonts w:hint="eastAsia"/>
                <w:highlight w:val="none"/>
              </w:rPr>
              <w:t>2、座面：PP座壳，座垫采用密度≥45kg/m³防火阻燃定型海绵，表面布艺包面，舒适透气；座垫底部无曲木板，更加环保；                                                              3、扶手：PA固定扶手；</w:t>
            </w:r>
          </w:p>
          <w:p>
            <w:pPr>
              <w:jc w:val="left"/>
              <w:rPr>
                <w:highlight w:val="none"/>
              </w:rPr>
            </w:pPr>
            <w:r>
              <w:rPr>
                <w:rFonts w:hint="eastAsia"/>
                <w:highlight w:val="none"/>
              </w:rPr>
              <w:t>4、脚架；黑色烤漆铁架，带脚垫。</w:t>
            </w:r>
          </w:p>
        </w:tc>
        <w:tc>
          <w:tcPr>
            <w:tcW w:w="710" w:type="dxa"/>
            <w:vAlign w:val="center"/>
          </w:tcPr>
          <w:p>
            <w:pPr>
              <w:widowControl/>
              <w:jc w:val="center"/>
              <w:rPr>
                <w:rFonts w:ascii="宋体" w:hAnsi="宋体" w:cs="宋体"/>
                <w:bCs/>
                <w:szCs w:val="21"/>
                <w:highlight w:val="none"/>
              </w:rPr>
            </w:pPr>
            <w:r>
              <w:rPr>
                <w:rFonts w:hint="eastAsia" w:ascii="宋体" w:hAnsi="宋体" w:cs="宋体"/>
                <w:bCs/>
                <w:szCs w:val="21"/>
                <w:highlight w:val="none"/>
              </w:rPr>
              <w:t>1张</w:t>
            </w:r>
          </w:p>
        </w:tc>
      </w:tr>
    </w:tbl>
    <w:p>
      <w:pPr>
        <w:rPr>
          <w:highlight w:val="none"/>
        </w:rPr>
      </w:pPr>
    </w:p>
    <w:p>
      <w:pPr>
        <w:rPr>
          <w:highlight w:val="none"/>
        </w:rPr>
      </w:pPr>
    </w:p>
    <w:p>
      <w:pPr>
        <w:rPr>
          <w:highlight w:val="none"/>
        </w:rPr>
      </w:pPr>
    </w:p>
    <w:p>
      <w:pPr>
        <w:widowControl/>
        <w:jc w:val="left"/>
        <w:rPr>
          <w:rFonts w:ascii="宋体" w:hAnsi="宋体" w:cs="宋体"/>
          <w:bCs/>
          <w:sz w:val="24"/>
          <w:highlight w:val="none"/>
        </w:rPr>
      </w:pPr>
    </w:p>
    <w:p>
      <w:pPr>
        <w:rPr>
          <w:rFonts w:ascii="宋体" w:hAnsi="宋体" w:cs="宋体"/>
          <w:snapToGrid w:val="0"/>
          <w:kern w:val="0"/>
          <w:sz w:val="24"/>
          <w:highlight w:val="none"/>
        </w:rPr>
      </w:pPr>
    </w:p>
    <w:p>
      <w:pPr>
        <w:spacing w:line="360" w:lineRule="auto"/>
        <w:outlineLvl w:val="0"/>
        <w:rPr>
          <w:rFonts w:ascii="宋体" w:hAnsi="宋体" w:cs="宋体"/>
          <w:b/>
          <w:sz w:val="24"/>
          <w:highlight w:val="none"/>
        </w:rPr>
      </w:pPr>
    </w:p>
    <w:p>
      <w:pPr>
        <w:rPr>
          <w:rFonts w:ascii="宋体" w:hAnsi="宋体" w:cs="宋体"/>
          <w:b/>
          <w:sz w:val="36"/>
          <w:szCs w:val="36"/>
          <w:highlight w:val="none"/>
        </w:rPr>
      </w:pPr>
      <w:r>
        <w:rPr>
          <w:rFonts w:hint="eastAsia" w:ascii="宋体" w:hAnsi="宋体" w:cs="宋体"/>
          <w:b/>
          <w:sz w:val="36"/>
          <w:szCs w:val="36"/>
          <w:highlight w:val="none"/>
        </w:rPr>
        <w:br w:type="page"/>
      </w:r>
    </w:p>
    <w:p>
      <w:pPr>
        <w:spacing w:line="360" w:lineRule="auto"/>
        <w:jc w:val="center"/>
        <w:outlineLvl w:val="0"/>
        <w:rPr>
          <w:rFonts w:ascii="宋体" w:hAnsi="宋体" w:cs="宋体"/>
          <w:b/>
          <w:sz w:val="36"/>
          <w:szCs w:val="36"/>
          <w:highlight w:val="none"/>
        </w:rPr>
      </w:pPr>
      <w:r>
        <w:rPr>
          <w:rFonts w:hint="eastAsia" w:ascii="宋体" w:hAnsi="宋体" w:cs="宋体"/>
          <w:b/>
          <w:sz w:val="36"/>
          <w:szCs w:val="36"/>
          <w:highlight w:val="none"/>
        </w:rPr>
        <w:t xml:space="preserve">第四部分   </w:t>
      </w:r>
      <w:bookmarkStart w:id="35" w:name="_Toc184313265"/>
      <w:bookmarkEnd w:id="35"/>
      <w:bookmarkStart w:id="36" w:name="_Toc184313301"/>
      <w:bookmarkEnd w:id="36"/>
      <w:bookmarkStart w:id="37" w:name="_Toc184313271"/>
      <w:bookmarkEnd w:id="37"/>
      <w:bookmarkStart w:id="38" w:name="_Toc184314432"/>
      <w:bookmarkEnd w:id="38"/>
      <w:bookmarkStart w:id="39" w:name="_Toc184310331"/>
      <w:bookmarkEnd w:id="39"/>
      <w:bookmarkStart w:id="40" w:name="_Toc184314454"/>
      <w:bookmarkEnd w:id="40"/>
      <w:bookmarkStart w:id="41" w:name="_Toc184314474"/>
      <w:bookmarkEnd w:id="41"/>
      <w:bookmarkStart w:id="42" w:name="_Toc184313255"/>
      <w:bookmarkEnd w:id="42"/>
      <w:bookmarkStart w:id="43" w:name="_Toc184310318"/>
      <w:bookmarkEnd w:id="43"/>
      <w:bookmarkStart w:id="44" w:name="_Toc184310302"/>
      <w:bookmarkEnd w:id="44"/>
      <w:bookmarkStart w:id="45" w:name="_Toc184314425"/>
      <w:bookmarkEnd w:id="45"/>
      <w:bookmarkStart w:id="46" w:name="_Toc184312090"/>
      <w:bookmarkEnd w:id="46"/>
      <w:bookmarkStart w:id="47" w:name="_Toc184314443"/>
      <w:bookmarkEnd w:id="47"/>
      <w:bookmarkStart w:id="48" w:name="_Toc184313307"/>
      <w:bookmarkEnd w:id="48"/>
      <w:bookmarkStart w:id="49" w:name="_Toc184314445"/>
      <w:bookmarkEnd w:id="49"/>
      <w:bookmarkStart w:id="50" w:name="_Toc184314447"/>
      <w:bookmarkEnd w:id="50"/>
      <w:bookmarkStart w:id="51" w:name="_Toc184314472"/>
      <w:bookmarkEnd w:id="51"/>
      <w:bookmarkStart w:id="52" w:name="_Toc184314420"/>
      <w:bookmarkEnd w:id="52"/>
      <w:bookmarkStart w:id="53" w:name="_Toc184312103"/>
      <w:bookmarkEnd w:id="53"/>
      <w:bookmarkStart w:id="54" w:name="_Toc184308068"/>
      <w:bookmarkEnd w:id="54"/>
      <w:bookmarkStart w:id="55" w:name="_Toc184310303"/>
      <w:bookmarkEnd w:id="55"/>
      <w:bookmarkStart w:id="56" w:name="_Toc184310314"/>
      <w:bookmarkEnd w:id="56"/>
      <w:bookmarkStart w:id="57" w:name="_Toc184308095"/>
      <w:bookmarkEnd w:id="57"/>
      <w:bookmarkStart w:id="58" w:name="_Toc184312129"/>
      <w:bookmarkEnd w:id="58"/>
      <w:bookmarkStart w:id="59" w:name="_Toc184310316"/>
      <w:bookmarkEnd w:id="59"/>
      <w:bookmarkStart w:id="60" w:name="_Toc184308096"/>
      <w:bookmarkEnd w:id="60"/>
      <w:bookmarkStart w:id="61" w:name="_Toc184310333"/>
      <w:bookmarkEnd w:id="61"/>
      <w:bookmarkStart w:id="62" w:name="_Toc184312101"/>
      <w:bookmarkEnd w:id="62"/>
      <w:bookmarkStart w:id="63" w:name="_Toc184308038"/>
      <w:bookmarkEnd w:id="63"/>
      <w:bookmarkStart w:id="64" w:name="_Toc184308056"/>
      <w:bookmarkEnd w:id="64"/>
      <w:bookmarkStart w:id="65" w:name="_Toc184312092"/>
      <w:bookmarkEnd w:id="65"/>
      <w:bookmarkStart w:id="66" w:name="_Toc184310323"/>
      <w:bookmarkEnd w:id="66"/>
      <w:bookmarkStart w:id="67" w:name="_Toc184308047"/>
      <w:bookmarkEnd w:id="67"/>
      <w:bookmarkStart w:id="68" w:name="_Toc184308062"/>
      <w:bookmarkEnd w:id="68"/>
      <w:bookmarkStart w:id="69" w:name="_Toc184312131"/>
      <w:bookmarkEnd w:id="69"/>
      <w:bookmarkStart w:id="70" w:name="_Toc184308043"/>
      <w:bookmarkEnd w:id="70"/>
      <w:bookmarkStart w:id="71" w:name="_Toc184312074"/>
      <w:bookmarkEnd w:id="71"/>
      <w:bookmarkStart w:id="72" w:name="_Toc184314423"/>
      <w:bookmarkEnd w:id="72"/>
      <w:bookmarkStart w:id="73" w:name="_Toc184310340"/>
      <w:bookmarkEnd w:id="73"/>
      <w:bookmarkStart w:id="74" w:name="_Toc184314451"/>
      <w:bookmarkEnd w:id="74"/>
      <w:bookmarkStart w:id="75" w:name="_Toc184312111"/>
      <w:bookmarkEnd w:id="75"/>
      <w:bookmarkStart w:id="76" w:name="_Toc184310305"/>
      <w:bookmarkEnd w:id="76"/>
      <w:bookmarkStart w:id="77" w:name="_Toc184314433"/>
      <w:bookmarkEnd w:id="77"/>
      <w:bookmarkStart w:id="78" w:name="_Toc184308071"/>
      <w:bookmarkEnd w:id="78"/>
      <w:bookmarkStart w:id="79" w:name="_Toc184314476"/>
      <w:bookmarkEnd w:id="79"/>
      <w:bookmarkStart w:id="80" w:name="_Toc184310279"/>
      <w:bookmarkEnd w:id="80"/>
      <w:bookmarkStart w:id="81" w:name="_Toc184308081"/>
      <w:bookmarkEnd w:id="81"/>
      <w:bookmarkStart w:id="82" w:name="_Toc184312088"/>
      <w:bookmarkEnd w:id="82"/>
      <w:bookmarkStart w:id="83" w:name="_Toc184313292"/>
      <w:bookmarkEnd w:id="83"/>
      <w:bookmarkStart w:id="84" w:name="_Toc184312089"/>
      <w:bookmarkEnd w:id="84"/>
      <w:bookmarkStart w:id="85" w:name="_Toc184312082"/>
      <w:bookmarkEnd w:id="85"/>
      <w:bookmarkStart w:id="86" w:name="_Toc184314453"/>
      <w:bookmarkEnd w:id="86"/>
      <w:bookmarkStart w:id="87" w:name="_Toc184313266"/>
      <w:bookmarkEnd w:id="87"/>
      <w:bookmarkStart w:id="88" w:name="_Toc184312094"/>
      <w:bookmarkEnd w:id="88"/>
      <w:bookmarkStart w:id="89" w:name="_Toc184314460"/>
      <w:bookmarkEnd w:id="89"/>
      <w:bookmarkStart w:id="90" w:name="_Toc184308077"/>
      <w:bookmarkEnd w:id="90"/>
      <w:bookmarkStart w:id="91" w:name="_Toc184312100"/>
      <w:bookmarkEnd w:id="91"/>
      <w:bookmarkStart w:id="92" w:name="_Toc184312070"/>
      <w:bookmarkEnd w:id="92"/>
      <w:bookmarkStart w:id="93" w:name="_Toc184310307"/>
      <w:bookmarkEnd w:id="93"/>
      <w:bookmarkStart w:id="94" w:name="_Toc184312078"/>
      <w:bookmarkEnd w:id="94"/>
      <w:bookmarkStart w:id="95" w:name="_Toc184310298"/>
      <w:bookmarkEnd w:id="95"/>
      <w:bookmarkStart w:id="96" w:name="_Toc184310321"/>
      <w:bookmarkEnd w:id="96"/>
      <w:bookmarkStart w:id="97" w:name="_Toc184310339"/>
      <w:bookmarkEnd w:id="97"/>
      <w:bookmarkStart w:id="98" w:name="_Toc184312138"/>
      <w:bookmarkEnd w:id="98"/>
      <w:bookmarkStart w:id="99" w:name="_Toc184314461"/>
      <w:bookmarkEnd w:id="99"/>
      <w:bookmarkStart w:id="100" w:name="_Toc184312084"/>
      <w:bookmarkEnd w:id="100"/>
      <w:bookmarkStart w:id="101" w:name="_Toc184308084"/>
      <w:bookmarkEnd w:id="101"/>
      <w:bookmarkStart w:id="102" w:name="_Toc184310299"/>
      <w:bookmarkEnd w:id="102"/>
      <w:bookmarkStart w:id="103" w:name="_Toc184308086"/>
      <w:bookmarkEnd w:id="103"/>
      <w:bookmarkStart w:id="104" w:name="_Toc184313300"/>
      <w:bookmarkEnd w:id="104"/>
      <w:bookmarkStart w:id="105" w:name="_Toc184310327"/>
      <w:bookmarkEnd w:id="105"/>
      <w:bookmarkStart w:id="106" w:name="_Toc184314463"/>
      <w:bookmarkEnd w:id="106"/>
      <w:bookmarkStart w:id="107" w:name="_Toc184308106"/>
      <w:bookmarkEnd w:id="107"/>
      <w:bookmarkStart w:id="108" w:name="_Toc184308094"/>
      <w:bookmarkEnd w:id="108"/>
      <w:bookmarkStart w:id="109" w:name="_Toc184308039"/>
      <w:bookmarkEnd w:id="109"/>
      <w:bookmarkStart w:id="110" w:name="_Toc184314442"/>
      <w:bookmarkEnd w:id="110"/>
      <w:bookmarkStart w:id="111" w:name="_Toc184314468"/>
      <w:bookmarkEnd w:id="111"/>
      <w:bookmarkStart w:id="112" w:name="_Toc184313245"/>
      <w:bookmarkEnd w:id="112"/>
      <w:bookmarkStart w:id="113" w:name="_Toc184312120"/>
      <w:bookmarkEnd w:id="113"/>
      <w:bookmarkStart w:id="114" w:name="_Toc184310317"/>
      <w:bookmarkEnd w:id="114"/>
      <w:bookmarkStart w:id="115" w:name="_Toc184314428"/>
      <w:bookmarkEnd w:id="115"/>
      <w:bookmarkStart w:id="116" w:name="_Toc184313293"/>
      <w:bookmarkEnd w:id="116"/>
      <w:bookmarkStart w:id="117" w:name="_Toc184312116"/>
      <w:bookmarkEnd w:id="117"/>
      <w:bookmarkStart w:id="118" w:name="_Toc184314431"/>
      <w:bookmarkEnd w:id="118"/>
      <w:bookmarkStart w:id="119" w:name="_Toc184313247"/>
      <w:bookmarkEnd w:id="119"/>
      <w:bookmarkStart w:id="120" w:name="_Toc184310285"/>
      <w:bookmarkEnd w:id="120"/>
      <w:bookmarkStart w:id="121" w:name="_Toc184312072"/>
      <w:bookmarkEnd w:id="121"/>
      <w:bookmarkStart w:id="122" w:name="_Toc184310291"/>
      <w:bookmarkEnd w:id="122"/>
      <w:bookmarkStart w:id="123" w:name="_Toc184313302"/>
      <w:bookmarkEnd w:id="123"/>
      <w:bookmarkStart w:id="124" w:name="_Toc184312134"/>
      <w:bookmarkEnd w:id="124"/>
      <w:bookmarkStart w:id="125" w:name="_Toc184310277"/>
      <w:bookmarkEnd w:id="125"/>
      <w:bookmarkStart w:id="126" w:name="_Toc184312073"/>
      <w:bookmarkEnd w:id="126"/>
      <w:bookmarkStart w:id="127" w:name="_Toc184308044"/>
      <w:bookmarkEnd w:id="127"/>
      <w:bookmarkStart w:id="128" w:name="_Toc184312122"/>
      <w:bookmarkEnd w:id="128"/>
      <w:bookmarkStart w:id="129" w:name="_Toc184314419"/>
      <w:bookmarkEnd w:id="129"/>
      <w:bookmarkStart w:id="130" w:name="_Toc184313240"/>
      <w:bookmarkEnd w:id="130"/>
      <w:bookmarkStart w:id="131" w:name="_Toc184313283"/>
      <w:bookmarkEnd w:id="131"/>
      <w:bookmarkStart w:id="132" w:name="_Toc184314413"/>
      <w:bookmarkEnd w:id="132"/>
      <w:bookmarkStart w:id="133" w:name="_Toc184314424"/>
      <w:bookmarkEnd w:id="133"/>
      <w:bookmarkStart w:id="134" w:name="_Toc184312108"/>
      <w:bookmarkEnd w:id="134"/>
      <w:bookmarkStart w:id="135" w:name="_Toc184314467"/>
      <w:bookmarkEnd w:id="135"/>
      <w:bookmarkStart w:id="136" w:name="_Toc184314458"/>
      <w:bookmarkEnd w:id="136"/>
      <w:bookmarkStart w:id="137" w:name="_Toc184310324"/>
      <w:bookmarkEnd w:id="137"/>
      <w:bookmarkStart w:id="138" w:name="_Toc184313309"/>
      <w:bookmarkEnd w:id="138"/>
      <w:bookmarkStart w:id="139" w:name="_Toc184313268"/>
      <w:bookmarkEnd w:id="139"/>
      <w:bookmarkStart w:id="140" w:name="_Toc184314429"/>
      <w:bookmarkEnd w:id="140"/>
      <w:bookmarkStart w:id="141" w:name="_Toc184308079"/>
      <w:bookmarkEnd w:id="141"/>
      <w:bookmarkStart w:id="142" w:name="_Toc184313305"/>
      <w:bookmarkEnd w:id="142"/>
      <w:bookmarkStart w:id="143" w:name="_Toc184313256"/>
      <w:bookmarkEnd w:id="143"/>
      <w:bookmarkStart w:id="144" w:name="_Toc184314470"/>
      <w:bookmarkEnd w:id="144"/>
      <w:bookmarkStart w:id="145" w:name="_Toc184312067"/>
      <w:bookmarkEnd w:id="145"/>
      <w:bookmarkStart w:id="146" w:name="_Toc184310286"/>
      <w:bookmarkEnd w:id="146"/>
      <w:bookmarkStart w:id="147" w:name="_Toc184312095"/>
      <w:bookmarkEnd w:id="147"/>
      <w:bookmarkStart w:id="148" w:name="_Toc184308089"/>
      <w:bookmarkEnd w:id="148"/>
      <w:bookmarkStart w:id="149" w:name="_Toc184313258"/>
      <w:bookmarkEnd w:id="149"/>
      <w:bookmarkStart w:id="150" w:name="_Toc184313239"/>
      <w:bookmarkEnd w:id="150"/>
      <w:bookmarkStart w:id="151" w:name="_Toc184312126"/>
      <w:bookmarkEnd w:id="151"/>
      <w:bookmarkStart w:id="152" w:name="_Toc184314418"/>
      <w:bookmarkEnd w:id="152"/>
      <w:bookmarkStart w:id="153" w:name="_Toc184308049"/>
      <w:bookmarkEnd w:id="153"/>
      <w:bookmarkStart w:id="154" w:name="_Toc184308058"/>
      <w:bookmarkEnd w:id="154"/>
      <w:bookmarkStart w:id="155" w:name="_Toc184312127"/>
      <w:bookmarkEnd w:id="155"/>
      <w:bookmarkStart w:id="156" w:name="_Toc184310274"/>
      <w:bookmarkEnd w:id="156"/>
      <w:bookmarkStart w:id="157" w:name="_Toc184314464"/>
      <w:bookmarkEnd w:id="157"/>
      <w:bookmarkStart w:id="158" w:name="_Toc184310342"/>
      <w:bookmarkEnd w:id="158"/>
      <w:bookmarkStart w:id="159" w:name="_Toc184308065"/>
      <w:bookmarkEnd w:id="159"/>
      <w:bookmarkStart w:id="160" w:name="_Toc184313279"/>
      <w:bookmarkEnd w:id="160"/>
      <w:bookmarkStart w:id="161" w:name="_Toc184314421"/>
      <w:bookmarkEnd w:id="161"/>
      <w:bookmarkStart w:id="162" w:name="_Toc184313286"/>
      <w:bookmarkEnd w:id="162"/>
      <w:bookmarkStart w:id="163" w:name="_Toc184313253"/>
      <w:bookmarkEnd w:id="163"/>
      <w:bookmarkStart w:id="164" w:name="_Toc184314438"/>
      <w:bookmarkEnd w:id="164"/>
      <w:bookmarkStart w:id="165" w:name="_Toc184308091"/>
      <w:bookmarkEnd w:id="165"/>
      <w:bookmarkStart w:id="166" w:name="_Toc184312093"/>
      <w:bookmarkEnd w:id="166"/>
      <w:bookmarkStart w:id="167" w:name="_Toc184310310"/>
      <w:bookmarkEnd w:id="167"/>
      <w:bookmarkStart w:id="168" w:name="_Toc184313262"/>
      <w:bookmarkEnd w:id="168"/>
      <w:bookmarkStart w:id="169" w:name="_Toc184313276"/>
      <w:bookmarkEnd w:id="169"/>
      <w:bookmarkStart w:id="170" w:name="_Toc184308041"/>
      <w:bookmarkEnd w:id="170"/>
      <w:bookmarkStart w:id="171" w:name="_Toc184313251"/>
      <w:bookmarkEnd w:id="171"/>
      <w:bookmarkStart w:id="172" w:name="_Toc184310276"/>
      <w:bookmarkEnd w:id="172"/>
      <w:bookmarkStart w:id="173" w:name="_Toc184314477"/>
      <w:bookmarkEnd w:id="173"/>
      <w:bookmarkStart w:id="174" w:name="_Toc184314437"/>
      <w:bookmarkEnd w:id="174"/>
      <w:bookmarkStart w:id="175" w:name="_Toc184310287"/>
      <w:bookmarkEnd w:id="175"/>
      <w:bookmarkStart w:id="176" w:name="_Toc184314435"/>
      <w:bookmarkEnd w:id="176"/>
      <w:bookmarkStart w:id="177" w:name="_Toc184310294"/>
      <w:bookmarkEnd w:id="177"/>
      <w:bookmarkStart w:id="178" w:name="_Toc184313248"/>
      <w:bookmarkEnd w:id="178"/>
      <w:bookmarkStart w:id="179" w:name="_Toc184313272"/>
      <w:bookmarkEnd w:id="179"/>
      <w:bookmarkStart w:id="180" w:name="_Toc184308048"/>
      <w:bookmarkEnd w:id="180"/>
      <w:bookmarkStart w:id="181" w:name="_Toc184312087"/>
      <w:bookmarkEnd w:id="181"/>
      <w:bookmarkStart w:id="182" w:name="_Toc184310328"/>
      <w:bookmarkEnd w:id="182"/>
      <w:bookmarkStart w:id="183" w:name="_Toc184308107"/>
      <w:bookmarkEnd w:id="183"/>
      <w:bookmarkStart w:id="184" w:name="_Toc184308054"/>
      <w:bookmarkEnd w:id="184"/>
      <w:bookmarkStart w:id="185" w:name="_Toc184313260"/>
      <w:bookmarkEnd w:id="185"/>
      <w:bookmarkStart w:id="186" w:name="_Toc184310283"/>
      <w:bookmarkEnd w:id="186"/>
      <w:bookmarkStart w:id="187" w:name="_Toc184313285"/>
      <w:bookmarkEnd w:id="187"/>
      <w:bookmarkStart w:id="188" w:name="_Toc184310335"/>
      <w:bookmarkEnd w:id="188"/>
      <w:bookmarkStart w:id="189" w:name="_Toc184313241"/>
      <w:bookmarkEnd w:id="189"/>
      <w:bookmarkStart w:id="190" w:name="_Toc184308092"/>
      <w:bookmarkEnd w:id="190"/>
      <w:bookmarkStart w:id="191" w:name="_Toc184312086"/>
      <w:bookmarkEnd w:id="191"/>
      <w:bookmarkStart w:id="192" w:name="_Toc184308051"/>
      <w:bookmarkEnd w:id="192"/>
      <w:bookmarkStart w:id="193" w:name="_Toc184312075"/>
      <w:bookmarkEnd w:id="193"/>
      <w:bookmarkStart w:id="194" w:name="_Toc184308098"/>
      <w:bookmarkEnd w:id="194"/>
      <w:bookmarkStart w:id="195" w:name="_Toc184310284"/>
      <w:bookmarkEnd w:id="195"/>
      <w:bookmarkStart w:id="196" w:name="_Toc184310282"/>
      <w:bookmarkEnd w:id="196"/>
      <w:bookmarkStart w:id="197" w:name="_Toc184314441"/>
      <w:bookmarkEnd w:id="197"/>
      <w:bookmarkStart w:id="198" w:name="_Toc184310334"/>
      <w:bookmarkEnd w:id="198"/>
      <w:bookmarkStart w:id="199" w:name="_Toc184308075"/>
      <w:bookmarkEnd w:id="199"/>
      <w:bookmarkStart w:id="200" w:name="_Toc184308099"/>
      <w:bookmarkEnd w:id="200"/>
      <w:bookmarkStart w:id="201" w:name="_Toc184313244"/>
      <w:bookmarkEnd w:id="201"/>
      <w:bookmarkStart w:id="202" w:name="_Toc184308103"/>
      <w:bookmarkEnd w:id="202"/>
      <w:bookmarkStart w:id="203" w:name="_Toc184313259"/>
      <w:bookmarkEnd w:id="203"/>
      <w:bookmarkStart w:id="204" w:name="_Toc184312137"/>
      <w:bookmarkEnd w:id="204"/>
      <w:bookmarkStart w:id="205" w:name="_Toc184313294"/>
      <w:bookmarkEnd w:id="205"/>
      <w:bookmarkStart w:id="206" w:name="_Toc184312085"/>
      <w:bookmarkEnd w:id="206"/>
      <w:bookmarkStart w:id="207" w:name="_Toc184314465"/>
      <w:bookmarkEnd w:id="207"/>
      <w:bookmarkStart w:id="208" w:name="_Toc184312112"/>
      <w:bookmarkEnd w:id="208"/>
      <w:bookmarkStart w:id="209" w:name="_Toc184314440"/>
      <w:bookmarkEnd w:id="209"/>
      <w:bookmarkStart w:id="210" w:name="_Toc184310315"/>
      <w:bookmarkEnd w:id="210"/>
      <w:bookmarkStart w:id="211" w:name="_Toc184310344"/>
      <w:bookmarkEnd w:id="211"/>
      <w:bookmarkStart w:id="212" w:name="_Toc184310311"/>
      <w:bookmarkEnd w:id="212"/>
      <w:bookmarkStart w:id="213" w:name="_Toc184312083"/>
      <w:bookmarkEnd w:id="213"/>
      <w:bookmarkStart w:id="214" w:name="_Toc184308055"/>
      <w:bookmarkEnd w:id="214"/>
      <w:bookmarkStart w:id="215" w:name="_Toc184313264"/>
      <w:bookmarkEnd w:id="215"/>
      <w:bookmarkStart w:id="216" w:name="_Toc184310278"/>
      <w:bookmarkEnd w:id="216"/>
      <w:bookmarkStart w:id="217" w:name="_Toc184308042"/>
      <w:bookmarkEnd w:id="217"/>
      <w:bookmarkStart w:id="218" w:name="_Toc184308073"/>
      <w:bookmarkEnd w:id="218"/>
      <w:bookmarkStart w:id="219" w:name="_Toc184313299"/>
      <w:bookmarkEnd w:id="219"/>
      <w:bookmarkStart w:id="220" w:name="_Toc184312097"/>
      <w:bookmarkEnd w:id="220"/>
      <w:bookmarkStart w:id="221" w:name="_Toc184312106"/>
      <w:bookmarkEnd w:id="221"/>
      <w:bookmarkStart w:id="222" w:name="_Toc184314457"/>
      <w:bookmarkEnd w:id="222"/>
      <w:bookmarkStart w:id="223" w:name="_Toc184314456"/>
      <w:bookmarkEnd w:id="223"/>
      <w:bookmarkStart w:id="224" w:name="_Toc184313297"/>
      <w:bookmarkEnd w:id="224"/>
      <w:bookmarkStart w:id="225" w:name="_Toc184314475"/>
      <w:bookmarkEnd w:id="225"/>
      <w:bookmarkStart w:id="226" w:name="_Toc184312113"/>
      <w:bookmarkEnd w:id="226"/>
      <w:bookmarkStart w:id="227" w:name="_Toc184314452"/>
      <w:bookmarkEnd w:id="227"/>
      <w:bookmarkStart w:id="228" w:name="_Toc184314411"/>
      <w:bookmarkEnd w:id="228"/>
      <w:bookmarkStart w:id="229" w:name="_Toc184314434"/>
      <w:bookmarkEnd w:id="229"/>
      <w:bookmarkStart w:id="230" w:name="_Toc184314414"/>
      <w:bookmarkEnd w:id="230"/>
      <w:bookmarkStart w:id="231" w:name="_Toc184310304"/>
      <w:bookmarkEnd w:id="231"/>
      <w:bookmarkStart w:id="232" w:name="_Toc184312081"/>
      <w:bookmarkEnd w:id="232"/>
      <w:bookmarkStart w:id="233" w:name="_Toc184310322"/>
      <w:bookmarkEnd w:id="233"/>
      <w:bookmarkStart w:id="234" w:name="_Toc184308090"/>
      <w:bookmarkEnd w:id="234"/>
      <w:bookmarkStart w:id="235" w:name="_Toc184313250"/>
      <w:bookmarkEnd w:id="235"/>
      <w:bookmarkStart w:id="236" w:name="_Toc184310343"/>
      <w:bookmarkEnd w:id="236"/>
      <w:bookmarkStart w:id="237" w:name="_Toc184313288"/>
      <w:bookmarkEnd w:id="237"/>
      <w:bookmarkStart w:id="238" w:name="_Toc184308082"/>
      <w:bookmarkEnd w:id="238"/>
      <w:bookmarkStart w:id="239" w:name="_Toc184308093"/>
      <w:bookmarkEnd w:id="239"/>
      <w:bookmarkStart w:id="240" w:name="_Toc184308078"/>
      <w:bookmarkEnd w:id="240"/>
      <w:bookmarkStart w:id="241" w:name="_Toc184313257"/>
      <w:bookmarkEnd w:id="241"/>
      <w:bookmarkStart w:id="242" w:name="_Toc184308066"/>
      <w:bookmarkEnd w:id="242"/>
      <w:bookmarkStart w:id="243" w:name="_Toc184308061"/>
      <w:bookmarkEnd w:id="243"/>
      <w:bookmarkStart w:id="244" w:name="_Toc184308037"/>
      <w:bookmarkEnd w:id="244"/>
      <w:bookmarkStart w:id="245" w:name="_Toc184314459"/>
      <w:bookmarkEnd w:id="245"/>
      <w:bookmarkStart w:id="246" w:name="_Toc184313308"/>
      <w:bookmarkEnd w:id="246"/>
      <w:bookmarkStart w:id="247" w:name="_Toc184308036"/>
      <w:bookmarkEnd w:id="247"/>
      <w:bookmarkStart w:id="248" w:name="_Toc184308040"/>
      <w:bookmarkEnd w:id="248"/>
      <w:bookmarkStart w:id="249" w:name="_Toc184313243"/>
      <w:bookmarkEnd w:id="249"/>
      <w:bookmarkStart w:id="250" w:name="_Toc184310306"/>
      <w:bookmarkEnd w:id="250"/>
      <w:bookmarkStart w:id="251" w:name="_Toc184310296"/>
      <w:bookmarkEnd w:id="251"/>
      <w:bookmarkStart w:id="252" w:name="_Toc184312079"/>
      <w:bookmarkEnd w:id="252"/>
      <w:bookmarkStart w:id="253" w:name="_Toc184313295"/>
      <w:bookmarkEnd w:id="253"/>
      <w:bookmarkStart w:id="254" w:name="_Toc184308087"/>
      <w:bookmarkEnd w:id="254"/>
      <w:bookmarkStart w:id="255" w:name="_Toc184310293"/>
      <w:bookmarkEnd w:id="255"/>
      <w:bookmarkStart w:id="256" w:name="_Toc184312123"/>
      <w:bookmarkEnd w:id="256"/>
      <w:bookmarkStart w:id="257" w:name="_Toc184312102"/>
      <w:bookmarkEnd w:id="257"/>
      <w:bookmarkStart w:id="258" w:name="_Toc184308059"/>
      <w:bookmarkEnd w:id="258"/>
      <w:bookmarkStart w:id="259" w:name="_Toc184312069"/>
      <w:bookmarkEnd w:id="259"/>
      <w:bookmarkStart w:id="260" w:name="_Toc184314481"/>
      <w:bookmarkEnd w:id="260"/>
      <w:bookmarkStart w:id="261" w:name="_Toc184310300"/>
      <w:bookmarkEnd w:id="261"/>
      <w:bookmarkStart w:id="262" w:name="_Toc184314482"/>
      <w:bookmarkEnd w:id="262"/>
      <w:bookmarkStart w:id="263" w:name="_Toc184312109"/>
      <w:bookmarkEnd w:id="263"/>
      <w:bookmarkStart w:id="264" w:name="_Toc184314450"/>
      <w:bookmarkEnd w:id="264"/>
      <w:bookmarkStart w:id="265" w:name="_Toc184310308"/>
      <w:bookmarkEnd w:id="265"/>
      <w:bookmarkStart w:id="266" w:name="_Toc184313298"/>
      <w:bookmarkEnd w:id="266"/>
      <w:bookmarkStart w:id="267" w:name="_Toc184308076"/>
      <w:bookmarkEnd w:id="267"/>
      <w:bookmarkStart w:id="268" w:name="_Toc184308069"/>
      <w:bookmarkEnd w:id="268"/>
      <w:bookmarkStart w:id="269" w:name="_Toc184310337"/>
      <w:bookmarkEnd w:id="269"/>
      <w:bookmarkStart w:id="270" w:name="_Toc184310272"/>
      <w:bookmarkEnd w:id="270"/>
      <w:bookmarkStart w:id="271" w:name="_Toc184312125"/>
      <w:bookmarkEnd w:id="271"/>
      <w:bookmarkStart w:id="272" w:name="_Toc184312118"/>
      <w:bookmarkEnd w:id="272"/>
      <w:bookmarkStart w:id="273" w:name="_Toc184310280"/>
      <w:bookmarkEnd w:id="273"/>
      <w:bookmarkStart w:id="274" w:name="_Toc184313252"/>
      <w:bookmarkEnd w:id="274"/>
      <w:bookmarkStart w:id="275" w:name="_Toc184313304"/>
      <w:bookmarkEnd w:id="275"/>
      <w:bookmarkStart w:id="276" w:name="_Toc184312071"/>
      <w:bookmarkEnd w:id="276"/>
      <w:bookmarkStart w:id="277" w:name="_Toc184314473"/>
      <w:bookmarkEnd w:id="277"/>
      <w:bookmarkStart w:id="278" w:name="_Toc184313242"/>
      <w:bookmarkEnd w:id="278"/>
      <w:bookmarkStart w:id="279" w:name="_Toc184313246"/>
      <w:bookmarkEnd w:id="279"/>
      <w:bookmarkStart w:id="280" w:name="_Toc184313270"/>
      <w:bookmarkEnd w:id="280"/>
      <w:bookmarkStart w:id="281" w:name="_Toc184313291"/>
      <w:bookmarkEnd w:id="281"/>
      <w:bookmarkStart w:id="282" w:name="_Toc184308088"/>
      <w:bookmarkEnd w:id="282"/>
      <w:bookmarkStart w:id="283" w:name="_Toc184312121"/>
      <w:bookmarkEnd w:id="283"/>
      <w:bookmarkStart w:id="284" w:name="_Toc184310289"/>
      <w:bookmarkEnd w:id="284"/>
      <w:bookmarkStart w:id="285" w:name="_Toc184314444"/>
      <w:bookmarkEnd w:id="285"/>
      <w:bookmarkStart w:id="286" w:name="_Toc184308085"/>
      <w:bookmarkEnd w:id="286"/>
      <w:bookmarkStart w:id="287" w:name="_Toc184314471"/>
      <w:bookmarkEnd w:id="287"/>
      <w:bookmarkStart w:id="288" w:name="_Toc184310326"/>
      <w:bookmarkEnd w:id="288"/>
      <w:bookmarkStart w:id="289" w:name="_Toc184312139"/>
      <w:bookmarkEnd w:id="289"/>
      <w:bookmarkStart w:id="290" w:name="_Toc184312115"/>
      <w:bookmarkEnd w:id="290"/>
      <w:bookmarkStart w:id="291" w:name="_Toc184310329"/>
      <w:bookmarkEnd w:id="291"/>
      <w:bookmarkStart w:id="292" w:name="_Toc184313274"/>
      <w:bookmarkEnd w:id="292"/>
      <w:bookmarkStart w:id="293" w:name="_Toc184314466"/>
      <w:bookmarkEnd w:id="293"/>
      <w:bookmarkStart w:id="294" w:name="_Toc184312099"/>
      <w:bookmarkEnd w:id="294"/>
      <w:bookmarkStart w:id="295" w:name="_Toc184308100"/>
      <w:bookmarkEnd w:id="295"/>
      <w:bookmarkStart w:id="296" w:name="_Toc184312104"/>
      <w:bookmarkEnd w:id="296"/>
      <w:bookmarkStart w:id="297" w:name="_Toc184308104"/>
      <w:bookmarkEnd w:id="297"/>
      <w:bookmarkStart w:id="298" w:name="_Toc184310297"/>
      <w:bookmarkEnd w:id="298"/>
      <w:bookmarkStart w:id="299" w:name="_Toc184313306"/>
      <w:bookmarkEnd w:id="299"/>
      <w:bookmarkStart w:id="300" w:name="_Toc184314426"/>
      <w:bookmarkEnd w:id="300"/>
      <w:bookmarkStart w:id="301" w:name="_Toc184310319"/>
      <w:bookmarkEnd w:id="301"/>
      <w:bookmarkStart w:id="302" w:name="_Toc184310330"/>
      <w:bookmarkEnd w:id="302"/>
      <w:bookmarkStart w:id="303" w:name="_Toc184312107"/>
      <w:bookmarkEnd w:id="303"/>
      <w:bookmarkStart w:id="304" w:name="_Toc184313303"/>
      <w:bookmarkEnd w:id="304"/>
      <w:bookmarkStart w:id="305" w:name="_Toc184313238"/>
      <w:bookmarkEnd w:id="305"/>
      <w:bookmarkStart w:id="306" w:name="_Toc184310288"/>
      <w:bookmarkEnd w:id="306"/>
      <w:bookmarkStart w:id="307" w:name="_Toc184308053"/>
      <w:bookmarkEnd w:id="307"/>
      <w:bookmarkStart w:id="308" w:name="_Toc184310275"/>
      <w:bookmarkEnd w:id="308"/>
      <w:bookmarkStart w:id="309" w:name="_Toc184310313"/>
      <w:bookmarkEnd w:id="309"/>
      <w:bookmarkStart w:id="310" w:name="_Toc184313284"/>
      <w:bookmarkEnd w:id="310"/>
      <w:bookmarkStart w:id="311" w:name="_Toc184314422"/>
      <w:bookmarkEnd w:id="311"/>
      <w:bookmarkStart w:id="312" w:name="_Toc184308045"/>
      <w:bookmarkEnd w:id="312"/>
      <w:bookmarkStart w:id="313" w:name="_Toc184314430"/>
      <w:bookmarkEnd w:id="313"/>
      <w:bookmarkStart w:id="314" w:name="_Toc184310281"/>
      <w:bookmarkEnd w:id="314"/>
      <w:bookmarkStart w:id="315" w:name="_Toc184314480"/>
      <w:bookmarkEnd w:id="315"/>
      <w:bookmarkStart w:id="316" w:name="_Toc184308050"/>
      <w:bookmarkEnd w:id="316"/>
      <w:bookmarkStart w:id="317" w:name="_Toc184313310"/>
      <w:bookmarkEnd w:id="317"/>
      <w:bookmarkStart w:id="318" w:name="_Toc184312096"/>
      <w:bookmarkEnd w:id="318"/>
      <w:bookmarkStart w:id="319" w:name="_Toc184310320"/>
      <w:bookmarkEnd w:id="319"/>
      <w:bookmarkStart w:id="320" w:name="_Toc184308097"/>
      <w:bookmarkEnd w:id="320"/>
      <w:bookmarkStart w:id="321" w:name="_Toc184314412"/>
      <w:bookmarkEnd w:id="321"/>
      <w:bookmarkStart w:id="322" w:name="_Toc184310295"/>
      <w:bookmarkEnd w:id="322"/>
      <w:bookmarkStart w:id="323" w:name="_Toc184310273"/>
      <w:bookmarkEnd w:id="323"/>
      <w:bookmarkStart w:id="324" w:name="_Toc184314455"/>
      <w:bookmarkEnd w:id="324"/>
      <w:bookmarkStart w:id="325" w:name="_Toc184308072"/>
      <w:bookmarkEnd w:id="325"/>
      <w:bookmarkStart w:id="326" w:name="_Toc184308101"/>
      <w:bookmarkEnd w:id="326"/>
      <w:bookmarkStart w:id="327" w:name="_Toc184312098"/>
      <w:bookmarkEnd w:id="327"/>
      <w:bookmarkStart w:id="328" w:name="_Toc184310292"/>
      <w:bookmarkEnd w:id="328"/>
      <w:bookmarkStart w:id="329" w:name="_Toc184314478"/>
      <w:bookmarkEnd w:id="329"/>
      <w:bookmarkStart w:id="330" w:name="_Toc184310338"/>
      <w:bookmarkEnd w:id="330"/>
      <w:bookmarkStart w:id="331" w:name="_Toc184308046"/>
      <w:bookmarkEnd w:id="331"/>
      <w:bookmarkStart w:id="332" w:name="_Toc184308063"/>
      <w:bookmarkEnd w:id="332"/>
      <w:bookmarkStart w:id="333" w:name="_Toc184314439"/>
      <w:bookmarkEnd w:id="333"/>
      <w:bookmarkStart w:id="334" w:name="_Toc184314448"/>
      <w:bookmarkEnd w:id="334"/>
      <w:bookmarkStart w:id="335" w:name="_Toc184308105"/>
      <w:bookmarkEnd w:id="335"/>
      <w:bookmarkStart w:id="336" w:name="_Toc184314417"/>
      <w:bookmarkEnd w:id="336"/>
      <w:bookmarkStart w:id="337" w:name="_Toc184308108"/>
      <w:bookmarkEnd w:id="337"/>
      <w:bookmarkStart w:id="338" w:name="_Toc184312110"/>
      <w:bookmarkEnd w:id="338"/>
      <w:bookmarkStart w:id="339" w:name="_Toc184308070"/>
      <w:bookmarkEnd w:id="339"/>
      <w:bookmarkStart w:id="340" w:name="_Toc184313290"/>
      <w:bookmarkEnd w:id="340"/>
      <w:bookmarkStart w:id="341" w:name="_Toc184312128"/>
      <w:bookmarkEnd w:id="341"/>
      <w:bookmarkStart w:id="342" w:name="_Toc184310312"/>
      <w:bookmarkEnd w:id="342"/>
      <w:bookmarkStart w:id="343" w:name="_Toc184310341"/>
      <w:bookmarkEnd w:id="343"/>
      <w:bookmarkStart w:id="344" w:name="_Toc184312124"/>
      <w:bookmarkEnd w:id="344"/>
      <w:bookmarkStart w:id="345" w:name="_Toc184308080"/>
      <w:bookmarkEnd w:id="345"/>
      <w:bookmarkStart w:id="346" w:name="_Toc184310332"/>
      <w:bookmarkEnd w:id="346"/>
      <w:bookmarkStart w:id="347" w:name="_Toc184314415"/>
      <w:bookmarkEnd w:id="347"/>
      <w:bookmarkStart w:id="348" w:name="_Toc184312091"/>
      <w:bookmarkEnd w:id="348"/>
      <w:bookmarkStart w:id="349" w:name="_Toc184314410"/>
      <w:bookmarkEnd w:id="349"/>
      <w:bookmarkStart w:id="350" w:name="_Toc184314446"/>
      <w:bookmarkEnd w:id="350"/>
      <w:bookmarkStart w:id="351" w:name="_Toc184312117"/>
      <w:bookmarkEnd w:id="351"/>
      <w:bookmarkStart w:id="352" w:name="_Toc184313273"/>
      <w:bookmarkEnd w:id="352"/>
      <w:bookmarkStart w:id="353" w:name="_Toc184314449"/>
      <w:bookmarkEnd w:id="353"/>
      <w:bookmarkStart w:id="354" w:name="_Toc184314462"/>
      <w:bookmarkEnd w:id="354"/>
      <w:bookmarkStart w:id="355" w:name="_Toc184314427"/>
      <w:bookmarkEnd w:id="355"/>
      <w:bookmarkStart w:id="356" w:name="_Toc184310336"/>
      <w:bookmarkEnd w:id="356"/>
      <w:bookmarkStart w:id="357" w:name="_Toc184312080"/>
      <w:bookmarkEnd w:id="357"/>
      <w:bookmarkStart w:id="358" w:name="_Toc184312130"/>
      <w:bookmarkEnd w:id="358"/>
      <w:bookmarkStart w:id="359" w:name="_Toc184313296"/>
      <w:bookmarkEnd w:id="359"/>
      <w:bookmarkStart w:id="360" w:name="_Toc184308102"/>
      <w:bookmarkEnd w:id="360"/>
      <w:bookmarkStart w:id="361" w:name="_Toc184313269"/>
      <w:bookmarkEnd w:id="361"/>
      <w:bookmarkStart w:id="362" w:name="_Toc184312132"/>
      <w:bookmarkEnd w:id="362"/>
      <w:bookmarkStart w:id="363" w:name="_Toc184314416"/>
      <w:bookmarkEnd w:id="363"/>
      <w:bookmarkStart w:id="364" w:name="_Toc184310301"/>
      <w:bookmarkEnd w:id="364"/>
      <w:bookmarkStart w:id="365" w:name="_Toc184308083"/>
      <w:bookmarkEnd w:id="365"/>
      <w:bookmarkStart w:id="366" w:name="_Toc184312133"/>
      <w:bookmarkEnd w:id="366"/>
      <w:bookmarkStart w:id="367" w:name="_Toc184308064"/>
      <w:bookmarkEnd w:id="367"/>
      <w:bookmarkStart w:id="368" w:name="_Toc184313289"/>
      <w:bookmarkEnd w:id="368"/>
      <w:bookmarkStart w:id="369" w:name="_Toc184308060"/>
      <w:bookmarkEnd w:id="369"/>
      <w:bookmarkStart w:id="370" w:name="_Toc184313267"/>
      <w:bookmarkEnd w:id="370"/>
      <w:bookmarkStart w:id="371" w:name="_Toc184312136"/>
      <w:bookmarkEnd w:id="371"/>
      <w:bookmarkStart w:id="372" w:name="_Toc184313261"/>
      <w:bookmarkEnd w:id="372"/>
      <w:bookmarkStart w:id="373" w:name="_Toc184312105"/>
      <w:bookmarkEnd w:id="373"/>
      <w:bookmarkStart w:id="374" w:name="_Toc184313278"/>
      <w:bookmarkEnd w:id="374"/>
      <w:bookmarkStart w:id="375" w:name="_Toc184313263"/>
      <w:bookmarkEnd w:id="375"/>
      <w:bookmarkStart w:id="376" w:name="_Toc184308074"/>
      <w:bookmarkEnd w:id="376"/>
      <w:bookmarkStart w:id="377" w:name="_Toc184314479"/>
      <w:bookmarkEnd w:id="377"/>
      <w:bookmarkStart w:id="378" w:name="_Toc184312077"/>
      <w:bookmarkEnd w:id="378"/>
      <w:bookmarkStart w:id="379" w:name="_Toc184310309"/>
      <w:bookmarkEnd w:id="379"/>
      <w:bookmarkStart w:id="380" w:name="_Toc184308052"/>
      <w:bookmarkEnd w:id="380"/>
      <w:bookmarkStart w:id="381" w:name="_Toc184313254"/>
      <w:bookmarkEnd w:id="381"/>
      <w:bookmarkStart w:id="382" w:name="_Toc184313249"/>
      <w:bookmarkEnd w:id="382"/>
      <w:bookmarkStart w:id="383" w:name="_Toc184314469"/>
      <w:bookmarkEnd w:id="383"/>
      <w:bookmarkStart w:id="384" w:name="_Toc184310290"/>
      <w:bookmarkEnd w:id="384"/>
      <w:bookmarkStart w:id="385" w:name="_Toc184313277"/>
      <w:bookmarkEnd w:id="385"/>
      <w:bookmarkStart w:id="386" w:name="_Toc184308067"/>
      <w:bookmarkEnd w:id="386"/>
      <w:bookmarkStart w:id="387" w:name="_Toc184312076"/>
      <w:bookmarkEnd w:id="387"/>
      <w:bookmarkStart w:id="388" w:name="_Toc184310325"/>
      <w:bookmarkEnd w:id="388"/>
      <w:bookmarkStart w:id="389" w:name="_Toc184312119"/>
      <w:bookmarkEnd w:id="389"/>
      <w:bookmarkStart w:id="390" w:name="_Toc184312114"/>
      <w:bookmarkEnd w:id="390"/>
      <w:bookmarkStart w:id="391" w:name="_Toc184313282"/>
      <w:bookmarkEnd w:id="391"/>
      <w:bookmarkStart w:id="392" w:name="_Toc184308057"/>
      <w:bookmarkEnd w:id="392"/>
      <w:bookmarkStart w:id="393" w:name="_Toc184314436"/>
      <w:bookmarkEnd w:id="393"/>
      <w:bookmarkStart w:id="394" w:name="_Toc184313275"/>
      <w:bookmarkEnd w:id="394"/>
      <w:bookmarkStart w:id="395" w:name="_Toc184313281"/>
      <w:bookmarkEnd w:id="395"/>
      <w:bookmarkStart w:id="396" w:name="_Toc184313280"/>
      <w:bookmarkEnd w:id="396"/>
      <w:bookmarkStart w:id="397" w:name="_Toc184312135"/>
      <w:bookmarkEnd w:id="397"/>
      <w:bookmarkStart w:id="398" w:name="_Toc184312068"/>
      <w:bookmarkEnd w:id="398"/>
      <w:bookmarkStart w:id="399" w:name="_Toc184313287"/>
      <w:bookmarkEnd w:id="399"/>
      <w:r>
        <w:rPr>
          <w:rFonts w:hint="eastAsia" w:ascii="宋体" w:hAnsi="宋体" w:cs="宋体"/>
          <w:b/>
          <w:sz w:val="36"/>
          <w:szCs w:val="36"/>
          <w:highlight w:val="none"/>
        </w:rPr>
        <w:t>评标办法</w:t>
      </w:r>
    </w:p>
    <w:p>
      <w:pPr>
        <w:snapToGrid w:val="0"/>
        <w:spacing w:line="360" w:lineRule="auto"/>
        <w:jc w:val="center"/>
        <w:outlineLvl w:val="1"/>
        <w:rPr>
          <w:rFonts w:ascii="宋体" w:hAnsi="宋体" w:cs="宋体"/>
          <w:b/>
          <w:sz w:val="32"/>
          <w:szCs w:val="20"/>
          <w:highlight w:val="none"/>
        </w:rPr>
      </w:pPr>
      <w:r>
        <w:rPr>
          <w:rFonts w:hint="eastAsia" w:ascii="宋体" w:hAnsi="宋体" w:cs="宋体"/>
          <w:b/>
          <w:sz w:val="32"/>
          <w:szCs w:val="20"/>
          <w:highlight w:val="none"/>
        </w:rPr>
        <w:t>评标办法前附表</w:t>
      </w:r>
    </w:p>
    <w:tbl>
      <w:tblPr>
        <w:tblStyle w:val="63"/>
        <w:tblpPr w:leftFromText="180" w:rightFromText="180" w:vertAnchor="text" w:horzAnchor="page" w:tblpX="1563" w:tblpY="627"/>
        <w:tblOverlap w:val="never"/>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5332"/>
        <w:gridCol w:w="686"/>
        <w:gridCol w:w="825"/>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56" w:type="dxa"/>
            <w:vAlign w:val="center"/>
          </w:tcPr>
          <w:p>
            <w:pPr>
              <w:snapToGrid w:val="0"/>
              <w:jc w:val="center"/>
              <w:rPr>
                <w:rFonts w:ascii="宋体" w:hAnsi="宋体" w:cs="宋体"/>
                <w:b/>
                <w:bCs/>
                <w:szCs w:val="21"/>
                <w:highlight w:val="none"/>
              </w:rPr>
            </w:pPr>
            <w:r>
              <w:rPr>
                <w:rFonts w:hint="eastAsia" w:ascii="宋体" w:hAnsi="宋体" w:cs="宋体"/>
                <w:b/>
                <w:bCs/>
                <w:szCs w:val="21"/>
                <w:highlight w:val="none"/>
              </w:rPr>
              <w:t>序号</w:t>
            </w:r>
          </w:p>
        </w:tc>
        <w:tc>
          <w:tcPr>
            <w:tcW w:w="5332" w:type="dxa"/>
            <w:vAlign w:val="center"/>
          </w:tcPr>
          <w:p>
            <w:pPr>
              <w:snapToGrid w:val="0"/>
              <w:jc w:val="center"/>
              <w:rPr>
                <w:rFonts w:ascii="宋体" w:hAnsi="宋体" w:cs="宋体"/>
                <w:b/>
                <w:bCs/>
                <w:szCs w:val="21"/>
                <w:highlight w:val="none"/>
              </w:rPr>
            </w:pPr>
            <w:r>
              <w:rPr>
                <w:rFonts w:hint="eastAsia" w:ascii="宋体" w:hAnsi="宋体" w:cs="宋体"/>
                <w:b/>
                <w:bCs/>
                <w:szCs w:val="21"/>
                <w:highlight w:val="none"/>
              </w:rPr>
              <w:t>评标标准</w:t>
            </w:r>
          </w:p>
        </w:tc>
        <w:tc>
          <w:tcPr>
            <w:tcW w:w="686" w:type="dxa"/>
            <w:vAlign w:val="center"/>
          </w:tcPr>
          <w:p>
            <w:pPr>
              <w:snapToGrid w:val="0"/>
              <w:jc w:val="center"/>
              <w:rPr>
                <w:rFonts w:ascii="宋体" w:hAnsi="宋体" w:cs="宋体"/>
                <w:b/>
                <w:bCs/>
                <w:szCs w:val="21"/>
                <w:highlight w:val="none"/>
              </w:rPr>
            </w:pPr>
            <w:r>
              <w:rPr>
                <w:rFonts w:hint="eastAsia" w:ascii="宋体" w:hAnsi="宋体" w:cs="宋体"/>
                <w:b/>
                <w:bCs/>
                <w:szCs w:val="21"/>
                <w:highlight w:val="none"/>
              </w:rPr>
              <w:t>权重</w:t>
            </w:r>
          </w:p>
        </w:tc>
        <w:tc>
          <w:tcPr>
            <w:tcW w:w="825" w:type="dxa"/>
            <w:vAlign w:val="center"/>
          </w:tcPr>
          <w:p>
            <w:pPr>
              <w:snapToGrid w:val="0"/>
              <w:jc w:val="center"/>
              <w:rPr>
                <w:rFonts w:ascii="宋体" w:hAnsi="宋体" w:cs="宋体"/>
                <w:b/>
                <w:bCs/>
                <w:szCs w:val="21"/>
                <w:highlight w:val="none"/>
              </w:rPr>
            </w:pPr>
            <w:r>
              <w:rPr>
                <w:rFonts w:hint="eastAsia" w:ascii="宋体" w:hAnsi="宋体" w:cs="宋体"/>
                <w:b/>
                <w:bCs/>
                <w:szCs w:val="21"/>
                <w:highlight w:val="none"/>
              </w:rPr>
              <w:t>主观分/客观分属性</w:t>
            </w:r>
          </w:p>
        </w:tc>
        <w:tc>
          <w:tcPr>
            <w:tcW w:w="1714" w:type="dxa"/>
          </w:tcPr>
          <w:p>
            <w:pPr>
              <w:snapToGrid w:val="0"/>
              <w:jc w:val="center"/>
              <w:rPr>
                <w:rFonts w:ascii="宋体" w:hAnsi="宋体" w:cs="宋体"/>
                <w:b/>
                <w:bCs/>
                <w:szCs w:val="21"/>
                <w:highlight w:val="none"/>
              </w:rPr>
            </w:pPr>
            <w:r>
              <w:rPr>
                <w:rFonts w:hint="eastAsia" w:ascii="宋体" w:hAnsi="宋体" w:cs="宋体"/>
                <w:b/>
                <w:bCs/>
                <w:szCs w:val="21"/>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1</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投标人提供有效的ISO9001质量管理体系认证证书，证书的认证范围须包含实木、人造板、钢木、钢制、不锈钢、皮革等类别家具产品的设计、生产。</w:t>
            </w:r>
            <w:r>
              <w:rPr>
                <w:rFonts w:hint="eastAsia" w:cs="宋体" w:asciiTheme="minorEastAsia" w:hAnsiTheme="minorEastAsia" w:eastAsiaTheme="minorEastAsia"/>
                <w:kern w:val="0"/>
                <w:szCs w:val="21"/>
                <w:highlight w:val="none"/>
              </w:rPr>
              <w:t>（复印件、加盖投标人公章）</w:t>
            </w:r>
          </w:p>
          <w:p>
            <w:pPr>
              <w:snapToGrid w:val="0"/>
              <w:jc w:val="left"/>
              <w:rPr>
                <w:rFonts w:ascii="宋体" w:hAnsi="宋体" w:cs="宋体"/>
                <w:kern w:val="0"/>
                <w:szCs w:val="21"/>
                <w:highlight w:val="none"/>
              </w:rPr>
            </w:pPr>
            <w:r>
              <w:rPr>
                <w:rFonts w:hint="eastAsia" w:ascii="宋体" w:hAnsi="宋体" w:cs="宋体"/>
                <w:szCs w:val="21"/>
                <w:highlight w:val="none"/>
              </w:rPr>
              <w:t>证明材料：提供有效期内的认证证书或资质证书扫描件并附带全国认证认可信息公共服务平台（http://cx.cnca.cn/）查询截图。</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1</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2</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投标人提供有效的ISO14001环境管理体系认证证书，证书的认证范围须包含实木、人造板、钢木、钢制、不锈钢、皮革等类别家具产品的设计、生产。</w:t>
            </w:r>
            <w:r>
              <w:rPr>
                <w:rFonts w:hint="eastAsia" w:cs="宋体" w:asciiTheme="minorEastAsia" w:hAnsiTheme="minorEastAsia" w:eastAsiaTheme="minorEastAsia"/>
                <w:kern w:val="0"/>
                <w:szCs w:val="21"/>
                <w:highlight w:val="none"/>
              </w:rPr>
              <w:t>（复印件、加盖投标人公章）</w:t>
            </w:r>
          </w:p>
          <w:p>
            <w:pPr>
              <w:snapToGrid w:val="0"/>
              <w:jc w:val="left"/>
              <w:rPr>
                <w:rFonts w:ascii="宋体" w:hAnsi="宋体" w:cs="宋体"/>
                <w:szCs w:val="21"/>
                <w:highlight w:val="none"/>
              </w:rPr>
            </w:pPr>
            <w:r>
              <w:rPr>
                <w:rFonts w:hint="eastAsia" w:ascii="宋体" w:hAnsi="宋体" w:cs="宋体"/>
                <w:szCs w:val="21"/>
                <w:highlight w:val="none"/>
              </w:rPr>
              <w:t>证明材料：提供有效期内的认证证书或资质证书扫描件并附带全国认证认可信息公共服务平台（http://cx.cnca.cn/）查询截图。</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1</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3</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投标人提供有效的ISO45001职业健康安全管理体系认证证书，证书的认证范围须包含实木、人造板、钢木、钢制、不锈钢、皮革等类别家具产品的设计、生产。</w:t>
            </w:r>
            <w:r>
              <w:rPr>
                <w:rFonts w:hint="eastAsia" w:cs="宋体" w:asciiTheme="minorEastAsia" w:hAnsiTheme="minorEastAsia" w:eastAsiaTheme="minorEastAsia"/>
                <w:kern w:val="0"/>
                <w:szCs w:val="21"/>
                <w:highlight w:val="none"/>
              </w:rPr>
              <w:t>（复印件、加盖投标人公章）</w:t>
            </w:r>
          </w:p>
          <w:p>
            <w:pPr>
              <w:snapToGrid w:val="0"/>
              <w:jc w:val="left"/>
              <w:rPr>
                <w:rFonts w:ascii="宋体" w:hAnsi="宋体" w:cs="宋体"/>
                <w:szCs w:val="21"/>
                <w:highlight w:val="none"/>
              </w:rPr>
            </w:pPr>
            <w:r>
              <w:rPr>
                <w:rFonts w:hint="eastAsia" w:ascii="宋体" w:hAnsi="宋体" w:cs="宋体"/>
                <w:szCs w:val="21"/>
                <w:highlight w:val="none"/>
              </w:rPr>
              <w:t>证明材料：提供有效期内的认证证书或资质证书扫描件并附带全国认证认可信息公共服务平台（http://cx.cnca.cn/）查询截图。</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1</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投标产品获得国家确定的认证机构出具的有效期之内的中国环境标志产品认证证书，证书的认证范围须包含办公桌、办公椅、会议桌、会议椅、休闲沙发、餐椅、边几、货架，全部满足得4分，不满足或缺项的不得分。</w:t>
            </w:r>
          </w:p>
          <w:p>
            <w:pPr>
              <w:snapToGrid w:val="0"/>
              <w:jc w:val="left"/>
              <w:rPr>
                <w:rFonts w:ascii="宋体" w:hAnsi="宋体" w:cs="宋体"/>
                <w:kern w:val="0"/>
                <w:szCs w:val="21"/>
                <w:highlight w:val="none"/>
              </w:rPr>
            </w:pPr>
            <w:r>
              <w:rPr>
                <w:rFonts w:hint="eastAsia" w:ascii="宋体" w:hAnsi="宋体" w:cs="宋体"/>
                <w:szCs w:val="21"/>
                <w:highlight w:val="none"/>
              </w:rPr>
              <w:t>注：提供有效期内的认证证书或资质证书扫描件。</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5</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投标人提供投标产品获得国家确定的认证机构出具的有效期之内的低VOCs家具产品认证证书，证书的认证范围须包含办公桌、办公椅、会议桌、会议椅、休闲沙发、餐椅、边几、货架，全部满足得</w:t>
            </w:r>
            <w:r>
              <w:rPr>
                <w:rFonts w:hint="eastAsia" w:ascii="宋体" w:hAnsi="宋体" w:cs="宋体"/>
                <w:szCs w:val="21"/>
                <w:highlight w:val="none"/>
                <w:lang w:val="en-US" w:eastAsia="zh-CN"/>
              </w:rPr>
              <w:t>2</w:t>
            </w:r>
            <w:r>
              <w:rPr>
                <w:rFonts w:hint="eastAsia" w:ascii="宋体" w:hAnsi="宋体" w:cs="宋体"/>
                <w:szCs w:val="21"/>
                <w:highlight w:val="none"/>
              </w:rPr>
              <w:t>分，不满足或缺项的不得分。</w:t>
            </w:r>
          </w:p>
          <w:p>
            <w:pPr>
              <w:snapToGrid w:val="0"/>
              <w:jc w:val="left"/>
              <w:rPr>
                <w:rFonts w:ascii="宋体" w:hAnsi="宋体" w:cs="宋体"/>
                <w:szCs w:val="21"/>
                <w:highlight w:val="none"/>
              </w:rPr>
            </w:pPr>
            <w:r>
              <w:rPr>
                <w:rFonts w:hint="eastAsia" w:ascii="宋体" w:hAnsi="宋体" w:cs="宋体"/>
                <w:szCs w:val="21"/>
                <w:highlight w:val="none"/>
              </w:rPr>
              <w:t>注：提供有效期内的认证证书或资质证书扫描件。并附带全国认证认可信息公共服务平台（http://cx.cnca.cn/）查询截图。</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2</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ascii="宋体" w:hAnsi="宋体" w:cs="宋体"/>
                <w:szCs w:val="21"/>
                <w:highlight w:val="none"/>
              </w:rPr>
            </w:pPr>
            <w:r>
              <w:rPr>
                <w:rFonts w:hint="eastAsia" w:ascii="宋体" w:hAnsi="宋体" w:cs="宋体"/>
                <w:szCs w:val="21"/>
                <w:highlight w:val="none"/>
              </w:rPr>
              <w:t>6</w:t>
            </w:r>
          </w:p>
        </w:tc>
        <w:tc>
          <w:tcPr>
            <w:tcW w:w="5332" w:type="dxa"/>
          </w:tcPr>
          <w:p>
            <w:pPr>
              <w:snapToGrid w:val="0"/>
              <w:jc w:val="left"/>
              <w:rPr>
                <w:rFonts w:ascii="宋体" w:hAnsi="宋体" w:cs="宋体"/>
                <w:szCs w:val="21"/>
                <w:highlight w:val="none"/>
              </w:rPr>
            </w:pPr>
            <w:r>
              <w:rPr>
                <w:rFonts w:hint="eastAsia" w:ascii="宋体" w:hAnsi="宋体" w:cs="宋体"/>
                <w:szCs w:val="21"/>
                <w:highlight w:val="none"/>
              </w:rPr>
              <w:t>投标人提供投标产品获得国家确定的认证机构出具的有效期之内的中国绿色产品认证证书，证书的认证范围须包含办公桌、办公椅、会议桌、会议椅、休闲沙发、餐椅、边几、货架，全部满足得</w:t>
            </w:r>
            <w:r>
              <w:rPr>
                <w:rFonts w:hint="eastAsia" w:ascii="宋体" w:hAnsi="宋体" w:cs="宋体"/>
                <w:szCs w:val="21"/>
                <w:highlight w:val="none"/>
                <w:lang w:val="en-US" w:eastAsia="zh-CN"/>
              </w:rPr>
              <w:t>2</w:t>
            </w:r>
            <w:r>
              <w:rPr>
                <w:rFonts w:hint="eastAsia" w:ascii="宋体" w:hAnsi="宋体" w:cs="宋体"/>
                <w:szCs w:val="21"/>
                <w:highlight w:val="none"/>
              </w:rPr>
              <w:t>分，不满足或缺项的不得分。</w:t>
            </w:r>
          </w:p>
          <w:p>
            <w:pPr>
              <w:snapToGrid w:val="0"/>
              <w:jc w:val="left"/>
              <w:rPr>
                <w:rFonts w:ascii="宋体" w:hAnsi="宋体" w:cs="宋体"/>
                <w:szCs w:val="21"/>
                <w:highlight w:val="none"/>
              </w:rPr>
            </w:pPr>
            <w:r>
              <w:rPr>
                <w:rFonts w:hint="eastAsia" w:ascii="宋体" w:hAnsi="宋体" w:cs="宋体"/>
                <w:szCs w:val="21"/>
                <w:highlight w:val="none"/>
              </w:rPr>
              <w:t>注：提供有效期内的认证证书或资质证书扫描件。并附带全国认证认可信息公共服务平台（http://cx.cnca.cn/）查询截图。</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2</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pStyle w:val="24"/>
              <w:snapToGrid w:val="0"/>
              <w:spacing w:line="240" w:lineRule="auto"/>
              <w:ind w:firstLine="0" w:firstLineChars="0"/>
              <w:jc w:val="center"/>
              <w:rPr>
                <w:rFonts w:hint="eastAsia" w:eastAsia="宋体" w:cs="宋体"/>
                <w:szCs w:val="21"/>
                <w:highlight w:val="none"/>
                <w:lang w:eastAsia="zh-CN"/>
              </w:rPr>
            </w:pPr>
            <w:r>
              <w:rPr>
                <w:rFonts w:hint="eastAsia" w:cs="宋体"/>
                <w:sz w:val="21"/>
                <w:szCs w:val="21"/>
                <w:highlight w:val="none"/>
                <w:lang w:val="en-US" w:eastAsia="zh-CN"/>
              </w:rPr>
              <w:t>7</w:t>
            </w:r>
          </w:p>
        </w:tc>
        <w:tc>
          <w:tcPr>
            <w:tcW w:w="5332" w:type="dxa"/>
            <w:vAlign w:val="center"/>
          </w:tcPr>
          <w:p>
            <w:pPr>
              <w:pStyle w:val="24"/>
              <w:snapToGrid w:val="0"/>
              <w:spacing w:line="240" w:lineRule="auto"/>
              <w:ind w:firstLine="422"/>
              <w:jc w:val="left"/>
              <w:rPr>
                <w:rFonts w:cs="宋体"/>
                <w:b/>
                <w:bCs/>
                <w:sz w:val="21"/>
                <w:szCs w:val="21"/>
                <w:highlight w:val="none"/>
              </w:rPr>
            </w:pPr>
            <w:r>
              <w:rPr>
                <w:rFonts w:hint="eastAsia" w:cs="宋体"/>
                <w:b/>
                <w:bCs/>
                <w:sz w:val="21"/>
                <w:szCs w:val="21"/>
                <w:highlight w:val="none"/>
              </w:rPr>
              <w:t>投标人在投标时提供或承诺在产品交货前提供具备家具成品及其原辅材料检测能力并通过CMA认证或CNAS认证的第三方检测机构出具的检测报告，承诺的核心技术指标评分内容如下（每个得1分，最高得5分）：</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1、办公桌：满足GB/T3324-2017外观、理化性能、力学性能、结构安全性、甲醛释放量≤1.5mg/L，GB 20286-2006《公共场所阻燃制品及组件燃烧性能要求和标识》燃烧性能达到阻燃1级。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2、办公椅：满足QB/T2280-2016外观、尺寸、理化性能、力学性能，甲醛释放量≤0.05mg/m2h，TVOC含量≤0.5 mg/m2h；GB8624-2012《建筑材料及制品燃烧性能分级》 项目燃烧性能达到阻燃B1级。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3、会议桌：满足GB/T3324-2017外观、理化性能、力学性能、结构安全性、甲醛释放量≤1.5mg/L；GB 20286-2006《公共场所阻燃制品及组件燃烧性能要求和标识》燃烧性能达到阻燃1级。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4、会议椅：满足GB/T3325-2017外观、理化性能、力学性能、重金属未检出；QB/T 4371-2012《家具抗菌性能的评价》肺炎克雷伯菌、乙型溶血性链球菌抑菌率达到99%以上。</w:t>
            </w:r>
          </w:p>
          <w:p>
            <w:pPr>
              <w:pStyle w:val="24"/>
              <w:snapToGrid w:val="0"/>
              <w:spacing w:line="240" w:lineRule="auto"/>
              <w:ind w:firstLine="420"/>
              <w:jc w:val="left"/>
              <w:rPr>
                <w:rFonts w:cs="宋体"/>
                <w:szCs w:val="21"/>
                <w:highlight w:val="none"/>
              </w:rPr>
            </w:pPr>
            <w:r>
              <w:rPr>
                <w:rFonts w:hint="eastAsia" w:cs="宋体"/>
                <w:sz w:val="21"/>
                <w:szCs w:val="21"/>
                <w:highlight w:val="none"/>
              </w:rPr>
              <w:t>5、文件柜：满足GB/T 3324-2017外观、力学性能、甲醛释放量≤1.5mg/L；GB/T 35607-2017总挥发性有机化合物（TVOC）≤0.3mg/m3；GB 20286-2006《公共场所阻燃制品及组件燃烧性能要求和标识》燃烧性能达到阻燃1级；QB/T 4371-2012、JC/T 2039-2010黄曲霉、绳状青霉防霉性能达到1级，大肠埃希氏菌抑菌率达到99%以上。</w:t>
            </w:r>
          </w:p>
        </w:tc>
        <w:tc>
          <w:tcPr>
            <w:tcW w:w="686"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5</w:t>
            </w:r>
          </w:p>
        </w:tc>
        <w:tc>
          <w:tcPr>
            <w:tcW w:w="825"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客观分</w:t>
            </w:r>
          </w:p>
        </w:tc>
        <w:tc>
          <w:tcPr>
            <w:tcW w:w="1714" w:type="dxa"/>
            <w:vAlign w:val="center"/>
          </w:tcPr>
          <w:p>
            <w:pPr>
              <w:pStyle w:val="24"/>
              <w:snapToGrid w:val="0"/>
              <w:spacing w:line="240" w:lineRule="auto"/>
              <w:ind w:firstLine="0" w:firstLineChars="0"/>
              <w:jc w:val="center"/>
              <w:rPr>
                <w:rFonts w:hint="eastAsia" w:eastAsia="宋体" w:cs="宋体"/>
                <w:szCs w:val="21"/>
                <w:highlight w:val="none"/>
                <w:lang w:eastAsia="zh-CN"/>
              </w:rPr>
            </w:pPr>
            <w:r>
              <w:rPr>
                <w:rFonts w:hint="eastAsia"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556" w:type="dxa"/>
            <w:vAlign w:val="center"/>
          </w:tcPr>
          <w:p>
            <w:pPr>
              <w:pStyle w:val="24"/>
              <w:snapToGrid w:val="0"/>
              <w:spacing w:line="240" w:lineRule="auto"/>
              <w:ind w:firstLine="0" w:firstLineChars="0"/>
              <w:jc w:val="center"/>
              <w:rPr>
                <w:rFonts w:hint="eastAsia" w:eastAsia="宋体" w:cs="宋体"/>
                <w:szCs w:val="21"/>
                <w:highlight w:val="none"/>
                <w:lang w:eastAsia="zh-CN"/>
              </w:rPr>
            </w:pPr>
            <w:r>
              <w:rPr>
                <w:rFonts w:hint="eastAsia" w:cs="宋体"/>
                <w:sz w:val="21"/>
                <w:szCs w:val="21"/>
                <w:highlight w:val="none"/>
                <w:lang w:val="en-US" w:eastAsia="zh-CN"/>
              </w:rPr>
              <w:t>8</w:t>
            </w:r>
          </w:p>
        </w:tc>
        <w:tc>
          <w:tcPr>
            <w:tcW w:w="5332" w:type="dxa"/>
            <w:vAlign w:val="center"/>
          </w:tcPr>
          <w:p>
            <w:pPr>
              <w:pStyle w:val="24"/>
              <w:snapToGrid w:val="0"/>
              <w:spacing w:line="240" w:lineRule="auto"/>
              <w:ind w:firstLine="420"/>
              <w:jc w:val="left"/>
              <w:rPr>
                <w:rFonts w:cs="宋体"/>
                <w:b/>
                <w:bCs/>
                <w:sz w:val="21"/>
                <w:szCs w:val="21"/>
                <w:highlight w:val="none"/>
              </w:rPr>
            </w:pPr>
            <w:r>
              <w:rPr>
                <w:rFonts w:hint="eastAsia" w:cs="宋体"/>
                <w:b/>
                <w:bCs/>
                <w:sz w:val="21"/>
                <w:szCs w:val="21"/>
                <w:highlight w:val="none"/>
              </w:rPr>
              <w:t>投标人提供2023年1月1日以来的原材料检测报告（出具的检测报告必须由具备家具成品及其原辅材料检测能力并通过CMA认证或CNAS认证的第三方检测机构提供），（原材料供应商提供符合上述要求的检测报告也可采用，但必须提供产品制造商购买对应原材料的发票复印件），其中核心技术指标评分内容如下（每提供一个种类的原材料合格检测报告，得0.5分，最高得5分）：</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1、实木颗粒板：满足GB 18580-2017甲醛释放量≤0.124mg/m³；GB8624- 2012《建筑材料及制品燃烧性能分级》 项目燃烧性能达到阻燃B1级；JC/T 2039-2010《抗菌防霉木质装饰板》绳状青霉防霉性能达到1级。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2、实木多层板：满足GB/T 9846-2015 外观质量、含水率、静曲强度、甲醛释放量达到ENF级； LY/T 1926-2020抗菌性能肺炎克雷伯菌、大肠杆菌抑菌率达到99%以上。</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3、三聚氰胺饰面板：满足GB/T 15102-2017 外观质量、含水率、静曲强度、甲醛释放量达到ENF级； LY/T 1926-2020抗菌性能肺炎克雷伯菌、大肠杆菌抑菌率达到99%以上。</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4、PVC封边条：满足QB/T 4463-2013 邻苯二甲酸酯（未检出），耐老化性（无开裂）；GB8624- 2012《建筑材料及制品燃烧性能分级》 项目燃烧性能达到阻燃B1级。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5、海绵：GB 20286-2006《公共场所阻燃制品及组件燃烧性能要求和标识》燃烧性能达到阻燃1级。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6、网布：满足GB/T 17592- 2011纺织面料中可分解致癌芳香胺染料（未检出）；QB/T 2280-2016、GB/T3920-2008纺织面料干摩擦色牢度≥4级；GB8624- 2012 《建筑材料及制品燃烧性能分级》项目燃烧性能达到阻燃B1级。</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7、曲木板：满足GB/T 9846-2015 外观质量 、含水率 、静曲强度、甲醛释放量达到ENF级；LY/T 1926-2020抗菌性能肺炎克雷伯菌、宋内志贺氏菌抑菌率达到99%以上。</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8、弹簧：满足GB/T 2976-2020缠绕试验； GB/T 238-2013 反复弯曲试验 50次未断；GB/T 6400-2007剪切试验 抗剪切度试验≥1100Mpa；GB/T 3325-2017外观。</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9、底盘：满足GB/T 228.1-2021抗拉强度≥400MPa，断后伸长率≥30%；GB/T 4336-2016化学成分：C≤0.12%；Mn≤0.60%；P≤0.030%；S≤0.030%；Al≥0.020% ；GB/T 7314-2017规定塑性压缩力≥9KN；GB/T 3075-2021疲劳试验，20万次未断裂；GB/T 3325-2017外观。</w:t>
            </w:r>
          </w:p>
          <w:p>
            <w:pPr>
              <w:pStyle w:val="24"/>
              <w:snapToGrid w:val="0"/>
              <w:spacing w:line="240" w:lineRule="auto"/>
              <w:ind w:firstLine="420"/>
              <w:jc w:val="left"/>
              <w:rPr>
                <w:highlight w:val="none"/>
              </w:rPr>
            </w:pPr>
            <w:r>
              <w:rPr>
                <w:rFonts w:hint="eastAsia" w:cs="宋体"/>
                <w:sz w:val="21"/>
                <w:szCs w:val="21"/>
                <w:highlight w:val="none"/>
              </w:rPr>
              <w:t>10、PP塑料：满足GB8624- 2012《建筑材料及制品燃烧性能分级》 项目：燃烧性能达到阻燃B1级；GB/T 32487-2016邵氏 D硬度＞HD63。</w:t>
            </w:r>
          </w:p>
        </w:tc>
        <w:tc>
          <w:tcPr>
            <w:tcW w:w="686"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5</w:t>
            </w:r>
          </w:p>
        </w:tc>
        <w:tc>
          <w:tcPr>
            <w:tcW w:w="825"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客观分</w:t>
            </w:r>
          </w:p>
        </w:tc>
        <w:tc>
          <w:tcPr>
            <w:tcW w:w="1714" w:type="dxa"/>
            <w:vAlign w:val="center"/>
          </w:tcPr>
          <w:p>
            <w:pPr>
              <w:pStyle w:val="24"/>
              <w:snapToGrid w:val="0"/>
              <w:spacing w:line="240" w:lineRule="auto"/>
              <w:ind w:firstLine="0" w:firstLineChars="0"/>
              <w:jc w:val="center"/>
              <w:rPr>
                <w:rFonts w:hint="eastAsia" w:eastAsia="宋体" w:cs="宋体"/>
                <w:szCs w:val="21"/>
                <w:highlight w:val="none"/>
                <w:lang w:eastAsia="zh-CN"/>
              </w:rPr>
            </w:pPr>
            <w:r>
              <w:rPr>
                <w:rFonts w:hint="eastAsia"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pStyle w:val="24"/>
              <w:snapToGrid w:val="0"/>
              <w:spacing w:line="240" w:lineRule="auto"/>
              <w:ind w:firstLine="0" w:firstLineChars="0"/>
              <w:jc w:val="center"/>
              <w:rPr>
                <w:rFonts w:hint="eastAsia" w:eastAsia="宋体"/>
                <w:highlight w:val="none"/>
                <w:lang w:eastAsia="zh-CN"/>
              </w:rPr>
            </w:pPr>
            <w:r>
              <w:rPr>
                <w:rFonts w:hint="eastAsia" w:cs="宋体"/>
                <w:sz w:val="21"/>
                <w:szCs w:val="21"/>
                <w:highlight w:val="none"/>
                <w:lang w:val="en-US" w:eastAsia="zh-CN"/>
              </w:rPr>
              <w:t>9</w:t>
            </w:r>
          </w:p>
        </w:tc>
        <w:tc>
          <w:tcPr>
            <w:tcW w:w="5332" w:type="dxa"/>
          </w:tcPr>
          <w:p>
            <w:pPr>
              <w:pStyle w:val="24"/>
              <w:snapToGrid w:val="0"/>
              <w:spacing w:line="240" w:lineRule="auto"/>
              <w:ind w:firstLine="420"/>
              <w:jc w:val="left"/>
              <w:rPr>
                <w:rFonts w:cs="宋体"/>
                <w:sz w:val="21"/>
                <w:szCs w:val="21"/>
                <w:highlight w:val="none"/>
              </w:rPr>
            </w:pPr>
            <w:r>
              <w:rPr>
                <w:rFonts w:hint="eastAsia" w:cs="宋体"/>
                <w:sz w:val="21"/>
                <w:szCs w:val="21"/>
                <w:highlight w:val="none"/>
              </w:rPr>
              <w:t>投标人具有的较为先进和能保证制造产品品质所需要的生产设备：</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高速电脑裁板锯、全自动封边机、六面数控钻孔中心、木工柔性生产线、冷干机、弯料砂光机、拼板机、水性UV喷漆生产线、数控CNC加工中心、焊接机器人、激光切割机、数控光纤激光切管机、电脑自动排版裁皮机、全自动电脑沙发抄版机，</w:t>
            </w:r>
            <w:r>
              <w:rPr>
                <w:rFonts w:hint="eastAsia" w:cs="宋体"/>
                <w:sz w:val="21"/>
                <w:szCs w:val="21"/>
                <w:highlight w:val="none"/>
                <w:lang w:val="en-US" w:eastAsia="zh-CN"/>
              </w:rPr>
              <w:t>每</w:t>
            </w:r>
            <w:r>
              <w:rPr>
                <w:rFonts w:hint="eastAsia" w:cs="宋体"/>
                <w:sz w:val="21"/>
                <w:szCs w:val="21"/>
                <w:highlight w:val="none"/>
              </w:rPr>
              <w:t>提供一个得0.5分，</w:t>
            </w:r>
            <w:r>
              <w:rPr>
                <w:rFonts w:hint="eastAsia" w:cs="宋体"/>
                <w:sz w:val="21"/>
                <w:szCs w:val="21"/>
                <w:highlight w:val="none"/>
                <w:lang w:val="en-US" w:eastAsia="zh-CN"/>
              </w:rPr>
              <w:t>本项最高得</w:t>
            </w:r>
            <w:r>
              <w:rPr>
                <w:rFonts w:hint="eastAsia" w:cs="宋体"/>
                <w:sz w:val="21"/>
                <w:szCs w:val="21"/>
                <w:highlight w:val="none"/>
              </w:rPr>
              <w:t>6分。</w:t>
            </w:r>
          </w:p>
          <w:p>
            <w:pPr>
              <w:pStyle w:val="24"/>
              <w:snapToGrid w:val="0"/>
              <w:spacing w:line="240" w:lineRule="auto"/>
              <w:ind w:firstLine="420"/>
              <w:jc w:val="left"/>
              <w:rPr>
                <w:rFonts w:cs="宋体"/>
                <w:sz w:val="21"/>
                <w:szCs w:val="21"/>
                <w:highlight w:val="none"/>
              </w:rPr>
            </w:pPr>
            <w:r>
              <w:rPr>
                <w:rFonts w:hint="eastAsia" w:cs="宋体"/>
                <w:sz w:val="21"/>
                <w:szCs w:val="21"/>
                <w:highlight w:val="none"/>
              </w:rPr>
              <w:t>需提供有效证明材料：自有的请提供设备照片及购置发票扫描件，租赁的请提供租赁合同及设备照片和出租方的购置发票扫描件。材料不提供或不完整视为缺少该项设备，缺项不得分。名称不完全相同但功能相同的设备同样有效。</w:t>
            </w:r>
          </w:p>
        </w:tc>
        <w:tc>
          <w:tcPr>
            <w:tcW w:w="686"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6</w:t>
            </w:r>
          </w:p>
        </w:tc>
        <w:tc>
          <w:tcPr>
            <w:tcW w:w="825"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客观分</w:t>
            </w:r>
          </w:p>
        </w:tc>
        <w:tc>
          <w:tcPr>
            <w:tcW w:w="1714" w:type="dxa"/>
            <w:vAlign w:val="center"/>
          </w:tcPr>
          <w:p>
            <w:pPr>
              <w:pStyle w:val="24"/>
              <w:snapToGrid w:val="0"/>
              <w:spacing w:line="240" w:lineRule="auto"/>
              <w:ind w:firstLine="0" w:firstLineChars="0"/>
              <w:jc w:val="center"/>
              <w:rPr>
                <w:rFonts w:hint="eastAsia" w:eastAsia="宋体" w:cs="宋体"/>
                <w:sz w:val="21"/>
                <w:highlight w:val="none"/>
                <w:lang w:eastAsia="zh-CN"/>
              </w:rPr>
            </w:pPr>
            <w:r>
              <w:rPr>
                <w:rFonts w:hint="eastAsia"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pStyle w:val="24"/>
              <w:snapToGrid w:val="0"/>
              <w:spacing w:line="240" w:lineRule="auto"/>
              <w:ind w:firstLine="0" w:firstLineChars="0"/>
              <w:jc w:val="center"/>
              <w:rPr>
                <w:rFonts w:hint="default" w:eastAsia="宋体" w:cs="宋体"/>
                <w:szCs w:val="21"/>
                <w:highlight w:val="none"/>
                <w:lang w:val="en-US" w:eastAsia="zh-CN"/>
              </w:rPr>
            </w:pPr>
            <w:r>
              <w:rPr>
                <w:rFonts w:hint="eastAsia" w:cs="宋体"/>
                <w:sz w:val="21"/>
                <w:szCs w:val="21"/>
                <w:highlight w:val="none"/>
                <w:lang w:val="en-US" w:eastAsia="zh-CN"/>
              </w:rPr>
              <w:t>10</w:t>
            </w:r>
          </w:p>
        </w:tc>
        <w:tc>
          <w:tcPr>
            <w:tcW w:w="5332" w:type="dxa"/>
            <w:vAlign w:val="center"/>
          </w:tcPr>
          <w:p>
            <w:pPr>
              <w:widowControl/>
              <w:jc w:val="left"/>
              <w:rPr>
                <w:rFonts w:cs="宋体" w:asciiTheme="minorEastAsia" w:hAnsiTheme="minorEastAsia" w:eastAsiaTheme="minorEastAsia"/>
                <w:b/>
                <w:szCs w:val="21"/>
                <w:highlight w:val="none"/>
              </w:rPr>
            </w:pPr>
            <w:r>
              <w:rPr>
                <w:rFonts w:hint="eastAsia" w:cs="宋体" w:asciiTheme="minorEastAsia" w:hAnsiTheme="minorEastAsia" w:eastAsiaTheme="minorEastAsia"/>
                <w:b/>
                <w:bCs/>
                <w:kern w:val="0"/>
                <w:szCs w:val="21"/>
                <w:highlight w:val="none"/>
              </w:rPr>
              <w:t>一、产品尺寸（</w:t>
            </w:r>
            <w:r>
              <w:rPr>
                <w:rFonts w:cs="宋体" w:asciiTheme="minorEastAsia" w:hAnsiTheme="minorEastAsia" w:eastAsiaTheme="minorEastAsia"/>
                <w:b/>
                <w:bCs/>
                <w:kern w:val="0"/>
                <w:szCs w:val="21"/>
                <w:highlight w:val="none"/>
              </w:rPr>
              <w:t>2</w:t>
            </w:r>
            <w:r>
              <w:rPr>
                <w:rFonts w:hint="eastAsia" w:cs="宋体" w:asciiTheme="minorEastAsia" w:hAnsiTheme="minorEastAsia" w:eastAsiaTheme="minorEastAsia"/>
                <w:b/>
                <w:bCs/>
                <w:kern w:val="0"/>
                <w:szCs w:val="21"/>
                <w:highlight w:val="none"/>
              </w:rPr>
              <w:t>分）：</w:t>
            </w:r>
          </w:p>
          <w:p>
            <w:pPr>
              <w:widowControl/>
              <w:jc w:val="left"/>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1.采购人有明确要求且明示的产品尺寸偏差控制在±3mm以内，测量工具：0～3m钢卷尺（精度1mm）。</w:t>
            </w:r>
          </w:p>
          <w:p>
            <w:pPr>
              <w:widowControl/>
              <w:jc w:val="left"/>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每偏离一个参数指标扣1分，扣完为止。</w:t>
            </w:r>
          </w:p>
          <w:p>
            <w:pPr>
              <w:widowControl/>
              <w:jc w:val="left"/>
              <w:rPr>
                <w:rFonts w:cs="宋体" w:asciiTheme="minorEastAsia" w:hAnsiTheme="minorEastAsia" w:eastAsiaTheme="minorEastAsia"/>
                <w:b/>
                <w:szCs w:val="21"/>
                <w:highlight w:val="none"/>
              </w:rPr>
            </w:pPr>
            <w:r>
              <w:rPr>
                <w:rFonts w:hint="eastAsia" w:cs="宋体" w:asciiTheme="minorEastAsia" w:hAnsiTheme="minorEastAsia" w:eastAsiaTheme="minorEastAsia"/>
                <w:b/>
                <w:bCs/>
                <w:kern w:val="0"/>
                <w:szCs w:val="21"/>
                <w:highlight w:val="none"/>
              </w:rPr>
              <w:t>二、功能性要求（</w:t>
            </w:r>
            <w:r>
              <w:rPr>
                <w:rFonts w:hint="eastAsia" w:cs="宋体" w:asciiTheme="minorEastAsia" w:hAnsiTheme="minorEastAsia" w:eastAsiaTheme="minorEastAsia"/>
                <w:b/>
                <w:bCs/>
                <w:kern w:val="0"/>
                <w:szCs w:val="21"/>
                <w:highlight w:val="none"/>
                <w:lang w:val="en-US" w:eastAsia="zh-CN"/>
              </w:rPr>
              <w:t>3</w:t>
            </w:r>
            <w:r>
              <w:rPr>
                <w:rFonts w:hint="eastAsia" w:cs="宋体" w:asciiTheme="minorEastAsia" w:hAnsiTheme="minorEastAsia" w:eastAsiaTheme="minorEastAsia"/>
                <w:b/>
                <w:bCs/>
                <w:kern w:val="0"/>
                <w:szCs w:val="21"/>
                <w:highlight w:val="none"/>
              </w:rPr>
              <w:t>分）：</w:t>
            </w:r>
          </w:p>
          <w:p>
            <w:pPr>
              <w:widowControl/>
              <w:jc w:val="left"/>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 xml:space="preserve">1.回复机构、翻转机构等部件，安装后应灵活使用； </w:t>
            </w:r>
          </w:p>
          <w:p>
            <w:pPr>
              <w:widowControl/>
              <w:jc w:val="left"/>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2.设计美观、实用，能够实现产品的整体使用功能。  </w:t>
            </w:r>
          </w:p>
          <w:p>
            <w:pPr>
              <w:widowControl/>
              <w:jc w:val="left"/>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每个不合格项（最小项编号）扣1</w:t>
            </w:r>
            <w:r>
              <w:rPr>
                <w:rFonts w:hint="eastAsia" w:cs="宋体" w:asciiTheme="minorEastAsia" w:hAnsiTheme="minorEastAsia" w:eastAsiaTheme="minorEastAsia"/>
                <w:kern w:val="0"/>
                <w:szCs w:val="21"/>
                <w:highlight w:val="none"/>
                <w:lang w:val="en-US" w:eastAsia="zh-CN"/>
              </w:rPr>
              <w:t>.5</w:t>
            </w:r>
            <w:r>
              <w:rPr>
                <w:rFonts w:hint="eastAsia" w:cs="宋体" w:asciiTheme="minorEastAsia" w:hAnsiTheme="minorEastAsia" w:eastAsiaTheme="minorEastAsia"/>
                <w:kern w:val="0"/>
                <w:szCs w:val="21"/>
                <w:highlight w:val="none"/>
              </w:rPr>
              <w:t>分，扣完为止。</w:t>
            </w:r>
          </w:p>
          <w:p>
            <w:pPr>
              <w:widowControl/>
              <w:jc w:val="left"/>
              <w:rPr>
                <w:rFonts w:cs="宋体" w:asciiTheme="minorEastAsia" w:hAnsiTheme="minorEastAsia" w:eastAsiaTheme="minorEastAsia"/>
                <w:b/>
                <w:szCs w:val="21"/>
                <w:highlight w:val="none"/>
              </w:rPr>
            </w:pPr>
            <w:r>
              <w:rPr>
                <w:rFonts w:hint="eastAsia" w:cs="宋体" w:asciiTheme="minorEastAsia" w:hAnsiTheme="minorEastAsia" w:eastAsiaTheme="minorEastAsia"/>
                <w:b/>
                <w:bCs/>
                <w:kern w:val="0"/>
                <w:szCs w:val="21"/>
                <w:highlight w:val="none"/>
              </w:rPr>
              <w:t>三、样品外观（</w:t>
            </w:r>
            <w:r>
              <w:rPr>
                <w:rFonts w:hint="eastAsia" w:cs="宋体" w:asciiTheme="minorEastAsia" w:hAnsiTheme="minorEastAsia" w:eastAsiaTheme="minorEastAsia"/>
                <w:b/>
                <w:bCs/>
                <w:kern w:val="0"/>
                <w:szCs w:val="21"/>
                <w:highlight w:val="none"/>
                <w:lang w:val="en-US" w:eastAsia="zh-CN"/>
              </w:rPr>
              <w:t>10</w:t>
            </w:r>
            <w:r>
              <w:rPr>
                <w:rFonts w:hint="eastAsia" w:cs="宋体" w:asciiTheme="minorEastAsia" w:hAnsiTheme="minorEastAsia" w:eastAsiaTheme="minorEastAsia"/>
                <w:b/>
                <w:bCs/>
                <w:kern w:val="0"/>
                <w:szCs w:val="21"/>
                <w:highlight w:val="none"/>
              </w:rPr>
              <w:t>分）：</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1.金属件外观要求：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(1)管材：管材应无裂缝、叠缝，外露管口端面应封闭；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(2)焊接件：焊接处应无脱焊、虚焊、焊穿、错位，焊接处应无夹渣、气孔、焊瘤、焊丝头、咬边、飞溅，焊接处表面波纹应均匀；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(3)冲压件：冲压件应无脱层、裂缝；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(4)铆接件：铆接处应铆接牢固，无漏铆、脱铆，铆钉应端正圆滑，无明显锤印；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(5)金属合金件：无锈蚀、氧化膜脱落、刃口、锐棱，表面细密，应无裂纹、毛刺、黑斑等缺陷；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(6)皱纹或波纹：圆管和扁线管弯曲处弧形应圆滑一致；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(7)喷涂层：涂层应无漏喷、锈蚀和脱色、掉色现象，涂层应光滑均匀，色泽一致，应无流挂、疙瘩、皱皮、飞漆等缺陷；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(8)电镀层：表面应无剥落、返锈、毛刺，表面应无烧焦、起泡、针孔、裂纹、花斑（不包括镀彩锌）和划痕。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2.人造板件外观要求：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(1)外表应无干花、湿花,内表干花、湿花面积不超过板面的5%；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(2)外表应无明显划痕、压痕；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(3)表面应无明显色差；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(4)外表应无鼓泡、龟裂、分层。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3.漆膜外观要求：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(1)同色部件的色泽应相似；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(2)应无褪色、掉色现象；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(3)涂层不应有皱皮、发粘或漏漆现象；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(4)涂层应平整光滑、清晰、无明显粒子、涨边现象；应无明显加工痕迹、划痕、雾光、白棱、白点、鼓泡、油白、流挂、缩孔、刷毛、积粉和杂渣。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4.软包件外观要求：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软面包覆表面：包覆的面料拼接对称图案应完整；同一部位绒面料的绒毛方向应一致；不应有明显色差，包覆的面料应无破损、严重划痕、色污、油污，应平服饱满，松紧均匀，不应有明显皱折，对称工艺性皱折应匀称，层次分明；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(2)外露泡钉：排列应整齐，间距基本相等，不应有泡钉明显敲扁或脱漆；</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(3)缝纫：线迹间距应均匀，无明显浮线、跳针或外露线头、脱线、开缝、脱胶。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5.塑料件外观要求：应无裂纹，无明显变形，应无明显缩孔、气泡、杂质、伤痕，外表用塑料件表面应光洁、无划痕、无污渍、无明显色差。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每个不合格项（最小项编号）扣1分，扣完为止。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b/>
                <w:bCs/>
                <w:kern w:val="0"/>
                <w:szCs w:val="21"/>
                <w:highlight w:val="none"/>
              </w:rPr>
              <w:t>四、制作工艺（4分）：</w:t>
            </w:r>
            <w:r>
              <w:rPr>
                <w:rFonts w:hint="eastAsia" w:cs="宋体" w:asciiTheme="minorEastAsia" w:hAnsiTheme="minorEastAsia" w:eastAsiaTheme="minorEastAsia"/>
                <w:kern w:val="0"/>
                <w:szCs w:val="21"/>
                <w:highlight w:val="none"/>
              </w:rPr>
              <w:t xml:space="preserve">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1.部件的非交接面应进行封边或涂饰处理；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2.板件或部件在接触人体或贮物部位不应有毛刺、刃口或棱角；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3.板件或部件的外表应光滑，倒棱、圆角、圆线应均匀一致；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4.榫、塞角、零部件等结合处不应断裂；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5.零部件的结合应严密、牢固；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6.各种配件、连接件安装不应有少件、漏钉、透钉（预留孔、选择孔除外）；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7.各种配件特别是连接件的安装应严密、平整、端正、牢固，结合处应无开裂或松动；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8.雕刻的图案应均匀、清晰、层次分明，对称部位应对称，凹凸和大挖、过桥、棱角、圆弧处应无缺角；铲底应平整，各部位不应有锤印或毛刺； </w:t>
            </w:r>
          </w:p>
          <w:p>
            <w:pPr>
              <w:widowControl/>
              <w:jc w:val="left"/>
              <w:rPr>
                <w:rFonts w:hint="eastAsia"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9.涂层无刺激性气味，成膜后应能形成平整的饰面,无明显凹凸或条痕，无气泡龟裂、斑点等现象。 </w:t>
            </w:r>
          </w:p>
          <w:p>
            <w:pPr>
              <w:widowControl/>
              <w:jc w:val="left"/>
              <w:rPr>
                <w:rFonts w:cs="宋体"/>
                <w:sz w:val="21"/>
                <w:szCs w:val="21"/>
                <w:highlight w:val="none"/>
              </w:rPr>
            </w:pPr>
            <w:r>
              <w:rPr>
                <w:rFonts w:hint="eastAsia" w:cs="宋体" w:asciiTheme="minorEastAsia" w:hAnsiTheme="minorEastAsia" w:eastAsiaTheme="minorEastAsia"/>
                <w:kern w:val="0"/>
                <w:szCs w:val="21"/>
                <w:highlight w:val="none"/>
              </w:rPr>
              <w:t>每个不合格项（最小项编号）扣1分，扣完为止。</w:t>
            </w:r>
          </w:p>
        </w:tc>
        <w:tc>
          <w:tcPr>
            <w:tcW w:w="686" w:type="dxa"/>
            <w:vAlign w:val="center"/>
          </w:tcPr>
          <w:p>
            <w:pPr>
              <w:pStyle w:val="24"/>
              <w:snapToGrid w:val="0"/>
              <w:spacing w:line="240" w:lineRule="auto"/>
              <w:ind w:firstLine="0" w:firstLineChars="0"/>
              <w:jc w:val="center"/>
              <w:rPr>
                <w:rFonts w:hint="default" w:eastAsia="宋体" w:cs="宋体"/>
                <w:szCs w:val="21"/>
                <w:highlight w:val="none"/>
                <w:lang w:val="en-US" w:eastAsia="zh-CN"/>
              </w:rPr>
            </w:pPr>
            <w:r>
              <w:rPr>
                <w:rFonts w:hint="eastAsia" w:cs="宋体"/>
                <w:sz w:val="21"/>
                <w:szCs w:val="21"/>
                <w:highlight w:val="none"/>
                <w:lang w:val="en-US" w:eastAsia="zh-CN"/>
              </w:rPr>
              <w:t>19</w:t>
            </w:r>
          </w:p>
        </w:tc>
        <w:tc>
          <w:tcPr>
            <w:tcW w:w="825" w:type="dxa"/>
            <w:vAlign w:val="center"/>
          </w:tcPr>
          <w:p>
            <w:pPr>
              <w:pStyle w:val="24"/>
              <w:snapToGrid w:val="0"/>
              <w:spacing w:line="240" w:lineRule="auto"/>
              <w:ind w:firstLine="0" w:firstLineChars="0"/>
              <w:jc w:val="center"/>
              <w:rPr>
                <w:rFonts w:cs="宋体"/>
                <w:szCs w:val="21"/>
                <w:highlight w:val="none"/>
              </w:rPr>
            </w:pPr>
            <w:r>
              <w:rPr>
                <w:rFonts w:hint="eastAsia" w:cs="宋体"/>
                <w:sz w:val="21"/>
                <w:szCs w:val="21"/>
                <w:highlight w:val="none"/>
              </w:rPr>
              <w:t>客观分</w:t>
            </w:r>
          </w:p>
        </w:tc>
        <w:tc>
          <w:tcPr>
            <w:tcW w:w="1714" w:type="dxa"/>
            <w:vAlign w:val="center"/>
          </w:tcPr>
          <w:p>
            <w:pPr>
              <w:pStyle w:val="24"/>
              <w:snapToGrid w:val="0"/>
              <w:spacing w:line="240" w:lineRule="auto"/>
              <w:ind w:firstLine="420"/>
              <w:jc w:val="left"/>
              <w:rPr>
                <w:rFonts w:hint="default" w:eastAsia="宋体" w:cs="宋体"/>
                <w:sz w:val="21"/>
                <w:highlight w:val="none"/>
                <w:lang w:val="en-US" w:eastAsia="zh-CN"/>
              </w:rPr>
            </w:pPr>
            <w:r>
              <w:rPr>
                <w:rFonts w:hint="eastAsia" w:cs="宋体"/>
                <w:sz w:val="21"/>
                <w:highlight w:val="none"/>
                <w:lang w:val="en-US" w:eastAsia="zh-CN"/>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11</w:t>
            </w:r>
          </w:p>
        </w:tc>
        <w:tc>
          <w:tcPr>
            <w:tcW w:w="5332" w:type="dxa"/>
            <w:vAlign w:val="center"/>
          </w:tcPr>
          <w:p>
            <w:pPr>
              <w:snapToGrid w:val="0"/>
              <w:jc w:val="left"/>
              <w:rPr>
                <w:rFonts w:ascii="宋体" w:hAnsi="宋体" w:cs="宋体"/>
                <w:b/>
                <w:szCs w:val="21"/>
                <w:highlight w:val="none"/>
              </w:rPr>
            </w:pPr>
            <w:r>
              <w:rPr>
                <w:rFonts w:hint="eastAsia" w:ascii="宋体" w:hAnsi="宋体" w:cs="宋体"/>
                <w:szCs w:val="21"/>
                <w:highlight w:val="none"/>
              </w:rPr>
              <w:t>技术团队履历及能力说明，须提供项目负责人、专业技术人员与本项目有关的能力证明以及和投标人之间的关系证明，包括但不限于职称证明、社保证明等材料。由评审小组判断是否符合本项目整体实施的要求。评委在评审时根据投标人提交的方案进行评价给分（3分、2分、1分、0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3</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主观分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2</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投标人提供生产实施方案，要具备生产能力，在规定的时间内有计划的完成项目需求产品的生产装配。由评审小组根据所提供的方案判断能否满足采购需求。评委在评审时根据投标人提交的方案进行评价给分（4分、3分、2分、1分、0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主观分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3</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品质管理管控过程，有独立品管部门和专门品管人员，确保产品生产过程中的质量控制完善。由评审小组根据投标人提供的响应方案判断质量控制是否完善。评委在评审时根据投标人提交的方案进行评价给分（4分、3分、2分、1分、0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主观分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14</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安装服务实施方案，安装方案的制定，根据货物交付时间节点，落实送货安装时间和人员安排，确保按期交付使用。由评审小组根据投标人提供的方案判断能否确保按期交付。评委在评审时根据投标人提交的方案进行评价给分（4分、3分、2分、1分、0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主观分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5</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质保期：在满足招标文件质保期3年要求的基础上，每增加1年加1分，最多得2分。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2</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Merge w:val="restart"/>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6</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提供详细完整的“三包”措施及售后服务措施和方案（包括服务措施、产品质量保证、回访、技术培训等）。由评审小组根据投标人提供的方案判断能否满足采购需求。评委在评审时根据投标人提交的方案进行评价给分（4分、3分、2分、1分、0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4</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主观分</w:t>
            </w:r>
          </w:p>
        </w:tc>
        <w:tc>
          <w:tcPr>
            <w:tcW w:w="1714" w:type="dxa"/>
            <w:vMerge w:val="continue"/>
            <w:vAlign w:val="center"/>
          </w:tcPr>
          <w:p>
            <w:pPr>
              <w:snapToGrid w:val="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7</w:t>
            </w:r>
          </w:p>
        </w:tc>
        <w:tc>
          <w:tcPr>
            <w:tcW w:w="5332" w:type="dxa"/>
            <w:vAlign w:val="center"/>
          </w:tcPr>
          <w:p>
            <w:pPr>
              <w:snapToGrid w:val="0"/>
              <w:jc w:val="left"/>
              <w:rPr>
                <w:rFonts w:ascii="宋体" w:hAnsi="宋体" w:cs="宋体"/>
                <w:szCs w:val="21"/>
                <w:highlight w:val="none"/>
              </w:rPr>
            </w:pPr>
            <w:r>
              <w:rPr>
                <w:rFonts w:hint="eastAsia" w:ascii="宋体" w:hAnsi="宋体" w:cs="宋体"/>
                <w:szCs w:val="21"/>
                <w:highlight w:val="none"/>
              </w:rPr>
              <w:t>投标人自2021年1月1日（含）以来（以合同签订时间为准）承担过类似项目成功案例。须同时提供合同、合格验收报告相关证明材料。每提供一个得1分，最高得3分。</w:t>
            </w:r>
          </w:p>
        </w:tc>
        <w:tc>
          <w:tcPr>
            <w:tcW w:w="686" w:type="dxa"/>
            <w:vAlign w:val="center"/>
          </w:tcPr>
          <w:p>
            <w:pPr>
              <w:snapToGrid w:val="0"/>
              <w:jc w:val="center"/>
              <w:rPr>
                <w:rFonts w:ascii="宋体" w:hAnsi="宋体" w:cs="宋体"/>
                <w:szCs w:val="21"/>
                <w:highlight w:val="none"/>
              </w:rPr>
            </w:pPr>
            <w:r>
              <w:rPr>
                <w:rFonts w:hint="eastAsia" w:ascii="宋体" w:hAnsi="宋体" w:cs="宋体"/>
                <w:szCs w:val="21"/>
                <w:highlight w:val="none"/>
              </w:rPr>
              <w:t>3</w:t>
            </w:r>
          </w:p>
        </w:tc>
        <w:tc>
          <w:tcPr>
            <w:tcW w:w="825" w:type="dxa"/>
            <w:vAlign w:val="center"/>
          </w:tcPr>
          <w:p>
            <w:pPr>
              <w:snapToGrid w:val="0"/>
              <w:jc w:val="center"/>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snapToGrid w:val="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dxa"/>
            <w:vAlign w:val="center"/>
          </w:tcPr>
          <w:p>
            <w:pPr>
              <w:snapToGrid w:val="0"/>
              <w:jc w:val="center"/>
              <w:rPr>
                <w:rFonts w:hint="eastAsia"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8</w:t>
            </w:r>
          </w:p>
        </w:tc>
        <w:tc>
          <w:tcPr>
            <w:tcW w:w="5332" w:type="dxa"/>
          </w:tcPr>
          <w:p>
            <w:pPr>
              <w:ind w:firstLine="420" w:firstLineChars="200"/>
              <w:outlineLvl w:val="0"/>
              <w:rPr>
                <w:rFonts w:ascii="宋体" w:hAnsi="宋体" w:cs="宋体"/>
                <w:szCs w:val="21"/>
                <w:highlight w:val="none"/>
              </w:rPr>
            </w:pPr>
            <w:r>
              <w:rPr>
                <w:rFonts w:hint="eastAsia" w:ascii="宋体" w:hAnsi="宋体" w:cs="宋体"/>
                <w:szCs w:val="21"/>
                <w:highlight w:val="none"/>
              </w:rPr>
              <w:t>有效投标报价的最低价作为评标基准价，其最低报价为满分；按［投标报价得分=（评标基准价/投标报价）*30］的计算公式计算。</w:t>
            </w:r>
          </w:p>
          <w:p>
            <w:pPr>
              <w:widowControl/>
              <w:shd w:val="clear" w:color="auto" w:fill="FFFFFF"/>
              <w:adjustRightInd/>
              <w:spacing w:after="225"/>
              <w:ind w:firstLine="420" w:firstLineChars="200"/>
              <w:jc w:val="left"/>
              <w:rPr>
                <w:rFonts w:ascii="宋体" w:hAnsi="宋体" w:cs="宋体"/>
                <w:szCs w:val="21"/>
                <w:highlight w:val="none"/>
              </w:rPr>
            </w:pPr>
            <w:r>
              <w:rPr>
                <w:rFonts w:hint="eastAsia" w:ascii="宋体" w:hAnsi="宋体" w:cs="宋体"/>
                <w:szCs w:val="21"/>
                <w:highlight w:val="none"/>
              </w:rPr>
              <w:t>评标过程中，不得去掉报价中的最高报价和最低报价。</w:t>
            </w:r>
          </w:p>
          <w:p>
            <w:pPr>
              <w:widowControl/>
              <w:shd w:val="clear" w:color="auto" w:fill="FFFFFF"/>
              <w:adjustRightInd/>
              <w:spacing w:after="225"/>
              <w:ind w:firstLine="420" w:firstLineChars="200"/>
              <w:jc w:val="left"/>
              <w:rPr>
                <w:rFonts w:ascii="宋体" w:hAnsi="宋体" w:cs="宋体"/>
                <w:szCs w:val="21"/>
                <w:highlight w:val="none"/>
              </w:rPr>
            </w:pPr>
            <w:r>
              <w:rPr>
                <w:rFonts w:hint="eastAsia" w:ascii="宋体" w:hAnsi="宋体" w:cs="宋体"/>
                <w:szCs w:val="21"/>
                <w:highlight w:val="none"/>
              </w:rPr>
              <w:t>对于未预留份额专门面向中小企业的政府采购货物项目，以及预留份额政府采购货物项目中的非预留部分标项，对小型和微型企业的投标报价给予</w:t>
            </w:r>
            <w:r>
              <w:rPr>
                <w:rFonts w:hint="eastAsia" w:ascii="宋体" w:hAnsi="宋体" w:cs="宋体"/>
                <w:b/>
                <w:bCs/>
                <w:szCs w:val="21"/>
                <w:highlight w:val="none"/>
              </w:rPr>
              <w:t>10%</w:t>
            </w:r>
            <w:r>
              <w:rPr>
                <w:rFonts w:hint="eastAsia" w:ascii="宋体" w:hAnsi="宋体" w:cs="宋体"/>
                <w:szCs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b/>
                <w:bCs/>
                <w:szCs w:val="21"/>
                <w:highlight w:val="none"/>
              </w:rPr>
              <w:t>4%</w:t>
            </w:r>
            <w:r>
              <w:rPr>
                <w:rFonts w:hint="eastAsia" w:ascii="宋体" w:hAnsi="宋体" w:cs="宋体"/>
                <w:szCs w:val="21"/>
                <w:highlight w:val="none"/>
              </w:rPr>
              <w:t>的扣除，用扣除后的价格参加评审。</w:t>
            </w:r>
          </w:p>
        </w:tc>
        <w:tc>
          <w:tcPr>
            <w:tcW w:w="686" w:type="dxa"/>
            <w:vAlign w:val="center"/>
          </w:tcPr>
          <w:p>
            <w:pPr>
              <w:jc w:val="center"/>
              <w:outlineLvl w:val="0"/>
              <w:rPr>
                <w:rFonts w:ascii="宋体" w:hAnsi="宋体" w:cs="宋体"/>
                <w:szCs w:val="21"/>
                <w:highlight w:val="none"/>
              </w:rPr>
            </w:pPr>
            <w:r>
              <w:rPr>
                <w:rFonts w:hint="eastAsia" w:ascii="宋体" w:hAnsi="宋体" w:cs="宋体"/>
                <w:szCs w:val="21"/>
                <w:highlight w:val="none"/>
              </w:rPr>
              <w:t>30</w:t>
            </w:r>
          </w:p>
        </w:tc>
        <w:tc>
          <w:tcPr>
            <w:tcW w:w="825" w:type="dxa"/>
            <w:vAlign w:val="center"/>
          </w:tcPr>
          <w:p>
            <w:pPr>
              <w:jc w:val="center"/>
              <w:outlineLvl w:val="0"/>
              <w:rPr>
                <w:rFonts w:ascii="宋体" w:hAnsi="宋体" w:cs="宋体"/>
                <w:szCs w:val="21"/>
                <w:highlight w:val="none"/>
              </w:rPr>
            </w:pPr>
            <w:r>
              <w:rPr>
                <w:rFonts w:hint="eastAsia" w:ascii="宋体" w:hAnsi="宋体" w:cs="宋体"/>
                <w:szCs w:val="21"/>
                <w:highlight w:val="none"/>
              </w:rPr>
              <w:t>客观分</w:t>
            </w:r>
          </w:p>
        </w:tc>
        <w:tc>
          <w:tcPr>
            <w:tcW w:w="1714" w:type="dxa"/>
            <w:vAlign w:val="center"/>
          </w:tcPr>
          <w:p>
            <w:pPr>
              <w:jc w:val="center"/>
              <w:outlineLvl w:val="0"/>
              <w:rPr>
                <w:rFonts w:ascii="宋体" w:hAnsi="宋体" w:cs="宋体"/>
                <w:szCs w:val="21"/>
                <w:highlight w:val="none"/>
              </w:rPr>
            </w:pPr>
            <w:r>
              <w:rPr>
                <w:rFonts w:hint="eastAsia" w:ascii="宋体" w:hAnsi="宋体" w:cs="宋体"/>
                <w:szCs w:val="21"/>
                <w:highlight w:val="none"/>
              </w:rPr>
              <w:t>/</w:t>
            </w:r>
          </w:p>
        </w:tc>
      </w:tr>
    </w:tbl>
    <w:p>
      <w:pPr>
        <w:rPr>
          <w:highlight w:val="none"/>
        </w:rPr>
      </w:pPr>
    </w:p>
    <w:p>
      <w:pPr>
        <w:snapToGrid w:val="0"/>
        <w:spacing w:line="360" w:lineRule="auto"/>
        <w:rPr>
          <w:rFonts w:ascii="宋体" w:hAnsi="宋体" w:cs="宋体"/>
          <w:b/>
          <w:sz w:val="24"/>
          <w:highlight w:val="none"/>
        </w:rPr>
      </w:pPr>
      <w:r>
        <w:rPr>
          <w:rFonts w:hint="eastAsia" w:ascii="宋体" w:hAnsi="宋体" w:cs="宋体"/>
          <w:sz w:val="20"/>
          <w:szCs w:val="20"/>
          <w:highlight w:val="none"/>
          <w:shd w:val="clear" w:color="auto" w:fill="FFFFFF"/>
        </w:rPr>
        <w:t> *</w:t>
      </w:r>
      <w:r>
        <w:rPr>
          <w:rFonts w:hint="eastAsia" w:ascii="宋体" w:hAnsi="宋体" w:cs="宋体"/>
          <w:b/>
          <w:sz w:val="24"/>
          <w:highlight w:val="none"/>
        </w:rPr>
        <w:t>备注：</w:t>
      </w:r>
      <w:r>
        <w:rPr>
          <w:rFonts w:hint="eastAsia" w:ascii="宋体" w:hAnsi="宋体" w:cs="宋体"/>
          <w:sz w:val="24"/>
          <w:highlight w:val="none"/>
        </w:rPr>
        <w:t>投标人编制投标文件（商务技术文件部分）时，建议按此目录（序号和内容）提供评标标准相应的商务技术资料。 </w:t>
      </w:r>
    </w:p>
    <w:p>
      <w:pPr>
        <w:snapToGrid w:val="0"/>
        <w:spacing w:line="360" w:lineRule="auto"/>
        <w:outlineLvl w:val="1"/>
        <w:rPr>
          <w:rFonts w:ascii="宋体" w:hAnsi="宋体" w:cs="宋体"/>
          <w:b/>
          <w:sz w:val="28"/>
          <w:szCs w:val="28"/>
          <w:highlight w:val="none"/>
        </w:rPr>
      </w:pPr>
      <w:r>
        <w:rPr>
          <w:rFonts w:hint="eastAsia" w:ascii="宋体" w:hAnsi="宋体" w:cs="宋体"/>
          <w:b/>
          <w:sz w:val="32"/>
          <w:highlight w:val="none"/>
        </w:rPr>
        <w:t>一、评标方法</w:t>
      </w:r>
    </w:p>
    <w:p>
      <w:pPr>
        <w:adjustRightInd/>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1.本项目采用综合评分法。</w:t>
      </w:r>
      <w:r>
        <w:rPr>
          <w:rFonts w:hint="eastAsia" w:ascii="宋体" w:hAnsi="宋体" w:cs="宋体"/>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outlineLvl w:val="1"/>
        <w:rPr>
          <w:rFonts w:ascii="宋体" w:hAnsi="宋体" w:cs="宋体"/>
          <w:kern w:val="0"/>
          <w:sz w:val="24"/>
          <w:highlight w:val="none"/>
        </w:rPr>
      </w:pPr>
      <w:r>
        <w:rPr>
          <w:rFonts w:hint="eastAsia" w:ascii="宋体" w:hAnsi="宋体" w:cs="宋体"/>
          <w:b/>
          <w:sz w:val="32"/>
          <w:highlight w:val="none"/>
        </w:rPr>
        <w:t>二、评标标准</w:t>
      </w:r>
    </w:p>
    <w:p>
      <w:pPr>
        <w:spacing w:line="360" w:lineRule="auto"/>
        <w:ind w:firstLine="472" w:firstLineChars="196"/>
        <w:rPr>
          <w:rFonts w:ascii="宋体" w:hAnsi="宋体" w:cs="宋体"/>
          <w:b/>
          <w:sz w:val="24"/>
          <w:highlight w:val="none"/>
        </w:rPr>
      </w:pPr>
      <w:r>
        <w:rPr>
          <w:rFonts w:hint="eastAsia" w:ascii="宋体" w:hAnsi="宋体" w:cs="宋体"/>
          <w:b/>
          <w:sz w:val="24"/>
          <w:highlight w:val="none"/>
        </w:rPr>
        <w:t>2.评标标准：</w:t>
      </w:r>
      <w:r>
        <w:rPr>
          <w:rFonts w:hint="eastAsia" w:ascii="宋体" w:hAnsi="宋体" w:cs="宋体"/>
          <w:kern w:val="0"/>
          <w:sz w:val="24"/>
          <w:highlight w:val="none"/>
        </w:rPr>
        <w:t>见评标办法前附表。</w:t>
      </w:r>
    </w:p>
    <w:p>
      <w:pPr>
        <w:adjustRightInd/>
        <w:spacing w:line="360" w:lineRule="auto"/>
        <w:outlineLvl w:val="1"/>
        <w:rPr>
          <w:rFonts w:ascii="宋体" w:hAnsi="宋体" w:cs="宋体"/>
          <w:b/>
          <w:sz w:val="32"/>
          <w:highlight w:val="none"/>
        </w:rPr>
      </w:pPr>
      <w:r>
        <w:rPr>
          <w:rFonts w:hint="eastAsia" w:ascii="宋体" w:hAnsi="宋体" w:cs="宋体"/>
          <w:b/>
          <w:sz w:val="32"/>
          <w:highlight w:val="none"/>
        </w:rPr>
        <w:t>三、评标程序</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3.1符合性审查。</w:t>
      </w:r>
      <w:r>
        <w:rPr>
          <w:rFonts w:hint="eastAsia" w:ascii="宋体" w:hAnsi="宋体" w:cs="宋体"/>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3.2 比较与评价。</w:t>
      </w:r>
      <w:r>
        <w:rPr>
          <w:rFonts w:hint="eastAsia" w:ascii="宋体" w:hAnsi="宋体" w:cs="宋体"/>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3.3汇总商务技术得分。</w:t>
      </w:r>
      <w:r>
        <w:rPr>
          <w:rFonts w:hint="eastAsia" w:ascii="宋体" w:hAnsi="宋体" w:cs="宋体"/>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highlight w:val="none"/>
        </w:rPr>
      </w:pPr>
      <w:r>
        <w:rPr>
          <w:rFonts w:hint="eastAsia" w:ascii="宋体" w:hAnsi="宋体" w:cs="宋体"/>
          <w:b/>
          <w:kern w:val="0"/>
          <w:sz w:val="24"/>
          <w:highlight w:val="none"/>
        </w:rPr>
        <w:t>3.4报价评审。</w:t>
      </w:r>
    </w:p>
    <w:p>
      <w:pPr>
        <w:pStyle w:val="128"/>
        <w:spacing w:before="0"/>
        <w:ind w:firstLine="508" w:firstLineChars="212"/>
        <w:rPr>
          <w:rFonts w:ascii="宋体" w:hAnsi="宋体" w:cs="宋体"/>
          <w:kern w:val="0"/>
          <w:highlight w:val="none"/>
        </w:rPr>
      </w:pPr>
      <w:r>
        <w:rPr>
          <w:rFonts w:hint="eastAsia" w:ascii="宋体" w:hAnsi="宋体" w:cs="宋体"/>
          <w:kern w:val="0"/>
          <w:highlight w:val="none"/>
        </w:rPr>
        <w:t>3.4.1投标文件报价出现前后不一致的，按照下列规定修正：</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3.4.1.1投标文件中开标一览表(报价表)内容与投标文件中相应内容不一致的，以开标一览表(报价表)为准;</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3.4.1.2大写金额和小写金额不一致的，以大写金额为准;</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3.4.1.3单价金额小数点或者百分比有明显错位的，以开标一览表的总价为准，并修改单价;</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3.4.1.4总价金额与按单价汇总金额不一致的，以单价金额计算结果为准。</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3.4.3投标报价超过招标文件中规定的预算金额或者最高限价的，投标无效。</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kern w:val="0"/>
          <w:szCs w:val="24"/>
          <w:highlight w:val="none"/>
        </w:rPr>
      </w:pPr>
      <w:r>
        <w:rPr>
          <w:rFonts w:hint="eastAsia" w:ascii="宋体" w:hAnsi="宋体" w:cs="宋体"/>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highlight w:val="none"/>
        </w:rPr>
        <w:t>20</w:t>
      </w:r>
      <w:r>
        <w:rPr>
          <w:rFonts w:hint="eastAsia" w:ascii="宋体" w:hAnsi="宋体" w:cs="宋体"/>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highlight w:val="none"/>
        </w:rPr>
        <w:t>6</w:t>
      </w:r>
      <w:r>
        <w:rPr>
          <w:rFonts w:hint="eastAsia" w:ascii="宋体" w:hAnsi="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3.5排序与推荐。</w:t>
      </w:r>
      <w:r>
        <w:rPr>
          <w:rFonts w:hint="eastAsia" w:ascii="宋体" w:hAnsi="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highlight w:val="none"/>
        </w:rPr>
      </w:pPr>
      <w:r>
        <w:rPr>
          <w:rFonts w:hint="eastAsia" w:ascii="宋体" w:hAnsi="宋体" w:cs="宋体"/>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3.6编写评标报告。</w:t>
      </w:r>
      <w:r>
        <w:rPr>
          <w:rFonts w:hint="eastAsia" w:ascii="宋体" w:hAnsi="宋体" w:cs="宋体"/>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outlineLvl w:val="1"/>
        <w:rPr>
          <w:rFonts w:ascii="宋体" w:hAnsi="宋体" w:cs="宋体"/>
          <w:b/>
          <w:sz w:val="32"/>
          <w:highlight w:val="none"/>
        </w:rPr>
      </w:pPr>
      <w:r>
        <w:rPr>
          <w:rFonts w:hint="eastAsia" w:ascii="宋体" w:hAnsi="宋体" w:cs="宋体"/>
          <w:b/>
          <w:sz w:val="32"/>
          <w:highlight w:val="none"/>
        </w:rPr>
        <w:t>四、评标中的其他事项</w:t>
      </w:r>
    </w:p>
    <w:p>
      <w:pPr>
        <w:pStyle w:val="128"/>
        <w:spacing w:before="0"/>
        <w:ind w:firstLine="472" w:firstLineChars="196"/>
        <w:rPr>
          <w:rFonts w:ascii="宋体" w:hAnsi="宋体" w:cs="宋体"/>
          <w:kern w:val="0"/>
          <w:szCs w:val="24"/>
          <w:highlight w:val="none"/>
        </w:rPr>
      </w:pPr>
      <w:r>
        <w:rPr>
          <w:rFonts w:hint="eastAsia" w:ascii="宋体" w:hAnsi="宋体" w:cs="宋体"/>
          <w:b/>
          <w:kern w:val="0"/>
          <w:szCs w:val="24"/>
          <w:highlight w:val="none"/>
        </w:rPr>
        <w:t>4.1投标人澄清、说明或者补正。</w:t>
      </w:r>
      <w:r>
        <w:rPr>
          <w:rFonts w:hint="eastAsia" w:ascii="宋体" w:hAnsi="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szCs w:val="21"/>
          <w:highlight w:val="none"/>
        </w:rPr>
      </w:pPr>
      <w:r>
        <w:rPr>
          <w:rFonts w:hint="eastAsia" w:cs="宋体"/>
          <w:b/>
          <w:kern w:val="0"/>
          <w:highlight w:val="none"/>
        </w:rPr>
        <w:t>4.2投标无效。</w:t>
      </w:r>
      <w:r>
        <w:rPr>
          <w:rFonts w:hint="eastAsia" w:cs="宋体"/>
          <w:szCs w:val="21"/>
          <w:highlight w:val="none"/>
        </w:rPr>
        <w:t>有下列情形之一的，投标无效：</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4.2.2投标文件未按照招标文件要求签署、盖章的；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4.2.4投标文件含有采购人不能接受的附加条件的；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highlight w:val="none"/>
        </w:rPr>
      </w:pPr>
      <w:r>
        <w:rPr>
          <w:rFonts w:hint="eastAsia" w:ascii="宋体" w:hAnsi="宋体" w:cs="宋体"/>
          <w:kern w:val="0"/>
          <w:sz w:val="24"/>
          <w:highlight w:val="none"/>
        </w:rPr>
        <w:t xml:space="preserve">   4.2.6投标文件出现不是唯一的、有选择性投标报价的;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4.2.7投标报价超过招标文件中规定的预算金额或者最高限价的;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4.2.9投标人对根据修正原则修正后的报价不确认的；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4.2.10投标人提供虚假材料投标的；</w:t>
      </w:r>
    </w:p>
    <w:p>
      <w:pPr>
        <w:spacing w:line="360" w:lineRule="auto"/>
        <w:ind w:firstLine="240" w:firstLineChars="100"/>
        <w:rPr>
          <w:rFonts w:ascii="宋体" w:hAnsi="宋体" w:cs="宋体"/>
          <w:kern w:val="0"/>
          <w:sz w:val="24"/>
          <w:highlight w:val="none"/>
        </w:rPr>
      </w:pPr>
      <w:r>
        <w:rPr>
          <w:rFonts w:hint="eastAsia" w:ascii="宋体" w:hAnsi="宋体" w:cs="宋体"/>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4.2.13投标人未提供样品或提供的样品不满足采购需求实质性条件的，投标无效；</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4.2.14 投标文件不满足招标文件的其它实质性要求的；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4.2.15法律、法规、规章（适用本市的）及省级以上规范性文件（适用本市的）规定的其他无效情形。</w:t>
      </w:r>
    </w:p>
    <w:p>
      <w:pPr>
        <w:pStyle w:val="24"/>
        <w:snapToGrid w:val="0"/>
        <w:spacing w:line="360" w:lineRule="auto"/>
        <w:ind w:firstLine="472" w:firstLineChars="196"/>
        <w:rPr>
          <w:rFonts w:cs="宋体"/>
          <w:highlight w:val="none"/>
        </w:rPr>
      </w:pPr>
      <w:r>
        <w:rPr>
          <w:rFonts w:hint="eastAsia" w:cs="宋体"/>
          <w:b/>
          <w:highlight w:val="none"/>
        </w:rPr>
        <w:t>5.废标。</w:t>
      </w:r>
      <w:r>
        <w:rPr>
          <w:rFonts w:hint="eastAsia" w:cs="宋体"/>
          <w:highlight w:val="none"/>
        </w:rPr>
        <w:t>根据《中华人民共和国政府采购法》第三十六条之规定，在采购中，出现下列情形之一的，应予废标：</w:t>
      </w:r>
    </w:p>
    <w:p>
      <w:pPr>
        <w:pStyle w:val="24"/>
        <w:snapToGrid w:val="0"/>
        <w:spacing w:line="360" w:lineRule="auto"/>
        <w:rPr>
          <w:rFonts w:cs="宋体"/>
          <w:highlight w:val="none"/>
        </w:rPr>
      </w:pPr>
      <w:r>
        <w:rPr>
          <w:rFonts w:hint="eastAsia" w:cs="宋体"/>
          <w:highlight w:val="none"/>
        </w:rPr>
        <w:t>5.1符合专业条件的供应商或者对招标文件作实质响应的供应商不足3家的；</w:t>
      </w:r>
    </w:p>
    <w:p>
      <w:pPr>
        <w:pStyle w:val="24"/>
        <w:snapToGrid w:val="0"/>
        <w:spacing w:line="360" w:lineRule="auto"/>
        <w:rPr>
          <w:rFonts w:cs="宋体"/>
          <w:highlight w:val="none"/>
        </w:rPr>
      </w:pPr>
      <w:r>
        <w:rPr>
          <w:rFonts w:hint="eastAsia" w:cs="宋体"/>
          <w:highlight w:val="none"/>
        </w:rPr>
        <w:t>5.2出现影响采购公正的违法、违规行为的；</w:t>
      </w:r>
    </w:p>
    <w:p>
      <w:pPr>
        <w:pStyle w:val="24"/>
        <w:snapToGrid w:val="0"/>
        <w:spacing w:line="360" w:lineRule="auto"/>
        <w:rPr>
          <w:rFonts w:cs="宋体"/>
          <w:highlight w:val="none"/>
        </w:rPr>
      </w:pPr>
      <w:r>
        <w:rPr>
          <w:rFonts w:hint="eastAsia" w:cs="宋体"/>
          <w:highlight w:val="none"/>
        </w:rPr>
        <w:t>5.3投标人的报价均超过了采购预算，采购人不能支付的；</w:t>
      </w:r>
    </w:p>
    <w:p>
      <w:pPr>
        <w:pStyle w:val="24"/>
        <w:snapToGrid w:val="0"/>
        <w:spacing w:line="360" w:lineRule="auto"/>
        <w:rPr>
          <w:rFonts w:cs="宋体"/>
          <w:highlight w:val="none"/>
        </w:rPr>
      </w:pPr>
      <w:r>
        <w:rPr>
          <w:rFonts w:hint="eastAsia" w:cs="宋体"/>
          <w:highlight w:val="none"/>
        </w:rPr>
        <w:t>5.4因重大变故，采购任务取消的。</w:t>
      </w:r>
    </w:p>
    <w:p>
      <w:pPr>
        <w:pStyle w:val="24"/>
        <w:snapToGrid w:val="0"/>
        <w:spacing w:line="360" w:lineRule="auto"/>
        <w:rPr>
          <w:rFonts w:cs="宋体"/>
          <w:highlight w:val="none"/>
        </w:rPr>
      </w:pPr>
      <w:r>
        <w:rPr>
          <w:rFonts w:hint="eastAsia" w:cs="宋体"/>
          <w:highlight w:val="none"/>
        </w:rPr>
        <w:t>废标后，采购机构应当将废标理由通知所有投标人。</w:t>
      </w:r>
    </w:p>
    <w:p>
      <w:pPr>
        <w:pStyle w:val="24"/>
        <w:snapToGrid w:val="0"/>
        <w:spacing w:line="360" w:lineRule="auto"/>
        <w:ind w:firstLine="590" w:firstLineChars="245"/>
        <w:rPr>
          <w:rFonts w:cs="宋体"/>
          <w:highlight w:val="none"/>
        </w:rPr>
      </w:pPr>
      <w:r>
        <w:rPr>
          <w:rFonts w:hint="eastAsia" w:cs="宋体"/>
          <w:b/>
          <w:highlight w:val="none"/>
        </w:rPr>
        <w:t>6.修改招标文件，重新组织采购活动。</w:t>
      </w:r>
      <w:r>
        <w:rPr>
          <w:rFonts w:hint="eastAsia" w:cs="宋体"/>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firstLine="482"/>
        <w:rPr>
          <w:rFonts w:cs="宋体"/>
          <w:highlight w:val="none"/>
        </w:rPr>
      </w:pPr>
      <w:r>
        <w:rPr>
          <w:rFonts w:hint="eastAsia" w:cs="宋体"/>
          <w:b/>
          <w:kern w:val="0"/>
          <w:highlight w:val="none"/>
        </w:rPr>
        <w:t>7.重新开展采购。</w:t>
      </w:r>
      <w:r>
        <w:rPr>
          <w:rFonts w:hint="eastAsia" w:cs="宋体"/>
          <w:highlight w:val="none"/>
        </w:rPr>
        <w:t>有政府采购法第七十一条、第七十二条规定的违法行为之一，影响或者可能影响中标结果的，依照下列规定处理：</w:t>
      </w:r>
    </w:p>
    <w:p>
      <w:pPr>
        <w:pStyle w:val="24"/>
        <w:snapToGrid w:val="0"/>
        <w:spacing w:line="360" w:lineRule="auto"/>
        <w:rPr>
          <w:rFonts w:cs="宋体"/>
          <w:highlight w:val="none"/>
        </w:rPr>
      </w:pPr>
      <w:r>
        <w:rPr>
          <w:rFonts w:hint="eastAsia" w:cs="宋体"/>
          <w:highlight w:val="none"/>
        </w:rPr>
        <w:t>7.1未确定中标供应商的，终止本次政府采购活动，重新开展政府采购活动。</w:t>
      </w:r>
    </w:p>
    <w:p>
      <w:pPr>
        <w:pStyle w:val="24"/>
        <w:snapToGrid w:val="0"/>
        <w:spacing w:line="360" w:lineRule="auto"/>
        <w:rPr>
          <w:rFonts w:cs="宋体"/>
          <w:highlight w:val="none"/>
        </w:rPr>
      </w:pPr>
      <w:r>
        <w:rPr>
          <w:rFonts w:hint="eastAsia" w:cs="宋体"/>
          <w:highlight w:val="none"/>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highlight w:val="none"/>
        </w:rPr>
      </w:pPr>
      <w:r>
        <w:rPr>
          <w:rFonts w:hint="eastAsia" w:cs="宋体"/>
          <w:highlight w:val="none"/>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highlight w:val="none"/>
        </w:rPr>
      </w:pPr>
      <w:r>
        <w:rPr>
          <w:rFonts w:hint="eastAsia" w:cs="宋体"/>
          <w:highlight w:val="none"/>
        </w:rPr>
        <w:t>7.4政府采购合同已经履行，给采购人、供应商造成损失的，由责任人承担赔偿责任。</w:t>
      </w:r>
    </w:p>
    <w:p>
      <w:pPr>
        <w:pStyle w:val="24"/>
        <w:snapToGrid w:val="0"/>
        <w:spacing w:line="360" w:lineRule="auto"/>
        <w:rPr>
          <w:rFonts w:cs="宋体"/>
          <w:highlight w:val="none"/>
        </w:rPr>
      </w:pPr>
      <w:r>
        <w:rPr>
          <w:rFonts w:hint="eastAsia" w:cs="宋体"/>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cs="宋体"/>
          <w:highlight w:val="none"/>
        </w:rPr>
      </w:pPr>
    </w:p>
    <w:bookmarkEnd w:id="31"/>
    <w:p>
      <w:pPr>
        <w:spacing w:line="360" w:lineRule="auto"/>
        <w:ind w:left="720" w:leftChars="343" w:firstLine="1084" w:firstLineChars="300"/>
        <w:rPr>
          <w:rFonts w:ascii="宋体" w:hAnsi="宋体" w:cs="宋体"/>
          <w:b/>
          <w:sz w:val="36"/>
          <w:szCs w:val="36"/>
          <w:highlight w:val="none"/>
        </w:rPr>
      </w:pPr>
      <w:bookmarkStart w:id="400" w:name="第五部分"/>
      <w:bookmarkStart w:id="401" w:name="_Toc86217003"/>
    </w:p>
    <w:p>
      <w:pPr>
        <w:spacing w:line="360" w:lineRule="auto"/>
        <w:ind w:left="720" w:leftChars="343" w:firstLine="1084" w:firstLineChars="300"/>
        <w:rPr>
          <w:rFonts w:ascii="宋体" w:hAnsi="宋体" w:cs="宋体"/>
          <w:b/>
          <w:sz w:val="36"/>
          <w:szCs w:val="36"/>
          <w:highlight w:val="none"/>
        </w:rPr>
      </w:pPr>
    </w:p>
    <w:p>
      <w:pPr>
        <w:rPr>
          <w:rFonts w:ascii="宋体" w:hAnsi="宋体" w:cs="宋体"/>
          <w:b/>
          <w:sz w:val="36"/>
          <w:szCs w:val="36"/>
          <w:highlight w:val="none"/>
        </w:rPr>
      </w:pPr>
      <w:r>
        <w:rPr>
          <w:rFonts w:hint="eastAsia" w:ascii="宋体" w:hAnsi="宋体" w:cs="宋体"/>
          <w:b/>
          <w:sz w:val="36"/>
          <w:szCs w:val="36"/>
          <w:highlight w:val="none"/>
        </w:rPr>
        <w:br w:type="page"/>
      </w:r>
    </w:p>
    <w:p>
      <w:pPr>
        <w:pStyle w:val="3"/>
        <w:rPr>
          <w:highlight w:val="none"/>
        </w:rPr>
      </w:pPr>
    </w:p>
    <w:p>
      <w:pPr>
        <w:spacing w:line="360" w:lineRule="auto"/>
        <w:ind w:left="720" w:leftChars="343" w:firstLine="1084" w:firstLineChars="300"/>
        <w:outlineLvl w:val="0"/>
        <w:rPr>
          <w:rFonts w:ascii="宋体" w:hAnsi="宋体" w:cs="宋体"/>
          <w:b/>
          <w:sz w:val="36"/>
          <w:szCs w:val="36"/>
          <w:highlight w:val="none"/>
        </w:rPr>
      </w:pPr>
      <w:r>
        <w:rPr>
          <w:rFonts w:hint="eastAsia" w:ascii="宋体" w:hAnsi="宋体" w:cs="宋体"/>
          <w:b/>
          <w:sz w:val="36"/>
          <w:szCs w:val="36"/>
          <w:highlight w:val="none"/>
        </w:rPr>
        <w:t>第五部分 拟签订的合同文本</w:t>
      </w:r>
    </w:p>
    <w:p>
      <w:pPr>
        <w:rPr>
          <w:rFonts w:ascii="宋体" w:hAnsi="宋体" w:cs="宋体"/>
          <w:sz w:val="24"/>
          <w:highlight w:val="none"/>
          <w:u w:val="single"/>
        </w:rPr>
      </w:pPr>
      <w:r>
        <w:rPr>
          <w:rFonts w:hint="eastAsia" w:ascii="宋体" w:hAnsi="宋体" w:cs="宋体"/>
          <w:sz w:val="24"/>
          <w:highlight w:val="none"/>
        </w:rPr>
        <w:t>合同编号：</w:t>
      </w:r>
    </w:p>
    <w:p>
      <w:pPr>
        <w:spacing w:line="480" w:lineRule="auto"/>
        <w:jc w:val="center"/>
        <w:rPr>
          <w:rFonts w:ascii="宋体" w:hAnsi="宋体" w:cs="宋体"/>
          <w:b/>
          <w:sz w:val="28"/>
          <w:szCs w:val="28"/>
          <w:highlight w:val="none"/>
        </w:rPr>
      </w:pPr>
    </w:p>
    <w:p>
      <w:pPr>
        <w:spacing w:line="480" w:lineRule="auto"/>
        <w:jc w:val="center"/>
        <w:rPr>
          <w:rFonts w:ascii="宋体" w:hAnsi="宋体" w:cs="宋体"/>
          <w:b/>
          <w:sz w:val="24"/>
          <w:highlight w:val="none"/>
        </w:rPr>
      </w:pPr>
    </w:p>
    <w:p>
      <w:pPr>
        <w:spacing w:line="480" w:lineRule="auto"/>
        <w:jc w:val="center"/>
        <w:rPr>
          <w:rFonts w:ascii="宋体" w:hAnsi="宋体" w:cs="宋体"/>
          <w:b/>
          <w:sz w:val="24"/>
          <w:highlight w:val="none"/>
        </w:rPr>
      </w:pPr>
    </w:p>
    <w:p>
      <w:pPr>
        <w:spacing w:line="480" w:lineRule="auto"/>
        <w:jc w:val="center"/>
        <w:outlineLvl w:val="1"/>
        <w:rPr>
          <w:rFonts w:ascii="宋体" w:hAnsi="宋体" w:cs="宋体"/>
          <w:b/>
          <w:sz w:val="36"/>
          <w:szCs w:val="36"/>
          <w:highlight w:val="none"/>
        </w:rPr>
      </w:pPr>
      <w:r>
        <w:rPr>
          <w:rFonts w:hint="eastAsia" w:ascii="宋体" w:hAnsi="宋体" w:cs="宋体"/>
          <w:b/>
          <w:sz w:val="36"/>
          <w:szCs w:val="36"/>
          <w:highlight w:val="none"/>
        </w:rPr>
        <w:t>政府采购合同参考范本</w:t>
      </w:r>
    </w:p>
    <w:p>
      <w:pPr>
        <w:spacing w:line="480" w:lineRule="auto"/>
        <w:jc w:val="center"/>
        <w:rPr>
          <w:rFonts w:ascii="宋体" w:hAnsi="宋体" w:cs="宋体"/>
          <w:highlight w:val="none"/>
        </w:rPr>
      </w:pPr>
      <w:r>
        <w:rPr>
          <w:rFonts w:hint="eastAsia" w:ascii="宋体" w:hAnsi="宋体" w:cs="宋体"/>
          <w:b/>
          <w:sz w:val="36"/>
          <w:szCs w:val="36"/>
          <w:highlight w:val="none"/>
        </w:rPr>
        <w:t>（货物类）</w:t>
      </w:r>
    </w:p>
    <w:p>
      <w:pPr>
        <w:pStyle w:val="699"/>
        <w:rPr>
          <w:rFonts w:ascii="宋体" w:hAnsi="宋体" w:cs="宋体"/>
          <w:szCs w:val="24"/>
          <w:highlight w:val="none"/>
        </w:rPr>
      </w:pPr>
    </w:p>
    <w:p>
      <w:pPr>
        <w:pStyle w:val="699"/>
        <w:jc w:val="center"/>
        <w:rPr>
          <w:rFonts w:ascii="宋体" w:hAnsi="宋体" w:cs="宋体"/>
          <w:szCs w:val="24"/>
          <w:highlight w:val="none"/>
        </w:rPr>
      </w:pPr>
    </w:p>
    <w:p>
      <w:pPr>
        <w:pStyle w:val="699"/>
        <w:ind w:firstLine="2843" w:firstLineChars="1180"/>
        <w:outlineLvl w:val="1"/>
        <w:rPr>
          <w:rFonts w:ascii="宋体" w:hAnsi="宋体" w:cs="宋体"/>
          <w:b/>
          <w:szCs w:val="24"/>
          <w:highlight w:val="none"/>
        </w:rPr>
      </w:pPr>
      <w:r>
        <w:rPr>
          <w:rFonts w:hint="eastAsia" w:ascii="宋体" w:hAnsi="宋体" w:cs="宋体"/>
          <w:b/>
          <w:szCs w:val="24"/>
          <w:highlight w:val="none"/>
        </w:rPr>
        <w:t>第一部分 合同书</w:t>
      </w:r>
    </w:p>
    <w:p>
      <w:pPr>
        <w:pStyle w:val="699"/>
        <w:rPr>
          <w:rFonts w:ascii="宋体" w:hAnsi="宋体" w:cs="宋体"/>
          <w:szCs w:val="24"/>
          <w:highlight w:val="none"/>
        </w:rPr>
      </w:pPr>
    </w:p>
    <w:p>
      <w:pPr>
        <w:pStyle w:val="699"/>
        <w:rPr>
          <w:rFonts w:ascii="宋体" w:hAnsi="宋体" w:cs="宋体"/>
          <w:szCs w:val="24"/>
          <w:highlight w:val="none"/>
        </w:rPr>
      </w:pPr>
    </w:p>
    <w:p>
      <w:pPr>
        <w:spacing w:before="120" w:line="22" w:lineRule="atLeast"/>
        <w:rPr>
          <w:rFonts w:ascii="宋体" w:hAnsi="宋体" w:cs="宋体"/>
          <w:sz w:val="24"/>
          <w:highlight w:val="none"/>
        </w:rPr>
      </w:pPr>
    </w:p>
    <w:p>
      <w:pPr>
        <w:spacing w:before="120" w:line="22" w:lineRule="atLeast"/>
        <w:ind w:left="960"/>
        <w:rPr>
          <w:rFonts w:ascii="宋体" w:hAnsi="宋体" w:cs="宋体"/>
          <w:sz w:val="24"/>
          <w:highlight w:val="none"/>
        </w:rPr>
      </w:pPr>
      <w:r>
        <w:rPr>
          <w:rFonts w:hint="eastAsia" w:ascii="宋体" w:hAnsi="宋体" w:cs="宋体"/>
          <w:sz w:val="24"/>
          <w:highlight w:val="none"/>
        </w:rPr>
        <w:t>项目名称：</w:t>
      </w:r>
    </w:p>
    <w:p>
      <w:pPr>
        <w:pStyle w:val="596"/>
        <w:spacing w:before="120" w:line="22" w:lineRule="atLeast"/>
        <w:rPr>
          <w:rFonts w:ascii="宋体" w:hAnsi="宋体" w:eastAsia="宋体" w:cs="宋体"/>
          <w:szCs w:val="24"/>
          <w:highlight w:val="none"/>
        </w:rPr>
      </w:pPr>
    </w:p>
    <w:p>
      <w:pPr>
        <w:pStyle w:val="596"/>
        <w:spacing w:before="120" w:line="22" w:lineRule="atLeast"/>
        <w:rPr>
          <w:rFonts w:ascii="宋体" w:hAnsi="宋体" w:eastAsia="宋体" w:cs="宋体"/>
          <w:szCs w:val="24"/>
          <w:highlight w:val="none"/>
        </w:rPr>
      </w:pPr>
    </w:p>
    <w:p>
      <w:pPr>
        <w:rPr>
          <w:rFonts w:ascii="宋体" w:hAnsi="宋体" w:cs="宋体"/>
          <w:sz w:val="24"/>
          <w:highlight w:val="none"/>
        </w:rPr>
      </w:pP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甲方：</w:t>
      </w:r>
    </w:p>
    <w:p>
      <w:pPr>
        <w:spacing w:before="120" w:line="22" w:lineRule="atLeast"/>
        <w:rPr>
          <w:rFonts w:ascii="宋体" w:hAnsi="宋体" w:cs="宋体"/>
          <w:sz w:val="24"/>
          <w:highlight w:val="none"/>
        </w:rPr>
      </w:pP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乙方：</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签订地：</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签订日期：年月日</w:t>
      </w:r>
    </w:p>
    <w:p>
      <w:pPr>
        <w:widowControl/>
        <w:jc w:val="left"/>
        <w:rPr>
          <w:rFonts w:ascii="宋体" w:hAnsi="宋体" w:cs="宋体"/>
          <w:kern w:val="0"/>
          <w:sz w:val="24"/>
          <w:highlight w:val="none"/>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highlight w:val="none"/>
        </w:rPr>
      </w:pPr>
      <w:r>
        <w:rPr>
          <w:rFonts w:hint="eastAsia" w:ascii="宋体" w:hAnsi="宋体" w:cs="宋体"/>
          <w:sz w:val="24"/>
          <w:highlight w:val="none"/>
          <w:lang w:val="zh-CN"/>
        </w:rPr>
        <w:t>年月日</w:t>
      </w:r>
      <w:r>
        <w:rPr>
          <w:rFonts w:hint="eastAsia" w:ascii="宋体" w:hAnsi="宋体" w:cs="宋体"/>
          <w:sz w:val="24"/>
          <w:highlight w:val="none"/>
        </w:rPr>
        <w:t>，</w:t>
      </w:r>
      <w:r>
        <w:rPr>
          <w:rFonts w:hint="eastAsia" w:ascii="宋体" w:hAnsi="宋体" w:cs="宋体"/>
          <w:color w:val="0000FF"/>
          <w:sz w:val="24"/>
          <w:highlight w:val="none"/>
          <w:u w:val="single"/>
        </w:rPr>
        <w:t>拱墅区人民政府小河街道办事处</w:t>
      </w:r>
      <w:r>
        <w:rPr>
          <w:rFonts w:hint="eastAsia" w:ascii="宋体" w:hAnsi="宋体" w:cs="宋体"/>
          <w:sz w:val="24"/>
          <w:highlight w:val="none"/>
        </w:rPr>
        <w:t>以</w:t>
      </w:r>
      <w:r>
        <w:rPr>
          <w:rFonts w:hint="eastAsia" w:ascii="宋体" w:hAnsi="宋体" w:cs="宋体"/>
          <w:sz w:val="24"/>
          <w:highlight w:val="none"/>
          <w:u w:val="single"/>
        </w:rPr>
        <w:t xml:space="preserve">   公开招标方式  </w:t>
      </w:r>
      <w:r>
        <w:rPr>
          <w:rFonts w:hint="eastAsia" w:ascii="宋体" w:hAnsi="宋体" w:cs="宋体"/>
          <w:sz w:val="24"/>
          <w:highlight w:val="none"/>
        </w:rPr>
        <w:t>对</w:t>
      </w:r>
      <w:r>
        <w:rPr>
          <w:rFonts w:hint="eastAsia" w:ascii="宋体" w:hAnsi="宋体" w:cs="宋体"/>
          <w:color w:val="0000FF"/>
          <w:sz w:val="24"/>
          <w:highlight w:val="none"/>
          <w:u w:val="single"/>
        </w:rPr>
        <w:t xml:space="preserve">杭州市拱墅区小河街道余杭塘路未来社区（办公设施、家具采购）  </w:t>
      </w:r>
      <w:r>
        <w:rPr>
          <w:rFonts w:hint="eastAsia" w:ascii="宋体" w:hAnsi="宋体" w:cs="宋体"/>
          <w:sz w:val="24"/>
          <w:highlight w:val="none"/>
        </w:rPr>
        <w:t>项目进行了采购。经</w:t>
      </w:r>
      <w:r>
        <w:rPr>
          <w:rFonts w:hint="eastAsia" w:ascii="宋体" w:hAnsi="宋体" w:cs="宋体"/>
          <w:color w:val="0000FF"/>
          <w:sz w:val="24"/>
          <w:highlight w:val="none"/>
          <w:u w:val="single"/>
        </w:rPr>
        <w:t xml:space="preserve">（相关评定主体名称） </w:t>
      </w:r>
      <w:r>
        <w:rPr>
          <w:rFonts w:hint="eastAsia" w:ascii="宋体" w:hAnsi="宋体" w:cs="宋体"/>
          <w:sz w:val="24"/>
          <w:highlight w:val="none"/>
        </w:rPr>
        <w:t>评定，</w:t>
      </w:r>
      <w:r>
        <w:rPr>
          <w:rFonts w:hint="eastAsia" w:ascii="宋体" w:hAnsi="宋体" w:cs="宋体"/>
          <w:color w:val="0000FF"/>
          <w:sz w:val="24"/>
          <w:highlight w:val="none"/>
          <w:u w:val="single"/>
        </w:rPr>
        <w:t>（中标供应商名称）</w:t>
      </w:r>
      <w:r>
        <w:rPr>
          <w:rFonts w:hint="eastAsia" w:ascii="宋体" w:hAnsi="宋体" w:cs="宋体"/>
          <w:sz w:val="24"/>
          <w:highlight w:val="none"/>
        </w:rPr>
        <w:t>为该项目中标供应商。现于中标通知书发出之日起10个工作日内，按照采购文件确定的事项签订本合同。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sz w:val="24"/>
          <w:highlight w:val="none"/>
          <w:u w:val="single"/>
        </w:rPr>
        <w:t xml:space="preserve">   （采购人）   </w:t>
      </w:r>
      <w:r>
        <w:rPr>
          <w:rFonts w:hint="eastAsia" w:ascii="宋体" w:hAnsi="宋体" w:cs="宋体"/>
          <w:sz w:val="24"/>
          <w:highlight w:val="none"/>
          <w:lang w:val="zh-CN"/>
        </w:rPr>
        <w:t>(以下简称：甲方)和</w:t>
      </w:r>
      <w:r>
        <w:rPr>
          <w:rFonts w:hint="eastAsia" w:ascii="宋体" w:hAnsi="宋体" w:cs="宋体"/>
          <w:sz w:val="24"/>
          <w:highlight w:val="none"/>
          <w:u w:val="single"/>
        </w:rPr>
        <w:t xml:space="preserve">   （中标供应商名称）   </w:t>
      </w:r>
      <w:r>
        <w:rPr>
          <w:rFonts w:hint="eastAsia" w:ascii="宋体" w:hAnsi="宋体" w:cs="宋体"/>
          <w:sz w:val="24"/>
          <w:highlight w:val="none"/>
          <w:lang w:val="zh-CN"/>
        </w:rPr>
        <w:t>(以下简称：乙方)协商一致，约定以下合同</w:t>
      </w:r>
      <w:r>
        <w:rPr>
          <w:rFonts w:hint="eastAsia" w:ascii="宋体" w:hAnsi="宋体" w:cs="宋体"/>
          <w:sz w:val="24"/>
          <w:highlight w:val="none"/>
        </w:rPr>
        <w:t>条款，以兹共同遵守、全面履行。</w:t>
      </w:r>
    </w:p>
    <w:p>
      <w:pPr>
        <w:spacing w:line="560" w:lineRule="exact"/>
        <w:ind w:firstLine="482" w:firstLineChars="200"/>
        <w:outlineLvl w:val="2"/>
        <w:rPr>
          <w:rFonts w:ascii="宋体" w:hAnsi="宋体" w:cs="宋体"/>
          <w:b/>
          <w:sz w:val="24"/>
          <w:highlight w:val="none"/>
        </w:rPr>
      </w:pPr>
      <w:bookmarkStart w:id="402" w:name="_Toc2232"/>
      <w:bookmarkStart w:id="403" w:name="_Toc24059"/>
      <w:bookmarkStart w:id="404" w:name="_Toc3029"/>
      <w:r>
        <w:rPr>
          <w:rFonts w:hint="eastAsia" w:ascii="宋体" w:hAnsi="宋体" w:cs="宋体"/>
          <w:b/>
          <w:sz w:val="24"/>
          <w:highlight w:val="none"/>
        </w:rPr>
        <w:t>1.1 合同组成部分</w:t>
      </w:r>
      <w:bookmarkEnd w:id="402"/>
      <w:bookmarkEnd w:id="403"/>
      <w:bookmarkEnd w:id="404"/>
    </w:p>
    <w:p>
      <w:pPr>
        <w:spacing w:line="560" w:lineRule="exact"/>
        <w:ind w:firstLine="480" w:firstLineChars="200"/>
        <w:rPr>
          <w:rFonts w:ascii="宋体" w:hAnsi="宋体" w:cs="宋体"/>
          <w:sz w:val="24"/>
          <w:highlight w:val="none"/>
        </w:rPr>
      </w:pPr>
      <w:r>
        <w:rPr>
          <w:rFonts w:hint="eastAsia" w:ascii="宋体" w:hAnsi="宋体" w:cs="宋体"/>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1.1.1 本合同及其补充合同、变更协议；</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1.1.2 中标通知书；</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1.1.3 投标文件（含澄清或者说明文件）；</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1.1.4 招标文件（含澄清或者修改文件）；</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1.1.5 其他相关采购文件。</w:t>
      </w:r>
    </w:p>
    <w:p>
      <w:pPr>
        <w:spacing w:line="560" w:lineRule="exact"/>
        <w:ind w:firstLine="482" w:firstLineChars="200"/>
        <w:outlineLvl w:val="2"/>
        <w:rPr>
          <w:rFonts w:ascii="宋体" w:hAnsi="宋体" w:cs="宋体"/>
          <w:b/>
          <w:sz w:val="24"/>
          <w:highlight w:val="none"/>
        </w:rPr>
      </w:pPr>
      <w:bookmarkStart w:id="405" w:name="_Toc24300"/>
      <w:bookmarkStart w:id="406" w:name="_Toc27126"/>
      <w:bookmarkStart w:id="407" w:name="_Toc21295"/>
      <w:r>
        <w:rPr>
          <w:rFonts w:hint="eastAsia" w:ascii="宋体" w:hAnsi="宋体" w:cs="宋体"/>
          <w:b/>
          <w:sz w:val="24"/>
          <w:highlight w:val="none"/>
        </w:rPr>
        <w:t>1.2 货物</w:t>
      </w:r>
      <w:bookmarkEnd w:id="405"/>
      <w:bookmarkEnd w:id="406"/>
      <w:bookmarkEnd w:id="407"/>
    </w:p>
    <w:p>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1.2.1 货物名称：；</w:t>
      </w:r>
    </w:p>
    <w:p>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1.2.2 货物数量：；</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1.2.3 货物质量：</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560" w:lineRule="exact"/>
        <w:ind w:firstLine="482" w:firstLineChars="200"/>
        <w:outlineLvl w:val="2"/>
        <w:rPr>
          <w:rFonts w:ascii="宋体" w:hAnsi="宋体" w:cs="宋体"/>
          <w:b/>
          <w:sz w:val="24"/>
          <w:highlight w:val="none"/>
        </w:rPr>
      </w:pPr>
      <w:bookmarkStart w:id="408" w:name="_Toc21631"/>
      <w:bookmarkStart w:id="409" w:name="_Toc23292"/>
      <w:bookmarkStart w:id="410" w:name="_Toc21551"/>
      <w:r>
        <w:rPr>
          <w:rFonts w:hint="eastAsia" w:ascii="宋体" w:hAnsi="宋体" w:cs="宋体"/>
          <w:b/>
          <w:sz w:val="24"/>
          <w:highlight w:val="none"/>
        </w:rPr>
        <w:t>1.3 价款</w:t>
      </w:r>
      <w:bookmarkEnd w:id="408"/>
      <w:bookmarkEnd w:id="409"/>
      <w:bookmarkEnd w:id="410"/>
    </w:p>
    <w:p>
      <w:pPr>
        <w:spacing w:line="560" w:lineRule="exact"/>
        <w:ind w:firstLine="480" w:firstLineChars="200"/>
        <w:rPr>
          <w:rFonts w:ascii="宋体" w:hAnsi="宋体" w:cs="宋体"/>
          <w:sz w:val="24"/>
          <w:highlight w:val="none"/>
        </w:rPr>
      </w:pPr>
      <w:r>
        <w:rPr>
          <w:rFonts w:hint="eastAsia" w:ascii="宋体" w:hAnsi="宋体" w:cs="宋体"/>
          <w:sz w:val="24"/>
          <w:highlight w:val="none"/>
        </w:rPr>
        <w:t>本合同总价为：￥元（大写：元人民币）。</w:t>
      </w:r>
    </w:p>
    <w:p>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sz w:val="24"/>
                <w:szCs w:val="24"/>
                <w:highlight w:val="none"/>
              </w:rPr>
            </w:pPr>
            <w:r>
              <w:rPr>
                <w:rFonts w:hint="eastAsia" w:hAnsi="宋体" w:cs="宋体"/>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r>
              <w:rPr>
                <w:rFonts w:hint="eastAsia" w:hAnsi="宋体" w:cs="宋体"/>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sz w:val="24"/>
                <w:szCs w:val="24"/>
                <w:highlight w:val="none"/>
              </w:rPr>
            </w:pPr>
            <w:r>
              <w:rPr>
                <w:rFonts w:hint="eastAsia" w:hAnsi="宋体" w:cs="宋体"/>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r>
              <w:rPr>
                <w:rFonts w:hint="eastAsia" w:hAnsi="宋体" w:cs="宋体"/>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highlight w:val="none"/>
              </w:rPr>
            </w:pPr>
          </w:p>
        </w:tc>
      </w:tr>
    </w:tbl>
    <w:p>
      <w:pPr>
        <w:spacing w:line="560" w:lineRule="exact"/>
        <w:ind w:firstLine="482" w:firstLineChars="200"/>
        <w:outlineLvl w:val="2"/>
        <w:rPr>
          <w:rFonts w:ascii="宋体" w:hAnsi="宋体" w:cs="宋体"/>
          <w:b/>
          <w:sz w:val="24"/>
          <w:highlight w:val="none"/>
        </w:rPr>
      </w:pPr>
      <w:bookmarkStart w:id="411" w:name="_Toc22618"/>
      <w:bookmarkStart w:id="412" w:name="_Toc10340"/>
      <w:bookmarkStart w:id="413" w:name="_Toc1814"/>
      <w:r>
        <w:rPr>
          <w:rFonts w:hint="eastAsia" w:ascii="宋体" w:hAnsi="宋体" w:cs="宋体"/>
          <w:b/>
          <w:sz w:val="24"/>
          <w:highlight w:val="none"/>
        </w:rPr>
        <w:t>1.4 付款</w:t>
      </w:r>
      <w:bookmarkEnd w:id="411"/>
      <w:bookmarkEnd w:id="412"/>
      <w:bookmarkEnd w:id="413"/>
      <w:r>
        <w:rPr>
          <w:rFonts w:hint="eastAsia" w:ascii="宋体" w:hAnsi="宋体" w:cs="宋体"/>
          <w:b/>
          <w:sz w:val="24"/>
          <w:highlight w:val="none"/>
        </w:rPr>
        <w:t>方式、时间和条件</w:t>
      </w:r>
    </w:p>
    <w:p>
      <w:pPr>
        <w:pStyle w:val="957"/>
        <w:spacing w:before="0" w:beforeAutospacing="0" w:after="0" w:afterAutospacing="0" w:line="360" w:lineRule="auto"/>
        <w:ind w:firstLine="480"/>
        <w:rPr>
          <w:highlight w:val="none"/>
        </w:rPr>
      </w:pPr>
      <w:r>
        <w:rPr>
          <w:rFonts w:hint="eastAsia"/>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1.4.4资金支付的方式、时间和条件详见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2"/>
        <w:rPr>
          <w:rFonts w:ascii="宋体" w:hAnsi="宋体" w:cs="宋体"/>
          <w:b/>
          <w:sz w:val="24"/>
          <w:highlight w:val="none"/>
        </w:rPr>
      </w:pPr>
      <w:bookmarkStart w:id="414" w:name="_Toc32071"/>
      <w:bookmarkStart w:id="415" w:name="_Toc19304"/>
      <w:bookmarkStart w:id="416" w:name="_Toc2846"/>
      <w:r>
        <w:rPr>
          <w:rFonts w:hint="eastAsia" w:ascii="宋体" w:hAnsi="宋体" w:cs="宋体"/>
          <w:b/>
          <w:sz w:val="24"/>
          <w:highlight w:val="none"/>
        </w:rPr>
        <w:t>1.5 货物交付期限、地点和方式</w:t>
      </w:r>
      <w:bookmarkEnd w:id="414"/>
      <w:bookmarkEnd w:id="415"/>
      <w:bookmarkEnd w:id="416"/>
    </w:p>
    <w:p>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1.5.1 交付期限：详见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1.5.2 交付地点：</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1.5.3 交付方式：</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outlineLvl w:val="2"/>
        <w:rPr>
          <w:rFonts w:ascii="宋体" w:hAnsi="宋体" w:cs="宋体"/>
          <w:b/>
          <w:sz w:val="24"/>
          <w:highlight w:val="none"/>
        </w:rPr>
      </w:pPr>
      <w:bookmarkStart w:id="417" w:name="_Toc19554"/>
      <w:bookmarkStart w:id="418" w:name="_Toc21423"/>
      <w:bookmarkStart w:id="419" w:name="_Toc27250"/>
      <w:r>
        <w:rPr>
          <w:rFonts w:hint="eastAsia" w:ascii="宋体" w:hAnsi="宋体" w:cs="宋体"/>
          <w:b/>
          <w:sz w:val="24"/>
          <w:highlight w:val="none"/>
        </w:rPr>
        <w:t>1.6 违约责任</w:t>
      </w:r>
      <w:bookmarkEnd w:id="417"/>
      <w:bookmarkEnd w:id="418"/>
      <w:bookmarkEnd w:id="419"/>
    </w:p>
    <w:p>
      <w:pPr>
        <w:spacing w:line="560" w:lineRule="exact"/>
        <w:ind w:firstLine="480" w:firstLineChars="200"/>
        <w:rPr>
          <w:rFonts w:ascii="宋体" w:hAnsi="宋体" w:cs="宋体"/>
          <w:sz w:val="24"/>
          <w:highlight w:val="none"/>
        </w:rPr>
      </w:pPr>
      <w:r>
        <w:rPr>
          <w:rFonts w:hint="eastAsia" w:ascii="宋体" w:hAnsi="宋体" w:cs="宋体"/>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highlight w:val="none"/>
          <w:u w:val="single"/>
        </w:rPr>
        <w:t xml:space="preserve">  0.05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sz w:val="24"/>
          <w:highlight w:val="none"/>
          <w:u w:val="single"/>
        </w:rPr>
        <w:t xml:space="preserve">  0.05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highlight w:val="none"/>
        </w:rPr>
      </w:pPr>
      <w:r>
        <w:rPr>
          <w:rFonts w:hint="eastAsia" w:ascii="宋体" w:hAnsi="宋体" w:cs="宋体"/>
          <w:sz w:val="24"/>
          <w:highlight w:val="none"/>
        </w:rPr>
        <w:t>1.6.7违约责任</w:t>
      </w:r>
      <w:r>
        <w:rPr>
          <w:rFonts w:hint="eastAsia" w:ascii="宋体" w:hAnsi="宋体" w:cs="宋体"/>
          <w:b/>
          <w:i/>
          <w:sz w:val="24"/>
          <w:highlight w:val="none"/>
          <w:u w:val="single"/>
        </w:rPr>
        <w:t>合同专用条款</w:t>
      </w:r>
      <w:r>
        <w:rPr>
          <w:rFonts w:hint="eastAsia" w:ascii="宋体" w:hAnsi="宋体" w:cs="宋体"/>
          <w:sz w:val="24"/>
          <w:highlight w:val="none"/>
        </w:rPr>
        <w:t>另有约定的，从其约定。</w:t>
      </w:r>
    </w:p>
    <w:p>
      <w:pPr>
        <w:spacing w:line="560" w:lineRule="exact"/>
        <w:ind w:firstLine="482" w:firstLineChars="200"/>
        <w:outlineLvl w:val="2"/>
        <w:rPr>
          <w:rFonts w:ascii="宋体" w:hAnsi="宋体" w:cs="宋体"/>
          <w:b/>
          <w:sz w:val="24"/>
          <w:highlight w:val="none"/>
        </w:rPr>
      </w:pPr>
      <w:bookmarkStart w:id="420" w:name="_Toc16021"/>
      <w:bookmarkStart w:id="421" w:name="_Toc28375"/>
      <w:bookmarkStart w:id="422" w:name="_Toc15583"/>
      <w:r>
        <w:rPr>
          <w:rFonts w:hint="eastAsia" w:ascii="宋体" w:hAnsi="宋体" w:cs="宋体"/>
          <w:b/>
          <w:sz w:val="24"/>
          <w:highlight w:val="none"/>
        </w:rPr>
        <w:t>1.7 合同争议的解决</w:t>
      </w:r>
      <w:bookmarkEnd w:id="420"/>
      <w:bookmarkEnd w:id="421"/>
      <w:bookmarkEnd w:id="422"/>
    </w:p>
    <w:p>
      <w:pPr>
        <w:spacing w:line="560" w:lineRule="exact"/>
        <w:ind w:left="-61" w:leftChars="-29" w:right="-420" w:rightChars="-200" w:firstLine="240" w:firstLineChars="100"/>
        <w:rPr>
          <w:rFonts w:ascii="宋体" w:hAnsi="宋体" w:cs="宋体"/>
          <w:sz w:val="24"/>
          <w:highlight w:val="none"/>
        </w:rPr>
      </w:pPr>
      <w:r>
        <w:rPr>
          <w:rFonts w:hint="eastAsia" w:ascii="宋体" w:hAnsi="宋体" w:cs="宋体"/>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sz w:val="24"/>
          <w:highlight w:val="none"/>
          <w:u w:val="single"/>
        </w:rPr>
        <w:t xml:space="preserve"> 合同专用条款  </w:t>
      </w:r>
      <w:r>
        <w:rPr>
          <w:rFonts w:hint="eastAsia" w:ascii="宋体" w:hAnsi="宋体" w:cs="宋体"/>
          <w:sz w:val="24"/>
          <w:highlight w:val="none"/>
        </w:rPr>
        <w:t>条款规定的方式解决：</w:t>
      </w:r>
    </w:p>
    <w:p>
      <w:pPr>
        <w:spacing w:line="560" w:lineRule="exact"/>
        <w:ind w:left="-420" w:leftChars="-200" w:right="-420" w:rightChars="-200" w:firstLine="600" w:firstLineChars="250"/>
        <w:rPr>
          <w:rFonts w:ascii="宋体" w:hAnsi="宋体" w:cs="宋体"/>
          <w:sz w:val="24"/>
          <w:highlight w:val="none"/>
        </w:rPr>
      </w:pPr>
      <w:r>
        <w:rPr>
          <w:rFonts w:hint="eastAsia" w:ascii="宋体" w:hAnsi="宋体" w:cs="宋体"/>
          <w:sz w:val="24"/>
          <w:highlight w:val="none"/>
        </w:rPr>
        <w:t>1.7.1 将争议提交</w:t>
      </w:r>
      <w:r>
        <w:rPr>
          <w:rFonts w:hint="eastAsia" w:ascii="宋体" w:hAnsi="宋体" w:cs="宋体"/>
          <w:b/>
          <w:i/>
          <w:sz w:val="24"/>
          <w:highlight w:val="none"/>
          <w:u w:val="single"/>
        </w:rPr>
        <w:t>合同专用条款</w:t>
      </w:r>
      <w:r>
        <w:rPr>
          <w:rFonts w:hint="eastAsia" w:ascii="宋体" w:hAnsi="宋体" w:cs="宋体"/>
          <w:sz w:val="24"/>
          <w:highlight w:val="none"/>
        </w:rPr>
        <w:t>仲裁委员会依申请仲裁时其现行有效的仲裁规则裁决；</w:t>
      </w:r>
    </w:p>
    <w:p>
      <w:pPr>
        <w:spacing w:line="560" w:lineRule="exact"/>
        <w:ind w:left="-420" w:leftChars="-200" w:right="-420" w:rightChars="-200" w:firstLine="600" w:firstLineChars="250"/>
        <w:rPr>
          <w:rFonts w:ascii="宋体" w:hAnsi="宋体" w:cs="宋体"/>
          <w:sz w:val="24"/>
          <w:highlight w:val="none"/>
        </w:rPr>
      </w:pPr>
      <w:r>
        <w:rPr>
          <w:rFonts w:hint="eastAsia" w:ascii="宋体" w:hAnsi="宋体" w:cs="宋体"/>
          <w:sz w:val="24"/>
          <w:highlight w:val="none"/>
        </w:rPr>
        <w:t>1.7.2 向</w:t>
      </w:r>
      <w:r>
        <w:rPr>
          <w:rFonts w:hint="eastAsia" w:ascii="宋体" w:hAnsi="宋体" w:cs="宋体"/>
          <w:b/>
          <w:i/>
          <w:sz w:val="24"/>
          <w:highlight w:val="none"/>
          <w:u w:val="single"/>
        </w:rPr>
        <w:t>合同专用条款</w:t>
      </w:r>
      <w:r>
        <w:rPr>
          <w:rFonts w:hint="eastAsia" w:ascii="宋体" w:hAnsi="宋体" w:cs="宋体"/>
          <w:sz w:val="24"/>
          <w:highlight w:val="none"/>
        </w:rPr>
        <w:t>人民法院起诉。</w:t>
      </w:r>
    </w:p>
    <w:p>
      <w:pPr>
        <w:spacing w:line="560" w:lineRule="exact"/>
        <w:ind w:firstLine="482" w:firstLineChars="200"/>
        <w:outlineLvl w:val="2"/>
        <w:rPr>
          <w:rFonts w:ascii="宋体" w:hAnsi="宋体" w:cs="宋体"/>
          <w:b/>
          <w:sz w:val="24"/>
          <w:highlight w:val="none"/>
        </w:rPr>
      </w:pPr>
      <w:bookmarkStart w:id="423" w:name="_Toc15322"/>
      <w:bookmarkStart w:id="424" w:name="_Toc7245"/>
      <w:bookmarkStart w:id="425" w:name="_Toc11173"/>
      <w:r>
        <w:rPr>
          <w:rFonts w:hint="eastAsia" w:ascii="宋体" w:hAnsi="宋体" w:cs="宋体"/>
          <w:b/>
          <w:sz w:val="24"/>
          <w:highlight w:val="none"/>
        </w:rPr>
        <w:t>1.8 合同生效</w:t>
      </w:r>
      <w:bookmarkEnd w:id="423"/>
      <w:bookmarkEnd w:id="424"/>
      <w:bookmarkEnd w:id="425"/>
    </w:p>
    <w:p>
      <w:pPr>
        <w:spacing w:line="560" w:lineRule="exact"/>
        <w:ind w:firstLine="480" w:firstLineChars="200"/>
        <w:rPr>
          <w:rFonts w:ascii="宋体" w:hAnsi="宋体" w:cs="宋体"/>
          <w:b/>
          <w:sz w:val="24"/>
          <w:highlight w:val="none"/>
        </w:rPr>
      </w:pPr>
      <w:r>
        <w:rPr>
          <w:rFonts w:hint="eastAsia" w:ascii="宋体" w:hAnsi="宋体" w:cs="宋体"/>
          <w:sz w:val="24"/>
          <w:highlight w:val="none"/>
        </w:rPr>
        <w:t>本合同自双方当事人盖章或者签字时生效。</w:t>
      </w:r>
    </w:p>
    <w:p>
      <w:pPr>
        <w:autoSpaceDE w:val="0"/>
        <w:autoSpaceDN w:val="0"/>
        <w:spacing w:line="560" w:lineRule="exact"/>
        <w:rPr>
          <w:rFonts w:ascii="宋体" w:hAnsi="宋体" w:cs="宋体"/>
          <w:sz w:val="24"/>
          <w:highlight w:val="none"/>
          <w:lang w:val="zh-CN"/>
        </w:rPr>
      </w:pPr>
    </w:p>
    <w:p>
      <w:pPr>
        <w:autoSpaceDE w:val="0"/>
        <w:autoSpaceDN w:val="0"/>
        <w:spacing w:line="560" w:lineRule="exact"/>
        <w:rPr>
          <w:rFonts w:ascii="宋体" w:hAnsi="宋体" w:cs="宋体"/>
          <w:sz w:val="24"/>
          <w:highlight w:val="none"/>
          <w:lang w:val="zh-CN"/>
        </w:rPr>
      </w:pPr>
      <w:r>
        <w:rPr>
          <w:rFonts w:hint="eastAsia" w:ascii="宋体" w:hAnsi="宋体" w:cs="宋体"/>
          <w:b/>
          <w:sz w:val="24"/>
          <w:highlight w:val="none"/>
          <w:lang w:val="zh-CN"/>
        </w:rPr>
        <w:t>甲方</w:t>
      </w:r>
      <w:r>
        <w:rPr>
          <w:rFonts w:hint="eastAsia" w:ascii="宋体" w:hAnsi="宋体" w:cs="宋体"/>
          <w:sz w:val="24"/>
          <w:highlight w:val="none"/>
          <w:lang w:val="zh-CN"/>
        </w:rPr>
        <w:t xml:space="preserve">：                             </w:t>
      </w:r>
      <w:r>
        <w:rPr>
          <w:rFonts w:hint="eastAsia" w:ascii="宋体" w:hAnsi="宋体" w:cs="宋体"/>
          <w:b/>
          <w:sz w:val="24"/>
          <w:highlight w:val="none"/>
          <w:lang w:val="zh-CN"/>
        </w:rPr>
        <w:t xml:space="preserve">      乙方</w:t>
      </w:r>
      <w:r>
        <w:rPr>
          <w:rFonts w:hint="eastAsia" w:ascii="宋体" w:hAnsi="宋体" w:cs="宋体"/>
          <w:sz w:val="24"/>
          <w:highlight w:val="none"/>
          <w:lang w:val="zh-CN"/>
        </w:rPr>
        <w:t>：</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统一社会信用代码：                        统一社会信用代码或身份证号码：</w:t>
      </w:r>
    </w:p>
    <w:p>
      <w:pPr>
        <w:autoSpaceDE w:val="0"/>
        <w:autoSpaceDN w:val="0"/>
        <w:spacing w:line="560" w:lineRule="exact"/>
        <w:rPr>
          <w:rFonts w:ascii="宋体" w:hAnsi="宋体" w:cs="宋体"/>
          <w:sz w:val="24"/>
          <w:highlight w:val="none"/>
          <w:lang w:val="zh-CN"/>
        </w:rPr>
      </w:pP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住所：                                   住所：</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法定代表人或                             法定代表人</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 xml:space="preserve">授权代表（签字）：                        或授权代表（签字）: </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联系人：                                 联系人：</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约定送达地址：                           约定送达地址：</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邮政编码：                               邮政编码：</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 xml:space="preserve">电话:                                    电话: </w:t>
      </w:r>
    </w:p>
    <w:p>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传真:                                    传真:</w:t>
      </w:r>
    </w:p>
    <w:p>
      <w:pPr>
        <w:autoSpaceDE w:val="0"/>
        <w:autoSpaceDN w:val="0"/>
        <w:spacing w:line="560" w:lineRule="exact"/>
        <w:rPr>
          <w:rFonts w:ascii="宋体" w:hAnsi="宋体" w:cs="宋体"/>
          <w:sz w:val="24"/>
          <w:highlight w:val="none"/>
        </w:rPr>
      </w:pPr>
      <w:r>
        <w:rPr>
          <w:rFonts w:hint="eastAsia" w:ascii="宋体" w:hAnsi="宋体" w:cs="宋体"/>
          <w:sz w:val="24"/>
          <w:highlight w:val="none"/>
          <w:lang w:val="zh-CN"/>
        </w:rPr>
        <w:t>电子邮箱：                               电子邮箱：</w:t>
      </w:r>
    </w:p>
    <w:p>
      <w:pPr>
        <w:autoSpaceDE w:val="0"/>
        <w:autoSpaceDN w:val="0"/>
        <w:spacing w:line="560" w:lineRule="exact"/>
        <w:rPr>
          <w:rFonts w:ascii="宋体" w:hAnsi="宋体" w:cs="宋体"/>
          <w:sz w:val="24"/>
          <w:highlight w:val="none"/>
        </w:rPr>
      </w:pPr>
      <w:r>
        <w:rPr>
          <w:rFonts w:hint="eastAsia" w:ascii="宋体" w:hAnsi="宋体" w:cs="宋体"/>
          <w:sz w:val="24"/>
          <w:highlight w:val="none"/>
        </w:rPr>
        <w:t xml:space="preserve">开户银行：                               开户银行： </w:t>
      </w:r>
    </w:p>
    <w:p>
      <w:pPr>
        <w:autoSpaceDE w:val="0"/>
        <w:autoSpaceDN w:val="0"/>
        <w:spacing w:line="560" w:lineRule="exact"/>
        <w:rPr>
          <w:rFonts w:ascii="宋体" w:hAnsi="宋体" w:cs="宋体"/>
          <w:sz w:val="24"/>
          <w:highlight w:val="none"/>
        </w:rPr>
      </w:pPr>
      <w:r>
        <w:rPr>
          <w:rFonts w:hint="eastAsia" w:ascii="宋体" w:hAnsi="宋体" w:cs="宋体"/>
          <w:sz w:val="24"/>
          <w:highlight w:val="none"/>
        </w:rPr>
        <w:t xml:space="preserve">开户名称：                               开户名称： </w:t>
      </w:r>
    </w:p>
    <w:p>
      <w:pPr>
        <w:autoSpaceDE w:val="0"/>
        <w:autoSpaceDN w:val="0"/>
        <w:spacing w:line="560" w:lineRule="exact"/>
        <w:rPr>
          <w:rFonts w:ascii="宋体" w:hAnsi="宋体" w:cs="宋体"/>
          <w:sz w:val="24"/>
          <w:highlight w:val="none"/>
        </w:rPr>
      </w:pPr>
      <w:r>
        <w:rPr>
          <w:rFonts w:hint="eastAsia" w:ascii="宋体" w:hAnsi="宋体" w:cs="宋体"/>
          <w:sz w:val="24"/>
          <w:highlight w:val="none"/>
        </w:rPr>
        <w:t>开户账号：开户账号：</w:t>
      </w:r>
    </w:p>
    <w:p>
      <w:pPr>
        <w:widowControl/>
        <w:spacing w:line="560" w:lineRule="exact"/>
        <w:jc w:val="left"/>
        <w:rPr>
          <w:rFonts w:ascii="宋体" w:hAnsi="宋体" w:cs="宋体"/>
          <w:b/>
          <w:sz w:val="24"/>
          <w:highlight w:val="none"/>
        </w:rPr>
      </w:pPr>
      <w:bookmarkStart w:id="426" w:name="_Toc331685783"/>
    </w:p>
    <w:p>
      <w:pPr>
        <w:widowControl/>
        <w:adjustRightInd/>
        <w:jc w:val="left"/>
        <w:rPr>
          <w:rFonts w:ascii="宋体" w:hAnsi="宋体" w:cs="宋体"/>
          <w:b/>
          <w:sz w:val="24"/>
          <w:highlight w:val="none"/>
        </w:rPr>
      </w:pPr>
      <w:r>
        <w:rPr>
          <w:rFonts w:ascii="宋体" w:hAnsi="宋体" w:cs="宋体"/>
          <w:b/>
          <w:highlight w:val="none"/>
        </w:rPr>
        <w:br w:type="page"/>
      </w:r>
    </w:p>
    <w:p>
      <w:pPr>
        <w:pStyle w:val="699"/>
        <w:spacing w:line="560" w:lineRule="exact"/>
        <w:ind w:firstLine="482"/>
        <w:jc w:val="center"/>
        <w:outlineLvl w:val="1"/>
        <w:rPr>
          <w:rFonts w:ascii="宋体" w:hAnsi="宋体" w:cs="宋体"/>
          <w:b/>
          <w:szCs w:val="24"/>
          <w:highlight w:val="none"/>
        </w:rPr>
      </w:pPr>
      <w:r>
        <w:rPr>
          <w:rFonts w:hint="eastAsia" w:ascii="宋体" w:hAnsi="宋体" w:cs="宋体"/>
          <w:b/>
          <w:szCs w:val="24"/>
          <w:highlight w:val="none"/>
        </w:rPr>
        <w:t>第二部分 合同一般条款</w:t>
      </w:r>
      <w:bookmarkEnd w:id="426"/>
    </w:p>
    <w:p>
      <w:pPr>
        <w:spacing w:line="560" w:lineRule="exact"/>
        <w:ind w:firstLine="482" w:firstLineChars="200"/>
        <w:outlineLvl w:val="2"/>
        <w:rPr>
          <w:rFonts w:ascii="宋体" w:hAnsi="宋体" w:cs="宋体"/>
          <w:b/>
          <w:sz w:val="24"/>
          <w:highlight w:val="none"/>
        </w:rPr>
      </w:pPr>
      <w:bookmarkStart w:id="427" w:name="_Toc19614"/>
      <w:bookmarkStart w:id="428" w:name="_Ref467378463"/>
      <w:bookmarkStart w:id="429" w:name="_Ref467379094"/>
      <w:bookmarkStart w:id="430" w:name="_Ref467379205"/>
      <w:bookmarkStart w:id="431" w:name="_Ref467379109"/>
      <w:bookmarkStart w:id="432" w:name="_Ref467379214"/>
      <w:bookmarkStart w:id="433" w:name="_Ref467379101"/>
      <w:bookmarkStart w:id="434" w:name="_Toc279701240"/>
      <w:bookmarkStart w:id="435" w:name="_Ref467379225"/>
      <w:bookmarkStart w:id="436" w:name="_Toc259093669"/>
      <w:bookmarkStart w:id="437" w:name="_Ref467379195"/>
      <w:bookmarkStart w:id="438" w:name="_Ref467378404"/>
      <w:bookmarkStart w:id="439" w:name="_Toc487900349"/>
      <w:bookmarkStart w:id="440" w:name="_Toc16917"/>
      <w:bookmarkStart w:id="441" w:name="_Toc28763"/>
      <w:bookmarkStart w:id="442" w:name="_Ref467378499"/>
      <w:r>
        <w:rPr>
          <w:rFonts w:hint="eastAsia" w:ascii="宋体" w:hAnsi="宋体" w:cs="宋体"/>
          <w:b/>
          <w:sz w:val="24"/>
          <w:highlight w:val="none"/>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560" w:lineRule="exact"/>
        <w:ind w:firstLine="480" w:firstLineChars="200"/>
        <w:rPr>
          <w:rFonts w:ascii="宋体" w:hAnsi="宋体" w:cs="宋体"/>
          <w:sz w:val="24"/>
          <w:highlight w:val="none"/>
        </w:rPr>
      </w:pPr>
      <w:r>
        <w:rPr>
          <w:rFonts w:hint="eastAsia" w:ascii="宋体" w:hAnsi="宋体" w:cs="宋体"/>
          <w:sz w:val="24"/>
          <w:highlight w:val="none"/>
        </w:rPr>
        <w:t>本合同中的下列词语应按以下内容进行解释：</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 “合同价”系指根据合同约定，中标供应商在完全履行合同义务后，采购人应支付给中标供应商的价格。</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highlight w:val="none"/>
        </w:rPr>
      </w:pPr>
      <w:bookmarkStart w:id="443" w:name="_Ref467378840"/>
      <w:r>
        <w:rPr>
          <w:rFonts w:hint="eastAsia" w:ascii="宋体" w:hAnsi="宋体" w:cs="宋体"/>
          <w:sz w:val="24"/>
          <w:highlight w:val="none"/>
        </w:rPr>
        <w:t>2.1.4 “甲方”系指与中标供应商签署合同的采购人</w:t>
      </w:r>
      <w:bookmarkEnd w:id="443"/>
      <w:r>
        <w:rPr>
          <w:rFonts w:hint="eastAsia" w:ascii="宋体" w:hAnsi="宋体" w:cs="宋体"/>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sz w:val="24"/>
          <w:highlight w:val="none"/>
        </w:rPr>
      </w:pPr>
      <w:bookmarkStart w:id="444" w:name="_Ref467379400"/>
      <w:r>
        <w:rPr>
          <w:rFonts w:hint="eastAsia" w:ascii="宋体" w:hAnsi="宋体" w:cs="宋体"/>
          <w:sz w:val="24"/>
          <w:highlight w:val="none"/>
        </w:rPr>
        <w:t>2.1.5 “乙方”系指根据合同约定交付货物的中标供应商</w:t>
      </w:r>
      <w:bookmarkEnd w:id="444"/>
      <w:r>
        <w:rPr>
          <w:rFonts w:hint="eastAsia" w:ascii="宋体" w:hAnsi="宋体" w:cs="宋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highlight w:val="none"/>
        </w:rPr>
      </w:pPr>
      <w:bookmarkStart w:id="445" w:name="_Ref467379436"/>
      <w:r>
        <w:rPr>
          <w:rFonts w:hint="eastAsia" w:ascii="宋体" w:hAnsi="宋体" w:cs="宋体"/>
          <w:sz w:val="24"/>
          <w:highlight w:val="none"/>
        </w:rPr>
        <w:t>2.1.6 “现场”系指合同约定货物将要运至或者安装的地点。</w:t>
      </w:r>
      <w:bookmarkEnd w:id="445"/>
    </w:p>
    <w:p>
      <w:pPr>
        <w:spacing w:line="560" w:lineRule="exact"/>
        <w:ind w:firstLine="482" w:firstLineChars="200"/>
        <w:outlineLvl w:val="2"/>
        <w:rPr>
          <w:rFonts w:ascii="宋体" w:hAnsi="宋体" w:cs="宋体"/>
          <w:b/>
          <w:sz w:val="24"/>
          <w:highlight w:val="none"/>
        </w:rPr>
      </w:pPr>
      <w:bookmarkStart w:id="446" w:name="_Toc27635"/>
      <w:bookmarkStart w:id="447" w:name="_Toc279701241"/>
      <w:bookmarkStart w:id="448" w:name="_Toc259093670"/>
      <w:bookmarkStart w:id="449" w:name="_Toc487900350"/>
      <w:bookmarkStart w:id="450" w:name="_Toc13336"/>
      <w:bookmarkStart w:id="451" w:name="_Toc32504"/>
      <w:r>
        <w:rPr>
          <w:rFonts w:hint="eastAsia" w:ascii="宋体" w:hAnsi="宋体" w:cs="宋体"/>
          <w:b/>
          <w:sz w:val="24"/>
          <w:highlight w:val="none"/>
        </w:rPr>
        <w:t>2.2 技术规范</w:t>
      </w:r>
      <w:bookmarkEnd w:id="446"/>
      <w:bookmarkEnd w:id="447"/>
      <w:bookmarkEnd w:id="448"/>
      <w:bookmarkEnd w:id="449"/>
      <w:bookmarkEnd w:id="450"/>
      <w:bookmarkEnd w:id="451"/>
    </w:p>
    <w:p>
      <w:pPr>
        <w:spacing w:line="560" w:lineRule="exact"/>
        <w:ind w:firstLine="480" w:firstLineChars="200"/>
        <w:rPr>
          <w:rFonts w:ascii="宋体" w:hAnsi="宋体" w:cs="宋体"/>
          <w:sz w:val="24"/>
          <w:highlight w:val="none"/>
        </w:rPr>
      </w:pPr>
      <w:r>
        <w:rPr>
          <w:rFonts w:hint="eastAsia" w:ascii="宋体" w:hAnsi="宋体" w:cs="宋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2"/>
        <w:rPr>
          <w:rFonts w:ascii="宋体" w:hAnsi="宋体" w:cs="宋体"/>
          <w:b/>
          <w:sz w:val="24"/>
          <w:highlight w:val="none"/>
        </w:rPr>
      </w:pPr>
      <w:bookmarkStart w:id="452" w:name="_Toc279701242"/>
      <w:bookmarkStart w:id="453" w:name="_Toc9829"/>
      <w:bookmarkStart w:id="454" w:name="_Toc487900351"/>
      <w:bookmarkStart w:id="455" w:name="_Toc27853"/>
      <w:bookmarkStart w:id="456" w:name="_Toc259093671"/>
      <w:bookmarkStart w:id="457" w:name="_Toc31634"/>
      <w:r>
        <w:rPr>
          <w:rFonts w:hint="eastAsia" w:ascii="宋体" w:hAnsi="宋体" w:cs="宋体"/>
          <w:b/>
          <w:sz w:val="24"/>
          <w:highlight w:val="none"/>
        </w:rPr>
        <w:t>2.3 知识产权</w:t>
      </w:r>
      <w:bookmarkEnd w:id="452"/>
      <w:bookmarkEnd w:id="453"/>
      <w:bookmarkEnd w:id="454"/>
      <w:bookmarkEnd w:id="455"/>
      <w:bookmarkEnd w:id="456"/>
      <w:bookmarkEnd w:id="457"/>
    </w:p>
    <w:p>
      <w:pPr>
        <w:spacing w:line="560" w:lineRule="exact"/>
        <w:ind w:firstLine="480" w:firstLineChars="200"/>
        <w:rPr>
          <w:rFonts w:ascii="宋体" w:hAnsi="宋体" w:cs="宋体"/>
          <w:sz w:val="24"/>
          <w:highlight w:val="none"/>
        </w:rPr>
      </w:pPr>
      <w:r>
        <w:rPr>
          <w:rFonts w:hint="eastAsia" w:ascii="宋体" w:hAnsi="宋体" w:cs="宋体"/>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2.3.2具有知识产权的计算机软件等货物的知识产权归属，详见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outlineLvl w:val="2"/>
        <w:rPr>
          <w:rFonts w:ascii="宋体" w:hAnsi="宋体" w:cs="宋体"/>
          <w:b/>
          <w:sz w:val="24"/>
          <w:highlight w:val="none"/>
        </w:rPr>
      </w:pPr>
      <w:bookmarkStart w:id="458" w:name="_Toc11932"/>
      <w:bookmarkStart w:id="459" w:name="_Toc4194"/>
      <w:bookmarkStart w:id="460" w:name="_Toc29149"/>
      <w:r>
        <w:rPr>
          <w:rFonts w:hint="eastAsia" w:ascii="宋体" w:hAnsi="宋体" w:cs="宋体"/>
          <w:b/>
          <w:sz w:val="24"/>
          <w:highlight w:val="none"/>
        </w:rPr>
        <w:t>2.4 包装和装运</w:t>
      </w:r>
      <w:bookmarkEnd w:id="458"/>
      <w:bookmarkEnd w:id="459"/>
      <w:bookmarkEnd w:id="460"/>
    </w:p>
    <w:p>
      <w:pPr>
        <w:spacing w:line="560" w:lineRule="exact"/>
        <w:ind w:firstLine="480" w:firstLineChars="200"/>
        <w:rPr>
          <w:rFonts w:ascii="宋体" w:hAnsi="宋体" w:cs="宋体"/>
          <w:sz w:val="24"/>
          <w:highlight w:val="none"/>
        </w:rPr>
      </w:pPr>
      <w:r>
        <w:rPr>
          <w:rFonts w:hint="eastAsia" w:ascii="宋体" w:hAnsi="宋体" w:cs="宋体"/>
          <w:sz w:val="24"/>
          <w:highlight w:val="none"/>
        </w:rPr>
        <w:t>2.4.1除</w:t>
      </w:r>
      <w:r>
        <w:rPr>
          <w:rFonts w:hint="eastAsia" w:ascii="宋体" w:hAnsi="宋体" w:cs="宋体"/>
          <w:b/>
          <w:i/>
          <w:sz w:val="24"/>
          <w:highlight w:val="none"/>
          <w:u w:val="single"/>
        </w:rPr>
        <w:t>合同专用条款</w:t>
      </w:r>
      <w:r>
        <w:rPr>
          <w:rFonts w:hint="eastAsia" w:ascii="宋体" w:hAnsi="宋体" w:cs="宋体"/>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2.4.3 装运货物的要求和通知，详见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outlineLvl w:val="2"/>
        <w:rPr>
          <w:rFonts w:ascii="宋体" w:hAnsi="宋体" w:cs="宋体"/>
          <w:b/>
          <w:sz w:val="24"/>
          <w:highlight w:val="none"/>
        </w:rPr>
      </w:pPr>
      <w:bookmarkStart w:id="461" w:name="_Toc487900354"/>
      <w:bookmarkStart w:id="462" w:name="_Ref467378541"/>
      <w:bookmarkStart w:id="463" w:name="_Ref467379542"/>
      <w:bookmarkStart w:id="464" w:name="_Ref467379527"/>
      <w:bookmarkStart w:id="465" w:name="_Toc259093674"/>
      <w:bookmarkStart w:id="466" w:name="_Ref467378591"/>
      <w:bookmarkStart w:id="467" w:name="_Ref467379536"/>
      <w:bookmarkStart w:id="468" w:name="_Toc279701245"/>
      <w:bookmarkStart w:id="469" w:name="_Toc30272"/>
      <w:bookmarkStart w:id="470" w:name="_Toc26182"/>
      <w:bookmarkStart w:id="471" w:name="_Toc19074"/>
      <w:r>
        <w:rPr>
          <w:rFonts w:hint="eastAsia" w:ascii="宋体" w:hAnsi="宋体" w:cs="宋体"/>
          <w:b/>
          <w:sz w:val="24"/>
          <w:highlight w:val="none"/>
        </w:rPr>
        <w:t>2.</w:t>
      </w:r>
      <w:bookmarkEnd w:id="461"/>
      <w:bookmarkEnd w:id="462"/>
      <w:bookmarkEnd w:id="463"/>
      <w:bookmarkEnd w:id="464"/>
      <w:bookmarkEnd w:id="465"/>
      <w:bookmarkEnd w:id="466"/>
      <w:bookmarkEnd w:id="467"/>
      <w:bookmarkEnd w:id="468"/>
      <w:r>
        <w:rPr>
          <w:rFonts w:hint="eastAsia" w:ascii="宋体" w:hAnsi="宋体" w:cs="宋体"/>
          <w:b/>
          <w:sz w:val="24"/>
          <w:highlight w:val="none"/>
        </w:rPr>
        <w:t>5 履约检查和问题反馈</w:t>
      </w:r>
      <w:bookmarkEnd w:id="469"/>
      <w:bookmarkEnd w:id="470"/>
      <w:bookmarkEnd w:id="471"/>
    </w:p>
    <w:p>
      <w:pPr>
        <w:spacing w:line="560" w:lineRule="exact"/>
        <w:ind w:firstLine="480" w:firstLineChars="200"/>
        <w:rPr>
          <w:rFonts w:ascii="宋体" w:hAnsi="宋体" w:cs="宋体"/>
          <w:sz w:val="24"/>
          <w:highlight w:val="none"/>
        </w:rPr>
      </w:pPr>
      <w:bookmarkStart w:id="472" w:name="_Ref467379657"/>
      <w:r>
        <w:rPr>
          <w:rFonts w:hint="eastAsia" w:ascii="宋体" w:hAnsi="宋体" w:cs="宋体"/>
          <w:sz w:val="24"/>
          <w:highlight w:val="none"/>
        </w:rPr>
        <w:t>2.5.1</w:t>
      </w:r>
      <w:bookmarkEnd w:id="472"/>
      <w:bookmarkStart w:id="473" w:name="_Toc186431854"/>
      <w:bookmarkStart w:id="474" w:name="_Toc279701247"/>
      <w:bookmarkStart w:id="475" w:name="_Ref467379807"/>
      <w:bookmarkStart w:id="476" w:name="_Toc487900357"/>
      <w:bookmarkStart w:id="477" w:name="_Toc259093676"/>
      <w:bookmarkStart w:id="478" w:name="_Ref467379793"/>
      <w:r>
        <w:rPr>
          <w:rFonts w:hint="eastAsia" w:ascii="宋体" w:hAnsi="宋体" w:cs="宋体"/>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2.5.2 合同履行期间，甲方有权将履行过程中出现的问题反馈给乙方，双方当事人应以书面形式约定需要完善和改进的内容</w:t>
      </w:r>
      <w:bookmarkEnd w:id="473"/>
      <w:bookmarkStart w:id="479" w:name="_Toc186431855"/>
      <w:r>
        <w:rPr>
          <w:rFonts w:hint="eastAsia" w:ascii="宋体" w:hAnsi="宋体" w:cs="宋体"/>
          <w:sz w:val="24"/>
          <w:highlight w:val="none"/>
        </w:rPr>
        <w:t>。</w:t>
      </w:r>
    </w:p>
    <w:bookmarkEnd w:id="474"/>
    <w:bookmarkEnd w:id="475"/>
    <w:bookmarkEnd w:id="476"/>
    <w:bookmarkEnd w:id="477"/>
    <w:bookmarkEnd w:id="478"/>
    <w:bookmarkEnd w:id="479"/>
    <w:p>
      <w:pPr>
        <w:spacing w:line="560" w:lineRule="exact"/>
        <w:ind w:firstLine="482" w:firstLineChars="200"/>
        <w:outlineLvl w:val="2"/>
        <w:rPr>
          <w:rFonts w:ascii="宋体" w:hAnsi="宋体" w:cs="宋体"/>
          <w:b/>
          <w:sz w:val="24"/>
          <w:highlight w:val="none"/>
        </w:rPr>
      </w:pPr>
      <w:bookmarkStart w:id="480" w:name="_Ref467379923"/>
      <w:bookmarkStart w:id="481" w:name="_Ref467379852"/>
      <w:bookmarkStart w:id="482" w:name="_Toc279701248"/>
      <w:bookmarkStart w:id="483" w:name="_Toc487900358"/>
      <w:bookmarkStart w:id="484" w:name="_Toc259093677"/>
      <w:bookmarkStart w:id="485" w:name="_Ref467379863"/>
      <w:bookmarkStart w:id="486" w:name="_Toc774"/>
      <w:bookmarkStart w:id="487" w:name="_Toc16110"/>
      <w:bookmarkStart w:id="488" w:name="_Toc3225"/>
      <w:r>
        <w:rPr>
          <w:rFonts w:hint="eastAsia" w:ascii="宋体" w:hAnsi="宋体" w:cs="宋体"/>
          <w:b/>
          <w:sz w:val="24"/>
          <w:highlight w:val="none"/>
        </w:rPr>
        <w:t>2.6 技术资料</w:t>
      </w:r>
      <w:bookmarkEnd w:id="480"/>
      <w:bookmarkEnd w:id="481"/>
      <w:bookmarkEnd w:id="482"/>
      <w:bookmarkEnd w:id="483"/>
      <w:bookmarkEnd w:id="484"/>
      <w:bookmarkEnd w:id="485"/>
      <w:r>
        <w:rPr>
          <w:rFonts w:hint="eastAsia" w:ascii="宋体" w:hAnsi="宋体" w:cs="宋体"/>
          <w:b/>
          <w:sz w:val="24"/>
          <w:highlight w:val="none"/>
        </w:rPr>
        <w:t>和保密义务</w:t>
      </w:r>
      <w:bookmarkEnd w:id="486"/>
      <w:bookmarkEnd w:id="487"/>
      <w:bookmarkEnd w:id="488"/>
    </w:p>
    <w:p>
      <w:pPr>
        <w:spacing w:line="560" w:lineRule="exact"/>
        <w:ind w:firstLine="480" w:firstLineChars="200"/>
        <w:rPr>
          <w:rFonts w:ascii="宋体" w:hAnsi="宋体" w:cs="宋体"/>
          <w:sz w:val="24"/>
          <w:highlight w:val="none"/>
        </w:rPr>
      </w:pPr>
      <w:r>
        <w:rPr>
          <w:rFonts w:hint="eastAsia" w:ascii="宋体" w:hAnsi="宋体" w:cs="宋体"/>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2.6.2 乙方有义务妥善保管和保护由甲方提供的前款信息和资料等；</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2"/>
        <w:rPr>
          <w:rFonts w:ascii="宋体" w:hAnsi="宋体" w:cs="宋体"/>
          <w:b/>
          <w:sz w:val="24"/>
          <w:highlight w:val="none"/>
        </w:rPr>
      </w:pPr>
      <w:bookmarkStart w:id="489" w:name="_Toc7860"/>
      <w:r>
        <w:rPr>
          <w:rFonts w:hint="eastAsia" w:ascii="宋体" w:hAnsi="宋体" w:cs="宋体"/>
          <w:b/>
          <w:sz w:val="24"/>
          <w:highlight w:val="none"/>
        </w:rPr>
        <w:t>2.7 质量保证</w:t>
      </w:r>
      <w:bookmarkEnd w:id="489"/>
    </w:p>
    <w:p>
      <w:pPr>
        <w:spacing w:line="560" w:lineRule="exact"/>
        <w:ind w:firstLine="480" w:firstLineChars="200"/>
        <w:rPr>
          <w:rFonts w:ascii="宋体" w:hAnsi="宋体" w:cs="宋体"/>
          <w:sz w:val="24"/>
          <w:highlight w:val="none"/>
        </w:rPr>
      </w:pPr>
      <w:r>
        <w:rPr>
          <w:rFonts w:hint="eastAsia" w:ascii="宋体" w:hAnsi="宋体" w:cs="宋体"/>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2"/>
        <w:rPr>
          <w:rFonts w:ascii="宋体" w:hAnsi="宋体" w:cs="宋体"/>
          <w:b/>
          <w:sz w:val="24"/>
          <w:highlight w:val="none"/>
        </w:rPr>
      </w:pPr>
      <w:bookmarkStart w:id="490" w:name="_Toc17244"/>
      <w:bookmarkStart w:id="491" w:name="_Toc487900362"/>
      <w:bookmarkStart w:id="492" w:name="_Toc279701252"/>
      <w:bookmarkStart w:id="493" w:name="_Toc259093681"/>
      <w:r>
        <w:rPr>
          <w:rFonts w:hint="eastAsia" w:ascii="宋体" w:hAnsi="宋体" w:cs="宋体"/>
          <w:b/>
          <w:sz w:val="24"/>
          <w:highlight w:val="none"/>
        </w:rPr>
        <w:t>2.8 货物的风险负担</w:t>
      </w:r>
      <w:bookmarkEnd w:id="490"/>
    </w:p>
    <w:p>
      <w:pPr>
        <w:spacing w:line="560" w:lineRule="exact"/>
        <w:ind w:firstLine="480" w:firstLineChars="200"/>
        <w:rPr>
          <w:rFonts w:ascii="宋体" w:hAnsi="宋体" w:cs="宋体"/>
          <w:b/>
          <w:sz w:val="24"/>
          <w:highlight w:val="none"/>
        </w:rPr>
      </w:pPr>
      <w:r>
        <w:rPr>
          <w:rFonts w:hint="eastAsia" w:ascii="宋体" w:hAnsi="宋体" w:cs="宋体"/>
          <w:sz w:val="24"/>
          <w:highlight w:val="none"/>
        </w:rPr>
        <w:t>货物或者在途货物或者交付给第一承运人后的货物毁损、灭失的风险负担详见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outlineLvl w:val="2"/>
        <w:rPr>
          <w:rFonts w:ascii="宋体" w:hAnsi="宋体" w:cs="宋体"/>
          <w:b/>
          <w:sz w:val="24"/>
          <w:highlight w:val="none"/>
        </w:rPr>
      </w:pPr>
      <w:bookmarkStart w:id="494" w:name="_Toc14055"/>
      <w:r>
        <w:rPr>
          <w:rFonts w:hint="eastAsia" w:ascii="宋体" w:hAnsi="宋体" w:cs="宋体"/>
          <w:b/>
          <w:sz w:val="24"/>
          <w:highlight w:val="none"/>
        </w:rPr>
        <w:t>2.9 延迟交货</w:t>
      </w:r>
      <w:bookmarkEnd w:id="491"/>
      <w:bookmarkEnd w:id="492"/>
      <w:bookmarkEnd w:id="493"/>
      <w:bookmarkEnd w:id="494"/>
    </w:p>
    <w:p>
      <w:pPr>
        <w:spacing w:line="560" w:lineRule="exact"/>
        <w:ind w:firstLine="480" w:firstLineChars="200"/>
        <w:rPr>
          <w:rFonts w:ascii="宋体" w:hAnsi="宋体" w:cs="宋体"/>
          <w:sz w:val="24"/>
          <w:highlight w:val="none"/>
        </w:rPr>
      </w:pPr>
      <w:r>
        <w:rPr>
          <w:rFonts w:hint="eastAsia" w:ascii="宋体" w:hAnsi="宋体" w:cs="宋体"/>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2"/>
        <w:rPr>
          <w:rFonts w:ascii="宋体" w:hAnsi="宋体" w:cs="宋体"/>
          <w:b/>
          <w:sz w:val="24"/>
          <w:highlight w:val="none"/>
        </w:rPr>
      </w:pPr>
      <w:bookmarkStart w:id="495" w:name="_Toc7502"/>
      <w:bookmarkStart w:id="496" w:name="_Toc279701254"/>
      <w:bookmarkStart w:id="497" w:name="_Toc487900364"/>
      <w:bookmarkStart w:id="498" w:name="_Toc259093683"/>
      <w:bookmarkStart w:id="499" w:name="_Ref467378121"/>
      <w:r>
        <w:rPr>
          <w:rFonts w:hint="eastAsia" w:ascii="宋体" w:hAnsi="宋体" w:cs="宋体"/>
          <w:b/>
          <w:sz w:val="24"/>
          <w:highlight w:val="none"/>
        </w:rPr>
        <w:t>2.10 合同变更</w:t>
      </w:r>
      <w:bookmarkEnd w:id="495"/>
    </w:p>
    <w:p>
      <w:pPr>
        <w:spacing w:line="560" w:lineRule="exact"/>
        <w:ind w:firstLine="480" w:firstLineChars="200"/>
        <w:rPr>
          <w:rFonts w:ascii="宋体" w:hAnsi="宋体" w:cs="宋体"/>
          <w:sz w:val="24"/>
          <w:highlight w:val="none"/>
        </w:rPr>
      </w:pPr>
      <w:r>
        <w:rPr>
          <w:rFonts w:hint="eastAsia" w:ascii="宋体" w:hAnsi="宋体" w:cs="宋体"/>
          <w:sz w:val="24"/>
          <w:highlight w:val="none"/>
        </w:rPr>
        <w:t>合同继续履行将损害国家利益和社会公共利益的，双方当事人应当以书面形式变更合同。有过错的一方应当承担赔偿责任，双方当事人都有过错的，各自承担相应的责任。</w:t>
      </w:r>
      <w:bookmarkStart w:id="500" w:name="_Toc487900369"/>
      <w:bookmarkStart w:id="501" w:name="_Toc259093688"/>
      <w:bookmarkStart w:id="502" w:name="_Toc279701259"/>
    </w:p>
    <w:p>
      <w:pPr>
        <w:spacing w:line="560" w:lineRule="exact"/>
        <w:ind w:firstLine="482" w:firstLineChars="200"/>
        <w:outlineLvl w:val="2"/>
        <w:rPr>
          <w:rFonts w:ascii="宋体" w:hAnsi="宋体" w:cs="宋体"/>
          <w:b/>
          <w:sz w:val="24"/>
          <w:highlight w:val="none"/>
        </w:rPr>
      </w:pPr>
      <w:bookmarkStart w:id="503" w:name="_Toc22955"/>
      <w:bookmarkStart w:id="504" w:name="_Toc15237"/>
      <w:bookmarkStart w:id="505" w:name="_Toc10366"/>
      <w:r>
        <w:rPr>
          <w:rFonts w:hint="eastAsia" w:ascii="宋体" w:hAnsi="宋体" w:cs="宋体"/>
          <w:b/>
          <w:sz w:val="24"/>
          <w:highlight w:val="none"/>
        </w:rPr>
        <w:t>2.11 合同转让</w:t>
      </w:r>
      <w:bookmarkEnd w:id="500"/>
      <w:bookmarkEnd w:id="501"/>
      <w:bookmarkEnd w:id="502"/>
      <w:r>
        <w:rPr>
          <w:rFonts w:hint="eastAsia" w:ascii="宋体" w:hAnsi="宋体" w:cs="宋体"/>
          <w:b/>
          <w:sz w:val="24"/>
          <w:highlight w:val="none"/>
        </w:rPr>
        <w:t>和分包</w:t>
      </w:r>
      <w:bookmarkEnd w:id="503"/>
      <w:bookmarkEnd w:id="504"/>
      <w:bookmarkEnd w:id="505"/>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2.11.2乙方采取分包方式履行合同的，甲方可直接向分包供应商支付款项。</w:t>
      </w:r>
    </w:p>
    <w:p>
      <w:pPr>
        <w:spacing w:line="560" w:lineRule="exact"/>
        <w:ind w:firstLine="482" w:firstLineChars="200"/>
        <w:outlineLvl w:val="2"/>
        <w:rPr>
          <w:rFonts w:ascii="宋体" w:hAnsi="宋体" w:cs="宋体"/>
          <w:b/>
          <w:sz w:val="24"/>
          <w:highlight w:val="none"/>
        </w:rPr>
      </w:pPr>
      <w:bookmarkStart w:id="506" w:name="_Toc16508"/>
      <w:bookmarkStart w:id="507" w:name="_Toc14066"/>
      <w:bookmarkStart w:id="508" w:name="_Toc13566"/>
      <w:r>
        <w:rPr>
          <w:rFonts w:hint="eastAsia" w:ascii="宋体" w:hAnsi="宋体" w:cs="宋体"/>
          <w:b/>
          <w:sz w:val="24"/>
          <w:highlight w:val="none"/>
        </w:rPr>
        <w:t>2.12 不可抗力</w:t>
      </w:r>
      <w:bookmarkEnd w:id="506"/>
      <w:bookmarkEnd w:id="507"/>
      <w:bookmarkEnd w:id="508"/>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2.12.2 因不可抗力致使不能实现合同目的的，当事人可以解除合同；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2.12.3 因不可抗力致使合同有变更必要的，双方当事人应在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约定时间内以书面形式变更合同；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2.12.4受不可抗力影响的一方在不可抗力发生后，应在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约定时间内以书面形式通知对方当事人，并在</w:t>
      </w:r>
      <w:r>
        <w:rPr>
          <w:rFonts w:hint="eastAsia" w:ascii="宋体" w:hAnsi="宋体" w:cs="宋体"/>
          <w:b/>
          <w:i/>
          <w:sz w:val="24"/>
          <w:highlight w:val="none"/>
          <w:u w:val="single"/>
        </w:rPr>
        <w:t>合同专用条款</w:t>
      </w:r>
      <w:r>
        <w:rPr>
          <w:rFonts w:hint="eastAsia" w:ascii="宋体" w:hAnsi="宋体" w:cs="宋体"/>
          <w:sz w:val="24"/>
          <w:highlight w:val="none"/>
        </w:rPr>
        <w:t>约定时间内，将有关部门出具的证明文件送达对方当事人。</w:t>
      </w:r>
    </w:p>
    <w:p>
      <w:pPr>
        <w:spacing w:line="560" w:lineRule="exact"/>
        <w:ind w:firstLine="482" w:firstLineChars="200"/>
        <w:outlineLvl w:val="2"/>
        <w:rPr>
          <w:rFonts w:ascii="宋体" w:hAnsi="宋体" w:cs="宋体"/>
          <w:b/>
          <w:sz w:val="24"/>
          <w:highlight w:val="none"/>
        </w:rPr>
      </w:pPr>
      <w:bookmarkStart w:id="509" w:name="_Toc689"/>
      <w:bookmarkStart w:id="510" w:name="_Toc279701255"/>
      <w:bookmarkStart w:id="511" w:name="_Toc259093684"/>
      <w:bookmarkStart w:id="512" w:name="_Toc6969"/>
      <w:bookmarkStart w:id="513" w:name="_Toc487900365"/>
      <w:bookmarkStart w:id="514" w:name="_Toc30676"/>
      <w:r>
        <w:rPr>
          <w:rFonts w:hint="eastAsia" w:ascii="宋体" w:hAnsi="宋体" w:cs="宋体"/>
          <w:b/>
          <w:sz w:val="24"/>
          <w:highlight w:val="none"/>
        </w:rPr>
        <w:t>2.13 税费</w:t>
      </w:r>
      <w:bookmarkEnd w:id="509"/>
      <w:bookmarkEnd w:id="510"/>
      <w:bookmarkEnd w:id="511"/>
      <w:bookmarkEnd w:id="512"/>
      <w:bookmarkEnd w:id="513"/>
      <w:bookmarkEnd w:id="514"/>
    </w:p>
    <w:p>
      <w:pPr>
        <w:spacing w:line="560" w:lineRule="exact"/>
        <w:ind w:firstLine="480" w:firstLineChars="200"/>
        <w:rPr>
          <w:rFonts w:ascii="宋体" w:hAnsi="宋体" w:cs="宋体"/>
          <w:sz w:val="24"/>
          <w:highlight w:val="none"/>
        </w:rPr>
      </w:pPr>
      <w:r>
        <w:rPr>
          <w:rFonts w:hint="eastAsia" w:ascii="宋体" w:hAnsi="宋体" w:cs="宋体"/>
          <w:sz w:val="24"/>
          <w:highlight w:val="none"/>
        </w:rPr>
        <w:t>与合同有关的一切税费，均按照中华人民共和国法律的相关规定。</w:t>
      </w:r>
    </w:p>
    <w:p>
      <w:pPr>
        <w:spacing w:line="560" w:lineRule="exact"/>
        <w:ind w:firstLine="482" w:firstLineChars="200"/>
        <w:outlineLvl w:val="2"/>
        <w:rPr>
          <w:rFonts w:ascii="宋体" w:hAnsi="宋体" w:cs="宋体"/>
          <w:b/>
          <w:sz w:val="24"/>
          <w:highlight w:val="none"/>
        </w:rPr>
      </w:pPr>
      <w:bookmarkStart w:id="515" w:name="_Toc487900368"/>
      <w:bookmarkStart w:id="516" w:name="_Toc259093687"/>
      <w:bookmarkStart w:id="517" w:name="_Toc279701258"/>
      <w:bookmarkStart w:id="518" w:name="_Toc8298"/>
      <w:bookmarkStart w:id="519" w:name="_Toc7102"/>
      <w:bookmarkStart w:id="520" w:name="_Toc16959"/>
      <w:r>
        <w:rPr>
          <w:rFonts w:hint="eastAsia" w:ascii="宋体" w:hAnsi="宋体" w:cs="宋体"/>
          <w:b/>
          <w:sz w:val="24"/>
          <w:highlight w:val="none"/>
        </w:rPr>
        <w:t>2.14乙方破产</w:t>
      </w:r>
      <w:bookmarkEnd w:id="515"/>
      <w:bookmarkEnd w:id="516"/>
      <w:bookmarkEnd w:id="517"/>
      <w:bookmarkEnd w:id="518"/>
      <w:bookmarkEnd w:id="519"/>
      <w:bookmarkEnd w:id="520"/>
    </w:p>
    <w:p>
      <w:pPr>
        <w:spacing w:line="560" w:lineRule="exact"/>
        <w:ind w:firstLine="480" w:firstLineChars="200"/>
        <w:rPr>
          <w:rFonts w:ascii="宋体" w:hAnsi="宋体" w:cs="宋体"/>
          <w:sz w:val="24"/>
          <w:highlight w:val="none"/>
        </w:rPr>
      </w:pPr>
      <w:r>
        <w:rPr>
          <w:rFonts w:hint="eastAsia" w:ascii="宋体" w:hAnsi="宋体" w:cs="宋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2"/>
        <w:rPr>
          <w:rFonts w:ascii="宋体" w:hAnsi="宋体" w:cs="宋体"/>
          <w:b/>
          <w:sz w:val="24"/>
          <w:highlight w:val="none"/>
        </w:rPr>
      </w:pPr>
      <w:bookmarkStart w:id="521" w:name="_Toc15387"/>
      <w:bookmarkStart w:id="522" w:name="_Toc29333"/>
      <w:bookmarkStart w:id="523" w:name="_Toc6134"/>
      <w:r>
        <w:rPr>
          <w:rFonts w:hint="eastAsia" w:ascii="宋体" w:hAnsi="宋体" w:cs="宋体"/>
          <w:b/>
          <w:sz w:val="24"/>
          <w:highlight w:val="none"/>
        </w:rPr>
        <w:t>2.15 合同中止、终止</w:t>
      </w:r>
      <w:bookmarkEnd w:id="521"/>
      <w:bookmarkEnd w:id="522"/>
      <w:bookmarkEnd w:id="523"/>
    </w:p>
    <w:p>
      <w:pPr>
        <w:spacing w:line="560" w:lineRule="exact"/>
        <w:ind w:firstLine="480" w:firstLineChars="200"/>
        <w:rPr>
          <w:rFonts w:ascii="宋体" w:hAnsi="宋体" w:cs="宋体"/>
          <w:sz w:val="24"/>
          <w:highlight w:val="none"/>
        </w:rPr>
      </w:pPr>
      <w:r>
        <w:rPr>
          <w:rFonts w:hint="eastAsia" w:ascii="宋体" w:hAnsi="宋体" w:cs="宋体"/>
          <w:sz w:val="24"/>
          <w:highlight w:val="none"/>
        </w:rPr>
        <w:t>2.15.1 双方当事人不得擅自中止或者终止合同；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2"/>
        <w:rPr>
          <w:rFonts w:ascii="宋体" w:hAnsi="宋体" w:cs="宋体"/>
          <w:b/>
          <w:sz w:val="24"/>
          <w:highlight w:val="none"/>
        </w:rPr>
      </w:pPr>
      <w:bookmarkStart w:id="524" w:name="_Toc14563"/>
      <w:bookmarkStart w:id="525" w:name="_Toc1125"/>
      <w:bookmarkStart w:id="526" w:name="_Toc6596"/>
      <w:r>
        <w:rPr>
          <w:rFonts w:hint="eastAsia" w:ascii="宋体" w:hAnsi="宋体" w:cs="宋体"/>
          <w:b/>
          <w:sz w:val="24"/>
          <w:highlight w:val="none"/>
        </w:rPr>
        <w:t>2.16检验和验收</w:t>
      </w:r>
      <w:bookmarkEnd w:id="524"/>
      <w:bookmarkEnd w:id="525"/>
      <w:bookmarkEnd w:id="526"/>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sz w:val="24"/>
          <w:highlight w:val="none"/>
          <w:u w:val="single"/>
        </w:rPr>
        <w:t>合同专用条款</w:t>
      </w:r>
      <w:r>
        <w:rPr>
          <w:rFonts w:hint="eastAsia" w:ascii="宋体" w:hAnsi="宋体" w:cs="宋体"/>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2.16.3 检验和验收标准、程序等具体内容以及前述验收书的效力详见</w:t>
      </w:r>
      <w:r>
        <w:rPr>
          <w:rFonts w:hint="eastAsia" w:ascii="宋体" w:hAnsi="宋体" w:cs="宋体"/>
          <w:b/>
          <w:i/>
          <w:sz w:val="24"/>
          <w:highlight w:val="none"/>
          <w:u w:val="single"/>
        </w:rPr>
        <w:t>合同专用条款</w:t>
      </w:r>
      <w:r>
        <w:rPr>
          <w:rFonts w:hint="eastAsia" w:ascii="宋体" w:hAnsi="宋体" w:cs="宋体"/>
          <w:i/>
          <w:sz w:val="24"/>
          <w:highlight w:val="none"/>
        </w:rPr>
        <w:t>。</w:t>
      </w:r>
    </w:p>
    <w:bookmarkEnd w:id="496"/>
    <w:bookmarkEnd w:id="497"/>
    <w:bookmarkEnd w:id="498"/>
    <w:bookmarkEnd w:id="499"/>
    <w:p>
      <w:pPr>
        <w:spacing w:line="560" w:lineRule="exact"/>
        <w:ind w:firstLine="482" w:firstLineChars="200"/>
        <w:outlineLvl w:val="2"/>
        <w:rPr>
          <w:rFonts w:ascii="宋体" w:hAnsi="宋体" w:cs="宋体"/>
          <w:b/>
          <w:sz w:val="24"/>
          <w:highlight w:val="none"/>
        </w:rPr>
      </w:pPr>
      <w:bookmarkStart w:id="527" w:name="_Toc487900371"/>
      <w:bookmarkStart w:id="528" w:name="_Toc259093690"/>
      <w:bookmarkStart w:id="529" w:name="_Toc279701261"/>
      <w:bookmarkStart w:id="530" w:name="_Toc11284"/>
      <w:bookmarkStart w:id="531" w:name="_Toc25182"/>
      <w:bookmarkStart w:id="532" w:name="_Toc19604"/>
      <w:r>
        <w:rPr>
          <w:rFonts w:hint="eastAsia" w:ascii="宋体" w:hAnsi="宋体" w:cs="宋体"/>
          <w:b/>
          <w:sz w:val="24"/>
          <w:highlight w:val="none"/>
        </w:rPr>
        <w:t>2.17 通知</w:t>
      </w:r>
      <w:bookmarkEnd w:id="527"/>
      <w:bookmarkEnd w:id="528"/>
      <w:bookmarkEnd w:id="529"/>
      <w:r>
        <w:rPr>
          <w:rFonts w:hint="eastAsia" w:ascii="宋体" w:hAnsi="宋体" w:cs="宋体"/>
          <w:b/>
          <w:sz w:val="24"/>
          <w:highlight w:val="none"/>
        </w:rPr>
        <w:t>和送达</w:t>
      </w:r>
      <w:bookmarkEnd w:id="530"/>
      <w:bookmarkEnd w:id="531"/>
      <w:bookmarkEnd w:id="532"/>
    </w:p>
    <w:p>
      <w:pPr>
        <w:spacing w:line="560" w:lineRule="exact"/>
        <w:ind w:firstLine="480" w:firstLineChars="200"/>
        <w:rPr>
          <w:rFonts w:ascii="宋体" w:hAnsi="宋体" w:cs="宋体"/>
          <w:sz w:val="24"/>
          <w:highlight w:val="none"/>
        </w:rPr>
      </w:pPr>
      <w:bookmarkStart w:id="533" w:name="_Toc3135"/>
      <w:bookmarkStart w:id="534" w:name="_Toc6698"/>
      <w:bookmarkStart w:id="535" w:name="_Toc279701262"/>
      <w:bookmarkStart w:id="536" w:name="_Toc487900372"/>
      <w:bookmarkStart w:id="537" w:name="_Toc259093691"/>
      <w:r>
        <w:rPr>
          <w:rFonts w:hint="eastAsia" w:ascii="宋体" w:hAnsi="宋体" w:cs="宋体"/>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sz w:val="24"/>
          <w:highlight w:val="none"/>
          <w:u w:val="single"/>
        </w:rPr>
        <w:t>3</w:t>
      </w:r>
      <w:r>
        <w:rPr>
          <w:rFonts w:hint="eastAsia" w:ascii="宋体" w:hAnsi="宋体" w:cs="宋体"/>
          <w:sz w:val="24"/>
          <w:highlight w:val="none"/>
        </w:rPr>
        <w:t>个工作日内书面通知对方当事人，在对方当事人收到有关变更通知之前，变更前的约定送达方式或者地址仍视为有效。</w:t>
      </w:r>
      <w:bookmarkEnd w:id="533"/>
      <w:bookmarkEnd w:id="534"/>
    </w:p>
    <w:p>
      <w:pPr>
        <w:spacing w:line="560" w:lineRule="exact"/>
        <w:ind w:firstLine="480" w:firstLineChars="200"/>
        <w:rPr>
          <w:rFonts w:ascii="宋体" w:hAnsi="宋体" w:cs="宋体"/>
          <w:sz w:val="24"/>
          <w:highlight w:val="none"/>
        </w:rPr>
      </w:pPr>
      <w:bookmarkStart w:id="538" w:name="_Toc23128"/>
      <w:bookmarkStart w:id="539" w:name="_Toc23294"/>
      <w:r>
        <w:rPr>
          <w:rFonts w:hint="eastAsia" w:ascii="宋体" w:hAnsi="宋体" w:cs="宋体"/>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pPr>
        <w:spacing w:line="560" w:lineRule="exact"/>
        <w:ind w:firstLine="482" w:firstLineChars="200"/>
        <w:outlineLvl w:val="2"/>
        <w:rPr>
          <w:rFonts w:ascii="宋体" w:hAnsi="宋体" w:cs="宋体"/>
          <w:b/>
          <w:sz w:val="24"/>
          <w:highlight w:val="none"/>
        </w:rPr>
      </w:pPr>
      <w:bookmarkStart w:id="540" w:name="_Toc4355"/>
      <w:bookmarkStart w:id="541" w:name="_Toc30599"/>
      <w:bookmarkStart w:id="542" w:name="_Toc18540"/>
      <w:r>
        <w:rPr>
          <w:rFonts w:hint="eastAsia" w:ascii="宋体" w:hAnsi="宋体" w:cs="宋体"/>
          <w:b/>
          <w:sz w:val="24"/>
          <w:highlight w:val="none"/>
        </w:rPr>
        <w:t>2.18 计量单位</w:t>
      </w:r>
      <w:bookmarkEnd w:id="535"/>
      <w:bookmarkEnd w:id="536"/>
      <w:bookmarkEnd w:id="537"/>
      <w:bookmarkEnd w:id="540"/>
      <w:bookmarkEnd w:id="541"/>
      <w:bookmarkEnd w:id="542"/>
    </w:p>
    <w:p>
      <w:pPr>
        <w:spacing w:line="560" w:lineRule="exact"/>
        <w:ind w:firstLine="480" w:firstLineChars="200"/>
        <w:rPr>
          <w:rFonts w:ascii="宋体" w:hAnsi="宋体" w:cs="宋体"/>
          <w:sz w:val="24"/>
          <w:highlight w:val="none"/>
        </w:rPr>
      </w:pPr>
      <w:r>
        <w:rPr>
          <w:rFonts w:hint="eastAsia" w:ascii="宋体" w:hAnsi="宋体" w:cs="宋体"/>
          <w:sz w:val="24"/>
          <w:highlight w:val="none"/>
        </w:rPr>
        <w:t>除技术规范中另有规定外,合同的计量单位均使用国家法定计量单位。</w:t>
      </w:r>
    </w:p>
    <w:p>
      <w:pPr>
        <w:spacing w:line="560" w:lineRule="exact"/>
        <w:ind w:firstLine="482" w:firstLineChars="200"/>
        <w:outlineLvl w:val="2"/>
        <w:rPr>
          <w:rFonts w:ascii="宋体" w:hAnsi="宋体" w:cs="宋体"/>
          <w:b/>
          <w:sz w:val="24"/>
          <w:highlight w:val="none"/>
        </w:rPr>
      </w:pPr>
      <w:bookmarkStart w:id="543" w:name="_Toc18567"/>
      <w:bookmarkStart w:id="544" w:name="_Toc487900373"/>
      <w:bookmarkStart w:id="545" w:name="_Toc259093692"/>
      <w:bookmarkStart w:id="546" w:name="_Toc10330"/>
      <w:bookmarkStart w:id="547" w:name="_Toc279701263"/>
      <w:bookmarkStart w:id="548" w:name="_Toc12773"/>
      <w:r>
        <w:rPr>
          <w:rFonts w:hint="eastAsia" w:ascii="宋体" w:hAnsi="宋体" w:cs="宋体"/>
          <w:b/>
          <w:sz w:val="24"/>
          <w:highlight w:val="none"/>
        </w:rPr>
        <w:t>2.19 合同使用的文字和适用的法律</w:t>
      </w:r>
      <w:bookmarkEnd w:id="543"/>
      <w:bookmarkEnd w:id="544"/>
      <w:bookmarkEnd w:id="545"/>
      <w:bookmarkEnd w:id="546"/>
      <w:bookmarkEnd w:id="547"/>
      <w:bookmarkEnd w:id="548"/>
    </w:p>
    <w:p>
      <w:pPr>
        <w:spacing w:line="560" w:lineRule="exact"/>
        <w:ind w:firstLine="480" w:firstLineChars="200"/>
        <w:rPr>
          <w:rFonts w:ascii="宋体" w:hAnsi="宋体" w:cs="宋体"/>
          <w:sz w:val="24"/>
          <w:highlight w:val="none"/>
        </w:rPr>
      </w:pPr>
      <w:r>
        <w:rPr>
          <w:rFonts w:hint="eastAsia" w:ascii="宋体" w:hAnsi="宋体" w:cs="宋体"/>
          <w:sz w:val="24"/>
          <w:highlight w:val="none"/>
        </w:rPr>
        <w:t>2.19.1 合同使用汉语书就、变更和解释；</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2.19.2 合同适用中华人民共和国法律。</w:t>
      </w:r>
    </w:p>
    <w:p>
      <w:pPr>
        <w:spacing w:line="560" w:lineRule="exact"/>
        <w:ind w:firstLine="482" w:firstLineChars="200"/>
        <w:outlineLvl w:val="2"/>
        <w:rPr>
          <w:rFonts w:ascii="宋体" w:hAnsi="宋体" w:cs="宋体"/>
          <w:b/>
          <w:sz w:val="24"/>
          <w:highlight w:val="none"/>
        </w:rPr>
      </w:pPr>
      <w:bookmarkStart w:id="549" w:name="_Toc12004"/>
      <w:bookmarkStart w:id="550" w:name="_Toc3148"/>
      <w:bookmarkStart w:id="551" w:name="_Toc259093693"/>
      <w:bookmarkStart w:id="552" w:name="_Toc16673"/>
      <w:bookmarkStart w:id="553" w:name="_Toc279701264"/>
      <w:bookmarkStart w:id="554" w:name="_Toc487900374"/>
      <w:r>
        <w:rPr>
          <w:rFonts w:hint="eastAsia" w:ascii="宋体" w:hAnsi="宋体" w:cs="宋体"/>
          <w:b/>
          <w:sz w:val="24"/>
          <w:highlight w:val="none"/>
        </w:rPr>
        <w:t>2.20 履约保证金</w:t>
      </w:r>
      <w:bookmarkEnd w:id="549"/>
      <w:bookmarkEnd w:id="550"/>
      <w:bookmarkEnd w:id="551"/>
      <w:bookmarkEnd w:id="552"/>
      <w:bookmarkEnd w:id="553"/>
    </w:p>
    <w:p>
      <w:pPr>
        <w:pStyle w:val="957"/>
        <w:spacing w:before="0" w:beforeAutospacing="0" w:after="0" w:afterAutospacing="0" w:line="360" w:lineRule="auto"/>
        <w:ind w:firstLine="420"/>
        <w:rPr>
          <w:highlight w:val="none"/>
        </w:rPr>
      </w:pPr>
      <w:r>
        <w:rPr>
          <w:rFonts w:hint="eastAsia"/>
          <w:highlight w:val="none"/>
        </w:rPr>
        <w:t>2.20.1 采购文件要求乙方提交履约保证金的，乙方应按</w:t>
      </w:r>
      <w:r>
        <w:rPr>
          <w:rFonts w:hint="eastAsia"/>
          <w:b/>
          <w:i/>
          <w:highlight w:val="none"/>
          <w:u w:val="single"/>
        </w:rPr>
        <w:t>合同专用条款</w:t>
      </w:r>
      <w:r>
        <w:rPr>
          <w:rFonts w:hint="eastAsia"/>
          <w:highlight w:val="none"/>
        </w:rPr>
        <w:t>约定的方式，以支票、汇票、本票或者金融机构、担保机构出具的保函等非现金形式，提交不超过合同金额</w:t>
      </w:r>
      <w:r>
        <w:rPr>
          <w:highlight w:val="none"/>
        </w:rPr>
        <w:t>1%</w:t>
      </w:r>
      <w:r>
        <w:rPr>
          <w:rFonts w:hint="eastAsia"/>
          <w:highlight w:val="none"/>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sz w:val="24"/>
          <w:highlight w:val="none"/>
        </w:rPr>
      </w:pPr>
      <w:r>
        <w:rPr>
          <w:rFonts w:ascii="宋体" w:hAnsi="宋体" w:cs="宋体"/>
          <w:sz w:val="24"/>
          <w:highlight w:val="none"/>
        </w:rPr>
        <w:t xml:space="preserve">2.20.2  </w:t>
      </w:r>
      <w:r>
        <w:rPr>
          <w:rFonts w:hint="eastAsia" w:ascii="宋体" w:hAnsi="宋体" w:cs="宋体"/>
          <w:sz w:val="24"/>
          <w:highlight w:val="none"/>
        </w:rPr>
        <w:t>甲方在项目验收结束后及时退还履约保证金。甲方在项目通过验收之日起</w:t>
      </w:r>
      <w:r>
        <w:rPr>
          <w:rFonts w:hint="eastAsia" w:ascii="宋体" w:hAnsi="宋体" w:cs="宋体"/>
          <w:b/>
          <w:i/>
          <w:sz w:val="24"/>
          <w:highlight w:val="none"/>
          <w:u w:val="single"/>
        </w:rPr>
        <w:t>合同专用条款</w:t>
      </w:r>
      <w:r>
        <w:rPr>
          <w:rFonts w:hint="eastAsia" w:ascii="宋体" w:hAnsi="宋体" w:cs="宋体"/>
          <w:sz w:val="24"/>
          <w:highlight w:val="none"/>
        </w:rPr>
        <w:t>个工作日内将履约保证金退还乙方，逾期退还的，乙方可要求甲方支付违约金，违约金按每迟延退还一日的应退还而未退还金额的</w:t>
      </w:r>
      <w:r>
        <w:rPr>
          <w:rFonts w:hint="eastAsia" w:ascii="宋体" w:hAnsi="宋体" w:cs="宋体"/>
          <w:sz w:val="24"/>
          <w:highlight w:val="none"/>
          <w:u w:val="single"/>
        </w:rPr>
        <w:t xml:space="preserve">  0.05  </w:t>
      </w:r>
      <w:r>
        <w:rPr>
          <w:rFonts w:hint="eastAsia" w:ascii="宋体" w:hAnsi="宋体" w:cs="宋体"/>
          <w:sz w:val="24"/>
          <w:highlight w:val="none"/>
        </w:rPr>
        <w:t>%计算，最高限额为本合同履约保证金的</w:t>
      </w:r>
      <w:r>
        <w:rPr>
          <w:rFonts w:hint="eastAsia" w:ascii="宋体" w:hAnsi="宋体" w:cs="宋体"/>
          <w:sz w:val="24"/>
          <w:highlight w:val="none"/>
          <w:u w:val="single"/>
        </w:rPr>
        <w:t xml:space="preserve">  20   </w:t>
      </w:r>
      <w:r>
        <w:rPr>
          <w:rFonts w:hint="eastAsia" w:ascii="宋体" w:hAnsi="宋体" w:cs="宋体"/>
          <w:sz w:val="24"/>
          <w:highlight w:val="none"/>
        </w:rPr>
        <w:t xml:space="preserve">%； </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highlight w:val="none"/>
        </w:rPr>
      </w:pPr>
      <w:r>
        <w:rPr>
          <w:rFonts w:hint="eastAsia" w:ascii="宋体" w:hAnsi="宋体" w:cs="宋体"/>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2.21对于因甲方原因导致变更、中止或者终止政府采购合同的，甲方应当依照合同约定对供应商受到的损失予以赔偿或者补偿。</w:t>
      </w:r>
    </w:p>
    <w:bookmarkEnd w:id="554"/>
    <w:p>
      <w:pPr>
        <w:spacing w:line="560" w:lineRule="exact"/>
        <w:ind w:firstLine="482" w:firstLineChars="200"/>
        <w:outlineLvl w:val="2"/>
        <w:rPr>
          <w:rFonts w:ascii="宋体" w:hAnsi="宋体" w:cs="宋体"/>
          <w:b/>
          <w:sz w:val="24"/>
          <w:highlight w:val="none"/>
        </w:rPr>
      </w:pPr>
      <w:bookmarkStart w:id="555" w:name="_Toc14001"/>
      <w:bookmarkStart w:id="556" w:name="_Toc6885"/>
      <w:bookmarkStart w:id="557" w:name="_Toc19890"/>
      <w:r>
        <w:rPr>
          <w:rFonts w:hint="eastAsia" w:ascii="宋体" w:hAnsi="宋体" w:cs="宋体"/>
          <w:b/>
          <w:sz w:val="24"/>
          <w:highlight w:val="none"/>
        </w:rPr>
        <w:t>2.22合同份数</w:t>
      </w:r>
      <w:bookmarkEnd w:id="555"/>
      <w:bookmarkEnd w:id="556"/>
      <w:bookmarkEnd w:id="557"/>
    </w:p>
    <w:p>
      <w:pPr>
        <w:spacing w:line="560" w:lineRule="exact"/>
        <w:ind w:firstLine="480" w:firstLineChars="200"/>
        <w:rPr>
          <w:rFonts w:ascii="宋体" w:hAnsi="宋体" w:cs="宋体"/>
          <w:sz w:val="24"/>
          <w:highlight w:val="none"/>
        </w:rPr>
      </w:pPr>
      <w:r>
        <w:rPr>
          <w:rFonts w:hint="eastAsia" w:ascii="宋体" w:hAnsi="宋体" w:cs="宋体"/>
          <w:sz w:val="24"/>
          <w:highlight w:val="none"/>
        </w:rPr>
        <w:t>合同份数按</w:t>
      </w:r>
      <w:r>
        <w:rPr>
          <w:rFonts w:hint="eastAsia" w:ascii="宋体" w:hAnsi="宋体" w:cs="宋体"/>
          <w:b/>
          <w:i/>
          <w:sz w:val="24"/>
          <w:highlight w:val="none"/>
          <w:u w:val="single"/>
        </w:rPr>
        <w:t>合同专用条款</w:t>
      </w:r>
      <w:r>
        <w:rPr>
          <w:rFonts w:hint="eastAsia" w:ascii="宋体" w:hAnsi="宋体" w:cs="宋体"/>
          <w:sz w:val="24"/>
          <w:highlight w:val="none"/>
        </w:rPr>
        <w:t>规定，每份均具有同等法律效力。</w:t>
      </w:r>
    </w:p>
    <w:p>
      <w:pPr>
        <w:adjustRightInd/>
        <w:spacing w:line="360" w:lineRule="auto"/>
        <w:ind w:firstLine="2513" w:firstLineChars="1197"/>
        <w:outlineLvl w:val="1"/>
        <w:rPr>
          <w:rFonts w:ascii="宋体" w:hAnsi="宋体" w:cs="宋体"/>
          <w:b/>
          <w:highlight w:val="none"/>
        </w:rPr>
      </w:pPr>
      <w:r>
        <w:rPr>
          <w:rFonts w:hint="eastAsia" w:ascii="宋体" w:hAnsi="宋体" w:cs="宋体"/>
          <w:kern w:val="0"/>
          <w:highlight w:val="none"/>
        </w:rPr>
        <w:br w:type="page"/>
      </w:r>
      <w:r>
        <w:rPr>
          <w:rFonts w:hint="eastAsia" w:ascii="宋体" w:hAnsi="宋体" w:cs="宋体"/>
          <w:b/>
          <w:sz w:val="32"/>
          <w:szCs w:val="20"/>
          <w:highlight w:val="none"/>
        </w:rPr>
        <w:t>第三部分  合同专用条款</w:t>
      </w:r>
    </w:p>
    <w:p>
      <w:pPr>
        <w:spacing w:line="360" w:lineRule="auto"/>
        <w:ind w:left="-420" w:leftChars="-200" w:right="-420" w:rightChars="-200" w:firstLine="480" w:firstLineChars="200"/>
        <w:rPr>
          <w:rFonts w:ascii="宋体" w:hAnsi="宋体" w:cs="宋体"/>
          <w:highlight w:val="none"/>
        </w:rPr>
      </w:pPr>
      <w:r>
        <w:rPr>
          <w:rFonts w:hint="eastAsia" w:ascii="宋体" w:hAnsi="宋体" w:cs="宋体"/>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条款号</w:t>
            </w:r>
          </w:p>
        </w:tc>
        <w:tc>
          <w:tcPr>
            <w:tcW w:w="8275"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1.4.4</w:t>
            </w:r>
          </w:p>
        </w:tc>
        <w:tc>
          <w:tcPr>
            <w:tcW w:w="8275" w:type="dxa"/>
            <w:shd w:val="clear" w:color="auto" w:fill="auto"/>
            <w:vAlign w:val="center"/>
          </w:tcPr>
          <w:p>
            <w:pPr>
              <w:rPr>
                <w:rFonts w:ascii="宋体" w:hAnsi="宋体" w:cs="宋体"/>
                <w:sz w:val="24"/>
                <w:highlight w:val="none"/>
              </w:rPr>
            </w:pPr>
            <w:r>
              <w:rPr>
                <w:rFonts w:ascii="宋体" w:hAnsi="宋体" w:cs="宋体"/>
                <w:sz w:val="24"/>
                <w:highlight w:val="none"/>
              </w:rPr>
              <w:t>合同签订后5个工作日内</w:t>
            </w:r>
            <w:r>
              <w:rPr>
                <w:rFonts w:hint="eastAsia" w:ascii="宋体" w:hAnsi="宋体" w:cs="宋体"/>
                <w:sz w:val="24"/>
                <w:highlight w:val="none"/>
              </w:rPr>
              <w:t>甲方</w:t>
            </w:r>
            <w:r>
              <w:rPr>
                <w:rFonts w:ascii="宋体" w:hAnsi="宋体" w:cs="宋体"/>
                <w:sz w:val="24"/>
                <w:highlight w:val="none"/>
              </w:rPr>
              <w:t>支付合同金额</w:t>
            </w:r>
            <w:r>
              <w:rPr>
                <w:rFonts w:hint="eastAsia" w:ascii="宋体" w:hAnsi="宋体" w:cs="宋体"/>
                <w:sz w:val="24"/>
                <w:highlight w:val="none"/>
              </w:rPr>
              <w:t>4</w:t>
            </w:r>
            <w:r>
              <w:rPr>
                <w:rFonts w:ascii="宋体" w:hAnsi="宋体" w:cs="宋体"/>
                <w:sz w:val="24"/>
                <w:highlight w:val="none"/>
              </w:rPr>
              <w:t>0%</w:t>
            </w:r>
            <w:r>
              <w:rPr>
                <w:rFonts w:hint="eastAsia" w:ascii="宋体" w:hAnsi="宋体" w:cs="宋体"/>
                <w:sz w:val="24"/>
                <w:highlight w:val="none"/>
              </w:rPr>
              <w:t>到合同约定的乙方账户。</w:t>
            </w:r>
          </w:p>
          <w:p>
            <w:pPr>
              <w:rPr>
                <w:rFonts w:ascii="宋体" w:hAnsi="宋体" w:cs="宋体"/>
                <w:sz w:val="24"/>
                <w:highlight w:val="none"/>
              </w:rPr>
            </w:pPr>
            <w:r>
              <w:rPr>
                <w:rFonts w:hint="eastAsia" w:ascii="宋体" w:hAnsi="宋体" w:cs="宋体"/>
                <w:sz w:val="24"/>
                <w:highlight w:val="none"/>
              </w:rPr>
              <w:t>项目验收合格后，甲方自收到全额发票后</w:t>
            </w:r>
            <w:r>
              <w:rPr>
                <w:rFonts w:ascii="宋体" w:hAnsi="宋体" w:cs="宋体"/>
                <w:sz w:val="24"/>
                <w:highlight w:val="none"/>
              </w:rPr>
              <w:t>5</w:t>
            </w:r>
            <w:r>
              <w:rPr>
                <w:rFonts w:hint="eastAsia" w:ascii="宋体" w:hAnsi="宋体" w:cs="宋体"/>
                <w:sz w:val="24"/>
                <w:highlight w:val="none"/>
              </w:rPr>
              <w:t>个工作日内将</w:t>
            </w:r>
            <w:r>
              <w:rPr>
                <w:rFonts w:ascii="宋体" w:hAnsi="宋体" w:cs="宋体"/>
                <w:sz w:val="24"/>
                <w:highlight w:val="none"/>
              </w:rPr>
              <w:t>合同金额</w:t>
            </w:r>
            <w:r>
              <w:rPr>
                <w:rFonts w:hint="eastAsia" w:ascii="宋体" w:hAnsi="宋体" w:cs="宋体"/>
                <w:sz w:val="24"/>
                <w:highlight w:val="none"/>
              </w:rPr>
              <w:t>6</w:t>
            </w:r>
            <w:r>
              <w:rPr>
                <w:rFonts w:ascii="宋体" w:hAnsi="宋体" w:cs="宋体"/>
                <w:sz w:val="24"/>
                <w:highlight w:val="none"/>
              </w:rPr>
              <w:t>0%</w:t>
            </w:r>
            <w:r>
              <w:rPr>
                <w:rFonts w:hint="eastAsia" w:ascii="宋体" w:hAnsi="宋体" w:cs="宋体"/>
                <w:sz w:val="24"/>
                <w:highlight w:val="none"/>
              </w:rPr>
              <w:t>支付到合同约定的乙方账户。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 xml:space="preserve">1.5.1 </w:t>
            </w:r>
          </w:p>
        </w:tc>
        <w:tc>
          <w:tcPr>
            <w:tcW w:w="8275" w:type="dxa"/>
            <w:shd w:val="clear" w:color="auto" w:fill="auto"/>
            <w:vAlign w:val="center"/>
          </w:tcPr>
          <w:p>
            <w:pPr>
              <w:rPr>
                <w:rFonts w:ascii="宋体" w:hAnsi="宋体" w:cs="宋体"/>
                <w:sz w:val="24"/>
                <w:highlight w:val="none"/>
              </w:rPr>
            </w:pPr>
            <w:r>
              <w:rPr>
                <w:rFonts w:hint="eastAsia" w:ascii="宋体" w:hAnsi="宋体" w:cs="宋体"/>
                <w:bCs/>
                <w:sz w:val="24"/>
                <w:highlight w:val="none"/>
              </w:rPr>
              <w:t>合同签订完成日起2个月内完成全部货物的交付验收工作。</w:t>
            </w:r>
            <w:r>
              <w:rPr>
                <w:rFonts w:hint="eastAsia" w:ascii="宋体" w:hAnsi="宋体" w:cs="宋体"/>
                <w:kern w:val="0"/>
                <w:sz w:val="24"/>
                <w:highlight w:val="none"/>
              </w:rPr>
              <w:t>符合验收标准。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1.5.2</w:t>
            </w:r>
          </w:p>
        </w:tc>
        <w:tc>
          <w:tcPr>
            <w:tcW w:w="8275" w:type="dxa"/>
            <w:shd w:val="clear" w:color="auto" w:fill="auto"/>
            <w:vAlign w:val="center"/>
          </w:tcPr>
          <w:p>
            <w:pPr>
              <w:rPr>
                <w:rFonts w:ascii="宋体" w:hAnsi="宋体" w:cs="宋体"/>
                <w:b/>
                <w:sz w:val="24"/>
                <w:highlight w:val="none"/>
              </w:rPr>
            </w:pPr>
            <w:r>
              <w:rPr>
                <w:rFonts w:hint="eastAsia" w:hAnsi="宋体" w:cs="仿宋_GB2312"/>
                <w:sz w:val="24"/>
                <w:highlight w:val="none"/>
              </w:rPr>
              <w:t>采购人指定地点（</w:t>
            </w:r>
            <w:r>
              <w:rPr>
                <w:rFonts w:hint="eastAsia" w:hAnsi="宋体" w:cs="宋体"/>
                <w:bCs/>
                <w:sz w:val="24"/>
                <w:highlight w:val="none"/>
              </w:rPr>
              <w:t>杭州市拱墅区塘河新村社区、余杭塘路社区</w:t>
            </w:r>
            <w:r>
              <w:rPr>
                <w:rFonts w:hint="eastAsia" w:hAnsi="宋体" w:cs="仿宋_GB2312"/>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 xml:space="preserve">1.5.3 </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现实交付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1.6.7</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1.7</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1.7.2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1.7.1</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1.7.2</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甲方所在地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2.3.2</w:t>
            </w:r>
          </w:p>
        </w:tc>
        <w:tc>
          <w:tcPr>
            <w:tcW w:w="8275" w:type="dxa"/>
            <w:shd w:val="clear" w:color="auto" w:fill="auto"/>
            <w:vAlign w:val="center"/>
          </w:tcPr>
          <w:p>
            <w:pPr>
              <w:ind w:left="-420" w:leftChars="-200" w:right="-420" w:rightChars="-200" w:firstLine="480" w:firstLineChars="200"/>
              <w:rPr>
                <w:rFonts w:ascii="宋体" w:hAnsi="宋体" w:cs="宋体"/>
                <w:sz w:val="24"/>
                <w:highlight w:val="none"/>
              </w:rPr>
            </w:pPr>
            <w:r>
              <w:rPr>
                <w:rFonts w:hint="eastAsia" w:ascii="宋体" w:hAnsi="宋体" w:cs="宋体"/>
                <w:sz w:val="24"/>
                <w:highlight w:val="non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2.4.1</w:t>
            </w:r>
          </w:p>
        </w:tc>
        <w:tc>
          <w:tcPr>
            <w:tcW w:w="8275" w:type="dxa"/>
            <w:shd w:val="clear" w:color="auto" w:fill="auto"/>
            <w:vAlign w:val="center"/>
          </w:tcPr>
          <w:p>
            <w:pPr>
              <w:ind w:left="-420" w:leftChars="-200" w:right="-420" w:rightChars="-200" w:firstLine="480" w:firstLineChars="200"/>
              <w:rPr>
                <w:rFonts w:ascii="宋体" w:hAnsi="宋体" w:cs="宋体"/>
                <w:sz w:val="24"/>
                <w:highlight w:val="none"/>
              </w:rPr>
            </w:pPr>
            <w:r>
              <w:rPr>
                <w:rFonts w:hint="eastAsia" w:ascii="宋体" w:hAnsi="宋体" w:cs="宋体"/>
                <w:sz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2.4.3</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在交付期限内自行安排装运，并在货物起运前提前告知采购人。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宋体" w:hAnsi="宋体" w:cs="宋体"/>
                <w:sz w:val="24"/>
                <w:highlight w:val="none"/>
              </w:rPr>
            </w:pPr>
            <w:r>
              <w:rPr>
                <w:rFonts w:hint="eastAsia" w:ascii="宋体" w:hAnsi="宋体" w:cs="宋体"/>
                <w:sz w:val="24"/>
                <w:highlight w:val="none"/>
              </w:rPr>
              <w:t xml:space="preserve">2.8 </w:t>
            </w:r>
          </w:p>
        </w:tc>
        <w:tc>
          <w:tcPr>
            <w:tcW w:w="8275" w:type="dxa"/>
            <w:shd w:val="clear" w:color="auto" w:fill="auto"/>
          </w:tcPr>
          <w:p>
            <w:pPr>
              <w:rPr>
                <w:rFonts w:ascii="宋体" w:hAnsi="宋体" w:cs="宋体"/>
                <w:sz w:val="24"/>
                <w:highlight w:val="none"/>
              </w:rPr>
            </w:pPr>
            <w:r>
              <w:rPr>
                <w:rFonts w:hint="eastAsia" w:ascii="宋体" w:hAnsi="宋体" w:cs="宋体"/>
                <w:sz w:val="24"/>
                <w:highlight w:val="none"/>
              </w:rPr>
              <w:t>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2.12.3</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3个工作日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2.12.4</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1个工作日；3个工作日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2.16.1</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5个工作日内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2.16.3</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宋体" w:hAnsi="宋体" w:cs="宋体"/>
                <w:sz w:val="24"/>
                <w:highlight w:val="none"/>
              </w:rPr>
            </w:pPr>
            <w:r>
              <w:rPr>
                <w:rFonts w:hint="eastAsia" w:ascii="宋体" w:hAnsi="宋体" w:cs="宋体"/>
                <w:sz w:val="24"/>
                <w:highlight w:val="none"/>
              </w:rPr>
              <w:t>2.20.1</w:t>
            </w:r>
          </w:p>
        </w:tc>
        <w:tc>
          <w:tcPr>
            <w:tcW w:w="8275" w:type="dxa"/>
            <w:shd w:val="clear" w:color="auto" w:fill="auto"/>
          </w:tcPr>
          <w:p>
            <w:pPr>
              <w:rPr>
                <w:rFonts w:ascii="宋体" w:hAnsi="宋体" w:cs="宋体"/>
                <w:sz w:val="24"/>
                <w:highlight w:val="none"/>
              </w:rPr>
            </w:pPr>
            <w:r>
              <w:rPr>
                <w:rFonts w:hint="eastAsia" w:ascii="宋体" w:hAnsi="宋体" w:cs="宋体"/>
                <w:kern w:val="0"/>
                <w:sz w:val="24"/>
                <w:highlight w:val="none"/>
              </w:rPr>
              <w:t>无履约保证金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宋体" w:hAnsi="宋体" w:cs="宋体"/>
                <w:sz w:val="24"/>
                <w:highlight w:val="none"/>
              </w:rPr>
            </w:pPr>
            <w:r>
              <w:rPr>
                <w:rFonts w:hint="eastAsia" w:ascii="宋体" w:hAnsi="宋体" w:cs="宋体"/>
                <w:sz w:val="24"/>
                <w:highlight w:val="none"/>
              </w:rPr>
              <w:t xml:space="preserve">2.20.2 </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7个工作日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highlight w:val="none"/>
              </w:rPr>
            </w:pPr>
            <w:r>
              <w:rPr>
                <w:rFonts w:hint="eastAsia" w:ascii="宋体" w:hAnsi="宋体" w:cs="宋体"/>
                <w:sz w:val="24"/>
                <w:highlight w:val="none"/>
              </w:rPr>
              <w:t xml:space="preserve">2.22 </w:t>
            </w:r>
          </w:p>
        </w:tc>
        <w:tc>
          <w:tcPr>
            <w:tcW w:w="8275" w:type="dxa"/>
            <w:shd w:val="clear" w:color="auto" w:fill="auto"/>
            <w:vAlign w:val="center"/>
          </w:tcPr>
          <w:p>
            <w:pPr>
              <w:rPr>
                <w:rFonts w:ascii="宋体" w:hAnsi="宋体" w:cs="宋体"/>
                <w:sz w:val="24"/>
                <w:highlight w:val="none"/>
              </w:rPr>
            </w:pPr>
            <w:r>
              <w:rPr>
                <w:rFonts w:hint="eastAsia" w:ascii="宋体" w:hAnsi="宋体" w:cs="宋体"/>
                <w:sz w:val="24"/>
                <w:highlight w:val="none"/>
              </w:rPr>
              <w:t>一式捌份，双方各执肆份。</w:t>
            </w:r>
          </w:p>
        </w:tc>
      </w:tr>
    </w:tbl>
    <w:p>
      <w:pPr>
        <w:spacing w:line="360" w:lineRule="auto"/>
        <w:ind w:left="-420" w:leftChars="-200" w:right="-420" w:rightChars="-200" w:firstLine="480" w:firstLineChars="200"/>
        <w:rPr>
          <w:rFonts w:ascii="宋体" w:hAnsi="宋体" w:cs="宋体"/>
          <w:sz w:val="24"/>
          <w:highlight w:val="none"/>
        </w:rPr>
      </w:pPr>
    </w:p>
    <w:p>
      <w:pPr>
        <w:spacing w:line="360" w:lineRule="auto"/>
        <w:ind w:left="-420" w:leftChars="-200" w:right="-420" w:rightChars="-200"/>
        <w:rPr>
          <w:rFonts w:ascii="宋体" w:hAnsi="宋体" w:cs="宋体"/>
          <w:sz w:val="24"/>
          <w:highlight w:val="none"/>
        </w:rPr>
      </w:pPr>
    </w:p>
    <w:p>
      <w:pPr>
        <w:rPr>
          <w:rFonts w:ascii="宋体" w:hAnsi="宋体" w:cs="宋体"/>
          <w:sz w:val="24"/>
          <w:highlight w:val="none"/>
        </w:rPr>
      </w:pPr>
      <w:r>
        <w:rPr>
          <w:rFonts w:ascii="宋体" w:hAnsi="宋体" w:cs="宋体"/>
          <w:sz w:val="24"/>
          <w:highlight w:val="none"/>
        </w:rPr>
        <w:br w:type="page"/>
      </w:r>
    </w:p>
    <w:p>
      <w:pPr>
        <w:pStyle w:val="3"/>
        <w:rPr>
          <w:highlight w:val="none"/>
        </w:rPr>
      </w:pPr>
    </w:p>
    <w:p>
      <w:pPr>
        <w:spacing w:line="360" w:lineRule="auto"/>
        <w:ind w:left="720" w:firstLine="723" w:firstLineChars="200"/>
        <w:outlineLvl w:val="0"/>
        <w:rPr>
          <w:rFonts w:ascii="宋体" w:hAnsi="宋体" w:cs="宋体"/>
          <w:b/>
          <w:sz w:val="36"/>
          <w:szCs w:val="20"/>
          <w:highlight w:val="none"/>
        </w:rPr>
      </w:pPr>
      <w:r>
        <w:rPr>
          <w:rFonts w:hint="eastAsia" w:ascii="宋体" w:hAnsi="宋体" w:cs="宋体"/>
          <w:b/>
          <w:sz w:val="36"/>
          <w:szCs w:val="20"/>
          <w:highlight w:val="none"/>
        </w:rPr>
        <w:t>第六部分</w:t>
      </w:r>
      <w:bookmarkEnd w:id="400"/>
      <w:bookmarkEnd w:id="401"/>
      <w:r>
        <w:rPr>
          <w:rFonts w:hint="eastAsia" w:ascii="宋体" w:hAnsi="宋体" w:cs="宋体"/>
          <w:b/>
          <w:sz w:val="36"/>
          <w:szCs w:val="20"/>
          <w:highlight w:val="none"/>
        </w:rPr>
        <w:t>应提交的有关格式范例</w:t>
      </w:r>
    </w:p>
    <w:p>
      <w:pPr>
        <w:spacing w:line="360" w:lineRule="auto"/>
        <w:jc w:val="center"/>
        <w:rPr>
          <w:rFonts w:ascii="宋体" w:hAnsi="宋体" w:cs="宋体"/>
          <w:b/>
          <w:kern w:val="0"/>
          <w:sz w:val="36"/>
          <w:szCs w:val="36"/>
          <w:highlight w:val="none"/>
        </w:rPr>
      </w:pPr>
    </w:p>
    <w:p>
      <w:pPr>
        <w:spacing w:line="360" w:lineRule="auto"/>
        <w:jc w:val="center"/>
        <w:outlineLvl w:val="1"/>
        <w:rPr>
          <w:rFonts w:ascii="宋体" w:hAnsi="宋体" w:cs="宋体"/>
          <w:b/>
          <w:kern w:val="0"/>
          <w:sz w:val="36"/>
          <w:szCs w:val="36"/>
          <w:highlight w:val="none"/>
        </w:rPr>
      </w:pPr>
      <w:r>
        <w:rPr>
          <w:rFonts w:hint="eastAsia" w:ascii="宋体" w:hAnsi="宋体" w:cs="宋体"/>
          <w:b/>
          <w:kern w:val="0"/>
          <w:sz w:val="36"/>
          <w:szCs w:val="36"/>
          <w:highlight w:val="none"/>
        </w:rPr>
        <w:t>资格文件部分</w:t>
      </w: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（1）符合参加政府采购活动应当具备的一般条件的承诺函……………（页码）</w:t>
      </w:r>
    </w:p>
    <w:p>
      <w:pPr>
        <w:snapToGrid w:val="0"/>
        <w:spacing w:line="360" w:lineRule="auto"/>
        <w:rPr>
          <w:rFonts w:ascii="宋体" w:hAnsi="宋体" w:cs="宋体"/>
          <w:sz w:val="24"/>
          <w:highlight w:val="none"/>
        </w:rPr>
      </w:pPr>
      <w:r>
        <w:rPr>
          <w:rFonts w:hint="eastAsia" w:ascii="宋体" w:hAnsi="宋体" w:cs="宋体"/>
          <w:snapToGrid w:val="0"/>
          <w:kern w:val="28"/>
          <w:sz w:val="24"/>
          <w:szCs w:val="20"/>
          <w:highlight w:val="none"/>
        </w:rPr>
        <w:t>（2）联合协议</w:t>
      </w:r>
      <w:r>
        <w:rPr>
          <w:rFonts w:hint="eastAsia" w:ascii="宋体" w:hAnsi="宋体" w:cs="宋体"/>
          <w:sz w:val="24"/>
          <w:highlight w:val="none"/>
        </w:rPr>
        <w:t>………………………………………………………………（页码）</w:t>
      </w:r>
    </w:p>
    <w:p>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）落实政府采购政策需满足的资格要求………………………………（页码）</w:t>
      </w:r>
    </w:p>
    <w:p>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）本项目的特定资格要求………………………………………………（页码）</w:t>
      </w:r>
    </w:p>
    <w:p>
      <w:pPr>
        <w:snapToGrid w:val="0"/>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snapToGrid w:val="0"/>
        <w:spacing w:line="360" w:lineRule="auto"/>
        <w:ind w:right="480"/>
        <w:jc w:val="center"/>
        <w:outlineLvl w:val="2"/>
        <w:rPr>
          <w:rFonts w:ascii="宋体" w:hAnsi="宋体" w:cs="宋体"/>
          <w:b/>
          <w:kern w:val="0"/>
          <w:sz w:val="32"/>
          <w:szCs w:val="32"/>
          <w:highlight w:val="none"/>
        </w:rPr>
      </w:pPr>
      <w:r>
        <w:rPr>
          <w:rFonts w:hint="eastAsia" w:ascii="宋体" w:hAnsi="宋体" w:cs="宋体"/>
          <w:kern w:val="0"/>
          <w:sz w:val="24"/>
          <w:highlight w:val="none"/>
        </w:rPr>
        <w:br w:type="page"/>
      </w:r>
      <w:r>
        <w:rPr>
          <w:rFonts w:hint="eastAsia" w:ascii="宋体" w:hAnsi="宋体" w:cs="宋体"/>
          <w:b/>
          <w:kern w:val="0"/>
          <w:sz w:val="32"/>
          <w:szCs w:val="32"/>
          <w:highlight w:val="none"/>
        </w:rPr>
        <w:t>一、 符合参加政府采购活动应当具备的一般条件的承诺函</w:t>
      </w:r>
    </w:p>
    <w:p>
      <w:pPr>
        <w:snapToGrid w:val="0"/>
        <w:spacing w:line="360" w:lineRule="auto"/>
        <w:rPr>
          <w:rFonts w:ascii="宋体" w:hAnsi="宋体" w:cs="宋体"/>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sz w:val="24"/>
          <w:highlight w:val="none"/>
        </w:rPr>
        <w:t>：</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我方参与</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】政府采购活动，郑重承诺：</w:t>
      </w:r>
    </w:p>
    <w:p>
      <w:pPr>
        <w:snapToGrid w:val="0"/>
        <w:spacing w:line="360" w:lineRule="auto"/>
        <w:ind w:firstLine="360" w:firstLineChars="150"/>
        <w:rPr>
          <w:rFonts w:ascii="宋体" w:hAnsi="宋体" w:cs="宋体"/>
          <w:sz w:val="24"/>
          <w:highlight w:val="none"/>
        </w:rPr>
      </w:pPr>
      <w:r>
        <w:rPr>
          <w:rFonts w:hint="eastAsia" w:ascii="宋体" w:hAnsi="宋体" w:cs="宋体"/>
          <w:sz w:val="24"/>
          <w:highlight w:val="none"/>
        </w:rPr>
        <w:t>（一）具备《中华人民共和国政府采购法》第二十二条第一款规定的条件：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1、具有独立承担民事责任的能力；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2、具有良好的商业信誉和健全的财务会计制度； </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3、具有履行合同所必需的设备和专业技术能力；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4、有依法缴纳税收和社会保障资金的良好记录；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6、具有法律、行政法规规定的其他条件。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（三）不存在以下情况：</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月日</w:t>
      </w:r>
    </w:p>
    <w:p>
      <w:pPr>
        <w:tabs>
          <w:tab w:val="left" w:pos="432"/>
        </w:tabs>
        <w:rPr>
          <w:highlight w:val="none"/>
        </w:rPr>
      </w:pPr>
    </w:p>
    <w:p>
      <w:pPr>
        <w:snapToGrid w:val="0"/>
        <w:spacing w:line="360" w:lineRule="auto"/>
        <w:ind w:right="480" w:firstLine="559" w:firstLineChars="233"/>
        <w:jc w:val="left"/>
        <w:rPr>
          <w:rFonts w:ascii="宋体" w:hAnsi="宋体" w:cs="宋体"/>
          <w:b/>
          <w:kern w:val="0"/>
          <w:sz w:val="32"/>
          <w:szCs w:val="32"/>
          <w:highlight w:val="none"/>
        </w:rPr>
      </w:pPr>
      <w:r>
        <w:rPr>
          <w:rFonts w:hint="eastAsia" w:cs="仿宋_GB2312" w:asciiTheme="minorEastAsia" w:hAnsiTheme="minorEastAsia" w:eastAsiaTheme="minorEastAsia"/>
          <w:sz w:val="24"/>
          <w:highlight w:val="none"/>
        </w:rPr>
        <w:t>注：根据《</w:t>
      </w:r>
      <w:r>
        <w:rPr>
          <w:rFonts w:cs="仿宋_GB2312" w:asciiTheme="minorEastAsia" w:hAnsiTheme="minorEastAsia" w:eastAsiaTheme="minorEastAsia"/>
          <w:sz w:val="24"/>
          <w:highlight w:val="none"/>
        </w:rPr>
        <w:t>关于规范政府采购供应商资格设定及资格审查的通知</w:t>
      </w:r>
      <w:r>
        <w:rPr>
          <w:rFonts w:hint="eastAsia" w:cs="仿宋_GB2312" w:asciiTheme="minorEastAsia" w:hAnsiTheme="minorEastAsia" w:eastAsiaTheme="minorEastAsia"/>
          <w:sz w:val="24"/>
          <w:highlight w:val="none"/>
        </w:rPr>
        <w:t>》（</w:t>
      </w:r>
      <w:r>
        <w:rPr>
          <w:rFonts w:cs="仿宋_GB2312" w:asciiTheme="minorEastAsia" w:hAnsiTheme="minorEastAsia" w:eastAsiaTheme="minorEastAsia"/>
          <w:sz w:val="24"/>
          <w:highlight w:val="none"/>
        </w:rPr>
        <w:t>浙财采监[2013]24号</w:t>
      </w:r>
      <w:r>
        <w:rPr>
          <w:rFonts w:hint="eastAsia" w:cs="仿宋_GB2312" w:asciiTheme="minorEastAsia" w:hAnsiTheme="minorEastAsia" w:eastAsiaTheme="minorEastAsia"/>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rPr>
          <w:rFonts w:ascii="宋体" w:hAnsi="宋体" w:cs="宋体"/>
          <w:highlight w:val="none"/>
        </w:rPr>
      </w:pPr>
    </w:p>
    <w:p>
      <w:pPr>
        <w:widowControl/>
        <w:spacing w:line="360" w:lineRule="auto"/>
        <w:ind w:firstLine="643" w:firstLineChars="200"/>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二、联合协议</w:t>
      </w:r>
      <w:r>
        <w:rPr>
          <w:rFonts w:hint="eastAsia" w:ascii="宋体" w:hAnsi="宋体" w:cs="宋体"/>
          <w:b/>
          <w:color w:val="000000" w:themeColor="text1"/>
          <w:kern w:val="0"/>
          <w:sz w:val="32"/>
          <w:szCs w:val="32"/>
          <w:highlight w:val="none"/>
          <w14:textFill>
            <w14:solidFill>
              <w14:schemeClr w14:val="tx1"/>
            </w14:solidFill>
          </w14:textFill>
        </w:rPr>
        <w:t>（如果有）</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pPr>
        <w:spacing w:line="360" w:lineRule="auto"/>
        <w:rPr>
          <w:rFonts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.专门面向中小企业，货物全部由符合政策要求的中小企业（或小微企业）制造的，提供相应的中小企业声明函（附件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pPr>
        <w:widowControl/>
        <w:spacing w:line="360" w:lineRule="auto"/>
        <w:ind w:firstLine="480"/>
        <w:jc w:val="left"/>
        <w:rPr>
          <w:rFonts w:ascii="宋体" w:hAnsi="宋体" w:cs="宋体"/>
          <w:sz w:val="24"/>
          <w:highlight w:val="none"/>
        </w:rPr>
      </w:pPr>
    </w:p>
    <w:p>
      <w:pPr>
        <w:widowControl/>
        <w:spacing w:line="360" w:lineRule="auto"/>
        <w:ind w:firstLine="472" w:firstLineChars="196"/>
        <w:jc w:val="left"/>
        <w:rPr>
          <w:rFonts w:ascii="宋体" w:hAnsi="宋体" w:cs="宋体"/>
          <w:sz w:val="24"/>
          <w:highlight w:val="none"/>
        </w:rPr>
      </w:pPr>
      <w:r>
        <w:rPr>
          <w:rFonts w:hint="eastAsia" w:ascii="宋体" w:hAnsi="宋体" w:cs="宋体"/>
          <w:b/>
          <w:sz w:val="24"/>
          <w:highlight w:val="none"/>
        </w:rPr>
        <w:t>B.</w:t>
      </w:r>
      <w:r>
        <w:rPr>
          <w:rFonts w:hint="eastAsia" w:ascii="宋体" w:hAnsi="宋体" w:cs="宋体"/>
          <w:sz w:val="24"/>
          <w:highlight w:val="none"/>
        </w:rPr>
        <w:t>要求以联合体形式参加的，提供联合协议（附件</w:t>
      </w:r>
      <w:r>
        <w:rPr>
          <w:rFonts w:ascii="宋体" w:hAnsi="宋体" w:cs="宋体"/>
          <w:sz w:val="24"/>
          <w:highlight w:val="none"/>
        </w:rPr>
        <w:t>5</w:t>
      </w:r>
      <w:r>
        <w:rPr>
          <w:rFonts w:hint="eastAsia" w:ascii="宋体" w:hAnsi="宋体" w:cs="宋体"/>
          <w:sz w:val="24"/>
          <w:highlight w:val="none"/>
        </w:rPr>
        <w:t>）和中小企业声明函（附件</w:t>
      </w:r>
      <w:r>
        <w:rPr>
          <w:rFonts w:ascii="宋体" w:hAnsi="宋体" w:cs="宋体"/>
          <w:sz w:val="24"/>
          <w:highlight w:val="none"/>
        </w:rPr>
        <w:t>7</w:t>
      </w:r>
      <w:r>
        <w:rPr>
          <w:rFonts w:hint="eastAsia" w:ascii="宋体" w:hAnsi="宋体" w:cs="宋体"/>
          <w:sz w:val="24"/>
          <w:highlight w:val="none"/>
        </w:rPr>
        <w:t>），联合协议中中小企业合同金额应当达到招标公告载明的比例；如果供应商本身提供所有标的均由中小企业制造的，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highlight w:val="none"/>
        </w:rPr>
      </w:pP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C、</w:t>
      </w:r>
      <w:r>
        <w:rPr>
          <w:rFonts w:hint="eastAsia" w:ascii="宋体" w:hAnsi="宋体" w:cs="宋体"/>
          <w:sz w:val="24"/>
          <w:highlight w:val="none"/>
        </w:rPr>
        <w:t>要求合同分包的，提供分包意向协议（附件6）和中小企业声明函（附件</w:t>
      </w:r>
      <w:r>
        <w:rPr>
          <w:rFonts w:ascii="宋体" w:hAnsi="宋体" w:cs="宋体"/>
          <w:sz w:val="24"/>
          <w:highlight w:val="none"/>
        </w:rPr>
        <w:t>7</w:t>
      </w:r>
      <w:r>
        <w:rPr>
          <w:rFonts w:hint="eastAsia" w:ascii="宋体" w:hAnsi="宋体" w:cs="宋体"/>
          <w:sz w:val="24"/>
          <w:highlight w:val="none"/>
        </w:rPr>
        <w:t>），分包意向协议中中小企业合同金额应当达到招标公告载明的比例；如果供应商本身提供所有标的均由中小企业制造的，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视同符合了资格条件，无需再向中小企业分包，无需提供分包意向协议。</w:t>
      </w:r>
    </w:p>
    <w:p>
      <w:pPr>
        <w:widowControl/>
        <w:spacing w:line="360" w:lineRule="auto"/>
        <w:ind w:left="150"/>
        <w:jc w:val="center"/>
        <w:rPr>
          <w:rFonts w:ascii="宋体" w:hAnsi="宋体" w:cs="宋体"/>
          <w:b/>
          <w:kern w:val="0"/>
          <w:sz w:val="32"/>
          <w:szCs w:val="32"/>
          <w:highlight w:val="none"/>
        </w:rPr>
      </w:pPr>
    </w:p>
    <w:p>
      <w:pPr>
        <w:widowControl/>
        <w:spacing w:line="360" w:lineRule="auto"/>
        <w:ind w:left="150"/>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四、本项目的特定资格</w:t>
      </w:r>
      <w:r>
        <w:rPr>
          <w:rFonts w:hint="eastAsia" w:ascii="宋体" w:hAnsi="宋体" w:cs="宋体"/>
          <w:b/>
          <w:color w:val="000000" w:themeColor="text1"/>
          <w:kern w:val="0"/>
          <w:sz w:val="32"/>
          <w:szCs w:val="32"/>
          <w:highlight w:val="none"/>
          <w14:textFill>
            <w14:solidFill>
              <w14:schemeClr w14:val="tx1"/>
            </w14:solidFill>
          </w14:textFill>
        </w:rPr>
        <w:t>要求（如果有）</w:t>
      </w:r>
    </w:p>
    <w:p>
      <w:pPr>
        <w:spacing w:line="360" w:lineRule="auto"/>
        <w:jc w:val="center"/>
        <w:rPr>
          <w:rFonts w:ascii="宋体" w:hAnsi="宋体" w:cs="宋体"/>
          <w:sz w:val="24"/>
          <w:highlight w:val="none"/>
        </w:rPr>
      </w:pPr>
      <w:r>
        <w:rPr>
          <w:rFonts w:hint="eastAsia" w:ascii="宋体" w:hAnsi="宋体" w:cs="宋体"/>
          <w:sz w:val="24"/>
          <w:highlight w:val="none"/>
        </w:rPr>
        <w:t>（根据招标公告本项目的特定资格要求提供相应的材料；未要求的，无需提供）</w:t>
      </w:r>
    </w:p>
    <w:p>
      <w:pPr>
        <w:rPr>
          <w:rFonts w:ascii="宋体" w:hAnsi="宋体" w:cs="宋体"/>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pacing w:line="360" w:lineRule="auto"/>
        <w:ind w:right="420" w:firstLine="3614" w:firstLineChars="1000"/>
        <w:outlineLvl w:val="1"/>
        <w:rPr>
          <w:rFonts w:ascii="宋体" w:hAnsi="宋体" w:cs="宋体"/>
          <w:b/>
          <w:kern w:val="0"/>
          <w:sz w:val="36"/>
          <w:szCs w:val="36"/>
          <w:highlight w:val="none"/>
        </w:rPr>
      </w:pPr>
      <w:r>
        <w:rPr>
          <w:rFonts w:hint="eastAsia" w:ascii="宋体" w:hAnsi="宋体" w:cs="宋体"/>
          <w:b/>
          <w:kern w:val="0"/>
          <w:sz w:val="36"/>
          <w:szCs w:val="36"/>
          <w:highlight w:val="none"/>
        </w:rPr>
        <w:t>商务技术文件部分</w:t>
      </w:r>
    </w:p>
    <w:p>
      <w:pPr>
        <w:spacing w:line="360" w:lineRule="auto"/>
        <w:jc w:val="center"/>
        <w:rPr>
          <w:rFonts w:ascii="宋体" w:hAnsi="宋体" w:cs="宋体"/>
          <w:b/>
          <w:kern w:val="0"/>
          <w:sz w:val="28"/>
          <w:szCs w:val="28"/>
          <w:highlight w:val="none"/>
        </w:rPr>
      </w:pPr>
      <w:r>
        <w:rPr>
          <w:rFonts w:hint="eastAsia" w:ascii="宋体" w:hAnsi="宋体" w:cs="宋体"/>
          <w:b/>
          <w:kern w:val="0"/>
          <w:sz w:val="28"/>
          <w:szCs w:val="28"/>
          <w:highlight w:val="none"/>
        </w:rPr>
        <w:t>目录</w:t>
      </w:r>
    </w:p>
    <w:p>
      <w:pPr>
        <w:snapToGrid w:val="0"/>
        <w:spacing w:line="360" w:lineRule="auto"/>
        <w:ind w:left="479" w:leftChars="228"/>
        <w:rPr>
          <w:rFonts w:ascii="宋体" w:hAnsi="宋体" w:cs="宋体"/>
          <w:highlight w:val="none"/>
        </w:rPr>
      </w:pPr>
      <w:r>
        <w:rPr>
          <w:rFonts w:hint="eastAsia" w:ascii="宋体" w:hAnsi="宋体" w:cs="宋体"/>
          <w:sz w:val="24"/>
          <w:highlight w:val="none"/>
        </w:rPr>
        <w:t>（1）投标函</w:t>
      </w:r>
      <w:r>
        <w:rPr>
          <w:rFonts w:hint="eastAsia" w:ascii="宋体" w:hAnsi="宋体" w:cs="宋体"/>
          <w:highlight w:val="none"/>
        </w:rPr>
        <w:t>…………………………………………………………………………………（页码）</w:t>
      </w:r>
      <w:r>
        <w:rPr>
          <w:rFonts w:hint="eastAsia" w:ascii="宋体" w:hAnsi="宋体" w:cs="宋体"/>
          <w:sz w:val="24"/>
          <w:highlight w:val="none"/>
        </w:rPr>
        <w:t>（2）授权委托书或法定代表人（单位负责人、自然人本人）身份证明</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highlight w:val="none"/>
        </w:rPr>
        <w:t>…………………………………………………………………………（页码）</w:t>
      </w:r>
    </w:p>
    <w:p>
      <w:pPr>
        <w:snapToGrid w:val="0"/>
        <w:spacing w:line="360" w:lineRule="auto"/>
        <w:ind w:firstLine="480" w:firstLineChars="200"/>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）符合性审查资料</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5</w:t>
      </w:r>
      <w:r>
        <w:rPr>
          <w:rFonts w:hint="eastAsia" w:ascii="宋体" w:hAnsi="宋体" w:cs="宋体"/>
          <w:sz w:val="24"/>
          <w:highlight w:val="none"/>
        </w:rPr>
        <w:t>）评标标准相应的商务技术资料</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6</w:t>
      </w:r>
      <w:r>
        <w:rPr>
          <w:rFonts w:hint="eastAsia" w:ascii="宋体" w:hAnsi="宋体" w:cs="宋体"/>
          <w:sz w:val="24"/>
          <w:highlight w:val="none"/>
        </w:rPr>
        <w:t>）投标标的清单</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7</w:t>
      </w:r>
      <w:r>
        <w:rPr>
          <w:rFonts w:hint="eastAsia" w:ascii="宋体" w:hAnsi="宋体" w:cs="宋体"/>
          <w:sz w:val="24"/>
          <w:highlight w:val="none"/>
        </w:rPr>
        <w:t>）商务技术偏离表</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r>
        <w:rPr>
          <w:rFonts w:hint="eastAsia" w:ascii="宋体" w:hAnsi="宋体" w:cs="宋体"/>
          <w:highlight w:val="none"/>
        </w:rPr>
        <w:t>…………………………………………………（页码）</w:t>
      </w: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rPr>
      </w:pPr>
    </w:p>
    <w:p>
      <w:pPr>
        <w:snapToGrid w:val="0"/>
        <w:spacing w:line="360" w:lineRule="auto"/>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jc w:val="center"/>
        <w:rPr>
          <w:rFonts w:ascii="宋体" w:hAnsi="宋体" w:cs="宋体"/>
          <w:b/>
          <w:kern w:val="0"/>
          <w:sz w:val="32"/>
          <w:szCs w:val="32"/>
          <w:highlight w:val="none"/>
        </w:rPr>
      </w:pPr>
    </w:p>
    <w:p>
      <w:pPr>
        <w:snapToGrid w:val="0"/>
        <w:spacing w:line="360" w:lineRule="auto"/>
        <w:jc w:val="center"/>
        <w:rPr>
          <w:rFonts w:ascii="宋体" w:hAnsi="宋体" w:cs="宋体"/>
          <w:b/>
          <w:kern w:val="0"/>
          <w:sz w:val="32"/>
          <w:szCs w:val="32"/>
          <w:highlight w:val="none"/>
        </w:rPr>
      </w:pPr>
    </w:p>
    <w:p>
      <w:pPr>
        <w:tabs>
          <w:tab w:val="left" w:pos="432"/>
        </w:tabs>
        <w:rPr>
          <w:highlight w:val="none"/>
        </w:rPr>
      </w:pPr>
    </w:p>
    <w:p>
      <w:pPr>
        <w:rPr>
          <w:highlight w:val="none"/>
        </w:rPr>
      </w:pPr>
    </w:p>
    <w:p>
      <w:pPr>
        <w:snapToGrid w:val="0"/>
        <w:spacing w:line="360" w:lineRule="auto"/>
        <w:ind w:firstLine="3855" w:firstLineChars="1200"/>
        <w:rPr>
          <w:rFonts w:ascii="宋体" w:hAnsi="宋体" w:cs="宋体"/>
          <w:b/>
          <w:kern w:val="0"/>
          <w:sz w:val="32"/>
          <w:szCs w:val="32"/>
          <w:highlight w:val="none"/>
        </w:rPr>
      </w:pPr>
    </w:p>
    <w:p>
      <w:pPr>
        <w:snapToGrid w:val="0"/>
        <w:spacing w:line="360" w:lineRule="auto"/>
        <w:ind w:firstLine="3855" w:firstLineChars="1200"/>
        <w:rPr>
          <w:rFonts w:ascii="宋体" w:hAnsi="宋体" w:cs="宋体"/>
          <w:b/>
          <w:kern w:val="0"/>
          <w:sz w:val="32"/>
          <w:szCs w:val="32"/>
          <w:highlight w:val="none"/>
        </w:rPr>
      </w:pPr>
    </w:p>
    <w:p>
      <w:pPr>
        <w:snapToGrid w:val="0"/>
        <w:spacing w:line="360" w:lineRule="auto"/>
        <w:ind w:firstLine="3855" w:firstLineChars="1200"/>
        <w:rPr>
          <w:rFonts w:ascii="宋体" w:hAnsi="宋体" w:cs="宋体"/>
          <w:b/>
          <w:kern w:val="0"/>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napToGrid w:val="0"/>
        <w:spacing w:line="360" w:lineRule="auto"/>
        <w:ind w:firstLine="3855" w:firstLineChars="1200"/>
        <w:outlineLvl w:val="2"/>
        <w:rPr>
          <w:rFonts w:ascii="宋体" w:hAnsi="宋体" w:cs="宋体"/>
          <w:b/>
          <w:sz w:val="32"/>
          <w:szCs w:val="32"/>
          <w:highlight w:val="none"/>
        </w:rPr>
      </w:pPr>
      <w:r>
        <w:rPr>
          <w:rFonts w:hint="eastAsia" w:ascii="宋体" w:hAnsi="宋体" w:cs="宋体"/>
          <w:b/>
          <w:kern w:val="0"/>
          <w:sz w:val="32"/>
          <w:szCs w:val="32"/>
          <w:highlight w:val="none"/>
        </w:rPr>
        <w:t>一、投标</w:t>
      </w:r>
      <w:r>
        <w:rPr>
          <w:rFonts w:hint="eastAsia" w:ascii="宋体" w:hAnsi="宋体" w:cs="宋体"/>
          <w:b/>
          <w:sz w:val="32"/>
          <w:szCs w:val="32"/>
          <w:highlight w:val="none"/>
        </w:rPr>
        <w:t>函</w:t>
      </w:r>
    </w:p>
    <w:p>
      <w:pPr>
        <w:snapToGrid w:val="0"/>
        <w:spacing w:line="360" w:lineRule="auto"/>
        <w:rPr>
          <w:rFonts w:ascii="宋体" w:hAnsi="宋体" w:cs="宋体"/>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sz w:val="24"/>
          <w:highlight w:val="none"/>
        </w:rPr>
        <w:t>：</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我方参加你方组织的</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】招标的有关活动，并对此项目进行投标。为此：</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1、我方承诺投标有效期从提交投标文件的截止之日起天（不少于90天）</w:t>
      </w:r>
      <w:r>
        <w:rPr>
          <w:rFonts w:hint="eastAsia" w:ascii="宋体" w:hAnsi="宋体" w:cs="宋体"/>
          <w:highlight w:val="none"/>
        </w:rPr>
        <w:t>，</w:t>
      </w:r>
      <w:r>
        <w:rPr>
          <w:rFonts w:hint="eastAsia" w:ascii="宋体" w:hAnsi="宋体" w:cs="宋体"/>
          <w:sz w:val="24"/>
          <w:highlight w:val="none"/>
        </w:rPr>
        <w:t>本投标文件在投标有效期满之前均具有约束力。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2、我方的投标文件包括以下内容：</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2.1资格文件：</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2.1.1承诺函；</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2.1.2</w:t>
      </w:r>
      <w:r>
        <w:rPr>
          <w:rFonts w:hint="eastAsia" w:ascii="宋体" w:hAnsi="宋体" w:cs="宋体"/>
          <w:snapToGrid w:val="0"/>
          <w:kern w:val="28"/>
          <w:sz w:val="24"/>
          <w:szCs w:val="20"/>
          <w:highlight w:val="none"/>
        </w:rPr>
        <w:t>联合协议</w:t>
      </w:r>
      <w:r>
        <w:rPr>
          <w:rFonts w:hint="eastAsia" w:ascii="宋体" w:hAnsi="宋体" w:cs="宋体"/>
          <w:snapToGrid w:val="0"/>
          <w:color w:val="FF0000"/>
          <w:kern w:val="28"/>
          <w:sz w:val="24"/>
          <w:szCs w:val="20"/>
          <w:highlight w:val="none"/>
        </w:rPr>
        <w:t>（如果有)</w:t>
      </w:r>
      <w:r>
        <w:rPr>
          <w:rFonts w:hint="eastAsia" w:ascii="宋体" w:hAnsi="宋体" w:cs="宋体"/>
          <w:snapToGrid w:val="0"/>
          <w:kern w:val="28"/>
          <w:sz w:val="24"/>
          <w:szCs w:val="20"/>
          <w:highlight w:val="none"/>
        </w:rPr>
        <w:t>；</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.1.3</w:t>
      </w:r>
      <w:r>
        <w:rPr>
          <w:rFonts w:hint="eastAsia" w:ascii="宋体" w:hAnsi="宋体" w:cs="宋体"/>
          <w:sz w:val="24"/>
          <w:highlight w:val="none"/>
        </w:rPr>
        <w:t>落实政府采购政策需满足的资格要求</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left="210" w:leftChars="100"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2商务技术</w:t>
      </w:r>
      <w:r>
        <w:rPr>
          <w:rFonts w:hint="eastAsia" w:ascii="宋体" w:hAnsi="宋体" w:cs="宋体"/>
          <w:sz w:val="24"/>
          <w:highlight w:val="none"/>
          <w:lang w:val="zh-CN"/>
        </w:rPr>
        <w:t>文件：</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2.2.1投标函；</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snapToGrid w:val="0"/>
          <w:color w:val="FF0000"/>
          <w:kern w:val="28"/>
          <w:sz w:val="24"/>
          <w:szCs w:val="20"/>
          <w:highlight w:val="none"/>
        </w:rPr>
        <w:t>（如果有）</w:t>
      </w:r>
      <w:r>
        <w:rPr>
          <w:rFonts w:hint="eastAsia" w:ascii="宋体" w:hAnsi="宋体" w:cs="宋体"/>
          <w:sz w:val="24"/>
          <w:highlight w:val="none"/>
        </w:rPr>
        <w:t>；</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4</w:t>
      </w:r>
      <w:r>
        <w:rPr>
          <w:rFonts w:hint="eastAsia" w:ascii="宋体" w:hAnsi="宋体" w:cs="宋体"/>
          <w:sz w:val="24"/>
          <w:highlight w:val="none"/>
        </w:rPr>
        <w:t>符合性审查资料；</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5</w:t>
      </w:r>
      <w:r>
        <w:rPr>
          <w:rFonts w:hint="eastAsia" w:ascii="宋体" w:hAnsi="宋体" w:cs="宋体"/>
          <w:sz w:val="24"/>
          <w:highlight w:val="none"/>
        </w:rPr>
        <w:t>评标标准相应的商务技术资料；</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6</w:t>
      </w:r>
      <w:r>
        <w:rPr>
          <w:rFonts w:hint="eastAsia" w:ascii="宋体" w:hAnsi="宋体" w:cs="宋体"/>
          <w:sz w:val="24"/>
          <w:highlight w:val="none"/>
        </w:rPr>
        <w:t>投标标的清单；</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7</w:t>
      </w:r>
      <w:r>
        <w:rPr>
          <w:rFonts w:hint="eastAsia" w:ascii="宋体" w:hAnsi="宋体" w:cs="宋体"/>
          <w:sz w:val="24"/>
          <w:highlight w:val="none"/>
        </w:rPr>
        <w:t>商务技术偏离表；</w:t>
      </w:r>
    </w:p>
    <w:p>
      <w:pPr>
        <w:snapToGrid w:val="0"/>
        <w:spacing w:line="360" w:lineRule="auto"/>
        <w:ind w:left="420" w:leftChars="200"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3报价文件</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2.3.1开标一览表（报价表）；</w:t>
      </w:r>
    </w:p>
    <w:p>
      <w:pPr>
        <w:snapToGrid w:val="0"/>
        <w:spacing w:line="360" w:lineRule="auto"/>
        <w:ind w:left="420" w:leftChars="200" w:firstLine="480" w:firstLineChars="200"/>
        <w:rPr>
          <w:rFonts w:ascii="宋体" w:hAnsi="宋体" w:cs="宋体"/>
          <w:color w:val="FF0000"/>
          <w:sz w:val="24"/>
          <w:highlight w:val="none"/>
        </w:rPr>
      </w:pPr>
      <w:r>
        <w:rPr>
          <w:rFonts w:hint="eastAsia" w:ascii="宋体" w:hAnsi="宋体" w:cs="宋体"/>
          <w:color w:val="FF0000"/>
          <w:sz w:val="24"/>
          <w:highlight w:val="none"/>
        </w:rPr>
        <w:t>2.3.2中小企业声明函（如果有）。</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4、如我方中标，我方承诺：</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5、其他补充说明:。</w:t>
      </w:r>
    </w:p>
    <w:p>
      <w:pPr>
        <w:spacing w:line="360"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60" w:lineRule="auto"/>
        <w:jc w:val="center"/>
        <w:rPr>
          <w:rFonts w:ascii="宋体" w:hAnsi="宋体" w:cs="宋体"/>
          <w:sz w:val="24"/>
          <w:highlight w:val="none"/>
        </w:rPr>
      </w:pPr>
      <w:r>
        <w:rPr>
          <w:rFonts w:hint="eastAsia" w:ascii="宋体" w:hAnsi="宋体" w:cs="宋体"/>
          <w:sz w:val="24"/>
          <w:highlight w:val="none"/>
        </w:rPr>
        <w:t xml:space="preserve">     日期：  年   月   日</w:t>
      </w:r>
    </w:p>
    <w:p>
      <w:pPr>
        <w:snapToGrid w:val="0"/>
        <w:spacing w:line="360" w:lineRule="auto"/>
        <w:ind w:left="420" w:leftChars="200" w:firstLine="4200" w:firstLineChars="1750"/>
        <w:rPr>
          <w:rFonts w:ascii="宋体" w:hAnsi="宋体" w:cs="宋体"/>
          <w:kern w:val="0"/>
          <w:sz w:val="24"/>
          <w:highlight w:val="none"/>
          <w:u w:val="singl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snapToGrid w:val="0"/>
        <w:spacing w:line="360" w:lineRule="auto"/>
        <w:jc w:val="center"/>
        <w:rPr>
          <w:rFonts w:ascii="宋体" w:hAnsi="宋体" w:cs="宋体"/>
          <w:b/>
          <w:kern w:val="0"/>
          <w:sz w:val="32"/>
          <w:szCs w:val="32"/>
          <w:highlight w:val="none"/>
        </w:rPr>
      </w:pPr>
    </w:p>
    <w:p>
      <w:pPr>
        <w:snapToGrid w:val="0"/>
        <w:spacing w:line="360" w:lineRule="auto"/>
        <w:rPr>
          <w:rFonts w:ascii="宋体" w:hAnsi="宋体" w:cs="宋体"/>
          <w:sz w:val="24"/>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jc w:val="center"/>
        <w:outlineLvl w:val="2"/>
        <w:rPr>
          <w:rFonts w:ascii="宋体" w:hAnsi="宋体" w:cs="宋体"/>
          <w:b/>
          <w:kern w:val="0"/>
          <w:sz w:val="32"/>
          <w:szCs w:val="32"/>
          <w:highlight w:val="none"/>
          <w:lang w:val="zh-CN"/>
        </w:rPr>
      </w:pPr>
      <w:r>
        <w:rPr>
          <w:rFonts w:hint="eastAsia" w:ascii="宋体" w:hAnsi="宋体" w:cs="宋体"/>
          <w:b/>
          <w:kern w:val="0"/>
          <w:sz w:val="32"/>
          <w:szCs w:val="32"/>
          <w:highlight w:val="none"/>
          <w:lang w:val="zh-CN"/>
        </w:rPr>
        <w:t>二、授权委托书或法定代表人（单位负责人、自然人本人）身份证明</w:t>
      </w:r>
    </w:p>
    <w:p>
      <w:pPr>
        <w:snapToGrid w:val="0"/>
        <w:spacing w:line="360" w:lineRule="auto"/>
        <w:rPr>
          <w:rFonts w:ascii="宋体" w:hAnsi="宋体" w:cs="宋体"/>
          <w:sz w:val="24"/>
          <w:highlight w:val="none"/>
        </w:rPr>
      </w:pPr>
    </w:p>
    <w:p>
      <w:pPr>
        <w:snapToGrid w:val="0"/>
        <w:spacing w:line="360" w:lineRule="auto"/>
        <w:ind w:firstLine="2872" w:firstLineChars="894"/>
        <w:rPr>
          <w:rFonts w:ascii="宋体" w:hAnsi="宋体" w:cs="宋体"/>
          <w:highlight w:val="none"/>
        </w:rPr>
      </w:pPr>
      <w:r>
        <w:rPr>
          <w:rFonts w:hint="eastAsia" w:ascii="宋体" w:hAnsi="宋体" w:cs="宋体"/>
          <w:b/>
          <w:kern w:val="0"/>
          <w:sz w:val="32"/>
          <w:szCs w:val="32"/>
          <w:highlight w:val="none"/>
          <w:lang w:val="zh-CN"/>
        </w:rPr>
        <w:t>授权委托书（适用于非联合体投标）</w:t>
      </w:r>
    </w:p>
    <w:p>
      <w:pPr>
        <w:snapToGrid w:val="0"/>
        <w:spacing w:line="360" w:lineRule="auto"/>
        <w:rPr>
          <w:rFonts w:ascii="宋体" w:hAnsi="宋体" w:cs="宋体"/>
          <w:kern w:val="0"/>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委托（姓名）为我方代理人（身份证号码：，手机：），以我方名义处理</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自年月日起至年月日止。</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特此告知。</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投标人名称(电子签名)：</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签发日期：  年  月   日</w:t>
      </w:r>
    </w:p>
    <w:p>
      <w:pPr>
        <w:snapToGrid w:val="0"/>
        <w:spacing w:line="360" w:lineRule="auto"/>
        <w:rPr>
          <w:rFonts w:ascii="宋体" w:hAnsi="宋体" w:cs="宋体"/>
          <w:sz w:val="24"/>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lang w:val="zh-CN"/>
        </w:rPr>
        <w:t>授权委托书（适用于联合体投标）</w:t>
      </w:r>
    </w:p>
    <w:p>
      <w:pPr>
        <w:snapToGrid w:val="0"/>
        <w:spacing w:line="360" w:lineRule="auto"/>
        <w:rPr>
          <w:rFonts w:ascii="宋体" w:hAnsi="宋体" w:cs="宋体"/>
          <w:kern w:val="0"/>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委托（姓名）为我方代理人（身份证号码：，手机：），以我方名义处理</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自年月日起至年月日止。</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特此告知。</w:t>
      </w:r>
    </w:p>
    <w:p>
      <w:pPr>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snapToGrid w:val="0"/>
        <w:spacing w:line="360" w:lineRule="auto"/>
        <w:ind w:firstLine="480" w:firstLineChars="200"/>
        <w:rPr>
          <w:rFonts w:ascii="宋体" w:hAnsi="宋体" w:cs="宋体"/>
          <w:kern w:val="0"/>
          <w:sz w:val="24"/>
          <w:highlight w:val="none"/>
          <w:lang w:val="zh-CN"/>
        </w:rPr>
      </w:pPr>
    </w:p>
    <w:p>
      <w:pPr>
        <w:snapToGrid w:val="0"/>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autoSpaceDE w:val="0"/>
        <w:autoSpaceDN w:val="0"/>
        <w:spacing w:line="360" w:lineRule="auto"/>
        <w:jc w:val="center"/>
        <w:rPr>
          <w:rFonts w:ascii="宋体" w:hAnsi="宋体" w:cs="宋体"/>
          <w:b/>
          <w:sz w:val="24"/>
          <w:highlight w:val="none"/>
        </w:rPr>
      </w:pPr>
      <w:r>
        <w:rPr>
          <w:rFonts w:hint="eastAsia" w:ascii="宋体" w:hAnsi="宋体" w:cs="宋体"/>
          <w:b/>
          <w:kern w:val="0"/>
          <w:sz w:val="32"/>
          <w:szCs w:val="32"/>
          <w:highlight w:val="none"/>
          <w:lang w:val="zh-CN"/>
        </w:rPr>
        <w:t>法定代表人、单位负责人或自然人本人</w:t>
      </w:r>
      <w:r>
        <w:rPr>
          <w:rFonts w:hint="eastAsia" w:ascii="宋体" w:hAnsi="宋体" w:cs="宋体"/>
          <w:b/>
          <w:sz w:val="30"/>
          <w:szCs w:val="30"/>
          <w:highlight w:val="none"/>
        </w:rPr>
        <w:t>的身份证明（适用于法定代表人、单位负责人或者自然人本人代表投标人参加投标）</w:t>
      </w:r>
    </w:p>
    <w:p>
      <w:pPr>
        <w:pStyle w:val="146"/>
        <w:spacing w:line="360" w:lineRule="auto"/>
        <w:rPr>
          <w:rFonts w:hAnsi="宋体" w:cs="宋体"/>
          <w:bCs/>
          <w:sz w:val="24"/>
          <w:highlight w:val="none"/>
        </w:rPr>
      </w:pPr>
      <w:r>
        <w:rPr>
          <w:rFonts w:hint="eastAsia" w:hAnsi="宋体" w:cs="宋体"/>
          <w:bCs/>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sz w:val="24"/>
                <w:highlight w:val="none"/>
              </w:rPr>
            </w:pPr>
            <w:r>
              <w:rPr>
                <w:rFonts w:hint="eastAsia" w:hAnsi="宋体" w:cs="宋体"/>
                <w:bCs/>
                <w:sz w:val="24"/>
                <w:highlight w:val="none"/>
              </w:rPr>
              <w:t>正面：                                 反面：</w:t>
            </w:r>
          </w:p>
          <w:p>
            <w:pPr>
              <w:pStyle w:val="146"/>
              <w:adjustRightInd w:val="0"/>
              <w:spacing w:line="360" w:lineRule="auto"/>
              <w:rPr>
                <w:rFonts w:hAnsi="宋体" w:cs="宋体"/>
                <w:bCs/>
                <w:sz w:val="24"/>
                <w:highlight w:val="none"/>
              </w:rPr>
            </w:pPr>
          </w:p>
        </w:tc>
      </w:tr>
    </w:tbl>
    <w:p>
      <w:pPr>
        <w:snapToGrid w:val="0"/>
        <w:spacing w:line="360" w:lineRule="auto"/>
        <w:ind w:firstLine="576"/>
        <w:jc w:val="center"/>
        <w:rPr>
          <w:rFonts w:ascii="宋体" w:hAnsi="宋体" w:cs="宋体"/>
          <w:kern w:val="0"/>
          <w:sz w:val="24"/>
          <w:highlight w:val="none"/>
          <w:lang w:val="zh-CN"/>
        </w:rPr>
      </w:pPr>
    </w:p>
    <w:p>
      <w:pPr>
        <w:snapToGrid w:val="0"/>
        <w:spacing w:line="360" w:lineRule="auto"/>
        <w:ind w:firstLine="576"/>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                              </w:t>
      </w:r>
    </w:p>
    <w:p>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snapToGrid w:val="0"/>
        <w:spacing w:line="360" w:lineRule="auto"/>
        <w:ind w:right="480"/>
        <w:rPr>
          <w:rFonts w:ascii="宋体" w:hAnsi="宋体" w:cs="宋体"/>
          <w:b/>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三、分包意向协议</w:t>
      </w:r>
      <w:r>
        <w:rPr>
          <w:rFonts w:hint="eastAsia" w:ascii="宋体" w:hAnsi="宋体" w:cs="宋体"/>
          <w:b/>
          <w:color w:val="FF0000"/>
          <w:kern w:val="0"/>
          <w:sz w:val="32"/>
          <w:szCs w:val="32"/>
          <w:highlight w:val="none"/>
        </w:rPr>
        <w:t>（如果有）</w:t>
      </w:r>
    </w:p>
    <w:p>
      <w:pPr>
        <w:widowControl/>
        <w:spacing w:line="360" w:lineRule="auto"/>
        <w:ind w:firstLine="120" w:firstLineChars="50"/>
        <w:jc w:val="left"/>
        <w:rPr>
          <w:rFonts w:ascii="宋体" w:hAnsi="宋体" w:cs="宋体"/>
          <w:sz w:val="24"/>
          <w:highlight w:val="none"/>
        </w:rPr>
      </w:pPr>
      <w:bookmarkStart w:id="558" w:name="_Hlk101169080"/>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中标后以分包方式履行合同的，提供分包意向协议(附件6</w:t>
      </w:r>
      <w:r>
        <w:rPr>
          <w:rFonts w:ascii="宋体" w:hAnsi="宋体" w:cs="宋体"/>
          <w:b/>
          <w:sz w:val="24"/>
          <w:highlight w:val="none"/>
        </w:rPr>
        <w:t>)</w:t>
      </w:r>
      <w:r>
        <w:rPr>
          <w:rFonts w:hint="eastAsia" w:ascii="宋体" w:hAnsi="宋体" w:cs="宋体"/>
          <w:b/>
          <w:sz w:val="24"/>
          <w:highlight w:val="none"/>
        </w:rPr>
        <w:t>；采购人不同意分包或者投标人中标后不以分包方式履行合同的，则不需要提供。</w:t>
      </w:r>
      <w:r>
        <w:rPr>
          <w:rFonts w:hint="eastAsia" w:ascii="宋体" w:hAnsi="宋体" w:cs="宋体"/>
          <w:sz w:val="24"/>
          <w:highlight w:val="none"/>
        </w:rPr>
        <w:t>]</w:t>
      </w:r>
    </w:p>
    <w:bookmarkEnd w:id="558"/>
    <w:p>
      <w:pPr>
        <w:snapToGrid w:val="0"/>
        <w:spacing w:line="360" w:lineRule="auto"/>
        <w:rPr>
          <w:rFonts w:ascii="宋体" w:hAnsi="宋体" w:cs="宋体"/>
          <w:kern w:val="0"/>
          <w:sz w:val="24"/>
          <w:highlight w:val="none"/>
        </w:rPr>
      </w:pPr>
    </w:p>
    <w:p>
      <w:pPr>
        <w:jc w:val="center"/>
        <w:rPr>
          <w:rFonts w:ascii="宋体" w:hAnsi="宋体" w:cs="宋体"/>
          <w:b/>
          <w:kern w:val="0"/>
          <w:sz w:val="32"/>
          <w:szCs w:val="32"/>
          <w:highlight w:val="none"/>
        </w:rPr>
      </w:pPr>
    </w:p>
    <w:p>
      <w:pPr>
        <w:tabs>
          <w:tab w:val="left" w:pos="432"/>
        </w:tabs>
        <w:rPr>
          <w:highlight w:val="none"/>
        </w:rPr>
      </w:pPr>
    </w:p>
    <w:p>
      <w:pPr>
        <w:rPr>
          <w:highlight w:val="none"/>
        </w:rPr>
      </w:pPr>
    </w:p>
    <w:p>
      <w:pPr>
        <w:tabs>
          <w:tab w:val="left" w:pos="432"/>
        </w:tabs>
        <w:rPr>
          <w:highlight w:val="none"/>
        </w:rPr>
      </w:pPr>
    </w:p>
    <w:p>
      <w:pPr>
        <w:jc w:val="center"/>
        <w:rPr>
          <w:rFonts w:ascii="宋体" w:hAnsi="宋体" w:cs="宋体"/>
          <w:b/>
          <w:kern w:val="0"/>
          <w:sz w:val="32"/>
          <w:szCs w:val="32"/>
          <w:highlight w:val="none"/>
        </w:rPr>
      </w:pPr>
    </w:p>
    <w:p>
      <w:pPr>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四、符合性审查资料</w:t>
      </w:r>
    </w:p>
    <w:p>
      <w:pPr>
        <w:jc w:val="center"/>
        <w:rPr>
          <w:rFonts w:ascii="宋体" w:hAnsi="宋体" w:cs="宋体"/>
          <w:b/>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序号</w:t>
            </w:r>
          </w:p>
        </w:tc>
        <w:tc>
          <w:tcPr>
            <w:tcW w:w="4991"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实质性要求</w:t>
            </w:r>
          </w:p>
        </w:tc>
        <w:tc>
          <w:tcPr>
            <w:tcW w:w="2551"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需要提供的符合性审查资料</w:t>
            </w:r>
          </w:p>
        </w:tc>
        <w:tc>
          <w:tcPr>
            <w:tcW w:w="1418"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投标文件中的</w:t>
            </w:r>
          </w:p>
          <w:p>
            <w:pPr>
              <w:snapToGrid w:val="0"/>
              <w:spacing w:line="240" w:lineRule="atLeast"/>
              <w:jc w:val="center"/>
              <w:rPr>
                <w:rFonts w:ascii="宋体" w:hAnsi="宋体" w:cs="宋体"/>
                <w:b/>
                <w:sz w:val="24"/>
                <w:highlight w:val="none"/>
              </w:rPr>
            </w:pPr>
            <w:r>
              <w:rPr>
                <w:rFonts w:hint="eastAsia" w:ascii="宋体" w:hAnsi="宋体" w:cs="宋体"/>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1</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投标文件按照招标文件要求签署、盖章。</w:t>
            </w:r>
          </w:p>
        </w:tc>
        <w:tc>
          <w:tcPr>
            <w:tcW w:w="2551" w:type="dxa"/>
            <w:vAlign w:val="center"/>
          </w:tcPr>
          <w:p>
            <w:pPr>
              <w:rPr>
                <w:rFonts w:ascii="宋体" w:hAnsi="宋体" w:cs="宋体"/>
                <w:sz w:val="24"/>
                <w:highlight w:val="none"/>
              </w:rPr>
            </w:pPr>
            <w:r>
              <w:rPr>
                <w:rFonts w:hint="eastAsia" w:ascii="宋体" w:hAnsi="宋体" w:cs="宋体"/>
                <w:sz w:val="24"/>
                <w:highlight w:val="none"/>
              </w:rPr>
              <w:t>需要使用电子签名或者签字盖章的投标文件的组成部分</w:t>
            </w:r>
          </w:p>
        </w:tc>
        <w:tc>
          <w:tcPr>
            <w:tcW w:w="1418" w:type="dxa"/>
          </w:tcPr>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见投标文件</w:t>
            </w:r>
          </w:p>
          <w:p>
            <w:pPr>
              <w:rPr>
                <w:rFonts w:ascii="宋体" w:hAnsi="宋体" w:cs="宋体"/>
                <w:highlight w:val="none"/>
              </w:rPr>
            </w:pPr>
            <w:r>
              <w:rPr>
                <w:rFonts w:hint="eastAsia" w:ascii="宋体" w:hAnsi="宋体" w:cs="宋体"/>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2</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投标文件中承诺的投标有效期不少于招标文件中载明的投标有效期。</w:t>
            </w:r>
          </w:p>
        </w:tc>
        <w:tc>
          <w:tcPr>
            <w:tcW w:w="2551" w:type="dxa"/>
            <w:vAlign w:val="center"/>
          </w:tcPr>
          <w:p>
            <w:pPr>
              <w:rPr>
                <w:rFonts w:ascii="宋体" w:hAnsi="宋体" w:cs="宋体"/>
                <w:sz w:val="24"/>
                <w:highlight w:val="none"/>
              </w:rPr>
            </w:pPr>
            <w:r>
              <w:rPr>
                <w:rFonts w:hint="eastAsia" w:ascii="宋体" w:hAnsi="宋体" w:cs="宋体"/>
                <w:sz w:val="24"/>
                <w:highlight w:val="none"/>
              </w:rPr>
              <w:t>投标函</w:t>
            </w:r>
          </w:p>
        </w:tc>
        <w:tc>
          <w:tcPr>
            <w:tcW w:w="1418" w:type="dxa"/>
          </w:tcPr>
          <w:p>
            <w:pPr>
              <w:rPr>
                <w:rFonts w:ascii="宋体" w:hAnsi="宋体" w:cs="宋体"/>
                <w:highlight w:val="none"/>
              </w:rPr>
            </w:pPr>
            <w:r>
              <w:rPr>
                <w:rFonts w:hint="eastAsia" w:ascii="宋体" w:hAnsi="宋体" w:cs="宋体"/>
                <w:sz w:val="24"/>
                <w:highlight w:val="none"/>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3</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投标文件满足招标文件的其它实质性要求。</w:t>
            </w:r>
          </w:p>
        </w:tc>
        <w:tc>
          <w:tcPr>
            <w:tcW w:w="2551" w:type="dxa"/>
            <w:vAlign w:val="center"/>
          </w:tcPr>
          <w:p>
            <w:pPr>
              <w:rPr>
                <w:rFonts w:ascii="宋体" w:hAnsi="宋体" w:cs="宋体"/>
                <w:sz w:val="24"/>
                <w:highlight w:val="none"/>
              </w:rPr>
            </w:pPr>
            <w:r>
              <w:rPr>
                <w:rFonts w:hint="eastAsia" w:ascii="宋体" w:hAnsi="宋体" w:cs="宋体"/>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highlight w:val="none"/>
              </w:rPr>
            </w:pPr>
            <w:r>
              <w:rPr>
                <w:rFonts w:hint="eastAsia" w:ascii="宋体" w:hAnsi="宋体" w:cs="宋体"/>
                <w:sz w:val="24"/>
                <w:highlight w:val="none"/>
              </w:rPr>
              <w:t>见投标文件第页</w:t>
            </w:r>
          </w:p>
        </w:tc>
      </w:tr>
    </w:tbl>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jc w:val="center"/>
        <w:outlineLvl w:val="2"/>
        <w:rPr>
          <w:rFonts w:ascii="宋体" w:hAnsi="宋体" w:cs="宋体"/>
          <w:highlight w:val="none"/>
        </w:rPr>
      </w:pPr>
      <w:r>
        <w:rPr>
          <w:rFonts w:hint="eastAsia" w:ascii="宋体" w:hAnsi="宋体" w:cs="宋体"/>
          <w:b/>
          <w:kern w:val="0"/>
          <w:sz w:val="32"/>
          <w:szCs w:val="32"/>
          <w:highlight w:val="none"/>
        </w:rPr>
        <w:t>五、评标标准相应的商务技术资料</w:t>
      </w:r>
    </w:p>
    <w:p>
      <w:pPr>
        <w:snapToGrid w:val="0"/>
        <w:spacing w:line="360" w:lineRule="auto"/>
        <w:jc w:val="left"/>
        <w:rPr>
          <w:rFonts w:ascii="宋体" w:hAnsi="宋体" w:cs="宋体"/>
          <w:b/>
          <w:sz w:val="24"/>
          <w:highlight w:val="none"/>
        </w:rPr>
      </w:pPr>
      <w:r>
        <w:rPr>
          <w:rFonts w:hint="eastAsia" w:ascii="宋体" w:hAnsi="宋体" w:cs="宋体"/>
          <w:b/>
          <w:sz w:val="24"/>
          <w:highlight w:val="none"/>
        </w:rPr>
        <w:t>（按招标文件第四部分评标办法前附表中“投标文件中评标标准相应的商务技术资料目录”提供资料。）</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ind w:firstLine="2891" w:firstLineChars="900"/>
        <w:outlineLvl w:val="2"/>
        <w:rPr>
          <w:rFonts w:ascii="宋体" w:hAnsi="宋体" w:cs="宋体"/>
          <w:b/>
          <w:kern w:val="0"/>
          <w:sz w:val="32"/>
          <w:szCs w:val="32"/>
          <w:highlight w:val="none"/>
        </w:rPr>
      </w:pPr>
      <w:r>
        <w:rPr>
          <w:rFonts w:hint="eastAsia" w:ascii="宋体" w:hAnsi="宋体" w:cs="宋体"/>
          <w:b/>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bl>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outlineLvl w:val="2"/>
        <w:rPr>
          <w:rFonts w:ascii="宋体" w:hAnsi="宋体" w:cs="宋体"/>
          <w:b/>
          <w:kern w:val="0"/>
          <w:sz w:val="32"/>
          <w:szCs w:val="32"/>
          <w:highlight w:val="none"/>
        </w:rPr>
      </w:pPr>
      <w:r>
        <w:rPr>
          <w:rFonts w:hint="eastAsia" w:ascii="宋体" w:hAnsi="宋体" w:cs="宋体"/>
          <w:b/>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highlight w:val="none"/>
              </w:rPr>
            </w:pPr>
            <w:r>
              <w:rPr>
                <w:rFonts w:hint="eastAsia" w:ascii="宋体" w:hAnsi="宋体" w:cs="宋体"/>
                <w:b/>
                <w:bCs/>
                <w:sz w:val="24"/>
                <w:highlight w:val="none"/>
              </w:rPr>
              <w:t>序号</w:t>
            </w:r>
          </w:p>
        </w:tc>
        <w:tc>
          <w:tcPr>
            <w:tcW w:w="3683" w:type="dxa"/>
          </w:tcPr>
          <w:p>
            <w:pPr>
              <w:jc w:val="center"/>
              <w:rPr>
                <w:rFonts w:ascii="宋体" w:hAnsi="宋体" w:cs="宋体"/>
                <w:b/>
                <w:bCs/>
                <w:sz w:val="24"/>
                <w:highlight w:val="none"/>
              </w:rPr>
            </w:pPr>
            <w:r>
              <w:rPr>
                <w:rFonts w:hint="eastAsia" w:ascii="宋体" w:hAnsi="宋体" w:cs="宋体"/>
                <w:b/>
                <w:bCs/>
                <w:sz w:val="24"/>
                <w:highlight w:val="none"/>
              </w:rPr>
              <w:t>招标文件章节及具体内容</w:t>
            </w:r>
          </w:p>
        </w:tc>
        <w:tc>
          <w:tcPr>
            <w:tcW w:w="3546" w:type="dxa"/>
          </w:tcPr>
          <w:p>
            <w:pPr>
              <w:jc w:val="center"/>
              <w:rPr>
                <w:rFonts w:ascii="宋体" w:hAnsi="宋体" w:cs="宋体"/>
                <w:b/>
                <w:bCs/>
                <w:sz w:val="24"/>
                <w:highlight w:val="none"/>
              </w:rPr>
            </w:pPr>
            <w:r>
              <w:rPr>
                <w:rFonts w:hint="eastAsia" w:ascii="宋体" w:hAnsi="宋体" w:cs="宋体"/>
                <w:b/>
                <w:bCs/>
                <w:sz w:val="24"/>
                <w:highlight w:val="none"/>
              </w:rPr>
              <w:t>投标文件章节及具体内容</w:t>
            </w:r>
          </w:p>
        </w:tc>
        <w:tc>
          <w:tcPr>
            <w:tcW w:w="1276" w:type="dxa"/>
          </w:tcPr>
          <w:p>
            <w:pPr>
              <w:jc w:val="center"/>
              <w:rPr>
                <w:rFonts w:ascii="宋体" w:hAnsi="宋体" w:cs="宋体"/>
                <w:b/>
                <w:bCs/>
                <w:sz w:val="24"/>
                <w:highlight w:val="none"/>
              </w:rPr>
            </w:pPr>
            <w:r>
              <w:rPr>
                <w:rFonts w:hint="eastAsia" w:ascii="宋体" w:hAnsi="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1</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2</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bl>
    <w:p>
      <w:pPr>
        <w:jc w:val="left"/>
        <w:rPr>
          <w:rFonts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pPr>
        <w:jc w:val="center"/>
        <w:rPr>
          <w:rFonts w:ascii="宋体" w:hAnsi="宋体" w:cs="宋体"/>
          <w:b/>
          <w:kern w:val="0"/>
          <w:sz w:val="32"/>
          <w:szCs w:val="32"/>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widowControl/>
        <w:adjustRightInd/>
        <w:jc w:val="left"/>
        <w:rPr>
          <w:rFonts w:ascii="宋体" w:hAnsi="宋体" w:cs="宋体"/>
          <w:b/>
          <w:bCs/>
          <w:sz w:val="32"/>
          <w:szCs w:val="32"/>
          <w:highlight w:val="none"/>
        </w:rPr>
      </w:pPr>
      <w:r>
        <w:rPr>
          <w:rFonts w:ascii="宋体" w:hAnsi="宋体" w:cs="宋体"/>
          <w:b/>
          <w:bCs/>
          <w:sz w:val="32"/>
          <w:szCs w:val="32"/>
          <w:highlight w:val="none"/>
        </w:rPr>
        <w:br w:type="page"/>
      </w:r>
    </w:p>
    <w:p>
      <w:pPr>
        <w:ind w:firstLine="1911" w:firstLineChars="595"/>
        <w:outlineLvl w:val="2"/>
        <w:rPr>
          <w:rFonts w:ascii="宋体" w:hAnsi="宋体" w:cs="宋体"/>
          <w:b/>
          <w:kern w:val="0"/>
          <w:sz w:val="32"/>
          <w:szCs w:val="32"/>
          <w:highlight w:val="none"/>
        </w:rPr>
      </w:pPr>
      <w:r>
        <w:rPr>
          <w:rFonts w:hint="eastAsia" w:ascii="宋体" w:hAnsi="宋体" w:cs="宋体"/>
          <w:b/>
          <w:bCs/>
          <w:sz w:val="32"/>
          <w:szCs w:val="32"/>
          <w:highlight w:val="none"/>
        </w:rPr>
        <w:t>八</w:t>
      </w:r>
      <w:r>
        <w:rPr>
          <w:rFonts w:hint="eastAsia" w:ascii="宋体" w:hAnsi="宋体" w:cs="宋体"/>
          <w:b/>
          <w:kern w:val="0"/>
          <w:sz w:val="32"/>
          <w:szCs w:val="32"/>
          <w:highlight w:val="none"/>
        </w:rPr>
        <w:t>、</w:t>
      </w:r>
      <w:r>
        <w:rPr>
          <w:rFonts w:hint="eastAsia" w:ascii="宋体" w:hAnsi="宋体" w:cs="宋体"/>
          <w:b/>
          <w:kern w:val="0"/>
          <w:sz w:val="32"/>
          <w:szCs w:val="32"/>
          <w:highlight w:val="none"/>
          <w:lang w:val="zh-CN"/>
        </w:rPr>
        <w:t>政府采购供应商廉洁自律承诺书</w:t>
      </w:r>
    </w:p>
    <w:p>
      <w:pPr>
        <w:snapToGrid w:val="0"/>
        <w:spacing w:line="360" w:lineRule="auto"/>
        <w:rPr>
          <w:rFonts w:ascii="宋体" w:hAnsi="宋体" w:cs="宋体"/>
          <w:sz w:val="24"/>
          <w:highlight w:val="none"/>
        </w:rPr>
      </w:pPr>
    </w:p>
    <w:p>
      <w:pPr>
        <w:snapToGrid w:val="0"/>
        <w:spacing w:line="360" w:lineRule="auto"/>
        <w:rPr>
          <w:rFonts w:ascii="宋体" w:hAnsi="宋体" w:cs="宋体"/>
          <w:kern w:val="0"/>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kern w:val="0"/>
          <w:sz w:val="24"/>
          <w:highlight w:val="none"/>
          <w:lang w:val="zh-CN"/>
        </w:rPr>
        <w:t>：</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我单位响应你</w:t>
      </w:r>
      <w:r>
        <w:rPr>
          <w:rFonts w:hint="eastAsia" w:ascii="宋体" w:hAnsi="宋体" w:cs="宋体"/>
          <w:sz w:val="24"/>
          <w:highlight w:val="none"/>
        </w:rPr>
        <w:t>单位</w:t>
      </w:r>
      <w:r>
        <w:rPr>
          <w:rFonts w:hint="eastAsia" w:ascii="宋体" w:hAnsi="宋体" w:cs="宋体"/>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好处；</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六、严格遵守《</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政府采购法》《</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招标投标</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法》</w:t>
      </w:r>
      <w:r>
        <w:rPr>
          <w:rFonts w:hint="eastAsia" w:ascii="宋体" w:hAnsi="宋体" w:cs="宋体"/>
          <w:sz w:val="24"/>
          <w:highlight w:val="none"/>
          <w:lang w:val="zh-CN"/>
        </w:rPr>
        <w:t>《中华人民共和国民法典》</w:t>
      </w:r>
      <w:r>
        <w:rPr>
          <w:rFonts w:hint="eastAsia" w:ascii="宋体" w:hAnsi="宋体" w:cs="宋体"/>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如违反上述承诺，你</w:t>
      </w:r>
      <w:r>
        <w:rPr>
          <w:rFonts w:hint="eastAsia" w:ascii="宋体" w:hAnsi="宋体" w:cs="宋体"/>
          <w:sz w:val="24"/>
          <w:highlight w:val="none"/>
        </w:rPr>
        <w:t>单位</w:t>
      </w:r>
      <w:r>
        <w:rPr>
          <w:rFonts w:hint="eastAsia" w:ascii="宋体" w:hAnsi="宋体" w:cs="宋体"/>
          <w:kern w:val="0"/>
          <w:sz w:val="24"/>
          <w:highlight w:val="none"/>
          <w:lang w:val="zh-CN"/>
        </w:rPr>
        <w:t>有权立即取消我单位投标、中标或在建项目的建设资格，有权拒绝我单位在一定时期内进入你</w:t>
      </w:r>
      <w:r>
        <w:rPr>
          <w:rFonts w:hint="eastAsia" w:ascii="宋体" w:hAnsi="宋体" w:cs="宋体"/>
          <w:sz w:val="24"/>
          <w:highlight w:val="none"/>
        </w:rPr>
        <w:t>单位</w:t>
      </w:r>
      <w:r>
        <w:rPr>
          <w:rFonts w:hint="eastAsia" w:ascii="宋体" w:hAnsi="宋体" w:cs="宋体"/>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kern w:val="0"/>
          <w:sz w:val="24"/>
          <w:highlight w:val="none"/>
          <w:lang w:val="zh-CN"/>
        </w:rPr>
      </w:pPr>
      <w:r>
        <w:rPr>
          <w:rFonts w:hint="eastAsia" w:ascii="宋体" w:hAnsi="宋体" w:cs="宋体"/>
          <w:kern w:val="0"/>
          <w:sz w:val="24"/>
          <w:highlight w:val="none"/>
          <w:lang w:val="zh-CN"/>
        </w:rPr>
        <w:t>投标人名称（</w:t>
      </w:r>
      <w:r>
        <w:rPr>
          <w:rFonts w:hint="eastAsia" w:ascii="宋体" w:hAnsi="宋体" w:cs="宋体"/>
          <w:sz w:val="24"/>
          <w:highlight w:val="none"/>
        </w:rPr>
        <w:t>电子签名</w:t>
      </w:r>
      <w:r>
        <w:rPr>
          <w:rFonts w:hint="eastAsia" w:ascii="宋体" w:hAnsi="宋体" w:cs="宋体"/>
          <w:kern w:val="0"/>
          <w:sz w:val="24"/>
          <w:highlight w:val="none"/>
          <w:lang w:val="zh-CN"/>
        </w:rPr>
        <w:t xml:space="preserve">）：                                                                                                                                                                                                               </w:t>
      </w:r>
    </w:p>
    <w:p>
      <w:pPr>
        <w:spacing w:line="360" w:lineRule="auto"/>
        <w:ind w:left="4620" w:leftChars="2200"/>
        <w:rPr>
          <w:rFonts w:ascii="宋体" w:hAnsi="宋体" w:cs="宋体"/>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w:t>
      </w:r>
      <w:r>
        <w:rPr>
          <w:rFonts w:hint="eastAsia" w:ascii="宋体" w:hAnsi="宋体" w:cs="宋体"/>
          <w:kern w:val="0"/>
          <w:sz w:val="24"/>
          <w:highlight w:val="none"/>
          <w:lang w:val="zh-CN"/>
        </w:rPr>
        <w:t xml:space="preserve">   年   月   日</w:t>
      </w:r>
    </w:p>
    <w:p>
      <w:pPr>
        <w:spacing w:line="360" w:lineRule="auto"/>
        <w:jc w:val="center"/>
        <w:rPr>
          <w:rFonts w:ascii="宋体" w:hAnsi="宋体" w:cs="宋体"/>
          <w:b/>
          <w:bCs/>
          <w:sz w:val="24"/>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spacing w:line="360" w:lineRule="auto"/>
        <w:jc w:val="center"/>
        <w:rPr>
          <w:rFonts w:ascii="宋体" w:hAnsi="宋体" w:cs="宋体"/>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1"/>
        <w:rPr>
          <w:rFonts w:ascii="宋体" w:hAnsi="宋体" w:cs="宋体"/>
          <w:b/>
          <w:kern w:val="0"/>
          <w:sz w:val="36"/>
          <w:szCs w:val="36"/>
          <w:highlight w:val="none"/>
        </w:rPr>
      </w:pPr>
      <w:r>
        <w:rPr>
          <w:rFonts w:hint="eastAsia" w:ascii="宋体" w:hAnsi="宋体" w:cs="宋体"/>
          <w:b/>
          <w:kern w:val="0"/>
          <w:sz w:val="36"/>
          <w:szCs w:val="36"/>
          <w:highlight w:val="none"/>
        </w:rPr>
        <w:t>报价文件部分</w:t>
      </w: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（1）开标一览表（报价表）………………………………………………………（页码）</w:t>
      </w:r>
    </w:p>
    <w:p>
      <w:pPr>
        <w:snapToGrid w:val="0"/>
        <w:spacing w:line="360" w:lineRule="auto"/>
        <w:rPr>
          <w:rFonts w:ascii="宋体" w:hAnsi="宋体" w:cs="宋体"/>
          <w:sz w:val="24"/>
          <w:highlight w:val="none"/>
        </w:rPr>
      </w:pPr>
      <w:r>
        <w:rPr>
          <w:rFonts w:hint="eastAsia" w:ascii="宋体" w:hAnsi="宋体" w:cs="宋体"/>
          <w:sz w:val="24"/>
          <w:highlight w:val="none"/>
        </w:rPr>
        <w:t>（2）中小企业声明函………………………………………………………………（页码）</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2"/>
        <w:rPr>
          <w:rFonts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pPr>
        <w:snapToGrid w:val="0"/>
        <w:spacing w:line="360" w:lineRule="auto"/>
        <w:rPr>
          <w:rFonts w:ascii="宋体" w:hAnsi="宋体" w:cs="宋体"/>
          <w:kern w:val="0"/>
          <w:sz w:val="24"/>
          <w:highlight w:val="none"/>
        </w:rPr>
      </w:pPr>
      <w:r>
        <w:rPr>
          <w:rFonts w:hint="eastAsia" w:ascii="宋体" w:hAnsi="宋体" w:cs="宋体"/>
          <w:color w:val="0000FF"/>
          <w:sz w:val="24"/>
          <w:highlight w:val="none"/>
        </w:rPr>
        <w:t>（采购人）</w:t>
      </w:r>
      <w:r>
        <w:rPr>
          <w:rFonts w:hint="eastAsia" w:ascii="宋体" w:hAnsi="宋体" w:cs="宋体"/>
          <w:sz w:val="24"/>
          <w:highlight w:val="none"/>
        </w:rPr>
        <w:t>、</w:t>
      </w:r>
      <w:r>
        <w:rPr>
          <w:rFonts w:hint="eastAsia" w:ascii="宋体" w:hAnsi="宋体" w:cs="宋体"/>
          <w:color w:val="0000FF"/>
          <w:sz w:val="24"/>
          <w:highlight w:val="none"/>
        </w:rPr>
        <w:t>（采购代理机构）</w:t>
      </w:r>
      <w:r>
        <w:rPr>
          <w:rFonts w:hint="eastAsia" w:ascii="宋体" w:hAnsi="宋体" w:cs="宋体"/>
          <w:kern w:val="0"/>
          <w:sz w:val="24"/>
          <w:highlight w:val="none"/>
          <w:lang w:val="zh-CN"/>
        </w:rPr>
        <w:t>：</w:t>
      </w:r>
    </w:p>
    <w:p>
      <w:pPr>
        <w:snapToGrid w:val="0"/>
        <w:spacing w:line="360" w:lineRule="auto"/>
        <w:ind w:firstLine="482"/>
        <w:rPr>
          <w:rFonts w:ascii="宋体" w:hAnsi="宋体" w:cs="宋体"/>
          <w:kern w:val="0"/>
          <w:sz w:val="24"/>
          <w:highlight w:val="none"/>
          <w:lang w:val="zh-CN"/>
        </w:rPr>
      </w:pPr>
      <w:r>
        <w:rPr>
          <w:rFonts w:hint="eastAsia" w:ascii="宋体" w:hAnsi="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highlight w:val="none"/>
        </w:rPr>
        <w:t>（项目名称）</w:t>
      </w:r>
      <w:r>
        <w:rPr>
          <w:rFonts w:hint="eastAsia" w:ascii="宋体" w:hAnsi="宋体" w:cs="宋体"/>
          <w:kern w:val="0"/>
          <w:sz w:val="24"/>
          <w:highlight w:val="none"/>
          <w:lang w:val="zh-CN"/>
        </w:rPr>
        <w:t>【招标编号：</w:t>
      </w:r>
      <w:r>
        <w:rPr>
          <w:rFonts w:hint="eastAsia" w:ascii="宋体" w:hAnsi="宋体" w:cs="宋体"/>
          <w:color w:val="FF0000"/>
          <w:sz w:val="24"/>
          <w:highlight w:val="none"/>
        </w:rPr>
        <w:t>（采购编号）</w:t>
      </w:r>
      <w:r>
        <w:rPr>
          <w:rFonts w:hint="eastAsia" w:ascii="宋体" w:hAnsi="宋体" w:cs="宋体"/>
          <w:sz w:val="24"/>
          <w:highlight w:val="none"/>
        </w:rPr>
        <w:t>】的实施</w:t>
      </w:r>
      <w:r>
        <w:rPr>
          <w:rFonts w:hint="eastAsia" w:ascii="宋体" w:hAnsi="宋体" w:cs="宋体"/>
          <w:kern w:val="0"/>
          <w:sz w:val="24"/>
          <w:highlight w:val="none"/>
          <w:lang w:val="zh-CN"/>
        </w:rPr>
        <w:t>。</w:t>
      </w:r>
    </w:p>
    <w:p>
      <w:pPr>
        <w:spacing w:line="360" w:lineRule="auto"/>
        <w:jc w:val="center"/>
        <w:rPr>
          <w:rFonts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417"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843" w:type="dxa"/>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3118"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993"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559"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单价</w:t>
            </w:r>
          </w:p>
        </w:tc>
        <w:tc>
          <w:tcPr>
            <w:tcW w:w="198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合计</w:t>
            </w:r>
          </w:p>
        </w:tc>
        <w:tc>
          <w:tcPr>
            <w:tcW w:w="3119" w:type="dxa"/>
            <w:vAlign w:val="center"/>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备注（如果有）</w:t>
            </w:r>
          </w:p>
          <w:p>
            <w:pPr>
              <w:spacing w:line="360" w:lineRule="auto"/>
              <w:jc w:val="center"/>
              <w:rPr>
                <w:rFonts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FF"/>
                <w:sz w:val="24"/>
                <w:highlight w:val="none"/>
              </w:rPr>
            </w:pPr>
            <w:r>
              <w:rPr>
                <w:rFonts w:hint="eastAsia" w:ascii="宋体" w:hAnsi="宋体" w:cs="宋体"/>
                <w:color w:val="0000FF"/>
                <w:sz w:val="24"/>
                <w:highlight w:val="none"/>
              </w:rPr>
              <w:t>1</w:t>
            </w:r>
          </w:p>
        </w:tc>
        <w:tc>
          <w:tcPr>
            <w:tcW w:w="1417" w:type="dxa"/>
            <w:vAlign w:val="center"/>
          </w:tcPr>
          <w:p>
            <w:pPr>
              <w:snapToGrid w:val="0"/>
              <w:spacing w:line="360" w:lineRule="auto"/>
              <w:jc w:val="center"/>
              <w:rPr>
                <w:rFonts w:ascii="宋体" w:hAnsi="宋体" w:cs="宋体"/>
                <w:color w:val="0000FF"/>
                <w:sz w:val="24"/>
                <w:highlight w:val="none"/>
              </w:rPr>
            </w:pPr>
            <w:r>
              <w:rPr>
                <w:rFonts w:hint="eastAsia" w:ascii="宋体" w:hAnsi="宋体" w:cs="宋体"/>
                <w:color w:val="0000FF"/>
                <w:sz w:val="24"/>
                <w:highlight w:val="none"/>
              </w:rPr>
              <w:t>X</w:t>
            </w:r>
            <w:r>
              <w:rPr>
                <w:rFonts w:ascii="宋体" w:hAnsi="宋体" w:cs="宋体"/>
                <w:color w:val="0000FF"/>
                <w:sz w:val="24"/>
                <w:highlight w:val="none"/>
              </w:rPr>
              <w:t>X</w:t>
            </w:r>
          </w:p>
        </w:tc>
        <w:tc>
          <w:tcPr>
            <w:tcW w:w="1843" w:type="dxa"/>
            <w:vAlign w:val="center"/>
          </w:tcPr>
          <w:p>
            <w:pPr>
              <w:snapToGrid w:val="0"/>
              <w:spacing w:line="360" w:lineRule="auto"/>
              <w:jc w:val="center"/>
              <w:rPr>
                <w:rFonts w:ascii="宋体" w:hAnsi="宋体" w:cs="宋体"/>
                <w:color w:val="0000FF"/>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highlight w:val="none"/>
              </w:rPr>
            </w:pPr>
            <w:r>
              <w:rPr>
                <w:rFonts w:hint="eastAsia" w:ascii="宋体" w:hAnsi="宋体" w:cs="宋体"/>
                <w:color w:val="0000FF"/>
                <w:sz w:val="24"/>
                <w:highlight w:val="none"/>
              </w:rPr>
              <w:t>2</w:t>
            </w:r>
          </w:p>
        </w:tc>
        <w:tc>
          <w:tcPr>
            <w:tcW w:w="1417" w:type="dxa"/>
            <w:vAlign w:val="center"/>
          </w:tcPr>
          <w:p>
            <w:pPr>
              <w:snapToGrid w:val="0"/>
              <w:spacing w:line="360" w:lineRule="auto"/>
              <w:jc w:val="center"/>
              <w:rPr>
                <w:rFonts w:ascii="宋体" w:hAnsi="宋体" w:cs="宋体"/>
                <w:color w:val="0000FF"/>
                <w:sz w:val="24"/>
                <w:highlight w:val="none"/>
              </w:rPr>
            </w:pPr>
            <w:r>
              <w:rPr>
                <w:rFonts w:hint="eastAsia" w:ascii="宋体" w:hAnsi="宋体" w:cs="宋体"/>
                <w:color w:val="0000FF"/>
                <w:sz w:val="24"/>
                <w:highlight w:val="none"/>
              </w:rPr>
              <w:t>X</w:t>
            </w:r>
            <w:r>
              <w:rPr>
                <w:rFonts w:ascii="宋体" w:hAnsi="宋体" w:cs="宋体"/>
                <w:color w:val="0000FF"/>
                <w:sz w:val="24"/>
                <w:highlight w:val="none"/>
              </w:rPr>
              <w:t>X</w:t>
            </w:r>
          </w:p>
        </w:tc>
        <w:tc>
          <w:tcPr>
            <w:tcW w:w="1843" w:type="dxa"/>
            <w:vAlign w:val="center"/>
          </w:tcPr>
          <w:p>
            <w:pPr>
              <w:snapToGrid w:val="0"/>
              <w:spacing w:line="360" w:lineRule="auto"/>
              <w:jc w:val="center"/>
              <w:rPr>
                <w:rFonts w:ascii="宋体" w:hAnsi="宋体" w:cs="宋体"/>
                <w:color w:val="0000FF"/>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highlight w:val="none"/>
              </w:rPr>
            </w:pPr>
            <w:r>
              <w:rPr>
                <w:rFonts w:hint="eastAsia" w:ascii="宋体" w:hAnsi="宋体" w:cs="宋体"/>
                <w:color w:val="0000FF"/>
                <w:sz w:val="24"/>
                <w:highlight w:val="none"/>
              </w:rPr>
              <w:t>…</w:t>
            </w:r>
          </w:p>
        </w:tc>
        <w:tc>
          <w:tcPr>
            <w:tcW w:w="1417" w:type="dxa"/>
            <w:vAlign w:val="center"/>
          </w:tcPr>
          <w:p>
            <w:pPr>
              <w:snapToGrid w:val="0"/>
              <w:spacing w:line="360" w:lineRule="auto"/>
              <w:jc w:val="center"/>
              <w:rPr>
                <w:rFonts w:ascii="宋体" w:hAnsi="宋体" w:cs="宋体"/>
                <w:color w:val="0000FF"/>
                <w:sz w:val="24"/>
                <w:highlight w:val="none"/>
              </w:rPr>
            </w:pPr>
          </w:p>
        </w:tc>
        <w:tc>
          <w:tcPr>
            <w:tcW w:w="1843" w:type="dxa"/>
            <w:vAlign w:val="center"/>
          </w:tcPr>
          <w:p>
            <w:pPr>
              <w:snapToGrid w:val="0"/>
              <w:spacing w:line="360" w:lineRule="auto"/>
              <w:jc w:val="center"/>
              <w:rPr>
                <w:rFonts w:ascii="宋体" w:hAnsi="宋体" w:cs="宋体"/>
                <w:color w:val="0000FF"/>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投标报价（小写）</w:t>
            </w:r>
          </w:p>
        </w:tc>
        <w:tc>
          <w:tcPr>
            <w:tcW w:w="7655" w:type="dxa"/>
            <w:gridSpan w:val="4"/>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投标报价（大写）</w:t>
            </w:r>
          </w:p>
        </w:tc>
        <w:tc>
          <w:tcPr>
            <w:tcW w:w="7655" w:type="dxa"/>
            <w:gridSpan w:val="4"/>
            <w:vAlign w:val="center"/>
          </w:tcPr>
          <w:p>
            <w:pPr>
              <w:spacing w:line="360" w:lineRule="auto"/>
              <w:jc w:val="center"/>
              <w:rPr>
                <w:rFonts w:ascii="宋体" w:hAnsi="宋体" w:cs="宋体"/>
                <w:sz w:val="24"/>
                <w:highlight w:val="none"/>
              </w:rPr>
            </w:pPr>
          </w:p>
        </w:tc>
      </w:tr>
    </w:tbl>
    <w:p>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kern w:val="0"/>
          <w:sz w:val="24"/>
          <w:highlight w:val="none"/>
          <w:lang w:val="zh-CN"/>
        </w:rPr>
        <w:t>。</w:t>
      </w:r>
    </w:p>
    <w:p>
      <w:pPr>
        <w:spacing w:line="360" w:lineRule="auto"/>
        <w:ind w:firstLine="480" w:firstLineChars="200"/>
        <w:rPr>
          <w:rFonts w:ascii="宋体" w:hAnsi="宋体" w:cs="宋体"/>
          <w:b/>
          <w:sz w:val="24"/>
          <w:highlight w:val="none"/>
        </w:rPr>
      </w:pPr>
      <w:r>
        <w:rPr>
          <w:rFonts w:hint="eastAsia" w:ascii="宋体" w:hAnsi="宋体" w:cs="宋体"/>
          <w:kern w:val="0"/>
          <w:sz w:val="24"/>
          <w:highlight w:val="none"/>
          <w:lang w:val="zh-CN"/>
        </w:rPr>
        <w:t>2、有关本项目实施所涉及的一切费用均计入报价。总价不为零，报价明细表中部分产品、服务单价为零的，视作已包含在总价中。</w:t>
      </w:r>
      <w:r>
        <w:rPr>
          <w:rFonts w:hint="eastAsia" w:ascii="宋体" w:hAnsi="宋体" w:cs="宋体"/>
          <w:b/>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FF0000"/>
          <w:kern w:val="0"/>
          <w:sz w:val="24"/>
          <w:highlight w:val="none"/>
          <w:lang w:val="zh-CN"/>
        </w:rPr>
      </w:pPr>
      <w:r>
        <w:rPr>
          <w:rFonts w:ascii="宋体" w:hAnsi="宋体" w:cs="宋体"/>
          <w:color w:val="FF0000"/>
          <w:kern w:val="0"/>
          <w:sz w:val="24"/>
          <w:szCs w:val="22"/>
          <w:highlight w:val="none"/>
          <w:lang w:val="zh-CN"/>
        </w:rPr>
        <w:t>4</w:t>
      </w:r>
      <w:r>
        <w:rPr>
          <w:rFonts w:hint="eastAsia" w:ascii="宋体" w:hAnsi="宋体" w:cs="宋体"/>
          <w:color w:val="FF0000"/>
          <w:kern w:val="0"/>
          <w:sz w:val="24"/>
          <w:szCs w:val="22"/>
          <w:highlight w:val="none"/>
          <w:lang w:val="zh-CN"/>
        </w:rPr>
        <w:t>、</w:t>
      </w:r>
      <w:r>
        <w:rPr>
          <w:rFonts w:hint="eastAsia" w:ascii="宋体" w:hAnsi="宋体" w:cs="宋体"/>
          <w:color w:val="FF00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sz w:val="24"/>
          <w:highlight w:val="none"/>
        </w:rPr>
      </w:pPr>
      <w:r>
        <w:rPr>
          <w:rFonts w:hint="eastAsia" w:ascii="宋体" w:hAnsi="宋体" w:cs="宋体"/>
          <w:b/>
          <w:sz w:val="24"/>
          <w:highlight w:val="none"/>
        </w:rPr>
        <w:t>5、特别说明：▲供应商报价低于项目预算50%的，应当在报价文件中详细阐述不影响产品质量或者诚信履约的具体原因。</w:t>
      </w: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2"/>
        <w:rPr>
          <w:rFonts w:ascii="宋体" w:hAnsi="宋体" w:eastAsia="宋体" w:cs="宋体"/>
          <w:color w:val="FF0000"/>
          <w:sz w:val="32"/>
          <w:szCs w:val="32"/>
          <w:highlight w:val="none"/>
        </w:rPr>
      </w:pPr>
      <w:r>
        <w:rPr>
          <w:rFonts w:hint="eastAsia" w:ascii="宋体" w:hAnsi="宋体" w:eastAsia="宋体" w:cs="宋体"/>
          <w:color w:val="FF0000"/>
          <w:kern w:val="2"/>
          <w:sz w:val="32"/>
          <w:szCs w:val="32"/>
          <w:highlight w:val="none"/>
        </w:rPr>
        <w:t>二、</w:t>
      </w:r>
      <w:r>
        <w:rPr>
          <w:rFonts w:hint="eastAsia" w:ascii="宋体" w:hAnsi="宋体" w:eastAsia="宋体" w:cs="宋体"/>
          <w:color w:val="FF0000"/>
          <w:sz w:val="32"/>
          <w:szCs w:val="32"/>
          <w:highlight w:val="none"/>
        </w:rPr>
        <w:t>中小企业声明函</w:t>
      </w:r>
      <w:bookmarkStart w:id="559" w:name="_Hlk101259491"/>
      <w:r>
        <w:rPr>
          <w:rFonts w:hint="eastAsia" w:ascii="宋体" w:hAnsi="宋体" w:eastAsia="宋体" w:cs="宋体"/>
          <w:color w:val="FF0000"/>
          <w:sz w:val="32"/>
          <w:szCs w:val="32"/>
          <w:highlight w:val="none"/>
        </w:rPr>
        <w:t>（如果有）</w:t>
      </w:r>
      <w:bookmarkEnd w:id="559"/>
    </w:p>
    <w:p>
      <w:pPr>
        <w:widowControl/>
        <w:spacing w:line="360" w:lineRule="auto"/>
        <w:ind w:firstLine="120" w:firstLineChars="50"/>
        <w:jc w:val="left"/>
        <w:rPr>
          <w:rFonts w:ascii="宋体" w:hAnsi="宋体" w:cs="宋体"/>
          <w:b/>
          <w:color w:val="FF0000"/>
          <w:sz w:val="24"/>
          <w:highlight w:val="none"/>
        </w:rPr>
      </w:pPr>
      <w:r>
        <w:rPr>
          <w:rFonts w:hint="eastAsia" w:ascii="宋体" w:hAnsi="宋体" w:cs="宋体"/>
          <w:b/>
          <w:color w:val="FF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FF0000"/>
          <w:sz w:val="24"/>
          <w:highlight w:val="none"/>
        </w:rPr>
        <w:t>7</w:t>
      </w:r>
      <w:r>
        <w:rPr>
          <w:rFonts w:hint="eastAsia" w:ascii="宋体" w:hAnsi="宋体" w:cs="宋体"/>
          <w:b/>
          <w:color w:val="FF0000"/>
          <w:sz w:val="24"/>
          <w:highlight w:val="none"/>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FF0000"/>
          <w:sz w:val="32"/>
          <w:szCs w:val="32"/>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ascii="宋体" w:hAnsi="宋体" w:cs="宋体"/>
          <w:highlight w:val="none"/>
        </w:rPr>
      </w:pPr>
      <w:bookmarkStart w:id="560" w:name="_Toc465665161"/>
      <w:r>
        <w:rPr>
          <w:rFonts w:hint="eastAsia" w:ascii="宋体" w:hAnsi="宋体" w:cs="宋体"/>
          <w:highlight w:val="none"/>
        </w:rPr>
        <w:t>附件</w:t>
      </w:r>
      <w:bookmarkEnd w:id="560"/>
    </w:p>
    <w:p>
      <w:pPr>
        <w:spacing w:line="360" w:lineRule="auto"/>
        <w:outlineLvl w:val="1"/>
        <w:rPr>
          <w:rFonts w:ascii="宋体" w:hAnsi="宋体" w:cs="宋体"/>
          <w:b/>
          <w:spacing w:val="6"/>
          <w:sz w:val="32"/>
          <w:szCs w:val="32"/>
          <w:highlight w:val="none"/>
        </w:rPr>
      </w:pPr>
      <w:r>
        <w:rPr>
          <w:rFonts w:hint="eastAsia" w:ascii="宋体" w:hAnsi="宋体" w:cs="宋体"/>
          <w:b/>
          <w:spacing w:val="6"/>
          <w:sz w:val="32"/>
          <w:szCs w:val="32"/>
          <w:highlight w:val="none"/>
        </w:rPr>
        <w:t>附件1：残疾人福利性单位声明函</w:t>
      </w:r>
    </w:p>
    <w:p>
      <w:pPr>
        <w:spacing w:line="360" w:lineRule="auto"/>
        <w:jc w:val="center"/>
        <w:rPr>
          <w:rFonts w:ascii="宋体" w:hAnsi="宋体" w:cs="宋体"/>
          <w:b/>
          <w:spacing w:val="6"/>
          <w:sz w:val="32"/>
          <w:szCs w:val="32"/>
          <w:highlight w:val="none"/>
        </w:rPr>
      </w:pPr>
      <w:bookmarkStart w:id="561" w:name="OLE_LINK14"/>
      <w:bookmarkStart w:id="562" w:name="OLE_LINK13"/>
      <w:r>
        <w:rPr>
          <w:rFonts w:hint="eastAsia" w:ascii="宋体" w:hAnsi="宋体" w:cs="宋体"/>
          <w:b/>
          <w:spacing w:val="6"/>
          <w:sz w:val="32"/>
          <w:szCs w:val="32"/>
          <w:highlight w:val="none"/>
        </w:rPr>
        <w:t>残疾人福利性单位声明函</w:t>
      </w:r>
    </w:p>
    <w:bookmarkEnd w:id="561"/>
    <w:bookmarkEnd w:id="562"/>
    <w:p>
      <w:pPr>
        <w:spacing w:line="360" w:lineRule="auto"/>
        <w:rPr>
          <w:rFonts w:ascii="宋体" w:hAnsi="宋体" w:cs="宋体"/>
          <w:b/>
          <w:spacing w:val="6"/>
          <w:sz w:val="30"/>
          <w:szCs w:val="30"/>
          <w:highlight w:val="none"/>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0000FF"/>
          <w:sz w:val="24"/>
          <w:highlight w:val="none"/>
          <w:u w:val="single"/>
        </w:rPr>
        <w:t>（采购人）</w:t>
      </w:r>
      <w:r>
        <w:rPr>
          <w:rFonts w:hint="eastAsia" w:ascii="宋体" w:hAnsi="宋体" w:cs="宋体"/>
          <w:sz w:val="24"/>
          <w:highlight w:val="none"/>
        </w:rPr>
        <w:t>单位的</w:t>
      </w:r>
      <w:r>
        <w:rPr>
          <w:rFonts w:hint="eastAsia" w:ascii="宋体" w:hAnsi="宋体" w:cs="宋体"/>
          <w:color w:val="0000FF"/>
          <w:sz w:val="24"/>
          <w:highlight w:val="none"/>
          <w:u w:val="single"/>
        </w:rPr>
        <w:t>（项目名称）</w:t>
      </w:r>
      <w:r>
        <w:rPr>
          <w:rFonts w:hint="eastAsia" w:ascii="宋体" w:hAnsi="宋体" w:cs="宋体"/>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本单位对上述声明的真实性负责。如有虚假，将依法承担相应责任。</w:t>
      </w:r>
    </w:p>
    <w:p>
      <w:pPr>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kern w:val="0"/>
          <w:sz w:val="24"/>
          <w:highlight w:val="none"/>
          <w:lang w:val="zh-CN"/>
        </w:rPr>
        <w:t>投标人名称（电子签名）</w:t>
      </w:r>
      <w:r>
        <w:rPr>
          <w:rFonts w:hint="eastAsia" w:ascii="宋体" w:hAnsi="宋体" w:cs="宋体"/>
          <w:sz w:val="24"/>
          <w:highlight w:val="none"/>
        </w:rPr>
        <w:t>：</w:t>
      </w: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sz w:val="24"/>
          <w:highlight w:val="none"/>
        </w:rPr>
        <w:t xml:space="preserve">       日  期：</w:t>
      </w:r>
    </w:p>
    <w:p>
      <w:pPr>
        <w:spacing w:line="360" w:lineRule="auto"/>
        <w:ind w:firstLine="480" w:firstLineChars="200"/>
        <w:rPr>
          <w:rFonts w:ascii="宋体" w:hAnsi="宋体" w:cs="宋体"/>
          <w:sz w:val="24"/>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jc w:val="left"/>
        <w:outlineLvl w:val="1"/>
        <w:rPr>
          <w:rFonts w:ascii="宋体" w:hAnsi="宋体" w:cs="宋体"/>
          <w:b/>
          <w:spacing w:val="6"/>
          <w:sz w:val="32"/>
          <w:szCs w:val="32"/>
          <w:highlight w:val="none"/>
        </w:rPr>
      </w:pPr>
      <w:r>
        <w:rPr>
          <w:rFonts w:hint="eastAsia" w:ascii="宋体" w:hAnsi="宋体" w:cs="宋体"/>
          <w:b/>
          <w:spacing w:val="6"/>
          <w:sz w:val="32"/>
          <w:szCs w:val="32"/>
          <w:highlight w:val="none"/>
        </w:rPr>
        <w:t>附件2：质疑函范本及制作说明</w:t>
      </w: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质疑函范本</w:t>
      </w:r>
    </w:p>
    <w:p>
      <w:pPr>
        <w:snapToGrid w:val="0"/>
        <w:spacing w:beforeLines="100" w:line="360" w:lineRule="auto"/>
        <w:rPr>
          <w:rFonts w:ascii="宋体" w:hAnsi="宋体" w:cs="宋体"/>
          <w:bCs/>
          <w:sz w:val="24"/>
          <w:highlight w:val="none"/>
        </w:rPr>
      </w:pPr>
      <w:r>
        <w:rPr>
          <w:rFonts w:hint="eastAsia" w:ascii="宋体" w:hAnsi="宋体" w:cs="宋体"/>
          <w:bCs/>
          <w:sz w:val="24"/>
          <w:highlight w:val="none"/>
        </w:rPr>
        <w:t>一、质疑供应商基本信息</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质疑供应商：</w:t>
      </w:r>
    </w:p>
    <w:p>
      <w:pPr>
        <w:snapToGrid w:val="0"/>
        <w:spacing w:line="360" w:lineRule="auto"/>
        <w:rPr>
          <w:rFonts w:ascii="宋体" w:hAnsi="宋体" w:cs="宋体"/>
          <w:sz w:val="24"/>
          <w:highlight w:val="none"/>
        </w:rPr>
      </w:pPr>
      <w:r>
        <w:rPr>
          <w:rFonts w:hint="eastAsia" w:ascii="宋体" w:hAnsi="宋体" w:cs="宋体"/>
          <w:sz w:val="24"/>
          <w:highlight w:val="none"/>
        </w:rPr>
        <w:t>地址：邮编：</w:t>
      </w:r>
    </w:p>
    <w:p>
      <w:pPr>
        <w:snapToGrid w:val="0"/>
        <w:spacing w:line="360" w:lineRule="auto"/>
        <w:rPr>
          <w:rFonts w:ascii="宋体" w:hAnsi="宋体" w:cs="宋体"/>
          <w:sz w:val="24"/>
          <w:highlight w:val="none"/>
        </w:rPr>
      </w:pPr>
      <w:r>
        <w:rPr>
          <w:rFonts w:hint="eastAsia" w:ascii="宋体" w:hAnsi="宋体" w:cs="宋体"/>
          <w:sz w:val="24"/>
          <w:highlight w:val="none"/>
        </w:rPr>
        <w:t>联系人：联系电话：</w:t>
      </w:r>
    </w:p>
    <w:p>
      <w:pPr>
        <w:snapToGrid w:val="0"/>
        <w:spacing w:line="360" w:lineRule="auto"/>
        <w:rPr>
          <w:rFonts w:ascii="宋体" w:hAnsi="宋体" w:cs="宋体"/>
          <w:sz w:val="24"/>
          <w:highlight w:val="none"/>
          <w:u w:val="dotted"/>
        </w:rPr>
      </w:pPr>
      <w:r>
        <w:rPr>
          <w:rFonts w:hint="eastAsia" w:ascii="宋体" w:hAnsi="宋体" w:cs="宋体"/>
          <w:sz w:val="24"/>
          <w:highlight w:val="none"/>
        </w:rPr>
        <w:t>授权代表：</w:t>
      </w:r>
    </w:p>
    <w:p>
      <w:pPr>
        <w:snapToGrid w:val="0"/>
        <w:spacing w:line="360" w:lineRule="auto"/>
        <w:rPr>
          <w:rFonts w:ascii="宋体" w:hAnsi="宋体" w:cs="宋体"/>
          <w:sz w:val="24"/>
          <w:highlight w:val="none"/>
        </w:rPr>
      </w:pPr>
      <w:r>
        <w:rPr>
          <w:rFonts w:hint="eastAsia" w:ascii="宋体" w:hAnsi="宋体" w:cs="宋体"/>
          <w:sz w:val="24"/>
          <w:highlight w:val="none"/>
        </w:rPr>
        <w:t>联系电话：</w:t>
      </w:r>
    </w:p>
    <w:p>
      <w:pPr>
        <w:snapToGrid w:val="0"/>
        <w:spacing w:line="360" w:lineRule="auto"/>
        <w:rPr>
          <w:rFonts w:ascii="宋体" w:hAnsi="宋体" w:cs="宋体"/>
          <w:sz w:val="24"/>
          <w:highlight w:val="none"/>
        </w:rPr>
      </w:pPr>
      <w:r>
        <w:rPr>
          <w:rFonts w:hint="eastAsia" w:ascii="宋体" w:hAnsi="宋体" w:cs="宋体"/>
          <w:sz w:val="24"/>
          <w:highlight w:val="none"/>
        </w:rPr>
        <w:t>地址： 邮编：</w:t>
      </w:r>
    </w:p>
    <w:p>
      <w:pPr>
        <w:snapToGrid w:val="0"/>
        <w:spacing w:line="360" w:lineRule="auto"/>
        <w:rPr>
          <w:rFonts w:ascii="宋体" w:hAnsi="宋体" w:cs="宋体"/>
          <w:bCs/>
          <w:sz w:val="24"/>
          <w:highlight w:val="none"/>
        </w:rPr>
      </w:pPr>
      <w:r>
        <w:rPr>
          <w:rFonts w:hint="eastAsia" w:ascii="宋体" w:hAnsi="宋体" w:cs="宋体"/>
          <w:bCs/>
          <w:sz w:val="24"/>
          <w:highlight w:val="none"/>
        </w:rPr>
        <w:t>二、质疑项目基本情况</w:t>
      </w:r>
    </w:p>
    <w:p>
      <w:pPr>
        <w:snapToGrid w:val="0"/>
        <w:spacing w:line="360" w:lineRule="auto"/>
        <w:rPr>
          <w:rFonts w:ascii="宋体" w:hAnsi="宋体" w:cs="宋体"/>
          <w:sz w:val="24"/>
          <w:highlight w:val="none"/>
        </w:rPr>
      </w:pPr>
      <w:r>
        <w:rPr>
          <w:rFonts w:hint="eastAsia" w:ascii="宋体" w:hAnsi="宋体" w:cs="宋体"/>
          <w:sz w:val="24"/>
          <w:highlight w:val="none"/>
        </w:rPr>
        <w:t>质疑项目的名称：</w:t>
      </w:r>
    </w:p>
    <w:p>
      <w:pPr>
        <w:snapToGrid w:val="0"/>
        <w:spacing w:line="360" w:lineRule="auto"/>
        <w:rPr>
          <w:rFonts w:ascii="宋体" w:hAnsi="宋体" w:cs="宋体"/>
          <w:sz w:val="24"/>
          <w:highlight w:val="none"/>
        </w:rPr>
      </w:pPr>
      <w:r>
        <w:rPr>
          <w:rFonts w:hint="eastAsia" w:ascii="宋体" w:hAnsi="宋体" w:cs="宋体"/>
          <w:sz w:val="24"/>
          <w:highlight w:val="none"/>
        </w:rPr>
        <w:t>质疑项目的编号：包号：</w:t>
      </w:r>
    </w:p>
    <w:p>
      <w:pPr>
        <w:snapToGrid w:val="0"/>
        <w:spacing w:line="360" w:lineRule="auto"/>
        <w:rPr>
          <w:rFonts w:ascii="宋体" w:hAnsi="宋体" w:cs="宋体"/>
          <w:sz w:val="24"/>
          <w:highlight w:val="none"/>
          <w:u w:val="dotted"/>
        </w:rPr>
      </w:pPr>
      <w:r>
        <w:rPr>
          <w:rFonts w:hint="eastAsia" w:ascii="宋体" w:hAnsi="宋体" w:cs="宋体"/>
          <w:sz w:val="24"/>
          <w:highlight w:val="none"/>
        </w:rPr>
        <w:t>采购人名称：</w:t>
      </w:r>
    </w:p>
    <w:p>
      <w:pPr>
        <w:snapToGrid w:val="0"/>
        <w:spacing w:line="360" w:lineRule="auto"/>
        <w:rPr>
          <w:rFonts w:ascii="宋体" w:hAnsi="宋体" w:cs="宋体"/>
          <w:sz w:val="24"/>
          <w:highlight w:val="none"/>
        </w:rPr>
      </w:pPr>
      <w:r>
        <w:rPr>
          <w:rFonts w:hint="eastAsia" w:ascii="宋体" w:hAnsi="宋体" w:cs="宋体"/>
          <w:sz w:val="24"/>
          <w:highlight w:val="none"/>
        </w:rPr>
        <w:t>采购文件获取日期：</w:t>
      </w:r>
    </w:p>
    <w:p>
      <w:pPr>
        <w:snapToGrid w:val="0"/>
        <w:spacing w:line="360" w:lineRule="auto"/>
        <w:rPr>
          <w:rFonts w:ascii="宋体" w:hAnsi="宋体" w:cs="宋体"/>
          <w:bCs/>
          <w:sz w:val="24"/>
          <w:highlight w:val="none"/>
        </w:rPr>
      </w:pPr>
      <w:r>
        <w:rPr>
          <w:rFonts w:hint="eastAsia" w:ascii="宋体" w:hAnsi="宋体" w:cs="宋体"/>
          <w:bCs/>
          <w:sz w:val="24"/>
          <w:highlight w:val="none"/>
        </w:rPr>
        <w:t>三、质疑事项具体内容</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质疑事项1：</w:t>
      </w:r>
    </w:p>
    <w:p>
      <w:pPr>
        <w:snapToGrid w:val="0"/>
        <w:spacing w:line="360" w:lineRule="auto"/>
        <w:rPr>
          <w:rFonts w:ascii="宋体" w:hAnsi="宋体" w:cs="宋体"/>
          <w:sz w:val="24"/>
          <w:highlight w:val="none"/>
          <w:u w:val="dotted"/>
        </w:rPr>
      </w:pPr>
      <w:r>
        <w:rPr>
          <w:rFonts w:hint="eastAsia" w:ascii="宋体" w:hAnsi="宋体" w:cs="宋体"/>
          <w:sz w:val="24"/>
          <w:highlight w:val="none"/>
        </w:rPr>
        <w:t>事实依据：</w:t>
      </w:r>
    </w:p>
    <w:p>
      <w:pPr>
        <w:snapToGrid w:val="0"/>
        <w:spacing w:line="360" w:lineRule="auto"/>
        <w:rPr>
          <w:rFonts w:ascii="宋体" w:hAnsi="宋体" w:cs="宋体"/>
          <w:sz w:val="24"/>
          <w:highlight w:val="none"/>
        </w:rPr>
      </w:pPr>
    </w:p>
    <w:p>
      <w:pPr>
        <w:snapToGrid w:val="0"/>
        <w:spacing w:line="360" w:lineRule="auto"/>
        <w:rPr>
          <w:rFonts w:ascii="宋体" w:hAnsi="宋体" w:cs="宋体"/>
          <w:sz w:val="24"/>
          <w:highlight w:val="none"/>
          <w:u w:val="dotted"/>
        </w:rPr>
      </w:pPr>
      <w:r>
        <w:rPr>
          <w:rFonts w:hint="eastAsia" w:ascii="宋体" w:hAnsi="宋体" w:cs="宋体"/>
          <w:sz w:val="24"/>
          <w:highlight w:val="none"/>
        </w:rPr>
        <w:t>法律依据：</w:t>
      </w:r>
    </w:p>
    <w:p>
      <w:pPr>
        <w:snapToGrid w:val="0"/>
        <w:spacing w:line="360" w:lineRule="auto"/>
        <w:rPr>
          <w:rFonts w:ascii="宋体" w:hAnsi="宋体" w:cs="宋体"/>
          <w:sz w:val="24"/>
          <w:highlight w:val="none"/>
          <w:u w:val="dotted"/>
        </w:rPr>
      </w:pP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质疑事项2</w:t>
      </w:r>
    </w:p>
    <w:p>
      <w:pPr>
        <w:snapToGrid w:val="0"/>
        <w:spacing w:line="360" w:lineRule="auto"/>
        <w:rPr>
          <w:rFonts w:ascii="宋体" w:hAnsi="宋体" w:cs="宋体"/>
          <w:sz w:val="24"/>
          <w:highlight w:val="none"/>
        </w:rPr>
      </w:pPr>
      <w:r>
        <w:rPr>
          <w:rFonts w:hint="eastAsia" w:ascii="宋体" w:hAnsi="宋体" w:cs="宋体"/>
          <w:sz w:val="24"/>
          <w:highlight w:val="none"/>
        </w:rPr>
        <w:t>……</w:t>
      </w:r>
    </w:p>
    <w:p>
      <w:pPr>
        <w:snapToGrid w:val="0"/>
        <w:spacing w:line="360" w:lineRule="auto"/>
        <w:rPr>
          <w:rFonts w:ascii="宋体" w:hAnsi="宋体" w:cs="宋体"/>
          <w:bCs/>
          <w:sz w:val="24"/>
          <w:highlight w:val="none"/>
        </w:rPr>
      </w:pPr>
      <w:r>
        <w:rPr>
          <w:rFonts w:hint="eastAsia" w:ascii="宋体" w:hAnsi="宋体" w:cs="宋体"/>
          <w:bCs/>
          <w:sz w:val="24"/>
          <w:highlight w:val="none"/>
        </w:rPr>
        <w:t>四、与质疑事项相关的质疑请求</w:t>
      </w:r>
    </w:p>
    <w:p>
      <w:pPr>
        <w:snapToGrid w:val="0"/>
        <w:spacing w:line="360" w:lineRule="auto"/>
        <w:rPr>
          <w:rFonts w:ascii="宋体" w:hAnsi="宋体" w:cs="宋体"/>
          <w:sz w:val="24"/>
          <w:highlight w:val="none"/>
          <w:u w:val="dotted"/>
        </w:rPr>
      </w:pPr>
      <w:r>
        <w:rPr>
          <w:rFonts w:hint="eastAsia" w:ascii="宋体" w:hAnsi="宋体" w:cs="宋体"/>
          <w:sz w:val="24"/>
          <w:highlight w:val="none"/>
        </w:rPr>
        <w:t>请求：</w:t>
      </w: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jc w:val="center"/>
        <w:rPr>
          <w:rFonts w:ascii="宋体" w:hAnsi="宋体" w:cs="宋体"/>
          <w:b/>
          <w:bCs/>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质疑函制作说明：</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1.供应商提出质疑时，应提交质疑函和必要的证明材料。</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5.质疑函的质疑请求应与质疑事项相关。</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outlineLvl w:val="1"/>
        <w:rPr>
          <w:rFonts w:ascii="宋体" w:hAnsi="宋体" w:cs="宋体"/>
          <w:b/>
          <w:spacing w:val="6"/>
          <w:sz w:val="32"/>
          <w:szCs w:val="32"/>
          <w:highlight w:val="none"/>
        </w:rPr>
      </w:pPr>
      <w:r>
        <w:rPr>
          <w:rFonts w:hint="eastAsia" w:ascii="宋体" w:hAnsi="宋体" w:cs="宋体"/>
          <w:b/>
          <w:spacing w:val="6"/>
          <w:sz w:val="32"/>
          <w:szCs w:val="32"/>
          <w:highlight w:val="none"/>
        </w:rPr>
        <w:t>附件3：投诉书范本及制作说明</w:t>
      </w:r>
    </w:p>
    <w:p>
      <w:pPr>
        <w:spacing w:line="360" w:lineRule="auto"/>
        <w:jc w:val="center"/>
        <w:rPr>
          <w:rFonts w:ascii="宋体" w:hAnsi="宋体" w:cs="宋体"/>
          <w:b/>
          <w:sz w:val="24"/>
          <w:highlight w:val="none"/>
        </w:rPr>
      </w:pP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投诉书范本</w:t>
      </w:r>
    </w:p>
    <w:p>
      <w:pPr>
        <w:spacing w:line="360" w:lineRule="auto"/>
        <w:rPr>
          <w:rFonts w:ascii="宋体" w:hAnsi="宋体" w:cs="宋体"/>
          <w:sz w:val="24"/>
          <w:highlight w:val="none"/>
        </w:rPr>
      </w:pPr>
      <w:r>
        <w:rPr>
          <w:rFonts w:hint="eastAsia" w:ascii="宋体" w:hAnsi="宋体" w:cs="宋体"/>
          <w:sz w:val="24"/>
          <w:highlight w:val="none"/>
        </w:rPr>
        <w:t>一、投诉相关主体基本情况</w:t>
      </w:r>
    </w:p>
    <w:p>
      <w:pPr>
        <w:spacing w:line="360" w:lineRule="auto"/>
        <w:rPr>
          <w:rFonts w:ascii="宋体" w:hAnsi="宋体" w:cs="宋体"/>
          <w:sz w:val="24"/>
          <w:highlight w:val="none"/>
          <w:u w:val="dotted"/>
        </w:rPr>
      </w:pPr>
      <w:r>
        <w:rPr>
          <w:rFonts w:hint="eastAsia" w:ascii="宋体" w:hAnsi="宋体" w:cs="宋体"/>
          <w:sz w:val="24"/>
          <w:highlight w:val="none"/>
        </w:rPr>
        <w:t>投诉人：</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tabs>
          <w:tab w:val="left" w:pos="6510"/>
        </w:tabs>
        <w:spacing w:line="360" w:lineRule="auto"/>
        <w:jc w:val="left"/>
        <w:rPr>
          <w:rFonts w:ascii="宋体" w:hAnsi="宋体" w:cs="宋体"/>
          <w:sz w:val="24"/>
          <w:highlight w:val="none"/>
        </w:rPr>
      </w:pPr>
      <w:r>
        <w:rPr>
          <w:rFonts w:hint="eastAsia" w:ascii="宋体" w:hAnsi="宋体" w:cs="宋体"/>
          <w:sz w:val="24"/>
          <w:highlight w:val="none"/>
        </w:rPr>
        <w:t>法定代表人/主要负责人：</w:t>
      </w:r>
    </w:p>
    <w:p>
      <w:pPr>
        <w:tabs>
          <w:tab w:val="left" w:pos="6510"/>
        </w:tabs>
        <w:spacing w:line="360" w:lineRule="auto"/>
        <w:rPr>
          <w:rFonts w:ascii="宋体" w:hAnsi="宋体" w:cs="宋体"/>
          <w:sz w:val="24"/>
          <w:highlight w:val="none"/>
          <w:u w:val="dotted"/>
        </w:rPr>
      </w:pPr>
      <w:r>
        <w:rPr>
          <w:rFonts w:hint="eastAsia" w:ascii="宋体" w:hAnsi="宋体" w:cs="宋体"/>
          <w:sz w:val="24"/>
          <w:highlight w:val="none"/>
        </w:rPr>
        <w:t>联系电话：</w:t>
      </w:r>
    </w:p>
    <w:p>
      <w:pPr>
        <w:spacing w:line="360" w:lineRule="auto"/>
        <w:rPr>
          <w:rFonts w:ascii="宋体" w:hAnsi="宋体" w:cs="宋体"/>
          <w:sz w:val="24"/>
          <w:highlight w:val="none"/>
          <w:u w:val="dotted"/>
        </w:rPr>
      </w:pPr>
      <w:r>
        <w:rPr>
          <w:rFonts w:hint="eastAsia" w:ascii="宋体" w:hAnsi="宋体" w:cs="宋体"/>
          <w:sz w:val="24"/>
          <w:highlight w:val="none"/>
        </w:rPr>
        <w:t>授权代表：联系电话</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被投诉人1：</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联系人：联系电话：</w:t>
      </w:r>
    </w:p>
    <w:p>
      <w:pPr>
        <w:spacing w:line="360" w:lineRule="auto"/>
        <w:rPr>
          <w:rFonts w:ascii="宋体" w:hAnsi="宋体" w:cs="宋体"/>
          <w:sz w:val="24"/>
          <w:highlight w:val="none"/>
        </w:rPr>
      </w:pPr>
      <w:r>
        <w:rPr>
          <w:rFonts w:hint="eastAsia" w:ascii="宋体" w:hAnsi="宋体" w:cs="宋体"/>
          <w:sz w:val="24"/>
          <w:highlight w:val="none"/>
        </w:rPr>
        <w:t>被投诉人2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u w:val="single"/>
        </w:rPr>
      </w:pPr>
      <w:r>
        <w:rPr>
          <w:rFonts w:hint="eastAsia" w:ascii="宋体" w:hAnsi="宋体" w:cs="宋体"/>
          <w:sz w:val="24"/>
          <w:highlight w:val="none"/>
        </w:rPr>
        <w:t>相关供应商：</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联系人：联系电话：</w:t>
      </w:r>
    </w:p>
    <w:p>
      <w:pPr>
        <w:spacing w:line="360" w:lineRule="auto"/>
        <w:rPr>
          <w:rFonts w:ascii="宋体" w:hAnsi="宋体" w:cs="宋体"/>
          <w:sz w:val="24"/>
          <w:highlight w:val="none"/>
        </w:rPr>
      </w:pPr>
      <w:r>
        <w:rPr>
          <w:rFonts w:hint="eastAsia" w:ascii="宋体" w:hAnsi="宋体" w:cs="宋体"/>
          <w:sz w:val="24"/>
          <w:highlight w:val="none"/>
        </w:rPr>
        <w:t>二、投诉项目基本情况</w:t>
      </w:r>
    </w:p>
    <w:p>
      <w:pPr>
        <w:spacing w:line="360" w:lineRule="auto"/>
        <w:rPr>
          <w:rFonts w:ascii="宋体" w:hAnsi="宋体" w:cs="宋体"/>
          <w:sz w:val="24"/>
          <w:highlight w:val="none"/>
          <w:u w:val="dotted"/>
        </w:rPr>
      </w:pPr>
      <w:r>
        <w:rPr>
          <w:rFonts w:hint="eastAsia" w:ascii="宋体" w:hAnsi="宋体" w:cs="宋体"/>
          <w:sz w:val="24"/>
          <w:highlight w:val="none"/>
        </w:rPr>
        <w:t>采购项目名称：</w:t>
      </w:r>
    </w:p>
    <w:p>
      <w:pPr>
        <w:spacing w:line="360" w:lineRule="auto"/>
        <w:rPr>
          <w:rFonts w:ascii="宋体" w:hAnsi="宋体" w:cs="宋体"/>
          <w:sz w:val="24"/>
          <w:highlight w:val="none"/>
          <w:u w:val="single"/>
        </w:rPr>
      </w:pPr>
      <w:r>
        <w:rPr>
          <w:rFonts w:hint="eastAsia" w:ascii="宋体" w:hAnsi="宋体" w:cs="宋体"/>
          <w:sz w:val="24"/>
          <w:highlight w:val="none"/>
        </w:rPr>
        <w:t>采购项目编号：包号：</w:t>
      </w:r>
    </w:p>
    <w:p>
      <w:pPr>
        <w:spacing w:line="360" w:lineRule="auto"/>
        <w:rPr>
          <w:rFonts w:ascii="宋体" w:hAnsi="宋体" w:cs="宋体"/>
          <w:sz w:val="24"/>
          <w:highlight w:val="none"/>
        </w:rPr>
      </w:pPr>
      <w:r>
        <w:rPr>
          <w:rFonts w:hint="eastAsia" w:ascii="宋体" w:hAnsi="宋体" w:cs="宋体"/>
          <w:sz w:val="24"/>
          <w:highlight w:val="none"/>
        </w:rPr>
        <w:t>采购人名称：</w:t>
      </w:r>
    </w:p>
    <w:p>
      <w:pPr>
        <w:spacing w:line="360" w:lineRule="auto"/>
        <w:rPr>
          <w:rFonts w:ascii="宋体" w:hAnsi="宋体" w:cs="宋体"/>
          <w:sz w:val="24"/>
          <w:highlight w:val="none"/>
          <w:u w:val="single"/>
        </w:rPr>
      </w:pPr>
      <w:r>
        <w:rPr>
          <w:rFonts w:hint="eastAsia" w:ascii="宋体" w:hAnsi="宋体" w:cs="宋体"/>
          <w:sz w:val="24"/>
          <w:highlight w:val="none"/>
        </w:rPr>
        <w:t>代理机构名称：</w:t>
      </w:r>
    </w:p>
    <w:p>
      <w:pPr>
        <w:spacing w:line="360" w:lineRule="auto"/>
        <w:rPr>
          <w:rFonts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pPr>
        <w:spacing w:line="360" w:lineRule="auto"/>
        <w:rPr>
          <w:rFonts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pPr>
        <w:spacing w:line="360" w:lineRule="auto"/>
        <w:rPr>
          <w:rFonts w:ascii="宋体" w:hAnsi="宋体" w:cs="宋体"/>
          <w:sz w:val="24"/>
          <w:highlight w:val="none"/>
        </w:rPr>
      </w:pPr>
      <w:r>
        <w:rPr>
          <w:rFonts w:hint="eastAsia" w:ascii="宋体" w:hAnsi="宋体" w:cs="宋体"/>
          <w:sz w:val="24"/>
          <w:highlight w:val="none"/>
        </w:rPr>
        <w:t>三、质疑基本情况</w:t>
      </w:r>
    </w:p>
    <w:p>
      <w:pPr>
        <w:spacing w:line="360" w:lineRule="auto"/>
        <w:ind w:firstLine="480" w:firstLineChars="200"/>
        <w:rPr>
          <w:rFonts w:ascii="宋体" w:hAnsi="宋体" w:cs="宋体"/>
          <w:sz w:val="24"/>
          <w:highlight w:val="none"/>
          <w:u w:val="dotted"/>
        </w:rPr>
      </w:pPr>
      <w:r>
        <w:rPr>
          <w:rFonts w:hint="eastAsia" w:ascii="宋体" w:hAnsi="宋体" w:cs="宋体"/>
          <w:sz w:val="24"/>
          <w:highlight w:val="none"/>
        </w:rPr>
        <w:t>投诉人于年月日,向提出质疑，质疑事项为：</w:t>
      </w:r>
    </w:p>
    <w:p>
      <w:pPr>
        <w:spacing w:line="360" w:lineRule="auto"/>
        <w:rPr>
          <w:rFonts w:ascii="宋体" w:hAnsi="宋体" w:cs="宋体"/>
          <w:sz w:val="24"/>
          <w:highlight w:val="none"/>
          <w:u w:val="dotted"/>
        </w:rPr>
      </w:pPr>
    </w:p>
    <w:p>
      <w:pPr>
        <w:spacing w:line="360" w:lineRule="auto"/>
        <w:ind w:firstLine="360" w:firstLineChars="150"/>
        <w:rPr>
          <w:rFonts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于年月日,就质疑事项作出了答复/没有在法定期限内作出答复。</w:t>
      </w:r>
    </w:p>
    <w:p>
      <w:pPr>
        <w:spacing w:line="360" w:lineRule="auto"/>
        <w:rPr>
          <w:rFonts w:ascii="宋体" w:hAnsi="宋体" w:cs="宋体"/>
          <w:sz w:val="24"/>
          <w:highlight w:val="none"/>
        </w:rPr>
      </w:pPr>
      <w:r>
        <w:rPr>
          <w:rFonts w:hint="eastAsia" w:ascii="宋体" w:hAnsi="宋体" w:cs="宋体"/>
          <w:sz w:val="24"/>
          <w:highlight w:val="none"/>
        </w:rPr>
        <w:t>四、投诉事项具体内容</w:t>
      </w:r>
    </w:p>
    <w:p>
      <w:pPr>
        <w:spacing w:line="360" w:lineRule="auto"/>
        <w:rPr>
          <w:rFonts w:ascii="宋体" w:hAnsi="宋体" w:cs="宋体"/>
          <w:sz w:val="24"/>
          <w:highlight w:val="none"/>
          <w:u w:val="single"/>
        </w:rPr>
      </w:pPr>
      <w:r>
        <w:rPr>
          <w:rFonts w:hint="eastAsia" w:ascii="宋体" w:hAnsi="宋体" w:cs="宋体"/>
          <w:sz w:val="24"/>
          <w:highlight w:val="none"/>
        </w:rPr>
        <w:t>投诉事项 1：</w:t>
      </w:r>
    </w:p>
    <w:p>
      <w:pPr>
        <w:spacing w:line="360" w:lineRule="auto"/>
        <w:rPr>
          <w:rFonts w:ascii="宋体" w:hAnsi="宋体" w:cs="宋体"/>
          <w:sz w:val="24"/>
          <w:highlight w:val="none"/>
        </w:rPr>
      </w:pPr>
      <w:r>
        <w:rPr>
          <w:rFonts w:hint="eastAsia" w:ascii="宋体" w:hAnsi="宋体" w:cs="宋体"/>
          <w:sz w:val="24"/>
          <w:highlight w:val="none"/>
        </w:rPr>
        <w:t>事实依据：</w:t>
      </w:r>
    </w:p>
    <w:p>
      <w:pPr>
        <w:spacing w:line="360" w:lineRule="auto"/>
        <w:rPr>
          <w:rFonts w:ascii="宋体" w:hAnsi="宋体" w:cs="宋体"/>
          <w:sz w:val="24"/>
          <w:highlight w:val="none"/>
          <w:u w:val="dotted"/>
        </w:rPr>
      </w:pPr>
    </w:p>
    <w:p>
      <w:pPr>
        <w:spacing w:line="360" w:lineRule="auto"/>
        <w:rPr>
          <w:rFonts w:ascii="宋体" w:hAnsi="宋体" w:cs="宋体"/>
          <w:sz w:val="24"/>
          <w:highlight w:val="none"/>
          <w:u w:val="single"/>
        </w:rPr>
      </w:pPr>
      <w:r>
        <w:rPr>
          <w:rFonts w:hint="eastAsia" w:ascii="宋体" w:hAnsi="宋体" w:cs="宋体"/>
          <w:sz w:val="24"/>
          <w:highlight w:val="none"/>
        </w:rPr>
        <w:t>法律依据：</w:t>
      </w:r>
    </w:p>
    <w:p>
      <w:pPr>
        <w:spacing w:line="360" w:lineRule="auto"/>
        <w:rPr>
          <w:rFonts w:ascii="宋体" w:hAnsi="宋体" w:cs="宋体"/>
          <w:sz w:val="24"/>
          <w:highlight w:val="none"/>
          <w:u w:val="dotted"/>
        </w:rPr>
      </w:pPr>
    </w:p>
    <w:p>
      <w:pPr>
        <w:spacing w:line="360" w:lineRule="auto"/>
        <w:rPr>
          <w:rFonts w:ascii="宋体" w:hAnsi="宋体" w:cs="宋体"/>
          <w:sz w:val="24"/>
          <w:highlight w:val="none"/>
        </w:rPr>
      </w:pPr>
      <w:r>
        <w:rPr>
          <w:rFonts w:hint="eastAsia" w:ascii="宋体" w:hAnsi="宋体" w:cs="宋体"/>
          <w:sz w:val="24"/>
          <w:highlight w:val="none"/>
        </w:rPr>
        <w:t>投诉事项2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rPr>
      </w:pPr>
      <w:r>
        <w:rPr>
          <w:rFonts w:hint="eastAsia" w:ascii="宋体" w:hAnsi="宋体" w:cs="宋体"/>
          <w:sz w:val="24"/>
          <w:highlight w:val="none"/>
        </w:rPr>
        <w:t>五、与投诉事项相关的投诉请求</w:t>
      </w:r>
    </w:p>
    <w:p>
      <w:pPr>
        <w:spacing w:line="360" w:lineRule="auto"/>
        <w:rPr>
          <w:rFonts w:ascii="宋体" w:hAnsi="宋体" w:cs="宋体"/>
          <w:sz w:val="24"/>
          <w:highlight w:val="none"/>
        </w:rPr>
      </w:pPr>
      <w:r>
        <w:rPr>
          <w:rFonts w:hint="eastAsia" w:ascii="宋体" w:hAnsi="宋体" w:cs="宋体"/>
          <w:sz w:val="24"/>
          <w:highlight w:val="none"/>
        </w:rPr>
        <w:t>请求：</w:t>
      </w:r>
    </w:p>
    <w:p>
      <w:pPr>
        <w:spacing w:line="360" w:lineRule="auto"/>
        <w:rPr>
          <w:rFonts w:ascii="宋体" w:hAnsi="宋体" w:cs="宋体"/>
          <w:sz w:val="24"/>
          <w:highlight w:val="none"/>
          <w:u w:val="single"/>
        </w:rPr>
      </w:pP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投诉书制作说明：</w:t>
      </w:r>
    </w:p>
    <w:p>
      <w:pPr>
        <w:widowControl/>
        <w:spacing w:line="360" w:lineRule="auto"/>
        <w:ind w:firstLine="480" w:firstLineChars="200"/>
        <w:rPr>
          <w:rFonts w:ascii="宋体" w:hAnsi="宋体" w:cs="宋体"/>
          <w:kern w:val="0"/>
          <w:sz w:val="24"/>
          <w:highlight w:val="none"/>
        </w:rPr>
      </w:pPr>
      <w:r>
        <w:rPr>
          <w:rFonts w:hint="eastAsia" w:ascii="宋体" w:hAnsi="宋体" w:cs="宋体"/>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2.投诉人若委托代理人进行投诉的，投诉书应按照要求列明“授权代表”的有关内容，并在附件中提交由</w:t>
      </w:r>
      <w:r>
        <w:rPr>
          <w:rFonts w:hint="eastAsia" w:ascii="宋体" w:hAnsi="宋体"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6.投诉书的投诉请求应与投诉事项相关。</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outlineLvl w:val="1"/>
        <w:rPr>
          <w:rFonts w:ascii="宋体" w:hAnsi="宋体" w:cs="宋体"/>
          <w:b/>
          <w:bCs/>
          <w:sz w:val="32"/>
          <w:szCs w:val="32"/>
          <w:highlight w:val="none"/>
        </w:rPr>
      </w:pPr>
      <w:r>
        <w:rPr>
          <w:rFonts w:hint="eastAsia" w:ascii="宋体" w:hAnsi="宋体" w:cs="宋体"/>
          <w:b/>
          <w:spacing w:val="6"/>
          <w:sz w:val="32"/>
          <w:szCs w:val="32"/>
          <w:highlight w:val="none"/>
        </w:rPr>
        <w:t>附件4：</w:t>
      </w:r>
      <w:r>
        <w:rPr>
          <w:rFonts w:hint="eastAsia" w:ascii="宋体" w:hAnsi="宋体" w:cs="宋体"/>
          <w:b/>
          <w:bCs/>
          <w:sz w:val="32"/>
          <w:szCs w:val="32"/>
          <w:highlight w:val="none"/>
        </w:rPr>
        <w:t>业务专用章使用说明函</w:t>
      </w:r>
    </w:p>
    <w:p>
      <w:pPr>
        <w:spacing w:line="360" w:lineRule="auto"/>
        <w:rPr>
          <w:rFonts w:ascii="宋体" w:hAnsi="宋体" w:cs="宋体"/>
          <w:color w:val="0000FF"/>
          <w:sz w:val="24"/>
          <w:highlight w:val="none"/>
          <w:u w:val="single"/>
        </w:rPr>
      </w:pPr>
    </w:p>
    <w:p>
      <w:pPr>
        <w:spacing w:line="360" w:lineRule="auto"/>
        <w:rPr>
          <w:rFonts w:ascii="宋体" w:hAnsi="宋体" w:cs="宋体"/>
          <w:sz w:val="24"/>
          <w:highlight w:val="none"/>
        </w:rPr>
      </w:pPr>
      <w:r>
        <w:rPr>
          <w:rFonts w:hint="eastAsia" w:ascii="宋体" w:hAnsi="宋体" w:cs="宋体"/>
          <w:color w:val="0000FF"/>
          <w:sz w:val="24"/>
          <w:highlight w:val="none"/>
          <w:u w:val="single"/>
        </w:rPr>
        <w:t>（采购人）</w:t>
      </w:r>
      <w:r>
        <w:rPr>
          <w:rFonts w:hint="eastAsia" w:ascii="宋体" w:hAnsi="宋体" w:cs="宋体"/>
          <w:sz w:val="24"/>
          <w:highlight w:val="none"/>
          <w:u w:val="single"/>
        </w:rPr>
        <w:t>、（采购代理机构）：</w:t>
      </w:r>
    </w:p>
    <w:p>
      <w:pPr>
        <w:spacing w:line="360" w:lineRule="auto"/>
        <w:ind w:firstLine="480" w:firstLineChars="200"/>
        <w:rPr>
          <w:rFonts w:ascii="宋体" w:hAnsi="宋体" w:cs="宋体"/>
          <w:sz w:val="24"/>
          <w:highlight w:val="none"/>
        </w:rPr>
      </w:pPr>
      <w:r>
        <w:rPr>
          <w:rFonts w:hint="eastAsia" w:ascii="宋体" w:hAnsi="宋体" w:cs="宋体"/>
          <w:kern w:val="0"/>
          <w:sz w:val="24"/>
          <w:highlight w:val="none"/>
          <w:lang w:val="zh-CN"/>
        </w:rPr>
        <w:t>我方</w:t>
      </w:r>
      <w:r>
        <w:rPr>
          <w:rFonts w:hint="eastAsia" w:ascii="宋体" w:hAnsi="宋体" w:cs="宋体"/>
          <w:sz w:val="24"/>
          <w:highlight w:val="none"/>
        </w:rPr>
        <w:t>(投标人全称)是中华人民共和国依法登记注册的合法企业，</w:t>
      </w:r>
      <w:r>
        <w:rPr>
          <w:rFonts w:hint="eastAsia" w:ascii="宋体" w:hAnsi="宋体" w:cs="宋体"/>
          <w:bCs/>
          <w:sz w:val="24"/>
          <w:highlight w:val="none"/>
        </w:rPr>
        <w:t>在参加</w:t>
      </w:r>
      <w:r>
        <w:rPr>
          <w:rFonts w:hint="eastAsia" w:ascii="宋体" w:hAnsi="宋体" w:cs="宋体"/>
          <w:sz w:val="24"/>
          <w:highlight w:val="none"/>
        </w:rPr>
        <w:t>你方组织的</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w:t>
      </w:r>
      <w:r>
        <w:rPr>
          <w:rFonts w:hint="eastAsia" w:ascii="宋体" w:hAnsi="宋体" w:cs="宋体"/>
          <w:bCs/>
          <w:sz w:val="24"/>
          <w:highlight w:val="none"/>
        </w:rPr>
        <w:t>投标活动中作如下说明：</w:t>
      </w:r>
      <w:r>
        <w:rPr>
          <w:rFonts w:hint="eastAsia" w:ascii="宋体" w:hAnsi="宋体" w:cs="宋体"/>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特此说明。</w:t>
      </w: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right="480" w:firstLine="4080" w:firstLineChars="1700"/>
        <w:rPr>
          <w:rFonts w:ascii="宋体" w:hAnsi="宋体" w:cs="宋体"/>
          <w:sz w:val="24"/>
          <w:highlight w:val="none"/>
        </w:rPr>
      </w:pPr>
      <w:r>
        <w:rPr>
          <w:rFonts w:hint="eastAsia" w:ascii="宋体" w:hAnsi="宋体" w:cs="宋体"/>
          <w:sz w:val="24"/>
          <w:highlight w:val="none"/>
        </w:rPr>
        <w:t>投标单位（法定名称章）：</w:t>
      </w:r>
    </w:p>
    <w:p>
      <w:pPr>
        <w:ind w:right="1440" w:firstLine="494"/>
        <w:jc w:val="center"/>
        <w:rPr>
          <w:rFonts w:ascii="宋体" w:hAnsi="宋体" w:cs="宋体"/>
          <w:sz w:val="24"/>
          <w:highlight w:val="none"/>
        </w:rPr>
      </w:pPr>
      <w:r>
        <w:rPr>
          <w:rFonts w:hint="eastAsia" w:ascii="宋体" w:hAnsi="宋体" w:cs="宋体"/>
          <w:sz w:val="24"/>
          <w:highlight w:val="none"/>
        </w:rPr>
        <w:t xml:space="preserve">                              日期：       年     月     日</w:t>
      </w:r>
    </w:p>
    <w:p>
      <w:pPr>
        <w:rPr>
          <w:rFonts w:ascii="宋体" w:hAnsi="宋体" w:cs="宋体"/>
          <w:sz w:val="24"/>
          <w:highlight w:val="none"/>
        </w:rPr>
      </w:pPr>
      <w:r>
        <w:rPr>
          <w:rFonts w:hint="eastAsia" w:ascii="宋体" w:hAnsi="宋体" w:cs="宋体"/>
          <w:b/>
          <w:bCs/>
          <w:sz w:val="24"/>
          <w:highlight w:val="none"/>
        </w:rPr>
        <w:t>附：</w:t>
      </w:r>
    </w:p>
    <w:p>
      <w:pPr>
        <w:spacing w:line="360" w:lineRule="auto"/>
        <w:rPr>
          <w:rFonts w:ascii="宋体" w:hAnsi="宋体" w:cs="宋体"/>
          <w:bCs/>
          <w:sz w:val="24"/>
          <w:highlight w:val="none"/>
        </w:rPr>
      </w:pPr>
      <w:r>
        <w:rPr>
          <w:rFonts w:ascii="宋体" w:hAnsi="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30"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8hcBeDACAACE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kA8/2AAAAAoBAAAPAAAAAAAAAAEAIAAAACIAAABkcnMvZG93bnJldi54bWxQ&#10;SwECFAAUAAAACACHTuJA8hcBeDACAACEBAAADgAAAAAAAAABACAAAAAnAQAAZHJzL2Uyb0RvYy54&#10;bWxQSwUGAAAAAAYABgBZAQAAyQUAAAAA&#10;">
                <v:fill on="t" focussize="0,0"/>
                <v:stroke color="#000000" miterlimit="2" joinstyle="miter"/>
                <v:imagedata o:title=""/>
                <o:lock v:ext="edit" aspectratio="f"/>
              </v:rect>
            </w:pict>
          </mc:Fallback>
        </mc:AlternateContent>
      </w:r>
      <w:r>
        <w:rPr>
          <w:rFonts w:ascii="宋体" w:hAnsi="宋体" w:cs="宋体"/>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3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jEem2AAAAAoBAAAPAAAAAAAAAAEAIAAAACIAAABkcnMvZG93bnJldi54bWxQ&#10;SwECFAAUAAAACACHTuJAmhZhwzACAACEBAAADgAAAAAAAAABACAAAAAnAQAAZHJzL2Uyb0RvYy54&#10;bWxQSwUGAAAAAAYABgBZAQAAyQUAAAAA&#10;">
                <v:fill on="t" focussize="0,0"/>
                <v:stroke color="#000000" miterlimit="2" joinstyle="miter"/>
                <v:imagedata o:title=""/>
                <o:lock v:ext="edit" aspectratio="f"/>
              </v:rect>
            </w:pict>
          </mc:Fallback>
        </mc:AlternateContent>
      </w:r>
      <w:r>
        <w:rPr>
          <w:rFonts w:hint="eastAsia" w:ascii="宋体" w:hAnsi="宋体" w:cs="宋体"/>
          <w:sz w:val="24"/>
          <w:highlight w:val="none"/>
        </w:rPr>
        <w:t>投标单位法定名称章（印模）                投标单位“XX专用章”（印模）</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snapToGrid w:val="0"/>
        <w:spacing w:line="360" w:lineRule="auto"/>
        <w:jc w:val="center"/>
        <w:outlineLvl w:val="1"/>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5</w:t>
      </w:r>
      <w:r>
        <w:rPr>
          <w:rFonts w:hint="eastAsia" w:ascii="宋体" w:hAnsi="宋体" w:cs="宋体"/>
          <w:b/>
          <w:kern w:val="0"/>
          <w:sz w:val="32"/>
          <w:szCs w:val="32"/>
          <w:highlight w:val="none"/>
        </w:rPr>
        <w:t>：联合协议</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w:t>
      </w:r>
      <w:r>
        <w:rPr>
          <w:rFonts w:hint="eastAsia" w:ascii="宋体" w:hAnsi="宋体" w:cs="宋体"/>
          <w:kern w:val="0"/>
          <w:sz w:val="24"/>
          <w:highlight w:val="none"/>
          <w:lang w:val="zh-CN"/>
        </w:rPr>
        <w:t xml:space="preserve">投标。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pPr>
        <w:snapToGrid w:val="0"/>
        <w:spacing w:line="360" w:lineRule="auto"/>
        <w:ind w:firstLine="576"/>
        <w:rPr>
          <w:rFonts w:ascii="宋体" w:hAnsi="宋体" w:cs="宋体"/>
          <w:kern w:val="0"/>
          <w:sz w:val="24"/>
          <w:highlight w:val="none"/>
          <w:lang w:val="zh-CN"/>
        </w:rPr>
      </w:pPr>
      <w:bookmarkStart w:id="563" w:name="_Hlk101134295"/>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w:t>
      </w:r>
      <w:r>
        <w:rPr>
          <w:rFonts w:ascii="宋体" w:hAnsi="宋体" w:cs="宋体"/>
          <w:kern w:val="0"/>
          <w:sz w:val="24"/>
          <w:highlight w:val="none"/>
          <w:u w:val="single"/>
        </w:rPr>
        <w:t>2</w:t>
      </w:r>
      <w:r>
        <w:rPr>
          <w:rFonts w:hint="eastAsia" w:ascii="宋体" w:hAnsi="宋体" w:cs="宋体"/>
          <w:kern w:val="0"/>
          <w:sz w:val="24"/>
          <w:highlight w:val="none"/>
          <w:u w:val="single"/>
        </w:rPr>
        <w:t>）</w:t>
      </w:r>
      <w:r>
        <w:rPr>
          <w:rFonts w:hint="eastAsia" w:ascii="宋体" w:hAnsi="宋体" w:cs="宋体"/>
          <w:kern w:val="0"/>
          <w:sz w:val="24"/>
          <w:highlight w:val="none"/>
          <w:lang w:val="zh-CN"/>
        </w:rPr>
        <w:t>承担的工作和义务为：；</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w:t>
      </w:r>
    </w:p>
    <w:bookmarkEnd w:id="563"/>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pPr>
        <w:snapToGrid w:val="0"/>
        <w:spacing w:line="360" w:lineRule="auto"/>
        <w:ind w:firstLine="576"/>
        <w:rPr>
          <w:rFonts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（联合体成员</w:t>
      </w:r>
      <w:r>
        <w:rPr>
          <w:rFonts w:ascii="宋体" w:hAnsi="宋体" w:cs="宋体"/>
          <w:kern w:val="0"/>
          <w:sz w:val="24"/>
          <w:highlight w:val="none"/>
          <w:u w:val="single"/>
        </w:rPr>
        <w:t>X,</w:t>
      </w:r>
      <w:r>
        <w:rPr>
          <w:rFonts w:hint="eastAsia" w:ascii="宋体" w:hAnsi="宋体" w:cs="宋体"/>
          <w:kern w:val="0"/>
          <w:sz w:val="24"/>
          <w:highlight w:val="none"/>
          <w:u w:val="single"/>
        </w:rPr>
        <w:t>……）</w:t>
      </w:r>
      <w:r>
        <w:rPr>
          <w:rFonts w:hint="eastAsia" w:ascii="宋体" w:hAnsi="宋体" w:cs="宋体"/>
          <w:kern w:val="0"/>
          <w:sz w:val="24"/>
          <w:highlight w:val="none"/>
        </w:rPr>
        <w:t>提供的全部货物由小微企业制造，其合同份额占到合同总金额%以上；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rPr>
        <w:t>2、中小企业合同金额达到%，小微企业合同金额达到%</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cs="宋体"/>
          <w:b/>
          <w:bCs/>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right="960"/>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日期：  年  月   日</w:t>
      </w: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snapToGrid w:val="0"/>
        <w:spacing w:line="360" w:lineRule="auto"/>
        <w:jc w:val="center"/>
        <w:outlineLvl w:val="1"/>
        <w:rPr>
          <w:rFonts w:hint="eastAsia" w:ascii="宋体" w:hAnsi="宋体" w:cs="宋体"/>
          <w:b/>
          <w:kern w:val="0"/>
          <w:sz w:val="32"/>
          <w:szCs w:val="32"/>
          <w:highlight w:val="none"/>
        </w:rPr>
      </w:pPr>
    </w:p>
    <w:p>
      <w:pPr>
        <w:snapToGrid w:val="0"/>
        <w:spacing w:line="360" w:lineRule="auto"/>
        <w:jc w:val="center"/>
        <w:outlineLvl w:val="1"/>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6</w:t>
      </w:r>
      <w:r>
        <w:rPr>
          <w:rFonts w:hint="eastAsia" w:ascii="宋体" w:hAnsi="宋体" w:cs="宋体"/>
          <w:b/>
          <w:kern w:val="0"/>
          <w:sz w:val="32"/>
          <w:szCs w:val="32"/>
          <w:highlight w:val="none"/>
        </w:rPr>
        <w:t>：分包意向协议</w:t>
      </w:r>
    </w:p>
    <w:p>
      <w:pPr>
        <w:widowControl/>
        <w:spacing w:line="360"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color w:val="0000FF"/>
          <w:sz w:val="24"/>
          <w:highlight w:val="none"/>
        </w:rPr>
        <w:t>（项目名称）</w:t>
      </w:r>
      <w:r>
        <w:rPr>
          <w:rFonts w:hint="eastAsia" w:ascii="宋体" w:hAnsi="宋体" w:cs="宋体"/>
          <w:sz w:val="24"/>
          <w:highlight w:val="none"/>
        </w:rPr>
        <w:t>【招标编号：</w:t>
      </w:r>
      <w:r>
        <w:rPr>
          <w:rFonts w:hint="eastAsia" w:ascii="宋体" w:hAnsi="宋体" w:cs="宋体"/>
          <w:color w:val="FF0000"/>
          <w:sz w:val="24"/>
          <w:highlight w:val="none"/>
        </w:rPr>
        <w:t>（采购编号）</w:t>
      </w:r>
      <w:r>
        <w:rPr>
          <w:rFonts w:hint="eastAsia" w:ascii="宋体" w:hAnsi="宋体" w:cs="宋体"/>
          <w:sz w:val="24"/>
          <w:highlight w:val="none"/>
        </w:rPr>
        <w:t>】</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一、分包标的及数量</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pPr>
        <w:tabs>
          <w:tab w:val="left" w:pos="432"/>
        </w:tabs>
        <w:ind w:left="664" w:leftChars="316" w:firstLine="228" w:firstLineChars="95"/>
        <w:rPr>
          <w:rFonts w:ascii="宋体" w:hAnsi="宋体" w:cs="宋体"/>
          <w:kern w:val="0"/>
          <w:sz w:val="24"/>
          <w:highlight w:val="none"/>
        </w:rPr>
      </w:pPr>
      <w:r>
        <w:rPr>
          <w:rFonts w:hint="eastAsia" w:ascii="宋体" w:hAnsi="宋体" w:cs="宋体"/>
          <w:kern w:val="0"/>
          <w:sz w:val="24"/>
          <w:highlight w:val="none"/>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pPr>
        <w:snapToGrid w:val="0"/>
        <w:spacing w:line="360" w:lineRule="auto"/>
        <w:ind w:firstLine="576"/>
        <w:rPr>
          <w:rFonts w:ascii="宋体" w:hAnsi="宋体" w:cs="宋体"/>
          <w:b/>
          <w:kern w:val="0"/>
          <w:sz w:val="24"/>
          <w:highlight w:val="none"/>
          <w:lang w:val="zh-CN"/>
        </w:rPr>
      </w:pPr>
      <w:r>
        <w:rPr>
          <w:rFonts w:ascii="宋体" w:hAnsi="宋体" w:cs="宋体"/>
          <w:kern w:val="0"/>
          <w:sz w:val="24"/>
          <w:highlight w:val="none"/>
        </w:rPr>
        <w:t>1、</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……）提供的货物全部由小微企业制造，</w:t>
      </w:r>
      <w:r>
        <w:rPr>
          <w:rFonts w:hint="eastAsia" w:ascii="宋体" w:hAnsi="宋体" w:cs="宋体"/>
          <w:kern w:val="0"/>
          <w:sz w:val="24"/>
          <w:highlight w:val="none"/>
        </w:rPr>
        <w:t>其合同份额占到合同总金额%以上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pacing w:line="360" w:lineRule="auto"/>
        <w:ind w:firstLine="480" w:firstLineChars="200"/>
        <w:rPr>
          <w:rFonts w:ascii="宋体" w:hAnsi="宋体" w:cs="宋体"/>
          <w:b/>
          <w:bCs/>
          <w:kern w:val="0"/>
          <w:sz w:val="24"/>
          <w:highlight w:val="none"/>
          <w:lang w:val="zh-CN"/>
        </w:rPr>
      </w:pPr>
      <w:r>
        <w:rPr>
          <w:rFonts w:hint="eastAsia" w:ascii="宋体" w:hAnsi="宋体" w:cs="宋体"/>
          <w:sz w:val="24"/>
          <w:highlight w:val="none"/>
        </w:rPr>
        <w:t>2、</w:t>
      </w:r>
      <w:bookmarkStart w:id="564" w:name="_Hlk101133173"/>
      <w:r>
        <w:rPr>
          <w:rFonts w:hint="eastAsia" w:ascii="宋体" w:hAnsi="宋体" w:cs="宋体"/>
          <w:sz w:val="24"/>
          <w:highlight w:val="none"/>
        </w:rPr>
        <w:t>中小企业合同金额达到%，小微企业合同金额达到%</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中中小企业、其中小微企业合同金额应当达到的比例要求填写。</w:t>
      </w:r>
      <w:r>
        <w:rPr>
          <w:rFonts w:hint="eastAsia" w:ascii="宋体" w:hAnsi="宋体" w:cs="宋体"/>
          <w:b/>
          <w:bCs/>
          <w:kern w:val="0"/>
          <w:sz w:val="24"/>
          <w:highlight w:val="none"/>
          <w:lang w:val="zh-CN"/>
        </w:rPr>
        <w:t>）</w:t>
      </w:r>
      <w:bookmarkEnd w:id="564"/>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pPr>
        <w:snapToGrid w:val="0"/>
        <w:spacing w:line="360" w:lineRule="auto"/>
        <w:ind w:firstLine="576"/>
        <w:rPr>
          <w:rFonts w:ascii="宋体" w:hAnsi="宋体" w:cs="宋体"/>
          <w:highlight w:val="none"/>
          <w:u w:val="single"/>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四、质量</w:t>
      </w:r>
    </w:p>
    <w:p>
      <w:pPr>
        <w:snapToGrid w:val="0"/>
        <w:spacing w:line="360" w:lineRule="auto"/>
        <w:ind w:firstLine="576"/>
        <w:rPr>
          <w:rFonts w:ascii="宋体" w:hAnsi="宋体" w:cs="宋体"/>
          <w:kern w:val="0"/>
          <w:sz w:val="24"/>
          <w:highlight w:val="none"/>
          <w:lang w:val="zh-CN"/>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五、价款或者报酬</w:t>
      </w:r>
    </w:p>
    <w:p>
      <w:pPr>
        <w:snapToGrid w:val="0"/>
        <w:spacing w:line="360" w:lineRule="auto"/>
        <w:ind w:left="573" w:leftChars="273"/>
        <w:rPr>
          <w:rFonts w:ascii="宋体" w:hAnsi="宋体" w:cs="宋体"/>
          <w:kern w:val="0"/>
          <w:sz w:val="24"/>
          <w:highlight w:val="none"/>
          <w:lang w:val="zh-CN"/>
        </w:rPr>
      </w:pPr>
    </w:p>
    <w:p>
      <w:pPr>
        <w:snapToGrid w:val="0"/>
        <w:spacing w:line="360" w:lineRule="auto"/>
        <w:ind w:left="573" w:leftChars="273"/>
        <w:rPr>
          <w:rFonts w:ascii="宋体" w:hAnsi="宋体" w:cs="宋体"/>
          <w:kern w:val="0"/>
          <w:sz w:val="24"/>
          <w:highlight w:val="none"/>
          <w:lang w:val="zh-CN"/>
        </w:rPr>
      </w:pPr>
      <w:r>
        <w:rPr>
          <w:rFonts w:hint="eastAsia" w:ascii="宋体" w:hAnsi="宋体" w:cs="宋体"/>
          <w:kern w:val="0"/>
          <w:sz w:val="24"/>
          <w:highlight w:val="none"/>
          <w:lang w:val="zh-CN"/>
        </w:rPr>
        <w:t>六、违约责任</w:t>
      </w:r>
    </w:p>
    <w:p>
      <w:pPr>
        <w:snapToGrid w:val="0"/>
        <w:spacing w:line="360" w:lineRule="auto"/>
        <w:ind w:firstLine="576"/>
        <w:rPr>
          <w:rFonts w:ascii="宋体" w:hAnsi="宋体" w:cs="宋体"/>
          <w:kern w:val="0"/>
          <w:sz w:val="24"/>
          <w:highlight w:val="none"/>
          <w:lang w:val="zh-CN"/>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七、争议解决的办法</w:t>
      </w:r>
    </w:p>
    <w:p>
      <w:pPr>
        <w:snapToGrid w:val="0"/>
        <w:spacing w:line="360" w:lineRule="auto"/>
        <w:ind w:firstLine="576"/>
        <w:rPr>
          <w:rFonts w:ascii="宋体" w:hAnsi="宋体" w:cs="宋体"/>
          <w:kern w:val="0"/>
          <w:sz w:val="24"/>
          <w:highlight w:val="none"/>
          <w:lang w:val="zh-CN"/>
        </w:rPr>
      </w:pPr>
    </w:p>
    <w:p>
      <w:pPr>
        <w:snapToGrid w:val="0"/>
        <w:spacing w:line="360" w:lineRule="auto"/>
        <w:ind w:left="5758" w:leftChars="342" w:hanging="5040" w:hangingChars="2100"/>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w:t>
      </w:r>
    </w:p>
    <w:p>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napToGrid w:val="0"/>
        <w:spacing w:line="360" w:lineRule="auto"/>
        <w:outlineLvl w:val="1"/>
        <w:rPr>
          <w:rFonts w:ascii="宋体" w:hAnsi="宋体" w:cs="宋体"/>
          <w:b/>
          <w:kern w:val="0"/>
          <w:sz w:val="44"/>
          <w:szCs w:val="44"/>
          <w:highlight w:val="none"/>
        </w:rPr>
      </w:pPr>
      <w:r>
        <w:rPr>
          <w:rFonts w:hint="eastAsia" w:ascii="宋体" w:hAnsi="宋体" w:cs="宋体"/>
          <w:b/>
          <w:kern w:val="0"/>
          <w:sz w:val="44"/>
          <w:szCs w:val="44"/>
          <w:highlight w:val="none"/>
        </w:rPr>
        <w:t>附件</w:t>
      </w:r>
      <w:r>
        <w:rPr>
          <w:rFonts w:ascii="宋体" w:hAnsi="宋体" w:cs="宋体"/>
          <w:b/>
          <w:kern w:val="0"/>
          <w:sz w:val="44"/>
          <w:szCs w:val="44"/>
          <w:highlight w:val="none"/>
        </w:rPr>
        <w:t>7</w:t>
      </w:r>
      <w:r>
        <w:rPr>
          <w:rFonts w:hint="eastAsia" w:ascii="宋体" w:hAnsi="宋体" w:cs="宋体"/>
          <w:b/>
          <w:kern w:val="0"/>
          <w:sz w:val="44"/>
          <w:szCs w:val="44"/>
          <w:highlight w:val="none"/>
        </w:rPr>
        <w:t>：中小企业声明函</w:t>
      </w:r>
    </w:p>
    <w:p>
      <w:pPr>
        <w:spacing w:line="360" w:lineRule="auto"/>
        <w:jc w:val="center"/>
        <w:rPr>
          <w:rFonts w:ascii="宋体" w:hAnsi="宋体" w:cs="宋体"/>
          <w:sz w:val="24"/>
          <w:highlight w:val="none"/>
          <w:u w:val="single"/>
        </w:rPr>
      </w:pPr>
    </w:p>
    <w:p>
      <w:pPr>
        <w:spacing w:line="360" w:lineRule="auto"/>
        <w:jc w:val="center"/>
        <w:rPr>
          <w:rFonts w:ascii="宋体" w:hAnsi="宋体" w:cs="宋体"/>
          <w:b/>
          <w:sz w:val="32"/>
          <w:szCs w:val="32"/>
          <w:highlight w:val="none"/>
        </w:rPr>
      </w:pPr>
      <w:r>
        <w:rPr>
          <w:rFonts w:hint="eastAsia" w:ascii="宋体" w:hAnsi="宋体" w:cs="宋体"/>
          <w:b/>
          <w:sz w:val="32"/>
          <w:szCs w:val="32"/>
          <w:highlight w:val="none"/>
        </w:rPr>
        <w:t>中小企业声明函（货物）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color w:val="0000FF"/>
          <w:sz w:val="24"/>
          <w:highlight w:val="none"/>
          <w:u w:val="single"/>
        </w:rPr>
        <w:t>（采购人）</w:t>
      </w:r>
      <w:r>
        <w:rPr>
          <w:rFonts w:hint="eastAsia" w:ascii="宋体" w:hAnsi="宋体" w:cs="宋体"/>
          <w:sz w:val="24"/>
          <w:highlight w:val="none"/>
        </w:rPr>
        <w:t xml:space="preserve">的 </w:t>
      </w:r>
      <w:r>
        <w:rPr>
          <w:rFonts w:hint="eastAsia" w:ascii="宋体" w:hAnsi="宋体" w:cs="宋体"/>
          <w:color w:val="0000FF"/>
          <w:sz w:val="24"/>
          <w:highlight w:val="none"/>
          <w:u w:val="single"/>
        </w:rPr>
        <w:t>（项目名称）</w:t>
      </w:r>
      <w:r>
        <w:rPr>
          <w:rFonts w:hint="eastAsia" w:ascii="宋体" w:hAnsi="宋体" w:cs="宋体"/>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color w:val="0000FF"/>
          <w:sz w:val="24"/>
          <w:highlight w:val="none"/>
          <w:u w:val="single"/>
        </w:rPr>
        <w:t>（标的名称）</w:t>
      </w:r>
      <w:r>
        <w:rPr>
          <w:rFonts w:hint="eastAsia" w:ascii="宋体" w:hAnsi="宋体" w:cs="宋体"/>
          <w:sz w:val="24"/>
          <w:highlight w:val="none"/>
        </w:rPr>
        <w:t xml:space="preserve"> ，属于</w:t>
      </w:r>
      <w:r>
        <w:rPr>
          <w:rFonts w:hint="eastAsia" w:ascii="宋体" w:hAnsi="宋体" w:cs="宋体"/>
          <w:color w:val="0000FF"/>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，从业人员人，营业收入为万元，资产总额为万元，属于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color w:val="0000FF"/>
          <w:sz w:val="24"/>
          <w:highlight w:val="none"/>
          <w:u w:val="single"/>
        </w:rPr>
        <w:t>（标的名称）</w:t>
      </w:r>
      <w:r>
        <w:rPr>
          <w:rFonts w:hint="eastAsia" w:ascii="宋体" w:hAnsi="宋体" w:cs="宋体"/>
          <w:sz w:val="24"/>
          <w:highlight w:val="none"/>
        </w:rPr>
        <w:t xml:space="preserve"> ，属于 </w:t>
      </w:r>
      <w:r>
        <w:rPr>
          <w:rFonts w:hint="eastAsia" w:ascii="宋体" w:hAnsi="宋体" w:cs="宋体"/>
          <w:color w:val="0000FF"/>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，从业人员人，营业收入为万元，资产总额为万元，属于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月日</w:t>
      </w:r>
    </w:p>
    <w:p>
      <w:pPr>
        <w:spacing w:line="360" w:lineRule="auto"/>
        <w:jc w:val="left"/>
        <w:rPr>
          <w:rFonts w:ascii="宋体" w:hAnsi="宋体" w:cs="宋体"/>
          <w:sz w:val="18"/>
          <w:szCs w:val="18"/>
          <w:highlight w:val="none"/>
        </w:rPr>
      </w:pPr>
      <w:r>
        <w:rPr>
          <w:rFonts w:hint="eastAsia" w:ascii="宋体" w:hAnsi="宋体" w:cs="宋体"/>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注：</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decorative"/>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decorative"/>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moder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decorative"/>
    <w:pitch w:val="default"/>
    <w:sig w:usb0="00000000" w:usb1="00000000" w:usb2="00000010" w:usb3="00000000" w:csb0="00040000" w:csb1="00000000"/>
  </w:font>
  <w:font w:name="Arial (W1)">
    <w:altName w:val="Arial"/>
    <w:panose1 w:val="00000000000000000000"/>
    <w:charset w:val="00"/>
    <w:family w:val="decorative"/>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500000000000000"/>
    <w:charset w:val="00"/>
    <w:family w:val="swiss"/>
    <w:pitch w:val="default"/>
    <w:sig w:usb0="00000000" w:usb1="00000000" w:usb2="00000000" w:usb3="00000000" w:csb0="00000001" w:csb1="00000000"/>
  </w:font>
  <w:font w:name="Cumberland">
    <w:altName w:val="微软雅黑"/>
    <w:panose1 w:val="00000000000000000000"/>
    <w:charset w:val="00"/>
    <w:family w:val="swiss"/>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decorative"/>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Georgia"/>
    <w:panose1 w:val="02000400000000000000"/>
    <w:charset w:val="01"/>
    <w:family w:val="roman"/>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modern"/>
    <w:pitch w:val="default"/>
    <w:sig w:usb0="00000000" w:usb1="00000000" w:usb2="00000000" w:usb3="00000000" w:csb0="00000011" w:csb1="00000000"/>
  </w:font>
  <w:font w:name=".PingFang SC">
    <w:altName w:val="微软雅黑"/>
    <w:panose1 w:val="00000000000000000000"/>
    <w:charset w:val="00"/>
    <w:family w:val="swiss"/>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111</w:t>
    </w:r>
    <w:r>
      <w:rPr>
        <w:rFonts w:hint="eastAsia" w:ascii="仿宋_GB2312" w:eastAsia="仿宋_GB2312"/>
        <w:kern w:val="0"/>
        <w:szCs w:val="21"/>
      </w:rPr>
      <w:fldChar w:fldCharType="end"/>
    </w:r>
    <w:r>
      <w:rPr>
        <w:rFonts w:hint="eastAsia" w:ascii="仿宋_GB2312" w:eastAsia="仿宋_GB2312"/>
        <w:kern w:val="0"/>
        <w:szCs w:val="21"/>
      </w:rPr>
      <w:t xml:space="preserve">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565" w:name="_Toc164085800"/>
    <w:bookmarkStart w:id="566" w:name="_Toc131845147"/>
    <w:bookmarkStart w:id="567" w:name="_Toc36110187"/>
    <w:bookmarkStart w:id="568" w:name="_Toc91899912"/>
    <w:r>
      <w:rPr>
        <w:rFonts w:hint="eastAsia" w:ascii="仿宋_GB2312" w:eastAsia="仿宋_GB2312"/>
        <w:kern w:val="0"/>
        <w:szCs w:val="21"/>
      </w:rPr>
      <w:t xml:space="preserve"> 页</w:t>
    </w:r>
    <w:bookmarkEnd w:id="565"/>
    <w:bookmarkEnd w:id="566"/>
    <w:bookmarkEnd w:id="567"/>
    <w:bookmarkEnd w:id="56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p>
  <w:p>
    <w:pPr>
      <w:pStyle w:val="40"/>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45737"/>
    <w:multiLevelType w:val="singleLevel"/>
    <w:tmpl w:val="8B845737"/>
    <w:lvl w:ilvl="0" w:tentative="0">
      <w:start w:val="1"/>
      <w:numFmt w:val="decimal"/>
      <w:suff w:val="nothing"/>
      <w:lvlText w:val="%1、"/>
      <w:lvlJc w:val="left"/>
    </w:lvl>
  </w:abstractNum>
  <w:abstractNum w:abstractNumId="1">
    <w:nsid w:val="A87FA644"/>
    <w:multiLevelType w:val="singleLevel"/>
    <w:tmpl w:val="A87FA644"/>
    <w:lvl w:ilvl="0" w:tentative="0">
      <w:start w:val="1"/>
      <w:numFmt w:val="decimal"/>
      <w:suff w:val="nothing"/>
      <w:lvlText w:val="%1、"/>
      <w:lvlJc w:val="left"/>
    </w:lvl>
  </w:abstractNum>
  <w:abstractNum w:abstractNumId="2">
    <w:nsid w:val="4EDE3EB7"/>
    <w:multiLevelType w:val="singleLevel"/>
    <w:tmpl w:val="4EDE3EB7"/>
    <w:lvl w:ilvl="0" w:tentative="0">
      <w:start w:val="1"/>
      <w:numFmt w:val="decimal"/>
      <w:suff w:val="nothing"/>
      <w:lvlText w:val="%1、"/>
      <w:lvlJc w:val="left"/>
    </w:lvl>
  </w:abstractNum>
  <w:abstractNum w:abstractNumId="3">
    <w:nsid w:val="657EB918"/>
    <w:multiLevelType w:val="singleLevel"/>
    <w:tmpl w:val="657EB918"/>
    <w:lvl w:ilvl="0" w:tentative="0">
      <w:start w:val="1"/>
      <w:numFmt w:val="decimal"/>
      <w:suff w:val="nothing"/>
      <w:lvlText w:val="%1、"/>
      <w:lvlJc w:val="left"/>
    </w:lvl>
  </w:abstractNum>
  <w:abstractNum w:abstractNumId="4">
    <w:nsid w:val="658F5189"/>
    <w:multiLevelType w:val="singleLevel"/>
    <w:tmpl w:val="658F5189"/>
    <w:lvl w:ilvl="0" w:tentative="0">
      <w:start w:val="1"/>
      <w:numFmt w:val="decimal"/>
      <w:suff w:val="nothing"/>
      <w:lvlText w:val="（%1）"/>
      <w:lvlJc w:val="left"/>
    </w:lvl>
  </w:abstractNum>
  <w:abstractNum w:abstractNumId="5">
    <w:nsid w:val="6C9F8FC7"/>
    <w:multiLevelType w:val="singleLevel"/>
    <w:tmpl w:val="6C9F8FC7"/>
    <w:lvl w:ilvl="0" w:tentative="0">
      <w:start w:val="1"/>
      <w:numFmt w:val="decimal"/>
      <w:suff w:val="nothing"/>
      <w:lvlText w:val="%1、"/>
      <w:lvlJc w:val="left"/>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NDVjYWU5NzhiMjM0NjVkODZiZTQzMmU4NDg3Zj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D71"/>
    <w:rsid w:val="000E5FF9"/>
    <w:rsid w:val="000E6AE1"/>
    <w:rsid w:val="000E7142"/>
    <w:rsid w:val="000E7632"/>
    <w:rsid w:val="000E7737"/>
    <w:rsid w:val="000E7739"/>
    <w:rsid w:val="000E77EE"/>
    <w:rsid w:val="000E7B1F"/>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64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6D8C"/>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57A"/>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65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173D"/>
    <w:rsid w:val="005F2807"/>
    <w:rsid w:val="005F2CD5"/>
    <w:rsid w:val="005F3382"/>
    <w:rsid w:val="005F3720"/>
    <w:rsid w:val="005F4F00"/>
    <w:rsid w:val="005F5506"/>
    <w:rsid w:val="005F5A0D"/>
    <w:rsid w:val="005F60DF"/>
    <w:rsid w:val="005F615B"/>
    <w:rsid w:val="005F61DF"/>
    <w:rsid w:val="005F63A9"/>
    <w:rsid w:val="005F680A"/>
    <w:rsid w:val="005F6880"/>
    <w:rsid w:val="005F6B3E"/>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DAC"/>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57E"/>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747"/>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6778"/>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0E88"/>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67A"/>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32AB"/>
    <w:rsid w:val="011F6449"/>
    <w:rsid w:val="01236AFB"/>
    <w:rsid w:val="012B64AF"/>
    <w:rsid w:val="013C48A7"/>
    <w:rsid w:val="014F4893"/>
    <w:rsid w:val="01541149"/>
    <w:rsid w:val="01826A17"/>
    <w:rsid w:val="018619A8"/>
    <w:rsid w:val="01876AB6"/>
    <w:rsid w:val="019F7441"/>
    <w:rsid w:val="01A972C3"/>
    <w:rsid w:val="01B37585"/>
    <w:rsid w:val="01C979FE"/>
    <w:rsid w:val="01D55165"/>
    <w:rsid w:val="01DF6BF8"/>
    <w:rsid w:val="01EC2C57"/>
    <w:rsid w:val="02441F1E"/>
    <w:rsid w:val="02551A35"/>
    <w:rsid w:val="025F0711"/>
    <w:rsid w:val="026B2E25"/>
    <w:rsid w:val="02824D4D"/>
    <w:rsid w:val="02B56978"/>
    <w:rsid w:val="02DC4B10"/>
    <w:rsid w:val="02DD76CE"/>
    <w:rsid w:val="02E117AD"/>
    <w:rsid w:val="02F36323"/>
    <w:rsid w:val="02F5619C"/>
    <w:rsid w:val="02FE11C8"/>
    <w:rsid w:val="03020A00"/>
    <w:rsid w:val="031E62CB"/>
    <w:rsid w:val="0326446A"/>
    <w:rsid w:val="032D5555"/>
    <w:rsid w:val="036634D2"/>
    <w:rsid w:val="036A7762"/>
    <w:rsid w:val="03B409DD"/>
    <w:rsid w:val="03BE6034"/>
    <w:rsid w:val="03DD35E4"/>
    <w:rsid w:val="04076900"/>
    <w:rsid w:val="041A5A3B"/>
    <w:rsid w:val="042311BA"/>
    <w:rsid w:val="042B157A"/>
    <w:rsid w:val="042C0EBC"/>
    <w:rsid w:val="044D2C6F"/>
    <w:rsid w:val="045505C0"/>
    <w:rsid w:val="046E3282"/>
    <w:rsid w:val="048F763B"/>
    <w:rsid w:val="049F330E"/>
    <w:rsid w:val="04AA775C"/>
    <w:rsid w:val="04AF1889"/>
    <w:rsid w:val="04C255C7"/>
    <w:rsid w:val="04F66F48"/>
    <w:rsid w:val="05251E14"/>
    <w:rsid w:val="056D353A"/>
    <w:rsid w:val="057C377D"/>
    <w:rsid w:val="05A16594"/>
    <w:rsid w:val="05A7762D"/>
    <w:rsid w:val="05FA4E5A"/>
    <w:rsid w:val="060E0879"/>
    <w:rsid w:val="060E5941"/>
    <w:rsid w:val="06110FAF"/>
    <w:rsid w:val="06493CA7"/>
    <w:rsid w:val="064E5119"/>
    <w:rsid w:val="065A6178"/>
    <w:rsid w:val="066F1CF3"/>
    <w:rsid w:val="06930BB8"/>
    <w:rsid w:val="06B34F7C"/>
    <w:rsid w:val="06F64ECC"/>
    <w:rsid w:val="07245D42"/>
    <w:rsid w:val="07264C62"/>
    <w:rsid w:val="0779354C"/>
    <w:rsid w:val="07883514"/>
    <w:rsid w:val="08061376"/>
    <w:rsid w:val="08072D93"/>
    <w:rsid w:val="08314CF2"/>
    <w:rsid w:val="08452D77"/>
    <w:rsid w:val="086401F8"/>
    <w:rsid w:val="08751CAA"/>
    <w:rsid w:val="087E4C40"/>
    <w:rsid w:val="08844E22"/>
    <w:rsid w:val="089E3085"/>
    <w:rsid w:val="08A871D0"/>
    <w:rsid w:val="08D66AD6"/>
    <w:rsid w:val="08DA33A3"/>
    <w:rsid w:val="08E80F13"/>
    <w:rsid w:val="08EE6740"/>
    <w:rsid w:val="09067F2D"/>
    <w:rsid w:val="091343F8"/>
    <w:rsid w:val="09335624"/>
    <w:rsid w:val="0944690F"/>
    <w:rsid w:val="09535675"/>
    <w:rsid w:val="095F057D"/>
    <w:rsid w:val="09636B90"/>
    <w:rsid w:val="09642282"/>
    <w:rsid w:val="09733572"/>
    <w:rsid w:val="09742F12"/>
    <w:rsid w:val="09772C16"/>
    <w:rsid w:val="098353B5"/>
    <w:rsid w:val="09A92330"/>
    <w:rsid w:val="09B06B87"/>
    <w:rsid w:val="09C13146"/>
    <w:rsid w:val="09E04166"/>
    <w:rsid w:val="09E87633"/>
    <w:rsid w:val="0A1C0718"/>
    <w:rsid w:val="0A3E7710"/>
    <w:rsid w:val="0A5B33C7"/>
    <w:rsid w:val="0A5B7E63"/>
    <w:rsid w:val="0A6C0264"/>
    <w:rsid w:val="0AA374A5"/>
    <w:rsid w:val="0AAB7649"/>
    <w:rsid w:val="0ABC5606"/>
    <w:rsid w:val="0AC10A17"/>
    <w:rsid w:val="0AE124CD"/>
    <w:rsid w:val="0AEF054D"/>
    <w:rsid w:val="0B30404E"/>
    <w:rsid w:val="0B4C6C14"/>
    <w:rsid w:val="0B547599"/>
    <w:rsid w:val="0B631A88"/>
    <w:rsid w:val="0B683D45"/>
    <w:rsid w:val="0B737155"/>
    <w:rsid w:val="0B7F3F11"/>
    <w:rsid w:val="0B884417"/>
    <w:rsid w:val="0B8D0492"/>
    <w:rsid w:val="0B927B7B"/>
    <w:rsid w:val="0BF6188C"/>
    <w:rsid w:val="0BF73C91"/>
    <w:rsid w:val="0C170175"/>
    <w:rsid w:val="0C571A41"/>
    <w:rsid w:val="0C5C1171"/>
    <w:rsid w:val="0C5E1CBC"/>
    <w:rsid w:val="0C615B50"/>
    <w:rsid w:val="0C8445DA"/>
    <w:rsid w:val="0C87121B"/>
    <w:rsid w:val="0CB33F28"/>
    <w:rsid w:val="0CC007F7"/>
    <w:rsid w:val="0CC617AC"/>
    <w:rsid w:val="0CE618DF"/>
    <w:rsid w:val="0CFE707A"/>
    <w:rsid w:val="0D063BDA"/>
    <w:rsid w:val="0D08375F"/>
    <w:rsid w:val="0D1745B3"/>
    <w:rsid w:val="0D184CFB"/>
    <w:rsid w:val="0D2615BF"/>
    <w:rsid w:val="0D4A7419"/>
    <w:rsid w:val="0D4F7EA8"/>
    <w:rsid w:val="0D584ACF"/>
    <w:rsid w:val="0D6071CB"/>
    <w:rsid w:val="0D827401"/>
    <w:rsid w:val="0D84094E"/>
    <w:rsid w:val="0D8A00E9"/>
    <w:rsid w:val="0D8D589E"/>
    <w:rsid w:val="0D9755F8"/>
    <w:rsid w:val="0DA01C73"/>
    <w:rsid w:val="0DC12675"/>
    <w:rsid w:val="0DD63300"/>
    <w:rsid w:val="0DF50604"/>
    <w:rsid w:val="0DF702FE"/>
    <w:rsid w:val="0DFC3351"/>
    <w:rsid w:val="0E060E51"/>
    <w:rsid w:val="0E5604B2"/>
    <w:rsid w:val="0E5B241B"/>
    <w:rsid w:val="0E6D5D79"/>
    <w:rsid w:val="0E7771D7"/>
    <w:rsid w:val="0E7E40C2"/>
    <w:rsid w:val="0E80608C"/>
    <w:rsid w:val="0E99714E"/>
    <w:rsid w:val="0E9D0089"/>
    <w:rsid w:val="0EB65F51"/>
    <w:rsid w:val="0EB803EE"/>
    <w:rsid w:val="0EB9159E"/>
    <w:rsid w:val="0ED10695"/>
    <w:rsid w:val="0EF94D4B"/>
    <w:rsid w:val="0F4958DC"/>
    <w:rsid w:val="0F515DF7"/>
    <w:rsid w:val="0F596BA8"/>
    <w:rsid w:val="0F6248D2"/>
    <w:rsid w:val="0F693536"/>
    <w:rsid w:val="0F7B0511"/>
    <w:rsid w:val="0F7B76D9"/>
    <w:rsid w:val="0F816ACD"/>
    <w:rsid w:val="0F9832DB"/>
    <w:rsid w:val="0FBF3FD2"/>
    <w:rsid w:val="0FBF7FF3"/>
    <w:rsid w:val="0FF52AA9"/>
    <w:rsid w:val="10042CED"/>
    <w:rsid w:val="10646583"/>
    <w:rsid w:val="107D4B15"/>
    <w:rsid w:val="108A3C80"/>
    <w:rsid w:val="10AA5642"/>
    <w:rsid w:val="10C26171"/>
    <w:rsid w:val="10C70674"/>
    <w:rsid w:val="10D10E21"/>
    <w:rsid w:val="10F33360"/>
    <w:rsid w:val="10FC16EA"/>
    <w:rsid w:val="110E5BD1"/>
    <w:rsid w:val="110F1D40"/>
    <w:rsid w:val="11266F33"/>
    <w:rsid w:val="112D573C"/>
    <w:rsid w:val="113E3FDC"/>
    <w:rsid w:val="118963A1"/>
    <w:rsid w:val="11A402E3"/>
    <w:rsid w:val="11C6522A"/>
    <w:rsid w:val="11E104CC"/>
    <w:rsid w:val="11E20309"/>
    <w:rsid w:val="11FD5C45"/>
    <w:rsid w:val="12255233"/>
    <w:rsid w:val="123478B9"/>
    <w:rsid w:val="12371157"/>
    <w:rsid w:val="12530213"/>
    <w:rsid w:val="127723A9"/>
    <w:rsid w:val="127F48AC"/>
    <w:rsid w:val="12862074"/>
    <w:rsid w:val="12883966"/>
    <w:rsid w:val="12957C2C"/>
    <w:rsid w:val="129E45B4"/>
    <w:rsid w:val="12D81596"/>
    <w:rsid w:val="13072A44"/>
    <w:rsid w:val="133E2072"/>
    <w:rsid w:val="135F4BE2"/>
    <w:rsid w:val="1367781A"/>
    <w:rsid w:val="139B1A0A"/>
    <w:rsid w:val="139D25C7"/>
    <w:rsid w:val="13B14F39"/>
    <w:rsid w:val="13BF3CE4"/>
    <w:rsid w:val="13EE5E8D"/>
    <w:rsid w:val="13F35552"/>
    <w:rsid w:val="141008D8"/>
    <w:rsid w:val="14125FE6"/>
    <w:rsid w:val="14423DE3"/>
    <w:rsid w:val="146D271E"/>
    <w:rsid w:val="14982588"/>
    <w:rsid w:val="149A5AD9"/>
    <w:rsid w:val="149E726C"/>
    <w:rsid w:val="14A7619D"/>
    <w:rsid w:val="14ED2C64"/>
    <w:rsid w:val="150536C3"/>
    <w:rsid w:val="150C1963"/>
    <w:rsid w:val="15115C90"/>
    <w:rsid w:val="151447A0"/>
    <w:rsid w:val="154A6454"/>
    <w:rsid w:val="156E4D9E"/>
    <w:rsid w:val="15762120"/>
    <w:rsid w:val="15C90318"/>
    <w:rsid w:val="16113A6D"/>
    <w:rsid w:val="1646419B"/>
    <w:rsid w:val="16A8729C"/>
    <w:rsid w:val="16B33777"/>
    <w:rsid w:val="16BC70A7"/>
    <w:rsid w:val="16C6339E"/>
    <w:rsid w:val="16EA49EA"/>
    <w:rsid w:val="17092996"/>
    <w:rsid w:val="172F2D79"/>
    <w:rsid w:val="17557BEF"/>
    <w:rsid w:val="177A5491"/>
    <w:rsid w:val="177B3894"/>
    <w:rsid w:val="17936E30"/>
    <w:rsid w:val="17AF2468"/>
    <w:rsid w:val="17D349C1"/>
    <w:rsid w:val="1830729E"/>
    <w:rsid w:val="18362C2E"/>
    <w:rsid w:val="183A54FD"/>
    <w:rsid w:val="1870062C"/>
    <w:rsid w:val="18754787"/>
    <w:rsid w:val="18817102"/>
    <w:rsid w:val="18830A15"/>
    <w:rsid w:val="18852B28"/>
    <w:rsid w:val="188B5321"/>
    <w:rsid w:val="18956BD8"/>
    <w:rsid w:val="189C7F66"/>
    <w:rsid w:val="19265A82"/>
    <w:rsid w:val="19932372"/>
    <w:rsid w:val="19A20DD5"/>
    <w:rsid w:val="19AE03F1"/>
    <w:rsid w:val="19B7492C"/>
    <w:rsid w:val="19D55670"/>
    <w:rsid w:val="19EB703B"/>
    <w:rsid w:val="1A071A03"/>
    <w:rsid w:val="1A1F16AE"/>
    <w:rsid w:val="1A3B5C77"/>
    <w:rsid w:val="1A635396"/>
    <w:rsid w:val="1A643C5B"/>
    <w:rsid w:val="1A6E5932"/>
    <w:rsid w:val="1A984BAD"/>
    <w:rsid w:val="1AB8220E"/>
    <w:rsid w:val="1AE4166C"/>
    <w:rsid w:val="1AF06CFB"/>
    <w:rsid w:val="1AF11B8D"/>
    <w:rsid w:val="1B11359C"/>
    <w:rsid w:val="1B1F09DB"/>
    <w:rsid w:val="1B2A271F"/>
    <w:rsid w:val="1B391A9C"/>
    <w:rsid w:val="1B530544"/>
    <w:rsid w:val="1B713184"/>
    <w:rsid w:val="1B83082F"/>
    <w:rsid w:val="1BA209CF"/>
    <w:rsid w:val="1BB4777D"/>
    <w:rsid w:val="1BD75AB8"/>
    <w:rsid w:val="1BE475CF"/>
    <w:rsid w:val="1C0459C2"/>
    <w:rsid w:val="1C1B3B4A"/>
    <w:rsid w:val="1C6568C1"/>
    <w:rsid w:val="1C88086E"/>
    <w:rsid w:val="1CB515F6"/>
    <w:rsid w:val="1D266CE1"/>
    <w:rsid w:val="1D3963AF"/>
    <w:rsid w:val="1D3C3AC6"/>
    <w:rsid w:val="1D3E783E"/>
    <w:rsid w:val="1D55566A"/>
    <w:rsid w:val="1D6A673C"/>
    <w:rsid w:val="1D9247AE"/>
    <w:rsid w:val="1DA90A2F"/>
    <w:rsid w:val="1DB567EC"/>
    <w:rsid w:val="1DE06B47"/>
    <w:rsid w:val="1DF51A98"/>
    <w:rsid w:val="1E3D060F"/>
    <w:rsid w:val="1E3F7D2E"/>
    <w:rsid w:val="1E4134E4"/>
    <w:rsid w:val="1E4569AA"/>
    <w:rsid w:val="1E5062B3"/>
    <w:rsid w:val="1E523514"/>
    <w:rsid w:val="1E5B61CE"/>
    <w:rsid w:val="1E6A01BF"/>
    <w:rsid w:val="1E714A66"/>
    <w:rsid w:val="1E802593"/>
    <w:rsid w:val="1E8B6156"/>
    <w:rsid w:val="1E9A6CF6"/>
    <w:rsid w:val="1EA703CC"/>
    <w:rsid w:val="1EB678A8"/>
    <w:rsid w:val="1EB7330C"/>
    <w:rsid w:val="1F0A0FF3"/>
    <w:rsid w:val="1F5771FF"/>
    <w:rsid w:val="1FD47FE6"/>
    <w:rsid w:val="1FE868A9"/>
    <w:rsid w:val="20034907"/>
    <w:rsid w:val="20173E4B"/>
    <w:rsid w:val="20196340"/>
    <w:rsid w:val="2031368A"/>
    <w:rsid w:val="204E48BC"/>
    <w:rsid w:val="208921B3"/>
    <w:rsid w:val="20973DEB"/>
    <w:rsid w:val="20987265"/>
    <w:rsid w:val="20B26522"/>
    <w:rsid w:val="20B44310"/>
    <w:rsid w:val="20DA78FE"/>
    <w:rsid w:val="211116EB"/>
    <w:rsid w:val="21295BFA"/>
    <w:rsid w:val="216133FC"/>
    <w:rsid w:val="219914E7"/>
    <w:rsid w:val="21D56769"/>
    <w:rsid w:val="21E52EF3"/>
    <w:rsid w:val="21FB5D7B"/>
    <w:rsid w:val="22015E94"/>
    <w:rsid w:val="220B1C3D"/>
    <w:rsid w:val="221D1D20"/>
    <w:rsid w:val="22334A87"/>
    <w:rsid w:val="22BE6801"/>
    <w:rsid w:val="22C5630B"/>
    <w:rsid w:val="23045075"/>
    <w:rsid w:val="23307C29"/>
    <w:rsid w:val="233500BF"/>
    <w:rsid w:val="23377FF7"/>
    <w:rsid w:val="233C68DC"/>
    <w:rsid w:val="236B425F"/>
    <w:rsid w:val="23836192"/>
    <w:rsid w:val="23901F29"/>
    <w:rsid w:val="239C0061"/>
    <w:rsid w:val="23B908A4"/>
    <w:rsid w:val="23DF4C0F"/>
    <w:rsid w:val="23E95BEF"/>
    <w:rsid w:val="23FD0064"/>
    <w:rsid w:val="24476BBD"/>
    <w:rsid w:val="245375B0"/>
    <w:rsid w:val="24642C0A"/>
    <w:rsid w:val="24B22173"/>
    <w:rsid w:val="24B46637"/>
    <w:rsid w:val="24B95AD9"/>
    <w:rsid w:val="24BE24DA"/>
    <w:rsid w:val="24CF5825"/>
    <w:rsid w:val="24CF6FCD"/>
    <w:rsid w:val="24D663E6"/>
    <w:rsid w:val="24D77F2B"/>
    <w:rsid w:val="24ED57B1"/>
    <w:rsid w:val="24F37160"/>
    <w:rsid w:val="24F42ED8"/>
    <w:rsid w:val="25007ACF"/>
    <w:rsid w:val="25062F68"/>
    <w:rsid w:val="252437BD"/>
    <w:rsid w:val="25583467"/>
    <w:rsid w:val="258B00E2"/>
    <w:rsid w:val="25981AB5"/>
    <w:rsid w:val="25A917A6"/>
    <w:rsid w:val="25BE27CC"/>
    <w:rsid w:val="25CC175F"/>
    <w:rsid w:val="25DC5E46"/>
    <w:rsid w:val="25F74A5C"/>
    <w:rsid w:val="26190421"/>
    <w:rsid w:val="2628662C"/>
    <w:rsid w:val="262D45DE"/>
    <w:rsid w:val="26871DC8"/>
    <w:rsid w:val="26873E45"/>
    <w:rsid w:val="26A53EF9"/>
    <w:rsid w:val="26A94201"/>
    <w:rsid w:val="26AC274F"/>
    <w:rsid w:val="26DE5BEE"/>
    <w:rsid w:val="26E66F92"/>
    <w:rsid w:val="27044A29"/>
    <w:rsid w:val="271D34C8"/>
    <w:rsid w:val="275D6B12"/>
    <w:rsid w:val="276142BF"/>
    <w:rsid w:val="27783712"/>
    <w:rsid w:val="27807BE0"/>
    <w:rsid w:val="27907362"/>
    <w:rsid w:val="27A31580"/>
    <w:rsid w:val="27CB6172"/>
    <w:rsid w:val="282910EA"/>
    <w:rsid w:val="28333E1D"/>
    <w:rsid w:val="28454BD6"/>
    <w:rsid w:val="28455253"/>
    <w:rsid w:val="28551971"/>
    <w:rsid w:val="285B1C53"/>
    <w:rsid w:val="288F719F"/>
    <w:rsid w:val="289F7086"/>
    <w:rsid w:val="28A741BB"/>
    <w:rsid w:val="28C037FD"/>
    <w:rsid w:val="28C32028"/>
    <w:rsid w:val="28CC490F"/>
    <w:rsid w:val="28DE40AA"/>
    <w:rsid w:val="29345E77"/>
    <w:rsid w:val="29363ABF"/>
    <w:rsid w:val="294C65AD"/>
    <w:rsid w:val="29564161"/>
    <w:rsid w:val="297B3BC8"/>
    <w:rsid w:val="29806583"/>
    <w:rsid w:val="298B3C4C"/>
    <w:rsid w:val="299F1664"/>
    <w:rsid w:val="29AA23E9"/>
    <w:rsid w:val="29C42E79"/>
    <w:rsid w:val="29F26D24"/>
    <w:rsid w:val="2A15033F"/>
    <w:rsid w:val="2A1662C1"/>
    <w:rsid w:val="2A1C7367"/>
    <w:rsid w:val="2A2815FA"/>
    <w:rsid w:val="2A6D6092"/>
    <w:rsid w:val="2A7D76B4"/>
    <w:rsid w:val="2B3E18CD"/>
    <w:rsid w:val="2B437463"/>
    <w:rsid w:val="2B7807EE"/>
    <w:rsid w:val="2B944ACF"/>
    <w:rsid w:val="2BA50BF7"/>
    <w:rsid w:val="2BBF00EC"/>
    <w:rsid w:val="2BC37CFD"/>
    <w:rsid w:val="2BD5237F"/>
    <w:rsid w:val="2BE536CE"/>
    <w:rsid w:val="2BE758D9"/>
    <w:rsid w:val="2C09049E"/>
    <w:rsid w:val="2C0A653C"/>
    <w:rsid w:val="2C191F85"/>
    <w:rsid w:val="2C22657D"/>
    <w:rsid w:val="2C5A3F68"/>
    <w:rsid w:val="2C5F332D"/>
    <w:rsid w:val="2CCC340F"/>
    <w:rsid w:val="2CE82D6F"/>
    <w:rsid w:val="2CF00429"/>
    <w:rsid w:val="2D343236"/>
    <w:rsid w:val="2D497931"/>
    <w:rsid w:val="2DB94CBF"/>
    <w:rsid w:val="2DD15014"/>
    <w:rsid w:val="2DE650B0"/>
    <w:rsid w:val="2DEA30CA"/>
    <w:rsid w:val="2DF72DE4"/>
    <w:rsid w:val="2E0220AF"/>
    <w:rsid w:val="2E0777D8"/>
    <w:rsid w:val="2E444588"/>
    <w:rsid w:val="2E496043"/>
    <w:rsid w:val="2E4A5917"/>
    <w:rsid w:val="2E4B082A"/>
    <w:rsid w:val="2E5D4E86"/>
    <w:rsid w:val="2E5D790B"/>
    <w:rsid w:val="2E5F7614"/>
    <w:rsid w:val="2E66318E"/>
    <w:rsid w:val="2E6E5AA9"/>
    <w:rsid w:val="2E7E344C"/>
    <w:rsid w:val="2E9A3C18"/>
    <w:rsid w:val="2EBB0FEE"/>
    <w:rsid w:val="2EC40E47"/>
    <w:rsid w:val="2EC63002"/>
    <w:rsid w:val="2EDA6C9B"/>
    <w:rsid w:val="2F0A6B38"/>
    <w:rsid w:val="2F662C24"/>
    <w:rsid w:val="2F81180C"/>
    <w:rsid w:val="2F946CCB"/>
    <w:rsid w:val="2FD25781"/>
    <w:rsid w:val="2FDC745C"/>
    <w:rsid w:val="2FE204FD"/>
    <w:rsid w:val="2FFD7934"/>
    <w:rsid w:val="3014442E"/>
    <w:rsid w:val="301E705B"/>
    <w:rsid w:val="3025663B"/>
    <w:rsid w:val="30733ACD"/>
    <w:rsid w:val="30756A6C"/>
    <w:rsid w:val="308C3862"/>
    <w:rsid w:val="309379D8"/>
    <w:rsid w:val="30A270F7"/>
    <w:rsid w:val="30DF1478"/>
    <w:rsid w:val="30EC586F"/>
    <w:rsid w:val="3143321D"/>
    <w:rsid w:val="31532D34"/>
    <w:rsid w:val="3157337F"/>
    <w:rsid w:val="315E0057"/>
    <w:rsid w:val="319C6071"/>
    <w:rsid w:val="31AC537E"/>
    <w:rsid w:val="31B859A2"/>
    <w:rsid w:val="31DB5204"/>
    <w:rsid w:val="31E3679B"/>
    <w:rsid w:val="31E732FD"/>
    <w:rsid w:val="31EA5447"/>
    <w:rsid w:val="31EC7411"/>
    <w:rsid w:val="31FD161E"/>
    <w:rsid w:val="320504D2"/>
    <w:rsid w:val="324B0876"/>
    <w:rsid w:val="32517576"/>
    <w:rsid w:val="32BE5C2C"/>
    <w:rsid w:val="32D53419"/>
    <w:rsid w:val="32FB6478"/>
    <w:rsid w:val="33263B3F"/>
    <w:rsid w:val="33523E5C"/>
    <w:rsid w:val="336963EB"/>
    <w:rsid w:val="33816EEB"/>
    <w:rsid w:val="33C5616B"/>
    <w:rsid w:val="33EB55CD"/>
    <w:rsid w:val="33EC4C02"/>
    <w:rsid w:val="340D2360"/>
    <w:rsid w:val="3410665D"/>
    <w:rsid w:val="34211214"/>
    <w:rsid w:val="342E63AB"/>
    <w:rsid w:val="3482405C"/>
    <w:rsid w:val="34950E68"/>
    <w:rsid w:val="34986E94"/>
    <w:rsid w:val="349F7563"/>
    <w:rsid w:val="34AF62C9"/>
    <w:rsid w:val="34BD32E6"/>
    <w:rsid w:val="34CB4388"/>
    <w:rsid w:val="34FA6E12"/>
    <w:rsid w:val="354D7158"/>
    <w:rsid w:val="35527ED3"/>
    <w:rsid w:val="358D5588"/>
    <w:rsid w:val="359978AF"/>
    <w:rsid w:val="35AD335B"/>
    <w:rsid w:val="35B46497"/>
    <w:rsid w:val="3622425C"/>
    <w:rsid w:val="36257395"/>
    <w:rsid w:val="363A3B40"/>
    <w:rsid w:val="365302AE"/>
    <w:rsid w:val="36607A0A"/>
    <w:rsid w:val="36637EBD"/>
    <w:rsid w:val="366E227C"/>
    <w:rsid w:val="366F2E0D"/>
    <w:rsid w:val="367B6A5C"/>
    <w:rsid w:val="369E361B"/>
    <w:rsid w:val="36A74ADA"/>
    <w:rsid w:val="36AD60D5"/>
    <w:rsid w:val="36B224F9"/>
    <w:rsid w:val="36C56482"/>
    <w:rsid w:val="36EC0CC9"/>
    <w:rsid w:val="36EE59D9"/>
    <w:rsid w:val="37070849"/>
    <w:rsid w:val="37377380"/>
    <w:rsid w:val="373F410B"/>
    <w:rsid w:val="37773C20"/>
    <w:rsid w:val="37963C65"/>
    <w:rsid w:val="37991DE9"/>
    <w:rsid w:val="37C329C2"/>
    <w:rsid w:val="37EE7094"/>
    <w:rsid w:val="38296C89"/>
    <w:rsid w:val="383002EB"/>
    <w:rsid w:val="38415FDC"/>
    <w:rsid w:val="38586797"/>
    <w:rsid w:val="38600932"/>
    <w:rsid w:val="38910D12"/>
    <w:rsid w:val="38A24CCD"/>
    <w:rsid w:val="38BC0149"/>
    <w:rsid w:val="38D87D1C"/>
    <w:rsid w:val="396106E4"/>
    <w:rsid w:val="39636459"/>
    <w:rsid w:val="396B7F6C"/>
    <w:rsid w:val="39B417A9"/>
    <w:rsid w:val="39E6508D"/>
    <w:rsid w:val="39FC5695"/>
    <w:rsid w:val="3A006D8E"/>
    <w:rsid w:val="3A0472C2"/>
    <w:rsid w:val="3A064DE8"/>
    <w:rsid w:val="3A19150D"/>
    <w:rsid w:val="3A2D4A6A"/>
    <w:rsid w:val="3A3651E5"/>
    <w:rsid w:val="3A744481"/>
    <w:rsid w:val="3A7641F6"/>
    <w:rsid w:val="3A772A1D"/>
    <w:rsid w:val="3A802DEC"/>
    <w:rsid w:val="3A8C7BEF"/>
    <w:rsid w:val="3A906246"/>
    <w:rsid w:val="3AB17E45"/>
    <w:rsid w:val="3AC52EF5"/>
    <w:rsid w:val="3AC727C9"/>
    <w:rsid w:val="3B2349B7"/>
    <w:rsid w:val="3B616CFF"/>
    <w:rsid w:val="3B6259F6"/>
    <w:rsid w:val="3B976654"/>
    <w:rsid w:val="3BB05953"/>
    <w:rsid w:val="3BC01EFC"/>
    <w:rsid w:val="3BC431AC"/>
    <w:rsid w:val="3BCA786A"/>
    <w:rsid w:val="3BD31E2F"/>
    <w:rsid w:val="3BE21884"/>
    <w:rsid w:val="3BF15831"/>
    <w:rsid w:val="3C105946"/>
    <w:rsid w:val="3C3D3B62"/>
    <w:rsid w:val="3C471448"/>
    <w:rsid w:val="3C5F759A"/>
    <w:rsid w:val="3C642299"/>
    <w:rsid w:val="3C6C525A"/>
    <w:rsid w:val="3CB43221"/>
    <w:rsid w:val="3CC50F8A"/>
    <w:rsid w:val="3CCE23CB"/>
    <w:rsid w:val="3CD17D17"/>
    <w:rsid w:val="3CD92C87"/>
    <w:rsid w:val="3D33541E"/>
    <w:rsid w:val="3D3C7F39"/>
    <w:rsid w:val="3D440F09"/>
    <w:rsid w:val="3D4504A0"/>
    <w:rsid w:val="3D580050"/>
    <w:rsid w:val="3D785FFC"/>
    <w:rsid w:val="3D864BBD"/>
    <w:rsid w:val="3D8734BB"/>
    <w:rsid w:val="3D9918A0"/>
    <w:rsid w:val="3D9A11D4"/>
    <w:rsid w:val="3DA16D89"/>
    <w:rsid w:val="3DA364BE"/>
    <w:rsid w:val="3DE041CB"/>
    <w:rsid w:val="3E0C2BE9"/>
    <w:rsid w:val="3E0D48F6"/>
    <w:rsid w:val="3E1868B4"/>
    <w:rsid w:val="3E194C24"/>
    <w:rsid w:val="3E1D717C"/>
    <w:rsid w:val="3E2B5376"/>
    <w:rsid w:val="3E377251"/>
    <w:rsid w:val="3E42660A"/>
    <w:rsid w:val="3E42664B"/>
    <w:rsid w:val="3E546750"/>
    <w:rsid w:val="3E5A7334"/>
    <w:rsid w:val="3E7B5D6B"/>
    <w:rsid w:val="3E843E66"/>
    <w:rsid w:val="3E8F51FE"/>
    <w:rsid w:val="3E926F87"/>
    <w:rsid w:val="3E9A59DE"/>
    <w:rsid w:val="3EAF4836"/>
    <w:rsid w:val="3EC33DFA"/>
    <w:rsid w:val="3EE15E23"/>
    <w:rsid w:val="3F060E16"/>
    <w:rsid w:val="3F1D1096"/>
    <w:rsid w:val="3F1E7077"/>
    <w:rsid w:val="3F23643C"/>
    <w:rsid w:val="3F2F0234"/>
    <w:rsid w:val="3F6363FE"/>
    <w:rsid w:val="3F756B8F"/>
    <w:rsid w:val="3F95482B"/>
    <w:rsid w:val="3FC65745"/>
    <w:rsid w:val="4019356B"/>
    <w:rsid w:val="40592157"/>
    <w:rsid w:val="406E1CAE"/>
    <w:rsid w:val="409969B6"/>
    <w:rsid w:val="40A0133A"/>
    <w:rsid w:val="40C31A53"/>
    <w:rsid w:val="40E165AE"/>
    <w:rsid w:val="40FE2FE8"/>
    <w:rsid w:val="40FF545D"/>
    <w:rsid w:val="410067C8"/>
    <w:rsid w:val="418F0D2A"/>
    <w:rsid w:val="4191768D"/>
    <w:rsid w:val="41C072C4"/>
    <w:rsid w:val="41D01505"/>
    <w:rsid w:val="420C1409"/>
    <w:rsid w:val="423F17DF"/>
    <w:rsid w:val="42474939"/>
    <w:rsid w:val="424C3C57"/>
    <w:rsid w:val="42613FF3"/>
    <w:rsid w:val="42660D96"/>
    <w:rsid w:val="428667D2"/>
    <w:rsid w:val="42890CAC"/>
    <w:rsid w:val="42B05798"/>
    <w:rsid w:val="42B37AD7"/>
    <w:rsid w:val="42CD1CE0"/>
    <w:rsid w:val="42E1381E"/>
    <w:rsid w:val="42ED6459"/>
    <w:rsid w:val="42FA74B4"/>
    <w:rsid w:val="42FE58DD"/>
    <w:rsid w:val="43174B3D"/>
    <w:rsid w:val="431E7646"/>
    <w:rsid w:val="434B790E"/>
    <w:rsid w:val="435766B4"/>
    <w:rsid w:val="4360274F"/>
    <w:rsid w:val="43977AB6"/>
    <w:rsid w:val="439A302D"/>
    <w:rsid w:val="43A3342B"/>
    <w:rsid w:val="43AD4526"/>
    <w:rsid w:val="43C77C27"/>
    <w:rsid w:val="43DE09EE"/>
    <w:rsid w:val="43F565F9"/>
    <w:rsid w:val="44002FAD"/>
    <w:rsid w:val="446134BD"/>
    <w:rsid w:val="449101DD"/>
    <w:rsid w:val="4491320F"/>
    <w:rsid w:val="44983428"/>
    <w:rsid w:val="44B32010"/>
    <w:rsid w:val="44DE1391"/>
    <w:rsid w:val="451B225C"/>
    <w:rsid w:val="452410C9"/>
    <w:rsid w:val="45317DFB"/>
    <w:rsid w:val="453F3B2A"/>
    <w:rsid w:val="454105AC"/>
    <w:rsid w:val="45505AB1"/>
    <w:rsid w:val="456D3CE4"/>
    <w:rsid w:val="4579042C"/>
    <w:rsid w:val="457F0571"/>
    <w:rsid w:val="45851176"/>
    <w:rsid w:val="459B6D2C"/>
    <w:rsid w:val="45C63B94"/>
    <w:rsid w:val="45CC15DB"/>
    <w:rsid w:val="45DF4291"/>
    <w:rsid w:val="460E7DA5"/>
    <w:rsid w:val="461E170B"/>
    <w:rsid w:val="46422483"/>
    <w:rsid w:val="4659254A"/>
    <w:rsid w:val="465B0637"/>
    <w:rsid w:val="465E3F0D"/>
    <w:rsid w:val="466A16E6"/>
    <w:rsid w:val="467D0B27"/>
    <w:rsid w:val="46893F2B"/>
    <w:rsid w:val="46B02CAB"/>
    <w:rsid w:val="46C4686E"/>
    <w:rsid w:val="46D324F5"/>
    <w:rsid w:val="46F5246C"/>
    <w:rsid w:val="472D60AA"/>
    <w:rsid w:val="475C24EB"/>
    <w:rsid w:val="475F022D"/>
    <w:rsid w:val="47613FA5"/>
    <w:rsid w:val="477B778F"/>
    <w:rsid w:val="477F7169"/>
    <w:rsid w:val="478203EC"/>
    <w:rsid w:val="4783643F"/>
    <w:rsid w:val="47AF2BA4"/>
    <w:rsid w:val="47B025FA"/>
    <w:rsid w:val="47D26C51"/>
    <w:rsid w:val="4809698F"/>
    <w:rsid w:val="4811697D"/>
    <w:rsid w:val="4839608B"/>
    <w:rsid w:val="487A3E25"/>
    <w:rsid w:val="488B5503"/>
    <w:rsid w:val="48937E21"/>
    <w:rsid w:val="489A0361"/>
    <w:rsid w:val="48AE4FC8"/>
    <w:rsid w:val="48B94FF3"/>
    <w:rsid w:val="48E37AAB"/>
    <w:rsid w:val="48FD4B4C"/>
    <w:rsid w:val="490A68E0"/>
    <w:rsid w:val="491055FE"/>
    <w:rsid w:val="492520E1"/>
    <w:rsid w:val="49496A9F"/>
    <w:rsid w:val="495F5B3E"/>
    <w:rsid w:val="496F77D7"/>
    <w:rsid w:val="497654FD"/>
    <w:rsid w:val="49883A6B"/>
    <w:rsid w:val="499C12C5"/>
    <w:rsid w:val="49B64211"/>
    <w:rsid w:val="49DB4225"/>
    <w:rsid w:val="49F6167F"/>
    <w:rsid w:val="4A064FA0"/>
    <w:rsid w:val="4A16615C"/>
    <w:rsid w:val="4A437992"/>
    <w:rsid w:val="4A4424D7"/>
    <w:rsid w:val="4A8F3F2F"/>
    <w:rsid w:val="4AA03036"/>
    <w:rsid w:val="4AB56AE2"/>
    <w:rsid w:val="4AB82D0F"/>
    <w:rsid w:val="4ABA40F8"/>
    <w:rsid w:val="4AEB7664"/>
    <w:rsid w:val="4AFD7C19"/>
    <w:rsid w:val="4B0567D1"/>
    <w:rsid w:val="4B0E7FA0"/>
    <w:rsid w:val="4B236AAE"/>
    <w:rsid w:val="4B2477C4"/>
    <w:rsid w:val="4B707271"/>
    <w:rsid w:val="4B9739F7"/>
    <w:rsid w:val="4BAB1C93"/>
    <w:rsid w:val="4BBE6C52"/>
    <w:rsid w:val="4BEE2503"/>
    <w:rsid w:val="4C1E4213"/>
    <w:rsid w:val="4C245A30"/>
    <w:rsid w:val="4C4A5008"/>
    <w:rsid w:val="4C892707"/>
    <w:rsid w:val="4CB6685F"/>
    <w:rsid w:val="4CC367FE"/>
    <w:rsid w:val="4CF64C10"/>
    <w:rsid w:val="4D077F3C"/>
    <w:rsid w:val="4D123355"/>
    <w:rsid w:val="4D2A3B31"/>
    <w:rsid w:val="4D312C52"/>
    <w:rsid w:val="4D905305"/>
    <w:rsid w:val="4D964A72"/>
    <w:rsid w:val="4D9C1254"/>
    <w:rsid w:val="4D9C6E2F"/>
    <w:rsid w:val="4DE60D60"/>
    <w:rsid w:val="4DE84AD8"/>
    <w:rsid w:val="4DF80AFB"/>
    <w:rsid w:val="4E1103A0"/>
    <w:rsid w:val="4E2F0959"/>
    <w:rsid w:val="4E537C03"/>
    <w:rsid w:val="4E693057"/>
    <w:rsid w:val="4E793892"/>
    <w:rsid w:val="4E800872"/>
    <w:rsid w:val="4E9E163B"/>
    <w:rsid w:val="4EB17A4C"/>
    <w:rsid w:val="4EC569ED"/>
    <w:rsid w:val="4ED50EA1"/>
    <w:rsid w:val="4EEC050C"/>
    <w:rsid w:val="4F104EC3"/>
    <w:rsid w:val="4F47354A"/>
    <w:rsid w:val="4F911C54"/>
    <w:rsid w:val="4FE625E0"/>
    <w:rsid w:val="4FE85264"/>
    <w:rsid w:val="4FEE65F2"/>
    <w:rsid w:val="5021480F"/>
    <w:rsid w:val="50830AE8"/>
    <w:rsid w:val="50864307"/>
    <w:rsid w:val="5091630C"/>
    <w:rsid w:val="50962ECB"/>
    <w:rsid w:val="50A34FD8"/>
    <w:rsid w:val="50A42E38"/>
    <w:rsid w:val="50A4577F"/>
    <w:rsid w:val="50AC6291"/>
    <w:rsid w:val="50B73D1F"/>
    <w:rsid w:val="50BD5BC9"/>
    <w:rsid w:val="50C11EEE"/>
    <w:rsid w:val="50E97CFC"/>
    <w:rsid w:val="50EC2B32"/>
    <w:rsid w:val="50FA4028"/>
    <w:rsid w:val="510D65B7"/>
    <w:rsid w:val="511157AB"/>
    <w:rsid w:val="5142540C"/>
    <w:rsid w:val="518832C8"/>
    <w:rsid w:val="519D3C50"/>
    <w:rsid w:val="51A0432A"/>
    <w:rsid w:val="51A86090"/>
    <w:rsid w:val="51B7396D"/>
    <w:rsid w:val="51C8534D"/>
    <w:rsid w:val="51E1640E"/>
    <w:rsid w:val="52114133"/>
    <w:rsid w:val="522E38F2"/>
    <w:rsid w:val="522E4CC3"/>
    <w:rsid w:val="5244713B"/>
    <w:rsid w:val="52484953"/>
    <w:rsid w:val="525A7F6F"/>
    <w:rsid w:val="52615633"/>
    <w:rsid w:val="526F4DE4"/>
    <w:rsid w:val="52977FD4"/>
    <w:rsid w:val="52A25790"/>
    <w:rsid w:val="52A96B6F"/>
    <w:rsid w:val="52B45975"/>
    <w:rsid w:val="52B7533F"/>
    <w:rsid w:val="52D94AA4"/>
    <w:rsid w:val="52EA3A62"/>
    <w:rsid w:val="52F50BB8"/>
    <w:rsid w:val="53097272"/>
    <w:rsid w:val="532716FD"/>
    <w:rsid w:val="532F6D06"/>
    <w:rsid w:val="53544462"/>
    <w:rsid w:val="53642E53"/>
    <w:rsid w:val="5397158E"/>
    <w:rsid w:val="53A476F3"/>
    <w:rsid w:val="53FD5056"/>
    <w:rsid w:val="54013861"/>
    <w:rsid w:val="541D1254"/>
    <w:rsid w:val="54221594"/>
    <w:rsid w:val="54487265"/>
    <w:rsid w:val="544D6070"/>
    <w:rsid w:val="545D78A2"/>
    <w:rsid w:val="54605E1E"/>
    <w:rsid w:val="54B3506A"/>
    <w:rsid w:val="54B35714"/>
    <w:rsid w:val="54C87412"/>
    <w:rsid w:val="54CA0D16"/>
    <w:rsid w:val="54DD4057"/>
    <w:rsid w:val="54E4643E"/>
    <w:rsid w:val="54E7490F"/>
    <w:rsid w:val="550764A4"/>
    <w:rsid w:val="550B2BF6"/>
    <w:rsid w:val="55214EB5"/>
    <w:rsid w:val="552A2BBF"/>
    <w:rsid w:val="55364EFD"/>
    <w:rsid w:val="55472A2C"/>
    <w:rsid w:val="555D4828"/>
    <w:rsid w:val="557A4C8B"/>
    <w:rsid w:val="558931E1"/>
    <w:rsid w:val="55923347"/>
    <w:rsid w:val="55925180"/>
    <w:rsid w:val="55983B1B"/>
    <w:rsid w:val="55A8376B"/>
    <w:rsid w:val="55BB2AD2"/>
    <w:rsid w:val="55DC29B6"/>
    <w:rsid w:val="55DD4241"/>
    <w:rsid w:val="56262642"/>
    <w:rsid w:val="56270168"/>
    <w:rsid w:val="566B6D1E"/>
    <w:rsid w:val="567710EF"/>
    <w:rsid w:val="56A7044E"/>
    <w:rsid w:val="56DE116E"/>
    <w:rsid w:val="56FE35BF"/>
    <w:rsid w:val="57032A2C"/>
    <w:rsid w:val="570452C9"/>
    <w:rsid w:val="570476B7"/>
    <w:rsid w:val="570F5219"/>
    <w:rsid w:val="575D12B5"/>
    <w:rsid w:val="57610A87"/>
    <w:rsid w:val="577B1140"/>
    <w:rsid w:val="577B7F21"/>
    <w:rsid w:val="577F181B"/>
    <w:rsid w:val="57914433"/>
    <w:rsid w:val="57921984"/>
    <w:rsid w:val="579737F0"/>
    <w:rsid w:val="57AB7B30"/>
    <w:rsid w:val="57AC4DC9"/>
    <w:rsid w:val="57AF2B0B"/>
    <w:rsid w:val="57AF5251"/>
    <w:rsid w:val="57B26373"/>
    <w:rsid w:val="57B63F04"/>
    <w:rsid w:val="57C238B6"/>
    <w:rsid w:val="57CD20C2"/>
    <w:rsid w:val="57D675AB"/>
    <w:rsid w:val="57D95FDD"/>
    <w:rsid w:val="58917D2F"/>
    <w:rsid w:val="5894085C"/>
    <w:rsid w:val="58AE4F0C"/>
    <w:rsid w:val="58B85899"/>
    <w:rsid w:val="58C603B4"/>
    <w:rsid w:val="58CB74D0"/>
    <w:rsid w:val="58CD4FF7"/>
    <w:rsid w:val="58E363A9"/>
    <w:rsid w:val="591250FF"/>
    <w:rsid w:val="595E1678"/>
    <w:rsid w:val="595F086A"/>
    <w:rsid w:val="596D5BD4"/>
    <w:rsid w:val="597E3DD8"/>
    <w:rsid w:val="59A044B9"/>
    <w:rsid w:val="59D6612D"/>
    <w:rsid w:val="59F80043"/>
    <w:rsid w:val="59FBB0F5"/>
    <w:rsid w:val="5A09252F"/>
    <w:rsid w:val="5A0B2778"/>
    <w:rsid w:val="5A2A7C7B"/>
    <w:rsid w:val="5A3E2560"/>
    <w:rsid w:val="5A461504"/>
    <w:rsid w:val="5A5D3B6E"/>
    <w:rsid w:val="5A637A76"/>
    <w:rsid w:val="5A6D33BA"/>
    <w:rsid w:val="5A792B1F"/>
    <w:rsid w:val="5A874767"/>
    <w:rsid w:val="5AA85BE2"/>
    <w:rsid w:val="5AAD6F28"/>
    <w:rsid w:val="5AC16DDD"/>
    <w:rsid w:val="5AD63A24"/>
    <w:rsid w:val="5B2335F4"/>
    <w:rsid w:val="5B2E1A1D"/>
    <w:rsid w:val="5B615ECA"/>
    <w:rsid w:val="5B687259"/>
    <w:rsid w:val="5B843A1C"/>
    <w:rsid w:val="5B857E0A"/>
    <w:rsid w:val="5B865931"/>
    <w:rsid w:val="5B873E3F"/>
    <w:rsid w:val="5BAB4216"/>
    <w:rsid w:val="5BFE196B"/>
    <w:rsid w:val="5C02690E"/>
    <w:rsid w:val="5C196DA7"/>
    <w:rsid w:val="5C2238AB"/>
    <w:rsid w:val="5C2A048C"/>
    <w:rsid w:val="5C3655A9"/>
    <w:rsid w:val="5C471564"/>
    <w:rsid w:val="5C5D2B35"/>
    <w:rsid w:val="5C6A66F3"/>
    <w:rsid w:val="5C80234E"/>
    <w:rsid w:val="5C8956D8"/>
    <w:rsid w:val="5C8A680C"/>
    <w:rsid w:val="5CF35248"/>
    <w:rsid w:val="5D0C4701"/>
    <w:rsid w:val="5D0F0395"/>
    <w:rsid w:val="5D1256CE"/>
    <w:rsid w:val="5D221076"/>
    <w:rsid w:val="5D235B2D"/>
    <w:rsid w:val="5D397964"/>
    <w:rsid w:val="5D5A391C"/>
    <w:rsid w:val="5D5F10C0"/>
    <w:rsid w:val="5D891B7B"/>
    <w:rsid w:val="5DA02C88"/>
    <w:rsid w:val="5DA327CA"/>
    <w:rsid w:val="5DA622BA"/>
    <w:rsid w:val="5DAD38EE"/>
    <w:rsid w:val="5DB6074F"/>
    <w:rsid w:val="5DD010E5"/>
    <w:rsid w:val="5DE057CC"/>
    <w:rsid w:val="5E006862"/>
    <w:rsid w:val="5E0207B9"/>
    <w:rsid w:val="5E14191A"/>
    <w:rsid w:val="5E1831B8"/>
    <w:rsid w:val="5E1834A1"/>
    <w:rsid w:val="5E196F30"/>
    <w:rsid w:val="5E261785"/>
    <w:rsid w:val="5E325597"/>
    <w:rsid w:val="5E4A7017"/>
    <w:rsid w:val="5E552BBA"/>
    <w:rsid w:val="5E611C10"/>
    <w:rsid w:val="5E745F14"/>
    <w:rsid w:val="5E7A0F3F"/>
    <w:rsid w:val="5EFC7377"/>
    <w:rsid w:val="5F06174D"/>
    <w:rsid w:val="5F3A3602"/>
    <w:rsid w:val="5F45733B"/>
    <w:rsid w:val="5F6277C6"/>
    <w:rsid w:val="5F667F53"/>
    <w:rsid w:val="5F6D0B1D"/>
    <w:rsid w:val="5F85612A"/>
    <w:rsid w:val="5F8D0B82"/>
    <w:rsid w:val="5FCC5339"/>
    <w:rsid w:val="5FE01AB3"/>
    <w:rsid w:val="5FE34A5B"/>
    <w:rsid w:val="5FFE1E36"/>
    <w:rsid w:val="60232584"/>
    <w:rsid w:val="60730B79"/>
    <w:rsid w:val="607330CE"/>
    <w:rsid w:val="60825176"/>
    <w:rsid w:val="6098238E"/>
    <w:rsid w:val="609F2AC4"/>
    <w:rsid w:val="60CE7B5E"/>
    <w:rsid w:val="60DD4245"/>
    <w:rsid w:val="60EA0710"/>
    <w:rsid w:val="60FA2EE8"/>
    <w:rsid w:val="60FB46CB"/>
    <w:rsid w:val="61054A27"/>
    <w:rsid w:val="610A52BC"/>
    <w:rsid w:val="611D2366"/>
    <w:rsid w:val="61421856"/>
    <w:rsid w:val="615227C4"/>
    <w:rsid w:val="61524EF4"/>
    <w:rsid w:val="61572249"/>
    <w:rsid w:val="61654E3F"/>
    <w:rsid w:val="61686204"/>
    <w:rsid w:val="6182292A"/>
    <w:rsid w:val="618E3791"/>
    <w:rsid w:val="619F7F92"/>
    <w:rsid w:val="61A84853"/>
    <w:rsid w:val="61F94C26"/>
    <w:rsid w:val="62000E56"/>
    <w:rsid w:val="62214605"/>
    <w:rsid w:val="62347E94"/>
    <w:rsid w:val="624F3E49"/>
    <w:rsid w:val="62632286"/>
    <w:rsid w:val="62885958"/>
    <w:rsid w:val="629B43B7"/>
    <w:rsid w:val="62A446BF"/>
    <w:rsid w:val="62B40FD5"/>
    <w:rsid w:val="62F40B65"/>
    <w:rsid w:val="62FC2CFE"/>
    <w:rsid w:val="63024505"/>
    <w:rsid w:val="630B32EB"/>
    <w:rsid w:val="63302D52"/>
    <w:rsid w:val="635600A5"/>
    <w:rsid w:val="635B1DB5"/>
    <w:rsid w:val="636649C5"/>
    <w:rsid w:val="63711FED"/>
    <w:rsid w:val="63880DDC"/>
    <w:rsid w:val="638D750D"/>
    <w:rsid w:val="63AC6CC0"/>
    <w:rsid w:val="63CD32CA"/>
    <w:rsid w:val="64055776"/>
    <w:rsid w:val="64240056"/>
    <w:rsid w:val="643E143A"/>
    <w:rsid w:val="64491666"/>
    <w:rsid w:val="644F7208"/>
    <w:rsid w:val="64804F1B"/>
    <w:rsid w:val="648B6EEF"/>
    <w:rsid w:val="64B13A1E"/>
    <w:rsid w:val="64C158BF"/>
    <w:rsid w:val="64CE2EAA"/>
    <w:rsid w:val="653463FD"/>
    <w:rsid w:val="6535464F"/>
    <w:rsid w:val="653C3090"/>
    <w:rsid w:val="65402FF4"/>
    <w:rsid w:val="65854376"/>
    <w:rsid w:val="658767BE"/>
    <w:rsid w:val="65892531"/>
    <w:rsid w:val="65B6512B"/>
    <w:rsid w:val="65C45983"/>
    <w:rsid w:val="65DC0F6F"/>
    <w:rsid w:val="65F1774C"/>
    <w:rsid w:val="6618187B"/>
    <w:rsid w:val="66195831"/>
    <w:rsid w:val="662966F6"/>
    <w:rsid w:val="662E75B1"/>
    <w:rsid w:val="66342C2E"/>
    <w:rsid w:val="663E784C"/>
    <w:rsid w:val="666B40A1"/>
    <w:rsid w:val="668B6A45"/>
    <w:rsid w:val="67006EDF"/>
    <w:rsid w:val="67050051"/>
    <w:rsid w:val="672F3F24"/>
    <w:rsid w:val="673E055F"/>
    <w:rsid w:val="67551CE3"/>
    <w:rsid w:val="676F7BC1"/>
    <w:rsid w:val="6773320D"/>
    <w:rsid w:val="679D028A"/>
    <w:rsid w:val="67A22552"/>
    <w:rsid w:val="67B22DCC"/>
    <w:rsid w:val="67BE71AA"/>
    <w:rsid w:val="67D90273"/>
    <w:rsid w:val="67DE5875"/>
    <w:rsid w:val="67E55852"/>
    <w:rsid w:val="67EB1AB4"/>
    <w:rsid w:val="67F33A1A"/>
    <w:rsid w:val="67FA1285"/>
    <w:rsid w:val="68464DC5"/>
    <w:rsid w:val="68551F4F"/>
    <w:rsid w:val="687C10C9"/>
    <w:rsid w:val="68840C16"/>
    <w:rsid w:val="68876EFB"/>
    <w:rsid w:val="68884654"/>
    <w:rsid w:val="689F444F"/>
    <w:rsid w:val="68A51AEC"/>
    <w:rsid w:val="68B96DBB"/>
    <w:rsid w:val="68C21D29"/>
    <w:rsid w:val="68CA2805"/>
    <w:rsid w:val="68E53982"/>
    <w:rsid w:val="68E937A3"/>
    <w:rsid w:val="690D143F"/>
    <w:rsid w:val="69102BCA"/>
    <w:rsid w:val="69313380"/>
    <w:rsid w:val="693E15D3"/>
    <w:rsid w:val="69562DE6"/>
    <w:rsid w:val="69564B94"/>
    <w:rsid w:val="69627681"/>
    <w:rsid w:val="6977531D"/>
    <w:rsid w:val="69831701"/>
    <w:rsid w:val="69CC2BFF"/>
    <w:rsid w:val="69D65CD5"/>
    <w:rsid w:val="69FD55B8"/>
    <w:rsid w:val="6A0B1C62"/>
    <w:rsid w:val="6A1567FD"/>
    <w:rsid w:val="6A2406C8"/>
    <w:rsid w:val="6A5512F0"/>
    <w:rsid w:val="6A7E25F5"/>
    <w:rsid w:val="6ACD0E86"/>
    <w:rsid w:val="6ADE0BD1"/>
    <w:rsid w:val="6AE96859"/>
    <w:rsid w:val="6B064398"/>
    <w:rsid w:val="6B147746"/>
    <w:rsid w:val="6B24787C"/>
    <w:rsid w:val="6B573233"/>
    <w:rsid w:val="6B5B6274"/>
    <w:rsid w:val="6B935D53"/>
    <w:rsid w:val="6B981292"/>
    <w:rsid w:val="6C0B610A"/>
    <w:rsid w:val="6C196F71"/>
    <w:rsid w:val="6C226FCB"/>
    <w:rsid w:val="6C31226F"/>
    <w:rsid w:val="6C552F0B"/>
    <w:rsid w:val="6C8C67B7"/>
    <w:rsid w:val="6C9D744C"/>
    <w:rsid w:val="6CAD71C1"/>
    <w:rsid w:val="6CE93F71"/>
    <w:rsid w:val="6D083A72"/>
    <w:rsid w:val="6D167928"/>
    <w:rsid w:val="6D1F34D1"/>
    <w:rsid w:val="6D26299B"/>
    <w:rsid w:val="6D322664"/>
    <w:rsid w:val="6D4772EC"/>
    <w:rsid w:val="6D5F48BA"/>
    <w:rsid w:val="6D9078AF"/>
    <w:rsid w:val="6DAA3FEF"/>
    <w:rsid w:val="6DBE0F5A"/>
    <w:rsid w:val="6DC0172B"/>
    <w:rsid w:val="6DC26C9C"/>
    <w:rsid w:val="6DCB690C"/>
    <w:rsid w:val="6DD41A5B"/>
    <w:rsid w:val="6DE210EC"/>
    <w:rsid w:val="6DF43C2E"/>
    <w:rsid w:val="6DF51CA3"/>
    <w:rsid w:val="6E005A16"/>
    <w:rsid w:val="6E3463E0"/>
    <w:rsid w:val="6E8335BD"/>
    <w:rsid w:val="6E8E12EF"/>
    <w:rsid w:val="6E972936"/>
    <w:rsid w:val="6ED446C5"/>
    <w:rsid w:val="6EE82732"/>
    <w:rsid w:val="6F1F686D"/>
    <w:rsid w:val="6F2A7D94"/>
    <w:rsid w:val="6F4F221C"/>
    <w:rsid w:val="6F5653D4"/>
    <w:rsid w:val="6F8331F1"/>
    <w:rsid w:val="6FAA5C3A"/>
    <w:rsid w:val="6FAE1A09"/>
    <w:rsid w:val="6FC00FB9"/>
    <w:rsid w:val="6FD75BF8"/>
    <w:rsid w:val="6FFF1196"/>
    <w:rsid w:val="70384FF4"/>
    <w:rsid w:val="70473489"/>
    <w:rsid w:val="704E0CBB"/>
    <w:rsid w:val="707723D0"/>
    <w:rsid w:val="70F5661B"/>
    <w:rsid w:val="71360107"/>
    <w:rsid w:val="713B688E"/>
    <w:rsid w:val="71593474"/>
    <w:rsid w:val="71836742"/>
    <w:rsid w:val="71D43752"/>
    <w:rsid w:val="71F1796A"/>
    <w:rsid w:val="72154626"/>
    <w:rsid w:val="72262B5D"/>
    <w:rsid w:val="72283FF7"/>
    <w:rsid w:val="722E7212"/>
    <w:rsid w:val="723A0474"/>
    <w:rsid w:val="725923E4"/>
    <w:rsid w:val="726C5429"/>
    <w:rsid w:val="72864BF7"/>
    <w:rsid w:val="729023FC"/>
    <w:rsid w:val="729F75AC"/>
    <w:rsid w:val="72A262A2"/>
    <w:rsid w:val="72B55021"/>
    <w:rsid w:val="73571C35"/>
    <w:rsid w:val="73A806E2"/>
    <w:rsid w:val="73AF1A71"/>
    <w:rsid w:val="73C0646E"/>
    <w:rsid w:val="73C372CA"/>
    <w:rsid w:val="742222F5"/>
    <w:rsid w:val="74275AAB"/>
    <w:rsid w:val="74476126"/>
    <w:rsid w:val="744877CF"/>
    <w:rsid w:val="74566390"/>
    <w:rsid w:val="74706664"/>
    <w:rsid w:val="747F3682"/>
    <w:rsid w:val="749C4185"/>
    <w:rsid w:val="74AE7F7A"/>
    <w:rsid w:val="74CB0B2C"/>
    <w:rsid w:val="75067759"/>
    <w:rsid w:val="752E6DCD"/>
    <w:rsid w:val="7551380D"/>
    <w:rsid w:val="75600BE5"/>
    <w:rsid w:val="7564475C"/>
    <w:rsid w:val="757310EA"/>
    <w:rsid w:val="7583797F"/>
    <w:rsid w:val="758B5587"/>
    <w:rsid w:val="75D20F1D"/>
    <w:rsid w:val="75DA2C18"/>
    <w:rsid w:val="75E55DBB"/>
    <w:rsid w:val="75F54412"/>
    <w:rsid w:val="761B163F"/>
    <w:rsid w:val="761D08E0"/>
    <w:rsid w:val="765972B7"/>
    <w:rsid w:val="765D347C"/>
    <w:rsid w:val="76826699"/>
    <w:rsid w:val="76C87133"/>
    <w:rsid w:val="76CD08D5"/>
    <w:rsid w:val="76DB4B92"/>
    <w:rsid w:val="76F73D90"/>
    <w:rsid w:val="77052AA4"/>
    <w:rsid w:val="77136511"/>
    <w:rsid w:val="77340A39"/>
    <w:rsid w:val="77351FD0"/>
    <w:rsid w:val="773724A9"/>
    <w:rsid w:val="77472422"/>
    <w:rsid w:val="77660698"/>
    <w:rsid w:val="77674410"/>
    <w:rsid w:val="777F31F2"/>
    <w:rsid w:val="778E496D"/>
    <w:rsid w:val="77D1700D"/>
    <w:rsid w:val="77D47CF8"/>
    <w:rsid w:val="77EC04CC"/>
    <w:rsid w:val="78775729"/>
    <w:rsid w:val="788259A6"/>
    <w:rsid w:val="788B412F"/>
    <w:rsid w:val="78A42DB0"/>
    <w:rsid w:val="78A656AB"/>
    <w:rsid w:val="78B2245C"/>
    <w:rsid w:val="78E172CC"/>
    <w:rsid w:val="78EA1D1F"/>
    <w:rsid w:val="7904172F"/>
    <w:rsid w:val="790F7E27"/>
    <w:rsid w:val="792A231A"/>
    <w:rsid w:val="79316829"/>
    <w:rsid w:val="797E66A9"/>
    <w:rsid w:val="798518A4"/>
    <w:rsid w:val="79A11E5C"/>
    <w:rsid w:val="79A97383"/>
    <w:rsid w:val="79BD70A9"/>
    <w:rsid w:val="79C124FE"/>
    <w:rsid w:val="79E27E8B"/>
    <w:rsid w:val="79F850CE"/>
    <w:rsid w:val="79FD443C"/>
    <w:rsid w:val="7A124B07"/>
    <w:rsid w:val="7A1545F8"/>
    <w:rsid w:val="7A1D1975"/>
    <w:rsid w:val="7A2B7F7C"/>
    <w:rsid w:val="7A3E5150"/>
    <w:rsid w:val="7A4670D6"/>
    <w:rsid w:val="7A4D1FE3"/>
    <w:rsid w:val="7A534B63"/>
    <w:rsid w:val="7A615382"/>
    <w:rsid w:val="7A67303B"/>
    <w:rsid w:val="7A772BBC"/>
    <w:rsid w:val="7AAB1D04"/>
    <w:rsid w:val="7ABA4368"/>
    <w:rsid w:val="7ABD0F17"/>
    <w:rsid w:val="7AD05746"/>
    <w:rsid w:val="7AF91823"/>
    <w:rsid w:val="7B0D0AB3"/>
    <w:rsid w:val="7B257FFD"/>
    <w:rsid w:val="7B343476"/>
    <w:rsid w:val="7B5A2978"/>
    <w:rsid w:val="7B5A7E4C"/>
    <w:rsid w:val="7B667AF9"/>
    <w:rsid w:val="7B7468F8"/>
    <w:rsid w:val="7B7535A0"/>
    <w:rsid w:val="7B8E2DE1"/>
    <w:rsid w:val="7BB73BB8"/>
    <w:rsid w:val="7BD06A28"/>
    <w:rsid w:val="7BEE0103"/>
    <w:rsid w:val="7C0A0FE4"/>
    <w:rsid w:val="7C254906"/>
    <w:rsid w:val="7C590818"/>
    <w:rsid w:val="7C7C10F6"/>
    <w:rsid w:val="7C853BEA"/>
    <w:rsid w:val="7C881368"/>
    <w:rsid w:val="7CB244A3"/>
    <w:rsid w:val="7CE27788"/>
    <w:rsid w:val="7CF91FAF"/>
    <w:rsid w:val="7D0C32F1"/>
    <w:rsid w:val="7D0F408D"/>
    <w:rsid w:val="7D2D3A06"/>
    <w:rsid w:val="7D44147C"/>
    <w:rsid w:val="7D491C6C"/>
    <w:rsid w:val="7D5429C0"/>
    <w:rsid w:val="7D6E6D43"/>
    <w:rsid w:val="7DB57A34"/>
    <w:rsid w:val="7DE60973"/>
    <w:rsid w:val="7DEF0916"/>
    <w:rsid w:val="7E0929FF"/>
    <w:rsid w:val="7E1C5F55"/>
    <w:rsid w:val="7E1E5218"/>
    <w:rsid w:val="7E3231B3"/>
    <w:rsid w:val="7E3A287F"/>
    <w:rsid w:val="7E527BC8"/>
    <w:rsid w:val="7E7A30E4"/>
    <w:rsid w:val="7E9A4E1F"/>
    <w:rsid w:val="7EA7723A"/>
    <w:rsid w:val="7EC975D7"/>
    <w:rsid w:val="7EE36A72"/>
    <w:rsid w:val="7EEF5417"/>
    <w:rsid w:val="7EF56FBB"/>
    <w:rsid w:val="7EFB200E"/>
    <w:rsid w:val="7F0768EB"/>
    <w:rsid w:val="7F08472B"/>
    <w:rsid w:val="7F09134D"/>
    <w:rsid w:val="7F143BEC"/>
    <w:rsid w:val="7F1E51FA"/>
    <w:rsid w:val="7F207CC7"/>
    <w:rsid w:val="7F29292E"/>
    <w:rsid w:val="7F2F7F0A"/>
    <w:rsid w:val="7F4A4D43"/>
    <w:rsid w:val="7F715AF2"/>
    <w:rsid w:val="7F886E69"/>
    <w:rsid w:val="7F8D2652"/>
    <w:rsid w:val="7FD665D7"/>
    <w:rsid w:val="7FE40CF4"/>
    <w:rsid w:val="7FFF78DC"/>
    <w:rsid w:val="BB7FA927"/>
    <w:rsid w:val="DBBF884F"/>
    <w:rsid w:val="ED3ADBA2"/>
    <w:rsid w:val="F5FFD31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2"/>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2"/>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8"/>
    <w:qFormat/>
    <w:uiPriority w:val="0"/>
    <w:pPr>
      <w:ind w:left="100" w:leftChars="2500"/>
    </w:pPr>
    <w:rPr>
      <w:rFonts w:ascii="宋体"/>
      <w:sz w:val="24"/>
      <w:szCs w:val="21"/>
      <w:lang w:val="zh-CN"/>
    </w:rPr>
  </w:style>
  <w:style w:type="paragraph" w:styleId="36">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7">
    <w:name w:val="endnote text"/>
    <w:basedOn w:val="1"/>
    <w:link w:val="929"/>
    <w:qFormat/>
    <w:uiPriority w:val="0"/>
    <w:rPr>
      <w:lang w:val="zh-CN"/>
    </w:rPr>
  </w:style>
  <w:style w:type="paragraph" w:styleId="38">
    <w:name w:val="Balloon Text"/>
    <w:basedOn w:val="1"/>
    <w:link w:val="185"/>
    <w:qFormat/>
    <w:uiPriority w:val="0"/>
    <w:rPr>
      <w:sz w:val="18"/>
      <w:szCs w:val="18"/>
    </w:rPr>
  </w:style>
  <w:style w:type="paragraph" w:styleId="39">
    <w:name w:val="footer"/>
    <w:basedOn w:val="1"/>
    <w:link w:val="380"/>
    <w:qFormat/>
    <w:uiPriority w:val="99"/>
    <w:pPr>
      <w:tabs>
        <w:tab w:val="center" w:pos="4153"/>
        <w:tab w:val="right" w:pos="8306"/>
      </w:tabs>
      <w:snapToGrid w:val="0"/>
      <w:jc w:val="left"/>
    </w:pPr>
    <w:rPr>
      <w:sz w:val="18"/>
      <w:szCs w:val="18"/>
    </w:rPr>
  </w:style>
  <w:style w:type="paragraph" w:styleId="40">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7"/>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2"/>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299"/>
    <w:qFormat/>
    <w:uiPriority w:val="0"/>
    <w:pPr>
      <w:spacing w:after="120" w:line="480" w:lineRule="auto"/>
    </w:pPr>
  </w:style>
  <w:style w:type="paragraph" w:styleId="56">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3"/>
    <w:qFormat/>
    <w:uiPriority w:val="0"/>
    <w:rPr>
      <w:b/>
      <w:bCs/>
    </w:rPr>
  </w:style>
  <w:style w:type="paragraph" w:styleId="60">
    <w:name w:val="Body Text First Indent"/>
    <w:basedOn w:val="23"/>
    <w:link w:val="318"/>
    <w:qFormat/>
    <w:uiPriority w:val="0"/>
    <w:pPr>
      <w:ind w:firstLine="420"/>
    </w:pPr>
    <w:rPr>
      <w:rFonts w:hAnsi="Calibri" w:cs="Times New Roman"/>
      <w:snapToGrid/>
      <w:szCs w:val="20"/>
    </w:rPr>
  </w:style>
  <w:style w:type="paragraph" w:styleId="61">
    <w:name w:val="Body Text First Indent 2"/>
    <w:basedOn w:val="24"/>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6"/>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8"/>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3"/>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5"/>
    <w:qFormat/>
    <w:uiPriority w:val="0"/>
    <w:rPr>
      <w:rFonts w:ascii="宋体"/>
      <w:kern w:val="2"/>
      <w:sz w:val="24"/>
      <w:szCs w:val="21"/>
      <w:lang w:val="zh-CN"/>
    </w:rPr>
  </w:style>
  <w:style w:type="character" w:customStyle="1" w:styleId="179">
    <w:name w:val="标题 9 Char"/>
    <w:link w:val="11"/>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8"/>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29"/>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4"/>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2"/>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8"/>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6"/>
    <w:qFormat/>
    <w:uiPriority w:val="0"/>
    <w:rPr>
      <w:rFonts w:ascii="黑体" w:hAnsi="Courier New" w:eastAsia="黑体"/>
    </w:rPr>
  </w:style>
  <w:style w:type="character" w:customStyle="1" w:styleId="299">
    <w:name w:val="正文文本 2 Char1"/>
    <w:link w:val="55"/>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9"/>
    <w:qFormat/>
    <w:uiPriority w:val="0"/>
    <w:rPr>
      <w:b/>
      <w:bCs/>
      <w:kern w:val="2"/>
      <w:sz w:val="24"/>
      <w:szCs w:val="24"/>
    </w:rPr>
  </w:style>
  <w:style w:type="character" w:customStyle="1" w:styleId="305">
    <w:name w:val="正文文本缩进 2 Char"/>
    <w:link w:val="36"/>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49"/>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1"/>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qFormat/>
    <w:uiPriority w:val="0"/>
    <w:rPr>
      <w:kern w:val="2"/>
      <w:sz w:val="21"/>
      <w:szCs w:val="24"/>
    </w:rPr>
  </w:style>
  <w:style w:type="character" w:customStyle="1" w:styleId="342">
    <w:name w:val="签名 Char"/>
    <w:link w:val="41"/>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0"/>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2"/>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39"/>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0"/>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5"/>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2"/>
    <w:qFormat/>
    <w:uiPriority w:val="0"/>
    <w:pPr>
      <w:tabs>
        <w:tab w:val="left" w:pos="840"/>
      </w:tabs>
      <w:adjustRightInd/>
      <w:ind w:left="840" w:hanging="420"/>
    </w:pPr>
  </w:style>
  <w:style w:type="paragraph" w:customStyle="1" w:styleId="62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6"/>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7"/>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3">
    <w:name w:val="font0"/>
    <w:basedOn w:val="1"/>
    <w:qFormat/>
    <w:uiPriority w:val="0"/>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964">
    <w:name w:val="font2"/>
    <w:basedOn w:val="1"/>
    <w:qFormat/>
    <w:uiPriority w:val="0"/>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965">
    <w:name w:val="et3"/>
    <w:basedOn w:val="1"/>
    <w:qFormat/>
    <w:uiPriority w:val="0"/>
    <w:pPr>
      <w:widowControl/>
      <w:adjustRightInd/>
      <w:spacing w:before="100" w:beforeAutospacing="1" w:after="100" w:afterAutospacing="1"/>
      <w:jc w:val="left"/>
    </w:pPr>
    <w:rPr>
      <w:rFonts w:ascii="宋体" w:hAnsi="宋体" w:cs="宋体"/>
      <w:color w:val="000000"/>
      <w:kern w:val="0"/>
      <w:sz w:val="12"/>
      <w:szCs w:val="12"/>
    </w:rPr>
  </w:style>
  <w:style w:type="paragraph" w:customStyle="1" w:styleId="966">
    <w:name w:val="et4"/>
    <w:basedOn w:val="1"/>
    <w:qFormat/>
    <w:uiPriority w:val="0"/>
    <w:pPr>
      <w:widowControl/>
      <w:adjustRightInd/>
      <w:spacing w:before="100" w:beforeAutospacing="1" w:after="100" w:afterAutospacing="1"/>
      <w:jc w:val="center"/>
    </w:pPr>
    <w:rPr>
      <w:rFonts w:ascii="宋体" w:hAnsi="宋体" w:cs="宋体"/>
      <w:color w:val="000000"/>
      <w:kern w:val="0"/>
      <w:sz w:val="12"/>
      <w:szCs w:val="12"/>
    </w:rPr>
  </w:style>
  <w:style w:type="paragraph" w:customStyle="1" w:styleId="967">
    <w:name w:val="et5"/>
    <w:basedOn w:val="1"/>
    <w:qFormat/>
    <w:uiPriority w:val="0"/>
    <w:pPr>
      <w:widowControl/>
      <w:adjustRightInd/>
      <w:spacing w:before="100" w:beforeAutospacing="1" w:after="100" w:afterAutospacing="1"/>
      <w:jc w:val="center"/>
    </w:pPr>
    <w:rPr>
      <w:rFonts w:ascii="宋体" w:hAnsi="宋体" w:cs="宋体"/>
      <w:color w:val="000000"/>
      <w:kern w:val="0"/>
      <w:sz w:val="12"/>
      <w:szCs w:val="12"/>
    </w:rPr>
  </w:style>
  <w:style w:type="paragraph" w:customStyle="1" w:styleId="968">
    <w:name w:val="et6"/>
    <w:basedOn w:val="1"/>
    <w:qFormat/>
    <w:uiPriority w:val="0"/>
    <w:pPr>
      <w:widowControl/>
      <w:adjustRightInd/>
      <w:spacing w:before="100" w:beforeAutospacing="1" w:after="100" w:afterAutospacing="1"/>
      <w:jc w:val="left"/>
    </w:pPr>
    <w:rPr>
      <w:rFonts w:ascii="宋体" w:hAnsi="宋体" w:cs="宋体"/>
      <w:color w:val="000000"/>
      <w:kern w:val="0"/>
      <w:sz w:val="12"/>
      <w:szCs w:val="12"/>
    </w:rPr>
  </w:style>
  <w:style w:type="paragraph" w:customStyle="1" w:styleId="969">
    <w:name w:val="et8"/>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70">
    <w:name w:val="et9"/>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71">
    <w:name w:val="et10"/>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72">
    <w:name w:val="et11"/>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73">
    <w:name w:val="et13"/>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74">
    <w:name w:val="et14"/>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75">
    <w:name w:val="et15"/>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76">
    <w:name w:val="et16"/>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77">
    <w:name w:val="et17"/>
    <w:basedOn w:val="1"/>
    <w:qFormat/>
    <w:uiPriority w:val="0"/>
    <w:pPr>
      <w:widowControl/>
      <w:pBdr>
        <w:left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78">
    <w:name w:val="et18"/>
    <w:basedOn w:val="1"/>
    <w:qFormat/>
    <w:uiPriority w:val="0"/>
    <w:pPr>
      <w:widowControl/>
      <w:pBdr>
        <w:left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79">
    <w:name w:val="et19"/>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80">
    <w:name w:val="et20"/>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81">
    <w:name w:val="et21"/>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82">
    <w:name w:val="et22"/>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83">
    <w:name w:val="et23"/>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sz w:val="12"/>
      <w:szCs w:val="12"/>
    </w:rPr>
  </w:style>
  <w:style w:type="paragraph" w:customStyle="1" w:styleId="984">
    <w:name w:val="et24"/>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85">
    <w:name w:val="et25"/>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left"/>
    </w:pPr>
    <w:rPr>
      <w:rFonts w:ascii="宋体" w:hAnsi="宋体" w:cs="宋体"/>
      <w:color w:val="000000"/>
      <w:kern w:val="0"/>
      <w:sz w:val="12"/>
      <w:szCs w:val="12"/>
    </w:rPr>
  </w:style>
  <w:style w:type="paragraph" w:customStyle="1" w:styleId="986">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987">
    <w:name w:val="font101"/>
    <w:basedOn w:val="69"/>
    <w:qFormat/>
    <w:uiPriority w:val="0"/>
    <w:rPr>
      <w:rFonts w:ascii="微软雅黑" w:hAnsi="微软雅黑" w:eastAsia="微软雅黑" w:cs="微软雅黑"/>
      <w:color w:val="000000"/>
      <w:sz w:val="22"/>
      <w:szCs w:val="22"/>
      <w:u w:val="none"/>
    </w:rPr>
  </w:style>
  <w:style w:type="character" w:customStyle="1" w:styleId="988">
    <w:name w:val="font112"/>
    <w:basedOn w:val="6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102</Pages>
  <Words>1090</Words>
  <Characters>1196</Characters>
  <Lines>558</Lines>
  <Paragraphs>157</Paragraphs>
  <TotalTime>0</TotalTime>
  <ScaleCrop>false</ScaleCrop>
  <LinksUpToDate>false</LinksUpToDate>
  <CharactersWithSpaces>1296</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2024-11-20T16:13:00Z</dcterms:created>
  <dc:creator>玥</dc:creator>
  <cp:lastModifiedBy>hp</cp:lastModifiedBy>
  <cp:lastPrinted>2021-12-28T03:06:00Z</cp:lastPrinted>
  <dcterms:modified xsi:type="dcterms:W3CDTF">2024-11-29T04:52:54Z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B937BF590BF24FE78DD8C5B6B9641BFC_13</vt:lpwstr>
  </property>
</Properties>
</file>