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660CA">
      <w:pPr>
        <w:pStyle w:val="12"/>
        <w:rPr>
          <w:rFonts w:hint="eastAsia" w:ascii="宋体" w:hAnsi="宋体" w:eastAsia="宋体" w:cs="宋体"/>
          <w:color w:val="auto"/>
          <w:sz w:val="18"/>
          <w:szCs w:val="22"/>
        </w:rPr>
      </w:pPr>
    </w:p>
    <w:p w14:paraId="7A56A575">
      <w:pPr>
        <w:pStyle w:val="12"/>
        <w:spacing w:before="4"/>
        <w:rPr>
          <w:rFonts w:hint="eastAsia" w:ascii="宋体" w:hAnsi="宋体" w:eastAsia="宋体" w:cs="宋体"/>
          <w:color w:val="auto"/>
          <w:sz w:val="22"/>
          <w:szCs w:val="22"/>
        </w:rPr>
      </w:pPr>
    </w:p>
    <w:p w14:paraId="77B39D0B">
      <w:pPr>
        <w:spacing w:line="360" w:lineRule="auto"/>
        <w:jc w:val="center"/>
        <w:rPr>
          <w:rFonts w:hint="eastAsia" w:ascii="宋体" w:hAnsi="宋体" w:eastAsia="宋体" w:cs="宋体"/>
          <w:color w:val="auto"/>
          <w:sz w:val="36"/>
          <w:szCs w:val="22"/>
          <w:lang w:val="en-US" w:eastAsia="zh-CN"/>
        </w:rPr>
      </w:pPr>
      <w:r>
        <w:rPr>
          <w:rFonts w:hint="eastAsia" w:cs="宋体"/>
          <w:b/>
          <w:bCs/>
          <w:color w:val="auto"/>
          <w:sz w:val="44"/>
          <w:szCs w:val="28"/>
          <w:lang w:eastAsia="zh-CN"/>
        </w:rPr>
        <w:t>苍南县居家和社区基本养老服务提升行动项目</w:t>
      </w:r>
    </w:p>
    <w:p w14:paraId="3B29447F">
      <w:pPr>
        <w:pStyle w:val="12"/>
        <w:rPr>
          <w:rFonts w:hint="eastAsia" w:ascii="宋体" w:hAnsi="宋体" w:eastAsia="宋体" w:cs="宋体"/>
          <w:color w:val="auto"/>
          <w:sz w:val="44"/>
          <w:szCs w:val="28"/>
        </w:rPr>
      </w:pPr>
    </w:p>
    <w:p w14:paraId="6DC324BC">
      <w:pPr>
        <w:pStyle w:val="13"/>
        <w:ind w:firstLine="0"/>
        <w:rPr>
          <w:rFonts w:hint="eastAsia" w:ascii="宋体" w:hAnsi="宋体" w:eastAsia="宋体" w:cs="宋体"/>
          <w:color w:val="auto"/>
          <w:sz w:val="44"/>
          <w:szCs w:val="28"/>
        </w:rPr>
      </w:pPr>
    </w:p>
    <w:p w14:paraId="6AD83B7F">
      <w:pPr>
        <w:pStyle w:val="13"/>
        <w:ind w:firstLine="0"/>
        <w:jc w:val="center"/>
        <w:rPr>
          <w:rFonts w:hint="eastAsia" w:ascii="宋体" w:hAnsi="宋体" w:eastAsia="宋体" w:cs="宋体"/>
          <w:color w:val="auto"/>
          <w:sz w:val="24"/>
          <w:szCs w:val="20"/>
        </w:rPr>
      </w:pPr>
      <w:r>
        <w:rPr>
          <w:rFonts w:hint="eastAsia" w:ascii="宋体" w:hAnsi="宋体" w:eastAsia="宋体" w:cs="宋体"/>
          <w:color w:val="auto"/>
          <w:sz w:val="24"/>
          <w:szCs w:val="20"/>
        </w:rPr>
        <w:drawing>
          <wp:inline distT="0" distB="0" distL="114300" distR="114300">
            <wp:extent cx="1769745" cy="1762760"/>
            <wp:effectExtent l="0" t="0" r="190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769745" cy="1762760"/>
                    </a:xfrm>
                    <a:prstGeom prst="rect">
                      <a:avLst/>
                    </a:prstGeom>
                    <a:noFill/>
                    <a:ln>
                      <a:noFill/>
                    </a:ln>
                  </pic:spPr>
                </pic:pic>
              </a:graphicData>
            </a:graphic>
          </wp:inline>
        </w:drawing>
      </w:r>
    </w:p>
    <w:p w14:paraId="173E076A">
      <w:pPr>
        <w:pStyle w:val="12"/>
        <w:spacing w:before="10"/>
        <w:rPr>
          <w:rFonts w:hint="eastAsia" w:ascii="宋体" w:hAnsi="宋体" w:eastAsia="宋体" w:cs="宋体"/>
          <w:color w:val="auto"/>
          <w:sz w:val="28"/>
          <w:szCs w:val="24"/>
        </w:rPr>
      </w:pPr>
    </w:p>
    <w:p w14:paraId="5EE50817">
      <w:pPr>
        <w:ind w:left="1217" w:right="1232"/>
        <w:jc w:val="center"/>
        <w:rPr>
          <w:rFonts w:hint="eastAsia" w:ascii="宋体" w:hAnsi="宋体" w:eastAsia="宋体" w:cs="宋体"/>
          <w:b/>
          <w:bCs/>
          <w:color w:val="auto"/>
          <w:sz w:val="40"/>
          <w:szCs w:val="20"/>
          <w:lang w:eastAsia="zh-CN"/>
        </w:rPr>
      </w:pPr>
      <w:r>
        <w:rPr>
          <w:rFonts w:hint="eastAsia" w:cs="宋体"/>
          <w:b/>
          <w:bCs/>
          <w:color w:val="auto"/>
          <w:sz w:val="48"/>
          <w:szCs w:val="22"/>
          <w:lang w:val="en-US" w:eastAsia="zh-CN"/>
        </w:rPr>
        <w:t>招标文件（电子招投标）</w:t>
      </w:r>
    </w:p>
    <w:p w14:paraId="2640533D">
      <w:pPr>
        <w:spacing w:before="246"/>
        <w:jc w:val="center"/>
        <w:rPr>
          <w:rFonts w:hint="eastAsia" w:ascii="宋体" w:hAnsi="宋体" w:eastAsia="宋体" w:cs="宋体"/>
          <w:color w:val="auto"/>
          <w:sz w:val="22"/>
          <w:szCs w:val="22"/>
        </w:rPr>
      </w:pPr>
      <w:bookmarkStart w:id="0" w:name="_Toc28942"/>
      <w:r>
        <w:rPr>
          <w:rFonts w:hint="eastAsia" w:ascii="宋体" w:hAnsi="宋体" w:eastAsia="宋体" w:cs="宋体"/>
          <w:color w:val="auto"/>
          <w:sz w:val="36"/>
          <w:szCs w:val="36"/>
        </w:rPr>
        <w:t>项目编号：（</w:t>
      </w:r>
      <w:r>
        <w:rPr>
          <w:rFonts w:hint="eastAsia" w:cs="宋体"/>
          <w:color w:val="auto"/>
          <w:sz w:val="36"/>
          <w:szCs w:val="36"/>
          <w:lang w:val="en-US" w:eastAsia="zh-CN"/>
        </w:rPr>
        <w:t>CNDL2024207</w:t>
      </w:r>
      <w:r>
        <w:rPr>
          <w:rFonts w:hint="eastAsia" w:ascii="宋体" w:hAnsi="宋体" w:eastAsia="宋体" w:cs="宋体"/>
          <w:color w:val="auto"/>
          <w:sz w:val="36"/>
          <w:szCs w:val="36"/>
        </w:rPr>
        <w:t>）</w:t>
      </w:r>
      <w:bookmarkEnd w:id="0"/>
    </w:p>
    <w:p w14:paraId="7D1A9D4F">
      <w:pPr>
        <w:pStyle w:val="12"/>
        <w:rPr>
          <w:rFonts w:hint="eastAsia" w:ascii="宋体" w:hAnsi="宋体" w:eastAsia="宋体" w:cs="宋体"/>
          <w:color w:val="auto"/>
          <w:sz w:val="32"/>
          <w:szCs w:val="24"/>
        </w:rPr>
      </w:pPr>
    </w:p>
    <w:p w14:paraId="2464BD7A">
      <w:pPr>
        <w:pStyle w:val="12"/>
        <w:rPr>
          <w:rFonts w:hint="eastAsia" w:ascii="宋体" w:hAnsi="宋体" w:eastAsia="宋体" w:cs="宋体"/>
          <w:color w:val="auto"/>
          <w:sz w:val="32"/>
          <w:szCs w:val="24"/>
        </w:rPr>
      </w:pPr>
    </w:p>
    <w:p w14:paraId="35140C15">
      <w:pPr>
        <w:pStyle w:val="13"/>
        <w:ind w:firstLine="0"/>
        <w:rPr>
          <w:rFonts w:hint="eastAsia" w:ascii="宋体" w:hAnsi="宋体" w:eastAsia="宋体" w:cs="宋体"/>
          <w:color w:val="auto"/>
          <w:sz w:val="24"/>
          <w:szCs w:val="20"/>
        </w:rPr>
      </w:pPr>
    </w:p>
    <w:p w14:paraId="15BBDE5F">
      <w:pPr>
        <w:pStyle w:val="14"/>
        <w:ind w:left="0"/>
        <w:rPr>
          <w:rFonts w:hint="eastAsia" w:ascii="宋体" w:hAnsi="宋体" w:eastAsia="宋体" w:cs="宋体"/>
          <w:color w:val="auto"/>
          <w:sz w:val="22"/>
          <w:szCs w:val="20"/>
        </w:rPr>
      </w:pPr>
    </w:p>
    <w:p w14:paraId="7B58723E">
      <w:pPr>
        <w:rPr>
          <w:rFonts w:hint="eastAsia" w:ascii="宋体" w:hAnsi="宋体" w:eastAsia="宋体" w:cs="宋体"/>
          <w:color w:val="auto"/>
          <w:sz w:val="22"/>
          <w:szCs w:val="22"/>
        </w:rPr>
      </w:pPr>
    </w:p>
    <w:p w14:paraId="7D64755E">
      <w:pPr>
        <w:rPr>
          <w:rFonts w:hint="eastAsia" w:ascii="宋体" w:hAnsi="宋体" w:eastAsia="宋体" w:cs="宋体"/>
          <w:color w:val="auto"/>
          <w:sz w:val="22"/>
          <w:szCs w:val="22"/>
        </w:rPr>
      </w:pPr>
    </w:p>
    <w:p w14:paraId="03E26A76">
      <w:pPr>
        <w:pStyle w:val="12"/>
        <w:spacing w:before="9"/>
        <w:rPr>
          <w:rFonts w:hint="eastAsia" w:ascii="宋体" w:hAnsi="宋体" w:eastAsia="宋体" w:cs="宋体"/>
          <w:color w:val="auto"/>
          <w:sz w:val="44"/>
          <w:szCs w:val="24"/>
        </w:rPr>
      </w:pPr>
    </w:p>
    <w:p w14:paraId="6E6D8273">
      <w:pPr>
        <w:spacing w:line="360" w:lineRule="auto"/>
        <w:ind w:firstLine="1600" w:firstLineChars="500"/>
        <w:rPr>
          <w:rFonts w:hint="eastAsia" w:ascii="宋体" w:hAnsi="宋体" w:eastAsia="宋体" w:cs="宋体"/>
          <w:color w:val="auto"/>
          <w:sz w:val="32"/>
          <w:szCs w:val="32"/>
          <w:lang w:eastAsia="zh-CN"/>
        </w:rPr>
      </w:pPr>
      <w:bookmarkStart w:id="1" w:name="_Toc31489"/>
      <w:r>
        <w:rPr>
          <w:rFonts w:hint="eastAsia" w:ascii="宋体" w:hAnsi="宋体" w:eastAsia="宋体" w:cs="宋体"/>
          <w:color w:val="auto"/>
          <w:sz w:val="32"/>
          <w:szCs w:val="32"/>
        </w:rPr>
        <w:t>采购单位：</w:t>
      </w:r>
      <w:bookmarkEnd w:id="1"/>
      <w:r>
        <w:rPr>
          <w:rFonts w:hint="eastAsia" w:ascii="宋体" w:hAnsi="宋体" w:eastAsia="宋体" w:cs="宋体"/>
          <w:color w:val="auto"/>
          <w:sz w:val="32"/>
          <w:szCs w:val="32"/>
          <w:lang w:eastAsia="zh-CN"/>
        </w:rPr>
        <w:t>苍南县民政局</w:t>
      </w:r>
      <w:bookmarkStart w:id="2" w:name="_Toc29472"/>
    </w:p>
    <w:p w14:paraId="192D5B49">
      <w:pPr>
        <w:spacing w:line="360" w:lineRule="auto"/>
        <w:ind w:firstLine="1600" w:firstLineChars="500"/>
        <w:rPr>
          <w:rFonts w:hint="eastAsia" w:ascii="宋体" w:hAnsi="宋体" w:eastAsia="宋体" w:cs="宋体"/>
          <w:color w:val="auto"/>
          <w:spacing w:val="-1"/>
          <w:w w:val="95"/>
          <w:sz w:val="32"/>
          <w:szCs w:val="32"/>
        </w:rPr>
      </w:pPr>
      <w:r>
        <w:rPr>
          <w:rFonts w:hint="eastAsia" w:ascii="宋体" w:hAnsi="宋体" w:eastAsia="宋体" w:cs="宋体"/>
          <w:color w:val="auto"/>
          <w:sz w:val="32"/>
          <w:szCs w:val="32"/>
        </w:rPr>
        <w:t>代理机构：</w:t>
      </w:r>
      <w:r>
        <w:rPr>
          <w:rFonts w:hint="eastAsia" w:ascii="宋体" w:hAnsi="宋体" w:eastAsia="宋体" w:cs="宋体"/>
          <w:color w:val="auto"/>
          <w:spacing w:val="-1"/>
          <w:w w:val="95"/>
          <w:sz w:val="32"/>
          <w:szCs w:val="32"/>
        </w:rPr>
        <w:t>浙江天平投资咨询有限公司</w:t>
      </w:r>
      <w:bookmarkEnd w:id="2"/>
      <w:bookmarkStart w:id="3" w:name="_Toc29838"/>
    </w:p>
    <w:p w14:paraId="55989012">
      <w:pPr>
        <w:spacing w:line="360" w:lineRule="auto"/>
        <w:ind w:firstLine="1600" w:firstLineChars="500"/>
        <w:rPr>
          <w:rFonts w:hint="eastAsia" w:ascii="宋体" w:hAnsi="宋体" w:eastAsia="宋体" w:cs="宋体"/>
          <w:color w:val="auto"/>
          <w:sz w:val="32"/>
          <w:szCs w:val="32"/>
        </w:rPr>
      </w:pPr>
      <w:r>
        <w:rPr>
          <w:rFonts w:hint="eastAsia" w:ascii="宋体" w:hAnsi="宋体" w:eastAsia="宋体" w:cs="宋体"/>
          <w:color w:val="auto"/>
          <w:sz w:val="32"/>
          <w:szCs w:val="32"/>
          <w:lang w:val="en-US"/>
        </w:rPr>
        <w:t>监督机构</w:t>
      </w:r>
      <w:r>
        <w:rPr>
          <w:rFonts w:hint="eastAsia" w:ascii="宋体" w:hAnsi="宋体" w:eastAsia="宋体" w:cs="宋体"/>
          <w:color w:val="auto"/>
          <w:sz w:val="32"/>
          <w:szCs w:val="32"/>
        </w:rPr>
        <w:t>：苍南县政府采购监督管理办公室</w:t>
      </w:r>
      <w:bookmarkEnd w:id="3"/>
    </w:p>
    <w:p w14:paraId="36A56056">
      <w:pPr>
        <w:pStyle w:val="12"/>
        <w:spacing w:before="9"/>
        <w:rPr>
          <w:rFonts w:hint="eastAsia" w:ascii="宋体" w:hAnsi="宋体" w:eastAsia="宋体" w:cs="宋体"/>
          <w:color w:val="auto"/>
          <w:sz w:val="22"/>
          <w:szCs w:val="24"/>
        </w:rPr>
      </w:pPr>
    </w:p>
    <w:p w14:paraId="10D88139">
      <w:pPr>
        <w:jc w:val="center"/>
        <w:rPr>
          <w:rFonts w:hint="eastAsia" w:ascii="宋体" w:hAnsi="宋体" w:eastAsia="宋体" w:cs="宋体"/>
          <w:color w:val="auto"/>
          <w:sz w:val="32"/>
          <w:szCs w:val="32"/>
        </w:rPr>
      </w:pPr>
      <w:bookmarkStart w:id="4" w:name="_Toc28627"/>
    </w:p>
    <w:p w14:paraId="60BEEC65">
      <w:pPr>
        <w:jc w:val="center"/>
        <w:rPr>
          <w:rFonts w:hint="eastAsia" w:ascii="宋体" w:hAnsi="宋体" w:eastAsia="宋体" w:cs="宋体"/>
          <w:color w:val="auto"/>
          <w:sz w:val="22"/>
          <w:szCs w:val="22"/>
        </w:rPr>
      </w:pPr>
      <w:r>
        <w:rPr>
          <w:rFonts w:hint="eastAsia" w:ascii="宋体" w:hAnsi="宋体" w:eastAsia="宋体" w:cs="宋体"/>
          <w:color w:val="auto"/>
          <w:sz w:val="32"/>
          <w:szCs w:val="32"/>
          <w:lang w:val="en-US" w:eastAsia="zh-CN"/>
        </w:rPr>
        <w:t>二〇二四</w:t>
      </w:r>
      <w:r>
        <w:rPr>
          <w:rFonts w:hint="eastAsia" w:ascii="宋体" w:hAnsi="宋体" w:eastAsia="宋体" w:cs="宋体"/>
          <w:color w:val="auto"/>
          <w:sz w:val="32"/>
          <w:szCs w:val="32"/>
        </w:rPr>
        <w:t>年</w:t>
      </w:r>
      <w:r>
        <w:rPr>
          <w:rFonts w:hint="eastAsia" w:cs="宋体"/>
          <w:color w:val="auto"/>
          <w:sz w:val="32"/>
          <w:szCs w:val="32"/>
          <w:lang w:val="en-US" w:eastAsia="zh-CN"/>
        </w:rPr>
        <w:t>九</w:t>
      </w:r>
      <w:r>
        <w:rPr>
          <w:rFonts w:hint="eastAsia" w:ascii="宋体" w:hAnsi="宋体" w:eastAsia="宋体" w:cs="宋体"/>
          <w:color w:val="auto"/>
          <w:sz w:val="32"/>
          <w:szCs w:val="32"/>
        </w:rPr>
        <w:t>月</w:t>
      </w:r>
      <w:bookmarkEnd w:id="4"/>
    </w:p>
    <w:p w14:paraId="2FA4388C">
      <w:pPr>
        <w:jc w:val="center"/>
        <w:rPr>
          <w:rFonts w:hint="eastAsia" w:ascii="宋体" w:hAnsi="宋体" w:eastAsia="宋体" w:cs="宋体"/>
          <w:color w:val="auto"/>
          <w:sz w:val="22"/>
          <w:szCs w:val="22"/>
        </w:rPr>
        <w:sectPr>
          <w:footerReference r:id="rId3" w:type="default"/>
          <w:type w:val="continuous"/>
          <w:pgSz w:w="11910" w:h="16840"/>
          <w:pgMar w:top="1417" w:right="1417" w:bottom="1417" w:left="1417" w:header="720" w:footer="1032" w:gutter="0"/>
          <w:pgBorders>
            <w:top w:val="none" w:sz="0" w:space="0"/>
            <w:left w:val="none" w:sz="0" w:space="0"/>
            <w:bottom w:val="none" w:sz="0" w:space="0"/>
            <w:right w:val="none" w:sz="0" w:space="0"/>
          </w:pgBorders>
          <w:pgNumType w:fmt="decimal"/>
          <w:cols w:equalWidth="0" w:num="1">
            <w:col w:w="10050"/>
          </w:cols>
          <w:rtlGutter w:val="0"/>
          <w:docGrid w:linePitch="0" w:charSpace="0"/>
        </w:sectPr>
      </w:pPr>
    </w:p>
    <w:p w14:paraId="4D1ED1F5">
      <w:pPr>
        <w:pStyle w:val="12"/>
        <w:spacing w:before="7"/>
        <w:rPr>
          <w:rFonts w:hint="eastAsia" w:ascii="宋体" w:hAnsi="宋体" w:eastAsia="宋体" w:cs="宋体"/>
          <w:color w:val="auto"/>
          <w:sz w:val="18"/>
          <w:szCs w:val="22"/>
        </w:rPr>
      </w:pPr>
    </w:p>
    <w:p w14:paraId="6A110395">
      <w:pPr>
        <w:tabs>
          <w:tab w:val="left" w:pos="1324"/>
        </w:tabs>
        <w:spacing w:before="38"/>
        <w:ind w:right="17"/>
        <w:jc w:val="center"/>
        <w:rPr>
          <w:rFonts w:hint="eastAsia" w:ascii="宋体" w:hAnsi="宋体" w:eastAsia="宋体" w:cs="宋体"/>
          <w:b/>
          <w:color w:val="auto"/>
          <w:sz w:val="48"/>
          <w:szCs w:val="24"/>
        </w:rPr>
      </w:pPr>
      <w:r>
        <w:rPr>
          <w:rFonts w:hint="eastAsia" w:ascii="宋体" w:hAnsi="宋体" w:eastAsia="宋体" w:cs="宋体"/>
          <w:b/>
          <w:color w:val="auto"/>
          <w:sz w:val="48"/>
          <w:szCs w:val="24"/>
        </w:rPr>
        <w:t>目</w:t>
      </w:r>
      <w:r>
        <w:rPr>
          <w:rFonts w:hint="eastAsia" w:ascii="宋体" w:hAnsi="宋体" w:eastAsia="宋体" w:cs="宋体"/>
          <w:b/>
          <w:color w:val="auto"/>
          <w:sz w:val="48"/>
          <w:szCs w:val="24"/>
        </w:rPr>
        <w:tab/>
      </w:r>
      <w:r>
        <w:rPr>
          <w:rFonts w:hint="eastAsia" w:ascii="宋体" w:hAnsi="宋体" w:eastAsia="宋体" w:cs="宋体"/>
          <w:b/>
          <w:color w:val="auto"/>
          <w:sz w:val="48"/>
          <w:szCs w:val="24"/>
        </w:rPr>
        <w:t>录</w:t>
      </w:r>
    </w:p>
    <w:p w14:paraId="0F0EF3CC">
      <w:pPr>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TOC \o "1-3" \h \u </w:instrText>
      </w:r>
      <w:r>
        <w:rPr>
          <w:rFonts w:hint="eastAsia" w:ascii="宋体" w:hAnsi="宋体" w:eastAsia="宋体" w:cs="宋体"/>
          <w:color w:val="auto"/>
          <w:sz w:val="21"/>
          <w:szCs w:val="21"/>
        </w:rPr>
        <w:fldChar w:fldCharType="separate"/>
      </w:r>
    </w:p>
    <w:p w14:paraId="284A9790">
      <w:pPr>
        <w:spacing w:line="360" w:lineRule="auto"/>
        <w:rPr>
          <w:rFonts w:hint="eastAsia" w:ascii="宋体" w:hAnsi="宋体" w:eastAsia="宋体" w:cs="宋体"/>
          <w:color w:val="auto"/>
          <w:sz w:val="28"/>
          <w:szCs w:val="28"/>
        </w:rPr>
      </w:pPr>
    </w:p>
    <w:p w14:paraId="41C4AEC3">
      <w:pPr>
        <w:spacing w:line="360" w:lineRule="auto"/>
        <w:ind w:firstLine="1120" w:firstLineChars="400"/>
        <w:rPr>
          <w:rFonts w:hint="eastAsia" w:ascii="宋体" w:hAnsi="宋体" w:eastAsia="宋体" w:cs="宋体"/>
          <w:color w:val="auto"/>
          <w:sz w:val="28"/>
          <w:szCs w:val="28"/>
        </w:rPr>
      </w:pPr>
    </w:p>
    <w:p w14:paraId="14554C4C">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 xml:space="preserve">第一部分      </w:t>
      </w:r>
      <w:r>
        <w:rPr>
          <w:rFonts w:hint="eastAsia" w:cs="宋体"/>
          <w:color w:val="auto"/>
          <w:sz w:val="32"/>
          <w:szCs w:val="32"/>
          <w:lang w:val="en-US" w:eastAsia="zh-CN"/>
        </w:rPr>
        <w:t>招标公告</w:t>
      </w:r>
    </w:p>
    <w:p w14:paraId="14BE7F28">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二</w:t>
      </w:r>
      <w:r>
        <w:rPr>
          <w:rFonts w:hint="eastAsia" w:ascii="宋体" w:hAnsi="宋体" w:eastAsia="宋体" w:cs="宋体"/>
          <w:color w:val="auto"/>
          <w:sz w:val="32"/>
          <w:szCs w:val="32"/>
        </w:rPr>
        <w:t xml:space="preserve">部分      </w:t>
      </w:r>
      <w:r>
        <w:rPr>
          <w:rFonts w:hint="eastAsia" w:cs="宋体"/>
          <w:color w:val="auto"/>
          <w:sz w:val="32"/>
          <w:szCs w:val="32"/>
          <w:lang w:val="en-US" w:eastAsia="zh-CN"/>
        </w:rPr>
        <w:t>投标人</w:t>
      </w:r>
      <w:r>
        <w:rPr>
          <w:rFonts w:hint="eastAsia" w:ascii="宋体" w:hAnsi="宋体" w:eastAsia="宋体" w:cs="宋体"/>
          <w:color w:val="auto"/>
          <w:sz w:val="32"/>
          <w:szCs w:val="32"/>
        </w:rPr>
        <w:t>须知</w:t>
      </w:r>
    </w:p>
    <w:p w14:paraId="75ACBADE">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三</w:t>
      </w:r>
      <w:r>
        <w:rPr>
          <w:rFonts w:hint="eastAsia" w:ascii="宋体" w:hAnsi="宋体" w:eastAsia="宋体" w:cs="宋体"/>
          <w:color w:val="auto"/>
          <w:sz w:val="32"/>
          <w:szCs w:val="32"/>
        </w:rPr>
        <w:t>部分      采购需求</w:t>
      </w:r>
    </w:p>
    <w:p w14:paraId="42875C2F">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四</w:t>
      </w:r>
      <w:r>
        <w:rPr>
          <w:rFonts w:hint="eastAsia" w:ascii="宋体" w:hAnsi="宋体" w:eastAsia="宋体" w:cs="宋体"/>
          <w:color w:val="auto"/>
          <w:sz w:val="32"/>
          <w:szCs w:val="32"/>
        </w:rPr>
        <w:t xml:space="preserve">部分      </w:t>
      </w:r>
      <w:r>
        <w:rPr>
          <w:rFonts w:hint="eastAsia" w:cs="宋体"/>
          <w:color w:val="auto"/>
          <w:sz w:val="32"/>
          <w:szCs w:val="32"/>
          <w:lang w:val="en-US" w:eastAsia="zh-CN"/>
        </w:rPr>
        <w:t>评标办法</w:t>
      </w:r>
    </w:p>
    <w:p w14:paraId="7EBBC3F4">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rPr>
        <w:t>部分      拟签订的合同文本</w:t>
      </w:r>
    </w:p>
    <w:p w14:paraId="10A7CBB3">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六</w:t>
      </w:r>
      <w:r>
        <w:rPr>
          <w:rFonts w:hint="eastAsia" w:ascii="宋体" w:hAnsi="宋体" w:eastAsia="宋体" w:cs="宋体"/>
          <w:color w:val="auto"/>
          <w:sz w:val="32"/>
          <w:szCs w:val="32"/>
        </w:rPr>
        <w:t>部分      应提交的有关格式范例</w:t>
      </w:r>
    </w:p>
    <w:p w14:paraId="47A45CE6">
      <w:pPr>
        <w:pStyle w:val="20"/>
        <w:tabs>
          <w:tab w:val="right" w:leader="dot" w:pos="10050"/>
        </w:tabs>
        <w:ind w:left="0" w:leftChars="0" w:firstLine="0" w:firstLineChars="0"/>
        <w:rPr>
          <w:rFonts w:hint="eastAsia" w:ascii="宋体" w:hAnsi="宋体" w:eastAsia="宋体" w:cs="宋体"/>
          <w:color w:val="auto"/>
          <w:sz w:val="28"/>
          <w:szCs w:val="28"/>
        </w:rPr>
      </w:pPr>
    </w:p>
    <w:p w14:paraId="6A9E046E">
      <w:pPr>
        <w:jc w:val="center"/>
        <w:rPr>
          <w:rFonts w:hint="eastAsia" w:ascii="宋体" w:hAnsi="宋体" w:eastAsia="宋体" w:cs="宋体"/>
          <w:color w:val="auto"/>
          <w:sz w:val="21"/>
          <w:szCs w:val="21"/>
        </w:rPr>
        <w:sectPr>
          <w:footerReference r:id="rId4" w:type="default"/>
          <w:pgSz w:w="11910" w:h="16840"/>
          <w:pgMar w:top="1417" w:right="1417" w:bottom="1417" w:left="1417" w:header="0" w:footer="952" w:gutter="0"/>
          <w:pgBorders>
            <w:top w:val="none" w:sz="0" w:space="0"/>
            <w:left w:val="none" w:sz="0" w:space="0"/>
            <w:bottom w:val="none" w:sz="0" w:space="0"/>
            <w:right w:val="none" w:sz="0" w:space="0"/>
          </w:pgBorders>
          <w:pgNumType w:fmt="decimal" w:start="1"/>
          <w:cols w:equalWidth="0" w:num="1">
            <w:col w:w="10050"/>
          </w:cols>
          <w:rtlGutter w:val="0"/>
          <w:docGrid w:linePitch="0" w:charSpace="0"/>
        </w:sectPr>
      </w:pPr>
      <w:r>
        <w:rPr>
          <w:rFonts w:hint="eastAsia" w:ascii="宋体" w:hAnsi="宋体" w:eastAsia="宋体" w:cs="宋体"/>
          <w:color w:val="auto"/>
          <w:sz w:val="21"/>
          <w:szCs w:val="21"/>
        </w:rPr>
        <w:fldChar w:fldCharType="end"/>
      </w:r>
    </w:p>
    <w:p w14:paraId="048916CD">
      <w:pPr>
        <w:adjustRightInd/>
        <w:spacing w:line="360" w:lineRule="auto"/>
        <w:jc w:val="center"/>
        <w:outlineLvl w:val="0"/>
        <w:rPr>
          <w:rFonts w:hint="default" w:ascii="宋体" w:hAnsi="宋体" w:eastAsia="宋体" w:cs="宋体"/>
          <w:b/>
          <w:color w:val="auto"/>
          <w:sz w:val="36"/>
          <w:szCs w:val="20"/>
          <w:lang w:val="en-US" w:eastAsia="zh-CN"/>
        </w:rPr>
      </w:pPr>
      <w:r>
        <w:rPr>
          <w:rFonts w:hint="eastAsia" w:ascii="宋体" w:hAnsi="宋体" w:eastAsia="宋体" w:cs="宋体"/>
          <w:b/>
          <w:color w:val="auto"/>
          <w:sz w:val="36"/>
          <w:szCs w:val="20"/>
        </w:rPr>
        <w:t xml:space="preserve">第一部分  </w:t>
      </w:r>
      <w:r>
        <w:rPr>
          <w:rFonts w:hint="eastAsia" w:cs="宋体"/>
          <w:b/>
          <w:color w:val="auto"/>
          <w:sz w:val="36"/>
          <w:szCs w:val="20"/>
          <w:lang w:val="en-US" w:eastAsia="zh-CN"/>
        </w:rPr>
        <w:t>招标公告</w:t>
      </w:r>
    </w:p>
    <w:tbl>
      <w:tblPr>
        <w:tblStyle w:val="27"/>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0495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Pr>
          <w:p w14:paraId="0003F80A">
            <w:pPr>
              <w:pStyle w:val="23"/>
              <w:autoSpaceDE/>
              <w:autoSpaceDN/>
              <w:spacing w:after="0" w:line="400" w:lineRule="exact"/>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项目概况</w:t>
            </w:r>
          </w:p>
          <w:p w14:paraId="5AA521FA">
            <w:pPr>
              <w:pStyle w:val="23"/>
              <w:wordWrap w:val="0"/>
              <w:autoSpaceDE/>
              <w:autoSpaceDN/>
              <w:spacing w:after="0" w:line="400" w:lineRule="exact"/>
              <w:ind w:firstLine="561"/>
              <w:jc w:val="both"/>
              <w:rPr>
                <w:rFonts w:hint="eastAsia" w:ascii="宋体" w:hAnsi="宋体" w:eastAsia="宋体" w:cs="宋体"/>
                <w:color w:val="auto"/>
                <w:sz w:val="22"/>
                <w:szCs w:val="22"/>
              </w:rPr>
            </w:pPr>
            <w:r>
              <w:rPr>
                <w:rFonts w:hint="eastAsia" w:ascii="仿宋" w:hAnsi="仿宋" w:eastAsia="仿宋" w:cs="仿宋"/>
                <w:color w:val="auto"/>
                <w:sz w:val="24"/>
                <w:szCs w:val="24"/>
                <w:u w:val="single"/>
                <w:lang w:eastAsia="zh-CN"/>
              </w:rPr>
              <w:t>苍南县居家和社区基本养老服务提升行动项目</w:t>
            </w:r>
            <w:r>
              <w:rPr>
                <w:rFonts w:hint="eastAsia" w:ascii="仿宋" w:hAnsi="仿宋" w:eastAsia="仿宋" w:cs="仿宋"/>
                <w:color w:val="auto"/>
                <w:sz w:val="24"/>
                <w:szCs w:val="24"/>
                <w:u w:val="none"/>
                <w:lang w:eastAsia="zh-CN"/>
              </w:rPr>
              <w:t>招标项目的潜在投标人应在政采云平台（https://www.zcygov.cn/）获取（下载）招标文件，并于202</w:t>
            </w:r>
            <w:r>
              <w:rPr>
                <w:rFonts w:hint="eastAsia" w:ascii="仿宋" w:hAnsi="仿宋" w:eastAsia="仿宋" w:cs="仿宋"/>
                <w:color w:val="auto"/>
                <w:sz w:val="24"/>
                <w:szCs w:val="24"/>
                <w:u w:val="none"/>
                <w:lang w:val="en-US" w:eastAsia="zh-CN"/>
              </w:rPr>
              <w:t>4</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10</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21</w:t>
            </w:r>
            <w:r>
              <w:rPr>
                <w:rFonts w:hint="eastAsia" w:ascii="仿宋" w:hAnsi="仿宋" w:eastAsia="仿宋" w:cs="仿宋"/>
                <w:color w:val="auto"/>
                <w:sz w:val="24"/>
                <w:szCs w:val="24"/>
                <w:u w:val="none"/>
                <w:lang w:eastAsia="zh-CN"/>
              </w:rPr>
              <w:t>日</w:t>
            </w:r>
            <w:r>
              <w:rPr>
                <w:rFonts w:hint="eastAsia" w:ascii="仿宋" w:hAnsi="仿宋" w:eastAsia="仿宋" w:cs="仿宋"/>
                <w:color w:val="auto"/>
                <w:sz w:val="24"/>
                <w:szCs w:val="24"/>
                <w:u w:val="none"/>
                <w:lang w:val="en-US" w:eastAsia="zh-CN"/>
              </w:rPr>
              <w:t>09</w:t>
            </w:r>
            <w:r>
              <w:rPr>
                <w:rFonts w:hint="eastAsia" w:ascii="仿宋" w:hAnsi="仿宋" w:eastAsia="仿宋" w:cs="仿宋"/>
                <w:color w:val="auto"/>
                <w:sz w:val="24"/>
                <w:szCs w:val="24"/>
                <w:u w:val="none"/>
                <w:lang w:eastAsia="zh-CN"/>
              </w:rPr>
              <w:t>点</w:t>
            </w:r>
            <w:r>
              <w:rPr>
                <w:rFonts w:hint="eastAsia" w:ascii="仿宋" w:hAnsi="仿宋" w:eastAsia="仿宋" w:cs="仿宋"/>
                <w:color w:val="auto"/>
                <w:sz w:val="24"/>
                <w:szCs w:val="24"/>
                <w:u w:val="none"/>
                <w:lang w:val="en-US" w:eastAsia="zh-CN"/>
              </w:rPr>
              <w:t>30</w:t>
            </w:r>
            <w:r>
              <w:rPr>
                <w:rFonts w:hint="eastAsia" w:ascii="仿宋" w:hAnsi="仿宋" w:eastAsia="仿宋" w:cs="仿宋"/>
                <w:color w:val="auto"/>
                <w:sz w:val="24"/>
                <w:szCs w:val="24"/>
                <w:u w:val="none"/>
                <w:lang w:eastAsia="zh-CN"/>
              </w:rPr>
              <w:t>分（北京时间）前递交（上传）投标文件。</w:t>
            </w:r>
          </w:p>
        </w:tc>
      </w:tr>
    </w:tbl>
    <w:p w14:paraId="1DED0888">
      <w:pPr>
        <w:widowControl/>
        <w:autoSpaceDE/>
        <w:autoSpaceDN/>
        <w:spacing w:line="360" w:lineRule="auto"/>
        <w:ind w:left="0" w:right="0"/>
        <w:outlineLvl w:val="9"/>
        <w:rPr>
          <w:rFonts w:hint="eastAsia" w:ascii="宋体" w:hAnsi="宋体" w:eastAsia="宋体" w:cs="宋体"/>
          <w:b/>
          <w:bCs/>
          <w:color w:val="auto"/>
          <w:sz w:val="22"/>
          <w:szCs w:val="22"/>
        </w:rPr>
      </w:pPr>
    </w:p>
    <w:p w14:paraId="60E0CCBE">
      <w:pPr>
        <w:widowControl/>
        <w:autoSpaceDE/>
        <w:autoSpaceDN/>
        <w:spacing w:line="360" w:lineRule="auto"/>
        <w:ind w:left="0" w:right="0"/>
        <w:outlineLvl w:val="9"/>
        <w:rPr>
          <w:rFonts w:hint="eastAsia" w:ascii="黑体" w:hAnsi="黑体" w:eastAsia="黑体" w:cs="黑体"/>
          <w:b/>
          <w:bCs/>
          <w:color w:val="auto"/>
          <w:sz w:val="24"/>
          <w:szCs w:val="24"/>
        </w:rPr>
      </w:pPr>
      <w:r>
        <w:rPr>
          <w:rFonts w:hint="eastAsia" w:ascii="黑体" w:hAnsi="黑体" w:eastAsia="黑体" w:cs="黑体"/>
          <w:b/>
          <w:bCs/>
          <w:color w:val="auto"/>
          <w:sz w:val="24"/>
          <w:szCs w:val="24"/>
        </w:rPr>
        <w:t>一、项目基本情况</w:t>
      </w:r>
    </w:p>
    <w:p w14:paraId="037CD298">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CNDL2024207</w:t>
      </w:r>
    </w:p>
    <w:p w14:paraId="255EFDA1">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苍南县居家和社区基本养老服务提升行动项目</w:t>
      </w:r>
    </w:p>
    <w:p w14:paraId="20BDFECA">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预算金额（元）：</w:t>
      </w:r>
      <w:r>
        <w:rPr>
          <w:rFonts w:hint="eastAsia" w:ascii="仿宋" w:hAnsi="仿宋" w:eastAsia="仿宋" w:cs="仿宋"/>
          <w:color w:val="auto"/>
          <w:sz w:val="24"/>
          <w:szCs w:val="24"/>
          <w:lang w:val="en-US" w:eastAsia="zh-CN"/>
        </w:rPr>
        <w:t>3180000</w:t>
      </w:r>
    </w:p>
    <w:p w14:paraId="0A3A2074">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最高限价（元）：</w:t>
      </w:r>
      <w:r>
        <w:rPr>
          <w:rFonts w:hint="eastAsia" w:ascii="仿宋" w:hAnsi="仿宋" w:eastAsia="仿宋" w:cs="仿宋"/>
          <w:color w:val="auto"/>
          <w:sz w:val="24"/>
          <w:szCs w:val="24"/>
          <w:lang w:val="en-US" w:eastAsia="zh-CN"/>
        </w:rPr>
        <w:t>/，/</w:t>
      </w:r>
    </w:p>
    <w:p w14:paraId="12F6214E">
      <w:pPr>
        <w:pStyle w:val="23"/>
        <w:autoSpaceDE/>
        <w:autoSpaceDN/>
        <w:spacing w:after="0" w:line="360" w:lineRule="auto"/>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采购需求：</w:t>
      </w:r>
    </w:p>
    <w:p w14:paraId="499353EC">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标项一</w:t>
      </w:r>
    </w:p>
    <w:p w14:paraId="556D8753">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标项名称：第一片区</w:t>
      </w:r>
    </w:p>
    <w:p w14:paraId="133E0F3D">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数量：1</w:t>
      </w:r>
    </w:p>
    <w:p w14:paraId="6F5172A2">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val="en-US" w:eastAsia="zh-CN"/>
        </w:rPr>
        <w:t>1900000</w:t>
      </w:r>
    </w:p>
    <w:p w14:paraId="01712269">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简要规格描述或项目基本概况介绍、用途：包含灵溪、桥墩、莒溪、矾山、南宋、岱岭、凤阳、马站、霞关、沿浦10个乡镇。</w:t>
      </w:r>
    </w:p>
    <w:p w14:paraId="03998B4D">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标项二</w:t>
      </w:r>
    </w:p>
    <w:p w14:paraId="66132B3D">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标项名称：第二片区</w:t>
      </w:r>
    </w:p>
    <w:p w14:paraId="092718AC">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数量：1</w:t>
      </w:r>
    </w:p>
    <w:p w14:paraId="0B3A69C0">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val="en-US" w:eastAsia="zh-CN"/>
        </w:rPr>
        <w:t>1280000</w:t>
      </w:r>
    </w:p>
    <w:p w14:paraId="1027E2C5">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简要规格描述或项目基本概况介绍、用途：包含钱库、宜山、金乡、炎亭、大渔、赤溪、望里、藻溪8个乡镇。</w:t>
      </w:r>
    </w:p>
    <w:p w14:paraId="4ED64DD2">
      <w:pPr>
        <w:pStyle w:val="23"/>
        <w:autoSpaceDE/>
        <w:autoSpaceDN/>
        <w:spacing w:after="0" w:line="360" w:lineRule="auto"/>
        <w:ind w:firstLine="240" w:firstLineChars="1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6B1DBF6A">
      <w:pPr>
        <w:pStyle w:val="23"/>
        <w:autoSpaceDE/>
        <w:autoSpaceDN/>
        <w:spacing w:after="0" w:line="360" w:lineRule="auto"/>
        <w:ind w:firstLine="240" w:firstLineChars="1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合同履约期限：</w:t>
      </w:r>
      <w:r>
        <w:rPr>
          <w:rFonts w:hint="eastAsia" w:ascii="仿宋" w:hAnsi="仿宋" w:eastAsia="仿宋" w:cs="仿宋"/>
          <w:color w:val="auto"/>
          <w:sz w:val="24"/>
          <w:szCs w:val="24"/>
          <w:lang w:val="en-US" w:eastAsia="zh-CN"/>
        </w:rPr>
        <w:t>标项1、2，</w:t>
      </w:r>
      <w:r>
        <w:rPr>
          <w:rFonts w:hint="eastAsia" w:ascii="仿宋" w:hAnsi="仿宋" w:eastAsia="仿宋" w:cs="仿宋"/>
          <w:color w:val="auto"/>
          <w:sz w:val="24"/>
          <w:szCs w:val="24"/>
          <w:lang w:val="en-US"/>
        </w:rPr>
        <w:t>合同生效之日起</w:t>
      </w:r>
      <w:r>
        <w:rPr>
          <w:rFonts w:hint="eastAsia" w:ascii="仿宋" w:hAnsi="仿宋" w:eastAsia="仿宋" w:cs="仿宋"/>
          <w:color w:val="auto"/>
          <w:sz w:val="24"/>
          <w:szCs w:val="24"/>
          <w:lang w:val="en-US" w:eastAsia="zh-CN"/>
        </w:rPr>
        <w:t>至2025年6月30日，其中家庭养老床位建设2024年12月15日前完成并通过验收</w:t>
      </w:r>
      <w:r>
        <w:rPr>
          <w:rFonts w:hint="eastAsia" w:ascii="仿宋" w:hAnsi="仿宋" w:eastAsia="仿宋" w:cs="仿宋"/>
          <w:color w:val="auto"/>
          <w:sz w:val="24"/>
          <w:szCs w:val="24"/>
          <w:lang w:eastAsia="zh-CN"/>
        </w:rPr>
        <w:t>，</w:t>
      </w:r>
      <w:r>
        <w:rPr>
          <w:rFonts w:hint="eastAsia" w:ascii="仿宋" w:hAnsi="仿宋" w:eastAsia="仿宋" w:cs="仿宋"/>
          <w:b w:val="0"/>
          <w:color w:val="auto"/>
          <w:sz w:val="24"/>
          <w:szCs w:val="24"/>
          <w:lang w:val="en-US" w:eastAsia="zh-CN"/>
        </w:rPr>
        <w:t>居家上门养老服务2025年5月15日前完成并通过验收。</w:t>
      </w:r>
    </w:p>
    <w:p w14:paraId="640DFD92">
      <w:pPr>
        <w:pStyle w:val="23"/>
        <w:autoSpaceDE/>
        <w:autoSpaceDN/>
        <w:spacing w:after="0" w:line="360" w:lineRule="auto"/>
        <w:ind w:firstLine="240" w:firstLineChars="100"/>
        <w:jc w:val="both"/>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接受联合体投标</w:t>
      </w:r>
      <w:bookmarkStart w:id="147" w:name="_GoBack"/>
      <w:bookmarkEnd w:id="147"/>
      <w:r>
        <w:rPr>
          <w:rFonts w:hint="eastAsia" w:ascii="仿宋" w:hAnsi="仿宋" w:eastAsia="仿宋" w:cs="仿宋"/>
          <w:color w:val="auto"/>
          <w:sz w:val="24"/>
          <w:szCs w:val="24"/>
          <w:lang w:eastAsia="zh-CN"/>
        </w:rPr>
        <w:t>。</w:t>
      </w:r>
    </w:p>
    <w:p w14:paraId="046992AC">
      <w:pPr>
        <w:widowControl/>
        <w:autoSpaceDE/>
        <w:autoSpaceDN/>
        <w:spacing w:line="360" w:lineRule="auto"/>
        <w:ind w:left="0" w:right="0"/>
        <w:outlineLvl w:val="9"/>
        <w:rPr>
          <w:rFonts w:hint="eastAsia" w:ascii="黑体" w:hAnsi="黑体" w:eastAsia="黑体" w:cs="黑体"/>
          <w:b/>
          <w:bCs/>
          <w:color w:val="auto"/>
          <w:sz w:val="24"/>
          <w:szCs w:val="24"/>
        </w:rPr>
      </w:pPr>
      <w:r>
        <w:rPr>
          <w:rFonts w:hint="eastAsia" w:ascii="黑体" w:hAnsi="黑体" w:eastAsia="黑体" w:cs="黑体"/>
          <w:b/>
          <w:bCs/>
          <w:color w:val="auto"/>
          <w:sz w:val="24"/>
          <w:szCs w:val="24"/>
        </w:rPr>
        <w:t>二、申请人的资格要求：</w:t>
      </w:r>
    </w:p>
    <w:p w14:paraId="021B6AD3">
      <w:pPr>
        <w:pStyle w:val="23"/>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rPr>
        <w:t>。</w:t>
      </w:r>
    </w:p>
    <w:p w14:paraId="25D76CEC">
      <w:pPr>
        <w:pStyle w:val="23"/>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2.以联合体形式投标的，提供联合协议；</w:t>
      </w:r>
    </w:p>
    <w:p w14:paraId="64C8BA0B">
      <w:pPr>
        <w:pStyle w:val="23"/>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落实政府采购政策需满足的资格要求：标项1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：无</w:t>
      </w:r>
      <w:r>
        <w:rPr>
          <w:rFonts w:hint="eastAsia" w:ascii="仿宋" w:hAnsi="仿宋" w:eastAsia="仿宋" w:cs="仿宋"/>
          <w:color w:val="auto"/>
          <w:sz w:val="24"/>
          <w:szCs w:val="24"/>
          <w:lang w:eastAsia="zh-CN"/>
        </w:rPr>
        <w:t>；</w:t>
      </w:r>
    </w:p>
    <w:p w14:paraId="30104245">
      <w:pPr>
        <w:pStyle w:val="23"/>
        <w:wordWrap w:val="0"/>
        <w:autoSpaceDE/>
        <w:autoSpaceDN/>
        <w:spacing w:after="0" w:line="360" w:lineRule="auto"/>
        <w:ind w:firstLine="480" w:firstLineChars="2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rPr>
        <w:t>本项目的特定资格要求：</w:t>
      </w:r>
      <w:r>
        <w:rPr>
          <w:rFonts w:hint="eastAsia" w:ascii="仿宋" w:hAnsi="仿宋" w:eastAsia="仿宋" w:cs="仿宋"/>
          <w:color w:val="auto"/>
          <w:sz w:val="24"/>
          <w:szCs w:val="24"/>
        </w:rPr>
        <w:t>标项1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：无</w:t>
      </w:r>
      <w:r>
        <w:rPr>
          <w:rFonts w:hint="eastAsia" w:ascii="仿宋" w:hAnsi="仿宋" w:eastAsia="仿宋" w:cs="仿宋"/>
          <w:color w:val="auto"/>
          <w:sz w:val="24"/>
          <w:szCs w:val="24"/>
          <w:lang w:eastAsia="zh-CN"/>
        </w:rPr>
        <w:t>；</w:t>
      </w:r>
    </w:p>
    <w:p w14:paraId="76701267">
      <w:pPr>
        <w:pStyle w:val="23"/>
        <w:wordWrap w:val="0"/>
        <w:autoSpaceDE/>
        <w:autoSpaceDN/>
        <w:spacing w:after="0" w:line="360" w:lineRule="auto"/>
        <w:ind w:firstLine="480" w:firstLineChars="2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2D30133">
      <w:pPr>
        <w:widowControl/>
        <w:autoSpaceDE/>
        <w:autoSpaceDN/>
        <w:spacing w:line="360" w:lineRule="auto"/>
        <w:ind w:left="0" w:right="0"/>
        <w:outlineLvl w:val="9"/>
        <w:rPr>
          <w:rFonts w:hint="default" w:ascii="黑体" w:hAnsi="黑体" w:eastAsia="黑体" w:cs="黑体"/>
          <w:b/>
          <w:bCs/>
          <w:color w:val="auto"/>
          <w:sz w:val="24"/>
          <w:szCs w:val="24"/>
          <w:lang w:val="en-US" w:eastAsia="zh-CN"/>
        </w:rPr>
      </w:pPr>
      <w:r>
        <w:rPr>
          <w:rFonts w:hint="eastAsia" w:ascii="黑体" w:hAnsi="黑体" w:eastAsia="黑体" w:cs="黑体"/>
          <w:b/>
          <w:bCs/>
          <w:color w:val="auto"/>
          <w:sz w:val="24"/>
          <w:szCs w:val="24"/>
        </w:rPr>
        <w:t>三、获取</w:t>
      </w:r>
      <w:r>
        <w:rPr>
          <w:rFonts w:hint="eastAsia" w:ascii="黑体" w:hAnsi="黑体" w:eastAsia="黑体" w:cs="黑体"/>
          <w:b/>
          <w:bCs/>
          <w:color w:val="auto"/>
          <w:sz w:val="24"/>
          <w:szCs w:val="24"/>
          <w:lang w:val="en-US" w:eastAsia="zh-CN"/>
        </w:rPr>
        <w:t>招标文件</w:t>
      </w:r>
    </w:p>
    <w:p w14:paraId="28285F28">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时间：/至</w:t>
      </w:r>
      <w:r>
        <w:rPr>
          <w:rFonts w:hint="eastAsia" w:ascii="仿宋" w:hAnsi="仿宋" w:eastAsia="仿宋" w:cs="仿宋"/>
          <w:color w:val="auto"/>
          <w:sz w:val="24"/>
          <w:szCs w:val="24"/>
          <w:lang w:val="en-US" w:eastAsia="zh-CN"/>
        </w:rPr>
        <w:t>2024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日，每天上午00:00至12:00，下午12:00至23:59（北京时间，线上获取法定节假日均可，线下获取文件法定节假日除外）</w:t>
      </w:r>
    </w:p>
    <w:p w14:paraId="537B8163">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地点（网址）：政采云平台（https://www.zcygov.cn/）</w:t>
      </w:r>
    </w:p>
    <w:p w14:paraId="483EECBB">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方式：供应商登录政采云平台https://www.zcygov.cn/在线申请获取采购文件（进入“项目采购”应用，在获取采购文件菜单中选择项目，申请获取采购文件）</w:t>
      </w:r>
    </w:p>
    <w:p w14:paraId="14CF7E6C">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售价（元）：0</w:t>
      </w:r>
    </w:p>
    <w:p w14:paraId="2CA971E8">
      <w:pPr>
        <w:widowControl/>
        <w:autoSpaceDE/>
        <w:autoSpaceDN/>
        <w:spacing w:line="360" w:lineRule="auto"/>
        <w:ind w:left="0" w:right="0"/>
        <w:outlineLvl w:val="9"/>
        <w:rPr>
          <w:rFonts w:hint="eastAsia" w:ascii="黑体" w:hAnsi="黑体" w:eastAsia="黑体" w:cs="黑体"/>
          <w:b/>
          <w:bCs/>
          <w:color w:val="auto"/>
          <w:sz w:val="24"/>
          <w:szCs w:val="24"/>
        </w:rPr>
      </w:pPr>
      <w:r>
        <w:rPr>
          <w:rFonts w:hint="eastAsia" w:ascii="黑体" w:hAnsi="黑体" w:eastAsia="黑体" w:cs="黑体"/>
          <w:b/>
          <w:bCs/>
          <w:color w:val="auto"/>
          <w:sz w:val="24"/>
          <w:szCs w:val="24"/>
        </w:rPr>
        <w:t>四、提交投标文件截止时间、开标时间和地点</w:t>
      </w:r>
    </w:p>
    <w:p w14:paraId="7DBA13EE">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提交投标文件截止时间：2024年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日 09:30（北京时间）</w:t>
      </w:r>
    </w:p>
    <w:p w14:paraId="7DC63021">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投标地点（网址）：供应商根据招标文件编制投标文件，上传政府采购云平台（www.zcygov.cn）。 </w:t>
      </w:r>
    </w:p>
    <w:p w14:paraId="09A7211E">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开标时间：2024年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日 09:30</w:t>
      </w:r>
    </w:p>
    <w:p w14:paraId="2E50A194">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开标地点（网址）：通过“政府采购云平台（www.zcygov.cn）”实行在线投标响应。</w:t>
      </w:r>
    </w:p>
    <w:p w14:paraId="08A82DEE">
      <w:pPr>
        <w:widowControl/>
        <w:autoSpaceDE/>
        <w:autoSpaceDN/>
        <w:spacing w:line="360" w:lineRule="auto"/>
        <w:ind w:left="0" w:right="0"/>
        <w:outlineLvl w:val="9"/>
        <w:rPr>
          <w:rFonts w:hint="eastAsia" w:ascii="黑体" w:hAnsi="黑体" w:eastAsia="黑体" w:cs="黑体"/>
          <w:b/>
          <w:bCs/>
          <w:color w:val="auto"/>
          <w:sz w:val="24"/>
          <w:szCs w:val="24"/>
          <w:lang w:val="en-US"/>
        </w:rPr>
      </w:pPr>
      <w:r>
        <w:rPr>
          <w:rFonts w:hint="eastAsia" w:ascii="黑体" w:hAnsi="黑体" w:eastAsia="黑体" w:cs="黑体"/>
          <w:b/>
          <w:bCs/>
          <w:color w:val="auto"/>
          <w:sz w:val="24"/>
          <w:szCs w:val="24"/>
          <w:lang w:val="en-US" w:eastAsia="zh-CN"/>
        </w:rPr>
        <w:t>五、</w:t>
      </w:r>
      <w:r>
        <w:rPr>
          <w:rFonts w:hint="eastAsia" w:ascii="黑体" w:hAnsi="黑体" w:eastAsia="黑体" w:cs="黑体"/>
          <w:b/>
          <w:bCs/>
          <w:color w:val="auto"/>
          <w:sz w:val="24"/>
          <w:szCs w:val="24"/>
          <w:lang w:val="en-US"/>
        </w:rPr>
        <w:t>公告期限</w:t>
      </w:r>
    </w:p>
    <w:p w14:paraId="1AAC015E">
      <w:pPr>
        <w:pStyle w:val="23"/>
        <w:autoSpaceDE/>
        <w:autoSpaceDN/>
        <w:spacing w:after="0" w:line="360" w:lineRule="auto"/>
        <w:ind w:firstLine="480" w:firstLineChars="200"/>
        <w:jc w:val="both"/>
        <w:outlineLvl w:val="9"/>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自本公告发布之日起</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en-US"/>
        </w:rPr>
        <w:t>个工作日。</w:t>
      </w:r>
    </w:p>
    <w:p w14:paraId="3E419577">
      <w:pPr>
        <w:widowControl/>
        <w:autoSpaceDE/>
        <w:autoSpaceDN/>
        <w:spacing w:line="360" w:lineRule="auto"/>
        <w:ind w:left="0" w:right="0"/>
        <w:outlineLvl w:val="9"/>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六、其他补充事宜</w:t>
      </w:r>
    </w:p>
    <w:p w14:paraId="0D437EC0">
      <w:pPr>
        <w:pStyle w:val="23"/>
        <w:autoSpaceDE/>
        <w:autoSpaceDN/>
        <w:snapToGrid w:val="0"/>
        <w:spacing w:after="0"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DEB031A">
      <w:pPr>
        <w:pStyle w:val="23"/>
        <w:autoSpaceDE/>
        <w:autoSpaceDN/>
        <w:snapToGrid w:val="0"/>
        <w:spacing w:after="0"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D6B083C">
      <w:pPr>
        <w:spacing w:line="360" w:lineRule="auto"/>
        <w:ind w:firstLine="480" w:firstLineChars="200"/>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其他事项：</w:t>
      </w:r>
    </w:p>
    <w:p w14:paraId="0AAF6E0C">
      <w:pPr>
        <w:spacing w:line="360" w:lineRule="auto"/>
        <w:ind w:firstLine="480" w:firstLineChars="200"/>
        <w:rPr>
          <w:rFonts w:hint="eastAsia" w:ascii="仿宋" w:hAnsi="仿宋" w:eastAsia="仿宋" w:cs="仿宋"/>
          <w:color w:val="auto"/>
          <w:sz w:val="24"/>
          <w:szCs w:val="22"/>
        </w:rPr>
      </w:pPr>
      <w:r>
        <w:rPr>
          <w:rFonts w:hint="eastAsia" w:ascii="仿宋" w:hAnsi="仿宋" w:eastAsia="仿宋" w:cs="仿宋"/>
          <w:color w:val="auto"/>
          <w:sz w:val="24"/>
          <w:szCs w:val="22"/>
          <w:lang w:val="en-US" w:eastAsia="zh-CN"/>
        </w:rPr>
        <w:t>（1）</w:t>
      </w:r>
      <w:r>
        <w:rPr>
          <w:rFonts w:hint="eastAsia" w:ascii="仿宋" w:hAnsi="仿宋" w:eastAsia="仿宋" w:cs="仿宋"/>
          <w:color w:val="auto"/>
          <w:sz w:val="24"/>
          <w:szCs w:val="22"/>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E9E37D">
      <w:pPr>
        <w:pStyle w:val="23"/>
        <w:keepNext w:val="0"/>
        <w:keepLines w:val="0"/>
        <w:pageBreakBefore w:val="0"/>
        <w:widowControl/>
        <w:kinsoku/>
        <w:wordWrap w:val="0"/>
        <w:overflowPunct/>
        <w:topLinePunct w:val="0"/>
        <w:autoSpaceDE/>
        <w:autoSpaceDN/>
        <w:bidi w:val="0"/>
        <w:adjustRightInd/>
        <w:snapToGrid w:val="0"/>
        <w:spacing w:after="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）需要落实的政府采购政策：包括节约资源、保护环境、支持创新、促进中小企业发展等。详见招标文件的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第二部分</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总则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19A50508">
      <w:pPr>
        <w:pStyle w:val="23"/>
        <w:keepNext w:val="0"/>
        <w:keepLines w:val="0"/>
        <w:pageBreakBefore w:val="0"/>
        <w:widowControl/>
        <w:kinsoku/>
        <w:wordWrap w:val="0"/>
        <w:overflowPunct/>
        <w:topLinePunct w:val="0"/>
        <w:autoSpaceDE/>
        <w:autoSpaceDN/>
        <w:bidi w:val="0"/>
        <w:adjustRightInd/>
        <w:snapToGrid w:val="0"/>
        <w:spacing w:after="0" w:line="360" w:lineRule="auto"/>
        <w:ind w:firstLine="480" w:firstLineChars="200"/>
        <w:textAlignment w:val="auto"/>
        <w:outlineLvl w:val="9"/>
        <w:rPr>
          <w:rFonts w:hint="eastAsia" w:ascii="仿宋" w:hAnsi="仿宋" w:eastAsia="仿宋" w:cs="仿宋"/>
          <w:color w:val="auto"/>
          <w:sz w:val="24"/>
          <w:szCs w:val="24"/>
          <w:lang w:val="en-US"/>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13090FA">
      <w:pPr>
        <w:pStyle w:val="23"/>
        <w:keepNext w:val="0"/>
        <w:keepLines w:val="0"/>
        <w:pageBreakBefore w:val="0"/>
        <w:widowControl/>
        <w:numPr>
          <w:ilvl w:val="0"/>
          <w:numId w:val="0"/>
        </w:numPr>
        <w:kinsoku/>
        <w:wordWrap w:val="0"/>
        <w:overflowPunct/>
        <w:topLinePunct w:val="0"/>
        <w:autoSpaceDE/>
        <w:autoSpaceDN/>
        <w:bidi w:val="0"/>
        <w:adjustRightInd/>
        <w:snapToGrid w:val="0"/>
        <w:spacing w:after="0" w:line="360" w:lineRule="auto"/>
        <w:ind w:firstLine="480" w:firstLineChars="200"/>
        <w:textAlignment w:val="auto"/>
        <w:outlineLvl w:val="9"/>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bidi="ar-SA"/>
        </w:rPr>
        <w:t>（4）</w:t>
      </w:r>
      <w:r>
        <w:rPr>
          <w:rFonts w:hint="eastAsia" w:ascii="仿宋" w:hAnsi="仿宋" w:eastAsia="仿宋" w:cs="仿宋"/>
          <w:color w:val="auto"/>
          <w:sz w:val="24"/>
          <w:szCs w:val="24"/>
          <w:lang w:val="en-US"/>
        </w:rPr>
        <w:t>政府采购信用融资政策：为支持和促进中小企业发展，供应商若有融资意向，可直接登录http://jinrong.zcygov.cn，查看信用融资政策文件及各相关银行服务方案，也可直接向各银行咨询相关业务。</w:t>
      </w:r>
    </w:p>
    <w:p w14:paraId="355AC2DB">
      <w:pPr>
        <w:pStyle w:val="23"/>
        <w:keepNext w:val="0"/>
        <w:keepLines w:val="0"/>
        <w:pageBreakBefore w:val="0"/>
        <w:widowControl/>
        <w:numPr>
          <w:ilvl w:val="0"/>
          <w:numId w:val="0"/>
        </w:numPr>
        <w:kinsoku/>
        <w:wordWrap w:val="0"/>
        <w:overflowPunct/>
        <w:topLinePunct w:val="0"/>
        <w:autoSpaceDE/>
        <w:autoSpaceDN/>
        <w:bidi w:val="0"/>
        <w:adjustRightInd/>
        <w:snapToGrid w:val="0"/>
        <w:spacing w:after="0" w:line="360" w:lineRule="auto"/>
        <w:ind w:firstLine="480" w:firstLineChars="200"/>
        <w:textAlignment w:val="auto"/>
        <w:outlineLvl w:val="9"/>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bidi="ar-SA"/>
        </w:rPr>
        <w:t>（5）</w:t>
      </w:r>
      <w:r>
        <w:rPr>
          <w:rFonts w:hint="eastAsia" w:ascii="仿宋" w:hAnsi="仿宋" w:eastAsia="仿宋" w:cs="仿宋"/>
          <w:color w:val="auto"/>
          <w:sz w:val="24"/>
          <w:szCs w:val="24"/>
        </w:rPr>
        <w:t>招标文件公告期限与招标公告的公告期限一致。</w:t>
      </w:r>
    </w:p>
    <w:p w14:paraId="47C1DDC9">
      <w:pPr>
        <w:widowControl/>
        <w:autoSpaceDE/>
        <w:autoSpaceDN/>
        <w:spacing w:line="360" w:lineRule="auto"/>
        <w:ind w:left="0" w:right="0"/>
        <w:outlineLvl w:val="9"/>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七、对本次招标提出询问，请按以下方式联系</w:t>
      </w:r>
    </w:p>
    <w:p w14:paraId="3363480D">
      <w:pPr>
        <w:pStyle w:val="23"/>
        <w:autoSpaceDE/>
        <w:autoSpaceDN/>
        <w:spacing w:after="0" w:line="360" w:lineRule="auto"/>
        <w:ind w:firstLine="480" w:firstLineChars="200"/>
        <w:outlineLvl w:val="9"/>
        <w:rPr>
          <w:rFonts w:hint="eastAsia" w:ascii="仿宋" w:hAnsi="仿宋" w:eastAsia="仿宋" w:cs="仿宋"/>
          <w:color w:val="auto"/>
          <w:sz w:val="24"/>
          <w:szCs w:val="24"/>
        </w:rPr>
      </w:pPr>
      <w:bookmarkStart w:id="5" w:name="_Toc16461"/>
      <w:r>
        <w:rPr>
          <w:rFonts w:hint="eastAsia" w:ascii="仿宋" w:hAnsi="仿宋" w:eastAsia="仿宋" w:cs="仿宋"/>
          <w:color w:val="auto"/>
          <w:sz w:val="24"/>
          <w:szCs w:val="24"/>
        </w:rPr>
        <w:t>1.采购人信息</w:t>
      </w:r>
      <w:bookmarkEnd w:id="5"/>
    </w:p>
    <w:p w14:paraId="44F751C3">
      <w:pPr>
        <w:pStyle w:val="23"/>
        <w:autoSpaceDE/>
        <w:autoSpaceDN/>
        <w:spacing w:after="0" w:line="360" w:lineRule="auto"/>
        <w:ind w:firstLine="480" w:firstLineChars="200"/>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名 </w:t>
      </w:r>
      <w:r>
        <w:rPr>
          <w:rFonts w:hint="eastAsia" w:ascii="仿宋" w:hAnsi="仿宋" w:eastAsia="仿宋" w:cs="仿宋"/>
          <w:color w:val="auto"/>
          <w:sz w:val="24"/>
          <w:szCs w:val="24"/>
          <w:lang w:val="en-US"/>
        </w:rPr>
        <w:t xml:space="preserve">   </w:t>
      </w:r>
      <w:r>
        <w:rPr>
          <w:rFonts w:hint="eastAsia" w:ascii="仿宋" w:hAnsi="仿宋" w:eastAsia="仿宋" w:cs="仿宋"/>
          <w:color w:val="auto"/>
          <w:sz w:val="24"/>
          <w:szCs w:val="24"/>
        </w:rPr>
        <w:t>称：</w:t>
      </w:r>
      <w:r>
        <w:rPr>
          <w:rFonts w:hint="eastAsia" w:ascii="仿宋" w:hAnsi="仿宋" w:eastAsia="仿宋" w:cs="仿宋"/>
          <w:color w:val="auto"/>
          <w:sz w:val="24"/>
          <w:szCs w:val="24"/>
          <w:lang w:eastAsia="zh-CN"/>
        </w:rPr>
        <w:t>苍南县民政局</w:t>
      </w:r>
    </w:p>
    <w:p w14:paraId="5BD32124">
      <w:pPr>
        <w:pStyle w:val="23"/>
        <w:autoSpaceDE/>
        <w:autoSpaceDN/>
        <w:spacing w:after="0"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w:t>
      </w:r>
      <w:r>
        <w:rPr>
          <w:rFonts w:hint="eastAsia" w:ascii="仿宋" w:hAnsi="仿宋" w:eastAsia="仿宋" w:cs="仿宋"/>
          <w:color w:val="auto"/>
          <w:sz w:val="24"/>
          <w:szCs w:val="24"/>
          <w:lang w:val="en-US"/>
        </w:rPr>
        <w:t xml:space="preserve">    </w:t>
      </w:r>
      <w:r>
        <w:rPr>
          <w:rFonts w:hint="eastAsia" w:ascii="仿宋" w:hAnsi="仿宋" w:eastAsia="仿宋" w:cs="仿宋"/>
          <w:color w:val="auto"/>
          <w:sz w:val="24"/>
          <w:szCs w:val="24"/>
        </w:rPr>
        <w:t>址</w:t>
      </w:r>
      <w:r>
        <w:rPr>
          <w:rFonts w:hint="eastAsia" w:ascii="仿宋" w:hAnsi="仿宋" w:eastAsia="仿宋" w:cs="仿宋"/>
          <w:color w:val="auto"/>
          <w:sz w:val="24"/>
          <w:szCs w:val="24"/>
          <w:lang w:eastAsia="zh-CN"/>
        </w:rPr>
        <w:t>：苍南县</w:t>
      </w:r>
      <w:r>
        <w:rPr>
          <w:rFonts w:hint="eastAsia" w:ascii="仿宋" w:hAnsi="仿宋" w:eastAsia="仿宋" w:cs="仿宋"/>
          <w:color w:val="auto"/>
          <w:sz w:val="24"/>
          <w:szCs w:val="24"/>
          <w:lang w:val="en-US" w:eastAsia="zh-CN"/>
        </w:rPr>
        <w:t>灵溪镇</w:t>
      </w:r>
      <w:r>
        <w:rPr>
          <w:rFonts w:hint="eastAsia" w:ascii="仿宋" w:hAnsi="仿宋" w:eastAsia="仿宋" w:cs="仿宋"/>
          <w:color w:val="auto"/>
          <w:sz w:val="24"/>
          <w:szCs w:val="24"/>
          <w:lang w:eastAsia="zh-CN"/>
        </w:rPr>
        <w:t>江滨路168号</w:t>
      </w:r>
    </w:p>
    <w:p w14:paraId="4EDCAC9D">
      <w:pPr>
        <w:pStyle w:val="23"/>
        <w:autoSpaceDE/>
        <w:autoSpaceDN/>
        <w:spacing w:after="0" w:line="360" w:lineRule="auto"/>
        <w:ind w:firstLine="480" w:firstLineChars="20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传真：/</w:t>
      </w:r>
    </w:p>
    <w:p w14:paraId="6EE4606F">
      <w:pPr>
        <w:pStyle w:val="23"/>
        <w:autoSpaceDE/>
        <w:autoSpaceDN/>
        <w:spacing w:after="0" w:line="360" w:lineRule="auto"/>
        <w:ind w:firstLine="480" w:firstLineChars="20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项目联系人（询问）：</w:t>
      </w:r>
      <w:r>
        <w:rPr>
          <w:rFonts w:hint="eastAsia" w:ascii="仿宋" w:hAnsi="仿宋" w:eastAsia="仿宋" w:cs="仿宋"/>
          <w:color w:val="auto"/>
          <w:sz w:val="24"/>
          <w:szCs w:val="24"/>
          <w:lang w:val="en-US" w:eastAsia="zh-CN"/>
        </w:rPr>
        <w:t>丁先生</w:t>
      </w:r>
    </w:p>
    <w:p w14:paraId="3E047DF3">
      <w:pPr>
        <w:pStyle w:val="23"/>
        <w:autoSpaceDE/>
        <w:autoSpaceDN/>
        <w:spacing w:after="0" w:line="360" w:lineRule="auto"/>
        <w:ind w:firstLine="480" w:firstLineChars="20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项目联系方式（询问）：0577-59897121</w:t>
      </w:r>
    </w:p>
    <w:p w14:paraId="5CB4511C">
      <w:pPr>
        <w:pStyle w:val="23"/>
        <w:autoSpaceDE/>
        <w:autoSpaceDN/>
        <w:spacing w:after="0" w:line="360" w:lineRule="auto"/>
        <w:ind w:firstLine="480" w:firstLineChars="20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质疑联系人：</w:t>
      </w:r>
      <w:r>
        <w:rPr>
          <w:rFonts w:hint="eastAsia" w:ascii="仿宋" w:hAnsi="仿宋" w:eastAsia="仿宋" w:cs="仿宋"/>
          <w:color w:val="auto"/>
          <w:sz w:val="24"/>
          <w:szCs w:val="24"/>
          <w:lang w:val="en-US" w:eastAsia="zh-CN"/>
        </w:rPr>
        <w:t>丁先生</w:t>
      </w:r>
    </w:p>
    <w:p w14:paraId="477811C9">
      <w:pPr>
        <w:pStyle w:val="23"/>
        <w:autoSpaceDE/>
        <w:autoSpaceDN/>
        <w:spacing w:after="0" w:line="360" w:lineRule="auto"/>
        <w:ind w:firstLine="480" w:firstLineChars="200"/>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质疑联系方式：</w:t>
      </w:r>
      <w:r>
        <w:rPr>
          <w:rFonts w:hint="eastAsia" w:ascii="仿宋" w:hAnsi="仿宋" w:eastAsia="仿宋" w:cs="仿宋"/>
          <w:color w:val="auto"/>
          <w:sz w:val="24"/>
          <w:szCs w:val="24"/>
          <w:lang w:eastAsia="zh-CN"/>
        </w:rPr>
        <w:t>13858708769</w:t>
      </w:r>
    </w:p>
    <w:p w14:paraId="29212415">
      <w:pPr>
        <w:pStyle w:val="23"/>
        <w:autoSpaceDE/>
        <w:autoSpaceDN/>
        <w:spacing w:after="0" w:line="360" w:lineRule="auto"/>
        <w:ind w:firstLine="480" w:firstLineChars="200"/>
        <w:outlineLvl w:val="9"/>
        <w:rPr>
          <w:rFonts w:hint="eastAsia" w:ascii="仿宋" w:hAnsi="仿宋" w:eastAsia="仿宋" w:cs="仿宋"/>
          <w:color w:val="auto"/>
          <w:sz w:val="24"/>
          <w:szCs w:val="24"/>
        </w:rPr>
      </w:pPr>
      <w:bookmarkStart w:id="6" w:name="_Toc9941"/>
      <w:r>
        <w:rPr>
          <w:rFonts w:hint="eastAsia" w:ascii="仿宋" w:hAnsi="仿宋" w:eastAsia="仿宋" w:cs="仿宋"/>
          <w:color w:val="auto"/>
          <w:sz w:val="24"/>
          <w:szCs w:val="24"/>
        </w:rPr>
        <w:t>2.采购代理机构信息</w:t>
      </w:r>
      <w:bookmarkEnd w:id="6"/>
    </w:p>
    <w:p w14:paraId="3B29331A">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名 </w:t>
      </w:r>
      <w:r>
        <w:rPr>
          <w:rFonts w:hint="eastAsia" w:ascii="仿宋" w:hAnsi="仿宋" w:eastAsia="仿宋" w:cs="仿宋"/>
          <w:color w:val="auto"/>
          <w:sz w:val="24"/>
          <w:szCs w:val="24"/>
          <w:lang w:val="en-US"/>
        </w:rPr>
        <w:t xml:space="preserve">   </w:t>
      </w:r>
      <w:r>
        <w:rPr>
          <w:rFonts w:hint="eastAsia" w:ascii="仿宋" w:hAnsi="仿宋" w:eastAsia="仿宋" w:cs="仿宋"/>
          <w:color w:val="auto"/>
          <w:sz w:val="24"/>
          <w:szCs w:val="24"/>
        </w:rPr>
        <w:t>称：浙江天平投资咨询有限公司</w:t>
      </w:r>
    </w:p>
    <w:p w14:paraId="5565789C">
      <w:pPr>
        <w:pStyle w:val="23"/>
        <w:autoSpaceDE/>
        <w:autoSpaceDN/>
        <w:spacing w:after="0" w:line="360" w:lineRule="auto"/>
        <w:ind w:firstLine="480" w:firstLineChars="200"/>
        <w:jc w:val="both"/>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w:t>
      </w:r>
      <w:r>
        <w:rPr>
          <w:rFonts w:hint="eastAsia" w:ascii="仿宋" w:hAnsi="仿宋" w:eastAsia="仿宋" w:cs="仿宋"/>
          <w:color w:val="auto"/>
          <w:sz w:val="24"/>
          <w:szCs w:val="24"/>
          <w:lang w:val="en-US"/>
        </w:rPr>
        <w:t xml:space="preserve">    </w:t>
      </w:r>
      <w:r>
        <w:rPr>
          <w:rFonts w:hint="eastAsia" w:ascii="仿宋" w:hAnsi="仿宋" w:eastAsia="仿宋" w:cs="仿宋"/>
          <w:color w:val="auto"/>
          <w:sz w:val="24"/>
          <w:szCs w:val="24"/>
        </w:rPr>
        <w:t>址：</w:t>
      </w:r>
      <w:r>
        <w:rPr>
          <w:rFonts w:hint="eastAsia" w:ascii="仿宋" w:hAnsi="仿宋" w:eastAsia="仿宋" w:cs="仿宋"/>
          <w:color w:val="auto"/>
          <w:sz w:val="24"/>
          <w:szCs w:val="24"/>
          <w:lang w:eastAsia="zh-CN"/>
        </w:rPr>
        <w:t>苍南县灵溪镇体育场路505-507号</w:t>
      </w:r>
    </w:p>
    <w:p w14:paraId="18604E6E">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传    真：/</w:t>
      </w:r>
    </w:p>
    <w:p w14:paraId="29AEC8EB">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val="en-US"/>
        </w:rPr>
        <w:t>陈</w:t>
      </w:r>
      <w:r>
        <w:rPr>
          <w:rFonts w:hint="eastAsia" w:ascii="仿宋" w:hAnsi="仿宋" w:eastAsia="仿宋" w:cs="仿宋"/>
          <w:color w:val="auto"/>
          <w:sz w:val="24"/>
          <w:szCs w:val="24"/>
        </w:rPr>
        <w:t>先生</w:t>
      </w:r>
    </w:p>
    <w:p w14:paraId="1E54556E">
      <w:pPr>
        <w:pStyle w:val="23"/>
        <w:autoSpaceDE/>
        <w:autoSpaceDN/>
        <w:spacing w:after="0" w:line="360" w:lineRule="auto"/>
        <w:ind w:firstLine="480" w:firstLineChars="200"/>
        <w:jc w:val="both"/>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lang w:eastAsia="zh-CN"/>
        </w:rPr>
        <w:t>0577-26667778</w:t>
      </w:r>
    </w:p>
    <w:p w14:paraId="22F60D56">
      <w:pPr>
        <w:pStyle w:val="23"/>
        <w:autoSpaceDE/>
        <w:autoSpaceDN/>
        <w:spacing w:after="0" w:line="360" w:lineRule="auto"/>
        <w:ind w:firstLine="480" w:firstLineChars="200"/>
        <w:jc w:val="both"/>
        <w:outlineLvl w:val="9"/>
        <w:rPr>
          <w:rFonts w:hint="eastAsia" w:ascii="仿宋" w:hAnsi="仿宋" w:eastAsia="仿宋" w:cs="仿宋"/>
          <w:color w:val="auto"/>
          <w:sz w:val="24"/>
          <w:szCs w:val="24"/>
          <w:lang w:val="en-US"/>
        </w:rPr>
      </w:pPr>
      <w:r>
        <w:rPr>
          <w:rFonts w:hint="eastAsia" w:ascii="仿宋" w:hAnsi="仿宋" w:eastAsia="仿宋" w:cs="仿宋"/>
          <w:color w:val="auto"/>
          <w:sz w:val="24"/>
          <w:szCs w:val="24"/>
        </w:rPr>
        <w:t>质疑联系人：浙江天平投资咨询有限公司</w:t>
      </w:r>
    </w:p>
    <w:p w14:paraId="68531EFA">
      <w:pPr>
        <w:pStyle w:val="23"/>
        <w:autoSpaceDE/>
        <w:autoSpaceDN/>
        <w:spacing w:after="0" w:line="360" w:lineRule="auto"/>
        <w:ind w:firstLine="480" w:firstLineChars="200"/>
        <w:jc w:val="both"/>
        <w:outlineLvl w:val="9"/>
        <w:rPr>
          <w:rFonts w:hint="eastAsia" w:ascii="仿宋" w:hAnsi="仿宋" w:eastAsia="仿宋" w:cs="仿宋"/>
          <w:color w:val="auto"/>
          <w:sz w:val="24"/>
          <w:szCs w:val="24"/>
          <w:lang w:val="en-US"/>
        </w:rPr>
      </w:pPr>
      <w:r>
        <w:rPr>
          <w:rFonts w:hint="eastAsia" w:ascii="仿宋" w:hAnsi="仿宋" w:eastAsia="仿宋" w:cs="仿宋"/>
          <w:color w:val="auto"/>
          <w:sz w:val="24"/>
          <w:szCs w:val="24"/>
        </w:rPr>
        <w:t>质疑联系方式：</w:t>
      </w:r>
      <w:r>
        <w:rPr>
          <w:rFonts w:hint="eastAsia" w:ascii="仿宋" w:hAnsi="仿宋" w:eastAsia="仿宋" w:cs="仿宋"/>
          <w:color w:val="auto"/>
          <w:sz w:val="24"/>
          <w:szCs w:val="24"/>
          <w:lang w:val="en-US"/>
        </w:rPr>
        <w:t>18267833829</w:t>
      </w:r>
    </w:p>
    <w:p w14:paraId="24DDD5FD">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bookmarkStart w:id="7" w:name="_Toc13298"/>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同级政府采购监督管理部门名称</w:t>
      </w:r>
      <w:bookmarkEnd w:id="7"/>
    </w:p>
    <w:p w14:paraId="7A23F363">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rPr>
        <w:t>名    称：</w:t>
      </w:r>
      <w:r>
        <w:rPr>
          <w:rFonts w:hint="eastAsia" w:ascii="仿宋" w:hAnsi="仿宋" w:eastAsia="仿宋" w:cs="仿宋"/>
          <w:color w:val="auto"/>
          <w:sz w:val="24"/>
          <w:szCs w:val="24"/>
        </w:rPr>
        <w:t>苍南县政府采购监督管理办公室</w:t>
      </w:r>
    </w:p>
    <w:p w14:paraId="254CB8B5">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rPr>
        <w:t>地    址</w:t>
      </w:r>
      <w:r>
        <w:rPr>
          <w:rFonts w:hint="eastAsia" w:ascii="仿宋" w:hAnsi="仿宋" w:eastAsia="仿宋" w:cs="仿宋"/>
          <w:color w:val="auto"/>
          <w:sz w:val="24"/>
          <w:szCs w:val="24"/>
        </w:rPr>
        <w:t>：苍南县灵溪镇春晖路555号</w:t>
      </w:r>
    </w:p>
    <w:p w14:paraId="11BC4015">
      <w:pPr>
        <w:pStyle w:val="23"/>
        <w:autoSpaceDE/>
        <w:autoSpaceDN/>
        <w:spacing w:after="0" w:line="360" w:lineRule="auto"/>
        <w:ind w:firstLine="480" w:firstLineChars="200"/>
        <w:jc w:val="both"/>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rPr>
        <w:t>传    真</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0577-64685825</w:t>
      </w:r>
    </w:p>
    <w:p w14:paraId="41F513EF">
      <w:pPr>
        <w:pStyle w:val="23"/>
        <w:autoSpaceDE/>
        <w:autoSpaceDN/>
        <w:spacing w:after="0"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rPr>
        <w:t>联 系 人</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黄</w:t>
      </w:r>
      <w:r>
        <w:rPr>
          <w:rFonts w:hint="eastAsia" w:ascii="仿宋" w:hAnsi="仿宋" w:eastAsia="仿宋" w:cs="仿宋"/>
          <w:color w:val="auto"/>
          <w:sz w:val="24"/>
          <w:szCs w:val="24"/>
          <w:lang w:val="en-US"/>
        </w:rPr>
        <w:t>先生</w:t>
      </w:r>
    </w:p>
    <w:p w14:paraId="5F43FDD2">
      <w:pPr>
        <w:pStyle w:val="23"/>
        <w:autoSpaceDE/>
        <w:autoSpaceDN/>
        <w:spacing w:after="0" w:line="360" w:lineRule="auto"/>
        <w:ind w:firstLine="480" w:firstLineChars="200"/>
        <w:jc w:val="both"/>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监督投诉电话：</w:t>
      </w:r>
      <w:r>
        <w:rPr>
          <w:rFonts w:hint="eastAsia" w:ascii="仿宋" w:hAnsi="仿宋" w:eastAsia="仿宋" w:cs="仿宋"/>
          <w:color w:val="auto"/>
          <w:sz w:val="24"/>
          <w:szCs w:val="24"/>
          <w:lang w:eastAsia="zh-CN"/>
        </w:rPr>
        <w:t>0577-64685825</w:t>
      </w:r>
    </w:p>
    <w:p w14:paraId="2EFBC025">
      <w:pPr>
        <w:autoSpaceDE/>
        <w:autoSpaceDN/>
        <w:spacing w:line="360" w:lineRule="auto"/>
        <w:outlineLvl w:val="9"/>
        <w:rPr>
          <w:rFonts w:hint="eastAsia" w:ascii="仿宋" w:hAnsi="仿宋" w:eastAsia="仿宋" w:cs="仿宋"/>
          <w:color w:val="auto"/>
          <w:sz w:val="24"/>
          <w:szCs w:val="24"/>
        </w:rPr>
      </w:pPr>
    </w:p>
    <w:p w14:paraId="0930A225">
      <w:pPr>
        <w:pStyle w:val="33"/>
        <w:autoSpaceDE/>
        <w:autoSpaceDN/>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若对项目采购电子交易系统操作有疑问，可登录政采云（https://www.zcygov.cn/），点击右侧咨询小采，获取采小蜜智能服务管家帮助，或拨打政采云服务热线95763获取热线服务帮助。</w:t>
      </w:r>
    </w:p>
    <w:p w14:paraId="5BD50204">
      <w:pPr>
        <w:pStyle w:val="12"/>
        <w:spacing w:line="306"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CA问题联系电话（人工）：汇信CA 400-888-4636；天谷CA 400-087-8198。</w:t>
      </w:r>
    </w:p>
    <w:p w14:paraId="64DB38A8">
      <w:pPr>
        <w:pStyle w:val="4"/>
        <w:rPr>
          <w:rFonts w:hint="eastAsia" w:ascii="宋体" w:hAnsi="宋体" w:eastAsia="宋体" w:cs="宋体"/>
          <w:color w:val="auto"/>
          <w:sz w:val="21"/>
          <w:szCs w:val="18"/>
        </w:rPr>
      </w:pPr>
    </w:p>
    <w:p w14:paraId="1B37F67B">
      <w:pPr>
        <w:rPr>
          <w:rFonts w:hint="eastAsia" w:ascii="宋体" w:hAnsi="宋体" w:eastAsia="宋体" w:cs="宋体"/>
          <w:color w:val="auto"/>
          <w:sz w:val="20"/>
          <w:szCs w:val="22"/>
        </w:rPr>
      </w:pPr>
      <w:r>
        <w:rPr>
          <w:rFonts w:hint="eastAsia" w:ascii="宋体" w:hAnsi="宋体" w:eastAsia="宋体" w:cs="宋体"/>
          <w:color w:val="auto"/>
          <w:sz w:val="20"/>
          <w:szCs w:val="22"/>
        </w:rPr>
        <w:br w:type="page"/>
      </w:r>
    </w:p>
    <w:p w14:paraId="48284F86">
      <w:pPr>
        <w:numPr>
          <w:ilvl w:val="0"/>
          <w:numId w:val="0"/>
        </w:numPr>
        <w:adjustRightInd/>
        <w:spacing w:line="360" w:lineRule="auto"/>
        <w:jc w:val="center"/>
        <w:outlineLvl w:val="0"/>
        <w:rPr>
          <w:rFonts w:hint="eastAsia" w:cs="仿宋_GB2312" w:asciiTheme="minorEastAsia" w:hAnsiTheme="minorEastAsia" w:eastAsiaTheme="minorEastAsia"/>
          <w:b/>
          <w:color w:val="auto"/>
          <w:sz w:val="32"/>
          <w:szCs w:val="18"/>
          <w:lang w:eastAsia="zh-CN"/>
        </w:rPr>
      </w:pPr>
      <w:r>
        <w:rPr>
          <w:rFonts w:hint="eastAsia" w:cs="仿宋_GB2312" w:asciiTheme="minorEastAsia" w:hAnsiTheme="minorEastAsia" w:eastAsiaTheme="minorEastAsia"/>
          <w:b/>
          <w:color w:val="auto"/>
          <w:sz w:val="32"/>
          <w:szCs w:val="18"/>
          <w:lang w:val="zh-CN" w:eastAsia="zh-CN" w:bidi="zh-CN"/>
        </w:rPr>
        <w:t>第</w:t>
      </w:r>
      <w:r>
        <w:rPr>
          <w:rFonts w:hint="eastAsia" w:cs="仿宋_GB2312" w:asciiTheme="minorEastAsia" w:hAnsiTheme="minorEastAsia" w:eastAsiaTheme="minorEastAsia"/>
          <w:b/>
          <w:color w:val="auto"/>
          <w:sz w:val="32"/>
          <w:szCs w:val="18"/>
          <w:lang w:val="en-US" w:eastAsia="zh-CN" w:bidi="zh-CN"/>
        </w:rPr>
        <w:t>二</w:t>
      </w:r>
      <w:r>
        <w:rPr>
          <w:rFonts w:hint="eastAsia" w:cs="仿宋_GB2312" w:asciiTheme="minorEastAsia" w:hAnsiTheme="minorEastAsia" w:eastAsiaTheme="minorEastAsia"/>
          <w:b/>
          <w:color w:val="auto"/>
          <w:sz w:val="32"/>
          <w:szCs w:val="18"/>
          <w:lang w:val="zh-CN" w:eastAsia="zh-CN" w:bidi="zh-CN"/>
        </w:rPr>
        <w:t>部分</w:t>
      </w:r>
      <w:r>
        <w:rPr>
          <w:rFonts w:hint="eastAsia" w:cs="仿宋_GB2312" w:asciiTheme="minorEastAsia" w:hAnsiTheme="minorEastAsia" w:eastAsiaTheme="minorEastAsia"/>
          <w:b/>
          <w:color w:val="auto"/>
          <w:sz w:val="32"/>
          <w:szCs w:val="18"/>
        </w:rPr>
        <w:t xml:space="preserve"> </w:t>
      </w:r>
      <w:r>
        <w:rPr>
          <w:rFonts w:hint="eastAsia" w:cs="仿宋_GB2312" w:asciiTheme="minorEastAsia" w:hAnsiTheme="minorEastAsia" w:eastAsiaTheme="minorEastAsia"/>
          <w:b/>
          <w:color w:val="auto"/>
          <w:sz w:val="32"/>
          <w:szCs w:val="18"/>
          <w:lang w:eastAsia="zh-CN"/>
        </w:rPr>
        <w:t>投标人须知</w:t>
      </w:r>
    </w:p>
    <w:p w14:paraId="73B58657">
      <w:pPr>
        <w:tabs>
          <w:tab w:val="left" w:pos="1444"/>
        </w:tabs>
        <w:spacing w:before="0"/>
        <w:ind w:right="0"/>
        <w:jc w:val="center"/>
        <w:outlineLvl w:val="9"/>
        <w:rPr>
          <w:rFonts w:ascii="仿宋" w:hAnsi="仿宋" w:eastAsia="仿宋" w:cs="仿宋"/>
          <w:color w:val="auto"/>
          <w:sz w:val="21"/>
          <w:szCs w:val="21"/>
        </w:rPr>
      </w:pPr>
      <w:r>
        <w:rPr>
          <w:rFonts w:hint="eastAsia" w:cs="仿宋_GB2312" w:asciiTheme="minorEastAsia" w:hAnsiTheme="minorEastAsia" w:eastAsiaTheme="minorEastAsia"/>
          <w:b/>
          <w:color w:val="auto"/>
          <w:sz w:val="32"/>
          <w:szCs w:val="18"/>
        </w:rPr>
        <w:t>前附表</w:t>
      </w:r>
    </w:p>
    <w:tbl>
      <w:tblPr>
        <w:tblStyle w:val="26"/>
        <w:tblW w:w="9105" w:type="dxa"/>
        <w:tblInd w:w="45"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750"/>
        <w:gridCol w:w="1785"/>
        <w:gridCol w:w="6570"/>
      </w:tblGrid>
      <w:tr w14:paraId="7331DB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shd w:val="clear" w:color="auto" w:fill="B6DDE8" w:themeFill="accent5" w:themeFillTint="66"/>
            <w:vAlign w:val="center"/>
          </w:tcPr>
          <w:p w14:paraId="588B031F">
            <w:pPr>
              <w:keepNext w:val="0"/>
              <w:keepLines w:val="0"/>
              <w:pageBreakBefore w:val="0"/>
              <w:widowControl w:val="0"/>
              <w:kinsoku/>
              <w:wordWrap w:val="0"/>
              <w:overflowPunct/>
              <w:topLinePunct w:val="0"/>
              <w:autoSpaceDE w:val="0"/>
              <w:autoSpaceDN w:val="0"/>
              <w:bidi w:val="0"/>
              <w:adjustRightInd/>
              <w:snapToGrid w:val="0"/>
              <w:spacing w:line="240" w:lineRule="auto"/>
              <w:jc w:val="center"/>
              <w:textAlignment w:val="auto"/>
              <w:rPr>
                <w:rFonts w:ascii="仿宋" w:hAnsi="仿宋" w:eastAsia="仿宋" w:cs="仿宋"/>
                <w:b/>
                <w:bCs/>
                <w:color w:val="auto"/>
                <w:sz w:val="22"/>
                <w:szCs w:val="22"/>
              </w:rPr>
            </w:pPr>
            <w:r>
              <w:rPr>
                <w:rFonts w:hint="eastAsia" w:ascii="宋体" w:hAnsi="宋体" w:eastAsia="宋体" w:cs="宋体"/>
                <w:b/>
                <w:color w:val="auto"/>
                <w:sz w:val="22"/>
                <w:szCs w:val="22"/>
              </w:rPr>
              <w:t>序号</w:t>
            </w:r>
          </w:p>
        </w:tc>
        <w:tc>
          <w:tcPr>
            <w:tcW w:w="1785" w:type="dxa"/>
            <w:tcBorders>
              <w:tl2br w:val="nil"/>
              <w:tr2bl w:val="nil"/>
            </w:tcBorders>
            <w:shd w:val="clear" w:color="auto" w:fill="B6DDE8" w:themeFill="accent5" w:themeFillTint="66"/>
            <w:vAlign w:val="center"/>
          </w:tcPr>
          <w:p w14:paraId="78455055">
            <w:pPr>
              <w:keepNext w:val="0"/>
              <w:keepLines w:val="0"/>
              <w:pageBreakBefore w:val="0"/>
              <w:widowControl w:val="0"/>
              <w:kinsoku/>
              <w:wordWrap w:val="0"/>
              <w:overflowPunct/>
              <w:topLinePunct w:val="0"/>
              <w:autoSpaceDE w:val="0"/>
              <w:autoSpaceDN w:val="0"/>
              <w:bidi w:val="0"/>
              <w:adjustRightInd/>
              <w:snapToGrid w:val="0"/>
              <w:spacing w:line="240" w:lineRule="auto"/>
              <w:jc w:val="center"/>
              <w:textAlignment w:val="auto"/>
              <w:rPr>
                <w:rFonts w:ascii="仿宋" w:hAnsi="仿宋" w:eastAsia="仿宋" w:cs="仿宋"/>
                <w:b/>
                <w:bCs/>
                <w:color w:val="auto"/>
                <w:sz w:val="22"/>
                <w:szCs w:val="22"/>
                <w:lang w:val="en-US"/>
              </w:rPr>
            </w:pPr>
            <w:r>
              <w:rPr>
                <w:rFonts w:hint="eastAsia" w:ascii="宋体" w:hAnsi="宋体" w:eastAsia="宋体" w:cs="宋体"/>
                <w:b/>
                <w:color w:val="auto"/>
                <w:sz w:val="22"/>
                <w:szCs w:val="22"/>
              </w:rPr>
              <w:t>事项</w:t>
            </w:r>
          </w:p>
        </w:tc>
        <w:tc>
          <w:tcPr>
            <w:tcW w:w="6570" w:type="dxa"/>
            <w:tcBorders>
              <w:tl2br w:val="nil"/>
              <w:tr2bl w:val="nil"/>
            </w:tcBorders>
            <w:shd w:val="clear" w:color="auto" w:fill="B6DDE8" w:themeFill="accent5" w:themeFillTint="66"/>
            <w:vAlign w:val="center"/>
          </w:tcPr>
          <w:p w14:paraId="480DD5FE">
            <w:pPr>
              <w:keepNext w:val="0"/>
              <w:keepLines w:val="0"/>
              <w:pageBreakBefore w:val="0"/>
              <w:widowControl w:val="0"/>
              <w:kinsoku/>
              <w:wordWrap w:val="0"/>
              <w:overflowPunct/>
              <w:topLinePunct w:val="0"/>
              <w:autoSpaceDE w:val="0"/>
              <w:autoSpaceDN w:val="0"/>
              <w:bidi w:val="0"/>
              <w:adjustRightInd/>
              <w:snapToGrid w:val="0"/>
              <w:spacing w:line="240" w:lineRule="auto"/>
              <w:jc w:val="center"/>
              <w:textAlignment w:val="auto"/>
              <w:rPr>
                <w:rFonts w:ascii="仿宋" w:hAnsi="仿宋" w:eastAsia="仿宋" w:cs="仿宋"/>
                <w:b/>
                <w:bCs/>
                <w:color w:val="auto"/>
                <w:sz w:val="22"/>
                <w:szCs w:val="22"/>
              </w:rPr>
            </w:pPr>
            <w:r>
              <w:rPr>
                <w:rFonts w:hint="eastAsia" w:ascii="宋体" w:hAnsi="宋体" w:eastAsia="宋体" w:cs="宋体"/>
                <w:b/>
                <w:color w:val="auto"/>
                <w:sz w:val="22"/>
                <w:szCs w:val="22"/>
              </w:rPr>
              <w:t>本项目的特别规定</w:t>
            </w:r>
          </w:p>
        </w:tc>
      </w:tr>
      <w:tr w14:paraId="205EAB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3684CCF5">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rPr>
            </w:pPr>
            <w:r>
              <w:rPr>
                <w:rFonts w:hint="eastAsia" w:ascii="宋体" w:hAnsi="宋体" w:eastAsia="宋体" w:cs="宋体"/>
                <w:b w:val="0"/>
                <w:bCs/>
                <w:color w:val="auto"/>
                <w:sz w:val="22"/>
                <w:szCs w:val="22"/>
                <w:lang w:val="en-US" w:eastAsia="zh-CN"/>
              </w:rPr>
              <w:t>1</w:t>
            </w:r>
          </w:p>
        </w:tc>
        <w:tc>
          <w:tcPr>
            <w:tcW w:w="1785" w:type="dxa"/>
            <w:tcBorders>
              <w:tl2br w:val="nil"/>
              <w:tr2bl w:val="nil"/>
            </w:tcBorders>
            <w:vAlign w:val="center"/>
          </w:tcPr>
          <w:p w14:paraId="096F2DA3">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lang w:val="en-US"/>
              </w:rPr>
            </w:pPr>
            <w:r>
              <w:rPr>
                <w:rFonts w:hint="eastAsia" w:ascii="宋体" w:hAnsi="宋体" w:eastAsia="宋体" w:cs="宋体"/>
                <w:b w:val="0"/>
                <w:bCs/>
                <w:color w:val="auto"/>
                <w:sz w:val="22"/>
                <w:szCs w:val="22"/>
              </w:rPr>
              <w:t>项目名称</w:t>
            </w:r>
          </w:p>
        </w:tc>
        <w:tc>
          <w:tcPr>
            <w:tcW w:w="6570" w:type="dxa"/>
            <w:tcBorders>
              <w:tl2br w:val="nil"/>
              <w:tr2bl w:val="nil"/>
            </w:tcBorders>
            <w:vAlign w:val="center"/>
          </w:tcPr>
          <w:p w14:paraId="2044E66A">
            <w:pPr>
              <w:keepNext w:val="0"/>
              <w:keepLines w:val="0"/>
              <w:pageBreakBefore w:val="0"/>
              <w:widowControl w:val="0"/>
              <w:kinsoku/>
              <w:wordWrap w:val="0"/>
              <w:overflowPunct/>
              <w:topLinePunct w:val="0"/>
              <w:autoSpaceDE w:val="0"/>
              <w:autoSpaceDN w:val="0"/>
              <w:bidi w:val="0"/>
              <w:adjustRightInd/>
              <w:snapToGrid w:val="0"/>
              <w:spacing w:line="360" w:lineRule="exact"/>
              <w:jc w:val="left"/>
              <w:textAlignment w:val="auto"/>
              <w:rPr>
                <w:rFonts w:hint="eastAsia" w:ascii="仿宋" w:hAnsi="仿宋" w:eastAsia="仿宋" w:cs="仿宋"/>
                <w:color w:val="auto"/>
                <w:sz w:val="22"/>
                <w:szCs w:val="22"/>
                <w:lang w:eastAsia="zh-CN"/>
              </w:rPr>
            </w:pPr>
            <w:r>
              <w:rPr>
                <w:rFonts w:hint="eastAsia" w:cs="宋体"/>
                <w:b w:val="0"/>
                <w:bCs/>
                <w:color w:val="auto"/>
                <w:sz w:val="22"/>
                <w:szCs w:val="22"/>
                <w:lang w:eastAsia="zh-CN"/>
              </w:rPr>
              <w:t>苍南县居家和社区基本养老服务提升行动项目</w:t>
            </w:r>
          </w:p>
        </w:tc>
      </w:tr>
      <w:tr w14:paraId="6F6D27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37925660">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rPr>
            </w:pPr>
            <w:r>
              <w:rPr>
                <w:rFonts w:hint="eastAsia" w:ascii="宋体" w:hAnsi="宋体" w:eastAsia="宋体" w:cs="宋体"/>
                <w:b w:val="0"/>
                <w:bCs/>
                <w:color w:val="auto"/>
                <w:sz w:val="22"/>
                <w:szCs w:val="22"/>
                <w:lang w:val="en-US" w:eastAsia="zh-CN"/>
              </w:rPr>
              <w:t>2</w:t>
            </w:r>
          </w:p>
        </w:tc>
        <w:tc>
          <w:tcPr>
            <w:tcW w:w="1785" w:type="dxa"/>
            <w:tcBorders>
              <w:tl2br w:val="nil"/>
              <w:tr2bl w:val="nil"/>
            </w:tcBorders>
            <w:vAlign w:val="center"/>
          </w:tcPr>
          <w:p w14:paraId="6E1AC744">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lang w:val="en-US"/>
              </w:rPr>
            </w:pPr>
            <w:r>
              <w:rPr>
                <w:rFonts w:hint="eastAsia" w:ascii="宋体" w:hAnsi="宋体" w:eastAsia="宋体" w:cs="宋体"/>
                <w:b w:val="0"/>
                <w:bCs/>
                <w:color w:val="auto"/>
                <w:sz w:val="22"/>
                <w:szCs w:val="22"/>
              </w:rPr>
              <w:t>项目编号</w:t>
            </w:r>
          </w:p>
        </w:tc>
        <w:tc>
          <w:tcPr>
            <w:tcW w:w="6570" w:type="dxa"/>
            <w:tcBorders>
              <w:tl2br w:val="nil"/>
              <w:tr2bl w:val="nil"/>
            </w:tcBorders>
            <w:vAlign w:val="center"/>
          </w:tcPr>
          <w:p w14:paraId="05B54E82">
            <w:pPr>
              <w:keepNext w:val="0"/>
              <w:keepLines w:val="0"/>
              <w:pageBreakBefore w:val="0"/>
              <w:widowControl w:val="0"/>
              <w:kinsoku/>
              <w:wordWrap w:val="0"/>
              <w:overflowPunct/>
              <w:topLinePunct w:val="0"/>
              <w:autoSpaceDE w:val="0"/>
              <w:autoSpaceDN w:val="0"/>
              <w:bidi w:val="0"/>
              <w:adjustRightInd/>
              <w:snapToGrid w:val="0"/>
              <w:spacing w:line="360" w:lineRule="exact"/>
              <w:jc w:val="left"/>
              <w:textAlignment w:val="auto"/>
              <w:rPr>
                <w:rFonts w:hint="eastAsia" w:ascii="仿宋" w:hAnsi="仿宋" w:eastAsia="仿宋" w:cs="仿宋"/>
                <w:color w:val="auto"/>
                <w:sz w:val="22"/>
                <w:szCs w:val="22"/>
                <w:lang w:val="en-US" w:eastAsia="zh-CN"/>
              </w:rPr>
            </w:pPr>
            <w:r>
              <w:rPr>
                <w:rFonts w:hint="eastAsia" w:cs="宋体"/>
                <w:b w:val="0"/>
                <w:bCs/>
                <w:color w:val="auto"/>
                <w:sz w:val="22"/>
                <w:szCs w:val="22"/>
                <w:lang w:eastAsia="zh-CN"/>
              </w:rPr>
              <w:t>CNDL2024207</w:t>
            </w:r>
          </w:p>
        </w:tc>
      </w:tr>
      <w:tr w14:paraId="4EDD4C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03194862">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rPr>
            </w:pPr>
            <w:r>
              <w:rPr>
                <w:rFonts w:hint="eastAsia" w:cs="宋体"/>
                <w:b w:val="0"/>
                <w:bCs/>
                <w:color w:val="auto"/>
                <w:sz w:val="22"/>
                <w:szCs w:val="22"/>
                <w:lang w:val="en-US" w:eastAsia="zh-CN"/>
              </w:rPr>
              <w:t>3</w:t>
            </w:r>
          </w:p>
        </w:tc>
        <w:tc>
          <w:tcPr>
            <w:tcW w:w="1785" w:type="dxa"/>
            <w:tcBorders>
              <w:tl2br w:val="nil"/>
              <w:tr2bl w:val="nil"/>
            </w:tcBorders>
            <w:vAlign w:val="center"/>
          </w:tcPr>
          <w:p w14:paraId="64D8E62E">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lang w:val="en-US"/>
              </w:rPr>
            </w:pPr>
            <w:r>
              <w:rPr>
                <w:rFonts w:hint="eastAsia" w:ascii="宋体" w:hAnsi="宋体" w:eastAsia="宋体" w:cs="宋体"/>
                <w:b w:val="0"/>
                <w:bCs/>
                <w:color w:val="auto"/>
                <w:sz w:val="22"/>
                <w:szCs w:val="22"/>
              </w:rPr>
              <w:t>项目属性</w:t>
            </w:r>
          </w:p>
        </w:tc>
        <w:tc>
          <w:tcPr>
            <w:tcW w:w="6570" w:type="dxa"/>
            <w:tcBorders>
              <w:tl2br w:val="nil"/>
              <w:tr2bl w:val="nil"/>
            </w:tcBorders>
            <w:vAlign w:val="center"/>
          </w:tcPr>
          <w:p w14:paraId="64A7B839">
            <w:pPr>
              <w:keepNext w:val="0"/>
              <w:keepLines w:val="0"/>
              <w:pageBreakBefore w:val="0"/>
              <w:widowControl w:val="0"/>
              <w:kinsoku/>
              <w:wordWrap w:val="0"/>
              <w:overflowPunct/>
              <w:topLinePunct w:val="0"/>
              <w:autoSpaceDE w:val="0"/>
              <w:autoSpaceDN w:val="0"/>
              <w:bidi w:val="0"/>
              <w:adjustRightInd/>
              <w:spacing w:line="360" w:lineRule="exact"/>
              <w:textAlignment w:val="auto"/>
              <w:rPr>
                <w:rFonts w:ascii="仿宋" w:hAnsi="仿宋" w:eastAsia="仿宋" w:cs="仿宋"/>
                <w:color w:val="auto"/>
                <w:sz w:val="22"/>
                <w:szCs w:val="22"/>
                <w:lang w:val="en-US"/>
              </w:rPr>
            </w:pPr>
            <w:r>
              <w:rPr>
                <w:rFonts w:hint="eastAsia" w:ascii="宋体" w:hAnsi="宋体" w:eastAsia="宋体" w:cs="宋体"/>
                <w:color w:val="auto"/>
                <w:sz w:val="22"/>
                <w:szCs w:val="22"/>
              </w:rPr>
              <w:t>服务类</w:t>
            </w:r>
          </w:p>
        </w:tc>
      </w:tr>
      <w:tr w14:paraId="36EE34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4BE4C72C">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宋体" w:hAnsi="宋体" w:eastAsia="宋体" w:cs="宋体"/>
                <w:b w:val="0"/>
                <w:bCs/>
                <w:color w:val="auto"/>
                <w:sz w:val="22"/>
                <w:szCs w:val="22"/>
                <w:lang w:val="en-US" w:eastAsia="zh-CN"/>
              </w:rPr>
            </w:pPr>
            <w:r>
              <w:rPr>
                <w:rFonts w:hint="eastAsia" w:cs="宋体"/>
                <w:b w:val="0"/>
                <w:bCs/>
                <w:color w:val="auto"/>
                <w:sz w:val="22"/>
                <w:szCs w:val="22"/>
                <w:lang w:val="en-US" w:eastAsia="zh-CN"/>
              </w:rPr>
              <w:t>4</w:t>
            </w:r>
          </w:p>
        </w:tc>
        <w:tc>
          <w:tcPr>
            <w:tcW w:w="1785" w:type="dxa"/>
            <w:tcBorders>
              <w:tl2br w:val="nil"/>
              <w:tr2bl w:val="nil"/>
            </w:tcBorders>
            <w:vAlign w:val="center"/>
          </w:tcPr>
          <w:p w14:paraId="7C70F99C">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宋体" w:hAnsi="宋体" w:eastAsia="宋体" w:cs="宋体"/>
                <w:b w:val="0"/>
                <w:bCs/>
                <w:color w:val="auto"/>
                <w:sz w:val="22"/>
                <w:szCs w:val="22"/>
                <w:lang w:val="en-US" w:eastAsia="zh-CN"/>
              </w:rPr>
            </w:pPr>
            <w:r>
              <w:rPr>
                <w:rFonts w:hint="eastAsia" w:cs="宋体"/>
                <w:b w:val="0"/>
                <w:bCs/>
                <w:color w:val="auto"/>
                <w:sz w:val="22"/>
                <w:szCs w:val="22"/>
                <w:lang w:val="en-US" w:eastAsia="zh-CN"/>
              </w:rPr>
              <w:t>标的划分</w:t>
            </w:r>
          </w:p>
        </w:tc>
        <w:tc>
          <w:tcPr>
            <w:tcW w:w="6570" w:type="dxa"/>
            <w:tcBorders>
              <w:tl2br w:val="nil"/>
              <w:tr2bl w:val="nil"/>
            </w:tcBorders>
            <w:vAlign w:val="center"/>
          </w:tcPr>
          <w:p w14:paraId="58D287A1">
            <w:pPr>
              <w:keepNext w:val="0"/>
              <w:keepLines w:val="0"/>
              <w:pageBreakBefore w:val="0"/>
              <w:widowControl w:val="0"/>
              <w:kinsoku/>
              <w:wordWrap w:val="0"/>
              <w:overflowPunct/>
              <w:topLinePunct w:val="0"/>
              <w:autoSpaceDE w:val="0"/>
              <w:autoSpaceDN w:val="0"/>
              <w:bidi w:val="0"/>
              <w:adjustRightIn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本次招标共</w:t>
            </w:r>
            <w:r>
              <w:rPr>
                <w:rFonts w:hint="eastAsia" w:cs="宋体"/>
                <w:color w:val="auto"/>
                <w:sz w:val="22"/>
                <w:szCs w:val="22"/>
                <w:lang w:val="en-US" w:eastAsia="zh-CN"/>
              </w:rPr>
              <w:t>2</w:t>
            </w:r>
            <w:r>
              <w:rPr>
                <w:rFonts w:hint="eastAsia" w:ascii="宋体" w:hAnsi="宋体" w:eastAsia="宋体" w:cs="宋体"/>
                <w:color w:val="auto"/>
                <w:sz w:val="22"/>
                <w:szCs w:val="22"/>
              </w:rPr>
              <w:t>个标的，为了确保各标项中标人的服务质量，采购人将分标项择定中标人，投标人如在前一个标段中被推荐为中标候选人，则其后续所有标段的投标文件不再开启评审。</w:t>
            </w:r>
          </w:p>
        </w:tc>
      </w:tr>
      <w:tr w14:paraId="61F079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431DA636">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rPr>
            </w:pPr>
            <w:r>
              <w:rPr>
                <w:rFonts w:hint="eastAsia" w:cs="宋体"/>
                <w:b w:val="0"/>
                <w:bCs/>
                <w:color w:val="auto"/>
                <w:sz w:val="22"/>
                <w:szCs w:val="22"/>
                <w:lang w:val="en-US" w:eastAsia="zh-CN" w:bidi="zh-CN"/>
              </w:rPr>
              <w:t>5</w:t>
            </w:r>
          </w:p>
        </w:tc>
        <w:tc>
          <w:tcPr>
            <w:tcW w:w="1785" w:type="dxa"/>
            <w:tcBorders>
              <w:tl2br w:val="nil"/>
              <w:tr2bl w:val="nil"/>
            </w:tcBorders>
            <w:vAlign w:val="center"/>
          </w:tcPr>
          <w:p w14:paraId="7BC117BD">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lang w:val="en-US"/>
              </w:rPr>
            </w:pPr>
            <w:r>
              <w:rPr>
                <w:rFonts w:hint="eastAsia" w:ascii="宋体" w:hAnsi="宋体" w:eastAsia="宋体" w:cs="宋体"/>
                <w:b w:val="0"/>
                <w:bCs/>
                <w:color w:val="auto"/>
                <w:kern w:val="0"/>
                <w:sz w:val="22"/>
                <w:szCs w:val="22"/>
              </w:rPr>
              <w:t>采购标的及其对应的中小企业划分标准所属行业</w:t>
            </w:r>
          </w:p>
        </w:tc>
        <w:tc>
          <w:tcPr>
            <w:tcW w:w="6570" w:type="dxa"/>
            <w:tcBorders>
              <w:tl2br w:val="nil"/>
              <w:tr2bl w:val="nil"/>
            </w:tcBorders>
            <w:vAlign w:val="center"/>
          </w:tcPr>
          <w:p w14:paraId="5CB273BF">
            <w:pPr>
              <w:keepNext w:val="0"/>
              <w:keepLines w:val="0"/>
              <w:pageBreakBefore w:val="0"/>
              <w:widowControl w:val="0"/>
              <w:kinsoku/>
              <w:wordWrap w:val="0"/>
              <w:overflowPunct/>
              <w:topLinePunct w:val="0"/>
              <w:autoSpaceDE w:val="0"/>
              <w:autoSpaceDN w:val="0"/>
              <w:bidi w:val="0"/>
              <w:adjustRightInd/>
              <w:snapToGrid w:val="0"/>
              <w:spacing w:line="36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（1）标的：</w:t>
            </w:r>
            <w:r>
              <w:rPr>
                <w:rFonts w:hint="eastAsia" w:ascii="宋体" w:hAnsi="宋体" w:eastAsia="宋体" w:cs="宋体"/>
                <w:color w:val="auto"/>
                <w:kern w:val="0"/>
                <w:sz w:val="22"/>
                <w:szCs w:val="22"/>
                <w:u w:val="single"/>
              </w:rPr>
              <w:t xml:space="preserve"> 家庭养老床位建设</w:t>
            </w:r>
            <w:r>
              <w:rPr>
                <w:rFonts w:hint="eastAsia" w:cs="宋体"/>
                <w:color w:val="auto"/>
                <w:kern w:val="0"/>
                <w:sz w:val="22"/>
                <w:szCs w:val="22"/>
                <w:u w:val="single"/>
                <w:lang w:eastAsia="zh-CN"/>
              </w:rPr>
              <w:t>、</w:t>
            </w:r>
            <w:r>
              <w:rPr>
                <w:rFonts w:hint="eastAsia" w:ascii="宋体" w:hAnsi="宋体" w:eastAsia="宋体" w:cs="宋体"/>
                <w:color w:val="auto"/>
                <w:kern w:val="0"/>
                <w:sz w:val="22"/>
                <w:szCs w:val="22"/>
                <w:u w:val="single"/>
              </w:rPr>
              <w:t xml:space="preserve">居家上门服务 </w:t>
            </w:r>
            <w:r>
              <w:rPr>
                <w:rFonts w:hint="eastAsia" w:ascii="宋体" w:hAnsi="宋体" w:eastAsia="宋体" w:cs="宋体"/>
                <w:color w:val="auto"/>
                <w:kern w:val="0"/>
                <w:sz w:val="22"/>
                <w:szCs w:val="22"/>
              </w:rPr>
              <w:t>，</w:t>
            </w:r>
            <w:r>
              <w:rPr>
                <w:rFonts w:hint="eastAsia" w:cs="宋体"/>
                <w:color w:val="auto"/>
                <w:kern w:val="0"/>
                <w:sz w:val="22"/>
                <w:szCs w:val="22"/>
                <w:lang w:val="en-US" w:eastAsia="zh-CN"/>
              </w:rPr>
              <w:t>均</w:t>
            </w:r>
            <w:r>
              <w:rPr>
                <w:rFonts w:hint="eastAsia" w:ascii="宋体" w:hAnsi="宋体" w:eastAsia="宋体" w:cs="宋体"/>
                <w:color w:val="auto"/>
                <w:kern w:val="0"/>
                <w:sz w:val="22"/>
                <w:szCs w:val="22"/>
              </w:rPr>
              <w:t>属于</w:t>
            </w:r>
            <w:r>
              <w:rPr>
                <w:rFonts w:hint="eastAsia" w:ascii="宋体" w:hAnsi="宋体" w:eastAsia="宋体" w:cs="宋体"/>
                <w:color w:val="auto"/>
                <w:kern w:val="0"/>
                <w:sz w:val="22"/>
                <w:szCs w:val="22"/>
                <w:u w:val="single"/>
              </w:rPr>
              <w:t xml:space="preserve"> 其他未列明行业 </w:t>
            </w:r>
            <w:r>
              <w:rPr>
                <w:rFonts w:hint="eastAsia" w:ascii="宋体" w:hAnsi="宋体" w:eastAsia="宋体" w:cs="宋体"/>
                <w:color w:val="auto"/>
                <w:kern w:val="0"/>
                <w:sz w:val="22"/>
                <w:szCs w:val="22"/>
              </w:rPr>
              <w:t>；</w:t>
            </w:r>
          </w:p>
          <w:p w14:paraId="2717CFBD">
            <w:pPr>
              <w:pStyle w:val="6"/>
              <w:keepNext w:val="0"/>
              <w:keepLines w:val="0"/>
              <w:pageBreakBefore w:val="0"/>
              <w:widowControl w:val="0"/>
              <w:numPr>
                <w:ilvl w:val="0"/>
                <w:numId w:val="0"/>
              </w:numPr>
              <w:kinsoku/>
              <w:wordWrap w:val="0"/>
              <w:overflowPunct/>
              <w:topLinePunct w:val="0"/>
              <w:autoSpaceDE w:val="0"/>
              <w:autoSpaceDN w:val="0"/>
              <w:bidi w:val="0"/>
              <w:adjustRightInd/>
              <w:spacing w:line="360" w:lineRule="exact"/>
              <w:ind w:left="0" w:leftChars="0" w:right="0" w:rightChars="0" w:firstLine="0" w:firstLineChars="0"/>
              <w:jc w:val="both"/>
              <w:textAlignment w:val="auto"/>
              <w:rPr>
                <w:rFonts w:ascii="仿宋" w:hAnsi="仿宋" w:eastAsia="仿宋" w:cs="仿宋"/>
                <w:color w:val="auto"/>
                <w:sz w:val="22"/>
                <w:szCs w:val="22"/>
                <w:lang w:val="en-US"/>
              </w:rPr>
            </w:pPr>
            <w:r>
              <w:rPr>
                <w:rFonts w:hint="eastAsia" w:ascii="宋体" w:hAnsi="宋体" w:eastAsia="宋体" w:cs="宋体"/>
                <w:b w:val="0"/>
                <w:bCs w:val="0"/>
                <w:color w:val="auto"/>
                <w:kern w:val="0"/>
                <w:sz w:val="22"/>
                <w:szCs w:val="22"/>
                <w:lang w:val="en-US" w:eastAsia="zh-CN"/>
              </w:rPr>
              <w:t>（2）划型标准：</w:t>
            </w:r>
            <w:r>
              <w:rPr>
                <w:rFonts w:hint="eastAsia" w:ascii="宋体" w:hAnsi="宋体" w:eastAsia="宋体" w:cs="宋体"/>
                <w:b w:val="0"/>
                <w:bCs w:val="0"/>
                <w:color w:val="auto"/>
                <w:kern w:val="0"/>
                <w:sz w:val="22"/>
                <w:szCs w:val="22"/>
                <w:lang w:val="en-US"/>
              </w:rPr>
              <w:t>从业人员300人以下的为中小微型企业。其中，从业人员100人及以上的为中型企业；从业人员10人及以上的为小型企业；从业人员10人以下的为微型企业。</w:t>
            </w:r>
          </w:p>
        </w:tc>
      </w:tr>
      <w:tr w14:paraId="0E1D97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4C60CDCD">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eastAsia" w:ascii="仿宋" w:hAnsi="仿宋" w:eastAsia="仿宋" w:cs="仿宋"/>
                <w:color w:val="auto"/>
                <w:sz w:val="22"/>
                <w:szCs w:val="22"/>
                <w:lang w:eastAsia="zh-CN"/>
              </w:rPr>
            </w:pPr>
            <w:r>
              <w:rPr>
                <w:rFonts w:hint="eastAsia" w:cs="宋体"/>
                <w:b w:val="0"/>
                <w:bCs/>
                <w:color w:val="auto"/>
                <w:sz w:val="22"/>
                <w:szCs w:val="22"/>
                <w:lang w:val="en-US" w:eastAsia="zh-CN" w:bidi="zh-CN"/>
              </w:rPr>
              <w:t>6</w:t>
            </w:r>
          </w:p>
        </w:tc>
        <w:tc>
          <w:tcPr>
            <w:tcW w:w="1785" w:type="dxa"/>
            <w:tcBorders>
              <w:tl2br w:val="nil"/>
              <w:tr2bl w:val="nil"/>
            </w:tcBorders>
            <w:vAlign w:val="center"/>
          </w:tcPr>
          <w:p w14:paraId="689001D1">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lang w:val="en-US"/>
              </w:rPr>
            </w:pPr>
            <w:r>
              <w:rPr>
                <w:rFonts w:hint="eastAsia" w:ascii="宋体" w:hAnsi="宋体" w:eastAsia="宋体" w:cs="宋体"/>
                <w:b w:val="0"/>
                <w:bCs/>
                <w:color w:val="auto"/>
                <w:kern w:val="0"/>
                <w:sz w:val="22"/>
                <w:szCs w:val="22"/>
              </w:rPr>
              <w:t>采购方式</w:t>
            </w:r>
          </w:p>
        </w:tc>
        <w:tc>
          <w:tcPr>
            <w:tcW w:w="6570" w:type="dxa"/>
            <w:tcBorders>
              <w:tl2br w:val="nil"/>
              <w:tr2bl w:val="nil"/>
            </w:tcBorders>
            <w:vAlign w:val="center"/>
          </w:tcPr>
          <w:p w14:paraId="5086CF31">
            <w:pPr>
              <w:pStyle w:val="6"/>
              <w:keepNext w:val="0"/>
              <w:keepLines w:val="0"/>
              <w:pageBreakBefore w:val="0"/>
              <w:widowControl w:val="0"/>
              <w:numPr>
                <w:ilvl w:val="0"/>
                <w:numId w:val="0"/>
              </w:numPr>
              <w:kinsoku/>
              <w:wordWrap w:val="0"/>
              <w:overflowPunct/>
              <w:topLinePunct w:val="0"/>
              <w:autoSpaceDE w:val="0"/>
              <w:autoSpaceDN w:val="0"/>
              <w:bidi w:val="0"/>
              <w:adjustRightInd/>
              <w:spacing w:line="360" w:lineRule="exact"/>
              <w:ind w:left="0" w:leftChars="0" w:right="0" w:rightChars="0" w:firstLine="0" w:firstLineChars="0"/>
              <w:jc w:val="both"/>
              <w:textAlignment w:val="auto"/>
              <w:rPr>
                <w:rFonts w:hint="default" w:ascii="仿宋" w:hAnsi="仿宋" w:eastAsia="仿宋" w:cs="仿宋"/>
                <w:color w:val="auto"/>
                <w:spacing w:val="-2"/>
                <w:sz w:val="22"/>
                <w:szCs w:val="22"/>
                <w:lang w:val="en-US" w:eastAsia="zh-CN"/>
              </w:rPr>
            </w:pPr>
            <w:r>
              <w:rPr>
                <w:rFonts w:hint="eastAsia" w:cs="宋体"/>
                <w:b w:val="0"/>
                <w:bCs w:val="0"/>
                <w:color w:val="auto"/>
                <w:kern w:val="0"/>
                <w:sz w:val="22"/>
                <w:szCs w:val="22"/>
                <w:lang w:val="en-US" w:eastAsia="zh-CN"/>
              </w:rPr>
              <w:t>公开招标</w:t>
            </w:r>
          </w:p>
        </w:tc>
      </w:tr>
      <w:tr w14:paraId="6FD1CE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00D6A0B6">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宋体" w:hAnsi="宋体" w:eastAsia="宋体" w:cs="宋体"/>
                <w:b w:val="0"/>
                <w:bCs/>
                <w:color w:val="auto"/>
                <w:sz w:val="22"/>
                <w:szCs w:val="22"/>
                <w:lang w:val="en-US" w:eastAsia="zh-CN" w:bidi="zh-CN"/>
              </w:rPr>
            </w:pPr>
            <w:r>
              <w:rPr>
                <w:rFonts w:hint="eastAsia" w:cs="宋体"/>
                <w:b w:val="0"/>
                <w:bCs/>
                <w:color w:val="auto"/>
                <w:sz w:val="22"/>
                <w:szCs w:val="22"/>
                <w:lang w:val="en-US" w:eastAsia="zh-CN" w:bidi="zh-CN"/>
              </w:rPr>
              <w:t>7</w:t>
            </w:r>
          </w:p>
        </w:tc>
        <w:tc>
          <w:tcPr>
            <w:tcW w:w="1785" w:type="dxa"/>
            <w:tcBorders>
              <w:tl2br w:val="nil"/>
              <w:tr2bl w:val="nil"/>
            </w:tcBorders>
            <w:vAlign w:val="center"/>
          </w:tcPr>
          <w:p w14:paraId="0F8CE278">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是否允许采购进口产品</w:t>
            </w:r>
          </w:p>
        </w:tc>
        <w:tc>
          <w:tcPr>
            <w:tcW w:w="6570" w:type="dxa"/>
            <w:tcBorders>
              <w:tl2br w:val="nil"/>
              <w:tr2bl w:val="nil"/>
            </w:tcBorders>
            <w:vAlign w:val="center"/>
          </w:tcPr>
          <w:p w14:paraId="47E62CD9">
            <w:pPr>
              <w:pStyle w:val="6"/>
              <w:keepNext w:val="0"/>
              <w:keepLines w:val="0"/>
              <w:pageBreakBefore w:val="0"/>
              <w:widowControl w:val="0"/>
              <w:numPr>
                <w:ilvl w:val="0"/>
                <w:numId w:val="0"/>
              </w:numPr>
              <w:kinsoku/>
              <w:wordWrap w:val="0"/>
              <w:overflowPunct/>
              <w:topLinePunct w:val="0"/>
              <w:autoSpaceDE w:val="0"/>
              <w:autoSpaceDN w:val="0"/>
              <w:bidi w:val="0"/>
              <w:adjustRightInd/>
              <w:spacing w:line="360" w:lineRule="exact"/>
              <w:ind w:left="0" w:leftChars="0" w:right="0" w:rightChars="0" w:firstLine="0" w:firstLineChars="0"/>
              <w:jc w:val="both"/>
              <w:textAlignment w:val="auto"/>
              <w:rPr>
                <w:rFonts w:hint="eastAsia" w:cs="宋体"/>
                <w:b w:val="0"/>
                <w:bCs w:val="0"/>
                <w:color w:val="auto"/>
                <w:kern w:val="0"/>
                <w:sz w:val="22"/>
                <w:szCs w:val="22"/>
                <w:lang w:val="en-US" w:eastAsia="zh-CN"/>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cs="宋体"/>
                <w:b w:val="0"/>
                <w:bCs w:val="0"/>
                <w:color w:val="auto"/>
                <w:kern w:val="0"/>
                <w:sz w:val="22"/>
                <w:szCs w:val="22"/>
                <w:lang w:val="en-US" w:eastAsia="zh-CN"/>
              </w:rPr>
              <w:t>本项目不允许采购进口产品。</w:t>
            </w:r>
          </w:p>
          <w:p w14:paraId="0B1B8CF8">
            <w:pPr>
              <w:pStyle w:val="6"/>
              <w:keepNext w:val="0"/>
              <w:keepLines w:val="0"/>
              <w:pageBreakBefore w:val="0"/>
              <w:widowControl w:val="0"/>
              <w:numPr>
                <w:ilvl w:val="0"/>
                <w:numId w:val="0"/>
              </w:numPr>
              <w:kinsoku/>
              <w:wordWrap w:val="0"/>
              <w:overflowPunct/>
              <w:topLinePunct w:val="0"/>
              <w:autoSpaceDE w:val="0"/>
              <w:autoSpaceDN w:val="0"/>
              <w:bidi w:val="0"/>
              <w:adjustRightInd/>
              <w:spacing w:line="360" w:lineRule="exact"/>
              <w:ind w:left="0" w:leftChars="0" w:right="0" w:rightChars="0" w:firstLine="0" w:firstLineChars="0"/>
              <w:jc w:val="both"/>
              <w:textAlignment w:val="auto"/>
              <w:rPr>
                <w:rFonts w:hint="eastAsia" w:cs="宋体"/>
                <w:b w:val="0"/>
                <w:bCs w:val="0"/>
                <w:color w:val="auto"/>
                <w:kern w:val="0"/>
                <w:sz w:val="22"/>
                <w:szCs w:val="22"/>
                <w:lang w:val="en-US" w:eastAsia="zh-CN"/>
              </w:rPr>
            </w:pPr>
            <w:r>
              <w:rPr>
                <w:rFonts w:hint="eastAsia" w:cs="宋体"/>
                <w:b w:val="0"/>
                <w:bCs w:val="0"/>
                <w:color w:val="auto"/>
                <w:kern w:val="0"/>
                <w:sz w:val="22"/>
                <w:szCs w:val="22"/>
                <w:lang w:val="en-US" w:eastAsia="zh-CN"/>
              </w:rPr>
              <w:t>☐可以就</w:t>
            </w:r>
            <w:r>
              <w:rPr>
                <w:rFonts w:hint="eastAsia" w:cs="宋体"/>
                <w:b w:val="0"/>
                <w:bCs w:val="0"/>
                <w:color w:val="auto"/>
                <w:kern w:val="0"/>
                <w:sz w:val="22"/>
                <w:szCs w:val="22"/>
                <w:u w:val="single"/>
                <w:lang w:val="en-US" w:eastAsia="zh-CN"/>
              </w:rPr>
              <w:t xml:space="preserve">    </w:t>
            </w:r>
            <w:r>
              <w:rPr>
                <w:rFonts w:hint="eastAsia" w:cs="宋体"/>
                <w:b w:val="0"/>
                <w:bCs w:val="0"/>
                <w:color w:val="auto"/>
                <w:kern w:val="0"/>
                <w:sz w:val="22"/>
                <w:szCs w:val="22"/>
                <w:lang w:val="en-US" w:eastAsia="zh-CN"/>
              </w:rPr>
              <w:t>采购进口产品。</w:t>
            </w:r>
          </w:p>
        </w:tc>
      </w:tr>
      <w:tr w14:paraId="7D9478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315D5D4F">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cs="宋体"/>
                <w:b w:val="0"/>
                <w:bCs/>
                <w:color w:val="auto"/>
                <w:sz w:val="22"/>
                <w:szCs w:val="22"/>
                <w:lang w:val="en-US" w:eastAsia="zh-CN" w:bidi="zh-CN"/>
              </w:rPr>
            </w:pPr>
            <w:r>
              <w:rPr>
                <w:rFonts w:hint="eastAsia" w:cs="宋体"/>
                <w:b w:val="0"/>
                <w:bCs/>
                <w:color w:val="auto"/>
                <w:sz w:val="22"/>
                <w:szCs w:val="22"/>
                <w:lang w:val="en-US" w:eastAsia="zh-CN" w:bidi="zh-CN"/>
              </w:rPr>
              <w:t>8</w:t>
            </w:r>
          </w:p>
        </w:tc>
        <w:tc>
          <w:tcPr>
            <w:tcW w:w="1785" w:type="dxa"/>
            <w:tcBorders>
              <w:tl2br w:val="nil"/>
              <w:tr2bl w:val="nil"/>
            </w:tcBorders>
            <w:vAlign w:val="center"/>
          </w:tcPr>
          <w:p w14:paraId="47BCC814">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宋体" w:hAnsi="宋体" w:eastAsia="宋体" w:cs="宋体"/>
                <w:b w:val="0"/>
                <w:bCs/>
                <w:color w:val="auto"/>
                <w:kern w:val="0"/>
                <w:sz w:val="22"/>
                <w:szCs w:val="22"/>
                <w:lang w:val="en-US" w:eastAsia="zh-CN"/>
              </w:rPr>
            </w:pPr>
            <w:r>
              <w:rPr>
                <w:rFonts w:hint="eastAsia" w:cs="宋体"/>
                <w:b w:val="0"/>
                <w:bCs/>
                <w:color w:val="auto"/>
                <w:kern w:val="0"/>
                <w:sz w:val="22"/>
                <w:szCs w:val="22"/>
                <w:lang w:val="en-US" w:eastAsia="zh-CN"/>
              </w:rPr>
              <w:t>联合体投标</w:t>
            </w:r>
          </w:p>
        </w:tc>
        <w:tc>
          <w:tcPr>
            <w:tcW w:w="6570" w:type="dxa"/>
            <w:tcBorders>
              <w:tl2br w:val="nil"/>
              <w:tr2bl w:val="nil"/>
            </w:tcBorders>
            <w:vAlign w:val="center"/>
          </w:tcPr>
          <w:p w14:paraId="561CEA70">
            <w:pPr>
              <w:pStyle w:val="6"/>
              <w:keepNext w:val="0"/>
              <w:keepLines w:val="0"/>
              <w:pageBreakBefore w:val="0"/>
              <w:widowControl w:val="0"/>
              <w:numPr>
                <w:ilvl w:val="0"/>
                <w:numId w:val="0"/>
              </w:numPr>
              <w:kinsoku/>
              <w:wordWrap w:val="0"/>
              <w:overflowPunct/>
              <w:topLinePunct w:val="0"/>
              <w:autoSpaceDE w:val="0"/>
              <w:autoSpaceDN w:val="0"/>
              <w:bidi w:val="0"/>
              <w:adjustRightInd/>
              <w:spacing w:line="360" w:lineRule="exact"/>
              <w:ind w:left="0" w:leftChars="0" w:right="0" w:rightChars="0" w:firstLine="0" w:firstLineChars="0"/>
              <w:jc w:val="both"/>
              <w:textAlignment w:val="auto"/>
              <w:rPr>
                <w:rFonts w:hint="eastAsia" w:cs="宋体"/>
                <w:b w:val="0"/>
                <w:bCs w:val="0"/>
                <w:color w:val="auto"/>
                <w:kern w:val="0"/>
                <w:sz w:val="22"/>
                <w:szCs w:val="22"/>
                <w:lang w:val="en-US" w:eastAsia="zh-CN"/>
              </w:rPr>
            </w:pPr>
            <w:sdt>
              <w:sdtPr>
                <w:rPr>
                  <w:rFonts w:hint="eastAsia" w:ascii="宋体" w:hAnsi="宋体" w:cs="宋体"/>
                  <w:color w:val="auto"/>
                  <w:kern w:val="0"/>
                  <w:sz w:val="24"/>
                </w:rPr>
                <w:id w:val="14746251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32"/>
                    <w:lang w:val="zh-CN" w:eastAsia="zh-CN" w:bidi="zh-CN"/>
                  </w:rPr>
                  <w:t>þ</w:t>
                </w:r>
              </w:sdtContent>
            </w:sdt>
            <w:r>
              <w:rPr>
                <w:rFonts w:hint="eastAsia" w:cs="宋体"/>
                <w:b w:val="0"/>
                <w:bCs w:val="0"/>
                <w:color w:val="auto"/>
                <w:kern w:val="0"/>
                <w:sz w:val="22"/>
                <w:szCs w:val="22"/>
                <w:lang w:val="en-US" w:eastAsia="zh-CN"/>
              </w:rPr>
              <w:t>接受大中型企业与小微企业组成联合体。</w:t>
            </w:r>
          </w:p>
          <w:p w14:paraId="46EC5D77">
            <w:pPr>
              <w:pStyle w:val="6"/>
              <w:keepNext w:val="0"/>
              <w:keepLines w:val="0"/>
              <w:pageBreakBefore w:val="0"/>
              <w:widowControl w:val="0"/>
              <w:numPr>
                <w:ilvl w:val="0"/>
                <w:numId w:val="0"/>
              </w:numPr>
              <w:kinsoku/>
              <w:wordWrap w:val="0"/>
              <w:overflowPunct/>
              <w:topLinePunct w:val="0"/>
              <w:autoSpaceDE w:val="0"/>
              <w:autoSpaceDN w:val="0"/>
              <w:bidi w:val="0"/>
              <w:adjustRightInd/>
              <w:spacing w:line="360" w:lineRule="exact"/>
              <w:ind w:left="0" w:leftChars="0" w:right="0" w:rightChars="0" w:firstLine="0" w:firstLineChars="0"/>
              <w:jc w:val="both"/>
              <w:textAlignment w:val="auto"/>
              <w:rPr>
                <w:rFonts w:hint="eastAsia" w:cs="宋体"/>
                <w:b w:val="0"/>
                <w:bCs w:val="0"/>
                <w:color w:val="auto"/>
                <w:kern w:val="0"/>
                <w:sz w:val="22"/>
                <w:szCs w:val="22"/>
                <w:lang w:val="en-US" w:eastAsia="zh-CN"/>
              </w:rPr>
            </w:pPr>
            <w:sdt>
              <w:sdtPr>
                <w:rPr>
                  <w:rFonts w:hint="eastAsia" w:ascii="宋体" w:hAnsi="宋体" w:cs="宋体"/>
                  <w:color w:val="auto"/>
                  <w:kern w:val="0"/>
                  <w:sz w:val="24"/>
                </w:rPr>
                <w:id w:val="14748244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32"/>
                    <w:lang w:val="zh-CN" w:eastAsia="zh-CN" w:bidi="zh-CN"/>
                  </w:rPr>
                  <w:t>þ</w:t>
                </w:r>
              </w:sdtContent>
            </w:sdt>
            <w:r>
              <w:rPr>
                <w:rFonts w:hint="eastAsia" w:cs="宋体"/>
                <w:b w:val="0"/>
                <w:bCs w:val="0"/>
                <w:color w:val="auto"/>
                <w:kern w:val="0"/>
                <w:sz w:val="22"/>
                <w:szCs w:val="22"/>
                <w:lang w:val="en-US" w:eastAsia="zh-CN"/>
              </w:rPr>
              <w:t>接受其他形式的联合体。</w:t>
            </w:r>
          </w:p>
        </w:tc>
      </w:tr>
      <w:tr w14:paraId="18F8C1A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24EFDAEE">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宋体" w:hAnsi="宋体" w:eastAsia="宋体" w:cs="宋体"/>
                <w:b w:val="0"/>
                <w:bCs/>
                <w:color w:val="auto"/>
                <w:sz w:val="22"/>
                <w:szCs w:val="22"/>
                <w:lang w:val="en-US" w:eastAsia="zh-CN" w:bidi="zh-CN"/>
              </w:rPr>
            </w:pPr>
            <w:r>
              <w:rPr>
                <w:rFonts w:hint="eastAsia" w:cs="宋体"/>
                <w:b w:val="0"/>
                <w:bCs/>
                <w:color w:val="auto"/>
                <w:sz w:val="22"/>
                <w:szCs w:val="22"/>
                <w:lang w:val="en-US" w:eastAsia="zh-CN" w:bidi="zh-CN"/>
              </w:rPr>
              <w:t>9</w:t>
            </w:r>
          </w:p>
        </w:tc>
        <w:tc>
          <w:tcPr>
            <w:tcW w:w="1785" w:type="dxa"/>
            <w:tcBorders>
              <w:tl2br w:val="nil"/>
              <w:tr2bl w:val="nil"/>
            </w:tcBorders>
            <w:vAlign w:val="center"/>
          </w:tcPr>
          <w:p w14:paraId="0D7E8B34">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eastAsia" w:ascii="宋体" w:hAnsi="宋体" w:eastAsia="宋体" w:cs="宋体"/>
                <w:b w:val="0"/>
                <w:bCs/>
                <w:color w:val="auto"/>
                <w:sz w:val="22"/>
                <w:szCs w:val="22"/>
                <w:lang w:val="en-US" w:eastAsia="zh-CN" w:bidi="zh-CN"/>
              </w:rPr>
            </w:pPr>
            <w:r>
              <w:rPr>
                <w:rFonts w:hint="eastAsia" w:cs="宋体"/>
                <w:b w:val="0"/>
                <w:bCs/>
                <w:color w:val="auto"/>
                <w:sz w:val="22"/>
                <w:szCs w:val="22"/>
                <w:lang w:val="en-US" w:eastAsia="zh-CN"/>
              </w:rPr>
              <w:t>分包</w:t>
            </w:r>
          </w:p>
        </w:tc>
        <w:tc>
          <w:tcPr>
            <w:tcW w:w="6570" w:type="dxa"/>
            <w:tcBorders>
              <w:tl2br w:val="nil"/>
              <w:tr2bl w:val="nil"/>
            </w:tcBorders>
            <w:vAlign w:val="center"/>
          </w:tcPr>
          <w:p w14:paraId="0DB127EE">
            <w:pPr>
              <w:keepNext w:val="0"/>
              <w:keepLines w:val="0"/>
              <w:pageBreakBefore w:val="0"/>
              <w:widowControl w:val="0"/>
              <w:kinsoku/>
              <w:wordWrap w:val="0"/>
              <w:overflowPunct/>
              <w:topLinePunct w:val="0"/>
              <w:autoSpaceDE w:val="0"/>
              <w:autoSpaceDN w:val="0"/>
              <w:bidi w:val="0"/>
              <w:adjustRightInd/>
              <w:spacing w:line="360" w:lineRule="exact"/>
              <w:textAlignment w:val="auto"/>
              <w:rPr>
                <w:rFonts w:hint="eastAsia" w:ascii="宋体" w:hAnsi="宋体" w:eastAsia="宋体" w:cs="宋体"/>
                <w:color w:val="auto"/>
                <w:sz w:val="22"/>
                <w:szCs w:val="21"/>
              </w:rPr>
            </w:pPr>
            <w:sdt>
              <w:sdtPr>
                <w:rPr>
                  <w:rFonts w:hint="eastAsia" w:ascii="宋体" w:hAnsi="宋体" w:cs="宋体"/>
                  <w:color w:val="auto"/>
                  <w:kern w:val="0"/>
                  <w:sz w:val="24"/>
                </w:rPr>
                <w:id w:val="14747498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2"/>
                    <w:lang w:val="zh-CN" w:eastAsia="zh-CN" w:bidi="zh-CN"/>
                  </w:rPr>
                  <w:t>☐</w:t>
                </w:r>
              </w:sdtContent>
            </w:sdt>
            <w:r>
              <w:rPr>
                <w:rFonts w:hint="eastAsia" w:cs="宋体"/>
                <w:color w:val="auto"/>
                <w:kern w:val="0"/>
                <w:sz w:val="24"/>
                <w:lang w:val="en-US" w:eastAsia="zh-CN"/>
              </w:rPr>
              <w:t xml:space="preserve"> </w:t>
            </w:r>
            <w:r>
              <w:rPr>
                <w:rFonts w:hint="eastAsia" w:ascii="宋体" w:hAnsi="宋体" w:eastAsia="宋体" w:cs="宋体"/>
                <w:color w:val="auto"/>
                <w:kern w:val="0"/>
                <w:sz w:val="22"/>
                <w:szCs w:val="21"/>
              </w:rPr>
              <w:t>A</w:t>
            </w:r>
            <w:r>
              <w:rPr>
                <w:rFonts w:hint="eastAsia" w:ascii="宋体" w:hAnsi="宋体" w:eastAsia="宋体" w:cs="宋体"/>
                <w:color w:val="auto"/>
                <w:sz w:val="22"/>
                <w:szCs w:val="21"/>
              </w:rPr>
              <w:t>同意将非主体、非关键性的</w:t>
            </w:r>
            <w:r>
              <w:rPr>
                <w:rFonts w:hint="eastAsia" w:ascii="宋体" w:hAnsi="宋体" w:eastAsia="宋体" w:cs="宋体"/>
                <w:color w:val="auto"/>
                <w:sz w:val="22"/>
                <w:szCs w:val="21"/>
                <w:u w:val="single"/>
              </w:rPr>
              <w:t xml:space="preserve">             </w:t>
            </w:r>
            <w:r>
              <w:rPr>
                <w:rFonts w:hint="eastAsia" w:ascii="宋体" w:hAnsi="宋体" w:eastAsia="宋体" w:cs="宋体"/>
                <w:color w:val="auto"/>
                <w:sz w:val="22"/>
                <w:szCs w:val="21"/>
              </w:rPr>
              <w:t>工作分包。</w:t>
            </w:r>
          </w:p>
          <w:p w14:paraId="00A9A061">
            <w:pPr>
              <w:keepNext w:val="0"/>
              <w:keepLines w:val="0"/>
              <w:pageBreakBefore w:val="0"/>
              <w:widowControl w:val="0"/>
              <w:kinsoku/>
              <w:wordWrap w:val="0"/>
              <w:overflowPunct/>
              <w:topLinePunct w:val="0"/>
              <w:autoSpaceDE w:val="0"/>
              <w:autoSpaceDN w:val="0"/>
              <w:bidi w:val="0"/>
              <w:adjustRightInd/>
              <w:spacing w:line="360" w:lineRule="exact"/>
              <w:textAlignment w:val="auto"/>
              <w:rPr>
                <w:rFonts w:hint="eastAsia" w:ascii="宋体" w:hAnsi="宋体" w:eastAsia="宋体" w:cs="宋体"/>
                <w:color w:val="auto"/>
                <w:kern w:val="0"/>
                <w:sz w:val="22"/>
                <w:szCs w:val="22"/>
                <w:lang w:val="en-US" w:eastAsia="zh-CN" w:bidi="zh-CN"/>
              </w:rPr>
            </w:pPr>
            <w:sdt>
              <w:sdtPr>
                <w:rPr>
                  <w:rFonts w:hint="eastAsia" w:ascii="宋体" w:hAnsi="宋体" w:eastAsia="宋体" w:cs="宋体"/>
                  <w:color w:val="auto"/>
                  <w:kern w:val="0"/>
                  <w:sz w:val="22"/>
                  <w:szCs w:val="21"/>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1"/>
                </w:rPr>
              </w:sdtEndPr>
              <w:sdtContent>
                <w:r>
                  <w:rPr>
                    <w:rFonts w:hint="eastAsia" w:ascii="Wingdings" w:hAnsi="Wingdings" w:eastAsia="宋体" w:cs="宋体"/>
                    <w:color w:val="auto"/>
                    <w:kern w:val="0"/>
                    <w:sz w:val="22"/>
                    <w:szCs w:val="21"/>
                    <w:lang w:val="zh-CN" w:eastAsia="zh-CN" w:bidi="zh-CN"/>
                  </w:rPr>
                  <w:t>þ</w:t>
                </w:r>
              </w:sdtContent>
            </w:sdt>
            <w:r>
              <w:rPr>
                <w:rFonts w:hint="eastAsia" w:ascii="宋体" w:hAnsi="宋体" w:eastAsia="宋体" w:cs="宋体"/>
                <w:color w:val="auto"/>
                <w:kern w:val="0"/>
                <w:sz w:val="22"/>
                <w:szCs w:val="21"/>
              </w:rPr>
              <w:t xml:space="preserve"> B</w:t>
            </w:r>
            <w:r>
              <w:rPr>
                <w:rFonts w:hint="eastAsia" w:ascii="宋体" w:hAnsi="宋体" w:eastAsia="宋体" w:cs="宋体"/>
                <w:color w:val="auto"/>
                <w:sz w:val="22"/>
                <w:szCs w:val="21"/>
              </w:rPr>
              <w:t>不同意分包。</w:t>
            </w:r>
          </w:p>
        </w:tc>
      </w:tr>
      <w:tr w14:paraId="146AD8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0522EFCD">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仿宋" w:hAnsi="仿宋" w:eastAsia="仿宋" w:cs="仿宋"/>
                <w:color w:val="auto"/>
                <w:sz w:val="22"/>
                <w:szCs w:val="22"/>
                <w:lang w:val="en-US"/>
              </w:rPr>
            </w:pPr>
            <w:r>
              <w:rPr>
                <w:rFonts w:hint="eastAsia" w:cs="宋体"/>
                <w:b w:val="0"/>
                <w:bCs/>
                <w:color w:val="auto"/>
                <w:sz w:val="22"/>
                <w:szCs w:val="22"/>
                <w:lang w:val="en-US" w:eastAsia="zh-CN"/>
              </w:rPr>
              <w:t>10</w:t>
            </w:r>
          </w:p>
        </w:tc>
        <w:tc>
          <w:tcPr>
            <w:tcW w:w="1785" w:type="dxa"/>
            <w:tcBorders>
              <w:tl2br w:val="nil"/>
              <w:tr2bl w:val="nil"/>
            </w:tcBorders>
            <w:vAlign w:val="center"/>
          </w:tcPr>
          <w:p w14:paraId="403625A0">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lang w:val="en-US"/>
              </w:rPr>
            </w:pPr>
            <w:r>
              <w:rPr>
                <w:rFonts w:hint="eastAsia" w:ascii="宋体" w:hAnsi="宋体" w:eastAsia="宋体" w:cs="宋体"/>
                <w:b w:val="0"/>
                <w:bCs/>
                <w:color w:val="auto"/>
                <w:sz w:val="22"/>
                <w:szCs w:val="22"/>
              </w:rPr>
              <w:t>开标前答疑会或现场考察</w:t>
            </w:r>
          </w:p>
        </w:tc>
        <w:tc>
          <w:tcPr>
            <w:tcW w:w="6570" w:type="dxa"/>
            <w:tcBorders>
              <w:tl2br w:val="nil"/>
              <w:tr2bl w:val="nil"/>
            </w:tcBorders>
            <w:vAlign w:val="center"/>
          </w:tcPr>
          <w:p w14:paraId="6FC0D510">
            <w:pPr>
              <w:keepNext w:val="0"/>
              <w:keepLines w:val="0"/>
              <w:pageBreakBefore w:val="0"/>
              <w:widowControl w:val="0"/>
              <w:kinsoku/>
              <w:wordWrap w:val="0"/>
              <w:overflowPunct/>
              <w:topLinePunct w:val="0"/>
              <w:autoSpaceDE w:val="0"/>
              <w:autoSpaceDN w:val="0"/>
              <w:bidi w:val="0"/>
              <w:adjustRightInd/>
              <w:spacing w:line="360" w:lineRule="exact"/>
              <w:textAlignment w:val="auto"/>
              <w:rPr>
                <w:rFonts w:hint="eastAsia" w:ascii="宋体" w:hAnsi="宋体" w:eastAsia="宋体" w:cs="宋体"/>
                <w:color w:val="auto"/>
                <w:sz w:val="22"/>
                <w:szCs w:val="22"/>
              </w:rPr>
            </w:pPr>
            <w:sdt>
              <w:sdtPr>
                <w:rPr>
                  <w:rFonts w:hint="eastAsia" w:ascii="宋体" w:hAnsi="宋体" w:eastAsia="宋体" w:cs="宋体"/>
                  <w:color w:val="auto"/>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rPr>
              </w:sdtEndPr>
              <w:sdtContent>
                <w:r>
                  <w:rPr>
                    <w:rFonts w:hint="eastAsia" w:ascii="Wingdings" w:hAnsi="Wingdings" w:eastAsia="宋体" w:cs="宋体"/>
                    <w:color w:val="auto"/>
                    <w:kern w:val="0"/>
                    <w:sz w:val="22"/>
                    <w:szCs w:val="22"/>
                    <w:lang w:val="zh-CN" w:eastAsia="zh-CN" w:bidi="zh-CN"/>
                  </w:rPr>
                  <w:t>þ</w:t>
                </w:r>
              </w:sdtContent>
            </w:sdt>
            <w:r>
              <w:rPr>
                <w:rFonts w:hint="eastAsia" w:ascii="宋体" w:hAnsi="宋体" w:eastAsia="宋体" w:cs="宋体"/>
                <w:color w:val="auto"/>
                <w:kern w:val="0"/>
                <w:sz w:val="22"/>
                <w:szCs w:val="22"/>
              </w:rPr>
              <w:t>A</w:t>
            </w:r>
            <w:r>
              <w:rPr>
                <w:rFonts w:hint="eastAsia" w:ascii="宋体" w:hAnsi="宋体" w:eastAsia="宋体" w:cs="宋体"/>
                <w:color w:val="auto"/>
                <w:sz w:val="22"/>
                <w:szCs w:val="22"/>
              </w:rPr>
              <w:t>不组织。</w:t>
            </w:r>
          </w:p>
          <w:p w14:paraId="2008884B">
            <w:pPr>
              <w:keepNext w:val="0"/>
              <w:keepLines w:val="0"/>
              <w:pageBreakBefore w:val="0"/>
              <w:widowControl w:val="0"/>
              <w:kinsoku/>
              <w:wordWrap w:val="0"/>
              <w:overflowPunct/>
              <w:topLinePunct w:val="0"/>
              <w:autoSpaceDE w:val="0"/>
              <w:autoSpaceDN w:val="0"/>
              <w:bidi w:val="0"/>
              <w:adjustRightInd/>
              <w:spacing w:line="360" w:lineRule="exact"/>
              <w:textAlignment w:val="auto"/>
              <w:rPr>
                <w:rFonts w:ascii="仿宋" w:hAnsi="仿宋" w:eastAsia="仿宋" w:cs="仿宋"/>
                <w:color w:val="auto"/>
                <w:spacing w:val="-2"/>
                <w:sz w:val="22"/>
                <w:szCs w:val="22"/>
                <w:lang w:val="en-US"/>
              </w:rPr>
            </w:pPr>
            <w:sdt>
              <w:sdtPr>
                <w:rPr>
                  <w:rFonts w:hint="eastAsia" w:ascii="宋体" w:hAnsi="宋体" w:eastAsia="宋体" w:cs="宋体"/>
                  <w:color w:val="auto"/>
                  <w:kern w:val="0"/>
                  <w:sz w:val="22"/>
                  <w:szCs w:val="22"/>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rPr>
              </w:sdtEndPr>
              <w:sdtContent>
                <w:r>
                  <w:rPr>
                    <w:rFonts w:hint="eastAsia" w:ascii="宋体" w:hAnsi="宋体" w:eastAsia="宋体" w:cs="宋体"/>
                    <w:color w:val="auto"/>
                    <w:kern w:val="0"/>
                    <w:sz w:val="22"/>
                    <w:szCs w:val="22"/>
                  </w:rPr>
                  <w:t>☐</w:t>
                </w:r>
              </w:sdtContent>
            </w:sdt>
            <w:r>
              <w:rPr>
                <w:rFonts w:hint="eastAsia" w:ascii="宋体" w:hAnsi="宋体" w:eastAsia="宋体" w:cs="宋体"/>
                <w:color w:val="auto"/>
                <w:kern w:val="0"/>
                <w:sz w:val="22"/>
                <w:szCs w:val="22"/>
              </w:rPr>
              <w:t>B组织，</w:t>
            </w:r>
            <w:r>
              <w:rPr>
                <w:rFonts w:hint="eastAsia" w:ascii="宋体" w:hAnsi="宋体" w:eastAsia="宋体" w:cs="宋体"/>
                <w:color w:val="auto"/>
                <w:sz w:val="22"/>
                <w:szCs w:val="22"/>
              </w:rPr>
              <w:t>时间：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,地点：</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，联系人：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，联系方式：</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tc>
      </w:tr>
      <w:tr w14:paraId="45C79A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116BA38E">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仿宋" w:hAnsi="仿宋" w:eastAsia="仿宋" w:cs="仿宋"/>
                <w:color w:val="auto"/>
                <w:sz w:val="22"/>
                <w:szCs w:val="22"/>
                <w:lang w:val="en-US"/>
              </w:rPr>
            </w:pPr>
            <w:r>
              <w:rPr>
                <w:rFonts w:hint="eastAsia" w:cs="宋体"/>
                <w:b w:val="0"/>
                <w:bCs/>
                <w:color w:val="auto"/>
                <w:sz w:val="22"/>
                <w:szCs w:val="22"/>
                <w:lang w:val="en-US" w:eastAsia="zh-CN"/>
              </w:rPr>
              <w:t>11</w:t>
            </w:r>
          </w:p>
        </w:tc>
        <w:tc>
          <w:tcPr>
            <w:tcW w:w="1785" w:type="dxa"/>
            <w:tcBorders>
              <w:tl2br w:val="nil"/>
              <w:tr2bl w:val="nil"/>
            </w:tcBorders>
            <w:vAlign w:val="center"/>
          </w:tcPr>
          <w:p w14:paraId="31DEBC9A">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lang w:val="en-US"/>
              </w:rPr>
            </w:pPr>
            <w:r>
              <w:rPr>
                <w:rFonts w:hint="eastAsia" w:ascii="宋体" w:hAnsi="宋体" w:eastAsia="宋体" w:cs="宋体"/>
                <w:b w:val="0"/>
                <w:bCs/>
                <w:color w:val="auto"/>
                <w:kern w:val="0"/>
                <w:sz w:val="22"/>
                <w:szCs w:val="22"/>
              </w:rPr>
              <w:t>投标保证金</w:t>
            </w:r>
          </w:p>
        </w:tc>
        <w:tc>
          <w:tcPr>
            <w:tcW w:w="6570" w:type="dxa"/>
            <w:tcBorders>
              <w:tl2br w:val="nil"/>
              <w:tr2bl w:val="nil"/>
            </w:tcBorders>
            <w:vAlign w:val="center"/>
          </w:tcPr>
          <w:p w14:paraId="34F42049">
            <w:pPr>
              <w:pStyle w:val="6"/>
              <w:keepNext w:val="0"/>
              <w:keepLines w:val="0"/>
              <w:pageBreakBefore w:val="0"/>
              <w:widowControl w:val="0"/>
              <w:numPr>
                <w:ilvl w:val="0"/>
                <w:numId w:val="0"/>
              </w:numPr>
              <w:kinsoku/>
              <w:wordWrap w:val="0"/>
              <w:overflowPunct/>
              <w:topLinePunct w:val="0"/>
              <w:autoSpaceDE w:val="0"/>
              <w:autoSpaceDN w:val="0"/>
              <w:bidi w:val="0"/>
              <w:adjustRightInd/>
              <w:spacing w:line="360" w:lineRule="exact"/>
              <w:ind w:left="0" w:leftChars="0" w:right="0" w:rightChars="0" w:firstLine="0" w:firstLineChars="0"/>
              <w:jc w:val="both"/>
              <w:textAlignment w:val="auto"/>
              <w:rPr>
                <w:rFonts w:ascii="仿宋" w:hAnsi="仿宋" w:eastAsia="仿宋" w:cs="仿宋"/>
                <w:color w:val="auto"/>
                <w:spacing w:val="-2"/>
                <w:sz w:val="22"/>
                <w:szCs w:val="22"/>
                <w:lang w:val="en-US"/>
              </w:rPr>
            </w:pPr>
            <w:r>
              <w:rPr>
                <w:rFonts w:hint="eastAsia" w:ascii="宋体" w:hAnsi="宋体" w:eastAsia="宋体" w:cs="宋体"/>
                <w:b w:val="0"/>
                <w:bCs w:val="0"/>
                <w:color w:val="auto"/>
                <w:kern w:val="0"/>
                <w:sz w:val="22"/>
                <w:szCs w:val="22"/>
                <w:lang w:val="en-US" w:eastAsia="zh-CN"/>
              </w:rPr>
              <w:t>本项目无须缴纳投标保证金</w:t>
            </w:r>
          </w:p>
        </w:tc>
      </w:tr>
      <w:tr w14:paraId="5A46ED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0F6697DC">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仿宋" w:hAnsi="仿宋" w:eastAsia="仿宋" w:cs="仿宋"/>
                <w:color w:val="auto"/>
                <w:sz w:val="22"/>
                <w:szCs w:val="22"/>
                <w:lang w:val="en-US"/>
              </w:rPr>
            </w:pPr>
            <w:r>
              <w:rPr>
                <w:rFonts w:hint="eastAsia" w:cs="宋体"/>
                <w:b w:val="0"/>
                <w:bCs/>
                <w:color w:val="auto"/>
                <w:sz w:val="22"/>
                <w:szCs w:val="22"/>
                <w:lang w:val="en-US" w:eastAsia="zh-CN"/>
              </w:rPr>
              <w:t>12</w:t>
            </w:r>
          </w:p>
        </w:tc>
        <w:tc>
          <w:tcPr>
            <w:tcW w:w="1785" w:type="dxa"/>
            <w:tcBorders>
              <w:tl2br w:val="nil"/>
              <w:tr2bl w:val="nil"/>
            </w:tcBorders>
            <w:vAlign w:val="center"/>
          </w:tcPr>
          <w:p w14:paraId="1C2BBC90">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仿宋" w:hAnsi="仿宋" w:eastAsia="仿宋" w:cs="仿宋"/>
                <w:color w:val="auto"/>
                <w:sz w:val="22"/>
                <w:szCs w:val="22"/>
                <w:lang w:val="en-US" w:eastAsia="zh-CN"/>
              </w:rPr>
            </w:pPr>
            <w:r>
              <w:rPr>
                <w:rFonts w:hint="eastAsia" w:ascii="宋体" w:hAnsi="宋体" w:eastAsia="宋体" w:cs="宋体"/>
                <w:b w:val="0"/>
                <w:bCs/>
                <w:color w:val="auto"/>
                <w:kern w:val="0"/>
                <w:sz w:val="22"/>
                <w:szCs w:val="22"/>
              </w:rPr>
              <w:t>投标响应截止时间</w:t>
            </w:r>
          </w:p>
        </w:tc>
        <w:tc>
          <w:tcPr>
            <w:tcW w:w="6570" w:type="dxa"/>
            <w:tcBorders>
              <w:tl2br w:val="nil"/>
              <w:tr2bl w:val="nil"/>
            </w:tcBorders>
            <w:vAlign w:val="center"/>
          </w:tcPr>
          <w:p w14:paraId="548F1F91">
            <w:pPr>
              <w:pStyle w:val="6"/>
              <w:keepNext w:val="0"/>
              <w:keepLines w:val="0"/>
              <w:pageBreakBefore w:val="0"/>
              <w:widowControl w:val="0"/>
              <w:numPr>
                <w:ilvl w:val="0"/>
                <w:numId w:val="0"/>
              </w:numPr>
              <w:kinsoku/>
              <w:wordWrap w:val="0"/>
              <w:overflowPunct/>
              <w:topLinePunct w:val="0"/>
              <w:autoSpaceDE w:val="0"/>
              <w:autoSpaceDN w:val="0"/>
              <w:bidi w:val="0"/>
              <w:adjustRightInd/>
              <w:spacing w:line="360" w:lineRule="exact"/>
              <w:ind w:left="0" w:leftChars="0" w:right="0" w:rightChars="0" w:firstLine="0" w:firstLineChars="0"/>
              <w:jc w:val="both"/>
              <w:textAlignment w:val="auto"/>
              <w:rPr>
                <w:rFonts w:hint="default" w:ascii="仿宋" w:hAnsi="仿宋" w:eastAsia="仿宋" w:cs="仿宋"/>
                <w:color w:val="auto"/>
                <w:spacing w:val="-2"/>
                <w:sz w:val="22"/>
                <w:szCs w:val="22"/>
                <w:lang w:val="en-US" w:eastAsia="zh-CN"/>
              </w:rPr>
            </w:pPr>
            <w:r>
              <w:rPr>
                <w:rFonts w:hint="eastAsia" w:ascii="宋体" w:hAnsi="宋体" w:eastAsia="宋体" w:cs="宋体"/>
                <w:b w:val="0"/>
                <w:bCs w:val="0"/>
                <w:color w:val="auto"/>
                <w:kern w:val="0"/>
                <w:sz w:val="22"/>
                <w:szCs w:val="22"/>
                <w:lang w:val="en-US"/>
              </w:rPr>
              <w:t>202</w:t>
            </w:r>
            <w:r>
              <w:rPr>
                <w:rFonts w:hint="eastAsia" w:ascii="宋体" w:hAnsi="宋体" w:eastAsia="宋体" w:cs="宋体"/>
                <w:b w:val="0"/>
                <w:bCs w:val="0"/>
                <w:color w:val="auto"/>
                <w:kern w:val="0"/>
                <w:sz w:val="22"/>
                <w:szCs w:val="22"/>
                <w:lang w:val="en-US" w:eastAsia="zh-CN"/>
              </w:rPr>
              <w:t>4</w:t>
            </w:r>
            <w:r>
              <w:rPr>
                <w:rFonts w:hint="eastAsia" w:ascii="宋体" w:hAnsi="宋体" w:eastAsia="宋体" w:cs="宋体"/>
                <w:b w:val="0"/>
                <w:bCs w:val="0"/>
                <w:color w:val="auto"/>
                <w:kern w:val="0"/>
                <w:sz w:val="22"/>
                <w:szCs w:val="22"/>
                <w:lang w:val="en-US"/>
              </w:rPr>
              <w:t>年</w:t>
            </w:r>
            <w:r>
              <w:rPr>
                <w:rFonts w:hint="eastAsia" w:cs="宋体"/>
                <w:b w:val="0"/>
                <w:bCs w:val="0"/>
                <w:color w:val="auto"/>
                <w:kern w:val="0"/>
                <w:sz w:val="22"/>
                <w:szCs w:val="22"/>
                <w:lang w:val="en-US" w:eastAsia="zh-CN"/>
              </w:rPr>
              <w:t>10</w:t>
            </w:r>
            <w:r>
              <w:rPr>
                <w:rFonts w:hint="eastAsia" w:ascii="宋体" w:hAnsi="宋体" w:eastAsia="宋体" w:cs="宋体"/>
                <w:b w:val="0"/>
                <w:bCs w:val="0"/>
                <w:color w:val="auto"/>
                <w:kern w:val="0"/>
                <w:sz w:val="22"/>
                <w:szCs w:val="22"/>
                <w:lang w:val="en-US"/>
              </w:rPr>
              <w:t>月</w:t>
            </w:r>
            <w:r>
              <w:rPr>
                <w:rFonts w:hint="eastAsia" w:cs="宋体"/>
                <w:b w:val="0"/>
                <w:bCs w:val="0"/>
                <w:color w:val="auto"/>
                <w:kern w:val="0"/>
                <w:sz w:val="22"/>
                <w:szCs w:val="22"/>
                <w:lang w:val="en-US" w:eastAsia="zh-CN"/>
              </w:rPr>
              <w:t>21</w:t>
            </w:r>
            <w:r>
              <w:rPr>
                <w:rFonts w:hint="eastAsia" w:ascii="宋体" w:hAnsi="宋体" w:eastAsia="宋体" w:cs="宋体"/>
                <w:b w:val="0"/>
                <w:bCs w:val="0"/>
                <w:color w:val="auto"/>
                <w:kern w:val="0"/>
                <w:sz w:val="22"/>
                <w:szCs w:val="22"/>
                <w:lang w:val="en-US"/>
              </w:rPr>
              <w:t>日</w:t>
            </w:r>
            <w:r>
              <w:rPr>
                <w:rFonts w:hint="eastAsia" w:cs="宋体"/>
                <w:b w:val="0"/>
                <w:bCs w:val="0"/>
                <w:color w:val="auto"/>
                <w:kern w:val="0"/>
                <w:sz w:val="22"/>
                <w:szCs w:val="22"/>
                <w:lang w:val="en-US" w:eastAsia="zh-CN"/>
              </w:rPr>
              <w:t>09</w:t>
            </w:r>
            <w:r>
              <w:rPr>
                <w:rFonts w:hint="eastAsia" w:ascii="宋体" w:hAnsi="宋体" w:eastAsia="宋体" w:cs="宋体"/>
                <w:b w:val="0"/>
                <w:bCs w:val="0"/>
                <w:color w:val="auto"/>
                <w:kern w:val="0"/>
                <w:sz w:val="22"/>
                <w:szCs w:val="22"/>
                <w:lang w:val="en-US"/>
              </w:rPr>
              <w:t>时30分</w:t>
            </w:r>
          </w:p>
        </w:tc>
      </w:tr>
      <w:tr w14:paraId="4872F4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6EA14ACE">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color w:val="auto"/>
                <w:sz w:val="21"/>
                <w:szCs w:val="21"/>
                <w:lang w:val="en-US"/>
              </w:rPr>
            </w:pPr>
            <w:r>
              <w:rPr>
                <w:rFonts w:hint="eastAsia" w:cs="宋体"/>
                <w:b w:val="0"/>
                <w:bCs/>
                <w:color w:val="auto"/>
                <w:sz w:val="22"/>
                <w:szCs w:val="22"/>
                <w:lang w:val="en-US" w:eastAsia="zh-CN"/>
              </w:rPr>
              <w:t>13</w:t>
            </w:r>
          </w:p>
        </w:tc>
        <w:tc>
          <w:tcPr>
            <w:tcW w:w="1785" w:type="dxa"/>
            <w:tcBorders>
              <w:tl2br w:val="nil"/>
              <w:tr2bl w:val="nil"/>
            </w:tcBorders>
            <w:vAlign w:val="center"/>
          </w:tcPr>
          <w:p w14:paraId="516CEA05">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color w:val="auto"/>
                <w:sz w:val="21"/>
                <w:szCs w:val="21"/>
              </w:rPr>
            </w:pPr>
            <w:r>
              <w:rPr>
                <w:rFonts w:hint="eastAsia" w:ascii="宋体" w:hAnsi="宋体" w:eastAsia="宋体" w:cs="宋体"/>
                <w:b w:val="0"/>
                <w:bCs/>
                <w:color w:val="auto"/>
                <w:kern w:val="0"/>
                <w:sz w:val="22"/>
                <w:szCs w:val="22"/>
              </w:rPr>
              <w:t>投标有效期</w:t>
            </w:r>
          </w:p>
        </w:tc>
        <w:tc>
          <w:tcPr>
            <w:tcW w:w="6570" w:type="dxa"/>
            <w:tcBorders>
              <w:tl2br w:val="nil"/>
              <w:tr2bl w:val="nil"/>
            </w:tcBorders>
            <w:vAlign w:val="center"/>
          </w:tcPr>
          <w:p w14:paraId="7CAE2562">
            <w:pPr>
              <w:pStyle w:val="6"/>
              <w:keepNext w:val="0"/>
              <w:keepLines w:val="0"/>
              <w:pageBreakBefore w:val="0"/>
              <w:widowControl w:val="0"/>
              <w:numPr>
                <w:ilvl w:val="0"/>
                <w:numId w:val="0"/>
              </w:numPr>
              <w:kinsoku/>
              <w:wordWrap w:val="0"/>
              <w:overflowPunct/>
              <w:topLinePunct w:val="0"/>
              <w:autoSpaceDE w:val="0"/>
              <w:autoSpaceDN w:val="0"/>
              <w:bidi w:val="0"/>
              <w:adjustRightInd/>
              <w:spacing w:line="360" w:lineRule="exact"/>
              <w:ind w:left="0" w:leftChars="0" w:right="0" w:rightChars="0" w:firstLine="0" w:firstLineChars="0"/>
              <w:jc w:val="both"/>
              <w:textAlignment w:val="auto"/>
              <w:rPr>
                <w:rFonts w:hint="eastAsia" w:ascii="仿宋" w:hAnsi="仿宋" w:eastAsia="仿宋" w:cs="仿宋"/>
                <w:color w:val="auto"/>
                <w:spacing w:val="-2"/>
                <w:sz w:val="22"/>
                <w:szCs w:val="22"/>
                <w:lang w:val="en-US" w:eastAsia="zh-CN"/>
              </w:rPr>
            </w:pPr>
            <w:r>
              <w:rPr>
                <w:rFonts w:hint="eastAsia" w:cs="宋体"/>
                <w:b w:val="0"/>
                <w:bCs w:val="0"/>
                <w:color w:val="auto"/>
                <w:kern w:val="0"/>
                <w:sz w:val="22"/>
                <w:szCs w:val="22"/>
                <w:lang w:val="en-US" w:eastAsia="zh-CN"/>
              </w:rPr>
              <w:t>提交投标文件的截止之日起90天</w:t>
            </w:r>
          </w:p>
        </w:tc>
      </w:tr>
      <w:tr w14:paraId="47C104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6B9EDDA1">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仿宋" w:hAnsi="仿宋" w:eastAsia="仿宋" w:cs="仿宋"/>
                <w:color w:val="auto"/>
                <w:sz w:val="22"/>
                <w:szCs w:val="22"/>
                <w:lang w:val="en-US"/>
              </w:rPr>
            </w:pPr>
            <w:r>
              <w:rPr>
                <w:rFonts w:hint="eastAsia" w:cs="宋体"/>
                <w:b w:val="0"/>
                <w:bCs/>
                <w:color w:val="auto"/>
                <w:sz w:val="22"/>
                <w:szCs w:val="22"/>
                <w:lang w:val="en-US" w:eastAsia="zh-CN"/>
              </w:rPr>
              <w:t>14</w:t>
            </w:r>
          </w:p>
        </w:tc>
        <w:tc>
          <w:tcPr>
            <w:tcW w:w="1785" w:type="dxa"/>
            <w:tcBorders>
              <w:tl2br w:val="nil"/>
              <w:tr2bl w:val="nil"/>
            </w:tcBorders>
            <w:vAlign w:val="center"/>
          </w:tcPr>
          <w:p w14:paraId="45010A17">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lang w:val="en-US"/>
              </w:rPr>
            </w:pPr>
            <w:r>
              <w:rPr>
                <w:rFonts w:hint="eastAsia" w:ascii="宋体" w:hAnsi="宋体" w:eastAsia="宋体" w:cs="宋体"/>
                <w:b w:val="0"/>
                <w:bCs/>
                <w:color w:val="auto"/>
                <w:kern w:val="0"/>
                <w:sz w:val="22"/>
                <w:szCs w:val="22"/>
              </w:rPr>
              <w:t>评审结果公示</w:t>
            </w:r>
          </w:p>
        </w:tc>
        <w:tc>
          <w:tcPr>
            <w:tcW w:w="6570" w:type="dxa"/>
            <w:tcBorders>
              <w:tl2br w:val="nil"/>
              <w:tr2bl w:val="nil"/>
            </w:tcBorders>
            <w:vAlign w:val="center"/>
          </w:tcPr>
          <w:p w14:paraId="7676EF4A">
            <w:pPr>
              <w:pStyle w:val="6"/>
              <w:keepNext w:val="0"/>
              <w:keepLines w:val="0"/>
              <w:pageBreakBefore w:val="0"/>
              <w:widowControl w:val="0"/>
              <w:numPr>
                <w:ilvl w:val="0"/>
                <w:numId w:val="0"/>
              </w:numPr>
              <w:kinsoku/>
              <w:wordWrap w:val="0"/>
              <w:overflowPunct/>
              <w:topLinePunct w:val="0"/>
              <w:autoSpaceDE w:val="0"/>
              <w:autoSpaceDN w:val="0"/>
              <w:bidi w:val="0"/>
              <w:adjustRightInd/>
              <w:spacing w:line="360" w:lineRule="exact"/>
              <w:ind w:left="0" w:leftChars="0" w:right="0" w:rightChars="0" w:firstLine="0" w:firstLineChars="0"/>
              <w:jc w:val="both"/>
              <w:textAlignment w:val="auto"/>
              <w:rPr>
                <w:rFonts w:ascii="仿宋" w:hAnsi="仿宋" w:eastAsia="仿宋" w:cs="仿宋"/>
                <w:color w:val="auto"/>
                <w:spacing w:val="-2"/>
                <w:sz w:val="22"/>
                <w:szCs w:val="22"/>
                <w:lang w:val="en-US"/>
              </w:rPr>
            </w:pPr>
            <w:r>
              <w:rPr>
                <w:rFonts w:hint="eastAsia" w:ascii="宋体" w:hAnsi="宋体" w:eastAsia="宋体" w:cs="宋体"/>
                <w:b w:val="0"/>
                <w:bCs w:val="0"/>
                <w:color w:val="auto"/>
                <w:kern w:val="0"/>
                <w:sz w:val="22"/>
                <w:szCs w:val="22"/>
                <w:lang w:val="en-US" w:eastAsia="zh-CN"/>
              </w:rPr>
              <w:t>中标（成交）结果公示于浙江省政府采购网、苍南县公共资源交易中心网同步发布。</w:t>
            </w:r>
          </w:p>
        </w:tc>
      </w:tr>
      <w:tr w14:paraId="738F75B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098A799D">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仿宋" w:hAnsi="仿宋" w:eastAsia="仿宋" w:cs="仿宋"/>
                <w:color w:val="auto"/>
                <w:sz w:val="22"/>
                <w:szCs w:val="22"/>
                <w:lang w:val="en-US"/>
              </w:rPr>
            </w:pPr>
            <w:r>
              <w:rPr>
                <w:rFonts w:hint="eastAsia" w:cs="宋体"/>
                <w:b w:val="0"/>
                <w:bCs/>
                <w:color w:val="auto"/>
                <w:sz w:val="22"/>
                <w:szCs w:val="22"/>
                <w:lang w:val="en-US" w:eastAsia="zh-CN"/>
              </w:rPr>
              <w:t>15</w:t>
            </w:r>
          </w:p>
        </w:tc>
        <w:tc>
          <w:tcPr>
            <w:tcW w:w="1785" w:type="dxa"/>
            <w:tcBorders>
              <w:tl2br w:val="nil"/>
              <w:tr2bl w:val="nil"/>
            </w:tcBorders>
            <w:vAlign w:val="center"/>
          </w:tcPr>
          <w:p w14:paraId="5ACEA760">
            <w:pPr>
              <w:pStyle w:val="39"/>
              <w:keepNext w:val="0"/>
              <w:keepLines w:val="0"/>
              <w:pageBreakBefore w:val="0"/>
              <w:widowControl w:val="0"/>
              <w:kinsoku/>
              <w:wordWrap w:val="0"/>
              <w:overflowPunct/>
              <w:topLinePunct w:val="0"/>
              <w:autoSpaceDE w:val="0"/>
              <w:autoSpaceDN w:val="0"/>
              <w:bidi w:val="0"/>
              <w:adjustRightInd/>
              <w:snapToGrid/>
              <w:spacing w:line="360" w:lineRule="exact"/>
              <w:jc w:val="center"/>
              <w:textAlignment w:val="auto"/>
              <w:outlineLvl w:val="9"/>
              <w:rPr>
                <w:rFonts w:ascii="仿宋" w:hAnsi="仿宋" w:eastAsia="仿宋" w:cs="仿宋"/>
                <w:color w:val="auto"/>
                <w:sz w:val="22"/>
                <w:szCs w:val="22"/>
                <w:lang w:val="en-US"/>
              </w:rPr>
            </w:pPr>
            <w:r>
              <w:rPr>
                <w:rFonts w:hint="eastAsia" w:ascii="宋体" w:hAnsi="宋体" w:eastAsia="宋体" w:cs="宋体"/>
                <w:b w:val="0"/>
                <w:bCs/>
                <w:color w:val="auto"/>
                <w:sz w:val="22"/>
                <w:szCs w:val="22"/>
                <w:lang w:val="en-US"/>
              </w:rPr>
              <w:t>合同签订时间</w:t>
            </w:r>
          </w:p>
        </w:tc>
        <w:tc>
          <w:tcPr>
            <w:tcW w:w="6570" w:type="dxa"/>
            <w:tcBorders>
              <w:tl2br w:val="nil"/>
              <w:tr2bl w:val="nil"/>
            </w:tcBorders>
            <w:vAlign w:val="center"/>
          </w:tcPr>
          <w:p w14:paraId="4C8CCF2F">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outlineLvl w:val="9"/>
              <w:rPr>
                <w:rFonts w:ascii="仿宋" w:hAnsi="仿宋" w:eastAsia="仿宋" w:cs="仿宋"/>
                <w:color w:val="auto"/>
                <w:spacing w:val="-2"/>
                <w:sz w:val="22"/>
                <w:szCs w:val="22"/>
                <w:lang w:val="en-US"/>
              </w:rPr>
            </w:pPr>
            <w:r>
              <w:rPr>
                <w:rFonts w:hint="eastAsia" w:ascii="宋体" w:hAnsi="宋体" w:eastAsia="宋体" w:cs="宋体"/>
                <w:color w:val="auto"/>
                <w:sz w:val="22"/>
                <w:szCs w:val="22"/>
              </w:rPr>
              <w:t xml:space="preserve">中标通知书发出后 </w:t>
            </w:r>
            <w:r>
              <w:rPr>
                <w:rFonts w:hint="eastAsia" w:ascii="宋体" w:hAnsi="宋体" w:eastAsia="宋体" w:cs="宋体"/>
                <w:color w:val="auto"/>
                <w:sz w:val="22"/>
                <w:szCs w:val="22"/>
                <w:lang w:val="en-US" w:eastAsia="zh-CN"/>
              </w:rPr>
              <w:t>20</w:t>
            </w:r>
            <w:r>
              <w:rPr>
                <w:rFonts w:hint="eastAsia" w:ascii="宋体" w:hAnsi="宋体" w:eastAsia="宋体" w:cs="宋体"/>
                <w:color w:val="auto"/>
                <w:sz w:val="22"/>
                <w:szCs w:val="22"/>
              </w:rPr>
              <w:t xml:space="preserve"> 日内</w:t>
            </w:r>
          </w:p>
        </w:tc>
      </w:tr>
      <w:tr w14:paraId="6B6FD0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4F07FB87">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仿宋" w:hAnsi="仿宋" w:eastAsia="仿宋" w:cs="仿宋"/>
                <w:color w:val="auto"/>
                <w:sz w:val="22"/>
                <w:szCs w:val="22"/>
                <w:lang w:val="en-US" w:eastAsia="zh-CN" w:bidi="zh-CN"/>
              </w:rPr>
            </w:pPr>
            <w:r>
              <w:rPr>
                <w:rFonts w:hint="eastAsia" w:cs="宋体"/>
                <w:b w:val="0"/>
                <w:bCs/>
                <w:color w:val="auto"/>
                <w:sz w:val="22"/>
                <w:szCs w:val="22"/>
                <w:lang w:val="en-US" w:eastAsia="zh-CN"/>
              </w:rPr>
              <w:t>16</w:t>
            </w:r>
          </w:p>
        </w:tc>
        <w:tc>
          <w:tcPr>
            <w:tcW w:w="1785" w:type="dxa"/>
            <w:tcBorders>
              <w:tl2br w:val="nil"/>
              <w:tr2bl w:val="nil"/>
            </w:tcBorders>
            <w:vAlign w:val="center"/>
          </w:tcPr>
          <w:p w14:paraId="3351927E">
            <w:pPr>
              <w:pStyle w:val="39"/>
              <w:keepNext w:val="0"/>
              <w:keepLines w:val="0"/>
              <w:pageBreakBefore w:val="0"/>
              <w:widowControl w:val="0"/>
              <w:kinsoku/>
              <w:wordWrap w:val="0"/>
              <w:overflowPunct/>
              <w:topLinePunct w:val="0"/>
              <w:autoSpaceDE w:val="0"/>
              <w:autoSpaceDN w:val="0"/>
              <w:bidi w:val="0"/>
              <w:adjustRightInd/>
              <w:snapToGrid/>
              <w:spacing w:line="360" w:lineRule="exact"/>
              <w:jc w:val="center"/>
              <w:textAlignment w:val="auto"/>
              <w:outlineLvl w:val="9"/>
              <w:rPr>
                <w:rFonts w:hint="default" w:ascii="仿宋" w:hAnsi="仿宋" w:eastAsia="仿宋" w:cs="仿宋"/>
                <w:color w:val="auto"/>
                <w:sz w:val="22"/>
                <w:szCs w:val="22"/>
                <w:lang w:val="en-US" w:eastAsia="zh-CN"/>
              </w:rPr>
            </w:pPr>
            <w:r>
              <w:rPr>
                <w:rFonts w:hint="eastAsia" w:ascii="宋体" w:hAnsi="宋体" w:eastAsia="宋体" w:cs="宋体"/>
                <w:b w:val="0"/>
                <w:bCs/>
                <w:color w:val="auto"/>
                <w:sz w:val="22"/>
                <w:szCs w:val="22"/>
                <w:lang w:val="en-US"/>
              </w:rPr>
              <w:t>质量要求</w:t>
            </w:r>
          </w:p>
        </w:tc>
        <w:tc>
          <w:tcPr>
            <w:tcW w:w="6570" w:type="dxa"/>
            <w:tcBorders>
              <w:tl2br w:val="nil"/>
              <w:tr2bl w:val="nil"/>
            </w:tcBorders>
            <w:vAlign w:val="center"/>
          </w:tcPr>
          <w:p w14:paraId="058FAF91">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outlineLvl w:val="9"/>
              <w:rPr>
                <w:rFonts w:hint="eastAsia" w:ascii="仿宋" w:hAnsi="仿宋" w:eastAsia="仿宋" w:cs="仿宋"/>
                <w:color w:val="auto"/>
                <w:spacing w:val="-2"/>
                <w:sz w:val="22"/>
                <w:szCs w:val="22"/>
                <w:lang w:val="en-US" w:eastAsia="zh-CN"/>
              </w:rPr>
            </w:pPr>
            <w:r>
              <w:rPr>
                <w:rFonts w:hint="eastAsia" w:ascii="宋体" w:hAnsi="宋体" w:eastAsia="宋体" w:cs="宋体"/>
                <w:color w:val="auto"/>
                <w:spacing w:val="-2"/>
                <w:sz w:val="22"/>
                <w:szCs w:val="22"/>
                <w:lang w:val="en-US"/>
              </w:rPr>
              <w:t>合格（符合</w:t>
            </w:r>
            <w:r>
              <w:rPr>
                <w:rFonts w:hint="eastAsia" w:cs="宋体"/>
                <w:color w:val="auto"/>
                <w:spacing w:val="-2"/>
                <w:sz w:val="22"/>
                <w:szCs w:val="22"/>
                <w:lang w:val="en-US" w:eastAsia="zh-CN"/>
              </w:rPr>
              <w:t>招标</w:t>
            </w:r>
            <w:r>
              <w:rPr>
                <w:rFonts w:hint="eastAsia" w:ascii="宋体" w:hAnsi="宋体" w:eastAsia="宋体" w:cs="宋体"/>
                <w:color w:val="auto"/>
                <w:spacing w:val="-2"/>
                <w:sz w:val="22"/>
                <w:szCs w:val="22"/>
                <w:lang w:val="en-US"/>
              </w:rPr>
              <w:t>文件要求、投标承诺以及国家、行业有关技术规范和标准）</w:t>
            </w:r>
          </w:p>
        </w:tc>
      </w:tr>
      <w:tr w14:paraId="0897C6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1DF5FC95">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仿宋" w:hAnsi="仿宋" w:eastAsia="仿宋" w:cs="仿宋"/>
                <w:color w:val="auto"/>
                <w:sz w:val="22"/>
                <w:szCs w:val="22"/>
                <w:lang w:val="en-US" w:eastAsia="zh-CN" w:bidi="zh-CN"/>
              </w:rPr>
            </w:pPr>
            <w:r>
              <w:rPr>
                <w:rFonts w:hint="eastAsia" w:cs="宋体"/>
                <w:b w:val="0"/>
                <w:bCs/>
                <w:color w:val="auto"/>
                <w:sz w:val="22"/>
                <w:szCs w:val="22"/>
                <w:lang w:val="en-US" w:eastAsia="zh-CN"/>
              </w:rPr>
              <w:t>17</w:t>
            </w:r>
          </w:p>
        </w:tc>
        <w:tc>
          <w:tcPr>
            <w:tcW w:w="1785" w:type="dxa"/>
            <w:tcBorders>
              <w:tl2br w:val="nil"/>
              <w:tr2bl w:val="nil"/>
            </w:tcBorders>
            <w:vAlign w:val="center"/>
          </w:tcPr>
          <w:p w14:paraId="61C84B5D">
            <w:pPr>
              <w:pStyle w:val="39"/>
              <w:keepNext w:val="0"/>
              <w:keepLines w:val="0"/>
              <w:pageBreakBefore w:val="0"/>
              <w:widowControl w:val="0"/>
              <w:kinsoku/>
              <w:wordWrap w:val="0"/>
              <w:overflowPunct/>
              <w:topLinePunct w:val="0"/>
              <w:autoSpaceDE w:val="0"/>
              <w:autoSpaceDN w:val="0"/>
              <w:bidi w:val="0"/>
              <w:adjustRightInd/>
              <w:snapToGrid/>
              <w:spacing w:line="360" w:lineRule="exact"/>
              <w:jc w:val="center"/>
              <w:textAlignment w:val="auto"/>
              <w:outlineLvl w:val="9"/>
              <w:rPr>
                <w:rFonts w:ascii="仿宋" w:hAnsi="仿宋" w:eastAsia="仿宋" w:cs="仿宋"/>
                <w:color w:val="auto"/>
                <w:sz w:val="22"/>
                <w:szCs w:val="22"/>
                <w:lang w:val="en-US"/>
              </w:rPr>
            </w:pPr>
            <w:r>
              <w:rPr>
                <w:rFonts w:hint="eastAsia" w:ascii="宋体" w:hAnsi="宋体" w:eastAsia="宋体" w:cs="宋体"/>
                <w:b w:val="0"/>
                <w:bCs/>
                <w:color w:val="auto"/>
                <w:sz w:val="22"/>
                <w:szCs w:val="22"/>
                <w:lang w:val="en-US"/>
              </w:rPr>
              <w:t>答疑与澄清</w:t>
            </w:r>
          </w:p>
        </w:tc>
        <w:tc>
          <w:tcPr>
            <w:tcW w:w="6570" w:type="dxa"/>
            <w:tcBorders>
              <w:tl2br w:val="nil"/>
              <w:tr2bl w:val="nil"/>
            </w:tcBorders>
            <w:vAlign w:val="center"/>
          </w:tcPr>
          <w:p w14:paraId="640D6075">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outlineLvl w:val="9"/>
              <w:rPr>
                <w:rFonts w:ascii="仿宋" w:hAnsi="仿宋" w:eastAsia="仿宋" w:cs="仿宋"/>
                <w:color w:val="auto"/>
                <w:spacing w:val="-2"/>
                <w:sz w:val="22"/>
                <w:szCs w:val="22"/>
                <w:lang w:val="en-US"/>
              </w:rPr>
            </w:pPr>
            <w:r>
              <w:rPr>
                <w:rFonts w:hint="eastAsia" w:ascii="宋体" w:hAnsi="宋体" w:eastAsia="宋体" w:cs="宋体"/>
                <w:color w:val="auto"/>
                <w:spacing w:val="-2"/>
                <w:sz w:val="22"/>
                <w:szCs w:val="22"/>
                <w:lang w:val="en-US"/>
              </w:rPr>
              <w:t>投标企业/机构如认为采购文件表述不清晰、存在歧视性或者其他违法内容的，应当于自获取采购文件之日或者采购文件公告期限届满之日（公告期限届满后获取采购文件的，以公告期限届满之日为准）起7个工作日内，一次性提出所有询问和质疑事项并以书面形式送达至代理机构，非法定代表人办理，需授权代理人全权负责，提交《法定代表人授权委托书原件》附后。逾期不递交的，视为放弃上述权利。▲招标文件解释权归采购机构与采购人所有。</w:t>
            </w:r>
          </w:p>
        </w:tc>
      </w:tr>
      <w:tr w14:paraId="75D3D3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vMerge w:val="restart"/>
            <w:tcBorders>
              <w:tl2br w:val="nil"/>
              <w:tr2bl w:val="nil"/>
            </w:tcBorders>
            <w:vAlign w:val="center"/>
          </w:tcPr>
          <w:p w14:paraId="2F86F67B">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仿宋" w:hAnsi="仿宋" w:eastAsia="仿宋" w:cs="仿宋"/>
                <w:color w:val="auto"/>
                <w:sz w:val="22"/>
                <w:szCs w:val="22"/>
                <w:lang w:val="en-US" w:eastAsia="zh-CN" w:bidi="zh-CN"/>
              </w:rPr>
            </w:pPr>
            <w:r>
              <w:rPr>
                <w:rFonts w:hint="eastAsia" w:cs="宋体"/>
                <w:b w:val="0"/>
                <w:bCs/>
                <w:color w:val="auto"/>
                <w:sz w:val="22"/>
                <w:szCs w:val="22"/>
                <w:lang w:val="en-US" w:eastAsia="zh-CN"/>
              </w:rPr>
              <w:t>18</w:t>
            </w:r>
          </w:p>
        </w:tc>
        <w:tc>
          <w:tcPr>
            <w:tcW w:w="1785" w:type="dxa"/>
            <w:vMerge w:val="restart"/>
            <w:tcBorders>
              <w:tl2br w:val="nil"/>
              <w:tr2bl w:val="nil"/>
            </w:tcBorders>
            <w:vAlign w:val="center"/>
          </w:tcPr>
          <w:p w14:paraId="541F9F78">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lang w:val="en-US"/>
              </w:rPr>
            </w:pPr>
            <w:r>
              <w:rPr>
                <w:rFonts w:hint="eastAsia" w:cs="宋体"/>
                <w:b w:val="0"/>
                <w:bCs/>
                <w:color w:val="auto"/>
                <w:sz w:val="22"/>
                <w:szCs w:val="22"/>
                <w:lang w:eastAsia="zh-CN"/>
              </w:rPr>
              <w:t>投标人</w:t>
            </w:r>
            <w:r>
              <w:rPr>
                <w:rFonts w:hint="eastAsia" w:ascii="宋体" w:hAnsi="宋体" w:eastAsia="宋体" w:cs="宋体"/>
                <w:b w:val="0"/>
                <w:bCs/>
                <w:color w:val="auto"/>
                <w:sz w:val="22"/>
                <w:szCs w:val="22"/>
              </w:rPr>
              <w:t>应当提供的资格、资信证明文件</w:t>
            </w:r>
          </w:p>
        </w:tc>
        <w:tc>
          <w:tcPr>
            <w:tcW w:w="6570" w:type="dxa"/>
            <w:tcBorders>
              <w:tl2br w:val="nil"/>
              <w:tr2bl w:val="nil"/>
            </w:tcBorders>
            <w:vAlign w:val="center"/>
          </w:tcPr>
          <w:p w14:paraId="3C795456">
            <w:pPr>
              <w:keepNext w:val="0"/>
              <w:keepLines w:val="0"/>
              <w:pageBreakBefore w:val="0"/>
              <w:widowControl w:val="0"/>
              <w:kinsoku/>
              <w:wordWrap w:val="0"/>
              <w:overflowPunct/>
              <w:topLinePunct w:val="0"/>
              <w:autoSpaceDE w:val="0"/>
              <w:autoSpaceDN w:val="0"/>
              <w:bidi w:val="0"/>
              <w:adjustRightIn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（1）资格证明文件：见</w:t>
            </w:r>
            <w:r>
              <w:rPr>
                <w:rFonts w:hint="eastAsia" w:cs="宋体"/>
                <w:color w:val="auto"/>
                <w:sz w:val="22"/>
                <w:szCs w:val="22"/>
                <w:lang w:val="en-US" w:eastAsia="zh-CN"/>
              </w:rPr>
              <w:t>招标公告</w:t>
            </w:r>
            <w:r>
              <w:rPr>
                <w:rFonts w:hint="eastAsia" w:ascii="宋体" w:hAnsi="宋体" w:eastAsia="宋体" w:cs="宋体"/>
                <w:color w:val="auto"/>
                <w:sz w:val="22"/>
                <w:szCs w:val="22"/>
              </w:rPr>
              <w:t>。</w:t>
            </w:r>
          </w:p>
          <w:p w14:paraId="703C829A">
            <w:pPr>
              <w:keepNext w:val="0"/>
              <w:keepLines w:val="0"/>
              <w:pageBreakBefore w:val="0"/>
              <w:widowControl w:val="0"/>
              <w:kinsoku/>
              <w:wordWrap w:val="0"/>
              <w:overflowPunct/>
              <w:topLinePunct w:val="0"/>
              <w:autoSpaceDE w:val="0"/>
              <w:autoSpaceDN w:val="0"/>
              <w:bidi w:val="0"/>
              <w:adjustRightInd/>
              <w:spacing w:line="360" w:lineRule="exact"/>
              <w:textAlignment w:val="auto"/>
              <w:rPr>
                <w:rFonts w:ascii="仿宋" w:hAnsi="仿宋" w:eastAsia="仿宋" w:cs="仿宋"/>
                <w:color w:val="auto"/>
                <w:spacing w:val="-2"/>
                <w:sz w:val="22"/>
                <w:szCs w:val="22"/>
                <w:lang w:val="en-US"/>
              </w:rPr>
            </w:pPr>
            <w:r>
              <w:rPr>
                <w:rFonts w:hint="eastAsia" w:cs="宋体"/>
                <w:color w:val="auto"/>
                <w:kern w:val="0"/>
                <w:sz w:val="22"/>
                <w:szCs w:val="22"/>
                <w:lang w:val="en-US" w:eastAsia="zh-CN"/>
              </w:rPr>
              <w:t>投标人</w:t>
            </w:r>
            <w:r>
              <w:rPr>
                <w:rFonts w:hint="eastAsia" w:ascii="宋体" w:hAnsi="宋体" w:eastAsia="宋体" w:cs="宋体"/>
                <w:color w:val="auto"/>
                <w:kern w:val="0"/>
                <w:sz w:val="22"/>
                <w:szCs w:val="22"/>
                <w:lang w:val="zh-CN"/>
              </w:rPr>
              <w:t>未提供有效的资格证明文件的，视为</w:t>
            </w:r>
            <w:r>
              <w:rPr>
                <w:rFonts w:hint="eastAsia" w:cs="宋体"/>
                <w:color w:val="auto"/>
                <w:kern w:val="0"/>
                <w:sz w:val="22"/>
                <w:szCs w:val="22"/>
                <w:lang w:val="en-US" w:eastAsia="zh-CN"/>
              </w:rPr>
              <w:t>投标人</w:t>
            </w:r>
            <w:r>
              <w:rPr>
                <w:rFonts w:hint="eastAsia" w:ascii="宋体" w:hAnsi="宋体" w:eastAsia="宋体" w:cs="宋体"/>
                <w:color w:val="auto"/>
                <w:kern w:val="0"/>
                <w:sz w:val="22"/>
                <w:szCs w:val="22"/>
                <w:lang w:val="zh-CN"/>
              </w:rPr>
              <w:t>不具备</w:t>
            </w:r>
            <w:r>
              <w:rPr>
                <w:rFonts w:hint="eastAsia" w:cs="宋体"/>
                <w:color w:val="auto"/>
                <w:kern w:val="0"/>
                <w:sz w:val="22"/>
                <w:szCs w:val="22"/>
                <w:lang w:val="en-US" w:eastAsia="zh-CN"/>
              </w:rPr>
              <w:t>招标</w:t>
            </w:r>
            <w:r>
              <w:rPr>
                <w:rFonts w:hint="eastAsia" w:ascii="宋体" w:hAnsi="宋体" w:eastAsia="宋体" w:cs="宋体"/>
                <w:color w:val="auto"/>
                <w:kern w:val="0"/>
                <w:sz w:val="22"/>
                <w:szCs w:val="22"/>
                <w:lang w:val="zh-CN"/>
              </w:rPr>
              <w:t>文件中规定的资格要求，响应无效。</w:t>
            </w:r>
          </w:p>
        </w:tc>
      </w:tr>
      <w:tr w14:paraId="72FD72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vMerge w:val="continue"/>
            <w:tcBorders>
              <w:tl2br w:val="nil"/>
              <w:tr2bl w:val="nil"/>
            </w:tcBorders>
            <w:vAlign w:val="center"/>
          </w:tcPr>
          <w:p w14:paraId="5ABB2E59">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lang w:val="en-US" w:eastAsia="zh-CN" w:bidi="zh-CN"/>
              </w:rPr>
            </w:pPr>
          </w:p>
        </w:tc>
        <w:tc>
          <w:tcPr>
            <w:tcW w:w="1785" w:type="dxa"/>
            <w:vMerge w:val="continue"/>
            <w:tcBorders>
              <w:tl2br w:val="nil"/>
              <w:tr2bl w:val="nil"/>
            </w:tcBorders>
            <w:vAlign w:val="center"/>
          </w:tcPr>
          <w:p w14:paraId="62014151">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lang w:val="en-US"/>
              </w:rPr>
            </w:pPr>
          </w:p>
        </w:tc>
        <w:tc>
          <w:tcPr>
            <w:tcW w:w="6570" w:type="dxa"/>
            <w:tcBorders>
              <w:tl2br w:val="nil"/>
              <w:tr2bl w:val="nil"/>
            </w:tcBorders>
            <w:vAlign w:val="center"/>
          </w:tcPr>
          <w:p w14:paraId="048E6861">
            <w:pPr>
              <w:keepNext w:val="0"/>
              <w:keepLines w:val="0"/>
              <w:pageBreakBefore w:val="0"/>
              <w:widowControl w:val="0"/>
              <w:kinsoku/>
              <w:wordWrap w:val="0"/>
              <w:overflowPunct/>
              <w:topLinePunct w:val="0"/>
              <w:autoSpaceDE w:val="0"/>
              <w:autoSpaceDN w:val="0"/>
              <w:bidi w:val="0"/>
              <w:adjustRightInd/>
              <w:spacing w:line="360" w:lineRule="exact"/>
              <w:textAlignment w:val="auto"/>
              <w:rPr>
                <w:rFonts w:ascii="仿宋" w:hAnsi="仿宋" w:eastAsia="仿宋" w:cs="仿宋"/>
                <w:color w:val="auto"/>
                <w:sz w:val="22"/>
                <w:szCs w:val="22"/>
              </w:rPr>
            </w:pPr>
            <w:r>
              <w:rPr>
                <w:rFonts w:hint="eastAsia" w:ascii="宋体" w:hAnsi="宋体" w:eastAsia="宋体" w:cs="宋体"/>
                <w:color w:val="auto"/>
                <w:sz w:val="22"/>
                <w:szCs w:val="22"/>
              </w:rPr>
              <w:t>（2）资信证明文件：根据</w:t>
            </w:r>
            <w:r>
              <w:rPr>
                <w:rFonts w:hint="eastAsia" w:cs="宋体"/>
                <w:color w:val="auto"/>
                <w:sz w:val="22"/>
                <w:szCs w:val="22"/>
                <w:lang w:val="en-US" w:eastAsia="zh-CN"/>
              </w:rPr>
              <w:t>招标</w:t>
            </w:r>
            <w:r>
              <w:rPr>
                <w:rFonts w:hint="eastAsia" w:ascii="宋体" w:hAnsi="宋体" w:eastAsia="宋体" w:cs="宋体"/>
                <w:color w:val="auto"/>
                <w:sz w:val="22"/>
                <w:szCs w:val="22"/>
              </w:rPr>
              <w:t>文件</w:t>
            </w:r>
            <w:r>
              <w:rPr>
                <w:rFonts w:hint="eastAsia" w:cs="宋体"/>
                <w:color w:val="auto"/>
                <w:sz w:val="22"/>
                <w:szCs w:val="22"/>
                <w:lang w:eastAsia="zh-CN"/>
              </w:rPr>
              <w:t>“</w:t>
            </w:r>
            <w:r>
              <w:rPr>
                <w:rFonts w:hint="eastAsia" w:ascii="宋体" w:hAnsi="宋体" w:eastAsia="宋体" w:cs="宋体"/>
                <w:color w:val="auto"/>
                <w:sz w:val="22"/>
                <w:szCs w:val="22"/>
              </w:rPr>
              <w:t>第</w:t>
            </w:r>
            <w:r>
              <w:rPr>
                <w:rFonts w:hint="eastAsia" w:cs="宋体"/>
                <w:color w:val="auto"/>
                <w:sz w:val="22"/>
                <w:szCs w:val="22"/>
                <w:lang w:val="en-US" w:eastAsia="zh-CN"/>
              </w:rPr>
              <w:t>四</w:t>
            </w:r>
            <w:r>
              <w:rPr>
                <w:rFonts w:hint="eastAsia" w:ascii="宋体" w:hAnsi="宋体" w:eastAsia="宋体" w:cs="宋体"/>
                <w:color w:val="auto"/>
                <w:sz w:val="22"/>
                <w:szCs w:val="22"/>
              </w:rPr>
              <w:t>部分</w:t>
            </w:r>
            <w:r>
              <w:rPr>
                <w:rFonts w:hint="eastAsia" w:cs="宋体"/>
                <w:color w:val="auto"/>
                <w:sz w:val="22"/>
                <w:szCs w:val="22"/>
                <w:lang w:val="en-US" w:eastAsia="zh-CN"/>
              </w:rPr>
              <w:t xml:space="preserve"> </w:t>
            </w:r>
            <w:r>
              <w:rPr>
                <w:rFonts w:hint="eastAsia" w:ascii="宋体" w:hAnsi="宋体" w:eastAsia="宋体" w:cs="宋体"/>
                <w:color w:val="auto"/>
                <w:sz w:val="22"/>
                <w:szCs w:val="22"/>
              </w:rPr>
              <w:t>评标办法</w:t>
            </w:r>
            <w:r>
              <w:rPr>
                <w:rFonts w:hint="eastAsia" w:cs="宋体"/>
                <w:color w:val="auto"/>
                <w:sz w:val="22"/>
                <w:szCs w:val="22"/>
                <w:lang w:eastAsia="zh-CN"/>
              </w:rPr>
              <w:t>”</w:t>
            </w:r>
            <w:r>
              <w:rPr>
                <w:rFonts w:hint="eastAsia" w:ascii="宋体" w:hAnsi="宋体" w:eastAsia="宋体" w:cs="宋体"/>
                <w:color w:val="auto"/>
                <w:sz w:val="22"/>
                <w:szCs w:val="22"/>
              </w:rPr>
              <w:t>提供。</w:t>
            </w:r>
          </w:p>
        </w:tc>
      </w:tr>
      <w:tr w14:paraId="087B2E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2436D622">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仿宋" w:hAnsi="仿宋" w:eastAsia="仿宋" w:cs="仿宋"/>
                <w:color w:val="auto"/>
                <w:sz w:val="22"/>
                <w:szCs w:val="22"/>
                <w:lang w:val="en-US" w:eastAsia="zh-CN" w:bidi="zh-CN"/>
              </w:rPr>
            </w:pPr>
            <w:r>
              <w:rPr>
                <w:rFonts w:hint="eastAsia" w:cs="宋体"/>
                <w:b w:val="0"/>
                <w:bCs/>
                <w:color w:val="auto"/>
                <w:sz w:val="22"/>
                <w:szCs w:val="22"/>
                <w:lang w:val="en-US" w:eastAsia="zh-CN"/>
              </w:rPr>
              <w:t>19</w:t>
            </w:r>
          </w:p>
        </w:tc>
        <w:tc>
          <w:tcPr>
            <w:tcW w:w="1785" w:type="dxa"/>
            <w:tcBorders>
              <w:tl2br w:val="nil"/>
              <w:tr2bl w:val="nil"/>
            </w:tcBorders>
            <w:vAlign w:val="center"/>
          </w:tcPr>
          <w:p w14:paraId="135B624A">
            <w:pPr>
              <w:keepNext w:val="0"/>
              <w:keepLines w:val="0"/>
              <w:pageBreakBefore w:val="0"/>
              <w:widowControl w:val="0"/>
              <w:kinsoku/>
              <w:overflowPunct/>
              <w:topLinePunct w:val="0"/>
              <w:autoSpaceDE w:val="0"/>
              <w:autoSpaceDN w:val="0"/>
              <w:bidi w:val="0"/>
              <w:adjustRightInd/>
              <w:snapToGrid w:val="0"/>
              <w:spacing w:line="360" w:lineRule="exact"/>
              <w:jc w:val="center"/>
              <w:textAlignment w:val="auto"/>
              <w:rPr>
                <w:rFonts w:ascii="仿宋" w:hAnsi="仿宋" w:eastAsia="仿宋" w:cs="仿宋"/>
                <w:color w:val="auto"/>
                <w:sz w:val="22"/>
                <w:szCs w:val="22"/>
                <w:lang w:val="en-US"/>
              </w:rPr>
            </w:pPr>
            <w:r>
              <w:rPr>
                <w:rFonts w:hint="eastAsia" w:ascii="宋体" w:hAnsi="宋体" w:cs="宋体"/>
                <w:b/>
                <w:color w:val="auto"/>
                <w:sz w:val="22"/>
                <w:szCs w:val="22"/>
              </w:rPr>
              <w:t>报价要求</w:t>
            </w:r>
          </w:p>
        </w:tc>
        <w:tc>
          <w:tcPr>
            <w:tcW w:w="6570" w:type="dxa"/>
            <w:tcBorders>
              <w:tl2br w:val="nil"/>
              <w:tr2bl w:val="nil"/>
            </w:tcBorders>
            <w:vAlign w:val="center"/>
          </w:tcPr>
          <w:p w14:paraId="0C51DE95">
            <w:pPr>
              <w:keepNext w:val="0"/>
              <w:keepLines w:val="0"/>
              <w:pageBreakBefore w:val="0"/>
              <w:widowControl w:val="0"/>
              <w:kinsoku/>
              <w:overflowPunct/>
              <w:topLinePunct w:val="0"/>
              <w:autoSpaceDE w:val="0"/>
              <w:autoSpaceDN w:val="0"/>
              <w:bidi w:val="0"/>
              <w:adjustRightInd/>
              <w:snapToGrid w:val="0"/>
              <w:spacing w:line="360" w:lineRule="exact"/>
              <w:jc w:val="left"/>
              <w:textAlignment w:val="auto"/>
              <w:rPr>
                <w:rFonts w:ascii="宋体" w:hAnsi="宋体" w:cs="宋体"/>
                <w:b/>
                <w:color w:val="auto"/>
                <w:kern w:val="0"/>
                <w:sz w:val="22"/>
                <w:szCs w:val="22"/>
                <w:lang w:val="zh-CN"/>
              </w:rPr>
            </w:pPr>
            <w:r>
              <w:rPr>
                <w:rFonts w:hint="eastAsia" w:ascii="宋体" w:hAnsi="宋体" w:cs="宋体"/>
                <w:color w:val="auto"/>
                <w:kern w:val="0"/>
                <w:sz w:val="22"/>
                <w:szCs w:val="22"/>
                <w:lang w:val="zh-CN"/>
              </w:rPr>
              <w:t>有关本项目实施所需的所有费用（含税费）均计入报价。</w:t>
            </w:r>
            <w:r>
              <w:rPr>
                <w:rFonts w:hint="eastAsia" w:ascii="宋体" w:hAnsi="宋体" w:cs="宋体"/>
                <w:b/>
                <w:bCs/>
                <w:color w:val="auto"/>
                <w:kern w:val="0"/>
                <w:sz w:val="22"/>
                <w:szCs w:val="22"/>
                <w:lang w:val="zh-CN"/>
              </w:rPr>
              <w:t>投标文件</w:t>
            </w:r>
            <w:r>
              <w:rPr>
                <w:rFonts w:hint="eastAsia" w:ascii="宋体" w:hAnsi="宋体" w:cs="宋体"/>
                <w:b/>
                <w:bCs/>
                <w:color w:val="auto"/>
                <w:sz w:val="22"/>
                <w:szCs w:val="22"/>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2"/>
                <w:szCs w:val="22"/>
                <w:lang w:val="zh-CN"/>
              </w:rPr>
              <w:t>招标文件未列明，而投标人认为必需的费用也需列入报价。</w:t>
            </w:r>
            <w:r>
              <w:rPr>
                <w:rFonts w:hint="eastAsia" w:ascii="宋体" w:hAnsi="宋体" w:cs="宋体"/>
                <w:b/>
                <w:color w:val="auto"/>
                <w:kern w:val="0"/>
                <w:sz w:val="22"/>
                <w:szCs w:val="22"/>
                <w:lang w:val="zh-CN"/>
              </w:rPr>
              <w:t>提醒：本项目履约验收费用（约为</w:t>
            </w:r>
            <w:r>
              <w:rPr>
                <w:rFonts w:hint="eastAsia" w:cs="宋体"/>
                <w:b/>
                <w:color w:val="auto"/>
                <w:kern w:val="0"/>
                <w:sz w:val="22"/>
                <w:szCs w:val="22"/>
                <w:lang w:val="en-US" w:eastAsia="zh-CN"/>
              </w:rPr>
              <w:t>7500</w:t>
            </w:r>
            <w:r>
              <w:rPr>
                <w:rFonts w:hint="eastAsia" w:ascii="宋体" w:hAnsi="宋体" w:cs="宋体"/>
                <w:b/>
                <w:color w:val="auto"/>
                <w:kern w:val="0"/>
                <w:sz w:val="22"/>
                <w:szCs w:val="22"/>
                <w:lang w:val="zh-CN"/>
              </w:rPr>
              <w:t>元，由项目履约验收时具体决定）由中标人承担，</w:t>
            </w:r>
            <w:r>
              <w:rPr>
                <w:rFonts w:hint="eastAsia" w:cs="宋体"/>
                <w:b/>
                <w:color w:val="auto"/>
                <w:kern w:val="0"/>
                <w:sz w:val="22"/>
                <w:szCs w:val="22"/>
                <w:lang w:val="en-US" w:eastAsia="zh-CN"/>
              </w:rPr>
              <w:t>投标人应综合考虑此项费用</w:t>
            </w:r>
            <w:r>
              <w:rPr>
                <w:rFonts w:hint="eastAsia" w:ascii="宋体" w:hAnsi="宋体" w:cs="宋体"/>
                <w:b/>
                <w:color w:val="auto"/>
                <w:kern w:val="0"/>
                <w:sz w:val="22"/>
                <w:szCs w:val="22"/>
                <w:lang w:val="zh-CN"/>
              </w:rPr>
              <w:t>。</w:t>
            </w:r>
          </w:p>
          <w:p w14:paraId="6302DA4E">
            <w:pPr>
              <w:keepNext w:val="0"/>
              <w:keepLines w:val="0"/>
              <w:pageBreakBefore w:val="0"/>
              <w:widowControl w:val="0"/>
              <w:kinsoku/>
              <w:overflowPunct/>
              <w:topLinePunct w:val="0"/>
              <w:autoSpaceDE w:val="0"/>
              <w:autoSpaceDN w:val="0"/>
              <w:bidi w:val="0"/>
              <w:adjustRightInd/>
              <w:snapToGrid w:val="0"/>
              <w:spacing w:line="360" w:lineRule="exact"/>
              <w:jc w:val="left"/>
              <w:textAlignment w:val="auto"/>
              <w:rPr>
                <w:rFonts w:ascii="宋体" w:hAnsi="宋体" w:cs="宋体"/>
                <w:b/>
                <w:color w:val="auto"/>
                <w:kern w:val="0"/>
                <w:sz w:val="22"/>
                <w:szCs w:val="22"/>
                <w:lang w:val="zh-CN"/>
              </w:rPr>
            </w:pPr>
            <w:r>
              <w:rPr>
                <w:rFonts w:hint="eastAsia" w:ascii="宋体" w:hAnsi="宋体" w:cs="宋体"/>
                <w:b/>
                <w:color w:val="auto"/>
                <w:kern w:val="0"/>
                <w:sz w:val="22"/>
                <w:szCs w:val="22"/>
                <w:lang w:val="zh-CN"/>
              </w:rPr>
              <w:t>投标报价出现下列情形的，投标无效：</w:t>
            </w:r>
          </w:p>
          <w:p w14:paraId="724E5606">
            <w:pPr>
              <w:keepNext w:val="0"/>
              <w:keepLines w:val="0"/>
              <w:pageBreakBefore w:val="0"/>
              <w:widowControl w:val="0"/>
              <w:kinsoku/>
              <w:overflowPunct/>
              <w:topLinePunct w:val="0"/>
              <w:autoSpaceDE w:val="0"/>
              <w:autoSpaceDN w:val="0"/>
              <w:bidi w:val="0"/>
              <w:adjustRightInd/>
              <w:snapToGrid w:val="0"/>
              <w:spacing w:line="360" w:lineRule="exact"/>
              <w:ind w:firstLine="221" w:firstLineChars="100"/>
              <w:jc w:val="left"/>
              <w:textAlignment w:val="auto"/>
              <w:rPr>
                <w:rFonts w:ascii="宋体" w:hAnsi="宋体" w:cs="宋体"/>
                <w:b/>
                <w:color w:val="auto"/>
                <w:kern w:val="0"/>
                <w:sz w:val="22"/>
                <w:szCs w:val="22"/>
                <w:lang w:val="zh-CN"/>
              </w:rPr>
            </w:pPr>
            <w:r>
              <w:rPr>
                <w:rFonts w:hint="eastAsia" w:ascii="宋体" w:hAnsi="宋体" w:cs="宋体"/>
                <w:b/>
                <w:color w:val="auto"/>
                <w:kern w:val="0"/>
                <w:sz w:val="22"/>
                <w:szCs w:val="22"/>
                <w:lang w:val="zh-CN"/>
              </w:rPr>
              <w:t>投标文件出现不是唯一的、有选择性投标报价的；</w:t>
            </w:r>
          </w:p>
          <w:p w14:paraId="698D37A5">
            <w:pPr>
              <w:keepNext w:val="0"/>
              <w:keepLines w:val="0"/>
              <w:pageBreakBefore w:val="0"/>
              <w:widowControl w:val="0"/>
              <w:kinsoku/>
              <w:overflowPunct/>
              <w:topLinePunct w:val="0"/>
              <w:autoSpaceDE w:val="0"/>
              <w:autoSpaceDN w:val="0"/>
              <w:bidi w:val="0"/>
              <w:adjustRightInd/>
              <w:snapToGrid w:val="0"/>
              <w:spacing w:line="360" w:lineRule="exact"/>
              <w:ind w:firstLine="221" w:firstLineChars="100"/>
              <w:jc w:val="left"/>
              <w:textAlignment w:val="auto"/>
              <w:rPr>
                <w:rFonts w:ascii="宋体" w:hAnsi="宋体" w:cs="宋体"/>
                <w:color w:val="auto"/>
                <w:kern w:val="0"/>
                <w:sz w:val="22"/>
                <w:szCs w:val="22"/>
                <w:lang w:val="zh-CN"/>
              </w:rPr>
            </w:pPr>
            <w:r>
              <w:rPr>
                <w:rFonts w:hint="eastAsia" w:ascii="宋体" w:hAnsi="宋体" w:cs="宋体"/>
                <w:b/>
                <w:color w:val="auto"/>
                <w:kern w:val="0"/>
                <w:sz w:val="22"/>
                <w:szCs w:val="22"/>
                <w:lang w:val="zh-CN"/>
              </w:rPr>
              <w:t>投标报价超过招标文件中规定的</w:t>
            </w:r>
            <w:r>
              <w:rPr>
                <w:rFonts w:hint="eastAsia" w:cs="宋体"/>
                <w:b/>
                <w:color w:val="auto"/>
                <w:kern w:val="0"/>
                <w:sz w:val="22"/>
                <w:szCs w:val="22"/>
                <w:lang w:val="en-US" w:eastAsia="zh-CN"/>
              </w:rPr>
              <w:t>折扣率</w:t>
            </w:r>
            <w:r>
              <w:rPr>
                <w:rFonts w:hint="eastAsia" w:ascii="宋体" w:hAnsi="宋体" w:cs="宋体"/>
                <w:b/>
                <w:color w:val="auto"/>
                <w:kern w:val="0"/>
                <w:sz w:val="22"/>
                <w:szCs w:val="22"/>
                <w:lang w:val="zh-CN"/>
              </w:rPr>
              <w:t>或者最高限价的</w:t>
            </w:r>
            <w:r>
              <w:rPr>
                <w:rFonts w:hint="eastAsia" w:cs="宋体"/>
                <w:b/>
                <w:color w:val="auto"/>
                <w:kern w:val="0"/>
                <w:sz w:val="22"/>
                <w:szCs w:val="22"/>
                <w:lang w:val="zh-CN"/>
              </w:rPr>
              <w:t>；</w:t>
            </w:r>
          </w:p>
          <w:p w14:paraId="11F2D1AC">
            <w:pPr>
              <w:keepNext w:val="0"/>
              <w:keepLines w:val="0"/>
              <w:pageBreakBefore w:val="0"/>
              <w:widowControl w:val="0"/>
              <w:kinsoku/>
              <w:overflowPunct/>
              <w:topLinePunct w:val="0"/>
              <w:autoSpaceDE w:val="0"/>
              <w:autoSpaceDN w:val="0"/>
              <w:bidi w:val="0"/>
              <w:adjustRightInd/>
              <w:spacing w:line="360" w:lineRule="exact"/>
              <w:ind w:firstLine="221" w:firstLineChars="100"/>
              <w:textAlignment w:val="auto"/>
              <w:rPr>
                <w:rFonts w:hint="eastAsia" w:ascii="宋体" w:hAnsi="宋体" w:eastAsia="宋体" w:cs="宋体"/>
                <w:b/>
                <w:color w:val="auto"/>
                <w:sz w:val="22"/>
                <w:szCs w:val="22"/>
                <w:lang w:eastAsia="zh-CN"/>
              </w:rPr>
            </w:pPr>
            <w:r>
              <w:rPr>
                <w:rFonts w:hint="eastAsia" w:ascii="宋体" w:hAnsi="宋体" w:cs="宋体"/>
                <w:b/>
                <w:color w:val="auto"/>
                <w:kern w:val="0"/>
                <w:sz w:val="22"/>
                <w:szCs w:val="22"/>
              </w:rPr>
              <w:t>报价明显低于其他通过符合性审查投标人的报价，有可能影响产品质量或者不能诚信履约的，未能按要求提供书面说明或者提交相关证明材料证明其报价合理性的</w:t>
            </w:r>
            <w:r>
              <w:rPr>
                <w:rFonts w:hint="eastAsia" w:cs="宋体"/>
                <w:b/>
                <w:color w:val="auto"/>
                <w:kern w:val="0"/>
                <w:sz w:val="22"/>
                <w:szCs w:val="22"/>
                <w:lang w:eastAsia="zh-CN"/>
              </w:rPr>
              <w:t>；</w:t>
            </w:r>
          </w:p>
          <w:p w14:paraId="16ADF180">
            <w:pPr>
              <w:keepNext w:val="0"/>
              <w:keepLines w:val="0"/>
              <w:pageBreakBefore w:val="0"/>
              <w:widowControl w:val="0"/>
              <w:kinsoku/>
              <w:overflowPunct/>
              <w:topLinePunct w:val="0"/>
              <w:autoSpaceDE w:val="0"/>
              <w:autoSpaceDN w:val="0"/>
              <w:bidi w:val="0"/>
              <w:adjustRightInd/>
              <w:spacing w:line="360" w:lineRule="exact"/>
              <w:ind w:firstLine="221" w:firstLineChars="100"/>
              <w:textAlignment w:val="auto"/>
              <w:rPr>
                <w:rFonts w:ascii="仿宋" w:hAnsi="仿宋" w:eastAsia="仿宋" w:cs="仿宋"/>
                <w:color w:val="auto"/>
                <w:spacing w:val="-2"/>
                <w:sz w:val="22"/>
                <w:szCs w:val="22"/>
                <w:lang w:val="en-US"/>
              </w:rPr>
            </w:pPr>
            <w:r>
              <w:rPr>
                <w:rFonts w:hint="eastAsia" w:ascii="宋体" w:hAnsi="宋体" w:cs="宋体"/>
                <w:b/>
                <w:color w:val="auto"/>
                <w:kern w:val="0"/>
                <w:sz w:val="22"/>
                <w:szCs w:val="22"/>
              </w:rPr>
              <w:t>投标人对根据修正原则修正后的报价不确认的</w:t>
            </w:r>
            <w:r>
              <w:rPr>
                <w:rFonts w:hint="eastAsia" w:ascii="宋体" w:hAnsi="宋体" w:cs="宋体"/>
                <w:b/>
                <w:color w:val="auto"/>
                <w:sz w:val="22"/>
                <w:szCs w:val="22"/>
              </w:rPr>
              <w:t>。</w:t>
            </w:r>
          </w:p>
        </w:tc>
      </w:tr>
      <w:tr w14:paraId="4B6D8FB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2308F1F0">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宋体" w:hAnsi="宋体" w:eastAsia="宋体" w:cs="宋体"/>
                <w:b w:val="0"/>
                <w:bCs/>
                <w:color w:val="auto"/>
                <w:sz w:val="22"/>
                <w:szCs w:val="22"/>
                <w:lang w:val="en-US" w:eastAsia="zh-CN"/>
              </w:rPr>
            </w:pPr>
            <w:r>
              <w:rPr>
                <w:rFonts w:hint="eastAsia" w:cs="宋体"/>
                <w:b w:val="0"/>
                <w:bCs/>
                <w:color w:val="auto"/>
                <w:sz w:val="22"/>
                <w:szCs w:val="22"/>
                <w:lang w:val="en-US" w:eastAsia="zh-CN"/>
              </w:rPr>
              <w:t>20</w:t>
            </w:r>
          </w:p>
        </w:tc>
        <w:tc>
          <w:tcPr>
            <w:tcW w:w="1785" w:type="dxa"/>
            <w:tcBorders>
              <w:tl2br w:val="nil"/>
              <w:tr2bl w:val="nil"/>
            </w:tcBorders>
            <w:vAlign w:val="center"/>
          </w:tcPr>
          <w:p w14:paraId="28D45500">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宋体" w:hAnsi="宋体" w:cs="宋体"/>
                <w:b/>
                <w:color w:val="auto"/>
                <w:sz w:val="22"/>
                <w:szCs w:val="22"/>
              </w:rPr>
            </w:pPr>
            <w:r>
              <w:rPr>
                <w:rFonts w:hint="eastAsia" w:ascii="宋体" w:hAnsi="宋体" w:eastAsia="宋体" w:cs="宋体"/>
                <w:b w:val="0"/>
                <w:bCs/>
                <w:color w:val="auto"/>
                <w:sz w:val="22"/>
                <w:szCs w:val="22"/>
              </w:rPr>
              <w:t>专门面向中小企业预留采购份额情况</w:t>
            </w:r>
          </w:p>
        </w:tc>
        <w:tc>
          <w:tcPr>
            <w:tcW w:w="6570" w:type="dxa"/>
            <w:tcBorders>
              <w:tl2br w:val="nil"/>
              <w:tr2bl w:val="nil"/>
            </w:tcBorders>
            <w:vAlign w:val="center"/>
          </w:tcPr>
          <w:p w14:paraId="11E39B64">
            <w:pPr>
              <w:keepNext w:val="0"/>
              <w:keepLines w:val="0"/>
              <w:pageBreakBefore w:val="0"/>
              <w:widowControl w:val="0"/>
              <w:kinsoku/>
              <w:overflowPunct/>
              <w:topLinePunct w:val="0"/>
              <w:autoSpaceDE w:val="0"/>
              <w:autoSpaceDN w:val="0"/>
              <w:bidi w:val="0"/>
              <w:adjustRightInd/>
              <w:spacing w:line="360" w:lineRule="exact"/>
              <w:textAlignment w:val="auto"/>
              <w:rPr>
                <w:rFonts w:hint="eastAsia" w:ascii="宋体" w:hAnsi="宋体" w:eastAsia="宋体" w:cs="宋体"/>
                <w:color w:val="auto"/>
                <w:kern w:val="0"/>
                <w:sz w:val="22"/>
                <w:szCs w:val="22"/>
                <w:lang w:val="en-US" w:eastAsia="zh-CN"/>
              </w:rPr>
            </w:pPr>
            <w:r>
              <w:rPr>
                <w:rFonts w:hint="eastAsia" w:cs="宋体"/>
                <w:b w:val="0"/>
                <w:bCs w:val="0"/>
                <w:color w:val="auto"/>
                <w:kern w:val="0"/>
                <w:sz w:val="22"/>
                <w:szCs w:val="22"/>
                <w:lang w:val="en-US" w:eastAsia="zh-CN"/>
              </w:rPr>
              <w:t>☐</w:t>
            </w:r>
            <w:r>
              <w:rPr>
                <w:rFonts w:hint="eastAsia" w:ascii="宋体" w:hAnsi="宋体" w:eastAsia="宋体" w:cs="宋体"/>
                <w:color w:val="auto"/>
                <w:kern w:val="0"/>
                <w:sz w:val="22"/>
                <w:szCs w:val="22"/>
                <w:lang w:val="en-US" w:eastAsia="zh-CN"/>
              </w:rPr>
              <w:t>专门面向中小企业采购的采购项目</w:t>
            </w:r>
          </w:p>
          <w:p w14:paraId="7C9E7B5E">
            <w:pPr>
              <w:keepNext w:val="0"/>
              <w:keepLines w:val="0"/>
              <w:pageBreakBefore w:val="0"/>
              <w:widowControl w:val="0"/>
              <w:kinsoku/>
              <w:overflowPunct/>
              <w:topLinePunct w:val="0"/>
              <w:autoSpaceDE w:val="0"/>
              <w:autoSpaceDN w:val="0"/>
              <w:bidi w:val="0"/>
              <w:adjustRightInd/>
              <w:spacing w:line="360" w:lineRule="exact"/>
              <w:textAlignment w:val="auto"/>
              <w:rPr>
                <w:rFonts w:hint="default" w:ascii="宋体" w:hAnsi="宋体" w:eastAsia="宋体" w:cs="宋体"/>
                <w:b/>
                <w:color w:val="auto"/>
                <w:kern w:val="0"/>
                <w:sz w:val="22"/>
                <w:szCs w:val="22"/>
                <w:lang w:val="en-US" w:eastAsia="zh-CN"/>
              </w:rPr>
            </w:pPr>
            <w:sdt>
              <w:sdtPr>
                <w:rPr>
                  <w:rFonts w:hint="eastAsia" w:ascii="宋体" w:hAnsi="宋体" w:cs="宋体"/>
                  <w:color w:val="auto"/>
                  <w:kern w:val="0"/>
                  <w:sz w:val="24"/>
                </w:rPr>
                <w:id w:val="1474773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eastAsia="宋体" w:cs="宋体"/>
                <w:color w:val="auto"/>
                <w:kern w:val="0"/>
                <w:sz w:val="22"/>
                <w:szCs w:val="22"/>
                <w:lang w:val="en-US" w:eastAsia="zh-CN"/>
              </w:rPr>
              <w:t>非预留（或部分预留）份额专门面向中小企业采购的采购项目</w:t>
            </w:r>
          </w:p>
        </w:tc>
      </w:tr>
      <w:tr w14:paraId="5E28C9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4F31767B">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仿宋" w:hAnsi="仿宋" w:eastAsia="仿宋" w:cs="仿宋"/>
                <w:color w:val="auto"/>
                <w:sz w:val="22"/>
                <w:szCs w:val="22"/>
                <w:lang w:val="en-US" w:eastAsia="zh-CN" w:bidi="zh-CN"/>
              </w:rPr>
            </w:pPr>
            <w:r>
              <w:rPr>
                <w:rFonts w:hint="eastAsia" w:cs="宋体"/>
                <w:b w:val="0"/>
                <w:bCs/>
                <w:color w:val="auto"/>
                <w:sz w:val="22"/>
                <w:szCs w:val="22"/>
                <w:lang w:val="en-US" w:eastAsia="zh-CN"/>
              </w:rPr>
              <w:t>21</w:t>
            </w:r>
          </w:p>
        </w:tc>
        <w:tc>
          <w:tcPr>
            <w:tcW w:w="1785" w:type="dxa"/>
            <w:tcBorders>
              <w:tl2br w:val="nil"/>
              <w:tr2bl w:val="nil"/>
            </w:tcBorders>
            <w:vAlign w:val="center"/>
          </w:tcPr>
          <w:p w14:paraId="0C121B4E">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中小企业</w:t>
            </w:r>
          </w:p>
          <w:p w14:paraId="6120818A">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b/>
                <w:color w:val="auto"/>
                <w:sz w:val="22"/>
                <w:szCs w:val="22"/>
                <w:lang w:val="en-US"/>
              </w:rPr>
            </w:pPr>
            <w:r>
              <w:rPr>
                <w:rFonts w:hint="eastAsia" w:ascii="宋体" w:hAnsi="宋体" w:eastAsia="宋体" w:cs="宋体"/>
                <w:b w:val="0"/>
                <w:bCs/>
                <w:color w:val="auto"/>
                <w:sz w:val="22"/>
                <w:szCs w:val="22"/>
              </w:rPr>
              <w:t>信用融资</w:t>
            </w:r>
          </w:p>
        </w:tc>
        <w:tc>
          <w:tcPr>
            <w:tcW w:w="6570" w:type="dxa"/>
            <w:tcBorders>
              <w:tl2br w:val="nil"/>
              <w:tr2bl w:val="nil"/>
            </w:tcBorders>
            <w:vAlign w:val="center"/>
          </w:tcPr>
          <w:p w14:paraId="5C9A8218">
            <w:pPr>
              <w:keepNext w:val="0"/>
              <w:keepLines w:val="0"/>
              <w:pageBreakBefore w:val="0"/>
              <w:widowControl w:val="0"/>
              <w:kinsoku/>
              <w:wordWrap w:val="0"/>
              <w:overflowPunct/>
              <w:topLinePunct w:val="0"/>
              <w:autoSpaceDE w:val="0"/>
              <w:autoSpaceDN w:val="0"/>
              <w:bidi w:val="0"/>
              <w:adjustRightInd/>
              <w:spacing w:line="360" w:lineRule="exact"/>
              <w:textAlignment w:val="auto"/>
              <w:rPr>
                <w:rFonts w:ascii="仿宋" w:hAnsi="仿宋" w:eastAsia="仿宋" w:cs="仿宋"/>
                <w:b/>
                <w:bCs/>
                <w:color w:val="auto"/>
                <w:sz w:val="22"/>
                <w:szCs w:val="22"/>
              </w:rPr>
            </w:pPr>
            <w:r>
              <w:rPr>
                <w:rFonts w:hint="eastAsia" w:ascii="宋体" w:hAnsi="宋体" w:eastAsia="宋体" w:cs="宋体"/>
                <w:snapToGrid w:val="0"/>
                <w:color w:val="auto"/>
                <w:kern w:val="28"/>
                <w:sz w:val="22"/>
                <w:szCs w:val="22"/>
              </w:rPr>
              <w:t>为支持和促进中小企业发展，</w:t>
            </w:r>
            <w:r>
              <w:rPr>
                <w:rFonts w:hint="eastAsia" w:cs="宋体"/>
                <w:snapToGrid w:val="0"/>
                <w:color w:val="auto"/>
                <w:kern w:val="28"/>
                <w:sz w:val="22"/>
                <w:szCs w:val="22"/>
                <w:lang w:eastAsia="zh-CN"/>
              </w:rPr>
              <w:t>投标人</w:t>
            </w:r>
            <w:r>
              <w:rPr>
                <w:rFonts w:hint="eastAsia" w:ascii="宋体" w:hAnsi="宋体" w:eastAsia="宋体" w:cs="宋体"/>
                <w:snapToGrid w:val="0"/>
                <w:color w:val="auto"/>
                <w:kern w:val="28"/>
                <w:sz w:val="22"/>
                <w:szCs w:val="22"/>
              </w:rPr>
              <w:t>若有融资意向，可直接登录http://jinrong.zcygov.cn，查看信用融资政策文件及各相关银行服务方案，也可直接向各银行咨询相关业务。</w:t>
            </w:r>
          </w:p>
        </w:tc>
      </w:tr>
      <w:tr w14:paraId="78D726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6AF1C714">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ascii="仿宋" w:hAnsi="仿宋" w:eastAsia="仿宋" w:cs="仿宋"/>
                <w:color w:val="auto"/>
                <w:sz w:val="22"/>
                <w:szCs w:val="22"/>
                <w:lang w:val="en-US" w:eastAsia="zh-CN" w:bidi="zh-CN"/>
              </w:rPr>
            </w:pPr>
            <w:r>
              <w:rPr>
                <w:rFonts w:hint="eastAsia" w:cs="宋体"/>
                <w:b w:val="0"/>
                <w:bCs/>
                <w:color w:val="auto"/>
                <w:sz w:val="22"/>
                <w:szCs w:val="22"/>
                <w:lang w:val="en-US" w:eastAsia="zh-CN"/>
              </w:rPr>
              <w:t>22</w:t>
            </w:r>
          </w:p>
        </w:tc>
        <w:tc>
          <w:tcPr>
            <w:tcW w:w="1785" w:type="dxa"/>
            <w:tcBorders>
              <w:tl2br w:val="nil"/>
              <w:tr2bl w:val="nil"/>
            </w:tcBorders>
            <w:vAlign w:val="center"/>
          </w:tcPr>
          <w:p w14:paraId="2C8DF2D6">
            <w:pPr>
              <w:pStyle w:val="39"/>
              <w:keepNext w:val="0"/>
              <w:keepLines w:val="0"/>
              <w:pageBreakBefore w:val="0"/>
              <w:widowControl w:val="0"/>
              <w:kinsoku/>
              <w:wordWrap w:val="0"/>
              <w:overflowPunct/>
              <w:topLinePunct w:val="0"/>
              <w:autoSpaceDE w:val="0"/>
              <w:autoSpaceDN w:val="0"/>
              <w:bidi w:val="0"/>
              <w:adjustRightInd/>
              <w:snapToGrid/>
              <w:spacing w:line="360" w:lineRule="exact"/>
              <w:jc w:val="center"/>
              <w:textAlignment w:val="auto"/>
              <w:rPr>
                <w:rFonts w:hint="eastAsia" w:ascii="宋体" w:hAnsi="宋体" w:eastAsia="宋体" w:cs="宋体"/>
                <w:b w:val="0"/>
                <w:bCs/>
                <w:color w:val="auto"/>
                <w:sz w:val="22"/>
                <w:szCs w:val="22"/>
                <w:lang w:val="en-US"/>
              </w:rPr>
            </w:pPr>
            <w:r>
              <w:rPr>
                <w:rFonts w:hint="eastAsia" w:ascii="宋体" w:hAnsi="宋体" w:eastAsia="宋体" w:cs="宋体"/>
                <w:b w:val="0"/>
                <w:bCs/>
                <w:color w:val="auto"/>
                <w:sz w:val="22"/>
                <w:szCs w:val="22"/>
                <w:lang w:val="en-US"/>
              </w:rPr>
              <w:t>电子招投标</w:t>
            </w:r>
          </w:p>
          <w:p w14:paraId="0B05B1F6">
            <w:pPr>
              <w:pStyle w:val="39"/>
              <w:keepNext w:val="0"/>
              <w:keepLines w:val="0"/>
              <w:pageBreakBefore w:val="0"/>
              <w:widowControl w:val="0"/>
              <w:kinsoku/>
              <w:wordWrap w:val="0"/>
              <w:overflowPunct/>
              <w:topLinePunct w:val="0"/>
              <w:autoSpaceDE w:val="0"/>
              <w:autoSpaceDN w:val="0"/>
              <w:bidi w:val="0"/>
              <w:adjustRightInd/>
              <w:snapToGrid/>
              <w:spacing w:line="360" w:lineRule="exact"/>
              <w:jc w:val="center"/>
              <w:textAlignment w:val="auto"/>
              <w:rPr>
                <w:rFonts w:ascii="仿宋" w:hAnsi="仿宋" w:eastAsia="仿宋" w:cs="仿宋"/>
                <w:color w:val="auto"/>
                <w:sz w:val="22"/>
                <w:szCs w:val="22"/>
                <w:lang w:val="en-US"/>
              </w:rPr>
            </w:pPr>
            <w:r>
              <w:rPr>
                <w:rFonts w:hint="eastAsia" w:ascii="宋体" w:hAnsi="宋体" w:eastAsia="宋体" w:cs="宋体"/>
                <w:b w:val="0"/>
                <w:bCs/>
                <w:color w:val="auto"/>
                <w:sz w:val="22"/>
                <w:szCs w:val="22"/>
                <w:lang w:val="en-US"/>
              </w:rPr>
              <w:t>注意事项</w:t>
            </w:r>
          </w:p>
        </w:tc>
        <w:tc>
          <w:tcPr>
            <w:tcW w:w="6570" w:type="dxa"/>
            <w:tcBorders>
              <w:tl2br w:val="nil"/>
              <w:tr2bl w:val="nil"/>
            </w:tcBorders>
            <w:vAlign w:val="center"/>
          </w:tcPr>
          <w:p w14:paraId="0A071C34">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本项目实行网上投标，采用全流程电子化交易，</w:t>
            </w:r>
            <w:r>
              <w:rPr>
                <w:rFonts w:hint="eastAsia" w:cs="宋体"/>
                <w:b w:val="0"/>
                <w:bCs w:val="0"/>
                <w:color w:val="auto"/>
                <w:sz w:val="22"/>
                <w:szCs w:val="22"/>
                <w:lang w:eastAsia="zh-CN"/>
              </w:rPr>
              <w:t>投标人</w:t>
            </w:r>
            <w:r>
              <w:rPr>
                <w:rFonts w:hint="eastAsia" w:ascii="宋体" w:hAnsi="宋体" w:eastAsia="宋体" w:cs="宋体"/>
                <w:b w:val="0"/>
                <w:bCs w:val="0"/>
                <w:color w:val="auto"/>
                <w:sz w:val="22"/>
                <w:szCs w:val="22"/>
              </w:rPr>
              <w:t>应准备电子投标文件（包括加密文件和备份文件），电子投标文件应按“政采云电子交易客户端”及本采购文件要求制作、加密并递交。</w:t>
            </w:r>
          </w:p>
          <w:p w14:paraId="7F526021">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电子投标文件（加密文件）上传至政采云平台，电子投标文件（备份文件）拷入</w:t>
            </w:r>
            <w:r>
              <w:rPr>
                <w:rFonts w:hint="eastAsia" w:ascii="宋体" w:hAnsi="宋体" w:eastAsia="宋体" w:cs="宋体"/>
                <w:b w:val="0"/>
                <w:bCs w:val="0"/>
                <w:color w:val="auto"/>
                <w:sz w:val="22"/>
                <w:szCs w:val="22"/>
                <w:lang w:val="en-US"/>
              </w:rPr>
              <w:t xml:space="preserve"> </w:t>
            </w:r>
            <w:r>
              <w:rPr>
                <w:rFonts w:hint="eastAsia" w:ascii="宋体" w:hAnsi="宋体" w:eastAsia="宋体" w:cs="宋体"/>
                <w:b w:val="0"/>
                <w:bCs w:val="0"/>
                <w:color w:val="auto"/>
                <w:sz w:val="22"/>
                <w:szCs w:val="22"/>
              </w:rPr>
              <w:t>U 盘，数量 1 份，密封包装，于响应截止时间前邮寄或现场递交至代理机构处，</w:t>
            </w:r>
            <w:r>
              <w:rPr>
                <w:rFonts w:hint="eastAsia" w:ascii="宋体" w:hAnsi="宋体" w:eastAsia="宋体" w:cs="宋体"/>
                <w:b/>
                <w:bCs/>
                <w:color w:val="auto"/>
                <w:sz w:val="22"/>
                <w:szCs w:val="22"/>
              </w:rPr>
              <w:t>但不强制要求提交</w:t>
            </w:r>
            <w:r>
              <w:rPr>
                <w:rFonts w:hint="eastAsia" w:ascii="宋体" w:hAnsi="宋体" w:eastAsia="宋体" w:cs="宋体"/>
                <w:b w:val="0"/>
                <w:bCs w:val="0"/>
                <w:color w:val="auto"/>
                <w:sz w:val="22"/>
                <w:szCs w:val="22"/>
              </w:rPr>
              <w:t>。逾期提交的代理机构将拒绝。</w:t>
            </w:r>
          </w:p>
          <w:p w14:paraId="49E8EFE6">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投标文件由资格审查文件、技术商务文件、报价文件三部分组成。</w:t>
            </w:r>
          </w:p>
          <w:p w14:paraId="21064C11">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备份响应文件送达地点：</w:t>
            </w:r>
            <w:r>
              <w:rPr>
                <w:rFonts w:hint="eastAsia" w:ascii="宋体" w:hAnsi="宋体" w:eastAsia="宋体" w:cs="宋体"/>
                <w:b w:val="0"/>
                <w:bCs w:val="0"/>
                <w:i w:val="0"/>
                <w:iCs w:val="0"/>
                <w:color w:val="auto"/>
                <w:sz w:val="22"/>
                <w:szCs w:val="22"/>
                <w:u w:val="single"/>
              </w:rPr>
              <w:t>苍南县灵溪镇体育场路505-507号</w:t>
            </w:r>
            <w:r>
              <w:rPr>
                <w:rFonts w:hint="eastAsia" w:ascii="宋体" w:hAnsi="宋体" w:eastAsia="宋体" w:cs="宋体"/>
                <w:b w:val="0"/>
                <w:bCs w:val="0"/>
                <w:color w:val="auto"/>
                <w:sz w:val="22"/>
                <w:szCs w:val="22"/>
              </w:rPr>
              <w:t>；备份响应文件签收人员联系电话：</w:t>
            </w:r>
            <w:r>
              <w:rPr>
                <w:rFonts w:hint="eastAsia" w:ascii="宋体" w:hAnsi="宋体" w:eastAsia="宋体" w:cs="宋体"/>
                <w:b w:val="0"/>
                <w:bCs w:val="0"/>
                <w:color w:val="auto"/>
                <w:sz w:val="22"/>
                <w:szCs w:val="22"/>
                <w:u w:val="single"/>
              </w:rPr>
              <w:t>陈先生，18267833829</w:t>
            </w:r>
            <w:r>
              <w:rPr>
                <w:rFonts w:hint="eastAsia" w:ascii="宋体" w:hAnsi="宋体" w:eastAsia="宋体" w:cs="宋体"/>
                <w:b w:val="0"/>
                <w:bCs w:val="0"/>
                <w:color w:val="auto"/>
                <w:sz w:val="22"/>
                <w:szCs w:val="22"/>
              </w:rPr>
              <w:t>。</w:t>
            </w:r>
          </w:p>
          <w:p w14:paraId="0AE47DA7">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rPr>
                <w:rFonts w:ascii="仿宋" w:hAnsi="仿宋" w:eastAsia="仿宋" w:cs="仿宋"/>
                <w:color w:val="auto"/>
                <w:sz w:val="22"/>
                <w:szCs w:val="22"/>
              </w:rPr>
            </w:pPr>
            <w:r>
              <w:rPr>
                <w:rFonts w:hint="eastAsia" w:ascii="宋体" w:hAnsi="宋体" w:eastAsia="宋体" w:cs="宋体"/>
                <w:b w:val="0"/>
                <w:bCs w:val="0"/>
                <w:color w:val="auto"/>
                <w:sz w:val="22"/>
                <w:szCs w:val="22"/>
              </w:rPr>
              <w:t>投标人务必按规定时间自行解密，若因政采云平台系统原因或者 CA 锁原因导致在规定时间内解密失败的，由代理机构在评标现场当场拆封并上传电子备份文件，若备份文件未提供或读取失败的作无效响应处理。</w:t>
            </w:r>
          </w:p>
        </w:tc>
      </w:tr>
      <w:tr w14:paraId="460C09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21EB87DB">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hint="default" w:cs="宋体"/>
                <w:b w:val="0"/>
                <w:bCs/>
                <w:color w:val="auto"/>
                <w:sz w:val="22"/>
                <w:szCs w:val="22"/>
                <w:lang w:val="en-US" w:eastAsia="zh-CN"/>
              </w:rPr>
            </w:pPr>
            <w:r>
              <w:rPr>
                <w:rFonts w:hint="eastAsia" w:cs="宋体"/>
                <w:b w:val="0"/>
                <w:bCs/>
                <w:color w:val="auto"/>
                <w:sz w:val="22"/>
                <w:szCs w:val="22"/>
                <w:lang w:val="en-US" w:eastAsia="zh-CN"/>
              </w:rPr>
              <w:t>23</w:t>
            </w:r>
          </w:p>
        </w:tc>
        <w:tc>
          <w:tcPr>
            <w:tcW w:w="1785" w:type="dxa"/>
            <w:tcBorders>
              <w:tl2br w:val="nil"/>
              <w:tr2bl w:val="nil"/>
            </w:tcBorders>
            <w:vAlign w:val="center"/>
          </w:tcPr>
          <w:p w14:paraId="228AF407">
            <w:pPr>
              <w:pStyle w:val="39"/>
              <w:keepNext w:val="0"/>
              <w:keepLines w:val="0"/>
              <w:pageBreakBefore w:val="0"/>
              <w:widowControl w:val="0"/>
              <w:kinsoku/>
              <w:wordWrap w:val="0"/>
              <w:overflowPunct/>
              <w:topLinePunct w:val="0"/>
              <w:autoSpaceDE w:val="0"/>
              <w:autoSpaceDN w:val="0"/>
              <w:bidi w:val="0"/>
              <w:adjustRightInd/>
              <w:snapToGrid/>
              <w:spacing w:line="360" w:lineRule="exact"/>
              <w:jc w:val="center"/>
              <w:textAlignment w:val="auto"/>
              <w:rPr>
                <w:rFonts w:hint="eastAsia" w:cs="宋体"/>
                <w:b w:val="0"/>
                <w:bCs/>
                <w:color w:val="auto"/>
                <w:sz w:val="22"/>
                <w:szCs w:val="22"/>
                <w:lang w:val="en-US" w:eastAsia="zh-CN"/>
              </w:rPr>
            </w:pPr>
            <w:r>
              <w:rPr>
                <w:rFonts w:hint="eastAsia" w:cs="宋体"/>
                <w:b w:val="0"/>
                <w:bCs/>
                <w:color w:val="auto"/>
                <w:sz w:val="22"/>
                <w:szCs w:val="22"/>
                <w:lang w:val="en-US" w:eastAsia="zh-CN"/>
              </w:rPr>
              <w:t>管理系统</w:t>
            </w:r>
          </w:p>
          <w:p w14:paraId="759BF669">
            <w:pPr>
              <w:pStyle w:val="39"/>
              <w:keepNext w:val="0"/>
              <w:keepLines w:val="0"/>
              <w:pageBreakBefore w:val="0"/>
              <w:widowControl w:val="0"/>
              <w:kinsoku/>
              <w:wordWrap w:val="0"/>
              <w:overflowPunct/>
              <w:topLinePunct w:val="0"/>
              <w:autoSpaceDE w:val="0"/>
              <w:autoSpaceDN w:val="0"/>
              <w:bidi w:val="0"/>
              <w:adjustRightInd/>
              <w:snapToGrid/>
              <w:spacing w:line="360" w:lineRule="exact"/>
              <w:jc w:val="center"/>
              <w:textAlignment w:val="auto"/>
              <w:rPr>
                <w:rFonts w:hint="default" w:ascii="宋体" w:hAnsi="宋体" w:eastAsia="宋体" w:cs="宋体"/>
                <w:b w:val="0"/>
                <w:bCs/>
                <w:color w:val="auto"/>
                <w:sz w:val="22"/>
                <w:szCs w:val="22"/>
                <w:lang w:val="en-US" w:eastAsia="zh-CN"/>
              </w:rPr>
            </w:pPr>
            <w:r>
              <w:rPr>
                <w:rFonts w:hint="eastAsia" w:cs="宋体"/>
                <w:b w:val="0"/>
                <w:bCs/>
                <w:color w:val="auto"/>
                <w:sz w:val="22"/>
                <w:szCs w:val="22"/>
                <w:lang w:val="en-US" w:eastAsia="zh-CN"/>
              </w:rPr>
              <w:t>演示资料</w:t>
            </w:r>
          </w:p>
        </w:tc>
        <w:tc>
          <w:tcPr>
            <w:tcW w:w="6570" w:type="dxa"/>
            <w:tcBorders>
              <w:tl2br w:val="nil"/>
              <w:tr2bl w:val="nil"/>
            </w:tcBorders>
            <w:vAlign w:val="center"/>
          </w:tcPr>
          <w:p w14:paraId="6573E7FB">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需要。投标</w:t>
            </w:r>
            <w:r>
              <w:rPr>
                <w:rFonts w:hint="eastAsia" w:cs="宋体"/>
                <w:b w:val="0"/>
                <w:bCs w:val="0"/>
                <w:color w:val="auto"/>
                <w:sz w:val="22"/>
                <w:szCs w:val="22"/>
                <w:lang w:val="en-US" w:eastAsia="zh-CN"/>
              </w:rPr>
              <w:t>人</w:t>
            </w:r>
            <w:r>
              <w:rPr>
                <w:rFonts w:hint="eastAsia" w:ascii="宋体" w:hAnsi="宋体" w:eastAsia="宋体" w:cs="宋体"/>
                <w:b w:val="0"/>
                <w:bCs w:val="0"/>
                <w:color w:val="auto"/>
                <w:sz w:val="22"/>
                <w:szCs w:val="22"/>
              </w:rPr>
              <w:t>依据</w:t>
            </w:r>
            <w:r>
              <w:rPr>
                <w:rFonts w:hint="eastAsia" w:cs="宋体"/>
                <w:b w:val="0"/>
                <w:bCs w:val="0"/>
                <w:color w:val="auto"/>
                <w:sz w:val="22"/>
                <w:szCs w:val="22"/>
                <w:lang w:eastAsia="zh-CN"/>
              </w:rPr>
              <w:t>“</w:t>
            </w:r>
            <w:r>
              <w:rPr>
                <w:rFonts w:hint="eastAsia" w:ascii="宋体" w:hAnsi="宋体" w:eastAsia="宋体" w:cs="宋体"/>
                <w:b w:val="0"/>
                <w:bCs w:val="0"/>
                <w:color w:val="auto"/>
                <w:sz w:val="22"/>
                <w:szCs w:val="22"/>
              </w:rPr>
              <w:t>第</w:t>
            </w:r>
            <w:r>
              <w:rPr>
                <w:rFonts w:hint="eastAsia" w:cs="宋体"/>
                <w:b w:val="0"/>
                <w:bCs w:val="0"/>
                <w:color w:val="auto"/>
                <w:sz w:val="22"/>
                <w:szCs w:val="22"/>
                <w:lang w:val="en-US" w:eastAsia="zh-CN"/>
              </w:rPr>
              <w:t>四部分</w:t>
            </w:r>
            <w:r>
              <w:rPr>
                <w:rFonts w:hint="eastAsia" w:ascii="宋体" w:hAnsi="宋体" w:eastAsia="宋体" w:cs="宋体"/>
                <w:b w:val="0"/>
                <w:bCs w:val="0"/>
                <w:color w:val="auto"/>
                <w:sz w:val="22"/>
                <w:szCs w:val="22"/>
              </w:rPr>
              <w:t xml:space="preserve"> 评标办法</w:t>
            </w:r>
            <w:r>
              <w:rPr>
                <w:rFonts w:hint="eastAsia" w:cs="宋体"/>
                <w:b w:val="0"/>
                <w:bCs w:val="0"/>
                <w:color w:val="auto"/>
                <w:sz w:val="22"/>
                <w:szCs w:val="22"/>
                <w:lang w:eastAsia="zh-CN"/>
              </w:rPr>
              <w:t>”</w:t>
            </w:r>
            <w:r>
              <w:rPr>
                <w:rFonts w:hint="eastAsia" w:ascii="宋体" w:hAnsi="宋体" w:eastAsia="宋体" w:cs="宋体"/>
                <w:b w:val="0"/>
                <w:bCs w:val="0"/>
                <w:color w:val="auto"/>
                <w:sz w:val="22"/>
                <w:szCs w:val="22"/>
              </w:rPr>
              <w:t>内容需提供演示</w:t>
            </w:r>
            <w:r>
              <w:rPr>
                <w:rFonts w:hint="eastAsia" w:cs="宋体"/>
                <w:b w:val="0"/>
                <w:bCs w:val="0"/>
                <w:color w:val="auto"/>
                <w:sz w:val="22"/>
                <w:szCs w:val="22"/>
                <w:lang w:val="en-US" w:eastAsia="zh-CN"/>
              </w:rPr>
              <w:t>资料</w:t>
            </w:r>
            <w:r>
              <w:rPr>
                <w:rFonts w:hint="eastAsia" w:ascii="宋体" w:hAnsi="宋体" w:eastAsia="宋体" w:cs="宋体"/>
                <w:b w:val="0"/>
                <w:bCs w:val="0"/>
                <w:color w:val="auto"/>
                <w:sz w:val="22"/>
                <w:szCs w:val="22"/>
              </w:rPr>
              <w:t xml:space="preserve"> 1 份，存储介质为 U盘，演示</w:t>
            </w:r>
            <w:r>
              <w:rPr>
                <w:rFonts w:hint="eastAsia" w:cs="宋体"/>
                <w:b w:val="0"/>
                <w:bCs w:val="0"/>
                <w:color w:val="auto"/>
                <w:sz w:val="22"/>
                <w:szCs w:val="22"/>
                <w:lang w:val="en-US" w:eastAsia="zh-CN"/>
              </w:rPr>
              <w:t>时间不超过10分钟。</w:t>
            </w:r>
            <w:r>
              <w:rPr>
                <w:rFonts w:hint="eastAsia" w:ascii="宋体" w:hAnsi="宋体" w:eastAsia="宋体" w:cs="宋体"/>
                <w:b w:val="0"/>
                <w:bCs w:val="0"/>
                <w:color w:val="auto"/>
                <w:sz w:val="22"/>
                <w:szCs w:val="22"/>
              </w:rPr>
              <w:t>并将存储介质装进密封袋中单独密封，在密封袋上标记投标项目名称、项目编号、投标</w:t>
            </w:r>
            <w:r>
              <w:rPr>
                <w:rFonts w:hint="eastAsia" w:cs="宋体"/>
                <w:b w:val="0"/>
                <w:bCs w:val="0"/>
                <w:color w:val="auto"/>
                <w:sz w:val="22"/>
                <w:szCs w:val="22"/>
                <w:lang w:val="en-US" w:eastAsia="zh-CN"/>
              </w:rPr>
              <w:t>人</w:t>
            </w:r>
            <w:r>
              <w:rPr>
                <w:rFonts w:hint="eastAsia" w:ascii="宋体" w:hAnsi="宋体" w:eastAsia="宋体" w:cs="宋体"/>
                <w:b w:val="0"/>
                <w:bCs w:val="0"/>
                <w:color w:val="auto"/>
                <w:sz w:val="22"/>
                <w:szCs w:val="22"/>
              </w:rPr>
              <w:t>名称、评标时启封字样加盖</w:t>
            </w:r>
            <w:r>
              <w:rPr>
                <w:rFonts w:hint="eastAsia" w:cs="宋体"/>
                <w:b w:val="0"/>
                <w:bCs w:val="0"/>
                <w:color w:val="auto"/>
                <w:sz w:val="22"/>
                <w:szCs w:val="22"/>
                <w:lang w:val="en-US" w:eastAsia="zh-CN"/>
              </w:rPr>
              <w:t>投标人</w:t>
            </w:r>
            <w:r>
              <w:rPr>
                <w:rFonts w:hint="eastAsia" w:ascii="宋体" w:hAnsi="宋体" w:eastAsia="宋体" w:cs="宋体"/>
                <w:b w:val="0"/>
                <w:bCs w:val="0"/>
                <w:color w:val="auto"/>
                <w:sz w:val="22"/>
                <w:szCs w:val="22"/>
              </w:rPr>
              <w:t>公章</w:t>
            </w:r>
            <w:r>
              <w:rPr>
                <w:rFonts w:hint="eastAsia" w:cs="宋体"/>
                <w:b w:val="0"/>
                <w:bCs w:val="0"/>
                <w:color w:val="auto"/>
                <w:sz w:val="22"/>
                <w:szCs w:val="22"/>
                <w:lang w:eastAsia="zh-CN"/>
              </w:rPr>
              <w:t>（</w:t>
            </w:r>
            <w:r>
              <w:rPr>
                <w:rFonts w:hint="eastAsia" w:cs="宋体"/>
                <w:b w:val="0"/>
                <w:bCs w:val="0"/>
                <w:color w:val="auto"/>
                <w:sz w:val="22"/>
                <w:szCs w:val="22"/>
                <w:lang w:val="en-US" w:eastAsia="zh-CN"/>
              </w:rPr>
              <w:t>联合体投标的，联合体各方均应加盖公章</w:t>
            </w:r>
            <w:r>
              <w:rPr>
                <w:rFonts w:hint="eastAsia" w:cs="宋体"/>
                <w:b w:val="0"/>
                <w:bCs w:val="0"/>
                <w:color w:val="auto"/>
                <w:sz w:val="22"/>
                <w:szCs w:val="22"/>
                <w:lang w:eastAsia="zh-CN"/>
              </w:rPr>
              <w:t>）</w:t>
            </w:r>
            <w:r>
              <w:rPr>
                <w:rFonts w:hint="eastAsia" w:ascii="宋体" w:hAnsi="宋体" w:eastAsia="宋体" w:cs="宋体"/>
                <w:b w:val="0"/>
                <w:bCs w:val="0"/>
                <w:color w:val="auto"/>
                <w:sz w:val="22"/>
                <w:szCs w:val="22"/>
              </w:rPr>
              <w:t>。未提交或未按要求提交演示</w:t>
            </w:r>
            <w:r>
              <w:rPr>
                <w:rFonts w:hint="eastAsia" w:cs="宋体"/>
                <w:b w:val="0"/>
                <w:bCs w:val="0"/>
                <w:color w:val="auto"/>
                <w:sz w:val="22"/>
                <w:szCs w:val="22"/>
                <w:lang w:val="en-US" w:eastAsia="zh-CN"/>
              </w:rPr>
              <w:t>资料</w:t>
            </w:r>
            <w:r>
              <w:rPr>
                <w:rFonts w:hint="eastAsia" w:ascii="宋体" w:hAnsi="宋体" w:eastAsia="宋体" w:cs="宋体"/>
                <w:b w:val="0"/>
                <w:bCs w:val="0"/>
                <w:color w:val="auto"/>
                <w:sz w:val="22"/>
                <w:szCs w:val="22"/>
              </w:rPr>
              <w:t>造成的错评、漏评等不利因素是投标</w:t>
            </w:r>
            <w:r>
              <w:rPr>
                <w:rFonts w:hint="eastAsia" w:cs="宋体"/>
                <w:b w:val="0"/>
                <w:bCs w:val="0"/>
                <w:color w:val="auto"/>
                <w:sz w:val="22"/>
                <w:szCs w:val="22"/>
                <w:lang w:val="en-US" w:eastAsia="zh-CN"/>
              </w:rPr>
              <w:t>人</w:t>
            </w:r>
            <w:r>
              <w:rPr>
                <w:rFonts w:hint="eastAsia" w:ascii="宋体" w:hAnsi="宋体" w:eastAsia="宋体" w:cs="宋体"/>
                <w:b w:val="0"/>
                <w:bCs w:val="0"/>
                <w:color w:val="auto"/>
                <w:sz w:val="22"/>
                <w:szCs w:val="22"/>
              </w:rPr>
              <w:t>责任，评标委员会概不负责。演示</w:t>
            </w:r>
            <w:r>
              <w:rPr>
                <w:rFonts w:hint="eastAsia" w:cs="宋体"/>
                <w:b w:val="0"/>
                <w:bCs w:val="0"/>
                <w:color w:val="auto"/>
                <w:sz w:val="22"/>
                <w:szCs w:val="22"/>
                <w:lang w:val="en-US" w:eastAsia="zh-CN"/>
              </w:rPr>
              <w:t>资料</w:t>
            </w:r>
            <w:r>
              <w:rPr>
                <w:rFonts w:hint="eastAsia" w:ascii="宋体" w:hAnsi="宋体" w:eastAsia="宋体" w:cs="宋体"/>
                <w:b w:val="0"/>
                <w:bCs w:val="0"/>
                <w:color w:val="auto"/>
                <w:sz w:val="22"/>
                <w:szCs w:val="22"/>
              </w:rPr>
              <w:t>也可随电子投标文件（加密文件）存储同一 U盘。</w:t>
            </w:r>
          </w:p>
        </w:tc>
      </w:tr>
      <w:tr w14:paraId="47575E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153BA728">
            <w:pPr>
              <w:keepNext w:val="0"/>
              <w:keepLines w:val="0"/>
              <w:pageBreakBefore w:val="0"/>
              <w:widowControl w:val="0"/>
              <w:kinsoku/>
              <w:wordWrap w:val="0"/>
              <w:overflowPunct/>
              <w:topLinePunct w:val="0"/>
              <w:autoSpaceDE w:val="0"/>
              <w:autoSpaceDN w:val="0"/>
              <w:bidi w:val="0"/>
              <w:adjustRightInd/>
              <w:spacing w:line="360" w:lineRule="exact"/>
              <w:jc w:val="center"/>
              <w:textAlignment w:val="auto"/>
              <w:rPr>
                <w:rFonts w:hint="default" w:ascii="仿宋" w:hAnsi="仿宋" w:eastAsia="仿宋" w:cs="仿宋"/>
                <w:color w:val="auto"/>
                <w:sz w:val="22"/>
                <w:szCs w:val="22"/>
                <w:lang w:val="en-US" w:eastAsia="zh-CN" w:bidi="zh-CN"/>
              </w:rPr>
            </w:pPr>
            <w:r>
              <w:rPr>
                <w:rFonts w:hint="eastAsia" w:cs="宋体"/>
                <w:snapToGrid w:val="0"/>
                <w:color w:val="auto"/>
                <w:kern w:val="28"/>
                <w:sz w:val="22"/>
                <w:szCs w:val="22"/>
                <w:lang w:val="en-US" w:eastAsia="zh-CN"/>
              </w:rPr>
              <w:t>24</w:t>
            </w:r>
          </w:p>
        </w:tc>
        <w:tc>
          <w:tcPr>
            <w:tcW w:w="1785" w:type="dxa"/>
            <w:tcBorders>
              <w:tl2br w:val="nil"/>
              <w:tr2bl w:val="nil"/>
            </w:tcBorders>
            <w:vAlign w:val="center"/>
          </w:tcPr>
          <w:p w14:paraId="05F2C3D7">
            <w:pPr>
              <w:pStyle w:val="39"/>
              <w:keepNext w:val="0"/>
              <w:keepLines w:val="0"/>
              <w:pageBreakBefore w:val="0"/>
              <w:widowControl w:val="0"/>
              <w:kinsoku/>
              <w:wordWrap w:val="0"/>
              <w:overflowPunct/>
              <w:topLinePunct w:val="0"/>
              <w:autoSpaceDE w:val="0"/>
              <w:autoSpaceDN w:val="0"/>
              <w:bidi w:val="0"/>
              <w:adjustRightInd/>
              <w:snapToGrid/>
              <w:spacing w:line="360" w:lineRule="exact"/>
              <w:jc w:val="center"/>
              <w:textAlignment w:val="auto"/>
              <w:rPr>
                <w:rFonts w:ascii="仿宋" w:hAnsi="仿宋" w:eastAsia="仿宋" w:cs="仿宋"/>
                <w:bCs/>
                <w:color w:val="auto"/>
                <w:sz w:val="22"/>
                <w:szCs w:val="22"/>
              </w:rPr>
            </w:pPr>
            <w:r>
              <w:rPr>
                <w:rFonts w:hint="eastAsia" w:ascii="宋体" w:hAnsi="宋体" w:eastAsia="宋体" w:cs="宋体"/>
                <w:b w:val="0"/>
                <w:bCs/>
                <w:color w:val="auto"/>
                <w:sz w:val="22"/>
                <w:szCs w:val="22"/>
                <w:lang w:val="en-US"/>
              </w:rPr>
              <w:t>招标代理服务费</w:t>
            </w:r>
          </w:p>
        </w:tc>
        <w:tc>
          <w:tcPr>
            <w:tcW w:w="6570" w:type="dxa"/>
            <w:tcBorders>
              <w:tl2br w:val="nil"/>
              <w:tr2bl w:val="nil"/>
            </w:tcBorders>
            <w:vAlign w:val="center"/>
          </w:tcPr>
          <w:p w14:paraId="438E0C64">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中标</w:t>
            </w:r>
            <w:r>
              <w:rPr>
                <w:rFonts w:hint="eastAsia" w:cs="宋体"/>
                <w:color w:val="auto"/>
                <w:sz w:val="22"/>
                <w:szCs w:val="22"/>
                <w:lang w:val="en-US" w:eastAsia="zh-CN"/>
              </w:rPr>
              <w:t>人</w:t>
            </w:r>
            <w:r>
              <w:rPr>
                <w:rFonts w:hint="eastAsia" w:ascii="宋体" w:hAnsi="宋体" w:eastAsia="宋体" w:cs="宋体"/>
                <w:color w:val="auto"/>
                <w:sz w:val="22"/>
                <w:szCs w:val="22"/>
              </w:rPr>
              <w:t>须向招标代理机构支付采购代理服务费，服务费按《招标代理服务收费管理暂行办法》（计价格[2002]1980号）取费标准执行</w:t>
            </w:r>
            <w:r>
              <w:rPr>
                <w:rFonts w:hint="eastAsia" w:cs="宋体"/>
                <w:color w:val="auto"/>
                <w:sz w:val="22"/>
                <w:szCs w:val="22"/>
                <w:lang w:eastAsia="zh-CN"/>
              </w:rPr>
              <w:t>，</w:t>
            </w:r>
            <w:r>
              <w:rPr>
                <w:rFonts w:hint="eastAsia" w:ascii="宋体" w:hAnsi="宋体" w:eastAsia="宋体" w:cs="宋体"/>
                <w:color w:val="auto"/>
                <w:sz w:val="22"/>
                <w:szCs w:val="22"/>
              </w:rPr>
              <w:t>收取</w:t>
            </w:r>
            <w:r>
              <w:rPr>
                <w:rFonts w:hint="eastAsia" w:cs="宋体"/>
                <w:color w:val="auto"/>
                <w:sz w:val="22"/>
                <w:szCs w:val="22"/>
                <w:lang w:val="en-US" w:eastAsia="zh-CN"/>
              </w:rPr>
              <w:t>标项一</w:t>
            </w:r>
            <w:r>
              <w:rPr>
                <w:rFonts w:hint="eastAsia" w:ascii="宋体" w:hAnsi="宋体" w:eastAsia="宋体" w:cs="宋体"/>
                <w:color w:val="auto"/>
                <w:sz w:val="22"/>
                <w:szCs w:val="22"/>
              </w:rPr>
              <w:t>招标代理服务费</w:t>
            </w:r>
            <w:r>
              <w:rPr>
                <w:rFonts w:hint="eastAsia" w:cs="宋体"/>
                <w:color w:val="auto"/>
                <w:sz w:val="22"/>
                <w:szCs w:val="22"/>
                <w:lang w:val="en-US" w:eastAsia="zh-CN"/>
              </w:rPr>
              <w:t>22200</w:t>
            </w:r>
            <w:r>
              <w:rPr>
                <w:rFonts w:hint="eastAsia" w:ascii="宋体" w:hAnsi="宋体" w:eastAsia="宋体" w:cs="宋体"/>
                <w:color w:val="auto"/>
                <w:sz w:val="22"/>
                <w:szCs w:val="22"/>
              </w:rPr>
              <w:t>元整</w:t>
            </w:r>
            <w:r>
              <w:rPr>
                <w:rFonts w:hint="eastAsia" w:cs="宋体"/>
                <w:color w:val="auto"/>
                <w:sz w:val="22"/>
                <w:szCs w:val="22"/>
                <w:lang w:eastAsia="zh-CN"/>
              </w:rPr>
              <w:t>，</w:t>
            </w:r>
            <w:r>
              <w:rPr>
                <w:rFonts w:hint="eastAsia" w:cs="宋体"/>
                <w:color w:val="auto"/>
                <w:sz w:val="22"/>
                <w:szCs w:val="22"/>
                <w:lang w:val="en-US" w:eastAsia="zh-CN"/>
              </w:rPr>
              <w:t>标项二代理服务费17240元整</w:t>
            </w:r>
            <w:r>
              <w:rPr>
                <w:rFonts w:hint="eastAsia" w:ascii="宋体" w:hAnsi="宋体" w:eastAsia="宋体" w:cs="宋体"/>
                <w:color w:val="auto"/>
                <w:sz w:val="22"/>
                <w:szCs w:val="22"/>
              </w:rPr>
              <w:t>，</w:t>
            </w:r>
            <w:r>
              <w:rPr>
                <w:rFonts w:hint="eastAsia" w:cs="宋体"/>
                <w:color w:val="auto"/>
                <w:sz w:val="22"/>
                <w:szCs w:val="22"/>
                <w:lang w:val="en-US" w:eastAsia="zh-CN"/>
              </w:rPr>
              <w:t>投标人报价时应综合考虑此项费用</w:t>
            </w:r>
            <w:r>
              <w:rPr>
                <w:rFonts w:hint="eastAsia" w:ascii="宋体" w:hAnsi="宋体" w:eastAsia="宋体" w:cs="宋体"/>
                <w:color w:val="auto"/>
                <w:sz w:val="22"/>
                <w:szCs w:val="22"/>
              </w:rPr>
              <w:t>。</w:t>
            </w:r>
          </w:p>
          <w:p w14:paraId="7C8E6949">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招标代理服务费汇入以下帐号：</w:t>
            </w:r>
          </w:p>
          <w:p w14:paraId="7B941416">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开户银行：浙江苍南农村商业银行股份有限公司</w:t>
            </w:r>
          </w:p>
          <w:p w14:paraId="14C52F24">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rPr>
                <w:rFonts w:hint="eastAsia" w:ascii="宋体" w:hAnsi="宋体" w:eastAsia="宋体" w:cs="宋体"/>
                <w:color w:val="auto"/>
                <w:sz w:val="22"/>
                <w:szCs w:val="22"/>
                <w:lang w:val="en-US"/>
              </w:rPr>
            </w:pPr>
            <w:r>
              <w:rPr>
                <w:rFonts w:hint="eastAsia" w:ascii="宋体" w:hAnsi="宋体" w:eastAsia="宋体" w:cs="宋体"/>
                <w:color w:val="auto"/>
                <w:sz w:val="22"/>
                <w:szCs w:val="22"/>
              </w:rPr>
              <w:t>开户名称：浙江天平投资咨询有限公司苍南工程咨询分公司</w:t>
            </w:r>
          </w:p>
          <w:p w14:paraId="70E41376">
            <w:pPr>
              <w:pStyle w:val="39"/>
              <w:keepNext w:val="0"/>
              <w:keepLines w:val="0"/>
              <w:pageBreakBefore w:val="0"/>
              <w:widowControl w:val="0"/>
              <w:kinsoku/>
              <w:wordWrap w:val="0"/>
              <w:overflowPunct/>
              <w:topLinePunct w:val="0"/>
              <w:autoSpaceDE w:val="0"/>
              <w:autoSpaceDN w:val="0"/>
              <w:bidi w:val="0"/>
              <w:adjustRightInd/>
              <w:snapToGrid/>
              <w:spacing w:line="360" w:lineRule="exact"/>
              <w:jc w:val="both"/>
              <w:textAlignment w:val="auto"/>
              <w:rPr>
                <w:rFonts w:ascii="仿宋" w:hAnsi="仿宋" w:eastAsia="仿宋" w:cs="仿宋"/>
                <w:bCs/>
                <w:color w:val="auto"/>
                <w:sz w:val="22"/>
                <w:szCs w:val="22"/>
              </w:rPr>
            </w:pPr>
            <w:r>
              <w:rPr>
                <w:rFonts w:hint="eastAsia" w:ascii="宋体" w:hAnsi="宋体" w:eastAsia="宋体" w:cs="宋体"/>
                <w:color w:val="auto"/>
                <w:sz w:val="22"/>
                <w:szCs w:val="22"/>
              </w:rPr>
              <w:t>开户帐号：201000243841948</w:t>
            </w:r>
          </w:p>
        </w:tc>
      </w:tr>
      <w:tr w14:paraId="295172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vMerge w:val="restart"/>
            <w:tcBorders>
              <w:tl2br w:val="nil"/>
              <w:tr2bl w:val="nil"/>
            </w:tcBorders>
            <w:vAlign w:val="center"/>
          </w:tcPr>
          <w:p w14:paraId="594EBE24">
            <w:pPr>
              <w:keepNext w:val="0"/>
              <w:keepLines w:val="0"/>
              <w:pageBreakBefore w:val="0"/>
              <w:widowControl w:val="0"/>
              <w:kinsoku/>
              <w:wordWrap w:val="0"/>
              <w:overflowPunct/>
              <w:topLinePunct w:val="0"/>
              <w:autoSpaceDE w:val="0"/>
              <w:autoSpaceDN w:val="0"/>
              <w:bidi w:val="0"/>
              <w:adjustRightInd/>
              <w:spacing w:line="360" w:lineRule="exact"/>
              <w:jc w:val="center"/>
              <w:textAlignment w:val="auto"/>
              <w:rPr>
                <w:rFonts w:hint="default" w:ascii="仿宋" w:hAnsi="仿宋" w:eastAsia="仿宋" w:cs="仿宋"/>
                <w:color w:val="auto"/>
                <w:sz w:val="22"/>
                <w:szCs w:val="22"/>
                <w:lang w:val="en-US" w:eastAsia="zh-CN" w:bidi="zh-CN"/>
              </w:rPr>
            </w:pPr>
            <w:r>
              <w:rPr>
                <w:rFonts w:hint="eastAsia" w:cs="宋体"/>
                <w:snapToGrid w:val="0"/>
                <w:color w:val="auto"/>
                <w:kern w:val="28"/>
                <w:sz w:val="22"/>
                <w:szCs w:val="22"/>
                <w:lang w:val="en-US" w:eastAsia="zh-CN"/>
              </w:rPr>
              <w:t>25</w:t>
            </w:r>
          </w:p>
        </w:tc>
        <w:tc>
          <w:tcPr>
            <w:tcW w:w="1785" w:type="dxa"/>
            <w:vMerge w:val="restart"/>
            <w:tcBorders>
              <w:tl2br w:val="nil"/>
              <w:tr2bl w:val="nil"/>
            </w:tcBorders>
            <w:vAlign w:val="center"/>
          </w:tcPr>
          <w:p w14:paraId="3E690173">
            <w:pPr>
              <w:keepNext w:val="0"/>
              <w:keepLines w:val="0"/>
              <w:pageBreakBefore w:val="0"/>
              <w:widowControl w:val="0"/>
              <w:kinsoku/>
              <w:wordWrap w:val="0"/>
              <w:overflowPunct/>
              <w:topLinePunct w:val="0"/>
              <w:autoSpaceDE w:val="0"/>
              <w:autoSpaceDN w:val="0"/>
              <w:bidi w:val="0"/>
              <w:adjustRightInd/>
              <w:snapToGrid w:val="0"/>
              <w:spacing w:line="360" w:lineRule="exact"/>
              <w:jc w:val="center"/>
              <w:textAlignment w:val="auto"/>
              <w:rPr>
                <w:rFonts w:ascii="仿宋" w:hAnsi="仿宋" w:eastAsia="仿宋" w:cs="仿宋"/>
                <w:bCs/>
                <w:color w:val="auto"/>
                <w:sz w:val="22"/>
                <w:szCs w:val="22"/>
              </w:rPr>
            </w:pPr>
            <w:r>
              <w:rPr>
                <w:rFonts w:hint="eastAsia" w:ascii="宋体" w:hAnsi="宋体" w:eastAsia="宋体" w:cs="宋体"/>
                <w:b w:val="0"/>
                <w:bCs/>
                <w:color w:val="auto"/>
                <w:sz w:val="22"/>
                <w:szCs w:val="22"/>
              </w:rPr>
              <w:t>特别说明</w:t>
            </w:r>
          </w:p>
        </w:tc>
        <w:tc>
          <w:tcPr>
            <w:tcW w:w="6570" w:type="dxa"/>
            <w:tcBorders>
              <w:tl2br w:val="nil"/>
              <w:tr2bl w:val="nil"/>
            </w:tcBorders>
            <w:vAlign w:val="center"/>
          </w:tcPr>
          <w:p w14:paraId="0746C6A4">
            <w:pPr>
              <w:keepNext w:val="0"/>
              <w:keepLines w:val="0"/>
              <w:pageBreakBefore w:val="0"/>
              <w:widowControl w:val="0"/>
              <w:kinsoku/>
              <w:wordWrap w:val="0"/>
              <w:overflowPunct/>
              <w:topLinePunct w:val="0"/>
              <w:autoSpaceDE w:val="0"/>
              <w:autoSpaceDN w:val="0"/>
              <w:bidi w:val="0"/>
              <w:adjustRightInd/>
              <w:spacing w:line="360" w:lineRule="exact"/>
              <w:textAlignment w:val="auto"/>
              <w:rPr>
                <w:rFonts w:ascii="仿宋" w:hAnsi="仿宋" w:eastAsia="仿宋" w:cs="仿宋"/>
                <w:color w:val="auto"/>
                <w:sz w:val="22"/>
                <w:szCs w:val="22"/>
              </w:rPr>
            </w:pPr>
            <w:r>
              <w:rPr>
                <w:rFonts w:hint="eastAsia" w:ascii="宋体" w:hAnsi="宋体" w:eastAsia="宋体" w:cs="宋体"/>
                <w:snapToGrid w:val="0"/>
                <w:color w:val="auto"/>
                <w:kern w:val="28"/>
                <w:sz w:val="22"/>
                <w:szCs w:val="22"/>
              </w:rPr>
              <w:t>依据浙江省财政厅《关于规范政府采购供应商资格设定及资格审查的通知》（浙财采监[2013]24号）的相关规定，金融、保险、通讯等特定行业的全国性企业所设立的区域性分支机构，以及个体工商户、个人独资企业、合伙企业，允许满足上述规定条款的供应商独立参加政府采购活动。上述机构独立参加本次项目的投标，必须同时满足以下条件：（1）投标截止时间前已依法办理工商、税务及社保登记；（2）取得总公司（或总机构）出具的授权，或能够提供房产权证（或其他有效财产证明材料）证明其具备实际承担责任的能力和法定的缔结合同能力。本招标文件中所列“法定代表人”也是指该机构营业执照上所列的“负责人”等。</w:t>
            </w:r>
          </w:p>
        </w:tc>
      </w:tr>
      <w:tr w14:paraId="740995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vMerge w:val="continue"/>
            <w:tcBorders>
              <w:tl2br w:val="nil"/>
              <w:tr2bl w:val="nil"/>
            </w:tcBorders>
            <w:vAlign w:val="center"/>
          </w:tcPr>
          <w:p w14:paraId="37BF313C">
            <w:pPr>
              <w:keepNext w:val="0"/>
              <w:keepLines w:val="0"/>
              <w:pageBreakBefore w:val="0"/>
              <w:widowControl w:val="0"/>
              <w:kinsoku/>
              <w:wordWrap w:val="0"/>
              <w:overflowPunct/>
              <w:topLinePunct w:val="0"/>
              <w:autoSpaceDE w:val="0"/>
              <w:autoSpaceDN w:val="0"/>
              <w:bidi w:val="0"/>
              <w:adjustRightInd/>
              <w:spacing w:line="360" w:lineRule="exact"/>
              <w:textAlignment w:val="auto"/>
              <w:rPr>
                <w:color w:val="auto"/>
              </w:rPr>
            </w:pPr>
          </w:p>
        </w:tc>
        <w:tc>
          <w:tcPr>
            <w:tcW w:w="1785" w:type="dxa"/>
            <w:vMerge w:val="continue"/>
            <w:tcBorders>
              <w:tl2br w:val="nil"/>
              <w:tr2bl w:val="nil"/>
            </w:tcBorders>
            <w:vAlign w:val="center"/>
          </w:tcPr>
          <w:p w14:paraId="5579109B">
            <w:pPr>
              <w:keepNext w:val="0"/>
              <w:keepLines w:val="0"/>
              <w:pageBreakBefore w:val="0"/>
              <w:widowControl w:val="0"/>
              <w:kinsoku/>
              <w:wordWrap w:val="0"/>
              <w:overflowPunct/>
              <w:topLinePunct w:val="0"/>
              <w:autoSpaceDE w:val="0"/>
              <w:autoSpaceDN w:val="0"/>
              <w:bidi w:val="0"/>
              <w:adjustRightInd/>
              <w:spacing w:line="360" w:lineRule="exact"/>
              <w:textAlignment w:val="auto"/>
              <w:rPr>
                <w:color w:val="auto"/>
              </w:rPr>
            </w:pPr>
          </w:p>
        </w:tc>
        <w:tc>
          <w:tcPr>
            <w:tcW w:w="6570" w:type="dxa"/>
            <w:tcBorders>
              <w:tl2br w:val="nil"/>
              <w:tr2bl w:val="nil"/>
            </w:tcBorders>
            <w:vAlign w:val="center"/>
          </w:tcPr>
          <w:p w14:paraId="35C46BA3">
            <w:pPr>
              <w:keepNext w:val="0"/>
              <w:keepLines w:val="0"/>
              <w:pageBreakBefore w:val="0"/>
              <w:widowControl w:val="0"/>
              <w:kinsoku/>
              <w:overflowPunct/>
              <w:topLinePunct w:val="0"/>
              <w:autoSpaceDE w:val="0"/>
              <w:autoSpaceDN w:val="0"/>
              <w:bidi w:val="0"/>
              <w:adjustRightInd/>
              <w:spacing w:line="360" w:lineRule="exact"/>
              <w:textAlignment w:val="auto"/>
              <w:rPr>
                <w:rFonts w:hint="eastAsia" w:ascii="宋体" w:hAnsi="宋体" w:eastAsia="宋体" w:cs="宋体"/>
                <w:snapToGrid w:val="0"/>
                <w:color w:val="auto"/>
                <w:kern w:val="28"/>
                <w:sz w:val="22"/>
                <w:szCs w:val="22"/>
              </w:rPr>
            </w:pPr>
            <w:r>
              <w:rPr>
                <w:rFonts w:hint="eastAsia" w:cs="宋体"/>
                <w:b w:val="0"/>
                <w:bCs w:val="0"/>
                <w:color w:val="auto"/>
                <w:kern w:val="0"/>
                <w:sz w:val="22"/>
                <w:szCs w:val="22"/>
                <w:lang w:val="en-US" w:eastAsia="zh-CN"/>
              </w:rPr>
              <w:t>联合体投标的，联合体组成单位不得超过 3 家。除符合参加政府采购活动应当具备的一般条件的承诺函、联合协议、投标函、授权委托书、中小企业声明函（服务）之外的仅由联合体牵头人签章即可。建议投标人提前咨询</w:t>
            </w:r>
            <w:r>
              <w:rPr>
                <w:rFonts w:hint="eastAsia" w:ascii="宋体" w:hAnsi="宋体" w:eastAsia="宋体" w:cs="宋体"/>
                <w:b w:val="0"/>
                <w:bCs w:val="0"/>
                <w:color w:val="auto"/>
                <w:sz w:val="22"/>
                <w:szCs w:val="28"/>
              </w:rPr>
              <w:t>政采云服务热线95763</w:t>
            </w:r>
            <w:r>
              <w:rPr>
                <w:rFonts w:hint="eastAsia" w:cs="宋体"/>
                <w:b w:val="0"/>
                <w:bCs w:val="0"/>
                <w:color w:val="auto"/>
                <w:sz w:val="22"/>
                <w:szCs w:val="28"/>
                <w:lang w:eastAsia="zh-CN"/>
              </w:rPr>
              <w:t>，</w:t>
            </w:r>
            <w:r>
              <w:rPr>
                <w:rFonts w:hint="eastAsia" w:cs="宋体"/>
                <w:b w:val="0"/>
                <w:bCs w:val="0"/>
                <w:color w:val="auto"/>
                <w:sz w:val="22"/>
                <w:szCs w:val="28"/>
                <w:lang w:val="en-US" w:eastAsia="zh-CN"/>
              </w:rPr>
              <w:t>了解“政采云电子投标客户端”联合体签章的具体操作流程</w:t>
            </w:r>
            <w:r>
              <w:rPr>
                <w:rFonts w:hint="eastAsia" w:ascii="宋体" w:hAnsi="宋体" w:eastAsia="宋体" w:cs="宋体"/>
                <w:b w:val="0"/>
                <w:bCs w:val="0"/>
                <w:color w:val="auto"/>
                <w:sz w:val="22"/>
                <w:szCs w:val="28"/>
                <w:lang w:eastAsia="zh-CN"/>
              </w:rPr>
              <w:t>。</w:t>
            </w:r>
            <w:r>
              <w:rPr>
                <w:rFonts w:hint="eastAsia" w:ascii="宋体" w:hAnsi="宋体" w:eastAsia="宋体" w:cs="宋体"/>
                <w:b w:val="0"/>
                <w:bCs w:val="0"/>
                <w:color w:val="auto"/>
                <w:sz w:val="22"/>
                <w:szCs w:val="28"/>
                <w:lang w:val="en-US" w:eastAsia="zh-CN"/>
              </w:rPr>
              <w:t>未按要求签章引起的后果是投标人的责任。</w:t>
            </w:r>
          </w:p>
        </w:tc>
      </w:tr>
      <w:tr w14:paraId="4E4DE0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vMerge w:val="continue"/>
            <w:tcBorders>
              <w:tl2br w:val="nil"/>
              <w:tr2bl w:val="nil"/>
            </w:tcBorders>
            <w:vAlign w:val="center"/>
          </w:tcPr>
          <w:p w14:paraId="3A5DE879">
            <w:pPr>
              <w:keepNext w:val="0"/>
              <w:keepLines w:val="0"/>
              <w:pageBreakBefore w:val="0"/>
              <w:widowControl w:val="0"/>
              <w:kinsoku/>
              <w:wordWrap w:val="0"/>
              <w:overflowPunct/>
              <w:topLinePunct w:val="0"/>
              <w:autoSpaceDE w:val="0"/>
              <w:autoSpaceDN w:val="0"/>
              <w:bidi w:val="0"/>
              <w:adjustRightInd/>
              <w:spacing w:line="360" w:lineRule="exact"/>
              <w:textAlignment w:val="auto"/>
              <w:rPr>
                <w:rFonts w:hint="eastAsia" w:ascii="宋体" w:hAnsi="宋体" w:eastAsia="宋体" w:cs="宋体"/>
                <w:snapToGrid w:val="0"/>
                <w:color w:val="auto"/>
                <w:kern w:val="28"/>
                <w:sz w:val="22"/>
                <w:szCs w:val="22"/>
              </w:rPr>
            </w:pPr>
          </w:p>
        </w:tc>
        <w:tc>
          <w:tcPr>
            <w:tcW w:w="1785" w:type="dxa"/>
            <w:vMerge w:val="continue"/>
            <w:tcBorders>
              <w:tl2br w:val="nil"/>
              <w:tr2bl w:val="nil"/>
            </w:tcBorders>
            <w:vAlign w:val="center"/>
          </w:tcPr>
          <w:p w14:paraId="0B739427">
            <w:pPr>
              <w:keepNext w:val="0"/>
              <w:keepLines w:val="0"/>
              <w:pageBreakBefore w:val="0"/>
              <w:widowControl w:val="0"/>
              <w:kinsoku/>
              <w:wordWrap w:val="0"/>
              <w:overflowPunct/>
              <w:topLinePunct w:val="0"/>
              <w:autoSpaceDE w:val="0"/>
              <w:autoSpaceDN w:val="0"/>
              <w:bidi w:val="0"/>
              <w:adjustRightInd/>
              <w:spacing w:line="360" w:lineRule="exact"/>
              <w:textAlignment w:val="auto"/>
              <w:rPr>
                <w:rFonts w:hint="eastAsia" w:ascii="宋体" w:hAnsi="宋体" w:eastAsia="宋体" w:cs="宋体"/>
                <w:snapToGrid w:val="0"/>
                <w:color w:val="auto"/>
                <w:kern w:val="28"/>
                <w:sz w:val="22"/>
                <w:szCs w:val="22"/>
              </w:rPr>
            </w:pPr>
          </w:p>
        </w:tc>
        <w:tc>
          <w:tcPr>
            <w:tcW w:w="6570" w:type="dxa"/>
            <w:tcBorders>
              <w:tl2br w:val="nil"/>
              <w:tr2bl w:val="nil"/>
            </w:tcBorders>
            <w:vAlign w:val="center"/>
          </w:tcPr>
          <w:p w14:paraId="1299EC9E">
            <w:pPr>
              <w:keepNext w:val="0"/>
              <w:keepLines w:val="0"/>
              <w:pageBreakBefore w:val="0"/>
              <w:widowControl w:val="0"/>
              <w:kinsoku/>
              <w:overflowPunct/>
              <w:topLinePunct w:val="0"/>
              <w:autoSpaceDE w:val="0"/>
              <w:autoSpaceDN w:val="0"/>
              <w:bidi w:val="0"/>
              <w:adjustRightInd/>
              <w:spacing w:line="360" w:lineRule="exact"/>
              <w:textAlignment w:val="auto"/>
              <w:rPr>
                <w:rFonts w:hint="eastAsia" w:ascii="宋体" w:hAnsi="宋体" w:eastAsia="宋体" w:cs="宋体"/>
                <w:snapToGrid w:val="0"/>
                <w:color w:val="auto"/>
                <w:kern w:val="28"/>
                <w:sz w:val="22"/>
                <w:szCs w:val="22"/>
              </w:rPr>
            </w:pPr>
            <w:sdt>
              <w:sdtPr>
                <w:rPr>
                  <w:rFonts w:hint="eastAsia" w:ascii="宋体" w:hAnsi="宋体" w:eastAsia="宋体" w:cs="宋体"/>
                  <w:color w:val="auto"/>
                  <w:kern w:val="0"/>
                  <w:sz w:val="22"/>
                  <w:szCs w:val="22"/>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rPr>
              </w:sdtEndPr>
              <w:sdtContent>
                <w:r>
                  <w:rPr>
                    <w:rFonts w:hint="eastAsia" w:ascii="宋体" w:hAnsi="宋体" w:eastAsia="宋体" w:cs="宋体"/>
                    <w:color w:val="auto"/>
                    <w:kern w:val="0"/>
                    <w:sz w:val="22"/>
                    <w:szCs w:val="22"/>
                  </w:rPr>
                  <w:t>☐</w:t>
                </w:r>
              </w:sdtContent>
            </w:sdt>
            <w:r>
              <w:rPr>
                <w:rFonts w:hint="eastAsia" w:ascii="宋体" w:hAnsi="宋体" w:eastAsia="宋体" w:cs="宋体"/>
                <w:snapToGrid w:val="0"/>
                <w:color w:val="auto"/>
                <w:kern w:val="28"/>
                <w:sz w:val="22"/>
                <w:szCs w:val="22"/>
              </w:rPr>
              <w:t>联合体投标的，联合体各方均需按招标文件</w:t>
            </w:r>
            <w:r>
              <w:rPr>
                <w:rFonts w:hint="eastAsia" w:cs="宋体"/>
                <w:color w:val="auto"/>
                <w:sz w:val="22"/>
                <w:szCs w:val="22"/>
                <w:lang w:eastAsia="zh-CN"/>
              </w:rPr>
              <w:t>“</w:t>
            </w:r>
            <w:r>
              <w:rPr>
                <w:rFonts w:hint="eastAsia" w:ascii="宋体" w:hAnsi="宋体" w:eastAsia="宋体" w:cs="宋体"/>
                <w:color w:val="auto"/>
                <w:sz w:val="22"/>
                <w:szCs w:val="22"/>
              </w:rPr>
              <w:t>第</w:t>
            </w:r>
            <w:r>
              <w:rPr>
                <w:rFonts w:hint="eastAsia" w:cs="宋体"/>
                <w:color w:val="auto"/>
                <w:sz w:val="22"/>
                <w:szCs w:val="22"/>
                <w:lang w:val="en-US" w:eastAsia="zh-CN"/>
              </w:rPr>
              <w:t>四</w:t>
            </w:r>
            <w:r>
              <w:rPr>
                <w:rFonts w:hint="eastAsia" w:ascii="宋体" w:hAnsi="宋体" w:eastAsia="宋体" w:cs="宋体"/>
                <w:color w:val="auto"/>
                <w:sz w:val="22"/>
                <w:szCs w:val="22"/>
              </w:rPr>
              <w:t>部分</w:t>
            </w:r>
            <w:r>
              <w:rPr>
                <w:rFonts w:hint="eastAsia" w:cs="宋体"/>
                <w:color w:val="auto"/>
                <w:sz w:val="22"/>
                <w:szCs w:val="22"/>
                <w:lang w:val="en-US" w:eastAsia="zh-CN"/>
              </w:rPr>
              <w:t xml:space="preserve"> </w:t>
            </w:r>
            <w:r>
              <w:rPr>
                <w:rFonts w:hint="eastAsia" w:ascii="宋体" w:hAnsi="宋体" w:eastAsia="宋体" w:cs="宋体"/>
                <w:color w:val="auto"/>
                <w:sz w:val="22"/>
                <w:szCs w:val="22"/>
              </w:rPr>
              <w:t>评标办法</w:t>
            </w:r>
            <w:r>
              <w:rPr>
                <w:rFonts w:hint="eastAsia" w:cs="宋体"/>
                <w:color w:val="auto"/>
                <w:sz w:val="22"/>
                <w:szCs w:val="22"/>
                <w:lang w:eastAsia="zh-CN"/>
              </w:rPr>
              <w:t>”</w:t>
            </w:r>
            <w:r>
              <w:rPr>
                <w:rFonts w:hint="eastAsia" w:ascii="宋体" w:hAnsi="宋体" w:eastAsia="宋体" w:cs="宋体"/>
                <w:snapToGrid w:val="0"/>
                <w:color w:val="auto"/>
                <w:kern w:val="28"/>
                <w:sz w:val="22"/>
                <w:szCs w:val="22"/>
              </w:rPr>
              <w:t>要求提供资信证明文件，否则视为不符合相关要求。</w:t>
            </w:r>
          </w:p>
          <w:p w14:paraId="05614B52">
            <w:pPr>
              <w:keepNext w:val="0"/>
              <w:keepLines w:val="0"/>
              <w:pageBreakBefore w:val="0"/>
              <w:widowControl w:val="0"/>
              <w:kinsoku/>
              <w:overflowPunct/>
              <w:topLinePunct w:val="0"/>
              <w:autoSpaceDE w:val="0"/>
              <w:autoSpaceDN w:val="0"/>
              <w:bidi w:val="0"/>
              <w:adjustRightInd/>
              <w:spacing w:line="360" w:lineRule="exact"/>
              <w:textAlignment w:val="auto"/>
              <w:rPr>
                <w:rFonts w:hint="eastAsia" w:ascii="宋体" w:hAnsi="宋体" w:eastAsia="宋体" w:cs="宋体"/>
                <w:snapToGrid w:val="0"/>
                <w:color w:val="auto"/>
                <w:kern w:val="28"/>
                <w:sz w:val="22"/>
                <w:szCs w:val="22"/>
              </w:rPr>
            </w:pPr>
            <w:sdt>
              <w:sdtPr>
                <w:rPr>
                  <w:rFonts w:hint="eastAsia" w:ascii="宋体" w:hAnsi="宋体" w:eastAsia="宋体" w:cs="宋体"/>
                  <w:color w:val="auto"/>
                  <w:kern w:val="0"/>
                  <w:sz w:val="22"/>
                  <w:szCs w:val="22"/>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rPr>
              </w:sdtEndPr>
              <w:sdtContent>
                <w:r>
                  <w:rPr>
                    <w:rFonts w:hint="eastAsia" w:ascii="宋体" w:hAnsi="宋体" w:eastAsia="宋体" w:cs="宋体"/>
                    <w:color w:val="auto"/>
                    <w:kern w:val="0"/>
                    <w:sz w:val="22"/>
                    <w:szCs w:val="22"/>
                  </w:rPr>
                  <w:sym w:font="Wingdings" w:char="F0FE"/>
                </w:r>
              </w:sdtContent>
            </w:sdt>
            <w:r>
              <w:rPr>
                <w:rFonts w:hint="eastAsia" w:ascii="宋体" w:hAnsi="宋体" w:eastAsia="宋体" w:cs="宋体"/>
                <w:snapToGrid w:val="0"/>
                <w:color w:val="auto"/>
                <w:kern w:val="28"/>
                <w:sz w:val="22"/>
                <w:szCs w:val="22"/>
              </w:rPr>
              <w:t>联合体投标的，联合体中有一方或者联合体成员根据分工按招标文件</w:t>
            </w:r>
            <w:r>
              <w:rPr>
                <w:rFonts w:hint="eastAsia" w:cs="宋体"/>
                <w:color w:val="auto"/>
                <w:sz w:val="22"/>
                <w:szCs w:val="22"/>
                <w:lang w:eastAsia="zh-CN"/>
              </w:rPr>
              <w:t>“</w:t>
            </w:r>
            <w:r>
              <w:rPr>
                <w:rFonts w:hint="eastAsia" w:ascii="宋体" w:hAnsi="宋体" w:eastAsia="宋体" w:cs="宋体"/>
                <w:color w:val="auto"/>
                <w:sz w:val="22"/>
                <w:szCs w:val="22"/>
              </w:rPr>
              <w:t>第</w:t>
            </w:r>
            <w:r>
              <w:rPr>
                <w:rFonts w:hint="eastAsia" w:cs="宋体"/>
                <w:color w:val="auto"/>
                <w:sz w:val="22"/>
                <w:szCs w:val="22"/>
                <w:lang w:val="en-US" w:eastAsia="zh-CN"/>
              </w:rPr>
              <w:t>四</w:t>
            </w:r>
            <w:r>
              <w:rPr>
                <w:rFonts w:hint="eastAsia" w:ascii="宋体" w:hAnsi="宋体" w:eastAsia="宋体" w:cs="宋体"/>
                <w:color w:val="auto"/>
                <w:sz w:val="22"/>
                <w:szCs w:val="22"/>
              </w:rPr>
              <w:t>部分</w:t>
            </w:r>
            <w:r>
              <w:rPr>
                <w:rFonts w:hint="eastAsia" w:cs="宋体"/>
                <w:color w:val="auto"/>
                <w:sz w:val="22"/>
                <w:szCs w:val="22"/>
                <w:lang w:val="en-US" w:eastAsia="zh-CN"/>
              </w:rPr>
              <w:t xml:space="preserve"> </w:t>
            </w:r>
            <w:r>
              <w:rPr>
                <w:rFonts w:hint="eastAsia" w:ascii="宋体" w:hAnsi="宋体" w:eastAsia="宋体" w:cs="宋体"/>
                <w:color w:val="auto"/>
                <w:sz w:val="22"/>
                <w:szCs w:val="22"/>
              </w:rPr>
              <w:t>评标办法</w:t>
            </w:r>
            <w:r>
              <w:rPr>
                <w:rFonts w:hint="eastAsia" w:cs="宋体"/>
                <w:color w:val="auto"/>
                <w:sz w:val="22"/>
                <w:szCs w:val="22"/>
                <w:lang w:eastAsia="zh-CN"/>
              </w:rPr>
              <w:t>”</w:t>
            </w:r>
            <w:r>
              <w:rPr>
                <w:rFonts w:hint="eastAsia" w:ascii="宋体" w:hAnsi="宋体" w:eastAsia="宋体" w:cs="宋体"/>
                <w:snapToGrid w:val="0"/>
                <w:color w:val="auto"/>
                <w:kern w:val="28"/>
                <w:sz w:val="22"/>
                <w:szCs w:val="22"/>
              </w:rPr>
              <w:t>要求提供资信证明文件的，视为符合了相关要求。</w:t>
            </w:r>
          </w:p>
        </w:tc>
      </w:tr>
      <w:tr w14:paraId="6B1C9D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041FDB4C">
            <w:pPr>
              <w:keepNext w:val="0"/>
              <w:keepLines w:val="0"/>
              <w:pageBreakBefore w:val="0"/>
              <w:widowControl w:val="0"/>
              <w:kinsoku/>
              <w:wordWrap w:val="0"/>
              <w:overflowPunct/>
              <w:topLinePunct w:val="0"/>
              <w:autoSpaceDE w:val="0"/>
              <w:autoSpaceDN w:val="0"/>
              <w:bidi w:val="0"/>
              <w:adjustRightInd/>
              <w:spacing w:line="360" w:lineRule="exact"/>
              <w:jc w:val="center"/>
              <w:textAlignment w:val="auto"/>
              <w:rPr>
                <w:rFonts w:hint="default" w:ascii="宋体" w:hAnsi="宋体" w:eastAsia="宋体" w:cs="宋体"/>
                <w:snapToGrid w:val="0"/>
                <w:color w:val="auto"/>
                <w:kern w:val="28"/>
                <w:sz w:val="22"/>
                <w:szCs w:val="22"/>
                <w:lang w:val="en-US" w:eastAsia="zh-CN"/>
              </w:rPr>
            </w:pPr>
            <w:r>
              <w:rPr>
                <w:rFonts w:hint="eastAsia" w:cs="宋体"/>
                <w:snapToGrid w:val="0"/>
                <w:color w:val="auto"/>
                <w:kern w:val="28"/>
                <w:sz w:val="22"/>
                <w:szCs w:val="22"/>
                <w:lang w:val="en-US" w:eastAsia="zh-CN"/>
              </w:rPr>
              <w:t>26</w:t>
            </w:r>
          </w:p>
        </w:tc>
        <w:tc>
          <w:tcPr>
            <w:tcW w:w="1785" w:type="dxa"/>
            <w:tcBorders>
              <w:tl2br w:val="nil"/>
              <w:tr2bl w:val="nil"/>
            </w:tcBorders>
            <w:vAlign w:val="center"/>
          </w:tcPr>
          <w:p w14:paraId="350158A7">
            <w:pPr>
              <w:keepNext w:val="0"/>
              <w:keepLines w:val="0"/>
              <w:pageBreakBefore w:val="0"/>
              <w:widowControl w:val="0"/>
              <w:kinsoku/>
              <w:wordWrap w:val="0"/>
              <w:overflowPunct/>
              <w:topLinePunct w:val="0"/>
              <w:autoSpaceDE w:val="0"/>
              <w:autoSpaceDN w:val="0"/>
              <w:bidi w:val="0"/>
              <w:adjustRightInd/>
              <w:spacing w:line="360" w:lineRule="exact"/>
              <w:jc w:val="center"/>
              <w:textAlignment w:val="auto"/>
              <w:rPr>
                <w:rFonts w:hint="default" w:ascii="宋体" w:hAnsi="宋体" w:eastAsia="宋体" w:cs="宋体"/>
                <w:snapToGrid w:val="0"/>
                <w:color w:val="auto"/>
                <w:kern w:val="28"/>
                <w:sz w:val="22"/>
                <w:szCs w:val="22"/>
                <w:lang w:val="en-US" w:eastAsia="zh-CN"/>
              </w:rPr>
            </w:pPr>
            <w:r>
              <w:rPr>
                <w:rFonts w:hint="eastAsia" w:cs="宋体"/>
                <w:snapToGrid w:val="0"/>
                <w:color w:val="auto"/>
                <w:kern w:val="28"/>
                <w:sz w:val="22"/>
                <w:szCs w:val="22"/>
                <w:lang w:val="en-US" w:eastAsia="zh-CN"/>
              </w:rPr>
              <w:t>投标人信用查询</w:t>
            </w:r>
          </w:p>
        </w:tc>
        <w:tc>
          <w:tcPr>
            <w:tcW w:w="6570" w:type="dxa"/>
            <w:tcBorders>
              <w:tl2br w:val="nil"/>
              <w:tr2bl w:val="nil"/>
            </w:tcBorders>
            <w:vAlign w:val="center"/>
          </w:tcPr>
          <w:p w14:paraId="65F22868">
            <w:pPr>
              <w:keepNext w:val="0"/>
              <w:keepLines w:val="0"/>
              <w:pageBreakBefore w:val="0"/>
              <w:widowControl w:val="0"/>
              <w:kinsoku/>
              <w:overflowPunct/>
              <w:topLinePunct w:val="0"/>
              <w:autoSpaceDE w:val="0"/>
              <w:autoSpaceDN w:val="0"/>
              <w:bidi w:val="0"/>
              <w:adjustRightInd/>
              <w:spacing w:line="360" w:lineRule="exact"/>
              <w:textAlignment w:val="auto"/>
              <w:rPr>
                <w:rFonts w:hint="eastAsia" w:ascii="宋体" w:hAnsi="宋体" w:eastAsia="宋体" w:cs="宋体"/>
                <w:snapToGrid w:val="0"/>
                <w:color w:val="auto"/>
                <w:kern w:val="28"/>
                <w:sz w:val="22"/>
                <w:szCs w:val="22"/>
              </w:rPr>
            </w:pPr>
            <w:r>
              <w:rPr>
                <w:rFonts w:hint="eastAsia" w:ascii="宋体" w:hAnsi="宋体" w:eastAsia="宋体" w:cs="宋体"/>
                <w:snapToGrid w:val="0"/>
                <w:color w:val="auto"/>
                <w:kern w:val="28"/>
                <w:sz w:val="22"/>
                <w:szCs w:val="22"/>
                <w:lang w:eastAsia="zh-CN"/>
              </w:rPr>
              <w:t>（</w:t>
            </w:r>
            <w:r>
              <w:rPr>
                <w:rFonts w:hint="eastAsia" w:ascii="宋体" w:hAnsi="宋体" w:eastAsia="宋体" w:cs="宋体"/>
                <w:snapToGrid w:val="0"/>
                <w:color w:val="auto"/>
                <w:kern w:val="28"/>
                <w:sz w:val="22"/>
                <w:szCs w:val="22"/>
                <w:lang w:val="en-US" w:eastAsia="zh-CN"/>
              </w:rPr>
              <w:t>1</w:t>
            </w:r>
            <w:r>
              <w:rPr>
                <w:rFonts w:hint="eastAsia" w:ascii="宋体" w:hAnsi="宋体" w:eastAsia="宋体" w:cs="宋体"/>
                <w:snapToGrid w:val="0"/>
                <w:color w:val="auto"/>
                <w:kern w:val="28"/>
                <w:sz w:val="22"/>
                <w:szCs w:val="22"/>
                <w:lang w:eastAsia="zh-CN"/>
              </w:rPr>
              <w:t>）</w:t>
            </w:r>
            <w:r>
              <w:rPr>
                <w:rFonts w:hint="eastAsia" w:ascii="宋体" w:hAnsi="宋体" w:eastAsia="宋体" w:cs="宋体"/>
                <w:snapToGrid w:val="0"/>
                <w:color w:val="auto"/>
                <w:kern w:val="28"/>
                <w:sz w:val="22"/>
                <w:szCs w:val="22"/>
              </w:rPr>
              <w:t>采购代理机构将对本项目投标投标人的信用信息进行查询和甄别，查询渠道为信用中国网站（www.creditchina.gov.cn）、中国政府采购网（www.ccgp.gov.cn）。</w:t>
            </w:r>
          </w:p>
          <w:p w14:paraId="15F9B0D3">
            <w:pPr>
              <w:keepNext w:val="0"/>
              <w:keepLines w:val="0"/>
              <w:pageBreakBefore w:val="0"/>
              <w:widowControl w:val="0"/>
              <w:kinsoku/>
              <w:overflowPunct/>
              <w:topLinePunct w:val="0"/>
              <w:autoSpaceDE w:val="0"/>
              <w:autoSpaceDN w:val="0"/>
              <w:bidi w:val="0"/>
              <w:adjustRightInd/>
              <w:spacing w:line="360" w:lineRule="exact"/>
              <w:textAlignment w:val="auto"/>
              <w:rPr>
                <w:rFonts w:hint="eastAsia" w:ascii="宋体" w:hAnsi="宋体" w:eastAsia="宋体" w:cs="宋体"/>
                <w:snapToGrid w:val="0"/>
                <w:color w:val="auto"/>
                <w:kern w:val="28"/>
                <w:sz w:val="22"/>
                <w:szCs w:val="22"/>
              </w:rPr>
            </w:pPr>
            <w:r>
              <w:rPr>
                <w:rFonts w:hint="eastAsia" w:ascii="宋体" w:hAnsi="宋体" w:eastAsia="宋体" w:cs="宋体"/>
                <w:snapToGrid w:val="0"/>
                <w:color w:val="auto"/>
                <w:kern w:val="28"/>
                <w:sz w:val="22"/>
                <w:szCs w:val="22"/>
                <w:lang w:eastAsia="zh-CN"/>
              </w:rPr>
              <w:t>（</w:t>
            </w:r>
            <w:r>
              <w:rPr>
                <w:rFonts w:hint="eastAsia" w:ascii="宋体" w:hAnsi="宋体" w:eastAsia="宋体" w:cs="宋体"/>
                <w:snapToGrid w:val="0"/>
                <w:color w:val="auto"/>
                <w:kern w:val="28"/>
                <w:sz w:val="22"/>
                <w:szCs w:val="22"/>
                <w:lang w:val="en-US" w:eastAsia="zh-CN"/>
              </w:rPr>
              <w:t>2</w:t>
            </w:r>
            <w:r>
              <w:rPr>
                <w:rFonts w:hint="eastAsia" w:ascii="宋体" w:hAnsi="宋体" w:eastAsia="宋体" w:cs="宋体"/>
                <w:snapToGrid w:val="0"/>
                <w:color w:val="auto"/>
                <w:kern w:val="28"/>
                <w:sz w:val="22"/>
                <w:szCs w:val="22"/>
                <w:lang w:eastAsia="zh-CN"/>
              </w:rPr>
              <w:t>）</w:t>
            </w:r>
            <w:r>
              <w:rPr>
                <w:rFonts w:hint="eastAsia" w:ascii="宋体" w:hAnsi="宋体" w:eastAsia="宋体" w:cs="宋体"/>
                <w:snapToGrid w:val="0"/>
                <w:color w:val="auto"/>
                <w:kern w:val="28"/>
                <w:sz w:val="22"/>
                <w:szCs w:val="22"/>
              </w:rPr>
              <w:t>截止时点：提交投标文件（投标文件）截止时间前3年内。</w:t>
            </w:r>
          </w:p>
          <w:p w14:paraId="162262A9">
            <w:pPr>
              <w:keepNext w:val="0"/>
              <w:keepLines w:val="0"/>
              <w:pageBreakBefore w:val="0"/>
              <w:widowControl w:val="0"/>
              <w:kinsoku/>
              <w:overflowPunct/>
              <w:topLinePunct w:val="0"/>
              <w:autoSpaceDE w:val="0"/>
              <w:autoSpaceDN w:val="0"/>
              <w:bidi w:val="0"/>
              <w:adjustRightInd/>
              <w:spacing w:line="360" w:lineRule="exact"/>
              <w:textAlignment w:val="auto"/>
              <w:rPr>
                <w:rFonts w:hint="eastAsia" w:ascii="宋体" w:hAnsi="宋体" w:eastAsia="宋体" w:cs="宋体"/>
                <w:snapToGrid w:val="0"/>
                <w:color w:val="auto"/>
                <w:kern w:val="28"/>
                <w:sz w:val="22"/>
                <w:szCs w:val="22"/>
              </w:rPr>
            </w:pPr>
            <w:r>
              <w:rPr>
                <w:rFonts w:hint="eastAsia" w:ascii="宋体" w:hAnsi="宋体" w:eastAsia="宋体" w:cs="宋体"/>
                <w:snapToGrid w:val="0"/>
                <w:color w:val="auto"/>
                <w:kern w:val="28"/>
                <w:sz w:val="22"/>
                <w:szCs w:val="22"/>
                <w:lang w:eastAsia="zh-CN"/>
              </w:rPr>
              <w:t>（</w:t>
            </w:r>
            <w:r>
              <w:rPr>
                <w:rFonts w:hint="eastAsia" w:ascii="宋体" w:hAnsi="宋体" w:eastAsia="宋体" w:cs="宋体"/>
                <w:snapToGrid w:val="0"/>
                <w:color w:val="auto"/>
                <w:kern w:val="28"/>
                <w:sz w:val="22"/>
                <w:szCs w:val="22"/>
                <w:lang w:val="en-US" w:eastAsia="zh-CN"/>
              </w:rPr>
              <w:t>3</w:t>
            </w:r>
            <w:r>
              <w:rPr>
                <w:rFonts w:hint="eastAsia" w:ascii="宋体" w:hAnsi="宋体" w:eastAsia="宋体" w:cs="宋体"/>
                <w:snapToGrid w:val="0"/>
                <w:color w:val="auto"/>
                <w:kern w:val="28"/>
                <w:sz w:val="22"/>
                <w:szCs w:val="22"/>
                <w:lang w:eastAsia="zh-CN"/>
              </w:rPr>
              <w:t>）</w:t>
            </w:r>
            <w:r>
              <w:rPr>
                <w:rFonts w:hint="eastAsia" w:ascii="宋体" w:hAnsi="宋体" w:eastAsia="宋体" w:cs="宋体"/>
                <w:snapToGrid w:val="0"/>
                <w:color w:val="auto"/>
                <w:kern w:val="28"/>
                <w:sz w:val="22"/>
                <w:szCs w:val="22"/>
              </w:rPr>
              <w:t>信用信息查询记录和证据以网页截图方式留存。</w:t>
            </w:r>
          </w:p>
          <w:p w14:paraId="1F700EA8">
            <w:pPr>
              <w:keepNext w:val="0"/>
              <w:keepLines w:val="0"/>
              <w:pageBreakBefore w:val="0"/>
              <w:widowControl w:val="0"/>
              <w:kinsoku/>
              <w:overflowPunct/>
              <w:topLinePunct w:val="0"/>
              <w:autoSpaceDE w:val="0"/>
              <w:autoSpaceDN w:val="0"/>
              <w:bidi w:val="0"/>
              <w:adjustRightInd/>
              <w:spacing w:line="360" w:lineRule="exact"/>
              <w:textAlignment w:val="auto"/>
              <w:rPr>
                <w:rFonts w:hint="eastAsia" w:ascii="宋体" w:hAnsi="宋体" w:eastAsia="宋体" w:cs="宋体"/>
                <w:snapToGrid w:val="0"/>
                <w:color w:val="auto"/>
                <w:kern w:val="28"/>
                <w:sz w:val="22"/>
                <w:szCs w:val="22"/>
              </w:rPr>
            </w:pPr>
            <w:r>
              <w:rPr>
                <w:rFonts w:hint="eastAsia" w:ascii="宋体" w:hAnsi="宋体" w:eastAsia="宋体" w:cs="宋体"/>
                <w:snapToGrid w:val="0"/>
                <w:color w:val="auto"/>
                <w:kern w:val="28"/>
                <w:sz w:val="22"/>
                <w:szCs w:val="22"/>
                <w:lang w:eastAsia="zh-CN"/>
              </w:rPr>
              <w:t>（</w:t>
            </w:r>
            <w:r>
              <w:rPr>
                <w:rFonts w:hint="eastAsia" w:ascii="宋体" w:hAnsi="宋体" w:eastAsia="宋体" w:cs="宋体"/>
                <w:snapToGrid w:val="0"/>
                <w:color w:val="auto"/>
                <w:kern w:val="28"/>
                <w:sz w:val="22"/>
                <w:szCs w:val="22"/>
                <w:lang w:val="en-US" w:eastAsia="zh-CN"/>
              </w:rPr>
              <w:t>3</w:t>
            </w:r>
            <w:r>
              <w:rPr>
                <w:rFonts w:hint="eastAsia" w:ascii="宋体" w:hAnsi="宋体" w:eastAsia="宋体" w:cs="宋体"/>
                <w:snapToGrid w:val="0"/>
                <w:color w:val="auto"/>
                <w:kern w:val="28"/>
                <w:sz w:val="22"/>
                <w:szCs w:val="22"/>
                <w:lang w:eastAsia="zh-CN"/>
              </w:rPr>
              <w:t>）</w:t>
            </w:r>
            <w:r>
              <w:rPr>
                <w:rFonts w:hint="eastAsia" w:ascii="宋体" w:hAnsi="宋体" w:eastAsia="宋体" w:cs="宋体"/>
                <w:snapToGrid w:val="0"/>
                <w:color w:val="auto"/>
                <w:kern w:val="28"/>
                <w:sz w:val="22"/>
                <w:szCs w:val="22"/>
              </w:rPr>
              <w:t>不良信用记录指：1.被列入信用中国网站“失信被执行人”“ 重大税收违法案件当事人名单”；2.被列入中国政府采购网政府采购严重违法失信行为记录名单；</w:t>
            </w:r>
          </w:p>
          <w:p w14:paraId="45A58A2C">
            <w:pPr>
              <w:keepNext w:val="0"/>
              <w:keepLines w:val="0"/>
              <w:pageBreakBefore w:val="0"/>
              <w:widowControl w:val="0"/>
              <w:kinsoku/>
              <w:overflowPunct/>
              <w:topLinePunct w:val="0"/>
              <w:autoSpaceDE w:val="0"/>
              <w:autoSpaceDN w:val="0"/>
              <w:bidi w:val="0"/>
              <w:adjustRightInd/>
              <w:spacing w:line="360" w:lineRule="exact"/>
              <w:textAlignment w:val="auto"/>
              <w:rPr>
                <w:rFonts w:hint="eastAsia" w:ascii="宋体" w:hAnsi="宋体" w:eastAsia="宋体" w:cs="宋体"/>
                <w:snapToGrid w:val="0"/>
                <w:color w:val="auto"/>
                <w:kern w:val="28"/>
                <w:sz w:val="22"/>
                <w:szCs w:val="22"/>
              </w:rPr>
            </w:pPr>
            <w:r>
              <w:rPr>
                <w:rFonts w:hint="eastAsia" w:ascii="宋体" w:hAnsi="宋体" w:eastAsia="宋体" w:cs="宋体"/>
                <w:snapToGrid w:val="0"/>
                <w:color w:val="auto"/>
                <w:kern w:val="28"/>
                <w:sz w:val="22"/>
                <w:szCs w:val="22"/>
                <w:lang w:eastAsia="zh-CN"/>
              </w:rPr>
              <w:t>（</w:t>
            </w:r>
            <w:r>
              <w:rPr>
                <w:rFonts w:hint="eastAsia" w:ascii="宋体" w:hAnsi="宋体" w:eastAsia="宋体" w:cs="宋体"/>
                <w:snapToGrid w:val="0"/>
                <w:color w:val="auto"/>
                <w:kern w:val="28"/>
                <w:sz w:val="22"/>
                <w:szCs w:val="22"/>
                <w:lang w:val="en-US" w:eastAsia="zh-CN"/>
              </w:rPr>
              <w:t>4</w:t>
            </w:r>
            <w:r>
              <w:rPr>
                <w:rFonts w:hint="eastAsia" w:ascii="宋体" w:hAnsi="宋体" w:eastAsia="宋体" w:cs="宋体"/>
                <w:snapToGrid w:val="0"/>
                <w:color w:val="auto"/>
                <w:kern w:val="28"/>
                <w:sz w:val="22"/>
                <w:szCs w:val="22"/>
                <w:lang w:eastAsia="zh-CN"/>
              </w:rPr>
              <w:t>）</w:t>
            </w:r>
            <w:r>
              <w:rPr>
                <w:rFonts w:hint="eastAsia" w:ascii="宋体" w:hAnsi="宋体" w:eastAsia="宋体" w:cs="宋体"/>
                <w:snapToGrid w:val="0"/>
                <w:color w:val="auto"/>
                <w:kern w:val="28"/>
                <w:sz w:val="22"/>
                <w:szCs w:val="22"/>
              </w:rPr>
              <w:t>信用信息的使用规则：投标人存在不良信用记录的，其投标文件将被拒绝。</w:t>
            </w:r>
          </w:p>
          <w:p w14:paraId="46134444">
            <w:pPr>
              <w:keepNext w:val="0"/>
              <w:keepLines w:val="0"/>
              <w:pageBreakBefore w:val="0"/>
              <w:widowControl w:val="0"/>
              <w:kinsoku/>
              <w:overflowPunct/>
              <w:topLinePunct w:val="0"/>
              <w:autoSpaceDE w:val="0"/>
              <w:autoSpaceDN w:val="0"/>
              <w:bidi w:val="0"/>
              <w:adjustRightInd/>
              <w:spacing w:line="360" w:lineRule="exact"/>
              <w:textAlignment w:val="auto"/>
              <w:rPr>
                <w:rFonts w:hint="eastAsia" w:ascii="宋体" w:hAnsi="宋体" w:eastAsia="宋体" w:cs="宋体"/>
                <w:color w:val="auto"/>
                <w:kern w:val="0"/>
                <w:sz w:val="22"/>
                <w:szCs w:val="22"/>
              </w:rPr>
            </w:pPr>
            <w:r>
              <w:rPr>
                <w:rFonts w:hint="eastAsia" w:ascii="宋体" w:hAnsi="宋体" w:eastAsia="宋体" w:cs="宋体"/>
                <w:snapToGrid w:val="0"/>
                <w:color w:val="auto"/>
                <w:kern w:val="28"/>
                <w:sz w:val="22"/>
                <w:szCs w:val="22"/>
                <w:lang w:eastAsia="zh-CN"/>
              </w:rPr>
              <w:t>（</w:t>
            </w:r>
            <w:r>
              <w:rPr>
                <w:rFonts w:hint="eastAsia" w:ascii="宋体" w:hAnsi="宋体" w:eastAsia="宋体" w:cs="宋体"/>
                <w:snapToGrid w:val="0"/>
                <w:color w:val="auto"/>
                <w:kern w:val="28"/>
                <w:sz w:val="22"/>
                <w:szCs w:val="22"/>
                <w:lang w:val="en-US" w:eastAsia="zh-CN"/>
              </w:rPr>
              <w:t>5</w:t>
            </w:r>
            <w:r>
              <w:rPr>
                <w:rFonts w:hint="eastAsia" w:ascii="宋体" w:hAnsi="宋体" w:eastAsia="宋体" w:cs="宋体"/>
                <w:snapToGrid w:val="0"/>
                <w:color w:val="auto"/>
                <w:kern w:val="28"/>
                <w:sz w:val="22"/>
                <w:szCs w:val="22"/>
                <w:lang w:eastAsia="zh-CN"/>
              </w:rPr>
              <w:t>）</w:t>
            </w:r>
            <w:r>
              <w:rPr>
                <w:rFonts w:hint="eastAsia" w:ascii="宋体" w:hAnsi="宋体" w:eastAsia="宋体" w:cs="宋体"/>
                <w:snapToGrid w:val="0"/>
                <w:color w:val="auto"/>
                <w:kern w:val="28"/>
                <w:sz w:val="22"/>
                <w:szCs w:val="22"/>
              </w:rPr>
              <w:t>联合体投标的，联合体成员存在不良信用记录视同联合体存在不良信用记录。</w:t>
            </w:r>
          </w:p>
        </w:tc>
      </w:tr>
      <w:tr w14:paraId="256B41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75C361ED">
            <w:pPr>
              <w:keepNext w:val="0"/>
              <w:keepLines w:val="0"/>
              <w:pageBreakBefore w:val="0"/>
              <w:widowControl w:val="0"/>
              <w:kinsoku/>
              <w:wordWrap w:val="0"/>
              <w:overflowPunct/>
              <w:topLinePunct w:val="0"/>
              <w:autoSpaceDE w:val="0"/>
              <w:autoSpaceDN w:val="0"/>
              <w:bidi w:val="0"/>
              <w:adjustRightInd/>
              <w:spacing w:line="360" w:lineRule="exact"/>
              <w:jc w:val="center"/>
              <w:textAlignment w:val="auto"/>
              <w:rPr>
                <w:rFonts w:hint="default" w:cs="宋体"/>
                <w:snapToGrid w:val="0"/>
                <w:color w:val="auto"/>
                <w:kern w:val="28"/>
                <w:sz w:val="22"/>
                <w:szCs w:val="22"/>
                <w:lang w:val="en-US" w:eastAsia="zh-CN"/>
              </w:rPr>
            </w:pPr>
            <w:r>
              <w:rPr>
                <w:rFonts w:hint="eastAsia" w:cs="宋体"/>
                <w:snapToGrid w:val="0"/>
                <w:color w:val="auto"/>
                <w:kern w:val="28"/>
                <w:sz w:val="22"/>
                <w:szCs w:val="22"/>
                <w:lang w:val="en-US" w:eastAsia="zh-CN"/>
              </w:rPr>
              <w:t>27</w:t>
            </w:r>
          </w:p>
        </w:tc>
        <w:tc>
          <w:tcPr>
            <w:tcW w:w="1785" w:type="dxa"/>
            <w:tcBorders>
              <w:tl2br w:val="nil"/>
              <w:tr2bl w:val="nil"/>
            </w:tcBorders>
            <w:vAlign w:val="center"/>
          </w:tcPr>
          <w:p w14:paraId="49F26403">
            <w:pPr>
              <w:keepNext w:val="0"/>
              <w:keepLines w:val="0"/>
              <w:pageBreakBefore w:val="0"/>
              <w:widowControl w:val="0"/>
              <w:kinsoku/>
              <w:wordWrap w:val="0"/>
              <w:overflowPunct/>
              <w:topLinePunct w:val="0"/>
              <w:autoSpaceDE w:val="0"/>
              <w:autoSpaceDN w:val="0"/>
              <w:bidi w:val="0"/>
              <w:adjustRightInd/>
              <w:spacing w:line="360" w:lineRule="exact"/>
              <w:jc w:val="center"/>
              <w:textAlignment w:val="auto"/>
              <w:rPr>
                <w:rFonts w:hint="default" w:cs="宋体"/>
                <w:snapToGrid w:val="0"/>
                <w:color w:val="auto"/>
                <w:kern w:val="28"/>
                <w:sz w:val="22"/>
                <w:szCs w:val="22"/>
                <w:lang w:val="en-US" w:eastAsia="zh-CN"/>
              </w:rPr>
            </w:pPr>
            <w:r>
              <w:rPr>
                <w:rFonts w:hint="eastAsia" w:cs="宋体"/>
                <w:snapToGrid w:val="0"/>
                <w:color w:val="auto"/>
                <w:kern w:val="28"/>
                <w:sz w:val="22"/>
                <w:szCs w:val="22"/>
                <w:lang w:val="en-US" w:eastAsia="zh-CN"/>
              </w:rPr>
              <w:t>其他补充说明</w:t>
            </w:r>
          </w:p>
        </w:tc>
        <w:tc>
          <w:tcPr>
            <w:tcW w:w="6570" w:type="dxa"/>
            <w:tcBorders>
              <w:tl2br w:val="nil"/>
              <w:tr2bl w:val="nil"/>
            </w:tcBorders>
            <w:vAlign w:val="center"/>
          </w:tcPr>
          <w:p w14:paraId="2041F59F">
            <w:pPr>
              <w:keepNext w:val="0"/>
              <w:keepLines w:val="0"/>
              <w:pageBreakBefore w:val="0"/>
              <w:widowControl w:val="0"/>
              <w:kinsoku/>
              <w:overflowPunct/>
              <w:topLinePunct w:val="0"/>
              <w:autoSpaceDE w:val="0"/>
              <w:autoSpaceDN w:val="0"/>
              <w:bidi w:val="0"/>
              <w:adjustRightInd/>
              <w:spacing w:line="360" w:lineRule="exact"/>
              <w:textAlignment w:val="auto"/>
              <w:rPr>
                <w:rFonts w:hint="eastAsia" w:ascii="宋体" w:hAnsi="宋体" w:eastAsia="宋体" w:cs="宋体"/>
                <w:snapToGrid w:val="0"/>
                <w:color w:val="auto"/>
                <w:kern w:val="28"/>
                <w:sz w:val="22"/>
                <w:szCs w:val="22"/>
                <w:lang w:eastAsia="zh-CN"/>
              </w:rPr>
            </w:pPr>
            <w:r>
              <w:rPr>
                <w:rFonts w:hint="eastAsia" w:ascii="宋体" w:hAnsi="宋体" w:eastAsia="宋体" w:cs="宋体"/>
                <w:snapToGrid w:val="0"/>
                <w:color w:val="auto"/>
                <w:kern w:val="28"/>
                <w:sz w:val="22"/>
                <w:szCs w:val="22"/>
                <w:lang w:eastAsia="zh-CN"/>
              </w:rPr>
              <w:t>中标人应提供与电子投标文件内容一致的纸质投标文件（资格</w:t>
            </w:r>
            <w:r>
              <w:rPr>
                <w:rFonts w:hint="eastAsia" w:cs="宋体"/>
                <w:snapToGrid w:val="0"/>
                <w:color w:val="auto"/>
                <w:kern w:val="28"/>
                <w:sz w:val="22"/>
                <w:szCs w:val="22"/>
                <w:lang w:val="en-US" w:eastAsia="zh-CN"/>
              </w:rPr>
              <w:t>审查</w:t>
            </w:r>
            <w:r>
              <w:rPr>
                <w:rFonts w:hint="eastAsia" w:ascii="宋体" w:hAnsi="宋体" w:eastAsia="宋体" w:cs="宋体"/>
                <w:snapToGrid w:val="0"/>
                <w:color w:val="auto"/>
                <w:kern w:val="28"/>
                <w:sz w:val="22"/>
                <w:szCs w:val="22"/>
                <w:lang w:eastAsia="zh-CN"/>
              </w:rPr>
              <w:t>文件、商务技术文件、报价文件）一正四副。中标人在领取中标通知书时提供纸质投标文件。</w:t>
            </w:r>
          </w:p>
        </w:tc>
      </w:tr>
      <w:tr w14:paraId="495E9A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28" w:type="dxa"/>
            <w:left w:w="28" w:type="dxa"/>
            <w:bottom w:w="28" w:type="dxa"/>
            <w:right w:w="28" w:type="dxa"/>
          </w:tblCellMar>
        </w:tblPrEx>
        <w:trPr>
          <w:trHeight w:val="539" w:hRule="atLeast"/>
        </w:trPr>
        <w:tc>
          <w:tcPr>
            <w:tcW w:w="750" w:type="dxa"/>
            <w:tcBorders>
              <w:tl2br w:val="nil"/>
              <w:tr2bl w:val="nil"/>
            </w:tcBorders>
            <w:vAlign w:val="center"/>
          </w:tcPr>
          <w:p w14:paraId="39E34874">
            <w:pPr>
              <w:keepNext w:val="0"/>
              <w:keepLines w:val="0"/>
              <w:pageBreakBefore w:val="0"/>
              <w:widowControl w:val="0"/>
              <w:kinsoku/>
              <w:wordWrap w:val="0"/>
              <w:overflowPunct/>
              <w:topLinePunct w:val="0"/>
              <w:autoSpaceDE w:val="0"/>
              <w:autoSpaceDN w:val="0"/>
              <w:bidi w:val="0"/>
              <w:adjustRightInd/>
              <w:spacing w:line="360" w:lineRule="exact"/>
              <w:jc w:val="center"/>
              <w:textAlignment w:val="auto"/>
              <w:rPr>
                <w:rFonts w:hint="default" w:cs="宋体"/>
                <w:snapToGrid w:val="0"/>
                <w:color w:val="auto"/>
                <w:kern w:val="28"/>
                <w:sz w:val="22"/>
                <w:szCs w:val="22"/>
                <w:lang w:val="en-US" w:eastAsia="zh-CN"/>
              </w:rPr>
            </w:pPr>
            <w:r>
              <w:rPr>
                <w:rFonts w:hint="eastAsia" w:cs="宋体"/>
                <w:snapToGrid w:val="0"/>
                <w:color w:val="auto"/>
                <w:kern w:val="28"/>
                <w:sz w:val="22"/>
                <w:szCs w:val="22"/>
                <w:lang w:val="en-US" w:eastAsia="zh-CN"/>
              </w:rPr>
              <w:t>28</w:t>
            </w:r>
          </w:p>
        </w:tc>
        <w:tc>
          <w:tcPr>
            <w:tcW w:w="1785" w:type="dxa"/>
            <w:tcBorders>
              <w:tl2br w:val="nil"/>
              <w:tr2bl w:val="nil"/>
            </w:tcBorders>
            <w:shd w:val="clear" w:color="auto" w:fill="auto"/>
            <w:vAlign w:val="center"/>
          </w:tcPr>
          <w:p w14:paraId="6E91ABB9">
            <w:pPr>
              <w:pStyle w:val="10"/>
              <w:spacing w:before="0"/>
              <w:jc w:val="center"/>
              <w:rPr>
                <w:rFonts w:hint="eastAsia" w:ascii="宋体" w:hAnsi="宋体" w:eastAsia="宋体" w:cs="宋体"/>
                <w:b w:val="0"/>
                <w:bCs w:val="0"/>
                <w:snapToGrid w:val="0"/>
                <w:color w:val="auto"/>
                <w:kern w:val="28"/>
                <w:sz w:val="22"/>
                <w:szCs w:val="22"/>
                <w:lang w:val="zh-CN" w:eastAsia="zh-CN" w:bidi="zh-CN"/>
              </w:rPr>
            </w:pPr>
            <w:r>
              <w:rPr>
                <w:rFonts w:hint="eastAsia" w:ascii="宋体" w:hAnsi="宋体" w:eastAsia="宋体" w:cs="宋体"/>
                <w:b w:val="0"/>
                <w:bCs w:val="0"/>
                <w:snapToGrid w:val="0"/>
                <w:color w:val="auto"/>
                <w:kern w:val="28"/>
                <w:sz w:val="22"/>
                <w:szCs w:val="22"/>
                <w:lang w:val="zh-CN" w:eastAsia="zh-CN" w:bidi="zh-CN"/>
              </w:rPr>
              <w:t>注意事项</w:t>
            </w:r>
          </w:p>
        </w:tc>
        <w:tc>
          <w:tcPr>
            <w:tcW w:w="6570" w:type="dxa"/>
            <w:tcBorders>
              <w:tl2br w:val="nil"/>
              <w:tr2bl w:val="nil"/>
            </w:tcBorders>
            <w:shd w:val="clear" w:color="auto" w:fill="auto"/>
            <w:vAlign w:val="center"/>
          </w:tcPr>
          <w:p w14:paraId="5F54101D">
            <w:pPr>
              <w:pStyle w:val="10"/>
              <w:adjustRightInd w:val="0"/>
              <w:snapToGrid w:val="0"/>
              <w:spacing w:before="0" w:line="350" w:lineRule="atLeast"/>
              <w:rPr>
                <w:rFonts w:hint="eastAsia" w:ascii="宋体" w:hAnsi="宋体" w:eastAsia="宋体" w:cs="宋体"/>
                <w:b/>
                <w:bCs/>
                <w:color w:val="auto"/>
                <w:kern w:val="2"/>
                <w:sz w:val="21"/>
                <w:szCs w:val="24"/>
                <w:lang w:val="zh-CN" w:eastAsia="zh-CN" w:bidi="zh-CN"/>
              </w:rPr>
            </w:pPr>
            <w:r>
              <w:rPr>
                <w:rFonts w:hint="eastAsia" w:ascii="宋体" w:hAnsi="宋体" w:eastAsia="宋体" w:cs="宋体"/>
                <w:b w:val="0"/>
                <w:bCs w:val="0"/>
                <w:snapToGrid w:val="0"/>
                <w:color w:val="auto"/>
                <w:kern w:val="28"/>
                <w:sz w:val="22"/>
                <w:szCs w:val="22"/>
                <w:lang w:val="zh-CN" w:eastAsia="zh-CN" w:bidi="zh-CN"/>
              </w:rPr>
              <w:t>由于本项目为电子标，投标人的法定代表人（或其委托代理人）无需出席开标现场会议，均应当准时在线参加，直至评审结束，且保证采购代理机构能够随时与其代表人取得联系。</w:t>
            </w:r>
          </w:p>
        </w:tc>
      </w:tr>
    </w:tbl>
    <w:p w14:paraId="17094A5A">
      <w:pPr>
        <w:pStyle w:val="6"/>
        <w:ind w:left="0" w:leftChars="0" w:firstLine="0" w:firstLineChars="0"/>
        <w:rPr>
          <w:rFonts w:hint="eastAsia"/>
          <w:color w:val="auto"/>
          <w:sz w:val="28"/>
          <w:szCs w:val="28"/>
        </w:rPr>
      </w:pPr>
    </w:p>
    <w:p w14:paraId="669C8521">
      <w:pPr>
        <w:rPr>
          <w:rFonts w:hint="eastAsia" w:ascii="宋体" w:hAnsi="宋体" w:eastAsia="宋体" w:cs="宋体"/>
          <w:color w:val="auto"/>
          <w:sz w:val="22"/>
          <w:szCs w:val="21"/>
        </w:rPr>
        <w:sectPr>
          <w:footerReference r:id="rId5" w:type="default"/>
          <w:pgSz w:w="11910" w:h="16840"/>
          <w:pgMar w:top="1247" w:right="1417" w:bottom="1276" w:left="1417" w:header="0" w:footer="952" w:gutter="0"/>
          <w:pgBorders>
            <w:top w:val="none" w:sz="0" w:space="0"/>
            <w:left w:val="none" w:sz="0" w:space="0"/>
            <w:bottom w:val="none" w:sz="0" w:space="0"/>
            <w:right w:val="none" w:sz="0" w:space="0"/>
          </w:pgBorders>
          <w:pgNumType w:fmt="decimal"/>
          <w:cols w:equalWidth="0" w:num="1">
            <w:col w:w="10050"/>
          </w:cols>
          <w:rtlGutter w:val="0"/>
          <w:docGrid w:linePitch="0" w:charSpace="0"/>
        </w:sectPr>
      </w:pPr>
    </w:p>
    <w:p w14:paraId="3B30010D">
      <w:pPr>
        <w:tabs>
          <w:tab w:val="left" w:pos="2033"/>
        </w:tabs>
        <w:spacing w:line="360" w:lineRule="auto"/>
        <w:ind w:left="0" w:leftChars="0" w:firstLine="0" w:firstLineChars="0"/>
        <w:jc w:val="center"/>
        <w:outlineLvl w:val="9"/>
        <w:rPr>
          <w:rFonts w:hint="eastAsia" w:cs="仿宋_GB2312" w:asciiTheme="minorEastAsia" w:hAnsiTheme="minorEastAsia" w:eastAsiaTheme="minorEastAsia"/>
          <w:b/>
          <w:color w:val="auto"/>
          <w:sz w:val="28"/>
          <w:szCs w:val="18"/>
          <w:lang w:val="zh-CN" w:eastAsia="zh-CN" w:bidi="zh-CN"/>
        </w:rPr>
      </w:pPr>
      <w:bookmarkStart w:id="8" w:name="一、总__则"/>
      <w:bookmarkEnd w:id="8"/>
      <w:r>
        <w:rPr>
          <w:rFonts w:hint="eastAsia" w:cs="仿宋_GB2312" w:asciiTheme="minorEastAsia" w:hAnsiTheme="minorEastAsia" w:eastAsiaTheme="minorEastAsia"/>
          <w:b/>
          <w:color w:val="auto"/>
          <w:sz w:val="28"/>
          <w:szCs w:val="18"/>
          <w:lang w:val="en-US" w:eastAsia="zh-CN" w:bidi="zh-CN"/>
        </w:rPr>
        <w:t>一</w:t>
      </w:r>
      <w:r>
        <w:rPr>
          <w:rFonts w:hint="eastAsia" w:cs="仿宋_GB2312" w:asciiTheme="minorEastAsia" w:hAnsiTheme="minorEastAsia" w:eastAsiaTheme="minorEastAsia"/>
          <w:b/>
          <w:color w:val="auto"/>
          <w:sz w:val="28"/>
          <w:szCs w:val="18"/>
          <w:lang w:val="zh-CN" w:eastAsia="zh-CN" w:bidi="zh-CN"/>
        </w:rPr>
        <w:t>、总则</w:t>
      </w:r>
    </w:p>
    <w:p w14:paraId="3A65F73D">
      <w:pPr>
        <w:pStyle w:val="12"/>
        <w:spacing w:line="360" w:lineRule="auto"/>
        <w:outlineLvl w:val="9"/>
        <w:rPr>
          <w:rFonts w:hint="eastAsia" w:ascii="宋体" w:hAnsi="宋体" w:eastAsia="宋体" w:cs="宋体"/>
          <w:b/>
          <w:bCs/>
          <w:color w:val="auto"/>
          <w:sz w:val="22"/>
          <w:szCs w:val="22"/>
          <w:lang w:val="en-US"/>
        </w:rPr>
      </w:pPr>
      <w:bookmarkStart w:id="9" w:name="（一）适用范围"/>
      <w:bookmarkEnd w:id="9"/>
      <w:r>
        <w:rPr>
          <w:rFonts w:hint="eastAsia" w:ascii="宋体" w:hAnsi="宋体" w:eastAsia="宋体" w:cs="宋体"/>
          <w:b/>
          <w:bCs/>
          <w:color w:val="auto"/>
          <w:sz w:val="22"/>
          <w:szCs w:val="22"/>
          <w:lang w:val="en-US" w:eastAsia="zh-CN"/>
        </w:rPr>
        <w:t>1.</w:t>
      </w:r>
      <w:r>
        <w:rPr>
          <w:rFonts w:hint="eastAsia" w:cs="宋体"/>
          <w:b/>
          <w:bCs/>
          <w:color w:val="auto"/>
          <w:sz w:val="22"/>
          <w:szCs w:val="22"/>
          <w:lang w:val="en-US" w:eastAsia="zh-CN"/>
        </w:rPr>
        <w:t xml:space="preserve"> </w:t>
      </w:r>
      <w:r>
        <w:rPr>
          <w:rFonts w:hint="eastAsia" w:ascii="宋体" w:hAnsi="宋体" w:eastAsia="宋体" w:cs="宋体"/>
          <w:b/>
          <w:bCs/>
          <w:color w:val="auto"/>
          <w:sz w:val="22"/>
          <w:szCs w:val="22"/>
          <w:lang w:val="en-US"/>
        </w:rPr>
        <w:t>适用范围</w:t>
      </w:r>
    </w:p>
    <w:p w14:paraId="3054A560">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本招标文件适用于该项目的招标、投标、开标、资格审查及信用信息查询、评标、定标、合同、验收等行为（法律、法规另有规定的，从其规定）。</w:t>
      </w:r>
    </w:p>
    <w:p w14:paraId="069F659B">
      <w:pPr>
        <w:pStyle w:val="12"/>
        <w:numPr>
          <w:ilvl w:val="0"/>
          <w:numId w:val="1"/>
        </w:numPr>
        <w:spacing w:line="360" w:lineRule="auto"/>
        <w:outlineLvl w:val="9"/>
        <w:rPr>
          <w:rFonts w:hint="eastAsia" w:ascii="宋体" w:hAnsi="宋体" w:eastAsia="宋体" w:cs="宋体"/>
          <w:b/>
          <w:bCs/>
          <w:color w:val="auto"/>
          <w:sz w:val="22"/>
          <w:szCs w:val="22"/>
          <w:lang w:val="en-US"/>
        </w:rPr>
      </w:pPr>
      <w:bookmarkStart w:id="10" w:name="（二）定义"/>
      <w:bookmarkEnd w:id="10"/>
      <w:r>
        <w:rPr>
          <w:rFonts w:hint="eastAsia" w:ascii="宋体" w:hAnsi="宋体" w:eastAsia="宋体" w:cs="宋体"/>
          <w:b/>
          <w:bCs/>
          <w:color w:val="auto"/>
          <w:sz w:val="22"/>
          <w:szCs w:val="22"/>
          <w:lang w:val="en-US"/>
        </w:rPr>
        <w:t>定义</w:t>
      </w:r>
    </w:p>
    <w:p w14:paraId="325B9783">
      <w:pPr>
        <w:spacing w:line="360" w:lineRule="auto"/>
        <w:ind w:firstLine="440" w:firstLineChars="200"/>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2.1 “采购人”系指招标公告中载明的本项目的采购人。</w:t>
      </w:r>
    </w:p>
    <w:p w14:paraId="4C426835">
      <w:pPr>
        <w:spacing w:line="360" w:lineRule="auto"/>
        <w:ind w:firstLine="440" w:firstLineChars="200"/>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2.2 “采购代理机构”系指招标公告中载明的本项目的采购代理机构。</w:t>
      </w:r>
    </w:p>
    <w:p w14:paraId="5DD84FBC">
      <w:pPr>
        <w:spacing w:line="360" w:lineRule="auto"/>
        <w:ind w:firstLine="440" w:firstLineChars="200"/>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2.3 “投标人”系指是指响应招标、参加投标竞争的法人、其他组织或者自然人。</w:t>
      </w:r>
    </w:p>
    <w:p w14:paraId="1E1810F2">
      <w:pPr>
        <w:keepNext w:val="0"/>
        <w:keepLines w:val="0"/>
        <w:pageBreakBefore w:val="0"/>
        <w:widowControl w:val="0"/>
        <w:kinsoku/>
        <w:wordWrap w:val="0"/>
        <w:overflowPunct/>
        <w:topLinePunct w:val="0"/>
        <w:autoSpaceDE w:val="0"/>
        <w:autoSpaceDN w:val="0"/>
        <w:bidi w:val="0"/>
        <w:adjustRightInd/>
        <w:snapToGrid/>
        <w:spacing w:line="360" w:lineRule="auto"/>
        <w:ind w:firstLine="440" w:firstLineChars="200"/>
        <w:textAlignment w:val="auto"/>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2.4 “负责人”系指法人企业的法定负责人，或其他组织为法律、行政法规规定代表单位行使职权的主要负责人，或自然人本人。</w:t>
      </w:r>
    </w:p>
    <w:p w14:paraId="529C63E2">
      <w:pPr>
        <w:keepNext w:val="0"/>
        <w:keepLines w:val="0"/>
        <w:pageBreakBefore w:val="0"/>
        <w:widowControl w:val="0"/>
        <w:kinsoku/>
        <w:wordWrap w:val="0"/>
        <w:overflowPunct/>
        <w:topLinePunct w:val="0"/>
        <w:autoSpaceDE w:val="0"/>
        <w:autoSpaceDN w:val="0"/>
        <w:bidi w:val="0"/>
        <w:adjustRightInd/>
        <w:snapToGrid/>
        <w:spacing w:line="360" w:lineRule="auto"/>
        <w:ind w:firstLine="440" w:firstLineChars="200"/>
        <w:textAlignment w:val="auto"/>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Theme="minorEastAsia" w:hAnsiTheme="minorEastAsia" w:eastAsiaTheme="minorEastAsia"/>
          <w:color w:val="auto"/>
          <w:sz w:val="22"/>
          <w:szCs w:val="21"/>
          <w:lang w:val="en-US" w:eastAsia="zh-CN"/>
        </w:rPr>
        <w:t>3</w:t>
      </w:r>
      <w:r>
        <w:rPr>
          <w:rFonts w:hint="eastAsia" w:asciiTheme="minorEastAsia" w:hAnsiTheme="minorEastAsia" w:eastAsiaTheme="minorEastAsia"/>
          <w:color w:val="auto"/>
          <w:sz w:val="22"/>
          <w:szCs w:val="21"/>
        </w:rPr>
        <w:t>）。</w:t>
      </w:r>
    </w:p>
    <w:p w14:paraId="7C375A38">
      <w:pPr>
        <w:keepNext w:val="0"/>
        <w:keepLines w:val="0"/>
        <w:pageBreakBefore w:val="0"/>
        <w:widowControl w:val="0"/>
        <w:kinsoku/>
        <w:wordWrap w:val="0"/>
        <w:overflowPunct/>
        <w:topLinePunct w:val="0"/>
        <w:autoSpaceDE w:val="0"/>
        <w:autoSpaceDN w:val="0"/>
        <w:bidi w:val="0"/>
        <w:adjustRightInd/>
        <w:snapToGrid/>
        <w:spacing w:line="360" w:lineRule="auto"/>
        <w:ind w:firstLine="440" w:firstLineChars="200"/>
        <w:textAlignment w:val="auto"/>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2.6</w:t>
      </w:r>
      <w:r>
        <w:rPr>
          <w:rFonts w:hint="eastAsia" w:asciiTheme="minorEastAsia" w:hAnsiTheme="minorEastAsia" w:eastAsiaTheme="minorEastAsia"/>
          <w:color w:val="auto"/>
          <w:sz w:val="22"/>
          <w:szCs w:val="21"/>
          <w:lang w:val="en-US" w:eastAsia="zh-CN"/>
        </w:rPr>
        <w:t xml:space="preserve"> </w:t>
      </w:r>
      <w:r>
        <w:rPr>
          <w:rFonts w:hint="eastAsia" w:asciiTheme="minorEastAsia" w:hAnsiTheme="minorEastAsia" w:eastAsiaTheme="minorEastAsia"/>
          <w:color w:val="auto"/>
          <w:sz w:val="22"/>
          <w:szCs w:val="21"/>
        </w:rPr>
        <w:t>“电子交易平台”系指本项目政府采购活动所依托的政府采购云平台（https://www.zcygov.cn/）。</w:t>
      </w:r>
    </w:p>
    <w:p w14:paraId="6C9CA1FE">
      <w:pPr>
        <w:keepNext w:val="0"/>
        <w:keepLines w:val="0"/>
        <w:pageBreakBefore w:val="0"/>
        <w:widowControl w:val="0"/>
        <w:kinsoku/>
        <w:wordWrap w:val="0"/>
        <w:overflowPunct/>
        <w:topLinePunct w:val="0"/>
        <w:autoSpaceDE w:val="0"/>
        <w:autoSpaceDN w:val="0"/>
        <w:bidi w:val="0"/>
        <w:adjustRightInd/>
        <w:snapToGrid/>
        <w:spacing w:line="360" w:lineRule="auto"/>
        <w:ind w:firstLine="440" w:firstLineChars="200"/>
        <w:textAlignment w:val="auto"/>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2.7</w:t>
      </w:r>
      <w:r>
        <w:rPr>
          <w:rFonts w:hint="eastAsia" w:asciiTheme="minorEastAsia" w:hAnsiTheme="minorEastAsia" w:eastAsiaTheme="minorEastAsia"/>
          <w:color w:val="auto"/>
          <w:sz w:val="22"/>
          <w:szCs w:val="21"/>
          <w:lang w:val="en-US" w:eastAsia="zh-CN"/>
        </w:rPr>
        <w:t xml:space="preserve"> </w:t>
      </w:r>
      <w:r>
        <w:rPr>
          <w:rFonts w:hint="eastAsia" w:ascii="宋体" w:hAnsi="宋体" w:eastAsia="宋体" w:cs="宋体"/>
          <w:color w:val="auto"/>
          <w:sz w:val="22"/>
          <w:szCs w:val="22"/>
        </w:rPr>
        <w:t>“▲” 系指实质性要求条款，“</w:t>
      </w:r>
      <w:sdt>
        <w:sdtPr>
          <w:rPr>
            <w:rFonts w:hint="eastAsia" w:ascii="宋体" w:hAnsi="宋体" w:eastAsia="宋体" w:cs="宋体"/>
            <w:color w:val="auto"/>
            <w:kern w:val="0"/>
            <w:sz w:val="22"/>
            <w:szCs w:val="22"/>
          </w:rPr>
          <w:id w:val="147455127"/>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rPr>
        </w:sdtEndPr>
        <w:sdtContent>
          <w:r>
            <w:rPr>
              <w:rFonts w:hint="eastAsia" w:ascii="宋体" w:hAnsi="宋体" w:eastAsia="宋体" w:cs="宋体"/>
              <w:color w:val="auto"/>
              <w:kern w:val="0"/>
              <w:sz w:val="22"/>
              <w:szCs w:val="22"/>
            </w:rPr>
            <w:sym w:font="Wingdings" w:char="F0FE"/>
          </w:r>
        </w:sdtContent>
      </w:sdt>
      <w:r>
        <w:rPr>
          <w:rFonts w:hint="eastAsia" w:ascii="宋体" w:hAnsi="宋体" w:eastAsia="宋体" w:cs="宋体"/>
          <w:color w:val="auto"/>
          <w:sz w:val="22"/>
          <w:szCs w:val="22"/>
        </w:rPr>
        <w:t>” 系指适用本项目的要求，“</w:t>
      </w:r>
      <w:sdt>
        <w:sdtPr>
          <w:rPr>
            <w:rFonts w:hint="eastAsia" w:ascii="宋体" w:hAnsi="宋体" w:eastAsia="宋体" w:cs="宋体"/>
            <w:color w:val="auto"/>
            <w:kern w:val="0"/>
            <w:sz w:val="22"/>
            <w:szCs w:val="22"/>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rPr>
        </w:sdtEndPr>
        <w:sdtContent>
          <w:r>
            <w:rPr>
              <w:rFonts w:hint="eastAsia" w:ascii="宋体" w:hAnsi="宋体" w:eastAsia="宋体" w:cs="宋体"/>
              <w:color w:val="auto"/>
              <w:kern w:val="0"/>
              <w:sz w:val="22"/>
              <w:szCs w:val="22"/>
            </w:rPr>
            <w:t>☐</w:t>
          </w:r>
        </w:sdtContent>
      </w:sdt>
      <w:r>
        <w:rPr>
          <w:rFonts w:hint="eastAsia" w:ascii="宋体" w:hAnsi="宋体" w:eastAsia="宋体" w:cs="宋体"/>
          <w:color w:val="auto"/>
          <w:sz w:val="22"/>
          <w:szCs w:val="22"/>
        </w:rPr>
        <w:t>” 系指不适用本项目的要求。</w:t>
      </w:r>
    </w:p>
    <w:p w14:paraId="24062277">
      <w:pPr>
        <w:pStyle w:val="12"/>
        <w:keepNext w:val="0"/>
        <w:keepLines w:val="0"/>
        <w:pageBreakBefore w:val="0"/>
        <w:widowControl w:val="0"/>
        <w:kinsoku/>
        <w:wordWrap w:val="0"/>
        <w:overflowPunct/>
        <w:topLinePunct w:val="0"/>
        <w:autoSpaceDE w:val="0"/>
        <w:autoSpaceDN w:val="0"/>
        <w:bidi w:val="0"/>
        <w:adjustRightInd/>
        <w:snapToGrid/>
        <w:spacing w:line="360" w:lineRule="auto"/>
        <w:textAlignment w:val="auto"/>
        <w:outlineLvl w:val="9"/>
        <w:rPr>
          <w:rFonts w:hint="eastAsia" w:ascii="宋体" w:hAnsi="宋体" w:eastAsia="宋体" w:cs="宋体"/>
          <w:b/>
          <w:bCs/>
          <w:color w:val="auto"/>
          <w:sz w:val="22"/>
          <w:szCs w:val="22"/>
        </w:rPr>
      </w:pPr>
      <w:bookmarkStart w:id="11" w:name="（三）磋商委托"/>
      <w:bookmarkEnd w:id="11"/>
      <w:r>
        <w:rPr>
          <w:rFonts w:hint="eastAsia" w:ascii="宋体" w:hAnsi="宋体" w:eastAsia="宋体" w:cs="宋体"/>
          <w:b/>
          <w:bCs/>
          <w:color w:val="auto"/>
          <w:sz w:val="22"/>
          <w:szCs w:val="22"/>
          <w:lang w:val="en-US" w:eastAsia="zh-CN"/>
        </w:rPr>
        <w:t>3.</w:t>
      </w:r>
      <w:r>
        <w:rPr>
          <w:rFonts w:hint="eastAsia" w:cs="宋体"/>
          <w:b/>
          <w:bCs/>
          <w:color w:val="auto"/>
          <w:sz w:val="22"/>
          <w:szCs w:val="22"/>
          <w:lang w:val="en-US" w:eastAsia="zh-CN"/>
        </w:rPr>
        <w:t xml:space="preserve"> 采购项目需要落实的政府采购政策</w:t>
      </w:r>
    </w:p>
    <w:p w14:paraId="44CF0807">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3.1</w:t>
      </w:r>
      <w:r>
        <w:rPr>
          <w:rFonts w:hint="eastAsia" w:cs="宋体"/>
          <w:b w:val="0"/>
          <w:bCs w:val="0"/>
          <w:color w:val="auto"/>
          <w:sz w:val="22"/>
          <w:szCs w:val="22"/>
          <w:lang w:val="en-US" w:eastAsia="zh-CN"/>
        </w:rPr>
        <w:t xml:space="preserve">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r>
        <w:rPr>
          <w:rFonts w:hint="eastAsia" w:ascii="宋体" w:hAnsi="宋体" w:eastAsia="宋体" w:cs="宋体"/>
          <w:b w:val="0"/>
          <w:bCs w:val="0"/>
          <w:color w:val="auto"/>
          <w:sz w:val="22"/>
          <w:szCs w:val="22"/>
        </w:rPr>
        <w:t>。</w:t>
      </w:r>
    </w:p>
    <w:p w14:paraId="513693C5">
      <w:pPr>
        <w:spacing w:line="360" w:lineRule="auto"/>
        <w:ind w:firstLine="440" w:firstLineChars="200"/>
        <w:rPr>
          <w:rFonts w:hint="eastAsia" w:cs="宋体"/>
          <w:color w:val="auto"/>
          <w:sz w:val="22"/>
          <w:szCs w:val="22"/>
          <w:lang w:val="en-US" w:eastAsia="zh-CN"/>
        </w:rPr>
      </w:pPr>
      <w:r>
        <w:rPr>
          <w:rFonts w:hint="eastAsia" w:ascii="宋体" w:hAnsi="宋体" w:eastAsia="宋体" w:cs="宋体"/>
          <w:color w:val="auto"/>
          <w:sz w:val="22"/>
          <w:szCs w:val="22"/>
        </w:rPr>
        <w:t>3.2</w:t>
      </w:r>
      <w:r>
        <w:rPr>
          <w:rFonts w:hint="eastAsia" w:cs="宋体"/>
          <w:color w:val="auto"/>
          <w:sz w:val="22"/>
          <w:szCs w:val="22"/>
          <w:lang w:val="en-US" w:eastAsia="zh-CN"/>
        </w:rPr>
        <w:t xml:space="preserve"> 支持绿色发展</w:t>
      </w:r>
    </w:p>
    <w:p w14:paraId="1D263910">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3.2.2 修缮、装修类项目采购建材的，采购人应将绿色建筑和绿色建材性能、指标等作为实质性条件纳入招标文件和合同。</w:t>
      </w:r>
    </w:p>
    <w:p w14:paraId="0DEE9DEF">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49E53AB">
      <w:pPr>
        <w:spacing w:line="360" w:lineRule="auto"/>
        <w:ind w:firstLine="440" w:firstLineChars="200"/>
        <w:rPr>
          <w:rFonts w:hint="eastAsia" w:ascii="宋体" w:hAnsi="宋体" w:eastAsia="宋体" w:cs="宋体"/>
          <w:color w:val="auto"/>
          <w:sz w:val="22"/>
          <w:szCs w:val="22"/>
        </w:rPr>
      </w:pPr>
      <w:r>
        <w:rPr>
          <w:rFonts w:hint="eastAsia" w:cs="宋体"/>
          <w:color w:val="auto"/>
          <w:sz w:val="22"/>
          <w:szCs w:val="22"/>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54CF9E8">
      <w:pPr>
        <w:spacing w:line="360" w:lineRule="auto"/>
        <w:ind w:firstLine="440" w:firstLineChars="200"/>
        <w:rPr>
          <w:rFonts w:hint="eastAsia" w:cs="宋体"/>
          <w:color w:val="auto"/>
          <w:sz w:val="22"/>
          <w:szCs w:val="22"/>
          <w:lang w:val="en-US" w:eastAsia="zh-CN"/>
        </w:rPr>
      </w:pPr>
      <w:r>
        <w:rPr>
          <w:rFonts w:hint="eastAsia" w:ascii="宋体" w:hAnsi="宋体" w:eastAsia="宋体" w:cs="宋体"/>
          <w:color w:val="auto"/>
          <w:sz w:val="22"/>
          <w:szCs w:val="22"/>
        </w:rPr>
        <w:t>3.3</w:t>
      </w:r>
      <w:r>
        <w:rPr>
          <w:rFonts w:hint="eastAsia" w:cs="宋体"/>
          <w:color w:val="auto"/>
          <w:sz w:val="22"/>
          <w:szCs w:val="22"/>
          <w:lang w:val="en-US" w:eastAsia="zh-CN"/>
        </w:rPr>
        <w:t xml:space="preserve"> 支持中小企业发展</w:t>
      </w:r>
    </w:p>
    <w:p w14:paraId="3CE90C23">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426AB603">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符合中小企业划分标准的个体工商户，在政府采购活动中视同中小企业。</w:t>
      </w:r>
    </w:p>
    <w:p w14:paraId="0A3978C9">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3.3.2 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0042032">
      <w:pPr>
        <w:spacing w:line="360" w:lineRule="auto"/>
        <w:ind w:firstLine="442" w:firstLineChars="200"/>
        <w:rPr>
          <w:rFonts w:hint="eastAsia" w:cs="宋体"/>
          <w:b/>
          <w:bCs/>
          <w:color w:val="auto"/>
          <w:sz w:val="22"/>
          <w:szCs w:val="22"/>
          <w:lang w:val="en-US" w:eastAsia="zh-CN"/>
        </w:rPr>
      </w:pPr>
      <w:r>
        <w:rPr>
          <w:rFonts w:hint="eastAsia" w:cs="宋体"/>
          <w:b/>
          <w:bCs/>
          <w:color w:val="auto"/>
          <w:sz w:val="22"/>
          <w:szCs w:val="22"/>
          <w:lang w:val="en-US" w:eastAsia="zh-CN"/>
        </w:rPr>
        <w:t>以联合体形式参加政府采购活动，联合体各方均为中小企业的，联合体视同中小企业。其中，联合体各方均为小微企业的，联合体视同小微企业。</w:t>
      </w:r>
    </w:p>
    <w:p w14:paraId="487F1055">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3.3.3 本项目对小型和微型企业的投标报价给予</w:t>
      </w:r>
      <w:r>
        <w:rPr>
          <w:rFonts w:hint="eastAsia" w:cs="宋体"/>
          <w:b/>
          <w:bCs/>
          <w:color w:val="auto"/>
          <w:sz w:val="22"/>
          <w:szCs w:val="22"/>
          <w:lang w:val="en-US" w:eastAsia="zh-CN"/>
        </w:rPr>
        <w:t>10%</w:t>
      </w:r>
      <w:r>
        <w:rPr>
          <w:rFonts w:hint="eastAsia" w:cs="宋体"/>
          <w:color w:val="auto"/>
          <w:sz w:val="22"/>
          <w:szCs w:val="22"/>
          <w:lang w:val="en-US" w:eastAsia="zh-CN"/>
        </w:rPr>
        <w:t>的扣除，用扣除后的价格参与评审。大中型企业与小微企业组成联合体的参与本项目投标的，对于联合协议约定小微企业的合同份额占到合同总金额30%以上的，对联合体报价给予</w:t>
      </w:r>
      <w:r>
        <w:rPr>
          <w:rFonts w:hint="eastAsia" w:cs="宋体"/>
          <w:b/>
          <w:bCs/>
          <w:color w:val="auto"/>
          <w:sz w:val="22"/>
          <w:szCs w:val="22"/>
          <w:lang w:val="en-US" w:eastAsia="zh-CN"/>
        </w:rPr>
        <w:t>4%</w:t>
      </w:r>
      <w:r>
        <w:rPr>
          <w:rFonts w:hint="eastAsia" w:cs="宋体"/>
          <w:color w:val="auto"/>
          <w:sz w:val="22"/>
          <w:szCs w:val="22"/>
          <w:lang w:val="en-US" w:eastAsia="zh-CN"/>
        </w:rPr>
        <w:t>的扣除，用扣除后的价格参加评审。组成联合体内的企业存在直接控股、管理关系的，不享受价格扣除优惠政策。</w:t>
      </w:r>
    </w:p>
    <w:p w14:paraId="50E30F20">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3.3.4 符合《关于促进残疾人就业政府采购政策的通知》（财库〔2017〕141号）规定的条件并提供《残疾人福利性单位声明函》的残疾人福利性单位视同小型、微型企业；</w:t>
      </w:r>
    </w:p>
    <w:p w14:paraId="5A3E7A81">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39499D20">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D2A9AC">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3.3.7 中小企业享受扶持政策获得政府采购合同的，小微企业不得将合同分包给大中型企业，中型企业不得将合同分包给大型企业。</w:t>
      </w:r>
    </w:p>
    <w:p w14:paraId="4542EB84">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3.4 支持创新发展</w:t>
      </w:r>
    </w:p>
    <w:p w14:paraId="41A187A5">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3.4.1 采购人优先采购被认定为首台套产品和“制造精品”的自主创新产品。</w:t>
      </w:r>
    </w:p>
    <w:p w14:paraId="41681772">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3.4.2 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71A6812">
      <w:pPr>
        <w:spacing w:line="360" w:lineRule="auto"/>
        <w:ind w:firstLine="440" w:firstLineChars="200"/>
        <w:rPr>
          <w:rFonts w:hint="eastAsia" w:cs="宋体"/>
          <w:color w:val="auto"/>
          <w:sz w:val="22"/>
          <w:szCs w:val="22"/>
          <w:lang w:val="en-US" w:eastAsia="zh-CN"/>
        </w:rPr>
      </w:pPr>
      <w:r>
        <w:rPr>
          <w:rFonts w:hint="eastAsia" w:cs="宋体"/>
          <w:color w:val="auto"/>
          <w:sz w:val="22"/>
          <w:szCs w:val="22"/>
          <w:lang w:val="en-US" w:eastAsia="zh-CN"/>
        </w:rPr>
        <w:t>3.5 平等对待内外资企业和符合条件的破产重整企业</w:t>
      </w:r>
    </w:p>
    <w:p w14:paraId="08139FAB">
      <w:pPr>
        <w:spacing w:line="360" w:lineRule="auto"/>
        <w:ind w:firstLine="440" w:firstLineChars="200"/>
        <w:rPr>
          <w:rFonts w:hint="eastAsia" w:ascii="宋体" w:hAnsi="宋体" w:eastAsia="宋体" w:cs="宋体"/>
          <w:color w:val="auto"/>
          <w:sz w:val="22"/>
          <w:szCs w:val="22"/>
        </w:rPr>
      </w:pPr>
      <w:r>
        <w:rPr>
          <w:rFonts w:hint="eastAsia" w:cs="宋体"/>
          <w:color w:val="auto"/>
          <w:sz w:val="22"/>
          <w:szCs w:val="22"/>
          <w:lang w:val="en-US" w:eastAsia="zh-CN"/>
        </w:rPr>
        <w:t>平等对待内外资企业和符合条件的破产重整企业，切实保障企业公平竞争，平等维护企业的合法利益。</w:t>
      </w:r>
    </w:p>
    <w:p w14:paraId="31AE89D2">
      <w:pPr>
        <w:pStyle w:val="12"/>
        <w:numPr>
          <w:ilvl w:val="0"/>
          <w:numId w:val="2"/>
        </w:numPr>
        <w:spacing w:line="360" w:lineRule="auto"/>
        <w:outlineLvl w:val="9"/>
        <w:rPr>
          <w:rFonts w:hint="eastAsia" w:ascii="宋体" w:hAnsi="宋体" w:eastAsia="宋体" w:cs="宋体"/>
          <w:b/>
          <w:bCs/>
          <w:color w:val="auto"/>
          <w:sz w:val="22"/>
          <w:szCs w:val="22"/>
          <w:lang w:val="en-US"/>
        </w:rPr>
      </w:pPr>
      <w:bookmarkStart w:id="12" w:name="（四）投标费用"/>
      <w:bookmarkEnd w:id="12"/>
      <w:r>
        <w:rPr>
          <w:rFonts w:hint="eastAsia" w:cs="宋体"/>
          <w:b/>
          <w:bCs/>
          <w:color w:val="auto"/>
          <w:sz w:val="22"/>
          <w:szCs w:val="22"/>
          <w:lang w:val="en-US" w:eastAsia="zh-CN"/>
        </w:rPr>
        <w:t>询问、质疑、投诉</w:t>
      </w:r>
    </w:p>
    <w:p w14:paraId="2BFB3282">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4.1</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A7A605">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4.2</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供应商询问</w:t>
      </w:r>
    </w:p>
    <w:p w14:paraId="619D4849">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0D80ED">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4.3</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供应商质疑</w:t>
      </w:r>
    </w:p>
    <w:p w14:paraId="1C89390B">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4.3.1</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提出质疑的供应商应当是参与所质疑项目采购活动的供应商。潜在供应商已依法获取其可质疑的招标文件的，可以对该文件提出质疑。</w:t>
      </w:r>
    </w:p>
    <w:p w14:paraId="77E77D2B">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4.3.2</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C260A3">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4.3.2.1</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对招标文件提出质疑的，质疑期限为供应商获得招标文件之日或者招标文件公告期限届满之日起计算。</w:t>
      </w:r>
    </w:p>
    <w:p w14:paraId="27DA889D">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4.3.2.2</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对采购过程提出质疑的，质疑期限为各采购程序环节结束之日起计算。</w:t>
      </w:r>
    </w:p>
    <w:p w14:paraId="0731549E">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4.3.2.3</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对采购结果提出质疑的，质疑期限自采购结果公告期限届满之日起计算。</w:t>
      </w:r>
    </w:p>
    <w:p w14:paraId="54237805">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4.3.3</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供应商提出质疑应当提交质疑函和必要的证明材料。质疑函应当包括下列内容：</w:t>
      </w:r>
    </w:p>
    <w:p w14:paraId="3F925538">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　　4.3.3.1</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供应商的姓名或者名称、地址、邮编、联系人及联系电话；</w:t>
      </w:r>
    </w:p>
    <w:p w14:paraId="0DEEF8BD">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　　4.3.3.2</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质疑项目的名称、编号；</w:t>
      </w:r>
    </w:p>
    <w:p w14:paraId="6809723B">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　　4.3.3.3</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具体、明确的质疑事项和与质疑事项相关的请求；</w:t>
      </w:r>
    </w:p>
    <w:p w14:paraId="7E168EFF">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　　4.3.3.4</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事实依据；</w:t>
      </w:r>
    </w:p>
    <w:p w14:paraId="197E460A">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　　4.3.3.5</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必要的法律依据；</w:t>
      </w:r>
    </w:p>
    <w:p w14:paraId="1C1BD613">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　　4.3.3.6</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提出质疑的日期。</w:t>
      </w:r>
    </w:p>
    <w:p w14:paraId="00CC9197">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供应商提交的质疑函需一式三份。供应商为自然人的，应当由本人签字；供应商为法人或者其他组织的，应当由法定代表人、主要负责人，或者其授权代表签字或者盖章，并加盖公章。</w:t>
      </w:r>
    </w:p>
    <w:p w14:paraId="77785A99">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质疑函范本及制作说明详见附件</w:t>
      </w:r>
      <w:r>
        <w:rPr>
          <w:rFonts w:hint="eastAsia" w:cs="宋体"/>
          <w:color w:val="auto"/>
          <w:sz w:val="22"/>
          <w:szCs w:val="22"/>
          <w:lang w:val="en-US" w:eastAsia="zh-CN"/>
        </w:rPr>
        <w:t>1</w:t>
      </w:r>
      <w:r>
        <w:rPr>
          <w:rFonts w:hint="eastAsia" w:ascii="宋体" w:hAnsi="宋体" w:eastAsia="宋体" w:cs="宋体"/>
          <w:color w:val="auto"/>
          <w:sz w:val="22"/>
          <w:szCs w:val="22"/>
          <w:lang w:val="en-US"/>
        </w:rPr>
        <w:t>。</w:t>
      </w:r>
    </w:p>
    <w:p w14:paraId="0267F0DD">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4.3.4</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对同一采购程序环节的质疑，供应商须在法定质疑期内一次性提出。</w:t>
      </w:r>
    </w:p>
    <w:p w14:paraId="57BBB6F2">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4.3.5</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2F41323">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4.3.6</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询问或者质疑事项可能影响采购结果的，采购人应当暂停签订合同，已经签订合同的，应当中止履行合同。</w:t>
      </w:r>
    </w:p>
    <w:p w14:paraId="0AF1021B">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4.4</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供应商投诉</w:t>
      </w:r>
    </w:p>
    <w:p w14:paraId="5D2F01D1">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4.4.1</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质疑供应商对采购人、采购代理机构的答复不满意或者采购人、采购代理机构未在规定的时间内作出答复的，可以在答复期满后十五个工作日内向同级政府采购监督管理部门提出投诉。</w:t>
      </w:r>
    </w:p>
    <w:p w14:paraId="04B4CF9C">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4.4.2</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供应商投诉的事项不得超出已质疑事项的范围，基于质疑答复内容提出的投诉事项除外。</w:t>
      </w:r>
    </w:p>
    <w:p w14:paraId="1B31F6A3">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4.4.3</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供应商投诉应当有明确的请求和必要的证明材料。</w:t>
      </w:r>
    </w:p>
    <w:p w14:paraId="5032FDCA">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4.4.4</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以联合体形式参加政府采购活动的，其投诉应当由组成联合体的所有供应商共同提出。</w:t>
      </w:r>
    </w:p>
    <w:p w14:paraId="22523470">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4.4.5</w:t>
      </w:r>
      <w:r>
        <w:rPr>
          <w:rFonts w:hint="eastAsia" w:cs="宋体"/>
          <w:color w:val="auto"/>
          <w:sz w:val="22"/>
          <w:szCs w:val="22"/>
          <w:lang w:val="en-US" w:eastAsia="zh-CN"/>
        </w:rPr>
        <w:t xml:space="preserve"> 本采购项目投诉材料可寄送至苍南县政府采购监督管理办公室，地址：苍南县灵溪镇春晖路555号，收件人：黄先生，电话：0577-64685825</w:t>
      </w:r>
      <w:r>
        <w:rPr>
          <w:rFonts w:hint="eastAsia" w:ascii="宋体" w:hAnsi="宋体" w:eastAsia="宋体" w:cs="宋体"/>
          <w:color w:val="auto"/>
          <w:sz w:val="22"/>
          <w:szCs w:val="22"/>
          <w:lang w:val="en-US"/>
        </w:rPr>
        <w:t>。</w:t>
      </w:r>
    </w:p>
    <w:p w14:paraId="0628A64F">
      <w:pPr>
        <w:pStyle w:val="12"/>
        <w:spacing w:line="360" w:lineRule="auto"/>
        <w:ind w:firstLine="440" w:firstLineChars="200"/>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投诉书范本及制作说明详见附件</w:t>
      </w:r>
      <w:r>
        <w:rPr>
          <w:rFonts w:hint="eastAsia" w:cs="宋体"/>
          <w:color w:val="auto"/>
          <w:sz w:val="22"/>
          <w:szCs w:val="22"/>
          <w:lang w:val="en-US" w:eastAsia="zh-CN"/>
        </w:rPr>
        <w:t>2</w:t>
      </w:r>
      <w:r>
        <w:rPr>
          <w:rFonts w:hint="eastAsia" w:ascii="宋体" w:hAnsi="宋体" w:eastAsia="宋体" w:cs="宋体"/>
          <w:color w:val="auto"/>
          <w:sz w:val="22"/>
          <w:szCs w:val="22"/>
          <w:lang w:val="en-US"/>
        </w:rPr>
        <w:t>。</w:t>
      </w:r>
    </w:p>
    <w:p w14:paraId="54156224">
      <w:pPr>
        <w:pStyle w:val="12"/>
        <w:spacing w:line="360" w:lineRule="auto"/>
        <w:rPr>
          <w:rFonts w:hint="eastAsia" w:ascii="宋体" w:hAnsi="宋体" w:eastAsia="宋体" w:cs="宋体"/>
          <w:color w:val="auto"/>
          <w:sz w:val="11"/>
          <w:szCs w:val="11"/>
          <w:lang w:val="en-US"/>
        </w:rPr>
      </w:pPr>
    </w:p>
    <w:p w14:paraId="474BB1BE">
      <w:pPr>
        <w:pStyle w:val="12"/>
        <w:spacing w:line="360" w:lineRule="auto"/>
        <w:jc w:val="center"/>
        <w:outlineLvl w:val="9"/>
        <w:rPr>
          <w:rFonts w:hint="eastAsia" w:ascii="宋体" w:hAnsi="宋体" w:eastAsia="宋体" w:cs="宋体"/>
          <w:b/>
          <w:bCs/>
          <w:color w:val="auto"/>
          <w:sz w:val="22"/>
          <w:szCs w:val="22"/>
          <w:lang w:val="en-US"/>
        </w:rPr>
      </w:pPr>
      <w:bookmarkStart w:id="13" w:name="（五）特别说明："/>
      <w:bookmarkEnd w:id="13"/>
      <w:r>
        <w:rPr>
          <w:rFonts w:hint="eastAsia" w:cs="仿宋_GB2312" w:asciiTheme="minorEastAsia" w:hAnsiTheme="minorEastAsia" w:eastAsiaTheme="minorEastAsia"/>
          <w:b/>
          <w:color w:val="auto"/>
          <w:sz w:val="28"/>
          <w:szCs w:val="18"/>
          <w:lang w:val="en-US" w:eastAsia="zh-CN"/>
        </w:rPr>
        <w:t>二</w:t>
      </w:r>
      <w:r>
        <w:rPr>
          <w:rFonts w:hint="eastAsia" w:cs="仿宋_GB2312" w:asciiTheme="minorEastAsia" w:hAnsiTheme="minorEastAsia" w:eastAsiaTheme="minorEastAsia"/>
          <w:b/>
          <w:color w:val="auto"/>
          <w:sz w:val="28"/>
          <w:szCs w:val="18"/>
        </w:rPr>
        <w:t>、招标文件的构成、澄清、修改</w:t>
      </w:r>
    </w:p>
    <w:p w14:paraId="15261229">
      <w:pPr>
        <w:pStyle w:val="69"/>
        <w:spacing w:before="0"/>
        <w:ind w:firstLine="0" w:firstLineChars="0"/>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5.</w:t>
      </w:r>
      <w:r>
        <w:rPr>
          <w:rFonts w:hint="eastAsia" w:asciiTheme="minorEastAsia" w:hAnsiTheme="minorEastAsia" w:eastAsiaTheme="minorEastAsia"/>
          <w:b/>
          <w:color w:val="auto"/>
          <w:sz w:val="22"/>
          <w:szCs w:val="22"/>
          <w:lang w:val="en-US" w:eastAsia="zh-CN"/>
        </w:rPr>
        <w:t xml:space="preserve"> 招标文件的构成</w:t>
      </w:r>
    </w:p>
    <w:p w14:paraId="55046A34">
      <w:pPr>
        <w:pStyle w:val="12"/>
        <w:spacing w:line="360" w:lineRule="auto"/>
        <w:ind w:firstLine="440" w:firstLineChars="200"/>
        <w:outlineLvl w:val="9"/>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5.1 招标文件包括下列文件及附件：</w:t>
      </w:r>
    </w:p>
    <w:p w14:paraId="4C145530">
      <w:pPr>
        <w:pStyle w:val="12"/>
        <w:spacing w:line="360" w:lineRule="auto"/>
        <w:ind w:firstLine="880" w:firstLineChars="400"/>
        <w:outlineLvl w:val="9"/>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5.1.1</w:t>
      </w:r>
      <w:r>
        <w:rPr>
          <w:rFonts w:hint="eastAsia" w:asciiTheme="minorEastAsia" w:hAnsiTheme="minorEastAsia" w:eastAsiaTheme="minorEastAsia"/>
          <w:color w:val="auto"/>
          <w:sz w:val="22"/>
          <w:szCs w:val="22"/>
          <w:lang w:val="en-US" w:eastAsia="zh-CN"/>
        </w:rPr>
        <w:t xml:space="preserve"> </w:t>
      </w:r>
      <w:r>
        <w:rPr>
          <w:rFonts w:hint="eastAsia" w:asciiTheme="minorEastAsia" w:hAnsiTheme="minorEastAsia" w:eastAsiaTheme="minorEastAsia"/>
          <w:color w:val="auto"/>
          <w:sz w:val="22"/>
          <w:szCs w:val="22"/>
        </w:rPr>
        <w:t>招标公告；</w:t>
      </w:r>
    </w:p>
    <w:p w14:paraId="0553A9E8">
      <w:pPr>
        <w:pStyle w:val="12"/>
        <w:spacing w:line="360" w:lineRule="auto"/>
        <w:ind w:firstLine="880" w:firstLineChars="400"/>
        <w:outlineLvl w:val="9"/>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5.1.2</w:t>
      </w:r>
      <w:r>
        <w:rPr>
          <w:rFonts w:hint="eastAsia" w:asciiTheme="minorEastAsia" w:hAnsiTheme="minorEastAsia" w:eastAsiaTheme="minorEastAsia"/>
          <w:color w:val="auto"/>
          <w:sz w:val="22"/>
          <w:szCs w:val="22"/>
          <w:lang w:val="en-US" w:eastAsia="zh-CN"/>
        </w:rPr>
        <w:t xml:space="preserve"> </w:t>
      </w:r>
      <w:r>
        <w:rPr>
          <w:rFonts w:hint="eastAsia" w:asciiTheme="minorEastAsia" w:hAnsiTheme="minorEastAsia" w:eastAsiaTheme="minorEastAsia"/>
          <w:color w:val="auto"/>
          <w:sz w:val="22"/>
          <w:szCs w:val="22"/>
        </w:rPr>
        <w:t>投标人须知；</w:t>
      </w:r>
    </w:p>
    <w:p w14:paraId="159B0DE2">
      <w:pPr>
        <w:pStyle w:val="12"/>
        <w:spacing w:line="360" w:lineRule="auto"/>
        <w:ind w:firstLine="880" w:firstLineChars="400"/>
        <w:outlineLvl w:val="9"/>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5.1.3</w:t>
      </w:r>
      <w:r>
        <w:rPr>
          <w:rFonts w:hint="eastAsia" w:asciiTheme="minorEastAsia" w:hAnsiTheme="minorEastAsia" w:eastAsiaTheme="minorEastAsia"/>
          <w:color w:val="auto"/>
          <w:sz w:val="22"/>
          <w:szCs w:val="22"/>
          <w:lang w:val="en-US" w:eastAsia="zh-CN"/>
        </w:rPr>
        <w:t xml:space="preserve"> </w:t>
      </w:r>
      <w:r>
        <w:rPr>
          <w:rFonts w:hint="eastAsia" w:asciiTheme="minorEastAsia" w:hAnsiTheme="minorEastAsia" w:eastAsiaTheme="minorEastAsia"/>
          <w:color w:val="auto"/>
          <w:sz w:val="22"/>
          <w:szCs w:val="22"/>
        </w:rPr>
        <w:t>采购需求；</w:t>
      </w:r>
    </w:p>
    <w:p w14:paraId="1E471B81">
      <w:pPr>
        <w:pStyle w:val="12"/>
        <w:spacing w:line="360" w:lineRule="auto"/>
        <w:ind w:firstLine="880" w:firstLineChars="400"/>
        <w:outlineLvl w:val="9"/>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5.1.4</w:t>
      </w:r>
      <w:r>
        <w:rPr>
          <w:rFonts w:hint="eastAsia" w:asciiTheme="minorEastAsia" w:hAnsiTheme="minorEastAsia" w:eastAsiaTheme="minorEastAsia"/>
          <w:color w:val="auto"/>
          <w:sz w:val="22"/>
          <w:szCs w:val="22"/>
          <w:lang w:val="en-US" w:eastAsia="zh-CN"/>
        </w:rPr>
        <w:t xml:space="preserve"> </w:t>
      </w:r>
      <w:r>
        <w:rPr>
          <w:rFonts w:hint="eastAsia" w:asciiTheme="minorEastAsia" w:hAnsiTheme="minorEastAsia" w:eastAsiaTheme="minorEastAsia"/>
          <w:color w:val="auto"/>
          <w:sz w:val="22"/>
          <w:szCs w:val="22"/>
        </w:rPr>
        <w:t>评标办法；</w:t>
      </w:r>
    </w:p>
    <w:p w14:paraId="1A639E07">
      <w:pPr>
        <w:pStyle w:val="12"/>
        <w:spacing w:line="360" w:lineRule="auto"/>
        <w:ind w:firstLine="880" w:firstLineChars="400"/>
        <w:outlineLvl w:val="9"/>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5.1.5</w:t>
      </w:r>
      <w:r>
        <w:rPr>
          <w:rFonts w:hint="eastAsia" w:asciiTheme="minorEastAsia" w:hAnsiTheme="minorEastAsia" w:eastAsiaTheme="minorEastAsia"/>
          <w:color w:val="auto"/>
          <w:sz w:val="22"/>
          <w:szCs w:val="22"/>
          <w:lang w:val="en-US" w:eastAsia="zh-CN"/>
        </w:rPr>
        <w:t xml:space="preserve"> </w:t>
      </w:r>
      <w:r>
        <w:rPr>
          <w:rFonts w:hint="eastAsia" w:asciiTheme="minorEastAsia" w:hAnsiTheme="minorEastAsia" w:eastAsiaTheme="minorEastAsia"/>
          <w:color w:val="auto"/>
          <w:sz w:val="22"/>
          <w:szCs w:val="22"/>
        </w:rPr>
        <w:t>拟签订的合同文本；</w:t>
      </w:r>
    </w:p>
    <w:p w14:paraId="015310FD">
      <w:pPr>
        <w:pStyle w:val="12"/>
        <w:spacing w:line="360" w:lineRule="auto"/>
        <w:ind w:firstLine="880" w:firstLineChars="400"/>
        <w:outlineLvl w:val="9"/>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5.1.6</w:t>
      </w:r>
      <w:r>
        <w:rPr>
          <w:rFonts w:hint="eastAsia" w:asciiTheme="minorEastAsia" w:hAnsiTheme="minorEastAsia" w:eastAsiaTheme="minorEastAsia"/>
          <w:color w:val="auto"/>
          <w:sz w:val="22"/>
          <w:szCs w:val="22"/>
          <w:lang w:val="en-US" w:eastAsia="zh-CN"/>
        </w:rPr>
        <w:t xml:space="preserve"> </w:t>
      </w:r>
      <w:r>
        <w:rPr>
          <w:rFonts w:hint="eastAsia" w:asciiTheme="minorEastAsia" w:hAnsiTheme="minorEastAsia" w:eastAsiaTheme="minorEastAsia"/>
          <w:color w:val="auto"/>
          <w:sz w:val="22"/>
          <w:szCs w:val="22"/>
        </w:rPr>
        <w:t>应提交的有关格式范例。</w:t>
      </w:r>
    </w:p>
    <w:p w14:paraId="7C9560D9">
      <w:pPr>
        <w:pStyle w:val="12"/>
        <w:spacing w:line="360" w:lineRule="auto"/>
        <w:ind w:firstLine="440" w:firstLineChars="200"/>
        <w:outlineLvl w:val="9"/>
        <w:rPr>
          <w:rFonts w:hint="eastAsia" w:ascii="宋体" w:hAnsi="宋体" w:eastAsia="宋体" w:cs="宋体"/>
          <w:b/>
          <w:bCs/>
          <w:color w:val="auto"/>
          <w:sz w:val="22"/>
          <w:szCs w:val="22"/>
          <w:lang w:val="en-US"/>
        </w:rPr>
      </w:pPr>
      <w:r>
        <w:rPr>
          <w:rFonts w:hint="eastAsia" w:asciiTheme="minorEastAsia" w:hAnsiTheme="minorEastAsia" w:eastAsiaTheme="minorEastAsia"/>
          <w:color w:val="auto"/>
          <w:sz w:val="22"/>
          <w:szCs w:val="22"/>
        </w:rPr>
        <w:t>5.</w:t>
      </w:r>
      <w:r>
        <w:rPr>
          <w:rFonts w:hint="eastAsia" w:asciiTheme="minorEastAsia" w:hAnsiTheme="minorEastAsia" w:eastAsiaTheme="minorEastAsia"/>
          <w:color w:val="auto"/>
          <w:sz w:val="22"/>
          <w:szCs w:val="22"/>
          <w:lang w:val="en-US" w:eastAsia="zh-CN"/>
        </w:rPr>
        <w:t xml:space="preserve">2 </w:t>
      </w:r>
      <w:r>
        <w:rPr>
          <w:rFonts w:hint="eastAsia" w:asciiTheme="minorEastAsia" w:hAnsiTheme="minorEastAsia" w:eastAsiaTheme="minorEastAsia"/>
          <w:color w:val="auto"/>
          <w:sz w:val="22"/>
          <w:szCs w:val="22"/>
        </w:rPr>
        <w:t>与本项目有关的澄清或者修改的内容为招标文件的组成部分。</w:t>
      </w:r>
    </w:p>
    <w:p w14:paraId="33005735">
      <w:pPr>
        <w:numPr>
          <w:ilvl w:val="0"/>
          <w:numId w:val="0"/>
        </w:numPr>
        <w:spacing w:line="360" w:lineRule="auto"/>
        <w:ind w:left="0" w:leftChars="0" w:firstLine="0" w:firstLineChars="0"/>
        <w:rPr>
          <w:rFonts w:asciiTheme="minorEastAsia" w:hAnsiTheme="minorEastAsia" w:eastAsiaTheme="minorEastAsia"/>
          <w:b/>
          <w:color w:val="auto"/>
          <w:sz w:val="22"/>
          <w:szCs w:val="21"/>
        </w:rPr>
      </w:pPr>
      <w:r>
        <w:rPr>
          <w:rFonts w:hint="eastAsia" w:cs="宋体" w:asciiTheme="minorEastAsia" w:hAnsiTheme="minorEastAsia" w:eastAsiaTheme="minorEastAsia"/>
          <w:b/>
          <w:color w:val="auto"/>
          <w:sz w:val="22"/>
          <w:szCs w:val="21"/>
          <w:lang w:val="en-US" w:eastAsia="zh-CN" w:bidi="zh-CN"/>
        </w:rPr>
        <w:t>6</w:t>
      </w:r>
      <w:r>
        <w:rPr>
          <w:rFonts w:cs="宋体" w:asciiTheme="minorEastAsia" w:hAnsiTheme="minorEastAsia" w:eastAsiaTheme="minorEastAsia"/>
          <w:b/>
          <w:color w:val="auto"/>
          <w:sz w:val="22"/>
          <w:szCs w:val="21"/>
          <w:lang w:val="zh-CN" w:eastAsia="zh-CN" w:bidi="zh-CN"/>
        </w:rPr>
        <w:t>.</w:t>
      </w:r>
      <w:r>
        <w:rPr>
          <w:rFonts w:hint="eastAsia" w:cs="宋体" w:asciiTheme="minorEastAsia" w:hAnsiTheme="minorEastAsia" w:eastAsiaTheme="minorEastAsia"/>
          <w:b/>
          <w:color w:val="auto"/>
          <w:sz w:val="22"/>
          <w:szCs w:val="21"/>
          <w:lang w:val="en-US" w:eastAsia="zh-CN" w:bidi="zh-CN"/>
        </w:rPr>
        <w:t xml:space="preserve"> 招标文件的澄清、修改</w:t>
      </w:r>
    </w:p>
    <w:p w14:paraId="30DB881A">
      <w:pPr>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6.1</w:t>
      </w:r>
      <w:r>
        <w:rPr>
          <w:rFonts w:hint="eastAsia" w:cs="宋体"/>
          <w:color w:val="auto"/>
          <w:sz w:val="22"/>
          <w:szCs w:val="21"/>
          <w:highlight w:val="none"/>
          <w:lang w:val="en-US" w:eastAsia="zh-CN"/>
        </w:rPr>
        <w:t xml:space="preserve"> </w:t>
      </w:r>
      <w:r>
        <w:rPr>
          <w:rFonts w:hint="eastAsia" w:ascii="宋体" w:hAnsi="宋体" w:cs="宋体"/>
          <w:color w:val="auto"/>
          <w:sz w:val="22"/>
          <w:szCs w:val="21"/>
          <w:highlight w:val="none"/>
        </w:rPr>
        <w:t>已获取招标文件的潜在投标人，若有问题需要澄清，应于投标截止时间前，以书面形式向采购代理机构提出。</w:t>
      </w:r>
    </w:p>
    <w:p w14:paraId="57110D0A">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0E35989">
      <w:pPr>
        <w:pStyle w:val="12"/>
        <w:spacing w:line="360" w:lineRule="auto"/>
        <w:rPr>
          <w:rFonts w:hint="eastAsia" w:ascii="宋体" w:hAnsi="宋体" w:eastAsia="宋体" w:cs="宋体"/>
          <w:color w:val="auto"/>
          <w:sz w:val="11"/>
          <w:szCs w:val="11"/>
          <w:lang w:val="en-US"/>
        </w:rPr>
      </w:pPr>
    </w:p>
    <w:p w14:paraId="4F76D71D">
      <w:pPr>
        <w:adjustRightInd/>
        <w:spacing w:line="360" w:lineRule="auto"/>
        <w:jc w:val="center"/>
        <w:outlineLvl w:val="0"/>
        <w:rPr>
          <w:rFonts w:hint="eastAsia" w:cs="仿宋_GB2312" w:asciiTheme="minorEastAsia" w:hAnsiTheme="minorEastAsia" w:eastAsiaTheme="minorEastAsia"/>
          <w:b/>
          <w:color w:val="auto"/>
          <w:sz w:val="28"/>
          <w:szCs w:val="18"/>
          <w:lang w:eastAsia="zh-CN"/>
        </w:rPr>
      </w:pPr>
      <w:r>
        <w:rPr>
          <w:rFonts w:hint="eastAsia" w:cs="仿宋_GB2312" w:asciiTheme="minorEastAsia" w:hAnsiTheme="minorEastAsia" w:eastAsiaTheme="minorEastAsia"/>
          <w:b/>
          <w:color w:val="auto"/>
          <w:sz w:val="28"/>
          <w:szCs w:val="18"/>
          <w:lang w:val="en-US" w:eastAsia="zh-CN"/>
        </w:rPr>
        <w:t>三</w:t>
      </w:r>
      <w:r>
        <w:rPr>
          <w:rFonts w:hint="eastAsia" w:cs="仿宋_GB2312" w:asciiTheme="minorEastAsia" w:hAnsiTheme="minorEastAsia" w:eastAsiaTheme="minorEastAsia"/>
          <w:b/>
          <w:color w:val="auto"/>
          <w:sz w:val="28"/>
          <w:szCs w:val="18"/>
        </w:rPr>
        <w:t>、</w:t>
      </w:r>
      <w:r>
        <w:rPr>
          <w:rFonts w:hint="eastAsia" w:cs="仿宋_GB2312" w:asciiTheme="minorEastAsia" w:hAnsiTheme="minorEastAsia" w:eastAsiaTheme="minorEastAsia"/>
          <w:b/>
          <w:color w:val="auto"/>
          <w:sz w:val="28"/>
          <w:szCs w:val="18"/>
          <w:lang w:val="en-US" w:eastAsia="zh-CN"/>
        </w:rPr>
        <w:t>投标</w:t>
      </w:r>
    </w:p>
    <w:p w14:paraId="1E479CC2">
      <w:pPr>
        <w:pStyle w:val="3"/>
        <w:spacing w:line="360" w:lineRule="auto"/>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7. 招标文件的获取</w:t>
      </w:r>
    </w:p>
    <w:p w14:paraId="383D5631">
      <w:pPr>
        <w:pStyle w:val="3"/>
        <w:spacing w:line="360" w:lineRule="auto"/>
        <w:ind w:firstLine="440" w:firstLineChars="200"/>
        <w:rPr>
          <w:rFonts w:hint="eastAsia" w:asciiTheme="minorEastAsia" w:hAnsiTheme="minorEastAsia" w:eastAsiaTheme="minorEastAsia"/>
          <w:b w:val="0"/>
          <w:bCs/>
          <w:color w:val="auto"/>
          <w:sz w:val="22"/>
          <w:szCs w:val="21"/>
        </w:rPr>
      </w:pPr>
      <w:r>
        <w:rPr>
          <w:rFonts w:hint="eastAsia" w:asciiTheme="minorEastAsia" w:hAnsiTheme="minorEastAsia" w:eastAsiaTheme="minorEastAsia"/>
          <w:b w:val="0"/>
          <w:bCs/>
          <w:color w:val="auto"/>
          <w:sz w:val="22"/>
          <w:szCs w:val="21"/>
        </w:rPr>
        <w:t>详见招标公告中获取招标文件的时间期限、地点、方式及招标文件售价。</w:t>
      </w:r>
    </w:p>
    <w:p w14:paraId="27B23972">
      <w:pPr>
        <w:pStyle w:val="3"/>
        <w:spacing w:line="360" w:lineRule="auto"/>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8.开标前答疑会或现场考察</w:t>
      </w:r>
    </w:p>
    <w:p w14:paraId="1B85DF35">
      <w:pPr>
        <w:pStyle w:val="3"/>
        <w:spacing w:line="360" w:lineRule="auto"/>
        <w:ind w:firstLine="440" w:firstLineChars="200"/>
        <w:rPr>
          <w:rFonts w:hint="eastAsia" w:asciiTheme="minorEastAsia" w:hAnsiTheme="minorEastAsia" w:eastAsiaTheme="minorEastAsia"/>
          <w:b w:val="0"/>
          <w:bCs/>
          <w:color w:val="auto"/>
          <w:sz w:val="22"/>
          <w:szCs w:val="21"/>
        </w:rPr>
      </w:pPr>
      <w:r>
        <w:rPr>
          <w:rFonts w:hint="eastAsia" w:asciiTheme="minorEastAsia" w:hAnsiTheme="minorEastAsia" w:eastAsiaTheme="minorEastAsia"/>
          <w:b w:val="0"/>
          <w:bCs/>
          <w:color w:val="auto"/>
          <w:sz w:val="22"/>
          <w:szCs w:val="21"/>
        </w:rPr>
        <w:t>采购人组织潜在投标人现场考察或者召开开标前答疑会的，潜在投标人按</w:t>
      </w:r>
      <w:r>
        <w:rPr>
          <w:rFonts w:hint="eastAsia" w:asciiTheme="minorEastAsia" w:hAnsiTheme="minorEastAsia" w:eastAsiaTheme="minorEastAsia"/>
          <w:b w:val="0"/>
          <w:bCs/>
          <w:color w:val="auto"/>
          <w:sz w:val="22"/>
          <w:szCs w:val="21"/>
          <w:lang w:eastAsia="zh-CN"/>
        </w:rPr>
        <w:t>“</w:t>
      </w:r>
      <w:r>
        <w:rPr>
          <w:rFonts w:hint="eastAsia" w:asciiTheme="minorEastAsia" w:hAnsiTheme="minorEastAsia" w:eastAsiaTheme="minorEastAsia"/>
          <w:b w:val="0"/>
          <w:bCs/>
          <w:color w:val="auto"/>
          <w:sz w:val="22"/>
          <w:szCs w:val="21"/>
        </w:rPr>
        <w:t>第二部分</w:t>
      </w:r>
      <w:r>
        <w:rPr>
          <w:rFonts w:hint="eastAsia" w:asciiTheme="minorEastAsia" w:hAnsiTheme="minorEastAsia" w:eastAsiaTheme="minorEastAsia"/>
          <w:b w:val="0"/>
          <w:bCs/>
          <w:color w:val="auto"/>
          <w:sz w:val="22"/>
          <w:szCs w:val="21"/>
          <w:lang w:val="en-US" w:eastAsia="zh-CN"/>
        </w:rPr>
        <w:t xml:space="preserve"> </w:t>
      </w:r>
      <w:r>
        <w:rPr>
          <w:rFonts w:hint="eastAsia" w:asciiTheme="minorEastAsia" w:hAnsiTheme="minorEastAsia" w:eastAsiaTheme="minorEastAsia"/>
          <w:b w:val="0"/>
          <w:bCs/>
          <w:color w:val="auto"/>
          <w:sz w:val="22"/>
          <w:szCs w:val="21"/>
        </w:rPr>
        <w:t>投标人须知前附表</w:t>
      </w:r>
      <w:r>
        <w:rPr>
          <w:rFonts w:hint="eastAsia" w:asciiTheme="minorEastAsia" w:hAnsiTheme="minorEastAsia" w:eastAsiaTheme="minorEastAsia"/>
          <w:b w:val="0"/>
          <w:bCs/>
          <w:color w:val="auto"/>
          <w:sz w:val="22"/>
          <w:szCs w:val="21"/>
          <w:lang w:eastAsia="zh-CN"/>
        </w:rPr>
        <w:t>”</w:t>
      </w:r>
      <w:r>
        <w:rPr>
          <w:rFonts w:hint="eastAsia" w:asciiTheme="minorEastAsia" w:hAnsiTheme="minorEastAsia" w:eastAsiaTheme="minorEastAsia"/>
          <w:b w:val="0"/>
          <w:bCs/>
          <w:color w:val="auto"/>
          <w:sz w:val="22"/>
          <w:szCs w:val="21"/>
        </w:rPr>
        <w:t>的规定参加现场考察或者开标前答疑会。</w:t>
      </w:r>
    </w:p>
    <w:p w14:paraId="7F446896">
      <w:pPr>
        <w:pStyle w:val="3"/>
        <w:spacing w:line="360" w:lineRule="auto"/>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9.投标保证金</w:t>
      </w:r>
    </w:p>
    <w:p w14:paraId="0852D5B9">
      <w:pPr>
        <w:pStyle w:val="3"/>
        <w:spacing w:line="360" w:lineRule="auto"/>
        <w:ind w:firstLine="440" w:firstLineChars="200"/>
        <w:rPr>
          <w:rFonts w:hint="eastAsia" w:asciiTheme="minorEastAsia" w:hAnsiTheme="minorEastAsia" w:eastAsiaTheme="minorEastAsia"/>
          <w:b w:val="0"/>
          <w:bCs/>
          <w:color w:val="auto"/>
          <w:sz w:val="22"/>
          <w:szCs w:val="21"/>
        </w:rPr>
      </w:pPr>
      <w:r>
        <w:rPr>
          <w:rFonts w:hint="eastAsia" w:asciiTheme="minorEastAsia" w:hAnsiTheme="minorEastAsia" w:eastAsiaTheme="minorEastAsia"/>
          <w:b w:val="0"/>
          <w:bCs/>
          <w:color w:val="auto"/>
          <w:sz w:val="22"/>
          <w:szCs w:val="21"/>
        </w:rPr>
        <w:t>本项目不需缴纳投标保证金。</w:t>
      </w:r>
    </w:p>
    <w:p w14:paraId="29E15D9E">
      <w:pPr>
        <w:pStyle w:val="3"/>
        <w:spacing w:line="360" w:lineRule="auto"/>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10. 投标文件的语言</w:t>
      </w:r>
    </w:p>
    <w:p w14:paraId="0265EF2D">
      <w:pPr>
        <w:pStyle w:val="3"/>
        <w:spacing w:line="360" w:lineRule="auto"/>
        <w:ind w:firstLine="440" w:firstLineChars="200"/>
        <w:rPr>
          <w:rFonts w:hint="eastAsia" w:asciiTheme="minorEastAsia" w:hAnsiTheme="minorEastAsia" w:eastAsiaTheme="minorEastAsia"/>
          <w:b w:val="0"/>
          <w:bCs/>
          <w:color w:val="auto"/>
          <w:sz w:val="22"/>
          <w:szCs w:val="21"/>
        </w:rPr>
      </w:pPr>
      <w:r>
        <w:rPr>
          <w:rFonts w:hint="eastAsia" w:asciiTheme="minorEastAsia" w:hAnsiTheme="minorEastAsia" w:eastAsiaTheme="minorEastAsia"/>
          <w:b w:val="0"/>
          <w:bCs/>
          <w:color w:val="auto"/>
          <w:sz w:val="22"/>
          <w:szCs w:val="21"/>
        </w:rPr>
        <w:t>投标文件及投标人与采购有关的来往通知、函件和文件均应使用中文。</w:t>
      </w:r>
    </w:p>
    <w:p w14:paraId="1A570B49">
      <w:pPr>
        <w:pStyle w:val="3"/>
        <w:spacing w:line="360" w:lineRule="auto"/>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11. 投标文件的组成</w:t>
      </w:r>
    </w:p>
    <w:p w14:paraId="5F5EE8FC">
      <w:pPr>
        <w:pStyle w:val="3"/>
        <w:spacing w:line="360" w:lineRule="auto"/>
        <w:ind w:firstLine="440" w:firstLineChars="200"/>
        <w:rPr>
          <w:rFonts w:hint="eastAsia" w:asciiTheme="minorEastAsia" w:hAnsiTheme="minorEastAsia" w:eastAsiaTheme="minorEastAsia"/>
          <w:b w:val="0"/>
          <w:bCs/>
          <w:color w:val="auto"/>
          <w:sz w:val="22"/>
          <w:szCs w:val="21"/>
        </w:rPr>
      </w:pPr>
      <w:r>
        <w:rPr>
          <w:rFonts w:hint="eastAsia" w:asciiTheme="minorEastAsia" w:hAnsiTheme="minorEastAsia" w:eastAsiaTheme="minorEastAsia"/>
          <w:b w:val="0"/>
          <w:bCs/>
          <w:color w:val="auto"/>
          <w:sz w:val="22"/>
          <w:szCs w:val="21"/>
        </w:rPr>
        <w:t>11.1</w:t>
      </w:r>
      <w:r>
        <w:rPr>
          <w:rFonts w:hint="eastAsia" w:asciiTheme="minorEastAsia" w:hAnsiTheme="minorEastAsia" w:eastAsiaTheme="minorEastAsia"/>
          <w:b w:val="0"/>
          <w:bCs/>
          <w:color w:val="auto"/>
          <w:sz w:val="22"/>
          <w:szCs w:val="21"/>
          <w:lang w:val="en-US" w:eastAsia="zh-CN"/>
        </w:rPr>
        <w:t xml:space="preserve">  </w:t>
      </w:r>
      <w:r>
        <w:rPr>
          <w:rFonts w:hint="eastAsia" w:asciiTheme="minorEastAsia" w:hAnsiTheme="minorEastAsia" w:eastAsiaTheme="minorEastAsia"/>
          <w:b/>
          <w:bCs w:val="0"/>
          <w:color w:val="auto"/>
          <w:sz w:val="22"/>
          <w:szCs w:val="21"/>
        </w:rPr>
        <w:t>资格</w:t>
      </w:r>
      <w:r>
        <w:rPr>
          <w:rFonts w:hint="eastAsia" w:asciiTheme="minorEastAsia" w:hAnsiTheme="minorEastAsia" w:eastAsiaTheme="minorEastAsia"/>
          <w:b/>
          <w:bCs w:val="0"/>
          <w:color w:val="auto"/>
          <w:sz w:val="22"/>
          <w:szCs w:val="21"/>
          <w:lang w:val="en-US" w:eastAsia="zh-CN"/>
        </w:rPr>
        <w:t>审查</w:t>
      </w:r>
      <w:r>
        <w:rPr>
          <w:rFonts w:hint="eastAsia" w:asciiTheme="minorEastAsia" w:hAnsiTheme="minorEastAsia" w:eastAsiaTheme="minorEastAsia"/>
          <w:b/>
          <w:bCs w:val="0"/>
          <w:color w:val="auto"/>
          <w:sz w:val="22"/>
          <w:szCs w:val="21"/>
        </w:rPr>
        <w:t>文件：</w:t>
      </w:r>
    </w:p>
    <w:p w14:paraId="5B77381E">
      <w:pPr>
        <w:pStyle w:val="3"/>
        <w:spacing w:line="360" w:lineRule="auto"/>
        <w:ind w:firstLine="880" w:firstLineChars="400"/>
        <w:rPr>
          <w:rFonts w:hint="default"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11.1.1 营业执照；</w:t>
      </w:r>
    </w:p>
    <w:p w14:paraId="48230A33">
      <w:pPr>
        <w:pStyle w:val="3"/>
        <w:spacing w:line="360" w:lineRule="auto"/>
        <w:ind w:firstLine="880" w:firstLineChars="400"/>
        <w:rPr>
          <w:rFonts w:hint="eastAsia" w:asciiTheme="minorEastAsia" w:hAnsiTheme="minorEastAsia" w:eastAsiaTheme="minorEastAsia"/>
          <w:b w:val="0"/>
          <w:bCs/>
          <w:color w:val="auto"/>
          <w:sz w:val="22"/>
          <w:szCs w:val="21"/>
        </w:rPr>
      </w:pPr>
      <w:r>
        <w:rPr>
          <w:rFonts w:hint="eastAsia" w:asciiTheme="minorEastAsia" w:hAnsiTheme="minorEastAsia" w:eastAsiaTheme="minorEastAsia"/>
          <w:b w:val="0"/>
          <w:bCs/>
          <w:color w:val="auto"/>
          <w:sz w:val="22"/>
          <w:szCs w:val="21"/>
        </w:rPr>
        <w:t>11.1.1</w:t>
      </w:r>
      <w:r>
        <w:rPr>
          <w:rFonts w:hint="eastAsia" w:asciiTheme="minorEastAsia" w:hAnsiTheme="minorEastAsia" w:eastAsiaTheme="minorEastAsia"/>
          <w:b w:val="0"/>
          <w:bCs/>
          <w:color w:val="auto"/>
          <w:sz w:val="22"/>
          <w:szCs w:val="21"/>
          <w:lang w:val="en-US" w:eastAsia="zh-CN"/>
        </w:rPr>
        <w:t xml:space="preserve"> </w:t>
      </w:r>
      <w:r>
        <w:rPr>
          <w:rFonts w:hint="eastAsia" w:asciiTheme="minorEastAsia" w:hAnsiTheme="minorEastAsia" w:eastAsiaTheme="minorEastAsia"/>
          <w:b w:val="0"/>
          <w:bCs/>
          <w:color w:val="auto"/>
          <w:sz w:val="22"/>
          <w:szCs w:val="21"/>
        </w:rPr>
        <w:t>符合参加政府采购活动应当具备的一般条件的承诺函；</w:t>
      </w:r>
    </w:p>
    <w:p w14:paraId="0CE33877">
      <w:pPr>
        <w:pStyle w:val="3"/>
        <w:spacing w:line="360" w:lineRule="auto"/>
        <w:ind w:firstLine="880" w:firstLineChars="400"/>
        <w:rPr>
          <w:rFonts w:hint="eastAsia" w:asciiTheme="minorEastAsia" w:hAnsiTheme="minorEastAsia" w:eastAsiaTheme="minorEastAsia"/>
          <w:b w:val="0"/>
          <w:bCs/>
          <w:color w:val="auto"/>
          <w:sz w:val="22"/>
          <w:szCs w:val="21"/>
        </w:rPr>
      </w:pPr>
      <w:r>
        <w:rPr>
          <w:rFonts w:hint="eastAsia" w:asciiTheme="minorEastAsia" w:hAnsiTheme="minorEastAsia" w:eastAsiaTheme="minorEastAsia"/>
          <w:b w:val="0"/>
          <w:bCs/>
          <w:color w:val="auto"/>
          <w:sz w:val="22"/>
          <w:szCs w:val="21"/>
        </w:rPr>
        <w:t>11.1.2</w:t>
      </w:r>
      <w:r>
        <w:rPr>
          <w:rFonts w:hint="eastAsia" w:asciiTheme="minorEastAsia" w:hAnsiTheme="minorEastAsia" w:eastAsiaTheme="minorEastAsia"/>
          <w:b w:val="0"/>
          <w:bCs/>
          <w:color w:val="auto"/>
          <w:sz w:val="22"/>
          <w:szCs w:val="21"/>
          <w:lang w:val="en-US" w:eastAsia="zh-CN"/>
        </w:rPr>
        <w:t xml:space="preserve"> </w:t>
      </w:r>
      <w:r>
        <w:rPr>
          <w:rFonts w:hint="eastAsia" w:asciiTheme="minorEastAsia" w:hAnsiTheme="minorEastAsia" w:eastAsiaTheme="minorEastAsia"/>
          <w:b w:val="0"/>
          <w:bCs/>
          <w:color w:val="auto"/>
          <w:sz w:val="22"/>
          <w:szCs w:val="21"/>
        </w:rPr>
        <w:t>联合协议；</w:t>
      </w:r>
      <w:r>
        <w:rPr>
          <w:rFonts w:hint="eastAsia" w:asciiTheme="minorEastAsia" w:hAnsiTheme="minorEastAsia" w:eastAsiaTheme="minorEastAsia"/>
          <w:b w:val="0"/>
          <w:bCs/>
          <w:color w:val="auto"/>
          <w:sz w:val="22"/>
          <w:szCs w:val="21"/>
          <w:lang w:eastAsia="zh-CN"/>
        </w:rPr>
        <w:t>（</w:t>
      </w:r>
      <w:r>
        <w:rPr>
          <w:rFonts w:hint="eastAsia" w:asciiTheme="minorEastAsia" w:hAnsiTheme="minorEastAsia" w:eastAsiaTheme="minorEastAsia"/>
          <w:b w:val="0"/>
          <w:bCs/>
          <w:color w:val="auto"/>
          <w:sz w:val="22"/>
          <w:szCs w:val="21"/>
          <w:lang w:val="en-US" w:eastAsia="zh-CN"/>
        </w:rPr>
        <w:t>如果有</w:t>
      </w:r>
      <w:r>
        <w:rPr>
          <w:rFonts w:hint="eastAsia" w:asciiTheme="minorEastAsia" w:hAnsiTheme="minorEastAsia" w:eastAsiaTheme="minorEastAsia"/>
          <w:b w:val="0"/>
          <w:bCs/>
          <w:color w:val="auto"/>
          <w:sz w:val="22"/>
          <w:szCs w:val="21"/>
          <w:lang w:eastAsia="zh-CN"/>
        </w:rPr>
        <w:t>）</w:t>
      </w:r>
    </w:p>
    <w:p w14:paraId="40A1F6EC">
      <w:pPr>
        <w:pStyle w:val="3"/>
        <w:spacing w:line="360" w:lineRule="auto"/>
        <w:ind w:firstLine="440" w:firstLineChars="200"/>
        <w:rPr>
          <w:rFonts w:hint="eastAsia" w:asciiTheme="minorEastAsia" w:hAnsiTheme="minorEastAsia" w:eastAsiaTheme="minorEastAsia"/>
          <w:b w:val="0"/>
          <w:bCs/>
          <w:color w:val="auto"/>
          <w:sz w:val="22"/>
          <w:szCs w:val="21"/>
        </w:rPr>
      </w:pPr>
      <w:r>
        <w:rPr>
          <w:rFonts w:hint="eastAsia" w:asciiTheme="minorEastAsia" w:hAnsiTheme="minorEastAsia" w:eastAsiaTheme="minorEastAsia"/>
          <w:b w:val="0"/>
          <w:bCs/>
          <w:color w:val="auto"/>
          <w:sz w:val="22"/>
          <w:szCs w:val="21"/>
        </w:rPr>
        <w:t xml:space="preserve">11.2  </w:t>
      </w:r>
      <w:r>
        <w:rPr>
          <w:rFonts w:hint="eastAsia" w:asciiTheme="minorEastAsia" w:hAnsiTheme="minorEastAsia" w:eastAsiaTheme="minorEastAsia"/>
          <w:b/>
          <w:bCs w:val="0"/>
          <w:color w:val="auto"/>
          <w:sz w:val="22"/>
          <w:szCs w:val="21"/>
        </w:rPr>
        <w:t>商务技术文件：</w:t>
      </w:r>
    </w:p>
    <w:p w14:paraId="7EC746C2">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.2.1</w:t>
      </w:r>
      <w:r>
        <w:rPr>
          <w:rFonts w:hint="eastAsia" w:ascii="宋体" w:hAnsi="宋体" w:eastAsia="宋体" w:cs="宋体"/>
          <w:color w:val="auto"/>
          <w:sz w:val="22"/>
          <w:szCs w:val="22"/>
          <w:lang w:val="en-US" w:eastAsia="zh-CN"/>
        </w:rPr>
        <w:t xml:space="preserve"> 评分对应表；</w:t>
      </w:r>
    </w:p>
    <w:p w14:paraId="5505BBEA">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2</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eastAsia="zh-CN"/>
        </w:rPr>
        <w:t>响应函；</w:t>
      </w:r>
    </w:p>
    <w:p w14:paraId="7EED175B">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3</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eastAsia="zh-CN"/>
        </w:rPr>
        <w:t>授权委托书或法定代表人（单位负责人、自然人本人）身份证明；</w:t>
      </w:r>
    </w:p>
    <w:p w14:paraId="78AD8223">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4 投标人评审因素相关证书、认证；</w:t>
      </w:r>
    </w:p>
    <w:p w14:paraId="71B6EC89">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5 技术、商务偏离说明表；</w:t>
      </w:r>
    </w:p>
    <w:p w14:paraId="1C057E38">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6 投标人认为可以证明其能力或业绩的其他材料（提供项目实施情况一览表，并附合同等证明材料复印件或扫描件并加盖公章）；</w:t>
      </w:r>
    </w:p>
    <w:p w14:paraId="5EA9B256">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7 关于对招标文件中有关条款的拒绝声明；</w:t>
      </w:r>
      <w:r>
        <w:rPr>
          <w:rFonts w:hint="eastAsia" w:cs="宋体"/>
          <w:color w:val="auto"/>
          <w:sz w:val="22"/>
          <w:szCs w:val="22"/>
          <w:lang w:val="en-US" w:eastAsia="zh-CN"/>
        </w:rPr>
        <w:t>（</w:t>
      </w:r>
      <w:r>
        <w:rPr>
          <w:rFonts w:hint="eastAsia" w:ascii="宋体" w:hAnsi="宋体" w:eastAsia="宋体" w:cs="宋体"/>
          <w:color w:val="auto"/>
          <w:sz w:val="22"/>
          <w:szCs w:val="22"/>
          <w:lang w:val="en-US" w:eastAsia="zh-CN"/>
        </w:rPr>
        <w:t>如果有</w:t>
      </w:r>
      <w:r>
        <w:rPr>
          <w:rFonts w:hint="eastAsia" w:cs="宋体"/>
          <w:color w:val="auto"/>
          <w:sz w:val="22"/>
          <w:szCs w:val="22"/>
          <w:lang w:val="en-US" w:eastAsia="zh-CN"/>
        </w:rPr>
        <w:t>）</w:t>
      </w:r>
    </w:p>
    <w:p w14:paraId="3D3A629F">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cs="宋体"/>
          <w:color w:val="auto"/>
          <w:sz w:val="22"/>
          <w:szCs w:val="22"/>
          <w:lang w:val="en-US" w:eastAsia="zh-CN"/>
        </w:rPr>
      </w:pPr>
      <w:r>
        <w:rPr>
          <w:rFonts w:hint="eastAsia" w:cs="宋体"/>
          <w:color w:val="auto"/>
          <w:sz w:val="22"/>
          <w:szCs w:val="22"/>
          <w:lang w:val="en-US" w:eastAsia="zh-CN"/>
        </w:rPr>
        <w:t>11.2.8 投标产品清单、拟投入设备清单；</w:t>
      </w:r>
    </w:p>
    <w:p w14:paraId="18C3DEDE">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.2.</w:t>
      </w:r>
      <w:r>
        <w:rPr>
          <w:rFonts w:hint="eastAsia" w:cs="宋体"/>
          <w:color w:val="auto"/>
          <w:sz w:val="22"/>
          <w:szCs w:val="22"/>
          <w:lang w:val="en-US" w:eastAsia="zh-CN"/>
        </w:rPr>
        <w:t>9</w:t>
      </w:r>
      <w:r>
        <w:rPr>
          <w:rFonts w:hint="eastAsia" w:ascii="宋体" w:hAnsi="宋体" w:eastAsia="宋体" w:cs="宋体"/>
          <w:color w:val="auto"/>
          <w:sz w:val="22"/>
          <w:szCs w:val="22"/>
          <w:lang w:val="en-US" w:eastAsia="zh-CN"/>
        </w:rPr>
        <w:t xml:space="preserve"> 项目小组人员名单；</w:t>
      </w:r>
    </w:p>
    <w:p w14:paraId="45A8F73A">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.2.</w:t>
      </w:r>
      <w:r>
        <w:rPr>
          <w:rFonts w:hint="eastAsia" w:cs="宋体"/>
          <w:color w:val="auto"/>
          <w:sz w:val="22"/>
          <w:szCs w:val="22"/>
          <w:lang w:val="en-US" w:eastAsia="zh-CN"/>
        </w:rPr>
        <w:t>10</w:t>
      </w:r>
      <w:r>
        <w:rPr>
          <w:rFonts w:hint="eastAsia" w:ascii="宋体" w:hAnsi="宋体" w:eastAsia="宋体" w:cs="宋体"/>
          <w:color w:val="auto"/>
          <w:sz w:val="22"/>
          <w:szCs w:val="22"/>
          <w:lang w:val="en-US" w:eastAsia="zh-CN"/>
        </w:rPr>
        <w:t xml:space="preserve"> 其他评标标准相应的商务技术资料；</w:t>
      </w:r>
    </w:p>
    <w:p w14:paraId="525DA069">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.2.</w:t>
      </w:r>
      <w:r>
        <w:rPr>
          <w:rFonts w:hint="eastAsia" w:cs="宋体"/>
          <w:color w:val="auto"/>
          <w:sz w:val="22"/>
          <w:szCs w:val="22"/>
          <w:lang w:val="en-US" w:eastAsia="zh-CN"/>
        </w:rPr>
        <w:t>11</w:t>
      </w:r>
      <w:r>
        <w:rPr>
          <w:rFonts w:hint="eastAsia" w:ascii="宋体" w:hAnsi="宋体" w:eastAsia="宋体" w:cs="宋体"/>
          <w:color w:val="auto"/>
          <w:sz w:val="22"/>
          <w:szCs w:val="22"/>
          <w:lang w:val="en-US" w:eastAsia="zh-CN"/>
        </w:rPr>
        <w:t xml:space="preserve"> 投标人认为需要的其他技术文件或说明；（如果有）</w:t>
      </w:r>
    </w:p>
    <w:p w14:paraId="289B4494">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.2.</w:t>
      </w:r>
      <w:r>
        <w:rPr>
          <w:rFonts w:hint="eastAsia" w:cs="宋体"/>
          <w:color w:val="auto"/>
          <w:sz w:val="22"/>
          <w:szCs w:val="22"/>
          <w:lang w:val="en-US" w:eastAsia="zh-CN"/>
        </w:rPr>
        <w:t>12</w:t>
      </w:r>
      <w:r>
        <w:rPr>
          <w:rFonts w:hint="eastAsia" w:ascii="宋体" w:hAnsi="宋体" w:eastAsia="宋体" w:cs="宋体"/>
          <w:color w:val="auto"/>
          <w:sz w:val="22"/>
          <w:szCs w:val="22"/>
          <w:lang w:val="en-US" w:eastAsia="zh-CN"/>
        </w:rPr>
        <w:t xml:space="preserve"> 政府采购供应商廉洁自律承诺书</w:t>
      </w:r>
      <w:r>
        <w:rPr>
          <w:rFonts w:hint="eastAsia" w:cs="宋体"/>
          <w:color w:val="auto"/>
          <w:sz w:val="22"/>
          <w:szCs w:val="22"/>
          <w:lang w:val="zh-CN"/>
        </w:rPr>
        <w:t>。</w:t>
      </w:r>
    </w:p>
    <w:p w14:paraId="42D10E7B">
      <w:pPr>
        <w:pStyle w:val="3"/>
        <w:spacing w:line="360" w:lineRule="auto"/>
        <w:ind w:firstLine="440" w:firstLineChars="200"/>
        <w:rPr>
          <w:rFonts w:hint="eastAsia" w:asciiTheme="minorEastAsia" w:hAnsiTheme="minorEastAsia" w:eastAsiaTheme="minorEastAsia"/>
          <w:b w:val="0"/>
          <w:bCs/>
          <w:color w:val="auto"/>
          <w:sz w:val="22"/>
          <w:szCs w:val="21"/>
        </w:rPr>
      </w:pPr>
      <w:r>
        <w:rPr>
          <w:rFonts w:hint="eastAsia" w:asciiTheme="minorEastAsia" w:hAnsiTheme="minorEastAsia" w:eastAsiaTheme="minorEastAsia"/>
          <w:b w:val="0"/>
          <w:bCs/>
          <w:color w:val="auto"/>
          <w:sz w:val="22"/>
          <w:szCs w:val="21"/>
        </w:rPr>
        <w:t>11.3</w:t>
      </w:r>
      <w:r>
        <w:rPr>
          <w:rFonts w:hint="eastAsia" w:asciiTheme="minorEastAsia" w:hAnsiTheme="minorEastAsia" w:eastAsiaTheme="minorEastAsia"/>
          <w:b w:val="0"/>
          <w:bCs/>
          <w:color w:val="auto"/>
          <w:sz w:val="22"/>
          <w:szCs w:val="21"/>
          <w:lang w:val="en-US" w:eastAsia="zh-CN"/>
        </w:rPr>
        <w:t xml:space="preserve">  </w:t>
      </w:r>
      <w:r>
        <w:rPr>
          <w:rFonts w:hint="eastAsia" w:asciiTheme="minorEastAsia" w:hAnsiTheme="minorEastAsia" w:eastAsiaTheme="minorEastAsia"/>
          <w:b/>
          <w:bCs w:val="0"/>
          <w:color w:val="auto"/>
          <w:sz w:val="22"/>
          <w:szCs w:val="21"/>
        </w:rPr>
        <w:t>报价文件：</w:t>
      </w:r>
    </w:p>
    <w:p w14:paraId="1D8BE403">
      <w:pPr>
        <w:pStyle w:val="3"/>
        <w:spacing w:line="360" w:lineRule="auto"/>
        <w:ind w:firstLine="880" w:firstLineChars="400"/>
        <w:rPr>
          <w:rFonts w:hint="eastAsia" w:asciiTheme="minorEastAsia" w:hAnsiTheme="minorEastAsia" w:eastAsiaTheme="minorEastAsia"/>
          <w:b w:val="0"/>
          <w:bCs/>
          <w:color w:val="auto"/>
          <w:sz w:val="22"/>
          <w:szCs w:val="21"/>
        </w:rPr>
      </w:pPr>
      <w:r>
        <w:rPr>
          <w:rFonts w:hint="eastAsia" w:asciiTheme="minorEastAsia" w:hAnsiTheme="minorEastAsia" w:eastAsiaTheme="minorEastAsia"/>
          <w:b w:val="0"/>
          <w:bCs/>
          <w:color w:val="auto"/>
          <w:sz w:val="22"/>
          <w:szCs w:val="21"/>
        </w:rPr>
        <w:t>11.3.1</w:t>
      </w:r>
      <w:r>
        <w:rPr>
          <w:rFonts w:hint="eastAsia" w:asciiTheme="minorEastAsia" w:hAnsiTheme="minorEastAsia" w:eastAsiaTheme="minorEastAsia"/>
          <w:b w:val="0"/>
          <w:bCs/>
          <w:color w:val="auto"/>
          <w:sz w:val="22"/>
          <w:szCs w:val="21"/>
          <w:lang w:val="en-US" w:eastAsia="zh-CN"/>
        </w:rPr>
        <w:t xml:space="preserve"> </w:t>
      </w:r>
      <w:r>
        <w:rPr>
          <w:rFonts w:hint="eastAsia" w:asciiTheme="minorEastAsia" w:hAnsiTheme="minorEastAsia" w:eastAsiaTheme="minorEastAsia"/>
          <w:b w:val="0"/>
          <w:bCs/>
          <w:color w:val="auto"/>
          <w:sz w:val="22"/>
          <w:szCs w:val="21"/>
        </w:rPr>
        <w:t>开标一览表；</w:t>
      </w:r>
    </w:p>
    <w:p w14:paraId="4B763A57">
      <w:pPr>
        <w:pStyle w:val="3"/>
        <w:spacing w:line="360" w:lineRule="auto"/>
        <w:ind w:firstLine="880" w:firstLineChars="400"/>
        <w:rPr>
          <w:rFonts w:hint="eastAsia" w:asciiTheme="minorEastAsia" w:hAnsiTheme="minorEastAsia" w:eastAsiaTheme="minorEastAsia"/>
          <w:b w:val="0"/>
          <w:bCs/>
          <w:color w:val="auto"/>
          <w:sz w:val="22"/>
          <w:szCs w:val="21"/>
        </w:rPr>
      </w:pPr>
      <w:r>
        <w:rPr>
          <w:rFonts w:hint="eastAsia" w:asciiTheme="minorEastAsia" w:hAnsiTheme="minorEastAsia" w:eastAsiaTheme="minorEastAsia"/>
          <w:b w:val="0"/>
          <w:bCs/>
          <w:color w:val="auto"/>
          <w:sz w:val="22"/>
          <w:szCs w:val="21"/>
        </w:rPr>
        <w:t>11.3.2</w:t>
      </w:r>
      <w:r>
        <w:rPr>
          <w:rFonts w:hint="eastAsia" w:asciiTheme="minorEastAsia" w:hAnsiTheme="minorEastAsia" w:eastAsiaTheme="minorEastAsia"/>
          <w:b w:val="0"/>
          <w:bCs/>
          <w:color w:val="auto"/>
          <w:sz w:val="22"/>
          <w:szCs w:val="21"/>
          <w:lang w:val="en-US" w:eastAsia="zh-CN"/>
        </w:rPr>
        <w:t xml:space="preserve"> </w:t>
      </w:r>
      <w:r>
        <w:rPr>
          <w:rFonts w:hint="eastAsia" w:ascii="宋体" w:hAnsi="宋体" w:eastAsia="宋体" w:cs="宋体"/>
          <w:color w:val="auto"/>
          <w:sz w:val="22"/>
          <w:szCs w:val="21"/>
        </w:rPr>
        <w:t>《中小企业声明函（工程、服务）》/监狱企业证明文件（如有）/《残疾人福利性单位声明函》</w:t>
      </w:r>
      <w:r>
        <w:rPr>
          <w:rFonts w:hint="eastAsia" w:asciiTheme="minorEastAsia" w:hAnsiTheme="minorEastAsia" w:eastAsiaTheme="minorEastAsia"/>
          <w:b w:val="0"/>
          <w:bCs/>
          <w:color w:val="auto"/>
          <w:sz w:val="22"/>
          <w:szCs w:val="21"/>
        </w:rPr>
        <w:t>。</w:t>
      </w:r>
      <w:r>
        <w:rPr>
          <w:rFonts w:hint="eastAsia" w:asciiTheme="minorEastAsia" w:hAnsiTheme="minorEastAsia" w:eastAsiaTheme="minorEastAsia"/>
          <w:b w:val="0"/>
          <w:bCs/>
          <w:color w:val="auto"/>
          <w:sz w:val="22"/>
          <w:szCs w:val="21"/>
          <w:lang w:eastAsia="zh-CN"/>
        </w:rPr>
        <w:t>（</w:t>
      </w:r>
      <w:r>
        <w:rPr>
          <w:rFonts w:hint="eastAsia" w:asciiTheme="minorEastAsia" w:hAnsiTheme="minorEastAsia" w:eastAsiaTheme="minorEastAsia"/>
          <w:b w:val="0"/>
          <w:bCs/>
          <w:color w:val="auto"/>
          <w:sz w:val="22"/>
          <w:szCs w:val="21"/>
          <w:lang w:val="en-US" w:eastAsia="zh-CN"/>
        </w:rPr>
        <w:t>如果有</w:t>
      </w:r>
      <w:r>
        <w:rPr>
          <w:rFonts w:hint="eastAsia" w:asciiTheme="minorEastAsia" w:hAnsiTheme="minorEastAsia" w:eastAsiaTheme="minorEastAsia"/>
          <w:b w:val="0"/>
          <w:bCs/>
          <w:color w:val="auto"/>
          <w:sz w:val="22"/>
          <w:szCs w:val="21"/>
          <w:lang w:eastAsia="zh-CN"/>
        </w:rPr>
        <w:t>）</w:t>
      </w:r>
    </w:p>
    <w:p w14:paraId="5448344C">
      <w:pPr>
        <w:pStyle w:val="3"/>
        <w:spacing w:line="360" w:lineRule="auto"/>
        <w:ind w:firstLine="440" w:firstLineChars="200"/>
        <w:rPr>
          <w:rFonts w:hint="eastAsia" w:asciiTheme="minorEastAsia" w:hAnsiTheme="minorEastAsia" w:eastAsiaTheme="minorEastAsia"/>
          <w:b w:val="0"/>
          <w:bCs/>
          <w:color w:val="auto"/>
          <w:sz w:val="22"/>
          <w:szCs w:val="21"/>
        </w:rPr>
      </w:pPr>
      <w:r>
        <w:rPr>
          <w:rFonts w:hint="eastAsia" w:asciiTheme="minorEastAsia" w:hAnsiTheme="minorEastAsia" w:eastAsiaTheme="minorEastAsia"/>
          <w:b w:val="0"/>
          <w:bCs/>
          <w:color w:val="auto"/>
          <w:sz w:val="22"/>
          <w:szCs w:val="21"/>
        </w:rPr>
        <w:t>投标文件含有采购人不能接受的附加条件的，投标无效；</w:t>
      </w:r>
    </w:p>
    <w:p w14:paraId="7F717C4E">
      <w:pPr>
        <w:pStyle w:val="3"/>
        <w:spacing w:line="360" w:lineRule="auto"/>
        <w:ind w:firstLine="440" w:firstLineChars="200"/>
        <w:rPr>
          <w:rFonts w:hint="eastAsia" w:asciiTheme="minorEastAsia" w:hAnsiTheme="minorEastAsia" w:eastAsiaTheme="minorEastAsia"/>
          <w:b w:val="0"/>
          <w:bCs/>
          <w:color w:val="auto"/>
          <w:sz w:val="22"/>
          <w:szCs w:val="21"/>
        </w:rPr>
      </w:pPr>
      <w:r>
        <w:rPr>
          <w:rFonts w:hint="eastAsia" w:asciiTheme="minorEastAsia" w:hAnsiTheme="minorEastAsia" w:eastAsiaTheme="minorEastAsia"/>
          <w:b w:val="0"/>
          <w:bCs/>
          <w:color w:val="auto"/>
          <w:sz w:val="22"/>
          <w:szCs w:val="21"/>
        </w:rPr>
        <w:t>投标人提供虚假材料投标的，投标无效。</w:t>
      </w:r>
    </w:p>
    <w:p w14:paraId="6DC53071">
      <w:pPr>
        <w:pStyle w:val="3"/>
        <w:spacing w:line="360" w:lineRule="auto"/>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12. 投标文件的编制</w:t>
      </w:r>
    </w:p>
    <w:p w14:paraId="5768D387">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12.1 投标文件分为资格审查文件、商务技术文件、报价文件三部分。各投标人在编制投标文件时请按照招标文件第六部分规定的格式进行，混乱的编排导致投标文件被误读或评标委员会查找不到有效文件是投标人的风险。</w:t>
      </w:r>
    </w:p>
    <w:p w14:paraId="0E8D7E12">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71B3EEDA">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12.3 使用“政采云电子交易客户端”需要提前申领CA数字证书，申领流程请自行前往“浙江政府采购网-下载专区-电子交易客户端-CA驱动和申领流程”进行查阅。</w:t>
      </w:r>
    </w:p>
    <w:p w14:paraId="7C557B8F">
      <w:pPr>
        <w:pStyle w:val="3"/>
        <w:spacing w:line="360" w:lineRule="auto"/>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13. 投标文件的签署、盖章</w:t>
      </w:r>
    </w:p>
    <w:p w14:paraId="27955E5F">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13.1 投标文件按照招标文件第六部分格式要求进行签署、盖章。▲投标人的投标文件未按照招标文件要求签署、盖章的，其投标无效。</w:t>
      </w:r>
    </w:p>
    <w:p w14:paraId="030C52AB">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13.2 为确保网上操作合法、有效和安全，投标人应当在投标截止时间前完成在“政府采购云平台”的身份认证，确保在电子投标过程中能够对相关数据电文进行加密和使用电子签名。</w:t>
      </w:r>
    </w:p>
    <w:p w14:paraId="2408B052">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13.3 招标文件对投标文件签署、盖章的要求适用于电子签名。</w:t>
      </w:r>
    </w:p>
    <w:p w14:paraId="14488EB3">
      <w:pPr>
        <w:pStyle w:val="3"/>
        <w:spacing w:line="360" w:lineRule="auto"/>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14. 投标文件的提交、补充、修改、撤回</w:t>
      </w:r>
    </w:p>
    <w:p w14:paraId="6166EFF3">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B407B6">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14.2 电子交易平台收到投标文件，将妥善保存并即时向投标人发出确认回执通知。在投标截止时间前，除投标人补充、修改或者撤回投标文件外，任何单位和个人不得解密或提取投标文件。</w:t>
      </w:r>
    </w:p>
    <w:p w14:paraId="72606360">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14.3 采购人、采购代理机构可以视情况延长投标文件提交的截止时间。在上述情况下，采购代理机构与投标人以前在投标截止期方面的全部权利、责任和义务，将适用于延长至新的投标截止期。</w:t>
      </w:r>
    </w:p>
    <w:p w14:paraId="6747463C">
      <w:pPr>
        <w:pStyle w:val="3"/>
        <w:spacing w:line="360" w:lineRule="auto"/>
        <w:ind w:firstLine="440" w:firstLineChars="200"/>
        <w:rPr>
          <w:rFonts w:hint="default"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14.4 投标人中标后应提交电子投标文件的纸质版一正四副给采购人或其委托的招标代理机构。</w:t>
      </w:r>
    </w:p>
    <w:p w14:paraId="2CB8E885">
      <w:pPr>
        <w:pStyle w:val="3"/>
        <w:spacing w:line="360" w:lineRule="auto"/>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15. 备份投标文件</w:t>
      </w:r>
    </w:p>
    <w:p w14:paraId="1810B772">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15.1 投标人在电子交易平台传输递交投标文件后，还可以在投标截止时间前直接提交或者以邮政快递方式递交备份投标文件1份，</w:t>
      </w:r>
      <w:r>
        <w:rPr>
          <w:rFonts w:hint="eastAsia" w:asciiTheme="minorEastAsia" w:hAnsiTheme="minorEastAsia" w:eastAsiaTheme="minorEastAsia"/>
          <w:b/>
          <w:bCs w:val="0"/>
          <w:color w:val="auto"/>
          <w:sz w:val="22"/>
          <w:szCs w:val="21"/>
          <w:lang w:val="en-US" w:eastAsia="zh-CN"/>
        </w:rPr>
        <w:t>但不强制投标人提交备份投标文件。</w:t>
      </w:r>
    </w:p>
    <w:p w14:paraId="0593D3D0">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15.2 备份投标文件须在“政采云投标客户端”制作生成，并储存在 U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b/>
          <w:bCs w:val="0"/>
          <w:color w:val="auto"/>
          <w:sz w:val="22"/>
          <w:szCs w:val="21"/>
          <w:lang w:val="en-US" w:eastAsia="zh-CN"/>
        </w:rPr>
        <w:t>不符合上述制作、存储、密封规定的备份投标文件将被视为无效或者被拒绝接收。</w:t>
      </w:r>
    </w:p>
    <w:p w14:paraId="31D10F9D">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15.3 直接提交备份投标文件的，投标人应于投标截止时间前在招标公告中载明的开标地点将备份投标文件提交给采购代理机构，采购代理机构将拒绝接受逾期送达的备份投标文件。</w:t>
      </w:r>
    </w:p>
    <w:p w14:paraId="671B5D8E">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15.4 以邮政快递方式递交备份投标文件的，投标人应先将备份投标文件按要求密封和标记，再进行邮政快递包装后邮寄。备份投标文件须在投标截止时间之前送达招标文件“第二部分 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47ED525">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 xml:space="preserve">15.5 </w:t>
      </w:r>
      <w:r>
        <w:rPr>
          <w:rFonts w:hint="eastAsia" w:asciiTheme="minorEastAsia" w:hAnsiTheme="minorEastAsia" w:eastAsiaTheme="minorEastAsia"/>
          <w:b/>
          <w:bCs w:val="0"/>
          <w:color w:val="auto"/>
          <w:sz w:val="22"/>
          <w:szCs w:val="21"/>
          <w:lang w:val="en-US" w:eastAsia="zh-CN"/>
        </w:rPr>
        <w:t>投标人仅提交备份投标文件，未在电子交易平台传输递交投标文件的，投标无效。</w:t>
      </w:r>
    </w:p>
    <w:p w14:paraId="38374672">
      <w:pPr>
        <w:pStyle w:val="3"/>
        <w:spacing w:line="360" w:lineRule="auto"/>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16. 投标文件的无效处理</w:t>
      </w:r>
    </w:p>
    <w:p w14:paraId="36FE9E26">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有招标文件第四部分4.2规定的情形之一的，投标无效：</w:t>
      </w:r>
    </w:p>
    <w:p w14:paraId="02B7592B">
      <w:pPr>
        <w:pStyle w:val="3"/>
        <w:numPr>
          <w:ilvl w:val="0"/>
          <w:numId w:val="3"/>
        </w:numPr>
        <w:spacing w:line="360" w:lineRule="auto"/>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投标有效期</w:t>
      </w:r>
    </w:p>
    <w:p w14:paraId="5C14AA78">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17.1 投标有效期为从提交投标文件的截止之日起90天。</w:t>
      </w:r>
      <w:r>
        <w:rPr>
          <w:rFonts w:hint="eastAsia" w:asciiTheme="minorEastAsia" w:hAnsiTheme="minorEastAsia" w:eastAsiaTheme="minorEastAsia"/>
          <w:b/>
          <w:bCs w:val="0"/>
          <w:color w:val="auto"/>
          <w:sz w:val="22"/>
          <w:szCs w:val="21"/>
          <w:lang w:val="en-US" w:eastAsia="zh-CN"/>
        </w:rPr>
        <w:t>▲投标人的投标文件中承诺的投标有效期少于招标文件中载明的投标有效期的，投标无效。</w:t>
      </w:r>
    </w:p>
    <w:p w14:paraId="751F0A5D">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17.2 投标文件合格投递后，自投标截止日期起，在投标有效期内有效。</w:t>
      </w:r>
    </w:p>
    <w:p w14:paraId="7BDF1E5C">
      <w:pPr>
        <w:pStyle w:val="3"/>
        <w:spacing w:line="360" w:lineRule="auto"/>
        <w:ind w:firstLine="440" w:firstLineChars="200"/>
        <w:rPr>
          <w:rFonts w:hint="eastAsia" w:asciiTheme="minorEastAsia" w:hAnsiTheme="minorEastAsia" w:eastAsiaTheme="minorEastAsia"/>
          <w:b w:val="0"/>
          <w:bCs/>
          <w:color w:val="auto"/>
          <w:sz w:val="22"/>
          <w:szCs w:val="21"/>
          <w:lang w:val="en-US" w:eastAsia="zh-CN"/>
        </w:rPr>
      </w:pPr>
      <w:r>
        <w:rPr>
          <w:rFonts w:hint="eastAsia" w:asciiTheme="minorEastAsia" w:hAnsiTheme="minorEastAsia" w:eastAsiaTheme="minorEastAsia"/>
          <w:b w:val="0"/>
          <w:bCs/>
          <w:color w:val="auto"/>
          <w:sz w:val="22"/>
          <w:szCs w:val="21"/>
          <w:lang w:val="en-US" w:eastAsia="zh-CN"/>
        </w:rPr>
        <w:t>17.3 在原定投标有效期满之前，如果出现特殊情况，采购代理机构可以以书面形式通知投标人延长投标有效期。投标人同意延长的，不得要求或被允许修改其投标文件，投标人拒绝延长的，其投标无效。</w:t>
      </w:r>
    </w:p>
    <w:p w14:paraId="46A9D140">
      <w:pPr>
        <w:pStyle w:val="12"/>
        <w:spacing w:line="360" w:lineRule="auto"/>
        <w:rPr>
          <w:rFonts w:hint="eastAsia" w:ascii="宋体" w:hAnsi="宋体" w:eastAsia="宋体" w:cs="宋体"/>
          <w:color w:val="auto"/>
          <w:sz w:val="11"/>
          <w:szCs w:val="11"/>
          <w:lang w:val="en-US"/>
        </w:rPr>
      </w:pPr>
    </w:p>
    <w:p w14:paraId="25CA4F29">
      <w:pPr>
        <w:adjustRightInd/>
        <w:spacing w:line="360" w:lineRule="auto"/>
        <w:jc w:val="center"/>
        <w:outlineLvl w:val="0"/>
        <w:rPr>
          <w:rFonts w:cs="仿宋_GB2312" w:asciiTheme="minorEastAsia" w:hAnsiTheme="minorEastAsia" w:eastAsiaTheme="minorEastAsia"/>
          <w:b/>
          <w:color w:val="auto"/>
          <w:sz w:val="28"/>
          <w:szCs w:val="18"/>
        </w:rPr>
      </w:pPr>
      <w:r>
        <w:rPr>
          <w:rFonts w:hint="eastAsia" w:cs="仿宋_GB2312" w:asciiTheme="minorEastAsia" w:hAnsiTheme="minorEastAsia" w:eastAsiaTheme="minorEastAsia"/>
          <w:b/>
          <w:color w:val="auto"/>
          <w:sz w:val="28"/>
          <w:szCs w:val="18"/>
          <w:lang w:val="en-US" w:eastAsia="zh-CN"/>
        </w:rPr>
        <w:t>四</w:t>
      </w:r>
      <w:r>
        <w:rPr>
          <w:rFonts w:hint="eastAsia" w:cs="仿宋_GB2312" w:asciiTheme="minorEastAsia" w:hAnsiTheme="minorEastAsia" w:eastAsiaTheme="minorEastAsia"/>
          <w:b/>
          <w:color w:val="auto"/>
          <w:sz w:val="28"/>
          <w:szCs w:val="18"/>
        </w:rPr>
        <w:t>、开标、资格审查与信用信息查询</w:t>
      </w:r>
    </w:p>
    <w:p w14:paraId="7FA65929">
      <w:pPr>
        <w:pStyle w:val="69"/>
        <w:snapToGrid w:val="0"/>
        <w:spacing w:before="0"/>
        <w:ind w:left="0" w:leftChars="0" w:firstLine="0" w:firstLineChars="0"/>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18. 开标</w:t>
      </w:r>
    </w:p>
    <w:p w14:paraId="12B257D8">
      <w:pPr>
        <w:pStyle w:val="69"/>
        <w:snapToGrid w:val="0"/>
        <w:spacing w:before="0"/>
        <w:ind w:firstLine="482"/>
        <w:rPr>
          <w:rFonts w:hint="eastAsia" w:cs="仿宋_GB2312" w:asciiTheme="minorEastAsia" w:hAnsiTheme="minorEastAsia" w:eastAsiaTheme="minorEastAsia"/>
          <w:b w:val="0"/>
          <w:bCs/>
          <w:color w:val="auto"/>
          <w:sz w:val="22"/>
          <w:szCs w:val="20"/>
        </w:rPr>
      </w:pPr>
      <w:r>
        <w:rPr>
          <w:rFonts w:hint="eastAsia" w:cs="仿宋_GB2312" w:asciiTheme="minorEastAsia" w:hAnsiTheme="minorEastAsia" w:eastAsiaTheme="minorEastAsia"/>
          <w:b w:val="0"/>
          <w:bCs/>
          <w:color w:val="auto"/>
          <w:sz w:val="22"/>
          <w:szCs w:val="20"/>
        </w:rPr>
        <w:t>18.1</w:t>
      </w:r>
      <w:r>
        <w:rPr>
          <w:rFonts w:hint="eastAsia" w:cs="仿宋_GB2312" w:asciiTheme="minorEastAsia" w:hAnsiTheme="minorEastAsia" w:eastAsiaTheme="minorEastAsia"/>
          <w:b w:val="0"/>
          <w:bCs/>
          <w:color w:val="auto"/>
          <w:sz w:val="22"/>
          <w:szCs w:val="20"/>
          <w:lang w:val="en-US" w:eastAsia="zh-CN"/>
        </w:rPr>
        <w:t xml:space="preserve"> </w:t>
      </w:r>
      <w:r>
        <w:rPr>
          <w:rFonts w:hint="eastAsia" w:cs="仿宋_GB2312" w:asciiTheme="minorEastAsia" w:hAnsiTheme="minorEastAsia" w:eastAsiaTheme="minorEastAsia"/>
          <w:b w:val="0"/>
          <w:bCs/>
          <w:color w:val="auto"/>
          <w:sz w:val="22"/>
          <w:szCs w:val="20"/>
        </w:rPr>
        <w:t>采购代理机构按照招标文件规定的时间通过电子交易平台组织开标，所有投标人均应当准时在线参加。投标人不足3家的，不得开标。</w:t>
      </w:r>
    </w:p>
    <w:p w14:paraId="4EC81CB5">
      <w:pPr>
        <w:pStyle w:val="69"/>
        <w:snapToGrid w:val="0"/>
        <w:spacing w:before="0"/>
        <w:ind w:firstLine="482"/>
        <w:rPr>
          <w:rFonts w:hint="eastAsia" w:cs="仿宋_GB2312" w:asciiTheme="minorEastAsia" w:hAnsiTheme="minorEastAsia" w:eastAsiaTheme="minorEastAsia"/>
          <w:b w:val="0"/>
          <w:bCs/>
          <w:color w:val="auto"/>
          <w:sz w:val="22"/>
          <w:szCs w:val="20"/>
        </w:rPr>
      </w:pPr>
      <w:r>
        <w:rPr>
          <w:rFonts w:hint="eastAsia" w:cs="仿宋_GB2312" w:asciiTheme="minorEastAsia" w:hAnsiTheme="minorEastAsia" w:eastAsiaTheme="minorEastAsia"/>
          <w:b w:val="0"/>
          <w:bCs/>
          <w:color w:val="auto"/>
          <w:sz w:val="22"/>
          <w:szCs w:val="20"/>
        </w:rPr>
        <w:t>18.2</w:t>
      </w:r>
      <w:r>
        <w:rPr>
          <w:rFonts w:hint="eastAsia" w:cs="仿宋_GB2312" w:asciiTheme="minorEastAsia" w:hAnsiTheme="minorEastAsia" w:eastAsiaTheme="minorEastAsia"/>
          <w:b w:val="0"/>
          <w:bCs/>
          <w:color w:val="auto"/>
          <w:sz w:val="22"/>
          <w:szCs w:val="20"/>
          <w:lang w:val="en-US" w:eastAsia="zh-CN"/>
        </w:rPr>
        <w:t xml:space="preserve"> </w:t>
      </w:r>
      <w:r>
        <w:rPr>
          <w:rFonts w:hint="eastAsia" w:cs="仿宋_GB2312" w:asciiTheme="minorEastAsia" w:hAnsiTheme="minorEastAsia" w:eastAsiaTheme="minorEastAsia"/>
          <w:b w:val="0"/>
          <w:bCs/>
          <w:color w:val="auto"/>
          <w:sz w:val="22"/>
          <w:szCs w:val="20"/>
        </w:rPr>
        <w:t>开标时，电子交易平台按开标时间自动提取所有投标文件。采购代理机构依托电子交易平台发起开始解密指令，投标人按照平台提示和招标文件的规定在半小时内完成在线解密。</w:t>
      </w:r>
    </w:p>
    <w:p w14:paraId="0A5096E1">
      <w:pPr>
        <w:pStyle w:val="69"/>
        <w:snapToGrid w:val="0"/>
        <w:spacing w:before="0"/>
        <w:ind w:firstLine="482"/>
        <w:rPr>
          <w:rFonts w:hint="eastAsia" w:cs="仿宋_GB2312" w:asciiTheme="minorEastAsia" w:hAnsiTheme="minorEastAsia" w:eastAsiaTheme="minorEastAsia"/>
          <w:b w:val="0"/>
          <w:bCs/>
          <w:color w:val="auto"/>
          <w:sz w:val="22"/>
          <w:szCs w:val="20"/>
        </w:rPr>
      </w:pPr>
      <w:r>
        <w:rPr>
          <w:rFonts w:hint="eastAsia" w:cs="仿宋_GB2312" w:asciiTheme="minorEastAsia" w:hAnsiTheme="minorEastAsia" w:eastAsiaTheme="minorEastAsia"/>
          <w:b w:val="0"/>
          <w:bCs/>
          <w:color w:val="auto"/>
          <w:sz w:val="22"/>
          <w:szCs w:val="20"/>
        </w:rPr>
        <w:t>18.3</w:t>
      </w:r>
      <w:r>
        <w:rPr>
          <w:rFonts w:hint="eastAsia" w:cs="仿宋_GB2312" w:asciiTheme="minorEastAsia" w:hAnsiTheme="minorEastAsia" w:eastAsiaTheme="minorEastAsia"/>
          <w:b w:val="0"/>
          <w:bCs/>
          <w:color w:val="auto"/>
          <w:sz w:val="22"/>
          <w:szCs w:val="20"/>
          <w:lang w:val="en-US" w:eastAsia="zh-CN"/>
        </w:rPr>
        <w:t xml:space="preserve"> </w:t>
      </w:r>
      <w:r>
        <w:rPr>
          <w:rFonts w:hint="eastAsia" w:cs="仿宋_GB2312" w:asciiTheme="minorEastAsia" w:hAnsiTheme="minorEastAsia" w:eastAsiaTheme="minorEastAsia"/>
          <w:b w:val="0"/>
          <w:bCs/>
          <w:color w:val="auto"/>
          <w:sz w:val="22"/>
          <w:szCs w:val="20"/>
        </w:rPr>
        <w:t>投标文件未按时解密，投标人提供了备份投标文件的，以备份投标文件作为依据，否则视为投标文件撤回。投标文件已按时解密的，备份投标文件自动失效。</w:t>
      </w:r>
    </w:p>
    <w:p w14:paraId="1C1426CB">
      <w:pPr>
        <w:pStyle w:val="69"/>
        <w:snapToGrid w:val="0"/>
        <w:spacing w:before="0"/>
        <w:ind w:left="0" w:leftChars="0" w:firstLine="0" w:firstLineChars="0"/>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19. 资格审查</w:t>
      </w:r>
    </w:p>
    <w:p w14:paraId="3408C7A2">
      <w:pPr>
        <w:pStyle w:val="69"/>
        <w:snapToGrid w:val="0"/>
        <w:spacing w:before="0"/>
        <w:ind w:firstLine="482"/>
        <w:rPr>
          <w:rFonts w:hint="eastAsia" w:cs="仿宋_GB2312" w:asciiTheme="minorEastAsia" w:hAnsiTheme="minorEastAsia" w:eastAsiaTheme="minorEastAsia"/>
          <w:b w:val="0"/>
          <w:bCs/>
          <w:color w:val="auto"/>
          <w:sz w:val="22"/>
          <w:szCs w:val="20"/>
        </w:rPr>
      </w:pPr>
      <w:r>
        <w:rPr>
          <w:rFonts w:hint="eastAsia" w:cs="仿宋_GB2312" w:asciiTheme="minorEastAsia" w:hAnsiTheme="minorEastAsia" w:eastAsiaTheme="minorEastAsia"/>
          <w:b w:val="0"/>
          <w:bCs/>
          <w:color w:val="auto"/>
          <w:sz w:val="22"/>
          <w:szCs w:val="20"/>
        </w:rPr>
        <w:t>19.1</w:t>
      </w:r>
      <w:r>
        <w:rPr>
          <w:rFonts w:hint="eastAsia" w:cs="仿宋_GB2312" w:asciiTheme="minorEastAsia" w:hAnsiTheme="minorEastAsia" w:eastAsiaTheme="minorEastAsia"/>
          <w:b w:val="0"/>
          <w:bCs/>
          <w:color w:val="auto"/>
          <w:sz w:val="22"/>
          <w:szCs w:val="20"/>
          <w:lang w:val="en-US" w:eastAsia="zh-CN"/>
        </w:rPr>
        <w:t xml:space="preserve"> </w:t>
      </w:r>
      <w:r>
        <w:rPr>
          <w:rFonts w:hint="eastAsia" w:cs="仿宋_GB2312" w:asciiTheme="minorEastAsia" w:hAnsiTheme="minorEastAsia" w:eastAsiaTheme="minorEastAsia"/>
          <w:b w:val="0"/>
          <w:bCs/>
          <w:color w:val="auto"/>
          <w:sz w:val="22"/>
          <w:szCs w:val="20"/>
        </w:rPr>
        <w:t>采购人或采购代理机构依据法律法规和招标文件的规定，对投标人的资格进行审查。</w:t>
      </w:r>
    </w:p>
    <w:p w14:paraId="7B397CD3">
      <w:pPr>
        <w:pStyle w:val="69"/>
        <w:snapToGrid w:val="0"/>
        <w:spacing w:before="0"/>
        <w:ind w:firstLine="482"/>
        <w:rPr>
          <w:rFonts w:hint="eastAsia" w:cs="仿宋_GB2312" w:asciiTheme="minorEastAsia" w:hAnsiTheme="minorEastAsia" w:eastAsiaTheme="minorEastAsia"/>
          <w:b w:val="0"/>
          <w:bCs/>
          <w:color w:val="auto"/>
          <w:sz w:val="22"/>
          <w:szCs w:val="20"/>
        </w:rPr>
      </w:pPr>
      <w:r>
        <w:rPr>
          <w:rFonts w:hint="eastAsia" w:cs="仿宋_GB2312" w:asciiTheme="minorEastAsia" w:hAnsiTheme="minorEastAsia" w:eastAsiaTheme="minorEastAsia"/>
          <w:b w:val="0"/>
          <w:bCs/>
          <w:color w:val="auto"/>
          <w:sz w:val="22"/>
          <w:szCs w:val="20"/>
        </w:rPr>
        <w:t>19.2</w:t>
      </w:r>
      <w:r>
        <w:rPr>
          <w:rFonts w:hint="eastAsia" w:cs="仿宋_GB2312" w:asciiTheme="minorEastAsia" w:hAnsiTheme="minorEastAsia" w:eastAsiaTheme="minorEastAsia"/>
          <w:b w:val="0"/>
          <w:bCs/>
          <w:color w:val="auto"/>
          <w:sz w:val="22"/>
          <w:szCs w:val="20"/>
          <w:lang w:val="en-US" w:eastAsia="zh-CN"/>
        </w:rPr>
        <w:t xml:space="preserve"> </w:t>
      </w:r>
      <w:r>
        <w:rPr>
          <w:rFonts w:hint="eastAsia" w:cs="仿宋_GB2312" w:asciiTheme="minorEastAsia" w:hAnsiTheme="minorEastAsia" w:eastAsiaTheme="minorEastAsia"/>
          <w:b w:val="0"/>
          <w:bCs/>
          <w:color w:val="auto"/>
          <w:sz w:val="22"/>
          <w:szCs w:val="20"/>
        </w:rPr>
        <w:t>投标人未按照招标文件要求提供与资格条件相应的有效资格证明材料的，视为投标人不具备招标文件中规定的资格要求，其投标无效。</w:t>
      </w:r>
    </w:p>
    <w:p w14:paraId="3333F8CC">
      <w:pPr>
        <w:pStyle w:val="69"/>
        <w:snapToGrid w:val="0"/>
        <w:spacing w:before="0"/>
        <w:ind w:firstLine="482"/>
        <w:rPr>
          <w:rFonts w:hint="eastAsia" w:cs="仿宋_GB2312" w:asciiTheme="minorEastAsia" w:hAnsiTheme="minorEastAsia" w:eastAsiaTheme="minorEastAsia"/>
          <w:b w:val="0"/>
          <w:bCs/>
          <w:color w:val="auto"/>
          <w:sz w:val="22"/>
          <w:szCs w:val="20"/>
        </w:rPr>
      </w:pPr>
      <w:r>
        <w:rPr>
          <w:rFonts w:hint="eastAsia" w:cs="仿宋_GB2312" w:asciiTheme="minorEastAsia" w:hAnsiTheme="minorEastAsia" w:eastAsiaTheme="minorEastAsia"/>
          <w:b w:val="0"/>
          <w:bCs/>
          <w:color w:val="auto"/>
          <w:sz w:val="22"/>
          <w:szCs w:val="20"/>
        </w:rPr>
        <w:t>19.3</w:t>
      </w:r>
      <w:r>
        <w:rPr>
          <w:rFonts w:hint="eastAsia" w:cs="仿宋_GB2312" w:asciiTheme="minorEastAsia" w:hAnsiTheme="minorEastAsia" w:eastAsiaTheme="minorEastAsia"/>
          <w:b w:val="0"/>
          <w:bCs/>
          <w:color w:val="auto"/>
          <w:sz w:val="22"/>
          <w:szCs w:val="20"/>
          <w:lang w:val="en-US" w:eastAsia="zh-CN"/>
        </w:rPr>
        <w:t xml:space="preserve"> </w:t>
      </w:r>
      <w:r>
        <w:rPr>
          <w:rFonts w:hint="eastAsia" w:cs="仿宋_GB2312" w:asciiTheme="minorEastAsia" w:hAnsiTheme="minorEastAsia" w:eastAsiaTheme="minorEastAsia"/>
          <w:b w:val="0"/>
          <w:bCs/>
          <w:color w:val="auto"/>
          <w:sz w:val="22"/>
          <w:szCs w:val="20"/>
        </w:rPr>
        <w:t>对未通过资格审查的投标人，采购人或采购代理机构告知其未通过的原因。</w:t>
      </w:r>
    </w:p>
    <w:p w14:paraId="2626A548">
      <w:pPr>
        <w:pStyle w:val="69"/>
        <w:snapToGrid w:val="0"/>
        <w:spacing w:before="0"/>
        <w:ind w:firstLine="482"/>
        <w:rPr>
          <w:rFonts w:hint="eastAsia" w:cs="仿宋_GB2312" w:asciiTheme="minorEastAsia" w:hAnsiTheme="minorEastAsia" w:eastAsiaTheme="minorEastAsia"/>
          <w:b w:val="0"/>
          <w:bCs/>
          <w:color w:val="auto"/>
          <w:sz w:val="22"/>
          <w:szCs w:val="20"/>
        </w:rPr>
      </w:pPr>
      <w:r>
        <w:rPr>
          <w:rFonts w:hint="eastAsia" w:cs="仿宋_GB2312" w:asciiTheme="minorEastAsia" w:hAnsiTheme="minorEastAsia" w:eastAsiaTheme="minorEastAsia"/>
          <w:b w:val="0"/>
          <w:bCs/>
          <w:color w:val="auto"/>
          <w:sz w:val="22"/>
          <w:szCs w:val="20"/>
        </w:rPr>
        <w:t>19.4</w:t>
      </w:r>
      <w:r>
        <w:rPr>
          <w:rFonts w:hint="eastAsia" w:cs="仿宋_GB2312" w:asciiTheme="minorEastAsia" w:hAnsiTheme="minorEastAsia" w:eastAsiaTheme="minorEastAsia"/>
          <w:b w:val="0"/>
          <w:bCs/>
          <w:color w:val="auto"/>
          <w:sz w:val="22"/>
          <w:szCs w:val="20"/>
          <w:lang w:val="en-US" w:eastAsia="zh-CN"/>
        </w:rPr>
        <w:t xml:space="preserve"> </w:t>
      </w:r>
      <w:r>
        <w:rPr>
          <w:rFonts w:hint="eastAsia" w:cs="仿宋_GB2312" w:asciiTheme="minorEastAsia" w:hAnsiTheme="minorEastAsia" w:eastAsiaTheme="minorEastAsia"/>
          <w:b w:val="0"/>
          <w:bCs/>
          <w:color w:val="auto"/>
          <w:sz w:val="22"/>
          <w:szCs w:val="20"/>
        </w:rPr>
        <w:t>合格投标人不足3家的，不再评标。</w:t>
      </w:r>
    </w:p>
    <w:p w14:paraId="15C631E6">
      <w:pPr>
        <w:pStyle w:val="69"/>
        <w:snapToGrid w:val="0"/>
        <w:spacing w:before="0"/>
        <w:ind w:left="0" w:leftChars="0" w:firstLine="0" w:firstLineChars="0"/>
        <w:rPr>
          <w:rFonts w:hint="eastAsia" w:cs="宋体" w:asciiTheme="minorEastAsia" w:hAnsiTheme="minorEastAsia" w:eastAsiaTheme="minorEastAsia"/>
          <w:b/>
          <w:color w:val="auto"/>
          <w:sz w:val="22"/>
          <w:szCs w:val="22"/>
          <w:lang w:val="en-US" w:eastAsia="zh-CN" w:bidi="zh-CN"/>
        </w:rPr>
      </w:pPr>
      <w:r>
        <w:rPr>
          <w:rFonts w:hint="eastAsia" w:cs="宋体" w:asciiTheme="minorEastAsia" w:hAnsiTheme="minorEastAsia" w:eastAsiaTheme="minorEastAsia"/>
          <w:b/>
          <w:color w:val="auto"/>
          <w:sz w:val="22"/>
          <w:szCs w:val="22"/>
          <w:lang w:val="en-US" w:eastAsia="zh-CN" w:bidi="zh-CN"/>
        </w:rPr>
        <w:t>20. 信用信息查询</w:t>
      </w:r>
    </w:p>
    <w:p w14:paraId="2199D5AA">
      <w:pPr>
        <w:pStyle w:val="69"/>
        <w:snapToGrid w:val="0"/>
        <w:spacing w:before="0"/>
        <w:ind w:firstLine="482"/>
        <w:rPr>
          <w:rFonts w:hint="eastAsia" w:cs="仿宋_GB2312" w:asciiTheme="minorEastAsia" w:hAnsiTheme="minorEastAsia" w:eastAsiaTheme="minorEastAsia"/>
          <w:b w:val="0"/>
          <w:bCs/>
          <w:color w:val="auto"/>
          <w:sz w:val="22"/>
          <w:szCs w:val="20"/>
        </w:rPr>
      </w:pPr>
      <w:r>
        <w:rPr>
          <w:rFonts w:hint="eastAsia" w:cs="仿宋_GB2312" w:asciiTheme="minorEastAsia" w:hAnsiTheme="minorEastAsia" w:eastAsiaTheme="minorEastAsia"/>
          <w:b w:val="0"/>
          <w:bCs/>
          <w:color w:val="auto"/>
          <w:sz w:val="22"/>
          <w:szCs w:val="20"/>
        </w:rPr>
        <w:t>20.1</w:t>
      </w:r>
      <w:r>
        <w:rPr>
          <w:rFonts w:hint="eastAsia" w:cs="仿宋_GB2312" w:asciiTheme="minorEastAsia" w:hAnsiTheme="minorEastAsia" w:eastAsiaTheme="minorEastAsia"/>
          <w:b w:val="0"/>
          <w:bCs/>
          <w:color w:val="auto"/>
          <w:sz w:val="22"/>
          <w:szCs w:val="20"/>
          <w:lang w:val="en-US" w:eastAsia="zh-CN"/>
        </w:rPr>
        <w:t xml:space="preserve"> </w:t>
      </w:r>
      <w:r>
        <w:rPr>
          <w:rFonts w:hint="eastAsia" w:cs="仿宋_GB2312" w:asciiTheme="minorEastAsia" w:hAnsiTheme="minorEastAsia" w:eastAsiaTheme="minorEastAsia"/>
          <w:b w:val="0"/>
          <w:bCs/>
          <w:color w:val="auto"/>
          <w:sz w:val="22"/>
          <w:szCs w:val="20"/>
        </w:rPr>
        <w:t>信用信息查询渠道及截止时间：采购代理机构将在资格审查时通过“信用中国”网站(www.creditchina.gov.cn)、中国政府采购网(www.ccgp.gov.cn)渠道查询投标人接受资格时的信用记录。</w:t>
      </w:r>
    </w:p>
    <w:p w14:paraId="5BED9C28">
      <w:pPr>
        <w:pStyle w:val="69"/>
        <w:snapToGrid w:val="0"/>
        <w:spacing w:before="0"/>
        <w:ind w:firstLine="482"/>
        <w:rPr>
          <w:rFonts w:hint="eastAsia" w:cs="仿宋_GB2312" w:asciiTheme="minorEastAsia" w:hAnsiTheme="minorEastAsia" w:eastAsiaTheme="minorEastAsia"/>
          <w:b w:val="0"/>
          <w:bCs/>
          <w:color w:val="auto"/>
          <w:sz w:val="22"/>
          <w:szCs w:val="20"/>
        </w:rPr>
      </w:pPr>
      <w:r>
        <w:rPr>
          <w:rFonts w:hint="eastAsia" w:cs="仿宋_GB2312" w:asciiTheme="minorEastAsia" w:hAnsiTheme="minorEastAsia" w:eastAsiaTheme="minorEastAsia"/>
          <w:b w:val="0"/>
          <w:bCs/>
          <w:color w:val="auto"/>
          <w:sz w:val="22"/>
          <w:szCs w:val="20"/>
        </w:rPr>
        <w:t>20.2</w:t>
      </w:r>
      <w:r>
        <w:rPr>
          <w:rFonts w:hint="eastAsia" w:cs="仿宋_GB2312" w:asciiTheme="minorEastAsia" w:hAnsiTheme="minorEastAsia" w:eastAsiaTheme="minorEastAsia"/>
          <w:b w:val="0"/>
          <w:bCs/>
          <w:color w:val="auto"/>
          <w:sz w:val="22"/>
          <w:szCs w:val="20"/>
          <w:lang w:val="en-US" w:eastAsia="zh-CN"/>
        </w:rPr>
        <w:t xml:space="preserve"> </w:t>
      </w:r>
      <w:r>
        <w:rPr>
          <w:rFonts w:hint="eastAsia" w:cs="仿宋_GB2312" w:asciiTheme="minorEastAsia" w:hAnsiTheme="minorEastAsia" w:eastAsiaTheme="minorEastAsia"/>
          <w:b w:val="0"/>
          <w:bCs/>
          <w:color w:val="auto"/>
          <w:sz w:val="22"/>
          <w:szCs w:val="20"/>
        </w:rPr>
        <w:t>信用信息查询记录和证据留存的具体方式：现场查询的投标人的信用记录、查询结果经确认后将与采购文件一起存档。</w:t>
      </w:r>
    </w:p>
    <w:p w14:paraId="21D47460">
      <w:pPr>
        <w:pStyle w:val="69"/>
        <w:snapToGrid w:val="0"/>
        <w:spacing w:before="0"/>
        <w:ind w:firstLine="482"/>
        <w:rPr>
          <w:rFonts w:hint="eastAsia" w:cs="仿宋_GB2312" w:asciiTheme="minorEastAsia" w:hAnsiTheme="minorEastAsia" w:eastAsiaTheme="minorEastAsia"/>
          <w:b w:val="0"/>
          <w:bCs/>
          <w:color w:val="auto"/>
          <w:sz w:val="22"/>
          <w:szCs w:val="20"/>
        </w:rPr>
      </w:pPr>
      <w:r>
        <w:rPr>
          <w:rFonts w:hint="eastAsia" w:cs="仿宋_GB2312" w:asciiTheme="minorEastAsia" w:hAnsiTheme="minorEastAsia" w:eastAsiaTheme="minorEastAsia"/>
          <w:b w:val="0"/>
          <w:bCs/>
          <w:color w:val="auto"/>
          <w:sz w:val="22"/>
          <w:szCs w:val="20"/>
        </w:rPr>
        <w:t>20.3</w:t>
      </w:r>
      <w:r>
        <w:rPr>
          <w:rFonts w:hint="eastAsia" w:cs="仿宋_GB2312" w:asciiTheme="minorEastAsia" w:hAnsiTheme="minorEastAsia" w:eastAsiaTheme="minorEastAsia"/>
          <w:b w:val="0"/>
          <w:bCs/>
          <w:color w:val="auto"/>
          <w:sz w:val="22"/>
          <w:szCs w:val="20"/>
          <w:lang w:val="en-US" w:eastAsia="zh-CN"/>
        </w:rPr>
        <w:t xml:space="preserve"> </w:t>
      </w:r>
      <w:r>
        <w:rPr>
          <w:rFonts w:hint="eastAsia" w:cs="仿宋_GB2312" w:asciiTheme="minorEastAsia" w:hAnsiTheme="minorEastAsia" w:eastAsiaTheme="minorEastAsia"/>
          <w:b w:val="0"/>
          <w:bCs/>
          <w:color w:val="auto"/>
          <w:sz w:val="22"/>
          <w:szCs w:val="20"/>
        </w:rPr>
        <w:t>信用信息的使用规则：经查询列入失信被执行人名单、重大税收违法案件当事人名单、政府采购严重违法失信行为记录名单的投标人将被拒绝参与政府采购活动。</w:t>
      </w:r>
    </w:p>
    <w:p w14:paraId="408B54B3">
      <w:pPr>
        <w:pStyle w:val="69"/>
        <w:snapToGrid w:val="0"/>
        <w:spacing w:before="0"/>
        <w:ind w:firstLine="482"/>
        <w:rPr>
          <w:rFonts w:asciiTheme="minorEastAsia" w:hAnsiTheme="minorEastAsia" w:eastAsiaTheme="minorEastAsia"/>
          <w:b w:val="0"/>
          <w:bCs/>
          <w:color w:val="auto"/>
          <w:sz w:val="22"/>
          <w:szCs w:val="18"/>
        </w:rPr>
      </w:pPr>
      <w:r>
        <w:rPr>
          <w:rFonts w:hint="eastAsia" w:cs="仿宋_GB2312" w:asciiTheme="minorEastAsia" w:hAnsiTheme="minorEastAsia" w:eastAsiaTheme="minorEastAsia"/>
          <w:b w:val="0"/>
          <w:bCs/>
          <w:color w:val="auto"/>
          <w:sz w:val="22"/>
          <w:szCs w:val="20"/>
        </w:rPr>
        <w:t>20.4</w:t>
      </w:r>
      <w:r>
        <w:rPr>
          <w:rFonts w:hint="eastAsia" w:cs="仿宋_GB2312" w:asciiTheme="minorEastAsia" w:hAnsiTheme="minorEastAsia" w:eastAsiaTheme="minorEastAsia"/>
          <w:b w:val="0"/>
          <w:bCs/>
          <w:color w:val="auto"/>
          <w:sz w:val="22"/>
          <w:szCs w:val="20"/>
          <w:lang w:val="en-US" w:eastAsia="zh-CN"/>
        </w:rPr>
        <w:t xml:space="preserve"> </w:t>
      </w:r>
      <w:r>
        <w:rPr>
          <w:rFonts w:hint="eastAsia" w:cs="仿宋_GB2312" w:asciiTheme="minorEastAsia" w:hAnsiTheme="minorEastAsia" w:eastAsiaTheme="minorEastAsia"/>
          <w:b w:val="0"/>
          <w:bCs/>
          <w:color w:val="auto"/>
          <w:sz w:val="22"/>
          <w:szCs w:val="20"/>
        </w:rPr>
        <w:t>联合体信用信息查询：两个以上的自然人、法人或者其他组织组成一个联合体，以一个</w:t>
      </w:r>
      <w:r>
        <w:rPr>
          <w:rFonts w:hint="eastAsia" w:cs="仿宋_GB2312" w:asciiTheme="minorEastAsia" w:hAnsiTheme="minorEastAsia" w:eastAsiaTheme="minorEastAsia"/>
          <w:b w:val="0"/>
          <w:bCs/>
          <w:color w:val="auto"/>
          <w:sz w:val="22"/>
          <w:szCs w:val="20"/>
          <w:lang w:eastAsia="zh-CN"/>
        </w:rPr>
        <w:t>投标人</w:t>
      </w:r>
      <w:r>
        <w:rPr>
          <w:rFonts w:hint="eastAsia" w:cs="仿宋_GB2312" w:asciiTheme="minorEastAsia" w:hAnsiTheme="minorEastAsia" w:eastAsiaTheme="minorEastAsia"/>
          <w:b w:val="0"/>
          <w:bCs/>
          <w:color w:val="auto"/>
          <w:sz w:val="22"/>
          <w:szCs w:val="20"/>
        </w:rPr>
        <w:t>的身份共同参加政府采购活动的，应当对所有联合体成员进行信用记录查询，联合体成员存在不良信用记录的，视同联合体存在不良信用记录。</w:t>
      </w:r>
    </w:p>
    <w:p w14:paraId="26B13904">
      <w:pPr>
        <w:pStyle w:val="12"/>
        <w:spacing w:line="360" w:lineRule="auto"/>
        <w:rPr>
          <w:rFonts w:hint="eastAsia" w:ascii="宋体" w:hAnsi="宋体" w:eastAsia="宋体" w:cs="宋体"/>
          <w:color w:val="auto"/>
          <w:sz w:val="11"/>
          <w:szCs w:val="11"/>
          <w:lang w:val="en-US"/>
        </w:rPr>
      </w:pPr>
    </w:p>
    <w:p w14:paraId="7714E587">
      <w:pPr>
        <w:adjustRightInd/>
        <w:spacing w:line="360" w:lineRule="auto"/>
        <w:jc w:val="center"/>
        <w:outlineLvl w:val="0"/>
        <w:rPr>
          <w:rFonts w:hint="eastAsia" w:cs="仿宋_GB2312" w:asciiTheme="minorEastAsia" w:hAnsiTheme="minorEastAsia" w:eastAsiaTheme="minorEastAsia"/>
          <w:b/>
          <w:color w:val="auto"/>
          <w:sz w:val="28"/>
          <w:szCs w:val="18"/>
          <w:lang w:eastAsia="zh-CN"/>
        </w:rPr>
      </w:pPr>
      <w:r>
        <w:rPr>
          <w:rFonts w:hint="eastAsia" w:cs="仿宋_GB2312" w:asciiTheme="minorEastAsia" w:hAnsiTheme="minorEastAsia" w:eastAsiaTheme="minorEastAsia"/>
          <w:b/>
          <w:color w:val="auto"/>
          <w:sz w:val="28"/>
          <w:szCs w:val="18"/>
          <w:lang w:val="en-US" w:eastAsia="zh-CN"/>
        </w:rPr>
        <w:t>五</w:t>
      </w:r>
      <w:r>
        <w:rPr>
          <w:rFonts w:hint="eastAsia" w:cs="仿宋_GB2312" w:asciiTheme="minorEastAsia" w:hAnsiTheme="minorEastAsia" w:eastAsiaTheme="minorEastAsia"/>
          <w:b/>
          <w:color w:val="auto"/>
          <w:sz w:val="28"/>
          <w:szCs w:val="18"/>
        </w:rPr>
        <w:t>、</w:t>
      </w:r>
      <w:r>
        <w:rPr>
          <w:rFonts w:hint="eastAsia" w:cs="仿宋_GB2312" w:asciiTheme="minorEastAsia" w:hAnsiTheme="minorEastAsia" w:eastAsiaTheme="minorEastAsia"/>
          <w:b/>
          <w:color w:val="auto"/>
          <w:sz w:val="28"/>
          <w:szCs w:val="18"/>
          <w:lang w:val="en-US" w:eastAsia="zh-CN"/>
        </w:rPr>
        <w:t>评标</w:t>
      </w:r>
    </w:p>
    <w:p w14:paraId="0FAFFD25">
      <w:pPr>
        <w:pStyle w:val="3"/>
        <w:spacing w:line="360" w:lineRule="auto"/>
        <w:rPr>
          <w:rFonts w:cs="仿宋_GB2312" w:asciiTheme="minorEastAsia" w:hAnsiTheme="minorEastAsia" w:eastAsiaTheme="minorEastAsia"/>
          <w:b/>
          <w:bCs w:val="0"/>
          <w:color w:val="auto"/>
          <w:sz w:val="22"/>
          <w:szCs w:val="22"/>
        </w:rPr>
      </w:pPr>
      <w:r>
        <w:rPr>
          <w:rFonts w:hint="eastAsia" w:asciiTheme="minorEastAsia" w:hAnsiTheme="minorEastAsia" w:eastAsiaTheme="minorEastAsia"/>
          <w:b/>
          <w:color w:val="auto"/>
          <w:sz w:val="22"/>
          <w:szCs w:val="21"/>
          <w:lang w:val="en-US" w:eastAsia="zh-CN"/>
        </w:rPr>
        <w:t>21</w:t>
      </w:r>
      <w:r>
        <w:rPr>
          <w:rFonts w:hint="eastAsia" w:asciiTheme="minorEastAsia" w:hAnsiTheme="minorEastAsia" w:eastAsiaTheme="minorEastAsia"/>
          <w:b/>
          <w:color w:val="auto"/>
          <w:sz w:val="22"/>
          <w:szCs w:val="21"/>
        </w:rPr>
        <w:t xml:space="preserve">. </w:t>
      </w:r>
      <w:r>
        <w:rPr>
          <w:rFonts w:hint="eastAsia" w:asciiTheme="minorEastAsia" w:hAnsiTheme="minorEastAsia" w:eastAsiaTheme="minorEastAsia"/>
          <w:b w:val="0"/>
          <w:bCs/>
          <w:color w:val="auto"/>
          <w:sz w:val="22"/>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b/>
          <w:bCs w:val="0"/>
          <w:color w:val="auto"/>
          <w:sz w:val="22"/>
          <w:szCs w:val="21"/>
        </w:rPr>
        <w:t>详见招标文件</w:t>
      </w:r>
      <w:r>
        <w:rPr>
          <w:rFonts w:hint="eastAsia" w:asciiTheme="minorEastAsia" w:hAnsiTheme="minorEastAsia" w:eastAsiaTheme="minorEastAsia"/>
          <w:b/>
          <w:bCs w:val="0"/>
          <w:color w:val="auto"/>
          <w:sz w:val="22"/>
          <w:szCs w:val="21"/>
          <w:lang w:eastAsia="zh-CN"/>
        </w:rPr>
        <w:t>“</w:t>
      </w:r>
      <w:r>
        <w:rPr>
          <w:rFonts w:hint="eastAsia" w:asciiTheme="minorEastAsia" w:hAnsiTheme="minorEastAsia" w:eastAsiaTheme="minorEastAsia"/>
          <w:b/>
          <w:bCs w:val="0"/>
          <w:color w:val="auto"/>
          <w:sz w:val="22"/>
          <w:szCs w:val="21"/>
        </w:rPr>
        <w:t>第四部分</w:t>
      </w:r>
      <w:r>
        <w:rPr>
          <w:rFonts w:hint="eastAsia" w:asciiTheme="minorEastAsia" w:hAnsiTheme="minorEastAsia" w:eastAsiaTheme="minorEastAsia"/>
          <w:b/>
          <w:bCs w:val="0"/>
          <w:color w:val="auto"/>
          <w:sz w:val="22"/>
          <w:szCs w:val="21"/>
          <w:lang w:val="en-US" w:eastAsia="zh-CN"/>
        </w:rPr>
        <w:t xml:space="preserve"> </w:t>
      </w:r>
      <w:r>
        <w:rPr>
          <w:rFonts w:hint="eastAsia" w:asciiTheme="minorEastAsia" w:hAnsiTheme="minorEastAsia" w:eastAsiaTheme="minorEastAsia"/>
          <w:b/>
          <w:bCs w:val="0"/>
          <w:color w:val="auto"/>
          <w:sz w:val="22"/>
          <w:szCs w:val="21"/>
        </w:rPr>
        <w:t>评标办法</w:t>
      </w:r>
      <w:r>
        <w:rPr>
          <w:rFonts w:hint="eastAsia" w:asciiTheme="minorEastAsia" w:hAnsiTheme="minorEastAsia" w:eastAsiaTheme="minorEastAsia"/>
          <w:b/>
          <w:bCs w:val="0"/>
          <w:color w:val="auto"/>
          <w:sz w:val="22"/>
          <w:szCs w:val="21"/>
          <w:lang w:eastAsia="zh-CN"/>
        </w:rPr>
        <w:t>”</w:t>
      </w:r>
      <w:r>
        <w:rPr>
          <w:rFonts w:hint="eastAsia" w:asciiTheme="minorEastAsia" w:hAnsiTheme="minorEastAsia" w:eastAsiaTheme="minorEastAsia"/>
          <w:b/>
          <w:bCs w:val="0"/>
          <w:color w:val="auto"/>
          <w:sz w:val="22"/>
          <w:szCs w:val="21"/>
        </w:rPr>
        <w:t>。</w:t>
      </w:r>
    </w:p>
    <w:p w14:paraId="1283B204">
      <w:pPr>
        <w:pStyle w:val="12"/>
        <w:spacing w:line="360" w:lineRule="auto"/>
        <w:rPr>
          <w:rFonts w:hint="eastAsia" w:ascii="宋体" w:hAnsi="宋体" w:eastAsia="宋体" w:cs="宋体"/>
          <w:color w:val="auto"/>
          <w:sz w:val="11"/>
          <w:szCs w:val="11"/>
          <w:lang w:val="en-US"/>
        </w:rPr>
      </w:pPr>
    </w:p>
    <w:p w14:paraId="277AFDC0">
      <w:pPr>
        <w:adjustRightInd/>
        <w:spacing w:line="360" w:lineRule="auto"/>
        <w:jc w:val="center"/>
        <w:outlineLvl w:val="0"/>
        <w:rPr>
          <w:rFonts w:hint="eastAsia" w:cs="仿宋_GB2312" w:asciiTheme="minorEastAsia" w:hAnsiTheme="minorEastAsia" w:eastAsiaTheme="minorEastAsia"/>
          <w:b/>
          <w:color w:val="auto"/>
          <w:sz w:val="28"/>
          <w:szCs w:val="18"/>
          <w:lang w:eastAsia="zh-CN"/>
        </w:rPr>
      </w:pPr>
      <w:r>
        <w:rPr>
          <w:rFonts w:hint="eastAsia" w:cs="仿宋_GB2312" w:asciiTheme="minorEastAsia" w:hAnsiTheme="minorEastAsia" w:eastAsiaTheme="minorEastAsia"/>
          <w:b/>
          <w:color w:val="auto"/>
          <w:sz w:val="28"/>
          <w:szCs w:val="18"/>
          <w:lang w:val="en-US" w:eastAsia="zh-CN"/>
        </w:rPr>
        <w:t>六</w:t>
      </w:r>
      <w:r>
        <w:rPr>
          <w:rFonts w:hint="eastAsia" w:cs="仿宋_GB2312" w:asciiTheme="minorEastAsia" w:hAnsiTheme="minorEastAsia" w:eastAsiaTheme="minorEastAsia"/>
          <w:b/>
          <w:color w:val="auto"/>
          <w:sz w:val="28"/>
          <w:szCs w:val="18"/>
        </w:rPr>
        <w:t>、</w:t>
      </w:r>
      <w:r>
        <w:rPr>
          <w:rFonts w:hint="eastAsia" w:asciiTheme="minorEastAsia" w:hAnsiTheme="minorEastAsia" w:eastAsiaTheme="minorEastAsia"/>
          <w:b/>
          <w:color w:val="auto"/>
          <w:sz w:val="28"/>
          <w:szCs w:val="28"/>
          <w:lang w:val="en-US" w:eastAsia="zh-CN"/>
        </w:rPr>
        <w:t>定标</w:t>
      </w:r>
    </w:p>
    <w:p w14:paraId="33920069">
      <w:pPr>
        <w:pStyle w:val="3"/>
        <w:spacing w:line="360" w:lineRule="auto"/>
        <w:rPr>
          <w:rFonts w:hint="eastAsia" w:cs="仿宋_GB2312" w:asciiTheme="minorEastAsia" w:hAnsiTheme="minorEastAsia" w:eastAsiaTheme="minorEastAsia"/>
          <w:b/>
          <w:bCs w:val="0"/>
          <w:color w:val="auto"/>
          <w:sz w:val="22"/>
          <w:szCs w:val="22"/>
          <w:u w:val="none"/>
        </w:rPr>
      </w:pPr>
      <w:r>
        <w:rPr>
          <w:rFonts w:hint="eastAsia" w:cs="仿宋_GB2312" w:asciiTheme="minorEastAsia" w:hAnsiTheme="minorEastAsia" w:eastAsiaTheme="minorEastAsia"/>
          <w:b/>
          <w:bCs w:val="0"/>
          <w:color w:val="auto"/>
          <w:sz w:val="22"/>
          <w:szCs w:val="22"/>
          <w:u w:val="none"/>
        </w:rPr>
        <w:t>22. 确定中标供应商</w:t>
      </w:r>
    </w:p>
    <w:p w14:paraId="09072169">
      <w:pPr>
        <w:pStyle w:val="3"/>
        <w:spacing w:line="360" w:lineRule="auto"/>
        <w:ind w:firstLine="440" w:firstLineChars="200"/>
        <w:rPr>
          <w:rFonts w:hint="eastAsia" w:cs="仿宋_GB2312" w:asciiTheme="minorEastAsia" w:hAnsiTheme="minorEastAsia" w:eastAsiaTheme="minorEastAsia"/>
          <w:b w:val="0"/>
          <w:bCs/>
          <w:color w:val="auto"/>
          <w:sz w:val="22"/>
          <w:szCs w:val="22"/>
          <w:u w:val="none"/>
        </w:rPr>
      </w:pPr>
      <w:r>
        <w:rPr>
          <w:rFonts w:hint="eastAsia" w:cs="仿宋_GB2312" w:asciiTheme="minorEastAsia" w:hAnsiTheme="minorEastAsia" w:eastAsiaTheme="minorEastAsia"/>
          <w:b w:val="0"/>
          <w:bCs/>
          <w:color w:val="auto"/>
          <w:sz w:val="22"/>
          <w:szCs w:val="22"/>
          <w:u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94BF696">
      <w:pPr>
        <w:pStyle w:val="3"/>
        <w:spacing w:line="360" w:lineRule="auto"/>
        <w:rPr>
          <w:rFonts w:hint="eastAsia" w:cs="仿宋_GB2312" w:asciiTheme="minorEastAsia" w:hAnsiTheme="minorEastAsia" w:eastAsiaTheme="minorEastAsia"/>
          <w:b/>
          <w:bCs w:val="0"/>
          <w:color w:val="auto"/>
          <w:sz w:val="22"/>
          <w:szCs w:val="22"/>
          <w:u w:val="none"/>
        </w:rPr>
      </w:pPr>
      <w:r>
        <w:rPr>
          <w:rFonts w:hint="eastAsia" w:cs="仿宋_GB2312" w:asciiTheme="minorEastAsia" w:hAnsiTheme="minorEastAsia" w:eastAsiaTheme="minorEastAsia"/>
          <w:b/>
          <w:bCs w:val="0"/>
          <w:color w:val="auto"/>
          <w:sz w:val="22"/>
          <w:szCs w:val="22"/>
          <w:u w:val="none"/>
        </w:rPr>
        <w:t>23. 中标通知与中标结果公告</w:t>
      </w:r>
    </w:p>
    <w:p w14:paraId="6A28EC52">
      <w:pPr>
        <w:pStyle w:val="3"/>
        <w:spacing w:line="360" w:lineRule="auto"/>
        <w:ind w:firstLine="440" w:firstLineChars="200"/>
        <w:rPr>
          <w:rFonts w:hint="eastAsia" w:cs="仿宋_GB2312" w:asciiTheme="minorEastAsia" w:hAnsiTheme="minorEastAsia" w:eastAsiaTheme="minorEastAsia"/>
          <w:b w:val="0"/>
          <w:bCs/>
          <w:color w:val="auto"/>
          <w:sz w:val="22"/>
          <w:szCs w:val="22"/>
          <w:u w:val="none"/>
        </w:rPr>
      </w:pPr>
      <w:r>
        <w:rPr>
          <w:rFonts w:hint="eastAsia" w:cs="仿宋_GB2312" w:asciiTheme="minorEastAsia" w:hAnsiTheme="minorEastAsia" w:eastAsiaTheme="minorEastAsia"/>
          <w:b w:val="0"/>
          <w:bCs/>
          <w:color w:val="auto"/>
          <w:sz w:val="22"/>
          <w:szCs w:val="22"/>
          <w:u w:val="none"/>
        </w:rPr>
        <w:t>23.1</w:t>
      </w:r>
      <w:r>
        <w:rPr>
          <w:rFonts w:hint="eastAsia" w:cs="仿宋_GB2312" w:asciiTheme="minorEastAsia" w:hAnsiTheme="minorEastAsia" w:eastAsiaTheme="minorEastAsia"/>
          <w:b w:val="0"/>
          <w:bCs/>
          <w:color w:val="auto"/>
          <w:sz w:val="22"/>
          <w:szCs w:val="22"/>
          <w:u w:val="none"/>
          <w:lang w:val="en-US" w:eastAsia="zh-CN"/>
        </w:rPr>
        <w:t xml:space="preserve"> </w:t>
      </w:r>
      <w:r>
        <w:rPr>
          <w:rFonts w:hint="eastAsia" w:cs="仿宋_GB2312" w:asciiTheme="minorEastAsia" w:hAnsiTheme="minorEastAsia" w:eastAsiaTheme="minorEastAsia"/>
          <w:b w:val="0"/>
          <w:bCs/>
          <w:color w:val="auto"/>
          <w:sz w:val="22"/>
          <w:szCs w:val="22"/>
          <w:u w:val="none"/>
        </w:rPr>
        <w:t>自中标人确定之日起2个工作日内，采购代理机构通过电子交易平台向中标人发出中标通知书，同时编制发布采购结果公告。采购代理机构也可以以纸质形式进行中标通知。</w:t>
      </w:r>
    </w:p>
    <w:p w14:paraId="0D97D920">
      <w:pPr>
        <w:pStyle w:val="3"/>
        <w:spacing w:line="360" w:lineRule="auto"/>
        <w:ind w:firstLine="440" w:firstLineChars="200"/>
        <w:rPr>
          <w:rFonts w:hint="eastAsia" w:cs="仿宋_GB2312" w:asciiTheme="minorEastAsia" w:hAnsiTheme="minorEastAsia" w:eastAsiaTheme="minorEastAsia"/>
          <w:b w:val="0"/>
          <w:bCs/>
          <w:color w:val="auto"/>
          <w:sz w:val="22"/>
          <w:szCs w:val="22"/>
          <w:u w:val="none"/>
        </w:rPr>
      </w:pPr>
      <w:r>
        <w:rPr>
          <w:rFonts w:hint="eastAsia" w:cs="仿宋_GB2312" w:asciiTheme="minorEastAsia" w:hAnsiTheme="minorEastAsia" w:eastAsiaTheme="minorEastAsia"/>
          <w:b w:val="0"/>
          <w:bCs/>
          <w:color w:val="auto"/>
          <w:sz w:val="22"/>
          <w:szCs w:val="22"/>
          <w:u w:val="none"/>
        </w:rPr>
        <w:t>23.2</w:t>
      </w:r>
      <w:r>
        <w:rPr>
          <w:rFonts w:hint="eastAsia" w:cs="仿宋_GB2312" w:asciiTheme="minorEastAsia" w:hAnsiTheme="minorEastAsia" w:eastAsiaTheme="minorEastAsia"/>
          <w:b w:val="0"/>
          <w:bCs/>
          <w:color w:val="auto"/>
          <w:sz w:val="22"/>
          <w:szCs w:val="22"/>
          <w:u w:val="none"/>
          <w:lang w:val="en-US" w:eastAsia="zh-CN"/>
        </w:rPr>
        <w:t xml:space="preserve"> </w:t>
      </w:r>
      <w:r>
        <w:rPr>
          <w:rFonts w:hint="eastAsia" w:cs="仿宋_GB2312" w:asciiTheme="minorEastAsia" w:hAnsiTheme="minorEastAsia" w:eastAsiaTheme="minorEastAsia"/>
          <w:b w:val="0"/>
          <w:bCs/>
          <w:color w:val="auto"/>
          <w:sz w:val="22"/>
          <w:szCs w:val="22"/>
          <w:u w:val="none"/>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D12BDDF">
      <w:pPr>
        <w:pStyle w:val="3"/>
        <w:spacing w:line="360" w:lineRule="auto"/>
        <w:ind w:firstLine="440" w:firstLineChars="200"/>
        <w:rPr>
          <w:rFonts w:cs="仿宋_GB2312" w:asciiTheme="minorEastAsia" w:hAnsiTheme="minorEastAsia" w:eastAsiaTheme="minorEastAsia"/>
          <w:b w:val="0"/>
          <w:bCs/>
          <w:color w:val="auto"/>
          <w:sz w:val="22"/>
          <w:szCs w:val="22"/>
          <w:u w:val="none"/>
        </w:rPr>
      </w:pPr>
      <w:r>
        <w:rPr>
          <w:rFonts w:hint="eastAsia" w:cs="仿宋_GB2312" w:asciiTheme="minorEastAsia" w:hAnsiTheme="minorEastAsia" w:eastAsiaTheme="minorEastAsia"/>
          <w:b w:val="0"/>
          <w:bCs/>
          <w:color w:val="auto"/>
          <w:sz w:val="22"/>
          <w:szCs w:val="22"/>
          <w:u w:val="none"/>
        </w:rPr>
        <w:t>23.3</w:t>
      </w:r>
      <w:r>
        <w:rPr>
          <w:rFonts w:hint="eastAsia" w:cs="仿宋_GB2312" w:asciiTheme="minorEastAsia" w:hAnsiTheme="minorEastAsia" w:eastAsiaTheme="minorEastAsia"/>
          <w:b w:val="0"/>
          <w:bCs/>
          <w:color w:val="auto"/>
          <w:sz w:val="22"/>
          <w:szCs w:val="22"/>
          <w:u w:val="none"/>
          <w:lang w:val="en-US" w:eastAsia="zh-CN"/>
        </w:rPr>
        <w:t xml:space="preserve"> </w:t>
      </w:r>
      <w:r>
        <w:rPr>
          <w:rFonts w:hint="eastAsia" w:cs="仿宋_GB2312" w:asciiTheme="minorEastAsia" w:hAnsiTheme="minorEastAsia" w:eastAsiaTheme="minorEastAsia"/>
          <w:b w:val="0"/>
          <w:bCs/>
          <w:color w:val="auto"/>
          <w:sz w:val="22"/>
          <w:szCs w:val="22"/>
          <w:u w:val="none"/>
        </w:rPr>
        <w:t>公告期限为1个工作日。</w:t>
      </w:r>
    </w:p>
    <w:p w14:paraId="47A1B9F7">
      <w:pPr>
        <w:pStyle w:val="12"/>
        <w:spacing w:line="360" w:lineRule="auto"/>
        <w:rPr>
          <w:rFonts w:hint="eastAsia" w:ascii="宋体" w:hAnsi="宋体" w:eastAsia="宋体" w:cs="宋体"/>
          <w:color w:val="auto"/>
          <w:sz w:val="11"/>
          <w:szCs w:val="11"/>
          <w:lang w:val="en-US"/>
        </w:rPr>
      </w:pPr>
    </w:p>
    <w:p w14:paraId="1CFB7CBA">
      <w:pPr>
        <w:adjustRightInd/>
        <w:spacing w:line="360" w:lineRule="auto"/>
        <w:jc w:val="center"/>
        <w:outlineLvl w:val="0"/>
        <w:rPr>
          <w:rFonts w:hint="default" w:cs="仿宋_GB2312" w:asciiTheme="minorEastAsia" w:hAnsiTheme="minorEastAsia" w:eastAsiaTheme="minorEastAsia"/>
          <w:b/>
          <w:color w:val="auto"/>
          <w:sz w:val="28"/>
          <w:szCs w:val="18"/>
          <w:lang w:val="en-US" w:eastAsia="zh-CN"/>
        </w:rPr>
      </w:pPr>
      <w:r>
        <w:rPr>
          <w:rFonts w:hint="eastAsia" w:cs="仿宋_GB2312" w:asciiTheme="minorEastAsia" w:hAnsiTheme="minorEastAsia" w:eastAsiaTheme="minorEastAsia"/>
          <w:b/>
          <w:color w:val="auto"/>
          <w:sz w:val="28"/>
          <w:szCs w:val="18"/>
          <w:lang w:val="en-US" w:eastAsia="zh-CN"/>
        </w:rPr>
        <w:t>七</w:t>
      </w:r>
      <w:r>
        <w:rPr>
          <w:rFonts w:hint="eastAsia" w:cs="仿宋_GB2312" w:asciiTheme="minorEastAsia" w:hAnsiTheme="minorEastAsia" w:eastAsiaTheme="minorEastAsia"/>
          <w:b/>
          <w:color w:val="auto"/>
          <w:sz w:val="28"/>
          <w:szCs w:val="18"/>
        </w:rPr>
        <w:t>、</w:t>
      </w:r>
      <w:r>
        <w:rPr>
          <w:rFonts w:hint="eastAsia" w:asciiTheme="minorEastAsia" w:hAnsiTheme="minorEastAsia" w:eastAsiaTheme="minorEastAsia"/>
          <w:b/>
          <w:color w:val="auto"/>
          <w:sz w:val="28"/>
          <w:szCs w:val="28"/>
          <w:lang w:val="en-US" w:eastAsia="zh-CN"/>
        </w:rPr>
        <w:t>合同授予</w:t>
      </w:r>
    </w:p>
    <w:p w14:paraId="7206F4F2">
      <w:pPr>
        <w:pStyle w:val="69"/>
        <w:spacing w:before="0"/>
        <w:ind w:left="0" w:leftChars="0" w:firstLine="0" w:firstLineChars="0"/>
        <w:rPr>
          <w:rFonts w:hint="eastAsia" w:cs="Arial" w:asciiTheme="minorEastAsia" w:hAnsiTheme="minorEastAsia" w:eastAsiaTheme="minorEastAsia"/>
          <w:color w:val="auto"/>
          <w:kern w:val="0"/>
          <w:sz w:val="22"/>
          <w:szCs w:val="22"/>
        </w:rPr>
      </w:pPr>
      <w:r>
        <w:rPr>
          <w:rFonts w:hint="eastAsia" w:cs="Arial" w:asciiTheme="minorEastAsia" w:hAnsiTheme="minorEastAsia" w:eastAsiaTheme="minorEastAsia"/>
          <w:b/>
          <w:bCs/>
          <w:color w:val="auto"/>
          <w:kern w:val="0"/>
          <w:sz w:val="22"/>
          <w:szCs w:val="22"/>
        </w:rPr>
        <w:t xml:space="preserve">24. </w:t>
      </w:r>
      <w:r>
        <w:rPr>
          <w:rFonts w:hint="eastAsia" w:cs="Arial" w:asciiTheme="minorEastAsia" w:hAnsiTheme="minorEastAsia" w:eastAsiaTheme="minorEastAsia"/>
          <w:color w:val="auto"/>
          <w:kern w:val="0"/>
          <w:sz w:val="22"/>
          <w:szCs w:val="22"/>
        </w:rPr>
        <w:t>合同主要条款详见</w:t>
      </w:r>
      <w:r>
        <w:rPr>
          <w:rFonts w:hint="eastAsia" w:cs="Arial" w:asciiTheme="minorEastAsia" w:hAnsiTheme="minorEastAsia" w:eastAsiaTheme="minorEastAsia"/>
          <w:color w:val="auto"/>
          <w:kern w:val="0"/>
          <w:sz w:val="22"/>
          <w:szCs w:val="22"/>
          <w:lang w:eastAsia="zh-CN"/>
        </w:rPr>
        <w:t>“</w:t>
      </w:r>
      <w:r>
        <w:rPr>
          <w:rFonts w:hint="eastAsia" w:cs="Arial" w:asciiTheme="minorEastAsia" w:hAnsiTheme="minorEastAsia" w:eastAsiaTheme="minorEastAsia"/>
          <w:color w:val="auto"/>
          <w:kern w:val="0"/>
          <w:sz w:val="22"/>
          <w:szCs w:val="22"/>
        </w:rPr>
        <w:t>第五部分</w:t>
      </w:r>
      <w:r>
        <w:rPr>
          <w:rFonts w:hint="eastAsia" w:cs="Arial" w:asciiTheme="minorEastAsia" w:hAnsiTheme="minorEastAsia" w:eastAsiaTheme="minorEastAsia"/>
          <w:color w:val="auto"/>
          <w:kern w:val="0"/>
          <w:sz w:val="22"/>
          <w:szCs w:val="22"/>
          <w:lang w:val="en-US" w:eastAsia="zh-CN"/>
        </w:rPr>
        <w:t xml:space="preserve"> </w:t>
      </w:r>
      <w:r>
        <w:rPr>
          <w:rFonts w:hint="eastAsia" w:cs="Arial" w:asciiTheme="minorEastAsia" w:hAnsiTheme="minorEastAsia" w:eastAsiaTheme="minorEastAsia"/>
          <w:color w:val="auto"/>
          <w:kern w:val="0"/>
          <w:sz w:val="22"/>
          <w:szCs w:val="22"/>
        </w:rPr>
        <w:t>拟签订的合同文本</w:t>
      </w:r>
      <w:r>
        <w:rPr>
          <w:rFonts w:hint="eastAsia" w:cs="Arial" w:asciiTheme="minorEastAsia" w:hAnsiTheme="minorEastAsia" w:eastAsiaTheme="minorEastAsia"/>
          <w:color w:val="auto"/>
          <w:kern w:val="0"/>
          <w:sz w:val="22"/>
          <w:szCs w:val="22"/>
          <w:lang w:eastAsia="zh-CN"/>
        </w:rPr>
        <w:t>”</w:t>
      </w:r>
      <w:r>
        <w:rPr>
          <w:rFonts w:hint="eastAsia" w:cs="Arial" w:asciiTheme="minorEastAsia" w:hAnsiTheme="minorEastAsia" w:eastAsiaTheme="minorEastAsia"/>
          <w:color w:val="auto"/>
          <w:kern w:val="0"/>
          <w:sz w:val="22"/>
          <w:szCs w:val="22"/>
        </w:rPr>
        <w:t>。</w:t>
      </w:r>
    </w:p>
    <w:p w14:paraId="65F18738">
      <w:pPr>
        <w:pStyle w:val="69"/>
        <w:spacing w:before="0"/>
        <w:ind w:left="0" w:leftChars="0" w:firstLine="0" w:firstLineChars="0"/>
        <w:rPr>
          <w:rFonts w:hint="eastAsia" w:cs="Arial" w:asciiTheme="minorEastAsia" w:hAnsiTheme="minorEastAsia" w:eastAsiaTheme="minorEastAsia"/>
          <w:b/>
          <w:bCs/>
          <w:color w:val="auto"/>
          <w:kern w:val="0"/>
          <w:sz w:val="22"/>
          <w:szCs w:val="22"/>
        </w:rPr>
      </w:pPr>
      <w:r>
        <w:rPr>
          <w:rFonts w:hint="eastAsia" w:cs="Arial" w:asciiTheme="minorEastAsia" w:hAnsiTheme="minorEastAsia" w:eastAsiaTheme="minorEastAsia"/>
          <w:b/>
          <w:bCs/>
          <w:color w:val="auto"/>
          <w:kern w:val="0"/>
          <w:sz w:val="22"/>
          <w:szCs w:val="22"/>
        </w:rPr>
        <w:t>25. 合同的签订</w:t>
      </w:r>
    </w:p>
    <w:p w14:paraId="0EB1433D">
      <w:pPr>
        <w:pStyle w:val="69"/>
        <w:spacing w:before="0"/>
        <w:ind w:firstLine="495" w:firstLineChars="0"/>
        <w:rPr>
          <w:rFonts w:hint="eastAsia" w:cs="Arial" w:asciiTheme="minorEastAsia" w:hAnsiTheme="minorEastAsia" w:eastAsiaTheme="minorEastAsia"/>
          <w:color w:val="auto"/>
          <w:kern w:val="0"/>
          <w:sz w:val="22"/>
          <w:szCs w:val="22"/>
        </w:rPr>
      </w:pPr>
      <w:r>
        <w:rPr>
          <w:rFonts w:hint="eastAsia" w:cs="Arial" w:asciiTheme="minorEastAsia" w:hAnsiTheme="minorEastAsia" w:eastAsiaTheme="minorEastAsia"/>
          <w:color w:val="auto"/>
          <w:kern w:val="0"/>
          <w:sz w:val="22"/>
          <w:szCs w:val="22"/>
        </w:rPr>
        <w:t>25.1 采购人与中标人应当通过电子交易平台在中标通知书发出之日起</w:t>
      </w:r>
      <w:r>
        <w:rPr>
          <w:rFonts w:hint="eastAsia" w:cs="Arial" w:asciiTheme="minorEastAsia" w:hAnsiTheme="minorEastAsia" w:eastAsiaTheme="minorEastAsia"/>
          <w:color w:val="auto"/>
          <w:kern w:val="0"/>
          <w:sz w:val="22"/>
          <w:szCs w:val="22"/>
          <w:lang w:val="en-US" w:eastAsia="zh-CN"/>
        </w:rPr>
        <w:t>二</w:t>
      </w:r>
      <w:r>
        <w:rPr>
          <w:rFonts w:hint="eastAsia" w:cs="Arial" w:asciiTheme="minorEastAsia" w:hAnsiTheme="minorEastAsia" w:eastAsiaTheme="minorEastAsia"/>
          <w:color w:val="auto"/>
          <w:kern w:val="0"/>
          <w:sz w:val="22"/>
          <w:szCs w:val="22"/>
        </w:rPr>
        <w:t>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cs="Arial" w:asciiTheme="minorEastAsia" w:hAnsiTheme="minorEastAsia" w:eastAsiaTheme="minorEastAsia"/>
          <w:color w:val="auto"/>
          <w:kern w:val="0"/>
          <w:sz w:val="22"/>
          <w:szCs w:val="22"/>
          <w:lang w:val="en-US" w:eastAsia="zh-CN"/>
        </w:rPr>
        <w:t>20</w:t>
      </w:r>
      <w:r>
        <w:rPr>
          <w:rFonts w:hint="eastAsia" w:cs="Arial" w:asciiTheme="minorEastAsia" w:hAnsiTheme="minorEastAsia" w:eastAsiaTheme="minorEastAsia"/>
          <w:color w:val="auto"/>
          <w:kern w:val="0"/>
          <w:sz w:val="22"/>
          <w:szCs w:val="22"/>
        </w:rPr>
        <w:t>日内，与中标供应商按照采购文件确定的事项签订政府采购合同。</w:t>
      </w:r>
    </w:p>
    <w:p w14:paraId="6EB972A4">
      <w:pPr>
        <w:pStyle w:val="69"/>
        <w:spacing w:before="0"/>
        <w:ind w:firstLine="495" w:firstLineChars="0"/>
        <w:rPr>
          <w:rFonts w:hint="eastAsia" w:cs="Arial" w:asciiTheme="minorEastAsia" w:hAnsiTheme="minorEastAsia" w:eastAsiaTheme="minorEastAsia"/>
          <w:color w:val="auto"/>
          <w:kern w:val="0"/>
          <w:sz w:val="22"/>
          <w:szCs w:val="22"/>
        </w:rPr>
      </w:pPr>
      <w:r>
        <w:rPr>
          <w:rFonts w:hint="eastAsia" w:cs="Arial" w:asciiTheme="minorEastAsia" w:hAnsiTheme="minorEastAsia" w:eastAsiaTheme="minorEastAsia"/>
          <w:color w:val="auto"/>
          <w:kern w:val="0"/>
          <w:sz w:val="22"/>
          <w:szCs w:val="22"/>
        </w:rPr>
        <w:t>25.2</w:t>
      </w:r>
      <w:r>
        <w:rPr>
          <w:rFonts w:hint="eastAsia" w:cs="Arial" w:asciiTheme="minorEastAsia" w:hAnsiTheme="minorEastAsia" w:eastAsiaTheme="minorEastAsia"/>
          <w:color w:val="auto"/>
          <w:kern w:val="0"/>
          <w:sz w:val="22"/>
          <w:szCs w:val="22"/>
          <w:lang w:val="en-US" w:eastAsia="zh-CN"/>
        </w:rPr>
        <w:t xml:space="preserve"> </w:t>
      </w:r>
      <w:r>
        <w:rPr>
          <w:rFonts w:hint="eastAsia" w:cs="Arial" w:asciiTheme="minorEastAsia" w:hAnsiTheme="minorEastAsia" w:eastAsiaTheme="minorEastAsia"/>
          <w:color w:val="auto"/>
          <w:kern w:val="0"/>
          <w:sz w:val="22"/>
          <w:szCs w:val="22"/>
        </w:rPr>
        <w:t>中标人按规定的日期、时间、地点，由法定代表人或其授权代表与采购人代表签订合同。如中标人为联合体的，由联合体成员各方法定代表人或其授权代表与采购人代表签订合同。</w:t>
      </w:r>
    </w:p>
    <w:p w14:paraId="4BF04925">
      <w:pPr>
        <w:pStyle w:val="69"/>
        <w:spacing w:before="0"/>
        <w:ind w:firstLine="495" w:firstLineChars="0"/>
        <w:rPr>
          <w:rFonts w:hint="eastAsia" w:cs="Arial" w:asciiTheme="minorEastAsia" w:hAnsiTheme="minorEastAsia" w:eastAsiaTheme="minorEastAsia"/>
          <w:color w:val="auto"/>
          <w:kern w:val="0"/>
          <w:sz w:val="22"/>
          <w:szCs w:val="22"/>
        </w:rPr>
      </w:pPr>
      <w:r>
        <w:rPr>
          <w:rFonts w:hint="eastAsia" w:cs="Arial" w:asciiTheme="minorEastAsia" w:hAnsiTheme="minorEastAsia" w:eastAsiaTheme="minorEastAsia"/>
          <w:color w:val="auto"/>
          <w:kern w:val="0"/>
          <w:sz w:val="22"/>
          <w:szCs w:val="22"/>
        </w:rPr>
        <w:t>25.3</w:t>
      </w:r>
      <w:r>
        <w:rPr>
          <w:rFonts w:hint="eastAsia" w:cs="Arial" w:asciiTheme="minorEastAsia" w:hAnsiTheme="minorEastAsia" w:eastAsiaTheme="minorEastAsia"/>
          <w:color w:val="auto"/>
          <w:kern w:val="0"/>
          <w:sz w:val="22"/>
          <w:szCs w:val="22"/>
          <w:lang w:val="en-US" w:eastAsia="zh-CN"/>
        </w:rPr>
        <w:t xml:space="preserve"> </w:t>
      </w:r>
      <w:r>
        <w:rPr>
          <w:rFonts w:hint="eastAsia" w:cs="Arial" w:asciiTheme="minorEastAsia" w:hAnsiTheme="minorEastAsia" w:eastAsiaTheme="minorEastAsia"/>
          <w:color w:val="auto"/>
          <w:kern w:val="0"/>
          <w:sz w:val="22"/>
          <w:szCs w:val="22"/>
        </w:rPr>
        <w:t>如签订合同并生效后，供应商无故拒绝或延期，除按照合同条款处理外，列入不良行为记录一次，并给予通报。</w:t>
      </w:r>
    </w:p>
    <w:p w14:paraId="529D1F64">
      <w:pPr>
        <w:pStyle w:val="69"/>
        <w:spacing w:before="0"/>
        <w:ind w:firstLine="495" w:firstLineChars="0"/>
        <w:rPr>
          <w:rFonts w:hint="eastAsia" w:cs="Arial" w:asciiTheme="minorEastAsia" w:hAnsiTheme="minorEastAsia" w:eastAsiaTheme="minorEastAsia"/>
          <w:color w:val="auto"/>
          <w:kern w:val="0"/>
          <w:sz w:val="22"/>
          <w:szCs w:val="22"/>
        </w:rPr>
      </w:pPr>
      <w:r>
        <w:rPr>
          <w:rFonts w:hint="eastAsia" w:cs="Arial" w:asciiTheme="minorEastAsia" w:hAnsiTheme="minorEastAsia" w:eastAsiaTheme="minorEastAsia"/>
          <w:color w:val="auto"/>
          <w:kern w:val="0"/>
          <w:sz w:val="22"/>
          <w:szCs w:val="22"/>
        </w:rPr>
        <w:t>25.4</w:t>
      </w:r>
      <w:r>
        <w:rPr>
          <w:rFonts w:hint="eastAsia" w:cs="Arial" w:asciiTheme="minorEastAsia" w:hAnsiTheme="minorEastAsia" w:eastAsiaTheme="minorEastAsia"/>
          <w:color w:val="auto"/>
          <w:kern w:val="0"/>
          <w:sz w:val="22"/>
          <w:szCs w:val="22"/>
          <w:lang w:val="en-US" w:eastAsia="zh-CN"/>
        </w:rPr>
        <w:t xml:space="preserve"> </w:t>
      </w:r>
      <w:r>
        <w:rPr>
          <w:rFonts w:hint="eastAsia" w:cs="Arial" w:asciiTheme="minorEastAsia" w:hAnsiTheme="minorEastAsia" w:eastAsiaTheme="minorEastAsia"/>
          <w:color w:val="auto"/>
          <w:kern w:val="0"/>
          <w:sz w:val="22"/>
          <w:szCs w:val="22"/>
        </w:rPr>
        <w:t>中标供应商拒绝与采购人签订合同的，采购人可以按照评审报告推荐的中标或者成交候选人名单排序，确定下一候选人为中标供应商，也可以重新开展政府采购活动。</w:t>
      </w:r>
    </w:p>
    <w:p w14:paraId="13AF136F">
      <w:pPr>
        <w:pStyle w:val="69"/>
        <w:spacing w:before="0"/>
        <w:ind w:firstLine="495" w:firstLineChars="0"/>
        <w:rPr>
          <w:rFonts w:hint="eastAsia" w:cs="Arial" w:asciiTheme="minorEastAsia" w:hAnsiTheme="minorEastAsia" w:eastAsiaTheme="minorEastAsia"/>
          <w:color w:val="auto"/>
          <w:kern w:val="0"/>
          <w:sz w:val="22"/>
          <w:szCs w:val="22"/>
        </w:rPr>
      </w:pPr>
      <w:r>
        <w:rPr>
          <w:rFonts w:hint="eastAsia" w:cs="Arial" w:asciiTheme="minorEastAsia" w:hAnsiTheme="minorEastAsia" w:eastAsiaTheme="minorEastAsia"/>
          <w:color w:val="auto"/>
          <w:kern w:val="0"/>
          <w:sz w:val="22"/>
          <w:szCs w:val="22"/>
        </w:rPr>
        <w:t>25.5</w:t>
      </w:r>
      <w:r>
        <w:rPr>
          <w:rFonts w:hint="eastAsia" w:cs="Arial" w:asciiTheme="minorEastAsia" w:hAnsiTheme="minorEastAsia" w:eastAsiaTheme="minorEastAsia"/>
          <w:color w:val="auto"/>
          <w:kern w:val="0"/>
          <w:sz w:val="22"/>
          <w:szCs w:val="22"/>
          <w:lang w:val="en-US" w:eastAsia="zh-CN"/>
        </w:rPr>
        <w:t xml:space="preserve"> </w:t>
      </w:r>
      <w:r>
        <w:rPr>
          <w:rFonts w:hint="eastAsia" w:cs="Arial" w:asciiTheme="minorEastAsia" w:hAnsiTheme="minorEastAsia" w:eastAsiaTheme="minorEastAsia"/>
          <w:color w:val="auto"/>
          <w:kern w:val="0"/>
          <w:sz w:val="22"/>
          <w:szCs w:val="22"/>
        </w:rPr>
        <w:t>采购合同由采购人与中标供应商根据招标文件、投标文件等内容</w:t>
      </w:r>
      <w:r>
        <w:rPr>
          <w:rFonts w:hint="eastAsia" w:cs="Arial" w:asciiTheme="minorEastAsia" w:hAnsiTheme="minorEastAsia" w:eastAsiaTheme="minorEastAsia"/>
          <w:color w:val="auto"/>
          <w:kern w:val="0"/>
          <w:sz w:val="22"/>
          <w:szCs w:val="22"/>
          <w:lang w:val="en-US" w:eastAsia="zh-CN"/>
        </w:rPr>
        <w:t>签订，</w:t>
      </w:r>
      <w:r>
        <w:rPr>
          <w:rFonts w:hint="eastAsia" w:cs="Arial" w:asciiTheme="minorEastAsia" w:hAnsiTheme="minorEastAsia" w:eastAsiaTheme="minorEastAsia"/>
          <w:color w:val="auto"/>
          <w:kern w:val="0"/>
          <w:sz w:val="22"/>
          <w:szCs w:val="22"/>
        </w:rPr>
        <w:t>通过政府采购电子交易平台备案。</w:t>
      </w:r>
    </w:p>
    <w:p w14:paraId="169DDF27">
      <w:pPr>
        <w:pStyle w:val="69"/>
        <w:spacing w:before="0"/>
        <w:ind w:left="0" w:leftChars="0" w:firstLine="0" w:firstLineChars="0"/>
        <w:rPr>
          <w:rFonts w:hint="eastAsia" w:cs="Arial" w:asciiTheme="minorEastAsia" w:hAnsiTheme="minorEastAsia" w:eastAsiaTheme="minorEastAsia"/>
          <w:b/>
          <w:bCs/>
          <w:color w:val="auto"/>
          <w:kern w:val="0"/>
          <w:sz w:val="22"/>
          <w:szCs w:val="22"/>
        </w:rPr>
      </w:pPr>
      <w:r>
        <w:rPr>
          <w:rFonts w:hint="eastAsia" w:cs="Arial" w:asciiTheme="minorEastAsia" w:hAnsiTheme="minorEastAsia" w:eastAsiaTheme="minorEastAsia"/>
          <w:b/>
          <w:bCs/>
          <w:color w:val="auto"/>
          <w:kern w:val="0"/>
          <w:sz w:val="22"/>
          <w:szCs w:val="22"/>
        </w:rPr>
        <w:t>26. 履约保证金</w:t>
      </w:r>
    </w:p>
    <w:p w14:paraId="2FAE39A2">
      <w:pPr>
        <w:pStyle w:val="69"/>
        <w:spacing w:before="0"/>
        <w:ind w:firstLine="495" w:firstLineChars="0"/>
        <w:rPr>
          <w:rFonts w:hint="eastAsia" w:cs="Arial" w:asciiTheme="minorEastAsia" w:hAnsiTheme="minorEastAsia" w:eastAsiaTheme="minorEastAsia"/>
          <w:color w:val="auto"/>
          <w:kern w:val="0"/>
          <w:sz w:val="22"/>
          <w:szCs w:val="22"/>
        </w:rPr>
      </w:pPr>
      <w:r>
        <w:rPr>
          <w:rFonts w:hint="eastAsia" w:cs="Arial" w:asciiTheme="minorEastAsia" w:hAnsiTheme="minorEastAsia" w:eastAsiaTheme="minorEastAsia"/>
          <w:color w:val="auto"/>
          <w:kern w:val="0"/>
          <w:sz w:val="22"/>
          <w:szCs w:val="22"/>
        </w:rPr>
        <w:t>根据《浙江省财政厅关于进一步发挥政府采购政策功能权利推动经济稳进提质的通知》（浙财采监〔2022〕3号）文件精神及本项目特点，免收履约保证金。</w:t>
      </w:r>
    </w:p>
    <w:p w14:paraId="533E688A">
      <w:pPr>
        <w:spacing w:line="360" w:lineRule="auto"/>
        <w:rPr>
          <w:rFonts w:hint="eastAsia" w:cs="Arial" w:asciiTheme="minorEastAsia" w:hAnsiTheme="minorEastAsia" w:eastAsiaTheme="minorEastAsia"/>
          <w:b/>
          <w:bCs/>
          <w:color w:val="auto"/>
          <w:kern w:val="0"/>
          <w:sz w:val="22"/>
          <w:szCs w:val="22"/>
          <w:lang w:val="zh-CN" w:eastAsia="zh-CN" w:bidi="zh-CN"/>
        </w:rPr>
      </w:pPr>
      <w:r>
        <w:rPr>
          <w:rFonts w:hint="eastAsia" w:cs="Arial" w:asciiTheme="minorEastAsia" w:hAnsiTheme="minorEastAsia" w:eastAsiaTheme="minorEastAsia"/>
          <w:b/>
          <w:bCs/>
          <w:color w:val="auto"/>
          <w:kern w:val="0"/>
          <w:sz w:val="22"/>
          <w:szCs w:val="22"/>
          <w:lang w:val="en-US" w:eastAsia="zh-CN" w:bidi="zh-CN"/>
        </w:rPr>
        <w:t xml:space="preserve">27. </w:t>
      </w:r>
      <w:r>
        <w:rPr>
          <w:rFonts w:hint="eastAsia" w:cs="Arial" w:asciiTheme="minorEastAsia" w:hAnsiTheme="minorEastAsia" w:eastAsiaTheme="minorEastAsia"/>
          <w:b/>
          <w:bCs/>
          <w:color w:val="auto"/>
          <w:kern w:val="0"/>
          <w:sz w:val="22"/>
          <w:szCs w:val="22"/>
          <w:lang w:val="zh-CN" w:eastAsia="zh-CN" w:bidi="zh-CN"/>
        </w:rPr>
        <w:t>预付款</w:t>
      </w:r>
    </w:p>
    <w:p w14:paraId="6A734C88">
      <w:pPr>
        <w:pStyle w:val="69"/>
        <w:spacing w:before="0" w:line="360" w:lineRule="auto"/>
        <w:ind w:firstLine="495" w:firstLineChars="0"/>
        <w:rPr>
          <w:rFonts w:hint="eastAsia" w:cs="Arial" w:asciiTheme="minorEastAsia" w:hAnsiTheme="minorEastAsia" w:eastAsiaTheme="minorEastAsia"/>
          <w:color w:val="auto"/>
          <w:kern w:val="0"/>
          <w:sz w:val="22"/>
          <w:szCs w:val="22"/>
          <w:lang w:val="zh-CN" w:eastAsia="zh-CN" w:bidi="zh-CN"/>
        </w:rPr>
      </w:pPr>
      <w:r>
        <w:rPr>
          <w:rFonts w:hint="eastAsia" w:cs="Arial" w:asciiTheme="minorEastAsia" w:hAnsiTheme="minorEastAsia" w:eastAsiaTheme="minorEastAsia"/>
          <w:color w:val="auto"/>
          <w:kern w:val="0"/>
          <w:sz w:val="22"/>
          <w:szCs w:val="22"/>
          <w:lang w:val="en-US" w:eastAsia="zh-CN" w:bidi="zh-CN"/>
        </w:rPr>
        <w:t>采购人</w:t>
      </w:r>
      <w:r>
        <w:rPr>
          <w:rFonts w:hint="eastAsia" w:cs="Arial" w:asciiTheme="minorEastAsia" w:hAnsiTheme="minorEastAsia" w:eastAsiaTheme="minorEastAsia"/>
          <w:color w:val="auto"/>
          <w:kern w:val="0"/>
          <w:sz w:val="22"/>
          <w:szCs w:val="22"/>
          <w:lang w:val="zh-CN" w:eastAsia="zh-CN" w:bidi="zh-CN"/>
        </w:rPr>
        <w:t>对</w:t>
      </w:r>
      <w:r>
        <w:rPr>
          <w:rFonts w:hint="eastAsia" w:cs="Arial" w:asciiTheme="minorEastAsia" w:hAnsiTheme="minorEastAsia" w:eastAsiaTheme="minorEastAsia"/>
          <w:color w:val="auto"/>
          <w:kern w:val="0"/>
          <w:sz w:val="22"/>
          <w:szCs w:val="22"/>
          <w:lang w:val="en-US" w:eastAsia="zh-CN" w:bidi="zh-CN"/>
        </w:rPr>
        <w:t>于</w:t>
      </w:r>
      <w:r>
        <w:rPr>
          <w:rFonts w:hint="eastAsia" w:cs="Arial" w:asciiTheme="minorEastAsia" w:hAnsiTheme="minorEastAsia" w:eastAsiaTheme="minorEastAsia"/>
          <w:color w:val="auto"/>
          <w:kern w:val="0"/>
          <w:sz w:val="22"/>
          <w:szCs w:val="22"/>
          <w:lang w:val="zh-CN" w:eastAsia="zh-CN" w:bidi="zh-CN"/>
        </w:rPr>
        <w:t>合同预付款</w:t>
      </w:r>
      <w:r>
        <w:rPr>
          <w:rFonts w:hint="eastAsia" w:cs="Arial" w:asciiTheme="minorEastAsia" w:hAnsiTheme="minorEastAsia" w:eastAsiaTheme="minorEastAsia"/>
          <w:color w:val="auto"/>
          <w:kern w:val="0"/>
          <w:sz w:val="22"/>
          <w:szCs w:val="22"/>
          <w:lang w:val="en-US" w:eastAsia="zh-CN" w:bidi="zh-CN"/>
        </w:rPr>
        <w:t>为</w:t>
      </w:r>
      <w:r>
        <w:rPr>
          <w:rFonts w:hint="eastAsia" w:cs="Arial" w:asciiTheme="minorEastAsia" w:hAnsiTheme="minorEastAsia" w:eastAsiaTheme="minorEastAsia"/>
          <w:color w:val="auto"/>
          <w:kern w:val="0"/>
          <w:sz w:val="22"/>
          <w:szCs w:val="22"/>
          <w:lang w:val="zh-CN" w:eastAsia="zh-CN" w:bidi="zh-CN"/>
        </w:rPr>
        <w:t>合同金额的</w:t>
      </w:r>
      <w:r>
        <w:rPr>
          <w:rFonts w:hint="eastAsia" w:cs="Arial" w:asciiTheme="minorEastAsia" w:hAnsiTheme="minorEastAsia" w:eastAsiaTheme="minorEastAsia"/>
          <w:color w:val="auto"/>
          <w:kern w:val="0"/>
          <w:sz w:val="22"/>
          <w:szCs w:val="22"/>
          <w:lang w:val="en-US" w:eastAsia="zh-CN" w:bidi="zh-CN"/>
        </w:rPr>
        <w:t>50</w:t>
      </w:r>
      <w:r>
        <w:rPr>
          <w:rFonts w:hint="eastAsia" w:cs="Arial" w:asciiTheme="minorEastAsia" w:hAnsiTheme="minorEastAsia" w:eastAsiaTheme="minorEastAsia"/>
          <w:color w:val="auto"/>
          <w:kern w:val="0"/>
          <w:sz w:val="22"/>
          <w:szCs w:val="22"/>
          <w:lang w:val="zh-CN" w:eastAsia="zh-CN" w:bidi="zh-CN"/>
        </w:rPr>
        <w:t>％。</w:t>
      </w:r>
      <w:r>
        <w:rPr>
          <w:rFonts w:hint="eastAsia" w:cs="Arial" w:asciiTheme="minorEastAsia" w:hAnsiTheme="minorEastAsia" w:eastAsiaTheme="minorEastAsia"/>
          <w:color w:val="auto"/>
          <w:kern w:val="0"/>
          <w:sz w:val="22"/>
          <w:szCs w:val="22"/>
          <w:lang w:val="en-US" w:eastAsia="zh-CN" w:bidi="zh-CN"/>
        </w:rPr>
        <w:t>中小企业合同供应商应</w:t>
      </w:r>
      <w:r>
        <w:rPr>
          <w:rFonts w:hint="eastAsia" w:cs="Arial" w:asciiTheme="minorEastAsia" w:hAnsiTheme="minorEastAsia" w:eastAsiaTheme="minorEastAsia"/>
          <w:color w:val="auto"/>
          <w:kern w:val="0"/>
          <w:sz w:val="22"/>
          <w:szCs w:val="22"/>
          <w:lang w:val="zh-CN" w:eastAsia="zh-CN" w:bidi="zh-CN"/>
        </w:rPr>
        <w:t>提交银行、保险公司等金融机构出具的预付款保函或其他担保措施。</w:t>
      </w:r>
    </w:p>
    <w:p w14:paraId="464EF2FB">
      <w:pPr>
        <w:pStyle w:val="69"/>
        <w:keepNext w:val="0"/>
        <w:keepLines w:val="0"/>
        <w:pageBreakBefore w:val="0"/>
        <w:widowControl w:val="0"/>
        <w:kinsoku/>
        <w:wordWrap w:val="0"/>
        <w:overflowPunct/>
        <w:topLinePunct w:val="0"/>
        <w:autoSpaceDE w:val="0"/>
        <w:autoSpaceDN w:val="0"/>
        <w:bidi w:val="0"/>
        <w:adjustRightInd/>
        <w:snapToGrid/>
        <w:spacing w:before="0" w:line="360" w:lineRule="auto"/>
        <w:ind w:firstLine="493" w:firstLineChars="0"/>
        <w:textAlignment w:val="auto"/>
        <w:rPr>
          <w:rFonts w:hint="eastAsia" w:cs="Arial" w:asciiTheme="minorEastAsia" w:hAnsiTheme="minorEastAsia" w:eastAsiaTheme="minorEastAsia"/>
          <w:color w:val="auto"/>
          <w:kern w:val="0"/>
          <w:sz w:val="22"/>
          <w:szCs w:val="22"/>
          <w:lang w:val="zh-CN" w:eastAsia="zh-CN" w:bidi="zh-CN"/>
        </w:rPr>
      </w:pPr>
      <w:r>
        <w:rPr>
          <w:rFonts w:hint="eastAsia" w:cs="Arial" w:asciiTheme="minorEastAsia" w:hAnsiTheme="minorEastAsia" w:eastAsiaTheme="minorEastAsia"/>
          <w:color w:val="auto"/>
          <w:kern w:val="0"/>
          <w:sz w:val="22"/>
          <w:szCs w:val="22"/>
          <w:lang w:val="en-US" w:eastAsia="zh-CN" w:bidi="zh-CN"/>
        </w:rPr>
        <w:t>供应商提交预付款保函或其他担保方式操作流程：</w:t>
      </w:r>
      <w:r>
        <w:rPr>
          <w:rFonts w:hint="eastAsia" w:cs="Arial" w:asciiTheme="minorEastAsia" w:hAnsiTheme="minorEastAsia" w:eastAsiaTheme="minorEastAsia"/>
          <w:color w:val="auto"/>
          <w:kern w:val="0"/>
          <w:sz w:val="22"/>
          <w:szCs w:val="22"/>
          <w:lang w:val="zh-CN" w:eastAsia="zh-CN" w:bidi="zh-CN"/>
        </w:rPr>
        <w:t>登录政采云前台大厅选择金融服务（http://jinrong.zcygov.cn） - 【保函保险服务】出具预付款保函，具体步骤：选择产品—填写供应商信息—选择中标项目—确认信息—等待保险/保函受理—确认保单—支付保费—成功出单。政采云金融专线</w:t>
      </w:r>
      <w:r>
        <w:rPr>
          <w:rFonts w:hint="eastAsia" w:cs="Arial" w:asciiTheme="minorEastAsia" w:hAnsiTheme="minorEastAsia" w:eastAsiaTheme="minorEastAsia"/>
          <w:color w:val="auto"/>
          <w:kern w:val="0"/>
          <w:sz w:val="22"/>
          <w:szCs w:val="22"/>
          <w:lang w:val="en-US" w:eastAsia="zh-CN" w:bidi="zh-CN"/>
        </w:rPr>
        <w:t>95763</w:t>
      </w:r>
      <w:r>
        <w:rPr>
          <w:rFonts w:hint="eastAsia" w:cs="Arial" w:asciiTheme="minorEastAsia" w:hAnsiTheme="minorEastAsia" w:eastAsiaTheme="minorEastAsia"/>
          <w:color w:val="auto"/>
          <w:kern w:val="0"/>
          <w:sz w:val="22"/>
          <w:szCs w:val="22"/>
          <w:lang w:val="zh-CN" w:eastAsia="zh-CN" w:bidi="zh-CN"/>
        </w:rPr>
        <w:t>。</w:t>
      </w:r>
    </w:p>
    <w:p w14:paraId="7A6DF7B7">
      <w:pPr>
        <w:pStyle w:val="12"/>
        <w:spacing w:line="360" w:lineRule="auto"/>
        <w:rPr>
          <w:rFonts w:hint="eastAsia" w:ascii="宋体" w:hAnsi="宋体" w:eastAsia="宋体" w:cs="宋体"/>
          <w:color w:val="auto"/>
          <w:sz w:val="11"/>
          <w:szCs w:val="11"/>
          <w:lang w:val="en-US"/>
        </w:rPr>
      </w:pPr>
    </w:p>
    <w:p w14:paraId="351EF04E">
      <w:pPr>
        <w:adjustRightInd/>
        <w:spacing w:line="360" w:lineRule="auto"/>
        <w:jc w:val="center"/>
        <w:outlineLvl w:val="0"/>
        <w:rPr>
          <w:rFonts w:asciiTheme="minorEastAsia" w:hAnsiTheme="minorEastAsia" w:eastAsiaTheme="minorEastAsia"/>
          <w:b/>
          <w:color w:val="auto"/>
          <w:sz w:val="28"/>
          <w:szCs w:val="28"/>
        </w:rPr>
      </w:pPr>
      <w:r>
        <w:rPr>
          <w:rFonts w:hint="eastAsia" w:cs="仿宋_GB2312" w:asciiTheme="minorEastAsia" w:hAnsiTheme="minorEastAsia" w:eastAsiaTheme="minorEastAsia"/>
          <w:b/>
          <w:color w:val="auto"/>
          <w:sz w:val="28"/>
          <w:szCs w:val="21"/>
          <w:lang w:val="en-US" w:eastAsia="zh-CN"/>
        </w:rPr>
        <w:t>八</w:t>
      </w:r>
      <w:r>
        <w:rPr>
          <w:rFonts w:hint="eastAsia" w:cs="仿宋_GB2312" w:asciiTheme="minorEastAsia" w:hAnsiTheme="minorEastAsia" w:eastAsiaTheme="minorEastAsia"/>
          <w:b/>
          <w:color w:val="auto"/>
          <w:sz w:val="28"/>
          <w:szCs w:val="18"/>
        </w:rPr>
        <w:t>、电子交易活动的中止</w:t>
      </w:r>
    </w:p>
    <w:p w14:paraId="161B3D0A">
      <w:pPr>
        <w:pStyle w:val="3"/>
        <w:snapToGrid w:val="0"/>
        <w:spacing w:line="360" w:lineRule="auto"/>
        <w:rPr>
          <w:rFonts w:hint="eastAsia" w:cs="仿宋_GB2312" w:asciiTheme="minorEastAsia" w:hAnsiTheme="minorEastAsia" w:eastAsiaTheme="minorEastAsia"/>
          <w:color w:val="auto"/>
          <w:sz w:val="22"/>
          <w:szCs w:val="22"/>
        </w:rPr>
      </w:pPr>
      <w:r>
        <w:rPr>
          <w:rFonts w:hint="eastAsia" w:cs="仿宋_GB2312" w:asciiTheme="minorEastAsia" w:hAnsiTheme="minorEastAsia" w:eastAsiaTheme="minorEastAsia"/>
          <w:b/>
          <w:bCs/>
          <w:color w:val="auto"/>
          <w:sz w:val="22"/>
          <w:szCs w:val="22"/>
        </w:rPr>
        <w:t>28. 电子交易活动的中止。</w:t>
      </w:r>
      <w:r>
        <w:rPr>
          <w:rFonts w:hint="eastAsia" w:cs="仿宋_GB2312" w:asciiTheme="minorEastAsia" w:hAnsiTheme="minorEastAsia" w:eastAsiaTheme="minorEastAsia"/>
          <w:color w:val="auto"/>
          <w:sz w:val="22"/>
          <w:szCs w:val="22"/>
        </w:rPr>
        <w:t>采购过程中出现以下情形，导致电子交易平台无法正常运行，或者无法保证电子交易的公平、公正和安全时，采购代理机构可中止电子交易活动：</w:t>
      </w:r>
    </w:p>
    <w:p w14:paraId="3E35D2E8">
      <w:pPr>
        <w:pStyle w:val="3"/>
        <w:snapToGrid w:val="0"/>
        <w:spacing w:line="360" w:lineRule="auto"/>
        <w:ind w:firstLine="440" w:firstLineChars="200"/>
        <w:rPr>
          <w:rFonts w:hint="eastAsia"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28.1</w:t>
      </w:r>
      <w:r>
        <w:rPr>
          <w:rFonts w:hint="eastAsia" w:cs="仿宋_GB2312" w:asciiTheme="minorEastAsia" w:hAnsiTheme="minorEastAsia" w:eastAsiaTheme="minorEastAsia"/>
          <w:color w:val="auto"/>
          <w:sz w:val="22"/>
          <w:szCs w:val="22"/>
          <w:lang w:val="en-US" w:eastAsia="zh-CN"/>
        </w:rPr>
        <w:t xml:space="preserve"> </w:t>
      </w:r>
      <w:r>
        <w:rPr>
          <w:rFonts w:hint="eastAsia" w:cs="仿宋_GB2312" w:asciiTheme="minorEastAsia" w:hAnsiTheme="minorEastAsia" w:eastAsiaTheme="minorEastAsia"/>
          <w:color w:val="auto"/>
          <w:sz w:val="22"/>
          <w:szCs w:val="22"/>
        </w:rPr>
        <w:t xml:space="preserve">电子交易平台发生故障而无法登录访问的； </w:t>
      </w:r>
    </w:p>
    <w:p w14:paraId="0B9A6F32">
      <w:pPr>
        <w:pStyle w:val="3"/>
        <w:snapToGrid w:val="0"/>
        <w:spacing w:line="360" w:lineRule="auto"/>
        <w:ind w:firstLine="440" w:firstLineChars="200"/>
        <w:rPr>
          <w:rFonts w:hint="eastAsia"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28.2</w:t>
      </w:r>
      <w:r>
        <w:rPr>
          <w:rFonts w:hint="eastAsia" w:cs="仿宋_GB2312" w:asciiTheme="minorEastAsia" w:hAnsiTheme="minorEastAsia" w:eastAsiaTheme="minorEastAsia"/>
          <w:color w:val="auto"/>
          <w:sz w:val="22"/>
          <w:szCs w:val="22"/>
          <w:lang w:val="en-US" w:eastAsia="zh-CN"/>
        </w:rPr>
        <w:t xml:space="preserve"> </w:t>
      </w:r>
      <w:r>
        <w:rPr>
          <w:rFonts w:hint="eastAsia" w:cs="仿宋_GB2312" w:asciiTheme="minorEastAsia" w:hAnsiTheme="minorEastAsia" w:eastAsiaTheme="minorEastAsia"/>
          <w:color w:val="auto"/>
          <w:sz w:val="22"/>
          <w:szCs w:val="22"/>
        </w:rPr>
        <w:t>电子交易平台应用或数据库出现错误，不能进行正常操作的；</w:t>
      </w:r>
    </w:p>
    <w:p w14:paraId="3C553681">
      <w:pPr>
        <w:pStyle w:val="3"/>
        <w:snapToGrid w:val="0"/>
        <w:spacing w:line="360" w:lineRule="auto"/>
        <w:ind w:firstLine="440" w:firstLineChars="200"/>
        <w:rPr>
          <w:rFonts w:hint="eastAsia"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28.3</w:t>
      </w:r>
      <w:r>
        <w:rPr>
          <w:rFonts w:hint="eastAsia" w:cs="仿宋_GB2312" w:asciiTheme="minorEastAsia" w:hAnsiTheme="minorEastAsia" w:eastAsiaTheme="minorEastAsia"/>
          <w:color w:val="auto"/>
          <w:sz w:val="22"/>
          <w:szCs w:val="22"/>
          <w:lang w:val="en-US" w:eastAsia="zh-CN"/>
        </w:rPr>
        <w:t xml:space="preserve"> </w:t>
      </w:r>
      <w:r>
        <w:rPr>
          <w:rFonts w:hint="eastAsia" w:cs="仿宋_GB2312" w:asciiTheme="minorEastAsia" w:hAnsiTheme="minorEastAsia" w:eastAsiaTheme="minorEastAsia"/>
          <w:color w:val="auto"/>
          <w:sz w:val="22"/>
          <w:szCs w:val="22"/>
        </w:rPr>
        <w:t>电子交易平台发现严重安全漏洞，有潜在泄密危险的；</w:t>
      </w:r>
    </w:p>
    <w:p w14:paraId="45720919">
      <w:pPr>
        <w:pStyle w:val="3"/>
        <w:snapToGrid w:val="0"/>
        <w:spacing w:line="360" w:lineRule="auto"/>
        <w:ind w:firstLine="440" w:firstLineChars="200"/>
        <w:rPr>
          <w:rFonts w:hint="eastAsia"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28.4</w:t>
      </w:r>
      <w:r>
        <w:rPr>
          <w:rFonts w:hint="eastAsia" w:cs="仿宋_GB2312" w:asciiTheme="minorEastAsia" w:hAnsiTheme="minorEastAsia" w:eastAsiaTheme="minorEastAsia"/>
          <w:color w:val="auto"/>
          <w:sz w:val="22"/>
          <w:szCs w:val="22"/>
          <w:lang w:val="en-US" w:eastAsia="zh-CN"/>
        </w:rPr>
        <w:t xml:space="preserve"> </w:t>
      </w:r>
      <w:r>
        <w:rPr>
          <w:rFonts w:hint="eastAsia" w:cs="仿宋_GB2312" w:asciiTheme="minorEastAsia" w:hAnsiTheme="minorEastAsia" w:eastAsiaTheme="minorEastAsia"/>
          <w:color w:val="auto"/>
          <w:sz w:val="22"/>
          <w:szCs w:val="22"/>
        </w:rPr>
        <w:t xml:space="preserve">病毒发作导致不能进行正常操作的； </w:t>
      </w:r>
    </w:p>
    <w:p w14:paraId="166A8698">
      <w:pPr>
        <w:pStyle w:val="3"/>
        <w:snapToGrid w:val="0"/>
        <w:spacing w:line="360" w:lineRule="auto"/>
        <w:ind w:firstLine="440" w:firstLineChars="200"/>
        <w:rPr>
          <w:rFonts w:hint="eastAsia"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28.5</w:t>
      </w:r>
      <w:r>
        <w:rPr>
          <w:rFonts w:hint="eastAsia" w:cs="仿宋_GB2312" w:asciiTheme="minorEastAsia" w:hAnsiTheme="minorEastAsia" w:eastAsiaTheme="minorEastAsia"/>
          <w:color w:val="auto"/>
          <w:sz w:val="22"/>
          <w:szCs w:val="22"/>
          <w:lang w:val="en-US" w:eastAsia="zh-CN"/>
        </w:rPr>
        <w:t xml:space="preserve"> </w:t>
      </w:r>
      <w:r>
        <w:rPr>
          <w:rFonts w:hint="eastAsia" w:cs="仿宋_GB2312" w:asciiTheme="minorEastAsia" w:hAnsiTheme="minorEastAsia" w:eastAsiaTheme="minorEastAsia"/>
          <w:color w:val="auto"/>
          <w:sz w:val="22"/>
          <w:szCs w:val="22"/>
        </w:rPr>
        <w:t>其他无法保证电子交易的公平、公正和安全的情况。</w:t>
      </w:r>
    </w:p>
    <w:p w14:paraId="573B4615">
      <w:pPr>
        <w:pStyle w:val="3"/>
        <w:snapToGrid w:val="0"/>
        <w:spacing w:line="360" w:lineRule="auto"/>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b/>
          <w:bCs/>
          <w:color w:val="auto"/>
          <w:sz w:val="22"/>
          <w:szCs w:val="22"/>
        </w:rPr>
        <w:t>29.</w:t>
      </w:r>
      <w:r>
        <w:rPr>
          <w:rFonts w:hint="eastAsia" w:cs="仿宋_GB2312" w:asciiTheme="minorEastAsia" w:hAnsiTheme="minorEastAsia" w:eastAsiaTheme="minorEastAsia"/>
          <w:b/>
          <w:bCs/>
          <w:color w:val="auto"/>
          <w:sz w:val="22"/>
          <w:szCs w:val="22"/>
          <w:lang w:val="en-US" w:eastAsia="zh-CN"/>
        </w:rPr>
        <w:t xml:space="preserve"> </w:t>
      </w:r>
      <w:r>
        <w:rPr>
          <w:rFonts w:hint="eastAsia" w:cs="仿宋_GB2312" w:asciiTheme="minorEastAsia" w:hAnsiTheme="minorEastAsia" w:eastAsiaTheme="minorEastAsia"/>
          <w:color w:val="auto"/>
          <w:sz w:val="22"/>
          <w:szCs w:val="22"/>
        </w:rPr>
        <w:t>出现以上情形，不影响采购公平、公正性的，采购组织机构可以待上述情形消除后继续组织电子交易活动，也可以决定某些环节以纸质形式进行；影响或可能影响采购公平、公正性的，应当重新采购。</w:t>
      </w:r>
    </w:p>
    <w:p w14:paraId="30E3CBCE">
      <w:pPr>
        <w:pStyle w:val="12"/>
        <w:spacing w:line="360" w:lineRule="auto"/>
        <w:rPr>
          <w:rFonts w:hint="eastAsia" w:ascii="宋体" w:hAnsi="宋体" w:eastAsia="宋体" w:cs="宋体"/>
          <w:color w:val="auto"/>
          <w:sz w:val="11"/>
          <w:szCs w:val="11"/>
          <w:lang w:val="en-US"/>
        </w:rPr>
      </w:pPr>
    </w:p>
    <w:p w14:paraId="6BA07D47">
      <w:pPr>
        <w:adjustRightInd/>
        <w:spacing w:line="360" w:lineRule="auto"/>
        <w:jc w:val="center"/>
        <w:outlineLvl w:val="0"/>
        <w:rPr>
          <w:rFonts w:hint="eastAsia" w:cs="仿宋_GB2312" w:asciiTheme="minorEastAsia" w:hAnsiTheme="minorEastAsia" w:eastAsiaTheme="minorEastAsia"/>
          <w:b/>
          <w:color w:val="auto"/>
          <w:sz w:val="28"/>
          <w:szCs w:val="21"/>
          <w:lang w:eastAsia="zh-CN"/>
        </w:rPr>
      </w:pPr>
      <w:r>
        <w:rPr>
          <w:rFonts w:hint="eastAsia" w:cs="仿宋_GB2312" w:asciiTheme="minorEastAsia" w:hAnsiTheme="minorEastAsia" w:eastAsiaTheme="minorEastAsia"/>
          <w:b/>
          <w:color w:val="auto"/>
          <w:sz w:val="28"/>
          <w:szCs w:val="18"/>
          <w:lang w:val="en-US" w:eastAsia="zh-CN"/>
        </w:rPr>
        <w:t>九</w:t>
      </w:r>
      <w:r>
        <w:rPr>
          <w:rFonts w:hint="eastAsia" w:cs="仿宋_GB2312" w:asciiTheme="minorEastAsia" w:hAnsiTheme="minorEastAsia" w:eastAsiaTheme="minorEastAsia"/>
          <w:b/>
          <w:color w:val="auto"/>
          <w:sz w:val="28"/>
          <w:szCs w:val="18"/>
        </w:rPr>
        <w:t>、</w:t>
      </w:r>
      <w:r>
        <w:rPr>
          <w:rFonts w:hint="eastAsia" w:asciiTheme="minorEastAsia" w:hAnsiTheme="minorEastAsia" w:eastAsiaTheme="minorEastAsia"/>
          <w:b/>
          <w:color w:val="auto"/>
          <w:sz w:val="28"/>
          <w:szCs w:val="28"/>
          <w:lang w:val="en-US" w:eastAsia="zh-CN"/>
        </w:rPr>
        <w:t>验收</w:t>
      </w:r>
    </w:p>
    <w:p w14:paraId="1B4A08DA">
      <w:pPr>
        <w:pStyle w:val="69"/>
        <w:spacing w:before="0"/>
        <w:ind w:firstLine="0" w:firstLineChars="0"/>
        <w:rPr>
          <w:rFonts w:hint="eastAsia" w:cs="仿宋_GB2312" w:asciiTheme="minorEastAsia" w:hAnsiTheme="minorEastAsia" w:eastAsiaTheme="minorEastAsia"/>
          <w:b/>
          <w:bCs/>
          <w:color w:val="auto"/>
          <w:sz w:val="22"/>
          <w:szCs w:val="18"/>
          <w:lang w:val="en-US" w:eastAsia="zh-CN"/>
        </w:rPr>
      </w:pPr>
      <w:r>
        <w:rPr>
          <w:rFonts w:hint="eastAsia" w:cs="仿宋_GB2312" w:asciiTheme="minorEastAsia" w:hAnsiTheme="minorEastAsia" w:eastAsiaTheme="minorEastAsia"/>
          <w:b/>
          <w:bCs/>
          <w:color w:val="auto"/>
          <w:sz w:val="22"/>
          <w:szCs w:val="18"/>
          <w:lang w:val="en-US" w:eastAsia="zh-CN"/>
        </w:rPr>
        <w:t>30</w:t>
      </w:r>
      <w:r>
        <w:rPr>
          <w:rFonts w:hint="eastAsia" w:cs="仿宋_GB2312" w:asciiTheme="minorEastAsia" w:hAnsiTheme="minorEastAsia" w:eastAsiaTheme="minorEastAsia"/>
          <w:b/>
          <w:bCs/>
          <w:color w:val="auto"/>
          <w:sz w:val="22"/>
          <w:szCs w:val="18"/>
        </w:rPr>
        <w:t xml:space="preserve">. </w:t>
      </w:r>
      <w:r>
        <w:rPr>
          <w:rFonts w:hint="eastAsia" w:cs="仿宋_GB2312" w:asciiTheme="minorEastAsia" w:hAnsiTheme="minorEastAsia" w:eastAsiaTheme="minorEastAsia"/>
          <w:b/>
          <w:bCs/>
          <w:color w:val="auto"/>
          <w:sz w:val="22"/>
          <w:szCs w:val="18"/>
          <w:lang w:val="en-US" w:eastAsia="zh-CN"/>
        </w:rPr>
        <w:t>验收</w:t>
      </w:r>
    </w:p>
    <w:p w14:paraId="1567CEB9">
      <w:pPr>
        <w:pStyle w:val="69"/>
        <w:spacing w:before="0"/>
        <w:ind w:firstLine="440" w:firstLineChars="200"/>
        <w:rPr>
          <w:rFonts w:hint="eastAsia" w:cs="仿宋_GB2312" w:asciiTheme="minorEastAsia" w:hAnsiTheme="minorEastAsia" w:eastAsiaTheme="minorEastAsia"/>
          <w:color w:val="auto"/>
          <w:sz w:val="22"/>
          <w:szCs w:val="18"/>
        </w:rPr>
      </w:pPr>
      <w:r>
        <w:rPr>
          <w:rFonts w:hint="eastAsia" w:cs="仿宋_GB2312" w:asciiTheme="minorEastAsia" w:hAnsiTheme="minorEastAsia" w:eastAsiaTheme="minorEastAsia"/>
          <w:color w:val="auto"/>
          <w:sz w:val="22"/>
          <w:szCs w:val="18"/>
          <w:lang w:val="en-US" w:eastAsia="zh-CN"/>
        </w:rPr>
        <w:t xml:space="preserve">30.1 </w:t>
      </w:r>
      <w:r>
        <w:rPr>
          <w:rFonts w:hint="eastAsia" w:cs="仿宋_GB2312" w:asciiTheme="minorEastAsia" w:hAnsiTheme="minorEastAsia" w:eastAsiaTheme="minorEastAsia"/>
          <w:color w:val="auto"/>
          <w:sz w:val="22"/>
          <w:szCs w:val="18"/>
        </w:rPr>
        <w:t>采购人按照《温州市政府采购履约验收办法》（温财采〔2020〕6 号）规定组织对中标人履约的验收。验收方成员应当在验收书上签字，并承担相应的法律责任。如果发现与合同中要求不符，中标人须承担由此发生的一切损失和费用，并接受相应的处理。</w:t>
      </w:r>
    </w:p>
    <w:p w14:paraId="5E4C1137">
      <w:pPr>
        <w:pStyle w:val="69"/>
        <w:spacing w:before="0"/>
        <w:ind w:firstLine="440" w:firstLineChars="200"/>
        <w:rPr>
          <w:rFonts w:hint="eastAsia" w:cs="仿宋_GB2312" w:asciiTheme="minorEastAsia" w:hAnsiTheme="minorEastAsia" w:eastAsiaTheme="minorEastAsia"/>
          <w:color w:val="auto"/>
          <w:sz w:val="22"/>
          <w:szCs w:val="18"/>
        </w:rPr>
      </w:pPr>
      <w:r>
        <w:rPr>
          <w:rFonts w:hint="eastAsia" w:cs="仿宋_GB2312" w:asciiTheme="minorEastAsia" w:hAnsiTheme="minorEastAsia" w:eastAsiaTheme="minorEastAsia"/>
          <w:color w:val="auto"/>
          <w:sz w:val="22"/>
          <w:szCs w:val="18"/>
          <w:lang w:val="en-US" w:eastAsia="zh-CN"/>
        </w:rPr>
        <w:t>30.</w:t>
      </w:r>
      <w:r>
        <w:rPr>
          <w:rFonts w:hint="eastAsia" w:cs="仿宋_GB2312" w:asciiTheme="minorEastAsia" w:hAnsiTheme="minorEastAsia" w:eastAsiaTheme="minorEastAsia"/>
          <w:color w:val="auto"/>
          <w:sz w:val="22"/>
          <w:szCs w:val="18"/>
        </w:rPr>
        <w:t>2 严格按照采购合同开展履约验收。采购人委托第三方代理公司，组成采购人、专家等为成员的验收小组。按照采购合同的约定对供应商履约情况进行验收，验收时，按照采购合同的约定对每一服务的履约情况进行确认，出具验收报告并经验收小组全体成员签字。采购人根据验收报告形成验收意见并经采购人与中标人签字盖章，并在财政指定媒体上公示无异议后生效。验收结果与采购合同约定的资金支付挂钩。履约验收的各项资料应当存档备查。</w:t>
      </w:r>
    </w:p>
    <w:p w14:paraId="2A852A51">
      <w:pPr>
        <w:pStyle w:val="69"/>
        <w:spacing w:before="0"/>
        <w:ind w:firstLine="440" w:firstLineChars="200"/>
        <w:rPr>
          <w:rFonts w:hint="eastAsia" w:cs="仿宋_GB2312" w:asciiTheme="minorEastAsia" w:hAnsiTheme="minorEastAsia" w:eastAsiaTheme="minorEastAsia"/>
          <w:color w:val="auto"/>
          <w:sz w:val="22"/>
          <w:szCs w:val="18"/>
        </w:rPr>
      </w:pPr>
      <w:r>
        <w:rPr>
          <w:rFonts w:hint="eastAsia" w:cs="仿宋_GB2312" w:asciiTheme="minorEastAsia" w:hAnsiTheme="minorEastAsia" w:eastAsiaTheme="minorEastAsia"/>
          <w:color w:val="auto"/>
          <w:sz w:val="22"/>
          <w:szCs w:val="18"/>
          <w:lang w:val="en-US" w:eastAsia="zh-CN"/>
        </w:rPr>
        <w:t xml:space="preserve">30.3 </w:t>
      </w:r>
      <w:r>
        <w:rPr>
          <w:rFonts w:hint="eastAsia" w:cs="仿宋_GB2312" w:asciiTheme="minorEastAsia" w:hAnsiTheme="minorEastAsia" w:eastAsiaTheme="minorEastAsia"/>
          <w:color w:val="auto"/>
          <w:sz w:val="22"/>
          <w:szCs w:val="18"/>
        </w:rPr>
        <w:t>验收资料要求</w:t>
      </w:r>
    </w:p>
    <w:p w14:paraId="40B95253">
      <w:pPr>
        <w:pStyle w:val="69"/>
        <w:spacing w:before="0"/>
        <w:ind w:firstLine="440" w:firstLineChars="200"/>
        <w:rPr>
          <w:rFonts w:hint="eastAsia" w:cs="仿宋_GB2312" w:asciiTheme="minorEastAsia" w:hAnsiTheme="minorEastAsia" w:eastAsiaTheme="minorEastAsia"/>
          <w:color w:val="auto"/>
          <w:sz w:val="22"/>
          <w:szCs w:val="18"/>
        </w:rPr>
      </w:pPr>
      <w:r>
        <w:rPr>
          <w:rFonts w:hint="eastAsia" w:cs="仿宋_GB2312" w:asciiTheme="minorEastAsia" w:hAnsiTheme="minorEastAsia" w:eastAsiaTheme="minorEastAsia"/>
          <w:color w:val="auto"/>
          <w:sz w:val="22"/>
          <w:szCs w:val="18"/>
        </w:rPr>
        <w:t>验收资料要求包括（不限于）以下内容：</w:t>
      </w:r>
    </w:p>
    <w:p w14:paraId="54E86622">
      <w:pPr>
        <w:pStyle w:val="69"/>
        <w:numPr>
          <w:ilvl w:val="0"/>
          <w:numId w:val="0"/>
        </w:numPr>
        <w:spacing w:before="0"/>
        <w:ind w:firstLine="880" w:firstLineChars="400"/>
        <w:rPr>
          <w:rFonts w:hint="eastAsia" w:cs="仿宋_GB2312" w:asciiTheme="minorEastAsia" w:hAnsiTheme="minorEastAsia" w:eastAsiaTheme="minorEastAsia"/>
          <w:color w:val="auto"/>
          <w:sz w:val="22"/>
          <w:szCs w:val="18"/>
        </w:rPr>
      </w:pPr>
      <w:r>
        <w:rPr>
          <w:rFonts w:hint="eastAsia" w:cs="仿宋_GB2312" w:asciiTheme="minorEastAsia" w:hAnsiTheme="minorEastAsia" w:eastAsiaTheme="minorEastAsia"/>
          <w:color w:val="auto"/>
          <w:sz w:val="22"/>
          <w:szCs w:val="18"/>
          <w:lang w:val="zh-CN" w:eastAsia="zh-CN" w:bidi="zh-CN"/>
        </w:rPr>
        <w:t>(1)</w:t>
      </w:r>
      <w:r>
        <w:rPr>
          <w:rFonts w:hint="eastAsia" w:cs="仿宋_GB2312" w:asciiTheme="minorEastAsia" w:hAnsiTheme="minorEastAsia" w:eastAsiaTheme="minorEastAsia"/>
          <w:color w:val="auto"/>
          <w:sz w:val="22"/>
          <w:szCs w:val="18"/>
          <w:lang w:val="en-US" w:eastAsia="zh-CN"/>
        </w:rPr>
        <w:t>招标</w:t>
      </w:r>
      <w:r>
        <w:rPr>
          <w:rFonts w:hint="eastAsia" w:cs="仿宋_GB2312" w:asciiTheme="minorEastAsia" w:hAnsiTheme="minorEastAsia" w:eastAsiaTheme="minorEastAsia"/>
          <w:color w:val="auto"/>
          <w:sz w:val="22"/>
          <w:szCs w:val="18"/>
        </w:rPr>
        <w:t>文件；</w:t>
      </w:r>
    </w:p>
    <w:p w14:paraId="2B1FC9A4">
      <w:pPr>
        <w:pStyle w:val="69"/>
        <w:numPr>
          <w:ilvl w:val="0"/>
          <w:numId w:val="0"/>
        </w:numPr>
        <w:spacing w:before="0"/>
        <w:ind w:firstLine="880" w:firstLineChars="400"/>
        <w:rPr>
          <w:rFonts w:hint="eastAsia" w:cs="仿宋_GB2312" w:asciiTheme="minorEastAsia" w:hAnsiTheme="minorEastAsia" w:eastAsiaTheme="minorEastAsia"/>
          <w:color w:val="auto"/>
          <w:sz w:val="22"/>
          <w:szCs w:val="18"/>
        </w:rPr>
      </w:pPr>
      <w:r>
        <w:rPr>
          <w:rFonts w:hint="eastAsia" w:cs="仿宋_GB2312" w:asciiTheme="minorEastAsia" w:hAnsiTheme="minorEastAsia" w:eastAsiaTheme="minorEastAsia"/>
          <w:color w:val="auto"/>
          <w:sz w:val="22"/>
          <w:szCs w:val="18"/>
        </w:rPr>
        <w:t>(2)投标文件；</w:t>
      </w:r>
    </w:p>
    <w:p w14:paraId="310757EE">
      <w:pPr>
        <w:pStyle w:val="69"/>
        <w:numPr>
          <w:ilvl w:val="0"/>
          <w:numId w:val="0"/>
        </w:numPr>
        <w:spacing w:before="0"/>
        <w:ind w:firstLine="880" w:firstLineChars="400"/>
        <w:rPr>
          <w:rFonts w:hint="eastAsia" w:cs="仿宋_GB2312" w:asciiTheme="minorEastAsia" w:hAnsiTheme="minorEastAsia" w:eastAsiaTheme="minorEastAsia"/>
          <w:color w:val="auto"/>
          <w:sz w:val="22"/>
          <w:szCs w:val="18"/>
        </w:rPr>
      </w:pPr>
      <w:r>
        <w:rPr>
          <w:rFonts w:hint="eastAsia" w:cs="仿宋_GB2312" w:asciiTheme="minorEastAsia" w:hAnsiTheme="minorEastAsia" w:eastAsiaTheme="minorEastAsia"/>
          <w:color w:val="auto"/>
          <w:sz w:val="22"/>
          <w:szCs w:val="18"/>
        </w:rPr>
        <w:t>(3)采购合同；</w:t>
      </w:r>
    </w:p>
    <w:p w14:paraId="187B3F98">
      <w:pPr>
        <w:pStyle w:val="69"/>
        <w:numPr>
          <w:ilvl w:val="0"/>
          <w:numId w:val="0"/>
        </w:numPr>
        <w:spacing w:before="0"/>
        <w:ind w:firstLine="880" w:firstLineChars="400"/>
        <w:rPr>
          <w:rFonts w:hint="eastAsia" w:cs="仿宋_GB2312" w:asciiTheme="minorEastAsia" w:hAnsiTheme="minorEastAsia" w:eastAsiaTheme="minorEastAsia"/>
          <w:color w:val="auto"/>
          <w:sz w:val="22"/>
          <w:szCs w:val="18"/>
        </w:rPr>
      </w:pPr>
      <w:r>
        <w:rPr>
          <w:rFonts w:hint="eastAsia" w:cs="仿宋_GB2312" w:asciiTheme="minorEastAsia" w:hAnsiTheme="minorEastAsia" w:eastAsiaTheme="minorEastAsia"/>
          <w:color w:val="auto"/>
          <w:sz w:val="22"/>
          <w:szCs w:val="18"/>
        </w:rPr>
        <w:t>(4)服务资料（如</w:t>
      </w:r>
      <w:r>
        <w:rPr>
          <w:rFonts w:hint="eastAsia" w:cs="仿宋_GB2312" w:asciiTheme="minorEastAsia" w:hAnsiTheme="minorEastAsia" w:eastAsiaTheme="minorEastAsia"/>
          <w:color w:val="auto"/>
          <w:sz w:val="22"/>
          <w:szCs w:val="18"/>
          <w:lang w:val="en-US" w:eastAsia="zh-CN"/>
        </w:rPr>
        <w:t>家庭床位建设</w:t>
      </w:r>
      <w:r>
        <w:rPr>
          <w:rFonts w:hint="eastAsia" w:cs="仿宋_GB2312" w:asciiTheme="minorEastAsia" w:hAnsiTheme="minorEastAsia" w:eastAsiaTheme="minorEastAsia"/>
          <w:color w:val="auto"/>
          <w:sz w:val="22"/>
          <w:szCs w:val="18"/>
        </w:rPr>
        <w:t>、</w:t>
      </w:r>
      <w:r>
        <w:rPr>
          <w:rFonts w:hint="eastAsia" w:cs="仿宋_GB2312" w:asciiTheme="minorEastAsia" w:hAnsiTheme="minorEastAsia" w:eastAsiaTheme="minorEastAsia"/>
          <w:color w:val="auto"/>
          <w:sz w:val="22"/>
          <w:szCs w:val="18"/>
          <w:lang w:val="en-US" w:eastAsia="zh-CN"/>
        </w:rPr>
        <w:t>管理系统资料</w:t>
      </w:r>
      <w:r>
        <w:rPr>
          <w:rFonts w:hint="eastAsia" w:cs="仿宋_GB2312" w:asciiTheme="minorEastAsia" w:hAnsiTheme="minorEastAsia" w:eastAsiaTheme="minorEastAsia"/>
          <w:color w:val="auto"/>
          <w:sz w:val="22"/>
          <w:szCs w:val="18"/>
        </w:rPr>
        <w:t>、</w:t>
      </w:r>
      <w:r>
        <w:rPr>
          <w:rFonts w:hint="eastAsia" w:cs="仿宋_GB2312" w:asciiTheme="minorEastAsia" w:hAnsiTheme="minorEastAsia" w:eastAsiaTheme="minorEastAsia"/>
          <w:color w:val="auto"/>
          <w:sz w:val="22"/>
          <w:szCs w:val="18"/>
          <w:lang w:val="en-US" w:eastAsia="zh-CN"/>
        </w:rPr>
        <w:t>呼叫中心建立情况、居家养老</w:t>
      </w:r>
      <w:r>
        <w:rPr>
          <w:rFonts w:hint="eastAsia" w:cs="仿宋_GB2312" w:asciiTheme="minorEastAsia" w:hAnsiTheme="minorEastAsia" w:eastAsiaTheme="minorEastAsia"/>
          <w:color w:val="auto"/>
          <w:sz w:val="22"/>
          <w:szCs w:val="18"/>
        </w:rPr>
        <w:t>服务记录</w:t>
      </w:r>
      <w:r>
        <w:rPr>
          <w:rFonts w:hint="eastAsia" w:cs="仿宋_GB2312" w:asciiTheme="minorEastAsia" w:hAnsiTheme="minorEastAsia" w:eastAsiaTheme="minorEastAsia"/>
          <w:color w:val="auto"/>
          <w:sz w:val="22"/>
          <w:szCs w:val="18"/>
          <w:lang w:eastAsia="zh-CN"/>
        </w:rPr>
        <w:t>、</w:t>
      </w:r>
      <w:r>
        <w:rPr>
          <w:rFonts w:hint="eastAsia" w:ascii="宋体" w:hAnsi="宋体" w:eastAsia="宋体" w:cs="宋体"/>
          <w:b w:val="0"/>
          <w:color w:val="auto"/>
          <w:sz w:val="22"/>
          <w:szCs w:val="22"/>
        </w:rPr>
        <w:t>服务满意程度</w:t>
      </w:r>
      <w:r>
        <w:rPr>
          <w:rFonts w:hint="eastAsia" w:cs="仿宋_GB2312" w:asciiTheme="minorEastAsia" w:hAnsiTheme="minorEastAsia" w:eastAsiaTheme="minorEastAsia"/>
          <w:color w:val="auto"/>
          <w:sz w:val="22"/>
          <w:szCs w:val="18"/>
        </w:rPr>
        <w:t>等）；</w:t>
      </w:r>
    </w:p>
    <w:p w14:paraId="13505DE0">
      <w:pPr>
        <w:pStyle w:val="69"/>
        <w:numPr>
          <w:ilvl w:val="0"/>
          <w:numId w:val="0"/>
        </w:numPr>
        <w:spacing w:before="0"/>
        <w:ind w:firstLine="880" w:firstLineChars="400"/>
        <w:rPr>
          <w:rFonts w:hint="eastAsia" w:cs="仿宋_GB2312" w:asciiTheme="minorEastAsia" w:hAnsiTheme="minorEastAsia" w:eastAsiaTheme="minorEastAsia"/>
          <w:color w:val="auto"/>
          <w:sz w:val="22"/>
          <w:szCs w:val="18"/>
        </w:rPr>
      </w:pPr>
      <w:r>
        <w:rPr>
          <w:rFonts w:hint="eastAsia" w:cs="仿宋_GB2312" w:asciiTheme="minorEastAsia" w:hAnsiTheme="minorEastAsia" w:eastAsiaTheme="minorEastAsia"/>
          <w:color w:val="auto"/>
          <w:sz w:val="22"/>
          <w:szCs w:val="18"/>
        </w:rPr>
        <w:t>(5)其他需提供的相关材料。</w:t>
      </w:r>
    </w:p>
    <w:p w14:paraId="039098C8">
      <w:pPr>
        <w:pStyle w:val="69"/>
        <w:spacing w:before="0"/>
        <w:ind w:firstLine="440" w:firstLineChars="200"/>
        <w:rPr>
          <w:rFonts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18"/>
          <w:lang w:val="en-US" w:eastAsia="zh-CN"/>
        </w:rPr>
        <w:t>30.</w:t>
      </w:r>
      <w:r>
        <w:rPr>
          <w:rFonts w:hint="eastAsia" w:cs="仿宋_GB2312" w:asciiTheme="minorEastAsia" w:hAnsiTheme="minorEastAsia" w:eastAsiaTheme="minorEastAsia"/>
          <w:color w:val="auto"/>
          <w:sz w:val="22"/>
          <w:szCs w:val="18"/>
        </w:rPr>
        <w:t>4 履约验收其他事项：验收合格的项目，采购人将根据采购合同的约定及时向中标人支付采购资金。验收不合格的项目，采购人将依法及时处理。</w:t>
      </w:r>
      <w:r>
        <w:rPr>
          <w:rFonts w:hint="eastAsia" w:cs="仿宋_GB2312" w:asciiTheme="minorEastAsia" w:hAnsiTheme="minorEastAsia" w:eastAsiaTheme="minorEastAsia"/>
          <w:b w:val="0"/>
          <w:bCs w:val="0"/>
          <w:color w:val="auto"/>
          <w:sz w:val="22"/>
          <w:szCs w:val="18"/>
          <w:lang w:val="en-US" w:eastAsia="zh-CN"/>
        </w:rPr>
        <w:t>履约验收费用由中标人承担。</w:t>
      </w:r>
      <w:r>
        <w:rPr>
          <w:rFonts w:hint="eastAsia" w:cs="仿宋_GB2312" w:asciiTheme="minorEastAsia" w:hAnsiTheme="minorEastAsia" w:eastAsiaTheme="minorEastAsia"/>
          <w:color w:val="auto"/>
          <w:sz w:val="22"/>
          <w:szCs w:val="18"/>
        </w:rPr>
        <w:t>采购合同的履行、违约责任和解决争议的方式等适用《中华人民共和国民法典》。</w:t>
      </w:r>
    </w:p>
    <w:p w14:paraId="3996F5C7">
      <w:pPr>
        <w:pStyle w:val="3"/>
        <w:spacing w:line="360" w:lineRule="auto"/>
        <w:rPr>
          <w:rFonts w:cs="仿宋_GB2312" w:asciiTheme="minorEastAsia" w:hAnsiTheme="minorEastAsia" w:eastAsiaTheme="minorEastAsia"/>
          <w:b/>
          <w:color w:val="auto"/>
          <w:sz w:val="22"/>
          <w:szCs w:val="22"/>
        </w:rPr>
      </w:pPr>
    </w:p>
    <w:p w14:paraId="2040A9AF">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266B5646">
      <w:pPr>
        <w:adjustRightInd/>
        <w:spacing w:line="360" w:lineRule="auto"/>
        <w:jc w:val="center"/>
        <w:outlineLvl w:val="0"/>
        <w:rPr>
          <w:rFonts w:cs="仿宋_GB2312" w:asciiTheme="minorEastAsia" w:hAnsiTheme="minorEastAsia" w:eastAsiaTheme="minorEastAsia"/>
          <w:b/>
          <w:color w:val="auto"/>
          <w:sz w:val="32"/>
          <w:szCs w:val="32"/>
        </w:rPr>
      </w:pPr>
      <w:bookmarkStart w:id="14" w:name="_Toc11457"/>
      <w:r>
        <w:rPr>
          <w:rFonts w:hint="eastAsia" w:cs="仿宋_GB2312" w:asciiTheme="minorEastAsia" w:hAnsiTheme="minorEastAsia" w:eastAsiaTheme="minorEastAsia"/>
          <w:b/>
          <w:color w:val="auto"/>
          <w:sz w:val="32"/>
          <w:szCs w:val="32"/>
        </w:rPr>
        <w:t>第</w:t>
      </w:r>
      <w:r>
        <w:rPr>
          <w:rFonts w:hint="eastAsia" w:cs="仿宋_GB2312" w:asciiTheme="minorEastAsia" w:hAnsiTheme="minorEastAsia" w:eastAsiaTheme="minorEastAsia"/>
          <w:b/>
          <w:color w:val="auto"/>
          <w:sz w:val="32"/>
          <w:szCs w:val="32"/>
          <w:lang w:val="en-US" w:eastAsia="zh-CN"/>
        </w:rPr>
        <w:t>三</w:t>
      </w:r>
      <w:r>
        <w:rPr>
          <w:rFonts w:hint="eastAsia" w:cs="仿宋_GB2312" w:asciiTheme="minorEastAsia" w:hAnsiTheme="minorEastAsia" w:eastAsiaTheme="minorEastAsia"/>
          <w:b/>
          <w:color w:val="auto"/>
          <w:sz w:val="32"/>
          <w:szCs w:val="32"/>
        </w:rPr>
        <w:t>部分  采购需求</w:t>
      </w:r>
    </w:p>
    <w:p w14:paraId="154B7AC8">
      <w:pPr>
        <w:spacing w:line="360" w:lineRule="auto"/>
        <w:ind w:firstLine="0" w:firstLineChars="0"/>
        <w:rPr>
          <w:rFonts w:hint="eastAsia" w:ascii="宋体" w:hAnsi="宋体" w:eastAsia="宋体" w:cs="宋体"/>
          <w:b/>
          <w:bCs/>
          <w:color w:val="auto"/>
          <w:sz w:val="24"/>
          <w:szCs w:val="24"/>
          <w:u w:val="none"/>
          <w:lang w:val="en-US" w:eastAsia="zh-CN"/>
        </w:rPr>
      </w:pPr>
    </w:p>
    <w:p w14:paraId="21DE8A9D">
      <w:pPr>
        <w:spacing w:line="360" w:lineRule="auto"/>
        <w:ind w:firstLine="0" w:firstLineChars="0"/>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一、项目简介</w:t>
      </w:r>
    </w:p>
    <w:p w14:paraId="17E50701">
      <w:pPr>
        <w:spacing w:line="360" w:lineRule="auto"/>
        <w:ind w:firstLine="440" w:firstLineChars="200"/>
        <w:rPr>
          <w:rFonts w:hint="default" w:ascii="宋体" w:hAnsi="宋体" w:eastAsia="宋体" w:cs="宋体"/>
          <w:color w:val="auto"/>
          <w:sz w:val="22"/>
          <w:szCs w:val="22"/>
          <w:u w:val="none"/>
          <w:lang w:val="en-US" w:eastAsia="zh-CN"/>
        </w:rPr>
      </w:pPr>
      <w:r>
        <w:rPr>
          <w:rFonts w:hint="eastAsia" w:ascii="宋体" w:hAnsi="宋体" w:eastAsia="宋体" w:cs="宋体"/>
          <w:color w:val="auto"/>
          <w:sz w:val="22"/>
          <w:szCs w:val="22"/>
          <w:u w:val="none"/>
        </w:rPr>
        <w:t>为</w:t>
      </w:r>
      <w:r>
        <w:rPr>
          <w:rFonts w:hint="eastAsia" w:cs="宋体"/>
          <w:color w:val="auto"/>
          <w:sz w:val="22"/>
          <w:szCs w:val="22"/>
          <w:u w:val="none"/>
          <w:lang w:val="en-US" w:eastAsia="zh-CN"/>
        </w:rPr>
        <w:t>深入贯彻</w:t>
      </w:r>
      <w:r>
        <w:rPr>
          <w:rFonts w:hint="eastAsia" w:ascii="宋体" w:hAnsi="宋体" w:eastAsia="宋体" w:cs="宋体"/>
          <w:color w:val="auto"/>
          <w:sz w:val="22"/>
          <w:szCs w:val="22"/>
          <w:u w:val="none"/>
        </w:rPr>
        <w:t>落实积极应对人口老龄化国家战略，</w:t>
      </w:r>
      <w:r>
        <w:rPr>
          <w:rFonts w:hint="eastAsia" w:cs="宋体"/>
          <w:color w:val="auto"/>
          <w:sz w:val="22"/>
          <w:szCs w:val="22"/>
          <w:u w:val="none"/>
          <w:lang w:val="en-US" w:eastAsia="zh-CN"/>
        </w:rPr>
        <w:t>不断满足我县老年人多层次、多样化的养老服务需求，切实改善老年人居家环境，</w:t>
      </w:r>
      <w:r>
        <w:rPr>
          <w:rFonts w:hint="eastAsia" w:ascii="宋体" w:hAnsi="宋体" w:eastAsia="宋体" w:cs="宋体"/>
          <w:color w:val="auto"/>
          <w:sz w:val="22"/>
          <w:szCs w:val="22"/>
          <w:u w:val="none"/>
        </w:rPr>
        <w:t>推进完善居家社区机构相协调、医养康养相结合的养老服务体系</w:t>
      </w:r>
      <w:r>
        <w:rPr>
          <w:rFonts w:hint="eastAsia" w:cs="宋体"/>
          <w:color w:val="auto"/>
          <w:sz w:val="22"/>
          <w:szCs w:val="22"/>
          <w:u w:val="none"/>
          <w:lang w:eastAsia="zh-CN"/>
        </w:rPr>
        <w:t>，</w:t>
      </w:r>
      <w:r>
        <w:rPr>
          <w:rFonts w:hint="eastAsia" w:cs="宋体"/>
          <w:color w:val="auto"/>
          <w:sz w:val="22"/>
          <w:szCs w:val="22"/>
          <w:u w:val="none"/>
          <w:lang w:val="en-US" w:eastAsia="zh-CN"/>
        </w:rPr>
        <w:t>根据《温州市民政局 温州市财政局关于印发温州市居家和社区基本养老服务提升行动项目实施方案》的通知（温民养〔2024〕69号）、《苍南县民政局 苍南县财政局印发关于全面推进全县老年人家庭适老化改造的实施意见》（苍民〔2024〕73号），采购人决定以政府购买服务形式采购本项目，我们热情欢迎有关公司（企业）前来投标。</w:t>
      </w:r>
    </w:p>
    <w:p w14:paraId="57596DB4">
      <w:pPr>
        <w:spacing w:line="360" w:lineRule="auto"/>
        <w:ind w:firstLine="0" w:firstLineChars="0"/>
        <w:rPr>
          <w:rFonts w:hint="eastAsia" w:ascii="宋体" w:hAnsi="宋体" w:eastAsia="宋体" w:cs="宋体"/>
          <w:b/>
          <w:bCs/>
          <w:color w:val="auto"/>
          <w:sz w:val="24"/>
          <w:szCs w:val="24"/>
          <w:u w:val="none"/>
          <w:lang w:val="en-US" w:eastAsia="zh-CN"/>
        </w:rPr>
      </w:pPr>
      <w:bookmarkStart w:id="15" w:name="_Hlk102058885"/>
      <w:r>
        <w:rPr>
          <w:rFonts w:hint="eastAsia" w:ascii="宋体" w:hAnsi="宋体" w:eastAsia="宋体" w:cs="宋体"/>
          <w:b/>
          <w:bCs/>
          <w:color w:val="auto"/>
          <w:sz w:val="24"/>
          <w:szCs w:val="24"/>
          <w:u w:val="none"/>
          <w:lang w:val="en-US" w:eastAsia="zh-CN"/>
        </w:rPr>
        <w:t>二、采购内容</w:t>
      </w:r>
    </w:p>
    <w:tbl>
      <w:tblPr>
        <w:tblStyle w:val="27"/>
        <w:tblW w:w="934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04"/>
        <w:gridCol w:w="2010"/>
        <w:gridCol w:w="2100"/>
        <w:gridCol w:w="4527"/>
      </w:tblGrid>
      <w:tr w14:paraId="1216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704" w:type="dxa"/>
            <w:tcBorders>
              <w:top w:val="single" w:color="auto" w:sz="4" w:space="0"/>
              <w:left w:val="single" w:color="auto" w:sz="4" w:space="0"/>
            </w:tcBorders>
            <w:shd w:val="clear" w:color="auto" w:fill="B6DDE8" w:themeFill="accent5" w:themeFillTint="66"/>
            <w:vAlign w:val="center"/>
          </w:tcPr>
          <w:p w14:paraId="75B672C4">
            <w:pPr>
              <w:spacing w:line="240" w:lineRule="auto"/>
              <w:jc w:val="center"/>
              <w:rPr>
                <w:rFonts w:hint="eastAsia" w:ascii="宋体" w:hAnsi="宋体" w:eastAsia="宋体" w:cs="宋体"/>
                <w:b/>
                <w:bCs/>
                <w:color w:val="auto"/>
                <w:sz w:val="22"/>
                <w:szCs w:val="22"/>
                <w:vertAlign w:val="baseline"/>
                <w:lang w:val="en-US" w:eastAsia="zh-CN"/>
              </w:rPr>
            </w:pPr>
            <w:r>
              <w:rPr>
                <w:rFonts w:hint="eastAsia" w:cs="宋体"/>
                <w:b/>
                <w:bCs/>
                <w:color w:val="auto"/>
                <w:sz w:val="22"/>
                <w:szCs w:val="22"/>
                <w:vertAlign w:val="baseline"/>
                <w:lang w:val="en-US" w:eastAsia="zh-CN"/>
              </w:rPr>
              <w:t>序号</w:t>
            </w:r>
          </w:p>
        </w:tc>
        <w:tc>
          <w:tcPr>
            <w:tcW w:w="2010" w:type="dxa"/>
            <w:tcBorders>
              <w:top w:val="single" w:color="auto" w:sz="4" w:space="0"/>
            </w:tcBorders>
            <w:shd w:val="clear" w:color="auto" w:fill="B6DDE8" w:themeFill="accent5" w:themeFillTint="66"/>
            <w:vAlign w:val="center"/>
          </w:tcPr>
          <w:p w14:paraId="69981398">
            <w:pPr>
              <w:spacing w:line="240" w:lineRule="auto"/>
              <w:jc w:val="center"/>
              <w:rPr>
                <w:rFonts w:hint="default" w:ascii="宋体" w:hAnsi="宋体" w:eastAsia="宋体" w:cs="宋体"/>
                <w:b/>
                <w:bCs/>
                <w:color w:val="auto"/>
                <w:sz w:val="22"/>
                <w:szCs w:val="22"/>
                <w:vertAlign w:val="baseline"/>
                <w:lang w:val="en-US" w:eastAsia="zh-CN"/>
              </w:rPr>
            </w:pPr>
            <w:r>
              <w:rPr>
                <w:rFonts w:hint="eastAsia" w:cs="宋体"/>
                <w:b/>
                <w:bCs/>
                <w:color w:val="auto"/>
                <w:sz w:val="22"/>
                <w:szCs w:val="22"/>
                <w:vertAlign w:val="baseline"/>
                <w:lang w:val="en-US" w:eastAsia="zh-CN"/>
              </w:rPr>
              <w:t>采购内容</w:t>
            </w:r>
          </w:p>
        </w:tc>
        <w:tc>
          <w:tcPr>
            <w:tcW w:w="2100" w:type="dxa"/>
            <w:tcBorders>
              <w:top w:val="single" w:color="auto" w:sz="4" w:space="0"/>
            </w:tcBorders>
            <w:shd w:val="clear" w:color="auto" w:fill="B6DDE8" w:themeFill="accent5" w:themeFillTint="66"/>
            <w:vAlign w:val="center"/>
          </w:tcPr>
          <w:p w14:paraId="32608FE5">
            <w:pPr>
              <w:spacing w:line="240" w:lineRule="auto"/>
              <w:jc w:val="center"/>
              <w:rPr>
                <w:rFonts w:hint="default" w:ascii="宋体" w:hAnsi="宋体" w:eastAsia="宋体" w:cs="宋体"/>
                <w:b/>
                <w:bCs/>
                <w:color w:val="auto"/>
                <w:sz w:val="22"/>
                <w:szCs w:val="22"/>
                <w:vertAlign w:val="baseline"/>
                <w:lang w:val="en-US" w:eastAsia="zh-CN"/>
              </w:rPr>
            </w:pPr>
            <w:r>
              <w:rPr>
                <w:rFonts w:hint="eastAsia" w:cs="宋体"/>
                <w:b/>
                <w:bCs/>
                <w:color w:val="auto"/>
                <w:sz w:val="22"/>
                <w:szCs w:val="22"/>
                <w:vertAlign w:val="baseline"/>
                <w:lang w:val="en-US" w:eastAsia="zh-CN"/>
              </w:rPr>
              <w:t>暂定数量</w:t>
            </w:r>
          </w:p>
        </w:tc>
        <w:tc>
          <w:tcPr>
            <w:tcW w:w="4527" w:type="dxa"/>
            <w:tcBorders>
              <w:top w:val="single" w:color="auto" w:sz="4" w:space="0"/>
              <w:right w:val="single" w:color="auto" w:sz="4" w:space="0"/>
            </w:tcBorders>
            <w:shd w:val="clear" w:color="auto" w:fill="B6DDE8" w:themeFill="accent5" w:themeFillTint="66"/>
            <w:vAlign w:val="center"/>
          </w:tcPr>
          <w:p w14:paraId="4178E8BA">
            <w:pPr>
              <w:spacing w:line="240" w:lineRule="auto"/>
              <w:jc w:val="center"/>
              <w:rPr>
                <w:rFonts w:hint="eastAsia" w:ascii="宋体" w:hAnsi="宋体" w:eastAsia="宋体" w:cs="宋体"/>
                <w:b/>
                <w:bCs/>
                <w:color w:val="auto"/>
                <w:sz w:val="22"/>
                <w:szCs w:val="22"/>
                <w:vertAlign w:val="baseline"/>
              </w:rPr>
            </w:pPr>
            <w:r>
              <w:rPr>
                <w:rFonts w:hint="eastAsia" w:cs="宋体"/>
                <w:b/>
                <w:bCs/>
                <w:color w:val="auto"/>
                <w:sz w:val="22"/>
                <w:szCs w:val="22"/>
                <w:vertAlign w:val="baseline"/>
                <w:lang w:val="en-US" w:eastAsia="zh-CN"/>
              </w:rPr>
              <w:t>简要要求</w:t>
            </w:r>
          </w:p>
        </w:tc>
      </w:tr>
      <w:tr w14:paraId="5910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704" w:type="dxa"/>
            <w:tcBorders>
              <w:left w:val="single" w:color="auto" w:sz="4" w:space="0"/>
            </w:tcBorders>
            <w:vAlign w:val="center"/>
          </w:tcPr>
          <w:p w14:paraId="74474848">
            <w:pPr>
              <w:spacing w:line="240" w:lineRule="auto"/>
              <w:jc w:val="center"/>
              <w:rPr>
                <w:rFonts w:hint="eastAsia" w:ascii="宋体" w:hAnsi="宋体" w:eastAsia="宋体" w:cs="宋体"/>
                <w:b w:val="0"/>
                <w:color w:val="auto"/>
                <w:sz w:val="21"/>
                <w:szCs w:val="21"/>
                <w:vertAlign w:val="baseline"/>
                <w:lang w:val="en-US" w:eastAsia="zh-CN"/>
              </w:rPr>
            </w:pPr>
            <w:r>
              <w:rPr>
                <w:rFonts w:hint="eastAsia" w:cs="宋体"/>
                <w:b w:val="0"/>
                <w:color w:val="auto"/>
                <w:sz w:val="21"/>
                <w:szCs w:val="21"/>
                <w:vertAlign w:val="baseline"/>
                <w:lang w:val="en-US" w:eastAsia="zh-CN"/>
              </w:rPr>
              <w:t>1</w:t>
            </w:r>
          </w:p>
        </w:tc>
        <w:tc>
          <w:tcPr>
            <w:tcW w:w="2010" w:type="dxa"/>
            <w:vAlign w:val="center"/>
          </w:tcPr>
          <w:p w14:paraId="47E38594">
            <w:pPr>
              <w:spacing w:line="240" w:lineRule="auto"/>
              <w:jc w:val="center"/>
              <w:rPr>
                <w:rFonts w:hint="eastAsia" w:ascii="宋体" w:hAnsi="宋体" w:eastAsia="宋体" w:cs="宋体"/>
                <w:b w:val="0"/>
                <w:color w:val="auto"/>
                <w:sz w:val="21"/>
                <w:szCs w:val="21"/>
                <w:vertAlign w:val="baseline"/>
              </w:rPr>
            </w:pPr>
            <w:r>
              <w:rPr>
                <w:rFonts w:hint="eastAsia" w:ascii="宋体" w:hAnsi="宋体" w:eastAsia="宋体" w:cs="宋体"/>
                <w:b w:val="0"/>
                <w:color w:val="auto"/>
                <w:sz w:val="21"/>
                <w:szCs w:val="21"/>
                <w:vertAlign w:val="baseline"/>
              </w:rPr>
              <w:t>家庭养老床位建设</w:t>
            </w:r>
          </w:p>
        </w:tc>
        <w:tc>
          <w:tcPr>
            <w:tcW w:w="2100" w:type="dxa"/>
            <w:vAlign w:val="center"/>
          </w:tcPr>
          <w:p w14:paraId="150E2413">
            <w:pPr>
              <w:spacing w:line="240" w:lineRule="auto"/>
              <w:jc w:val="center"/>
              <w:rPr>
                <w:rFonts w:hint="eastAsia" w:cs="宋体"/>
                <w:b w:val="0"/>
                <w:bCs w:val="0"/>
                <w:color w:val="auto"/>
                <w:sz w:val="21"/>
                <w:szCs w:val="21"/>
                <w:vertAlign w:val="baseline"/>
                <w:lang w:val="en-US" w:eastAsia="zh-CN"/>
              </w:rPr>
            </w:pPr>
            <w:r>
              <w:rPr>
                <w:rFonts w:hint="eastAsia" w:cs="宋体"/>
                <w:b w:val="0"/>
                <w:bCs w:val="0"/>
                <w:color w:val="auto"/>
                <w:sz w:val="21"/>
                <w:szCs w:val="21"/>
                <w:vertAlign w:val="baseline"/>
                <w:lang w:val="en-US" w:eastAsia="zh-CN"/>
              </w:rPr>
              <w:t>标项一不低于200张</w:t>
            </w:r>
          </w:p>
          <w:p w14:paraId="00E81690">
            <w:pPr>
              <w:spacing w:line="240" w:lineRule="auto"/>
              <w:jc w:val="center"/>
              <w:rPr>
                <w:rFonts w:hint="default" w:ascii="宋体" w:hAnsi="宋体" w:eastAsia="宋体" w:cs="宋体"/>
                <w:b w:val="0"/>
                <w:bCs w:val="0"/>
                <w:color w:val="auto"/>
                <w:sz w:val="21"/>
                <w:szCs w:val="21"/>
                <w:vertAlign w:val="baseline"/>
                <w:lang w:val="en-US" w:eastAsia="zh-CN"/>
              </w:rPr>
            </w:pPr>
            <w:r>
              <w:rPr>
                <w:rFonts w:hint="eastAsia" w:cs="宋体"/>
                <w:b w:val="0"/>
                <w:bCs w:val="0"/>
                <w:color w:val="auto"/>
                <w:sz w:val="21"/>
                <w:szCs w:val="21"/>
                <w:vertAlign w:val="baseline"/>
                <w:lang w:val="en-US" w:eastAsia="zh-CN"/>
              </w:rPr>
              <w:t>标项二不低于135张</w:t>
            </w:r>
          </w:p>
        </w:tc>
        <w:tc>
          <w:tcPr>
            <w:tcW w:w="4527" w:type="dxa"/>
            <w:tcBorders>
              <w:right w:val="single" w:color="auto" w:sz="4" w:space="0"/>
            </w:tcBorders>
            <w:vAlign w:val="center"/>
          </w:tcPr>
          <w:p w14:paraId="50D14736">
            <w:pPr>
              <w:spacing w:line="240" w:lineRule="auto"/>
              <w:jc w:val="left"/>
              <w:rPr>
                <w:rFonts w:hint="eastAsia" w:ascii="宋体" w:hAnsi="宋体" w:eastAsia="宋体" w:cs="宋体"/>
                <w:b w:val="0"/>
                <w:color w:val="auto"/>
                <w:sz w:val="21"/>
                <w:szCs w:val="21"/>
                <w:vertAlign w:val="baseline"/>
              </w:rPr>
            </w:pPr>
            <w:r>
              <w:rPr>
                <w:rFonts w:hint="eastAsia" w:ascii="宋体" w:hAnsi="宋体" w:eastAsia="宋体" w:cs="宋体"/>
                <w:b w:val="0"/>
                <w:color w:val="auto"/>
                <w:sz w:val="21"/>
                <w:szCs w:val="21"/>
                <w:vertAlign w:val="baseline"/>
              </w:rPr>
              <w:t>为符合条件的老年人建设家庭养老床位，对其经常活动的居家场所进行适老化改造和智能化改造。</w:t>
            </w:r>
          </w:p>
        </w:tc>
      </w:tr>
      <w:tr w14:paraId="3781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704" w:type="dxa"/>
            <w:tcBorders>
              <w:left w:val="single" w:color="auto" w:sz="4" w:space="0"/>
              <w:bottom w:val="single" w:color="auto" w:sz="4" w:space="0"/>
            </w:tcBorders>
            <w:vAlign w:val="center"/>
          </w:tcPr>
          <w:p w14:paraId="48DD5884">
            <w:pPr>
              <w:spacing w:line="240" w:lineRule="auto"/>
              <w:jc w:val="center"/>
              <w:rPr>
                <w:rFonts w:hint="eastAsia" w:ascii="宋体" w:hAnsi="宋体" w:eastAsia="宋体" w:cs="宋体"/>
                <w:b w:val="0"/>
                <w:color w:val="auto"/>
                <w:sz w:val="21"/>
                <w:szCs w:val="21"/>
                <w:vertAlign w:val="baseline"/>
                <w:lang w:val="en-US" w:eastAsia="zh-CN"/>
              </w:rPr>
            </w:pPr>
            <w:r>
              <w:rPr>
                <w:rFonts w:hint="eastAsia" w:cs="宋体"/>
                <w:b w:val="0"/>
                <w:color w:val="auto"/>
                <w:sz w:val="21"/>
                <w:szCs w:val="21"/>
                <w:vertAlign w:val="baseline"/>
                <w:lang w:val="en-US" w:eastAsia="zh-CN"/>
              </w:rPr>
              <w:t>2</w:t>
            </w:r>
          </w:p>
        </w:tc>
        <w:tc>
          <w:tcPr>
            <w:tcW w:w="2010" w:type="dxa"/>
            <w:tcBorders>
              <w:bottom w:val="single" w:color="auto" w:sz="4" w:space="0"/>
            </w:tcBorders>
            <w:vAlign w:val="center"/>
          </w:tcPr>
          <w:p w14:paraId="444916CD">
            <w:pPr>
              <w:spacing w:line="240" w:lineRule="auto"/>
              <w:jc w:val="center"/>
              <w:rPr>
                <w:rFonts w:hint="eastAsia" w:ascii="宋体" w:hAnsi="宋体" w:eastAsia="宋体" w:cs="宋体"/>
                <w:b w:val="0"/>
                <w:color w:val="auto"/>
                <w:sz w:val="21"/>
                <w:szCs w:val="21"/>
                <w:vertAlign w:val="baseline"/>
              </w:rPr>
            </w:pPr>
            <w:r>
              <w:rPr>
                <w:rFonts w:hint="eastAsia" w:ascii="宋体" w:hAnsi="宋体" w:eastAsia="宋体" w:cs="宋体"/>
                <w:b w:val="0"/>
                <w:color w:val="auto"/>
                <w:sz w:val="21"/>
                <w:szCs w:val="21"/>
                <w:vertAlign w:val="baseline"/>
              </w:rPr>
              <w:t>居家养老上门服务</w:t>
            </w:r>
          </w:p>
        </w:tc>
        <w:tc>
          <w:tcPr>
            <w:tcW w:w="2100" w:type="dxa"/>
            <w:tcBorders>
              <w:bottom w:val="single" w:color="auto" w:sz="4" w:space="0"/>
            </w:tcBorders>
            <w:vAlign w:val="center"/>
          </w:tcPr>
          <w:p w14:paraId="43BCCFDB">
            <w:pPr>
              <w:spacing w:line="240" w:lineRule="auto"/>
              <w:jc w:val="center"/>
              <w:rPr>
                <w:rFonts w:hint="eastAsia" w:cs="宋体"/>
                <w:b w:val="0"/>
                <w:bCs w:val="0"/>
                <w:color w:val="auto"/>
                <w:sz w:val="21"/>
                <w:szCs w:val="21"/>
                <w:vertAlign w:val="baseline"/>
                <w:lang w:val="en-US" w:eastAsia="zh-CN"/>
              </w:rPr>
            </w:pPr>
            <w:r>
              <w:rPr>
                <w:rFonts w:hint="eastAsia" w:cs="宋体"/>
                <w:b w:val="0"/>
                <w:bCs w:val="0"/>
                <w:color w:val="auto"/>
                <w:sz w:val="21"/>
                <w:szCs w:val="21"/>
                <w:vertAlign w:val="baseline"/>
                <w:lang w:val="en-US" w:eastAsia="zh-CN"/>
              </w:rPr>
              <w:t>标项一不低于390位</w:t>
            </w:r>
          </w:p>
          <w:p w14:paraId="5A5D67FB">
            <w:pPr>
              <w:spacing w:line="240" w:lineRule="auto"/>
              <w:jc w:val="center"/>
              <w:rPr>
                <w:rFonts w:hint="default" w:ascii="宋体" w:hAnsi="宋体" w:eastAsia="宋体" w:cs="宋体"/>
                <w:b w:val="0"/>
                <w:bCs w:val="0"/>
                <w:color w:val="auto"/>
                <w:sz w:val="21"/>
                <w:szCs w:val="21"/>
                <w:vertAlign w:val="baseline"/>
                <w:lang w:val="en-US" w:eastAsia="zh-CN"/>
              </w:rPr>
            </w:pPr>
            <w:r>
              <w:rPr>
                <w:rFonts w:hint="eastAsia" w:cs="宋体"/>
                <w:b w:val="0"/>
                <w:bCs w:val="0"/>
                <w:color w:val="auto"/>
                <w:sz w:val="21"/>
                <w:szCs w:val="21"/>
                <w:vertAlign w:val="baseline"/>
                <w:lang w:val="en-US" w:eastAsia="zh-CN"/>
              </w:rPr>
              <w:t>标项二不低于260位</w:t>
            </w:r>
          </w:p>
        </w:tc>
        <w:tc>
          <w:tcPr>
            <w:tcW w:w="4527" w:type="dxa"/>
            <w:tcBorders>
              <w:bottom w:val="single" w:color="auto" w:sz="4" w:space="0"/>
              <w:right w:val="single" w:color="auto" w:sz="4" w:space="0"/>
            </w:tcBorders>
            <w:vAlign w:val="center"/>
          </w:tcPr>
          <w:p w14:paraId="50972864">
            <w:pPr>
              <w:spacing w:line="240" w:lineRule="auto"/>
              <w:jc w:val="left"/>
              <w:rPr>
                <w:rFonts w:hint="eastAsia" w:ascii="宋体" w:hAnsi="宋体" w:eastAsia="宋体" w:cs="宋体"/>
                <w:b w:val="0"/>
                <w:color w:val="auto"/>
                <w:sz w:val="21"/>
                <w:szCs w:val="21"/>
                <w:vertAlign w:val="baseline"/>
              </w:rPr>
            </w:pPr>
            <w:r>
              <w:rPr>
                <w:rFonts w:hint="eastAsia" w:ascii="宋体" w:hAnsi="宋体" w:eastAsia="宋体" w:cs="宋体"/>
                <w:b w:val="0"/>
                <w:color w:val="auto"/>
                <w:sz w:val="21"/>
                <w:szCs w:val="21"/>
                <w:vertAlign w:val="baseline"/>
              </w:rPr>
              <w:t>以提供相关服务的专业机构为依托，为符合条件的老年人提供助餐、助洁、助行、助浴、助医、康复、巡防关爱等上门服务。</w:t>
            </w:r>
          </w:p>
          <w:p w14:paraId="78F2FECA">
            <w:pPr>
              <w:spacing w:line="240" w:lineRule="auto"/>
              <w:jc w:val="left"/>
              <w:rPr>
                <w:rFonts w:hint="default" w:ascii="宋体" w:hAnsi="宋体" w:eastAsia="宋体" w:cs="宋体"/>
                <w:b w:val="0"/>
                <w:color w:val="auto"/>
                <w:sz w:val="21"/>
                <w:szCs w:val="21"/>
                <w:vertAlign w:val="baseline"/>
                <w:lang w:val="en-US" w:eastAsia="zh-CN"/>
              </w:rPr>
            </w:pPr>
            <w:r>
              <w:rPr>
                <w:rFonts w:hint="eastAsia" w:cs="宋体"/>
                <w:b/>
                <w:bCs/>
                <w:color w:val="auto"/>
                <w:sz w:val="21"/>
                <w:szCs w:val="21"/>
                <w:vertAlign w:val="baseline"/>
                <w:lang w:val="en-US" w:eastAsia="zh-CN"/>
              </w:rPr>
              <w:t>特别说明：1位是指项目执行期内必须为同一位服务对象累计提供30次以上居家养老上门服务。</w:t>
            </w:r>
          </w:p>
        </w:tc>
      </w:tr>
    </w:tbl>
    <w:p w14:paraId="62130331">
      <w:pPr>
        <w:spacing w:line="360" w:lineRule="auto"/>
        <w:rPr>
          <w:rFonts w:hint="eastAsia" w:ascii="宋体" w:hAnsi="宋体" w:eastAsia="宋体" w:cs="宋体"/>
          <w:b w:val="0"/>
          <w:color w:val="auto"/>
          <w:sz w:val="6"/>
          <w:szCs w:val="6"/>
        </w:rPr>
      </w:pPr>
    </w:p>
    <w:p w14:paraId="58518A6B">
      <w:pPr>
        <w:spacing w:line="360" w:lineRule="auto"/>
        <w:ind w:firstLine="440" w:firstLineChars="200"/>
        <w:rPr>
          <w:rFonts w:hint="eastAsia" w:ascii="宋体" w:hAnsi="宋体" w:eastAsia="宋体" w:cs="宋体"/>
          <w:b w:val="0"/>
          <w:color w:val="auto"/>
          <w:sz w:val="22"/>
          <w:szCs w:val="22"/>
          <w:lang w:val="en-US" w:eastAsia="zh-CN"/>
        </w:rPr>
      </w:pPr>
      <w:r>
        <w:rPr>
          <w:rFonts w:hint="eastAsia" w:cs="宋体"/>
          <w:b w:val="0"/>
          <w:color w:val="auto"/>
          <w:sz w:val="22"/>
          <w:szCs w:val="22"/>
          <w:lang w:val="en-US" w:eastAsia="zh-CN"/>
        </w:rPr>
        <w:t>根据《长期护理保障失能等级评估规范》（DB33/T 2476-2022），按</w:t>
      </w:r>
      <w:r>
        <w:rPr>
          <w:rFonts w:hint="eastAsia" w:cs="宋体"/>
          <w:b/>
          <w:bCs/>
          <w:color w:val="auto"/>
          <w:sz w:val="22"/>
          <w:szCs w:val="22"/>
          <w:lang w:val="en-US" w:eastAsia="zh-CN"/>
        </w:rPr>
        <w:t>“一户一策、一人一档”</w:t>
      </w:r>
      <w:r>
        <w:rPr>
          <w:rFonts w:hint="eastAsia" w:cs="宋体"/>
          <w:b w:val="0"/>
          <w:color w:val="auto"/>
          <w:sz w:val="22"/>
          <w:szCs w:val="22"/>
          <w:lang w:val="en-US" w:eastAsia="zh-CN"/>
        </w:rPr>
        <w:t>的原则，对申请家庭养老床位建设和居家养老服务的老年人的自理能力、经济状况、服务意愿、照护情况和居所环境等进行综合评估。</w:t>
      </w:r>
    </w:p>
    <w:p w14:paraId="2482C25E">
      <w:pPr>
        <w:spacing w:line="360" w:lineRule="auto"/>
        <w:ind w:firstLine="440" w:firstLineChars="200"/>
        <w:rPr>
          <w:rFonts w:hint="default" w:ascii="宋体" w:hAnsi="宋体" w:eastAsia="宋体" w:cs="宋体"/>
          <w:b w:val="0"/>
          <w:color w:val="auto"/>
          <w:sz w:val="22"/>
          <w:szCs w:val="22"/>
          <w:lang w:val="en-US" w:eastAsia="zh-CN"/>
        </w:rPr>
      </w:pPr>
      <w:r>
        <w:rPr>
          <w:rFonts w:hint="eastAsia" w:cs="宋体"/>
          <w:b w:val="0"/>
          <w:color w:val="auto"/>
          <w:sz w:val="22"/>
          <w:szCs w:val="22"/>
          <w:lang w:val="en-US" w:eastAsia="zh-CN"/>
        </w:rPr>
        <w:t>本项目总体要求</w:t>
      </w:r>
      <w:r>
        <w:rPr>
          <w:rFonts w:hint="eastAsia" w:ascii="宋体" w:hAnsi="宋体" w:eastAsia="宋体" w:cs="宋体"/>
          <w:b w:val="0"/>
          <w:color w:val="auto"/>
          <w:sz w:val="22"/>
          <w:szCs w:val="22"/>
        </w:rPr>
        <w:t>家庭养老床位建设</w:t>
      </w:r>
      <w:r>
        <w:rPr>
          <w:rFonts w:hint="eastAsia" w:cs="宋体"/>
          <w:b w:val="0"/>
          <w:color w:val="auto"/>
          <w:sz w:val="22"/>
          <w:szCs w:val="22"/>
          <w:lang w:val="en-US" w:eastAsia="zh-CN"/>
        </w:rPr>
        <w:t>不低于335张，居家养老上门服务不低于650位，按实际服务人数结算服务费用。</w:t>
      </w:r>
    </w:p>
    <w:p w14:paraId="004C8FB0">
      <w:pPr>
        <w:pStyle w:val="3"/>
        <w:adjustRightInd w:val="0"/>
        <w:snapToGrid w:val="0"/>
        <w:spacing w:line="360" w:lineRule="auto"/>
        <w:ind w:firstLine="0" w:firstLineChars="0"/>
        <w:rPr>
          <w:rFonts w:hint="default" w:ascii="宋体" w:hAnsi="宋体" w:eastAsia="宋体" w:cs="宋体"/>
          <w:b/>
          <w:bCs/>
          <w:color w:val="auto"/>
          <w:sz w:val="24"/>
          <w:szCs w:val="24"/>
          <w:u w:val="none"/>
          <w:lang w:val="en-US" w:eastAsia="zh-CN" w:bidi="zh-CN"/>
        </w:rPr>
      </w:pPr>
      <w:r>
        <w:rPr>
          <w:rFonts w:hint="eastAsia" w:ascii="宋体" w:hAnsi="宋体" w:eastAsia="宋体" w:cs="宋体"/>
          <w:b/>
          <w:bCs/>
          <w:color w:val="auto"/>
          <w:sz w:val="24"/>
          <w:szCs w:val="24"/>
          <w:u w:val="none"/>
          <w:lang w:val="en-US" w:eastAsia="zh-CN" w:bidi="zh-CN"/>
        </w:rPr>
        <w:t>三、服务</w:t>
      </w:r>
      <w:r>
        <w:rPr>
          <w:rFonts w:hint="eastAsia" w:cs="宋体"/>
          <w:b/>
          <w:bCs/>
          <w:color w:val="auto"/>
          <w:sz w:val="24"/>
          <w:szCs w:val="24"/>
          <w:u w:val="none"/>
          <w:lang w:val="en-US" w:eastAsia="zh-CN" w:bidi="zh-CN"/>
        </w:rPr>
        <w:t>范围</w:t>
      </w:r>
    </w:p>
    <w:p w14:paraId="0E6DE958">
      <w:pPr>
        <w:pStyle w:val="3"/>
        <w:adjustRightInd w:val="0"/>
        <w:snapToGrid w:val="0"/>
        <w:spacing w:line="360" w:lineRule="auto"/>
        <w:ind w:left="0" w:firstLine="442" w:firstLineChars="200"/>
        <w:rPr>
          <w:rFonts w:hint="default" w:cs="宋体"/>
          <w:b/>
          <w:bCs/>
          <w:color w:val="auto"/>
          <w:sz w:val="22"/>
          <w:szCs w:val="22"/>
          <w:lang w:val="en-US" w:eastAsia="zh-CN"/>
        </w:rPr>
      </w:pPr>
      <w:r>
        <w:rPr>
          <w:rFonts w:hint="eastAsia" w:cs="宋体"/>
          <w:b/>
          <w:bCs/>
          <w:color w:val="auto"/>
          <w:sz w:val="22"/>
          <w:szCs w:val="22"/>
          <w:lang w:val="en-US" w:eastAsia="zh-CN"/>
        </w:rPr>
        <w:t>（一）服务区域</w:t>
      </w:r>
    </w:p>
    <w:p w14:paraId="562F0B46">
      <w:pPr>
        <w:pStyle w:val="3"/>
        <w:adjustRightInd w:val="0"/>
        <w:snapToGrid w:val="0"/>
        <w:spacing w:line="360" w:lineRule="auto"/>
        <w:ind w:left="0" w:firstLine="440" w:firstLineChars="200"/>
        <w:rPr>
          <w:rFonts w:hint="eastAsia" w:cs="宋体"/>
          <w:b w:val="0"/>
          <w:bCs w:val="0"/>
          <w:color w:val="auto"/>
          <w:sz w:val="22"/>
          <w:szCs w:val="22"/>
          <w:lang w:val="en-US" w:eastAsia="zh-CN"/>
        </w:rPr>
      </w:pPr>
      <w:r>
        <w:rPr>
          <w:rFonts w:hint="eastAsia" w:cs="宋体"/>
          <w:b w:val="0"/>
          <w:bCs w:val="0"/>
          <w:color w:val="auto"/>
          <w:sz w:val="22"/>
          <w:szCs w:val="22"/>
          <w:lang w:val="en-US" w:eastAsia="zh-CN"/>
        </w:rPr>
        <w:t>标项一（第一片区）：包含灵溪、桥墩、莒溪、矾山、南宋、岱岭、凤阳、马站、霞关、沿浦10个乡镇；</w:t>
      </w:r>
    </w:p>
    <w:p w14:paraId="44554000">
      <w:pPr>
        <w:pStyle w:val="3"/>
        <w:adjustRightInd w:val="0"/>
        <w:snapToGrid w:val="0"/>
        <w:spacing w:line="360" w:lineRule="auto"/>
        <w:ind w:left="0" w:firstLine="440" w:firstLineChars="200"/>
        <w:rPr>
          <w:rFonts w:hint="eastAsia" w:cs="宋体"/>
          <w:b w:val="0"/>
          <w:bCs w:val="0"/>
          <w:color w:val="auto"/>
          <w:sz w:val="22"/>
          <w:szCs w:val="22"/>
          <w:lang w:val="en-US" w:eastAsia="zh-CN"/>
        </w:rPr>
      </w:pPr>
      <w:r>
        <w:rPr>
          <w:rFonts w:hint="eastAsia" w:cs="宋体"/>
          <w:b w:val="0"/>
          <w:bCs w:val="0"/>
          <w:color w:val="auto"/>
          <w:sz w:val="22"/>
          <w:szCs w:val="22"/>
          <w:lang w:val="en-US" w:eastAsia="zh-CN"/>
        </w:rPr>
        <w:t>标项二（第二片区）：包含钱库、宜山、金乡、炎亭、大渔、赤溪、望里、藻溪8个乡镇。</w:t>
      </w:r>
    </w:p>
    <w:p w14:paraId="4FC9C257">
      <w:pPr>
        <w:pStyle w:val="3"/>
        <w:adjustRightInd w:val="0"/>
        <w:snapToGrid w:val="0"/>
        <w:spacing w:line="360" w:lineRule="auto"/>
        <w:ind w:left="0" w:firstLine="442" w:firstLineChars="200"/>
        <w:rPr>
          <w:rFonts w:hint="default" w:cs="宋体"/>
          <w:b/>
          <w:bCs/>
          <w:color w:val="auto"/>
          <w:sz w:val="22"/>
          <w:szCs w:val="22"/>
          <w:lang w:val="en-US" w:eastAsia="zh-CN"/>
        </w:rPr>
      </w:pPr>
      <w:r>
        <w:rPr>
          <w:rFonts w:hint="eastAsia" w:cs="宋体"/>
          <w:b/>
          <w:bCs/>
          <w:color w:val="auto"/>
          <w:sz w:val="22"/>
          <w:szCs w:val="22"/>
          <w:lang w:val="en-US" w:eastAsia="zh-CN"/>
        </w:rPr>
        <w:t>（二）服务对象</w:t>
      </w:r>
    </w:p>
    <w:p w14:paraId="56C661B8">
      <w:pPr>
        <w:pStyle w:val="3"/>
        <w:adjustRightInd w:val="0"/>
        <w:snapToGrid w:val="0"/>
        <w:spacing w:line="360" w:lineRule="auto"/>
        <w:ind w:left="0" w:firstLine="440" w:firstLineChars="200"/>
        <w:rPr>
          <w:rFonts w:hint="eastAsia" w:ascii="宋体" w:hAnsi="宋体" w:eastAsia="宋体" w:cs="宋体"/>
          <w:b w:val="0"/>
          <w:color w:val="auto"/>
          <w:sz w:val="22"/>
          <w:szCs w:val="22"/>
        </w:rPr>
      </w:pPr>
      <w:r>
        <w:rPr>
          <w:rFonts w:hint="eastAsia" w:cs="宋体"/>
          <w:b w:val="0"/>
          <w:color w:val="auto"/>
          <w:sz w:val="22"/>
          <w:szCs w:val="22"/>
          <w:lang w:val="en-US" w:eastAsia="zh-CN"/>
        </w:rPr>
        <w:t>本</w:t>
      </w:r>
      <w:r>
        <w:rPr>
          <w:rFonts w:hint="eastAsia" w:ascii="宋体" w:hAnsi="宋体" w:eastAsia="宋体" w:cs="宋体"/>
          <w:b w:val="0"/>
          <w:color w:val="auto"/>
          <w:sz w:val="22"/>
          <w:szCs w:val="22"/>
        </w:rPr>
        <w:t>项目服务对象为具有本</w:t>
      </w:r>
      <w:r>
        <w:rPr>
          <w:rFonts w:hint="eastAsia" w:cs="宋体"/>
          <w:b w:val="0"/>
          <w:color w:val="auto"/>
          <w:sz w:val="22"/>
          <w:szCs w:val="22"/>
          <w:lang w:val="en-US" w:eastAsia="zh-CN"/>
        </w:rPr>
        <w:t>县</w:t>
      </w:r>
      <w:r>
        <w:rPr>
          <w:rFonts w:hint="eastAsia" w:ascii="宋体" w:hAnsi="宋体" w:eastAsia="宋体" w:cs="宋体"/>
          <w:b w:val="0"/>
          <w:color w:val="auto"/>
          <w:sz w:val="22"/>
          <w:szCs w:val="22"/>
        </w:rPr>
        <w:t>户籍且长期居住在本</w:t>
      </w:r>
      <w:r>
        <w:rPr>
          <w:rFonts w:hint="eastAsia" w:cs="宋体"/>
          <w:b w:val="0"/>
          <w:color w:val="auto"/>
          <w:sz w:val="22"/>
          <w:szCs w:val="22"/>
          <w:lang w:val="en-US" w:eastAsia="zh-CN"/>
        </w:rPr>
        <w:t>县</w:t>
      </w:r>
      <w:r>
        <w:rPr>
          <w:rFonts w:hint="eastAsia" w:ascii="宋体" w:hAnsi="宋体" w:eastAsia="宋体" w:cs="宋体"/>
          <w:b w:val="0"/>
          <w:color w:val="auto"/>
          <w:sz w:val="22"/>
          <w:szCs w:val="22"/>
        </w:rPr>
        <w:t>的低保、低边、低收入家庭中的失能、部分失能老年人</w:t>
      </w:r>
      <w:r>
        <w:rPr>
          <w:rFonts w:hint="eastAsia" w:cs="宋体"/>
          <w:b w:val="0"/>
          <w:color w:val="auto"/>
          <w:sz w:val="22"/>
          <w:szCs w:val="22"/>
          <w:lang w:eastAsia="zh-CN"/>
        </w:rPr>
        <w:t>，</w:t>
      </w:r>
      <w:r>
        <w:rPr>
          <w:rFonts w:hint="eastAsia" w:ascii="宋体" w:hAnsi="宋体" w:eastAsia="宋体" w:cs="宋体"/>
          <w:b w:val="0"/>
          <w:color w:val="auto"/>
          <w:sz w:val="22"/>
          <w:szCs w:val="22"/>
        </w:rPr>
        <w:t>其中低收入家庭是指参照《关于印发&lt;温州市相对低收入家庭综合帮扶工作指引&gt;的通知》（温民助〔2024〕24号）文件中相对低收入家庭第二类对象范围</w:t>
      </w:r>
      <w:r>
        <w:rPr>
          <w:rFonts w:hint="eastAsia" w:cs="宋体"/>
          <w:b w:val="0"/>
          <w:color w:val="auto"/>
          <w:sz w:val="22"/>
          <w:szCs w:val="22"/>
          <w:lang w:eastAsia="zh-CN"/>
        </w:rPr>
        <w:t>。</w:t>
      </w:r>
      <w:r>
        <w:rPr>
          <w:rFonts w:hint="eastAsia" w:cs="宋体"/>
          <w:b w:val="0"/>
          <w:color w:val="auto"/>
          <w:sz w:val="22"/>
          <w:szCs w:val="22"/>
          <w:lang w:val="en-US" w:eastAsia="zh-CN"/>
        </w:rPr>
        <w:t>根据此类老人的实际情况，为其建设家庭建设家庭养老床位和提供居家上门服务。对经评估适宜建设家庭养老床位的老年人，为其建设家庭养老床位，并可根据其需求同时提供居家养老上门服务；对未建设家庭养老床位但有居家养老上门服务需求的，提供居家养老上门服务</w:t>
      </w:r>
      <w:r>
        <w:rPr>
          <w:rFonts w:hint="eastAsia" w:ascii="宋体" w:hAnsi="宋体" w:eastAsia="宋体" w:cs="宋体"/>
          <w:b w:val="0"/>
          <w:color w:val="auto"/>
          <w:sz w:val="22"/>
          <w:szCs w:val="22"/>
        </w:rPr>
        <w:t>。服务对象实行动态管理，因去世、迁移、条件改变不符合要求时，应及时核减。</w:t>
      </w:r>
    </w:p>
    <w:p w14:paraId="7CF8070A">
      <w:pPr>
        <w:pStyle w:val="3"/>
        <w:adjustRightInd w:val="0"/>
        <w:snapToGrid w:val="0"/>
        <w:spacing w:line="360" w:lineRule="auto"/>
        <w:ind w:left="0" w:firstLine="440" w:firstLineChars="200"/>
        <w:rPr>
          <w:rFonts w:hint="default" w:ascii="宋体" w:hAnsi="宋体" w:eastAsia="宋体" w:cs="宋体"/>
          <w:b w:val="0"/>
          <w:color w:val="auto"/>
          <w:sz w:val="22"/>
          <w:szCs w:val="22"/>
          <w:lang w:val="en-US" w:eastAsia="zh-CN"/>
        </w:rPr>
      </w:pPr>
      <w:r>
        <w:rPr>
          <w:rFonts w:hint="eastAsia" w:cs="宋体"/>
          <w:b w:val="0"/>
          <w:color w:val="auto"/>
          <w:sz w:val="22"/>
          <w:szCs w:val="22"/>
          <w:lang w:val="en-US" w:eastAsia="zh-CN"/>
        </w:rPr>
        <w:t>在本项目基础上，鼓励供应商提供公益抵偿的居家养老服务，促进有需求的老年人主动购买服务。</w:t>
      </w:r>
    </w:p>
    <w:p w14:paraId="0146317E">
      <w:pPr>
        <w:pStyle w:val="3"/>
        <w:adjustRightInd w:val="0"/>
        <w:snapToGrid w:val="0"/>
        <w:spacing w:line="360" w:lineRule="auto"/>
        <w:ind w:firstLine="0" w:firstLineChars="0"/>
        <w:rPr>
          <w:rFonts w:hint="default" w:ascii="宋体" w:hAnsi="宋体" w:eastAsia="宋体" w:cs="宋体"/>
          <w:b/>
          <w:bCs/>
          <w:color w:val="auto"/>
          <w:sz w:val="24"/>
          <w:szCs w:val="24"/>
          <w:u w:val="none"/>
          <w:lang w:val="en-US" w:eastAsia="zh-CN" w:bidi="zh-CN"/>
        </w:rPr>
      </w:pPr>
      <w:r>
        <w:rPr>
          <w:rFonts w:hint="eastAsia" w:ascii="宋体" w:hAnsi="宋体" w:eastAsia="宋体" w:cs="宋体"/>
          <w:b/>
          <w:bCs/>
          <w:color w:val="auto"/>
          <w:sz w:val="24"/>
          <w:szCs w:val="24"/>
          <w:u w:val="none"/>
          <w:lang w:val="en-US" w:eastAsia="zh-CN" w:bidi="zh-CN"/>
        </w:rPr>
        <w:t>四、家庭养老床位建设要求</w:t>
      </w:r>
    </w:p>
    <w:p w14:paraId="6218A25E">
      <w:pPr>
        <w:pStyle w:val="3"/>
        <w:adjustRightInd w:val="0"/>
        <w:snapToGrid w:val="0"/>
        <w:spacing w:line="360" w:lineRule="auto"/>
        <w:ind w:left="0" w:firstLine="440" w:firstLineChars="200"/>
        <w:rPr>
          <w:rFonts w:hint="default" w:ascii="宋体" w:hAnsi="宋体" w:eastAsia="宋体" w:cs="宋体"/>
          <w:b w:val="0"/>
          <w:color w:val="auto"/>
          <w:sz w:val="22"/>
          <w:szCs w:val="22"/>
          <w:lang w:val="en-US" w:eastAsia="zh-CN"/>
        </w:rPr>
      </w:pPr>
      <w:r>
        <w:rPr>
          <w:rFonts w:hint="default" w:ascii="宋体" w:hAnsi="宋体" w:eastAsia="宋体" w:cs="宋体"/>
          <w:b w:val="0"/>
          <w:color w:val="auto"/>
          <w:sz w:val="22"/>
          <w:szCs w:val="22"/>
          <w:lang w:val="en-US" w:eastAsia="zh-CN"/>
        </w:rPr>
        <w:t>聚焦老年人安全、居家照护等需求，对其居家环境关键区域或部位进行</w:t>
      </w:r>
      <w:r>
        <w:rPr>
          <w:rFonts w:hint="default" w:ascii="宋体" w:hAnsi="宋体" w:eastAsia="宋体" w:cs="宋体"/>
          <w:b w:val="0"/>
          <w:bCs w:val="0"/>
          <w:color w:val="auto"/>
          <w:sz w:val="22"/>
          <w:szCs w:val="22"/>
          <w:lang w:val="en-US" w:eastAsia="zh-CN"/>
        </w:rPr>
        <w:t>适老化、智能化改造，安装网络连接、紧急呼叫、活动监测等智能化设备，并视情配备助行、助餐、助穿、如厕、助浴、感知类老年用品，</w:t>
      </w:r>
      <w:r>
        <w:rPr>
          <w:rFonts w:hint="default" w:ascii="宋体" w:hAnsi="宋体" w:eastAsia="宋体" w:cs="宋体"/>
          <w:b w:val="0"/>
          <w:color w:val="auto"/>
          <w:sz w:val="22"/>
          <w:szCs w:val="22"/>
          <w:lang w:val="en-US" w:eastAsia="zh-CN"/>
        </w:rPr>
        <w:t>并提供紧急呼叫、主动关怀等专业为老服务。</w:t>
      </w:r>
      <w:r>
        <w:rPr>
          <w:rFonts w:hint="eastAsia" w:cs="宋体"/>
          <w:b/>
          <w:bCs/>
          <w:color w:val="auto"/>
          <w:sz w:val="22"/>
          <w:szCs w:val="22"/>
          <w:lang w:val="en-US" w:eastAsia="zh-CN"/>
        </w:rPr>
        <w:t>按照平均每张不低于6000元的标准给与一次性改造，其中已完成生活困难老年人家庭适老化改造并具备相应功能的不重复改造，只进行智能化改造并视情配备老年用品，共同生活的两名或以上老年人建床的，各自按照70%进行结算。</w:t>
      </w:r>
    </w:p>
    <w:p w14:paraId="03E6B429">
      <w:pPr>
        <w:pStyle w:val="3"/>
        <w:numPr>
          <w:ilvl w:val="0"/>
          <w:numId w:val="0"/>
        </w:numPr>
        <w:adjustRightInd w:val="0"/>
        <w:snapToGrid w:val="0"/>
        <w:spacing w:line="360" w:lineRule="auto"/>
        <w:ind w:left="0" w:leftChars="0" w:firstLine="442" w:firstLineChars="200"/>
        <w:rPr>
          <w:rFonts w:hint="default" w:cs="宋体"/>
          <w:b/>
          <w:bCs/>
          <w:color w:val="auto"/>
          <w:sz w:val="22"/>
          <w:szCs w:val="22"/>
          <w:lang w:val="en-US" w:eastAsia="zh-CN"/>
        </w:rPr>
      </w:pPr>
      <w:r>
        <w:rPr>
          <w:rFonts w:hint="eastAsia" w:ascii="宋体" w:hAnsi="宋体" w:eastAsia="宋体" w:cs="宋体"/>
          <w:b/>
          <w:bCs/>
          <w:color w:val="auto"/>
          <w:sz w:val="22"/>
          <w:szCs w:val="22"/>
          <w:lang w:val="en-US" w:eastAsia="zh-CN" w:bidi="zh-CN"/>
        </w:rPr>
        <w:t>（一）</w:t>
      </w:r>
      <w:r>
        <w:rPr>
          <w:rFonts w:hint="eastAsia" w:cs="宋体"/>
          <w:b/>
          <w:bCs/>
          <w:color w:val="auto"/>
          <w:sz w:val="22"/>
          <w:szCs w:val="22"/>
          <w:lang w:val="en-US" w:eastAsia="zh-CN"/>
        </w:rPr>
        <w:t>适老化改造和智能化改造</w:t>
      </w:r>
    </w:p>
    <w:p w14:paraId="289CF3F7">
      <w:pPr>
        <w:pStyle w:val="3"/>
        <w:numPr>
          <w:ilvl w:val="0"/>
          <w:numId w:val="0"/>
        </w:numPr>
        <w:adjustRightInd w:val="0"/>
        <w:snapToGrid w:val="0"/>
        <w:spacing w:line="360" w:lineRule="auto"/>
        <w:ind w:left="0" w:leftChars="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1.适老化改造内容：居家适老化改造聚焦老年人安全、健康等功能性需求，选择适配性产品，组成不同场景居家环境的产品服务包，包括地面改造、门改造、卧室改造、如厕洗浴设备改造、物理环境改造等施工改造服务，提升老年人生活自理能力和居家生活品质。在结合老年人能力评估结果和老年人意愿基础上，按“适老化改造基本项目清单”进行改造。</w:t>
      </w:r>
    </w:p>
    <w:p w14:paraId="6E9AD516">
      <w:pPr>
        <w:pStyle w:val="3"/>
        <w:numPr>
          <w:ilvl w:val="0"/>
          <w:numId w:val="0"/>
        </w:numPr>
        <w:adjustRightInd w:val="0"/>
        <w:snapToGrid w:val="0"/>
        <w:spacing w:line="360" w:lineRule="auto"/>
        <w:ind w:left="0" w:leftChars="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2.智能化改造内容：按照“智能化改造基本项目清单”，结合老年人评估结果，按需定制设备清单，安装网络连接设备、紧急呼叫设备、生命体征监测设备、安全监控装置、视频或语音通话设备以及智能感应设备等智能设备。</w:t>
      </w:r>
    </w:p>
    <w:p w14:paraId="1F932125">
      <w:pPr>
        <w:pStyle w:val="3"/>
        <w:numPr>
          <w:ilvl w:val="0"/>
          <w:numId w:val="0"/>
        </w:numPr>
        <w:adjustRightInd w:val="0"/>
        <w:snapToGrid w:val="0"/>
        <w:spacing w:line="360" w:lineRule="auto"/>
        <w:ind w:left="0" w:leftChars="0" w:firstLine="440" w:firstLineChars="200"/>
        <w:rPr>
          <w:rFonts w:hint="eastAsia" w:ascii="Segoe UI" w:hAnsi="Segoe UI" w:eastAsia="宋体" w:cs="Segoe UI"/>
          <w:i w:val="0"/>
          <w:iCs w:val="0"/>
          <w:caps w:val="0"/>
          <w:color w:val="auto"/>
          <w:spacing w:val="0"/>
          <w:sz w:val="22"/>
          <w:szCs w:val="22"/>
          <w:shd w:val="clear" w:fill="FDFDFE"/>
          <w:lang w:eastAsia="zh-CN"/>
        </w:rPr>
      </w:pPr>
      <w:r>
        <w:rPr>
          <w:rFonts w:hint="eastAsia" w:cs="宋体"/>
          <w:b w:val="0"/>
          <w:color w:val="auto"/>
          <w:sz w:val="22"/>
          <w:szCs w:val="22"/>
          <w:lang w:val="en-US" w:eastAsia="zh-CN"/>
        </w:rPr>
        <w:t>3.老年人用品配备：按照“老年用品选配清单”，结合老年人实际需求，为老年配备</w:t>
      </w:r>
      <w:r>
        <w:rPr>
          <w:rFonts w:ascii="Segoe UI" w:hAnsi="Segoe UI" w:eastAsia="Segoe UI" w:cs="Segoe UI"/>
          <w:i w:val="0"/>
          <w:iCs w:val="0"/>
          <w:caps w:val="0"/>
          <w:color w:val="auto"/>
          <w:spacing w:val="0"/>
          <w:sz w:val="22"/>
          <w:szCs w:val="22"/>
          <w:shd w:val="clear" w:fill="FDFDFE"/>
        </w:rPr>
        <w:t>辅助器具类用品</w:t>
      </w:r>
      <w:r>
        <w:rPr>
          <w:rFonts w:hint="eastAsia" w:ascii="Segoe UI" w:hAnsi="Segoe UI" w:eastAsia="宋体" w:cs="Segoe UI"/>
          <w:i w:val="0"/>
          <w:iCs w:val="0"/>
          <w:caps w:val="0"/>
          <w:color w:val="auto"/>
          <w:spacing w:val="0"/>
          <w:sz w:val="22"/>
          <w:szCs w:val="22"/>
          <w:shd w:val="clear" w:fill="FDFDFE"/>
          <w:lang w:eastAsia="zh-CN"/>
        </w:rPr>
        <w:t>。</w:t>
      </w:r>
    </w:p>
    <w:p w14:paraId="4CBFF932">
      <w:pPr>
        <w:pStyle w:val="3"/>
        <w:numPr>
          <w:ilvl w:val="0"/>
          <w:numId w:val="0"/>
        </w:numPr>
        <w:adjustRightInd w:val="0"/>
        <w:snapToGrid w:val="0"/>
        <w:spacing w:line="360" w:lineRule="auto"/>
        <w:jc w:val="center"/>
        <w:rPr>
          <w:rFonts w:hint="default" w:ascii="宋体" w:hAnsi="宋体" w:eastAsia="宋体" w:cs="宋体"/>
          <w:b/>
          <w:bCs/>
          <w:color w:val="auto"/>
          <w:sz w:val="24"/>
          <w:szCs w:val="24"/>
          <w:lang w:val="en-US" w:eastAsia="zh-CN"/>
        </w:rPr>
      </w:pPr>
      <w:r>
        <w:rPr>
          <w:rFonts w:hint="eastAsia" w:ascii="Segoe UI" w:hAnsi="Segoe UI" w:cs="Segoe UI"/>
          <w:b/>
          <w:bCs/>
          <w:i w:val="0"/>
          <w:iCs w:val="0"/>
          <w:caps w:val="0"/>
          <w:color w:val="auto"/>
          <w:spacing w:val="0"/>
          <w:sz w:val="24"/>
          <w:szCs w:val="24"/>
          <w:shd w:val="clear" w:fill="FDFDFE"/>
          <w:lang w:val="en-US" w:eastAsia="zh-CN"/>
        </w:rPr>
        <w:t>附表一  家庭养老床位基本项目参考清单</w:t>
      </w:r>
    </w:p>
    <w:tbl>
      <w:tblPr>
        <w:tblStyle w:val="27"/>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00"/>
        <w:gridCol w:w="1261"/>
        <w:gridCol w:w="1339"/>
        <w:gridCol w:w="4579"/>
        <w:gridCol w:w="1305"/>
      </w:tblGrid>
      <w:tr w14:paraId="16D9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9284" w:type="dxa"/>
            <w:gridSpan w:val="5"/>
            <w:shd w:val="clear" w:color="auto" w:fill="B6DDE8" w:themeFill="accent5" w:themeFillTint="66"/>
            <w:noWrap w:val="0"/>
            <w:vAlign w:val="center"/>
          </w:tcPr>
          <w:p w14:paraId="168FA8C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适老化改造基本项目清单</w:t>
            </w:r>
          </w:p>
        </w:tc>
      </w:tr>
      <w:tr w14:paraId="67F2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34B67807">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序号</w:t>
            </w:r>
          </w:p>
        </w:tc>
        <w:tc>
          <w:tcPr>
            <w:tcW w:w="1261" w:type="dxa"/>
            <w:noWrap w:val="0"/>
            <w:vAlign w:val="center"/>
          </w:tcPr>
          <w:p w14:paraId="2F40168D">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类别</w:t>
            </w:r>
          </w:p>
        </w:tc>
        <w:tc>
          <w:tcPr>
            <w:tcW w:w="1339" w:type="dxa"/>
            <w:noWrap w:val="0"/>
            <w:vAlign w:val="center"/>
          </w:tcPr>
          <w:p w14:paraId="45E0C601">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项目名称</w:t>
            </w:r>
          </w:p>
        </w:tc>
        <w:tc>
          <w:tcPr>
            <w:tcW w:w="4579" w:type="dxa"/>
            <w:noWrap w:val="0"/>
            <w:vAlign w:val="center"/>
          </w:tcPr>
          <w:p w14:paraId="620875DB">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具体内容</w:t>
            </w:r>
          </w:p>
        </w:tc>
        <w:tc>
          <w:tcPr>
            <w:tcW w:w="1305" w:type="dxa"/>
            <w:noWrap w:val="0"/>
            <w:vAlign w:val="center"/>
          </w:tcPr>
          <w:p w14:paraId="2DEC20F2">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项目类型</w:t>
            </w:r>
          </w:p>
        </w:tc>
      </w:tr>
      <w:tr w14:paraId="35A8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0693600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261" w:type="dxa"/>
            <w:vMerge w:val="restart"/>
            <w:noWrap w:val="0"/>
            <w:vAlign w:val="center"/>
          </w:tcPr>
          <w:p w14:paraId="1592FD0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地面</w:t>
            </w:r>
            <w:r>
              <w:rPr>
                <w:rFonts w:hint="eastAsia" w:ascii="宋体" w:hAnsi="宋体" w:eastAsia="宋体" w:cs="宋体"/>
                <w:color w:val="auto"/>
                <w:sz w:val="21"/>
                <w:szCs w:val="21"/>
                <w:highlight w:val="none"/>
                <w:lang w:eastAsia="zh-CN"/>
              </w:rPr>
              <w:t>改造</w:t>
            </w:r>
          </w:p>
        </w:tc>
        <w:tc>
          <w:tcPr>
            <w:tcW w:w="1339" w:type="dxa"/>
            <w:noWrap w:val="0"/>
            <w:vAlign w:val="center"/>
          </w:tcPr>
          <w:p w14:paraId="6A16BE79">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防滑处理</w:t>
            </w:r>
          </w:p>
        </w:tc>
        <w:tc>
          <w:tcPr>
            <w:tcW w:w="4579" w:type="dxa"/>
            <w:noWrap w:val="0"/>
            <w:vAlign w:val="center"/>
          </w:tcPr>
          <w:p w14:paraId="5A401F62">
            <w:pPr>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在卫生间、厨房、卧室等区域，铺设防滑砖或者防滑地胶</w:t>
            </w:r>
          </w:p>
        </w:tc>
        <w:tc>
          <w:tcPr>
            <w:tcW w:w="1305" w:type="dxa"/>
            <w:noWrap w:val="0"/>
            <w:vAlign w:val="center"/>
          </w:tcPr>
          <w:p w14:paraId="5E941D74">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eastAsia="zh-CN"/>
              </w:rPr>
              <w:t>基础</w:t>
            </w:r>
          </w:p>
        </w:tc>
      </w:tr>
      <w:tr w14:paraId="7976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1A4230B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261" w:type="dxa"/>
            <w:vMerge w:val="continue"/>
            <w:noWrap w:val="0"/>
            <w:vAlign w:val="center"/>
          </w:tcPr>
          <w:p w14:paraId="60770C3C">
            <w:pPr>
              <w:jc w:val="center"/>
              <w:rPr>
                <w:rFonts w:hint="eastAsia" w:ascii="宋体" w:hAnsi="宋体" w:eastAsia="宋体" w:cs="宋体"/>
                <w:color w:val="auto"/>
                <w:sz w:val="21"/>
                <w:szCs w:val="21"/>
                <w:highlight w:val="none"/>
                <w:vertAlign w:val="baseline"/>
              </w:rPr>
            </w:pPr>
          </w:p>
        </w:tc>
        <w:tc>
          <w:tcPr>
            <w:tcW w:w="1339" w:type="dxa"/>
            <w:noWrap w:val="0"/>
            <w:vAlign w:val="center"/>
          </w:tcPr>
          <w:p w14:paraId="2F8ECF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高差处理</w:t>
            </w:r>
          </w:p>
        </w:tc>
        <w:tc>
          <w:tcPr>
            <w:tcW w:w="4579" w:type="dxa"/>
            <w:noWrap w:val="0"/>
            <w:vAlign w:val="center"/>
          </w:tcPr>
          <w:p w14:paraId="1379248B">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铺设水泥坡道或者加设橡胶等材质的可移动式坡道</w:t>
            </w:r>
          </w:p>
        </w:tc>
        <w:tc>
          <w:tcPr>
            <w:tcW w:w="1305" w:type="dxa"/>
            <w:noWrap w:val="0"/>
            <w:vAlign w:val="center"/>
          </w:tcPr>
          <w:p w14:paraId="190E32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基础</w:t>
            </w:r>
          </w:p>
        </w:tc>
      </w:tr>
      <w:tr w14:paraId="15B5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2BA0670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261" w:type="dxa"/>
            <w:vMerge w:val="restart"/>
            <w:noWrap w:val="0"/>
            <w:vAlign w:val="center"/>
          </w:tcPr>
          <w:p w14:paraId="2FE43C8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门改造</w:t>
            </w:r>
          </w:p>
        </w:tc>
        <w:tc>
          <w:tcPr>
            <w:tcW w:w="1339" w:type="dxa"/>
            <w:noWrap w:val="0"/>
            <w:vAlign w:val="center"/>
          </w:tcPr>
          <w:p w14:paraId="5062A6E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门槛移除</w:t>
            </w:r>
          </w:p>
        </w:tc>
        <w:tc>
          <w:tcPr>
            <w:tcW w:w="4579" w:type="dxa"/>
            <w:noWrap w:val="0"/>
            <w:vAlign w:val="center"/>
          </w:tcPr>
          <w:p w14:paraId="4BE46D0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移除门槛</w:t>
            </w:r>
            <w:r>
              <w:rPr>
                <w:rFonts w:hint="eastAsia" w:ascii="宋体" w:hAnsi="宋体" w:eastAsia="宋体" w:cs="宋体"/>
                <w:color w:val="auto"/>
                <w:sz w:val="21"/>
                <w:szCs w:val="21"/>
                <w:highlight w:val="none"/>
                <w:lang w:eastAsia="zh-CN"/>
              </w:rPr>
              <w:t>，便利老年人进出</w:t>
            </w:r>
          </w:p>
        </w:tc>
        <w:tc>
          <w:tcPr>
            <w:tcW w:w="1305" w:type="dxa"/>
            <w:noWrap w:val="0"/>
            <w:vAlign w:val="center"/>
          </w:tcPr>
          <w:p w14:paraId="51A2798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可选</w:t>
            </w:r>
          </w:p>
        </w:tc>
      </w:tr>
      <w:tr w14:paraId="1305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30F0C74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261" w:type="dxa"/>
            <w:vMerge w:val="continue"/>
            <w:noWrap w:val="0"/>
            <w:vAlign w:val="center"/>
          </w:tcPr>
          <w:p w14:paraId="310395B7">
            <w:pPr>
              <w:jc w:val="center"/>
              <w:rPr>
                <w:rFonts w:hint="eastAsia" w:ascii="宋体" w:hAnsi="宋体" w:eastAsia="宋体" w:cs="宋体"/>
                <w:color w:val="auto"/>
                <w:sz w:val="21"/>
                <w:szCs w:val="21"/>
                <w:highlight w:val="none"/>
                <w:vertAlign w:val="baseline"/>
              </w:rPr>
            </w:pPr>
          </w:p>
        </w:tc>
        <w:tc>
          <w:tcPr>
            <w:tcW w:w="1339" w:type="dxa"/>
            <w:noWrap w:val="0"/>
            <w:vAlign w:val="center"/>
          </w:tcPr>
          <w:p w14:paraId="066D08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房门拓宽</w:t>
            </w:r>
          </w:p>
        </w:tc>
        <w:tc>
          <w:tcPr>
            <w:tcW w:w="4579" w:type="dxa"/>
            <w:noWrap w:val="0"/>
            <w:vAlign w:val="center"/>
          </w:tcPr>
          <w:p w14:paraId="6E518E8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对卫生间、厨房等空间较窄的门洞进行拓宽，改善通过性，方便轮椅进出</w:t>
            </w:r>
          </w:p>
        </w:tc>
        <w:tc>
          <w:tcPr>
            <w:tcW w:w="1305" w:type="dxa"/>
            <w:noWrap w:val="0"/>
            <w:vAlign w:val="center"/>
          </w:tcPr>
          <w:p w14:paraId="2EC5D3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可选</w:t>
            </w:r>
          </w:p>
        </w:tc>
      </w:tr>
      <w:tr w14:paraId="2D70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15314D5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261" w:type="dxa"/>
            <w:vMerge w:val="continue"/>
            <w:noWrap w:val="0"/>
            <w:vAlign w:val="center"/>
          </w:tcPr>
          <w:p w14:paraId="12FFD484">
            <w:pPr>
              <w:jc w:val="center"/>
              <w:rPr>
                <w:rFonts w:hint="eastAsia" w:ascii="宋体" w:hAnsi="宋体" w:eastAsia="宋体" w:cs="宋体"/>
                <w:color w:val="auto"/>
                <w:sz w:val="21"/>
                <w:szCs w:val="21"/>
                <w:highlight w:val="none"/>
                <w:vertAlign w:val="baseline"/>
              </w:rPr>
            </w:pPr>
          </w:p>
        </w:tc>
        <w:tc>
          <w:tcPr>
            <w:tcW w:w="1339" w:type="dxa"/>
            <w:noWrap w:val="0"/>
            <w:vAlign w:val="center"/>
          </w:tcPr>
          <w:p w14:paraId="280D3B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下压式</w:t>
            </w:r>
          </w:p>
          <w:p w14:paraId="4B4CD1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门把手改造</w:t>
            </w:r>
          </w:p>
        </w:tc>
        <w:tc>
          <w:tcPr>
            <w:tcW w:w="4579" w:type="dxa"/>
            <w:noWrap w:val="0"/>
            <w:vAlign w:val="center"/>
          </w:tcPr>
          <w:p w14:paraId="529A656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可用单手手掌或者手指轻松操作，增加摩擦力和稳定性</w:t>
            </w:r>
            <w:r>
              <w:rPr>
                <w:rFonts w:hint="eastAsia" w:ascii="宋体" w:hAnsi="宋体" w:eastAsia="宋体" w:cs="宋体"/>
                <w:color w:val="auto"/>
                <w:sz w:val="21"/>
                <w:szCs w:val="21"/>
                <w:highlight w:val="none"/>
                <w:lang w:eastAsia="zh-CN"/>
              </w:rPr>
              <w:t>，方便老年人开门</w:t>
            </w:r>
          </w:p>
        </w:tc>
        <w:tc>
          <w:tcPr>
            <w:tcW w:w="1305" w:type="dxa"/>
            <w:noWrap w:val="0"/>
            <w:vAlign w:val="center"/>
          </w:tcPr>
          <w:p w14:paraId="3EF11B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可选</w:t>
            </w:r>
          </w:p>
        </w:tc>
      </w:tr>
      <w:tr w14:paraId="4D2F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5125284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261" w:type="dxa"/>
            <w:vMerge w:val="restart"/>
            <w:noWrap w:val="0"/>
            <w:vAlign w:val="center"/>
          </w:tcPr>
          <w:p w14:paraId="1A112E5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卧室</w:t>
            </w:r>
            <w:r>
              <w:rPr>
                <w:rFonts w:hint="eastAsia" w:ascii="宋体" w:hAnsi="宋体" w:eastAsia="宋体" w:cs="宋体"/>
                <w:color w:val="auto"/>
                <w:sz w:val="21"/>
                <w:szCs w:val="21"/>
                <w:highlight w:val="none"/>
                <w:vertAlign w:val="baseline"/>
                <w:lang w:eastAsia="zh-CN"/>
              </w:rPr>
              <w:t>改造</w:t>
            </w:r>
          </w:p>
        </w:tc>
        <w:tc>
          <w:tcPr>
            <w:tcW w:w="1339" w:type="dxa"/>
            <w:noWrap w:val="0"/>
            <w:vAlign w:val="center"/>
          </w:tcPr>
          <w:p w14:paraId="6F8D08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安装床边</w:t>
            </w:r>
          </w:p>
          <w:p w14:paraId="3835C3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护栏（抓杆）</w:t>
            </w:r>
          </w:p>
        </w:tc>
        <w:tc>
          <w:tcPr>
            <w:tcW w:w="4579" w:type="dxa"/>
            <w:noWrap w:val="0"/>
            <w:vAlign w:val="center"/>
          </w:tcPr>
          <w:p w14:paraId="6FE2F0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辅助老年人起身、上下床，防止翻身滚下床</w:t>
            </w:r>
          </w:p>
        </w:tc>
        <w:tc>
          <w:tcPr>
            <w:tcW w:w="1305" w:type="dxa"/>
            <w:noWrap w:val="0"/>
            <w:vAlign w:val="center"/>
          </w:tcPr>
          <w:p w14:paraId="3C65DD2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基础</w:t>
            </w:r>
          </w:p>
        </w:tc>
      </w:tr>
      <w:tr w14:paraId="0B6B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1FE171E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261" w:type="dxa"/>
            <w:vMerge w:val="continue"/>
            <w:noWrap w:val="0"/>
            <w:vAlign w:val="center"/>
          </w:tcPr>
          <w:p w14:paraId="0D084140">
            <w:pPr>
              <w:jc w:val="center"/>
              <w:rPr>
                <w:rFonts w:hint="eastAsia" w:ascii="宋体" w:hAnsi="宋体" w:eastAsia="宋体" w:cs="宋体"/>
                <w:color w:val="auto"/>
                <w:sz w:val="21"/>
                <w:szCs w:val="21"/>
                <w:highlight w:val="none"/>
                <w:vertAlign w:val="baseline"/>
              </w:rPr>
            </w:pPr>
          </w:p>
        </w:tc>
        <w:tc>
          <w:tcPr>
            <w:tcW w:w="1339" w:type="dxa"/>
            <w:noWrap w:val="0"/>
            <w:vAlign w:val="center"/>
          </w:tcPr>
          <w:p w14:paraId="0CF59F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配置护理床</w:t>
            </w:r>
          </w:p>
        </w:tc>
        <w:tc>
          <w:tcPr>
            <w:tcW w:w="4579" w:type="dxa"/>
            <w:noWrap w:val="0"/>
            <w:vAlign w:val="center"/>
          </w:tcPr>
          <w:p w14:paraId="1F032B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帮助失能老年人完成起身、侧翻、上下床、吃饭等动作，辅助喂食、处理排泄物等</w:t>
            </w:r>
          </w:p>
        </w:tc>
        <w:tc>
          <w:tcPr>
            <w:tcW w:w="1305" w:type="dxa"/>
            <w:noWrap w:val="0"/>
            <w:vAlign w:val="center"/>
          </w:tcPr>
          <w:p w14:paraId="718ED01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可选</w:t>
            </w:r>
          </w:p>
        </w:tc>
      </w:tr>
      <w:tr w14:paraId="25A7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4544FC8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261" w:type="dxa"/>
            <w:vMerge w:val="continue"/>
            <w:noWrap w:val="0"/>
            <w:vAlign w:val="center"/>
          </w:tcPr>
          <w:p w14:paraId="76EEFE0A">
            <w:pPr>
              <w:jc w:val="center"/>
              <w:rPr>
                <w:rFonts w:hint="eastAsia" w:ascii="宋体" w:hAnsi="宋体" w:eastAsia="宋体" w:cs="宋体"/>
                <w:color w:val="auto"/>
                <w:sz w:val="21"/>
                <w:szCs w:val="21"/>
                <w:highlight w:val="none"/>
                <w:vertAlign w:val="baseline"/>
              </w:rPr>
            </w:pPr>
          </w:p>
        </w:tc>
        <w:tc>
          <w:tcPr>
            <w:tcW w:w="1339" w:type="dxa"/>
            <w:noWrap w:val="0"/>
            <w:vAlign w:val="center"/>
          </w:tcPr>
          <w:p w14:paraId="1FB504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配置防压</w:t>
            </w:r>
          </w:p>
          <w:p w14:paraId="42CF5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疮垫</w:t>
            </w:r>
          </w:p>
        </w:tc>
        <w:tc>
          <w:tcPr>
            <w:tcW w:w="4579" w:type="dxa"/>
            <w:noWrap w:val="0"/>
            <w:vAlign w:val="center"/>
          </w:tcPr>
          <w:p w14:paraId="7E6342B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避免长期乘坐轮椅或卧床的老年人发生严重压疮，包括防压疮坐垫、靠垫或床垫等</w:t>
            </w:r>
          </w:p>
        </w:tc>
        <w:tc>
          <w:tcPr>
            <w:tcW w:w="1305" w:type="dxa"/>
            <w:noWrap w:val="0"/>
            <w:vAlign w:val="center"/>
          </w:tcPr>
          <w:p w14:paraId="3E51B9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可选</w:t>
            </w:r>
          </w:p>
        </w:tc>
      </w:tr>
      <w:tr w14:paraId="5770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09B2689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1261" w:type="dxa"/>
            <w:vMerge w:val="restart"/>
            <w:noWrap w:val="0"/>
            <w:vAlign w:val="center"/>
          </w:tcPr>
          <w:p w14:paraId="2F20186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如厕洗浴设备</w:t>
            </w:r>
            <w:r>
              <w:rPr>
                <w:rFonts w:hint="eastAsia" w:ascii="宋体" w:hAnsi="宋体" w:eastAsia="宋体" w:cs="宋体"/>
                <w:color w:val="auto"/>
                <w:sz w:val="21"/>
                <w:szCs w:val="21"/>
                <w:highlight w:val="none"/>
                <w:vertAlign w:val="baseline"/>
                <w:lang w:eastAsia="zh-CN"/>
              </w:rPr>
              <w:t>改造</w:t>
            </w:r>
          </w:p>
        </w:tc>
        <w:tc>
          <w:tcPr>
            <w:tcW w:w="1339" w:type="dxa"/>
            <w:noWrap w:val="0"/>
            <w:vAlign w:val="center"/>
          </w:tcPr>
          <w:p w14:paraId="7A8D78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安装扶手</w:t>
            </w:r>
          </w:p>
        </w:tc>
        <w:tc>
          <w:tcPr>
            <w:tcW w:w="4579" w:type="dxa"/>
            <w:noWrap w:val="0"/>
            <w:vAlign w:val="center"/>
          </w:tcPr>
          <w:p w14:paraId="71B110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在如厕区或者洗浴区安装扶手，包括一字形扶手、U形扶手、L形扶手、135°扶手、T形扶手或者助力扶手等</w:t>
            </w:r>
          </w:p>
        </w:tc>
        <w:tc>
          <w:tcPr>
            <w:tcW w:w="1305" w:type="dxa"/>
            <w:noWrap w:val="0"/>
            <w:vAlign w:val="center"/>
          </w:tcPr>
          <w:p w14:paraId="5C6FDE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基础</w:t>
            </w:r>
          </w:p>
        </w:tc>
      </w:tr>
      <w:tr w14:paraId="5029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28A00C4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1261" w:type="dxa"/>
            <w:vMerge w:val="continue"/>
            <w:noWrap w:val="0"/>
            <w:vAlign w:val="center"/>
          </w:tcPr>
          <w:p w14:paraId="45B1B9AC">
            <w:pPr>
              <w:jc w:val="center"/>
              <w:rPr>
                <w:rFonts w:hint="eastAsia" w:ascii="宋体" w:hAnsi="宋体" w:eastAsia="宋体" w:cs="宋体"/>
                <w:color w:val="auto"/>
                <w:sz w:val="21"/>
                <w:szCs w:val="21"/>
                <w:highlight w:val="none"/>
                <w:vertAlign w:val="baseline"/>
              </w:rPr>
            </w:pPr>
          </w:p>
        </w:tc>
        <w:tc>
          <w:tcPr>
            <w:tcW w:w="1339" w:type="dxa"/>
            <w:noWrap w:val="0"/>
            <w:vAlign w:val="center"/>
          </w:tcPr>
          <w:p w14:paraId="35EFA7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配置淋浴椅</w:t>
            </w:r>
          </w:p>
        </w:tc>
        <w:tc>
          <w:tcPr>
            <w:tcW w:w="4579" w:type="dxa"/>
            <w:noWrap w:val="0"/>
            <w:vAlign w:val="center"/>
          </w:tcPr>
          <w:p w14:paraId="16F313DB">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辅助老年人洗澡用，避免老年人滑倒</w:t>
            </w:r>
          </w:p>
        </w:tc>
        <w:tc>
          <w:tcPr>
            <w:tcW w:w="1305" w:type="dxa"/>
            <w:noWrap w:val="0"/>
            <w:vAlign w:val="center"/>
          </w:tcPr>
          <w:p w14:paraId="2C55EC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基础</w:t>
            </w:r>
          </w:p>
        </w:tc>
      </w:tr>
      <w:tr w14:paraId="29F7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39BED1E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1261" w:type="dxa"/>
            <w:vMerge w:val="restart"/>
            <w:noWrap w:val="0"/>
            <w:vAlign w:val="center"/>
          </w:tcPr>
          <w:p w14:paraId="53D97BB2">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物理环境改造</w:t>
            </w:r>
          </w:p>
        </w:tc>
        <w:tc>
          <w:tcPr>
            <w:tcW w:w="1339" w:type="dxa"/>
            <w:noWrap w:val="0"/>
            <w:vAlign w:val="center"/>
          </w:tcPr>
          <w:p w14:paraId="16D741F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灯源改造</w:t>
            </w:r>
          </w:p>
        </w:tc>
        <w:tc>
          <w:tcPr>
            <w:tcW w:w="4579" w:type="dxa"/>
            <w:noWrap w:val="0"/>
            <w:vAlign w:val="center"/>
          </w:tcPr>
          <w:p w14:paraId="078DD30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安装自动感应灯，辅助老年人起夜使用</w:t>
            </w:r>
          </w:p>
        </w:tc>
        <w:tc>
          <w:tcPr>
            <w:tcW w:w="1305" w:type="dxa"/>
            <w:noWrap w:val="0"/>
            <w:vAlign w:val="center"/>
          </w:tcPr>
          <w:p w14:paraId="4DCF1B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基础</w:t>
            </w:r>
          </w:p>
        </w:tc>
      </w:tr>
      <w:tr w14:paraId="3167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3DECBFA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1261" w:type="dxa"/>
            <w:vMerge w:val="continue"/>
            <w:noWrap w:val="0"/>
            <w:vAlign w:val="center"/>
          </w:tcPr>
          <w:p w14:paraId="241A65C7">
            <w:pPr>
              <w:jc w:val="center"/>
              <w:rPr>
                <w:rFonts w:hint="eastAsia" w:ascii="宋体" w:hAnsi="宋体" w:eastAsia="宋体" w:cs="宋体"/>
                <w:color w:val="auto"/>
                <w:sz w:val="21"/>
                <w:szCs w:val="21"/>
                <w:highlight w:val="none"/>
                <w:vertAlign w:val="baseline"/>
              </w:rPr>
            </w:pPr>
          </w:p>
        </w:tc>
        <w:tc>
          <w:tcPr>
            <w:tcW w:w="1339" w:type="dxa"/>
            <w:noWrap w:val="0"/>
            <w:vAlign w:val="center"/>
          </w:tcPr>
          <w:p w14:paraId="04564F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电源插座及开关改造</w:t>
            </w:r>
          </w:p>
        </w:tc>
        <w:tc>
          <w:tcPr>
            <w:tcW w:w="4579" w:type="dxa"/>
            <w:noWrap w:val="0"/>
            <w:vAlign w:val="center"/>
          </w:tcPr>
          <w:p w14:paraId="3AF78F9E">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根据情况</w:t>
            </w:r>
            <w:r>
              <w:rPr>
                <w:rFonts w:hint="eastAsia" w:ascii="宋体" w:hAnsi="宋体" w:eastAsia="宋体" w:cs="宋体"/>
                <w:color w:val="auto"/>
                <w:sz w:val="21"/>
                <w:szCs w:val="21"/>
                <w:highlight w:val="none"/>
              </w:rPr>
              <w:t>进行高/低位</w:t>
            </w:r>
            <w:r>
              <w:rPr>
                <w:rFonts w:hint="eastAsia" w:ascii="宋体" w:hAnsi="宋体" w:eastAsia="宋体" w:cs="宋体"/>
                <w:color w:val="auto"/>
                <w:sz w:val="21"/>
                <w:szCs w:val="21"/>
                <w:highlight w:val="none"/>
                <w:lang w:eastAsia="zh-CN"/>
              </w:rPr>
              <w:t>、大面板、夜间指示改造</w:t>
            </w:r>
            <w:r>
              <w:rPr>
                <w:rFonts w:hint="eastAsia" w:ascii="宋体" w:hAnsi="宋体" w:eastAsia="宋体" w:cs="宋体"/>
                <w:color w:val="auto"/>
                <w:sz w:val="21"/>
                <w:szCs w:val="21"/>
                <w:highlight w:val="none"/>
              </w:rPr>
              <w:t>，方便</w:t>
            </w:r>
            <w:r>
              <w:rPr>
                <w:rFonts w:hint="eastAsia" w:ascii="宋体" w:hAnsi="宋体" w:eastAsia="宋体" w:cs="宋体"/>
                <w:color w:val="auto"/>
                <w:sz w:val="21"/>
                <w:szCs w:val="21"/>
                <w:highlight w:val="none"/>
                <w:lang w:eastAsia="zh-CN"/>
              </w:rPr>
              <w:t>老年人使用</w:t>
            </w:r>
          </w:p>
        </w:tc>
        <w:tc>
          <w:tcPr>
            <w:tcW w:w="1305" w:type="dxa"/>
            <w:noWrap w:val="0"/>
            <w:vAlign w:val="center"/>
          </w:tcPr>
          <w:p w14:paraId="31852B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w:t>
            </w:r>
          </w:p>
        </w:tc>
      </w:tr>
      <w:tr w14:paraId="5EBB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800" w:type="dxa"/>
            <w:noWrap w:val="0"/>
            <w:vAlign w:val="center"/>
          </w:tcPr>
          <w:p w14:paraId="0F3FBEE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1261" w:type="dxa"/>
            <w:vMerge w:val="continue"/>
            <w:noWrap w:val="0"/>
            <w:vAlign w:val="center"/>
          </w:tcPr>
          <w:p w14:paraId="42D5E272">
            <w:pPr>
              <w:jc w:val="center"/>
              <w:rPr>
                <w:rFonts w:hint="eastAsia" w:ascii="宋体" w:hAnsi="宋体" w:eastAsia="宋体" w:cs="宋体"/>
                <w:color w:val="auto"/>
                <w:sz w:val="21"/>
                <w:szCs w:val="21"/>
                <w:highlight w:val="none"/>
                <w:vertAlign w:val="baseline"/>
              </w:rPr>
            </w:pPr>
          </w:p>
        </w:tc>
        <w:tc>
          <w:tcPr>
            <w:tcW w:w="1339" w:type="dxa"/>
            <w:noWrap w:val="0"/>
            <w:vAlign w:val="center"/>
          </w:tcPr>
          <w:p w14:paraId="7B8B44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安装防撞护角/防撞条、提示标识</w:t>
            </w:r>
          </w:p>
        </w:tc>
        <w:tc>
          <w:tcPr>
            <w:tcW w:w="4579" w:type="dxa"/>
            <w:noWrap w:val="0"/>
            <w:vAlign w:val="center"/>
          </w:tcPr>
          <w:p w14:paraId="2E9F44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在家具尖角或墙角安装防撞护角或者防撞条，必要时粘贴警示条</w:t>
            </w:r>
          </w:p>
        </w:tc>
        <w:tc>
          <w:tcPr>
            <w:tcW w:w="1305" w:type="dxa"/>
            <w:noWrap w:val="0"/>
            <w:vAlign w:val="center"/>
          </w:tcPr>
          <w:p w14:paraId="13367A5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可选</w:t>
            </w:r>
          </w:p>
        </w:tc>
      </w:tr>
      <w:tr w14:paraId="219A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9284" w:type="dxa"/>
            <w:gridSpan w:val="5"/>
            <w:shd w:val="clear" w:color="auto" w:fill="B6DDE8" w:themeFill="accent5" w:themeFillTint="66"/>
            <w:noWrap w:val="0"/>
            <w:vAlign w:val="center"/>
          </w:tcPr>
          <w:p w14:paraId="757B7F76">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2"/>
                <w:szCs w:val="22"/>
                <w:highlight w:val="none"/>
                <w:vertAlign w:val="baseline"/>
                <w:lang w:val="en-US" w:eastAsia="zh-CN"/>
              </w:rPr>
              <w:t>智能化改造基本项目清单</w:t>
            </w:r>
          </w:p>
        </w:tc>
      </w:tr>
      <w:tr w14:paraId="32BE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0AD664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序号</w:t>
            </w:r>
          </w:p>
        </w:tc>
        <w:tc>
          <w:tcPr>
            <w:tcW w:w="1261" w:type="dxa"/>
            <w:noWrap w:val="0"/>
            <w:vAlign w:val="center"/>
          </w:tcPr>
          <w:p w14:paraId="6F96AF8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类别</w:t>
            </w:r>
          </w:p>
        </w:tc>
        <w:tc>
          <w:tcPr>
            <w:tcW w:w="1339" w:type="dxa"/>
            <w:noWrap w:val="0"/>
            <w:vAlign w:val="center"/>
          </w:tcPr>
          <w:p w14:paraId="4D153B9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eastAsia="zh-CN"/>
              </w:rPr>
              <w:t>项目名称</w:t>
            </w:r>
          </w:p>
        </w:tc>
        <w:tc>
          <w:tcPr>
            <w:tcW w:w="4579" w:type="dxa"/>
            <w:noWrap w:val="0"/>
            <w:vAlign w:val="center"/>
          </w:tcPr>
          <w:p w14:paraId="1EF5732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eastAsia="zh-CN"/>
              </w:rPr>
              <w:t>具体内容</w:t>
            </w:r>
          </w:p>
        </w:tc>
        <w:tc>
          <w:tcPr>
            <w:tcW w:w="1305" w:type="dxa"/>
            <w:noWrap w:val="0"/>
            <w:vAlign w:val="center"/>
          </w:tcPr>
          <w:p w14:paraId="5BD5E9E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eastAsia="zh-CN"/>
              </w:rPr>
              <w:t>项目类型</w:t>
            </w:r>
          </w:p>
        </w:tc>
      </w:tr>
      <w:tr w14:paraId="22D0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19A6FE3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14</w:t>
            </w:r>
          </w:p>
        </w:tc>
        <w:tc>
          <w:tcPr>
            <w:tcW w:w="1261" w:type="dxa"/>
            <w:vMerge w:val="restart"/>
            <w:noWrap w:val="0"/>
            <w:vAlign w:val="center"/>
          </w:tcPr>
          <w:p w14:paraId="0DAD115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网络连接设备</w:t>
            </w:r>
          </w:p>
        </w:tc>
        <w:tc>
          <w:tcPr>
            <w:tcW w:w="1339" w:type="dxa"/>
            <w:noWrap w:val="0"/>
            <w:vAlign w:val="center"/>
          </w:tcPr>
          <w:p w14:paraId="3C629E0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WIFI</w:t>
            </w:r>
            <w:r>
              <w:rPr>
                <w:rFonts w:hint="eastAsia" w:ascii="宋体" w:hAnsi="宋体" w:eastAsia="宋体" w:cs="宋体"/>
                <w:color w:val="auto"/>
                <w:sz w:val="21"/>
                <w:szCs w:val="21"/>
                <w:highlight w:val="none"/>
                <w:vertAlign w:val="baseline"/>
                <w:lang w:eastAsia="zh-CN"/>
              </w:rPr>
              <w:t>路由器</w:t>
            </w:r>
          </w:p>
        </w:tc>
        <w:tc>
          <w:tcPr>
            <w:tcW w:w="4579" w:type="dxa"/>
            <w:vMerge w:val="restart"/>
            <w:noWrap w:val="0"/>
            <w:vAlign w:val="center"/>
          </w:tcPr>
          <w:p w14:paraId="157FA66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保证相关智能设备数据的传送和服务响应</w:t>
            </w:r>
          </w:p>
        </w:tc>
        <w:tc>
          <w:tcPr>
            <w:tcW w:w="1305" w:type="dxa"/>
            <w:vMerge w:val="restart"/>
            <w:noWrap w:val="0"/>
            <w:vAlign w:val="center"/>
          </w:tcPr>
          <w:p w14:paraId="3181809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基础（任选其一）</w:t>
            </w:r>
          </w:p>
        </w:tc>
      </w:tr>
      <w:tr w14:paraId="3170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0EBD9A1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1261" w:type="dxa"/>
            <w:vMerge w:val="continue"/>
            <w:noWrap w:val="0"/>
            <w:vAlign w:val="center"/>
          </w:tcPr>
          <w:p w14:paraId="6590B0F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p>
        </w:tc>
        <w:tc>
          <w:tcPr>
            <w:tcW w:w="1339" w:type="dxa"/>
            <w:noWrap w:val="0"/>
            <w:vAlign w:val="center"/>
          </w:tcPr>
          <w:p w14:paraId="7B778BC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无线网卡</w:t>
            </w:r>
          </w:p>
        </w:tc>
        <w:tc>
          <w:tcPr>
            <w:tcW w:w="4579" w:type="dxa"/>
            <w:vMerge w:val="continue"/>
            <w:noWrap w:val="0"/>
            <w:vAlign w:val="center"/>
          </w:tcPr>
          <w:p w14:paraId="2EA01D3E">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eastAsia="zh-CN"/>
              </w:rPr>
            </w:pPr>
          </w:p>
        </w:tc>
        <w:tc>
          <w:tcPr>
            <w:tcW w:w="1305" w:type="dxa"/>
            <w:vMerge w:val="continue"/>
            <w:noWrap w:val="0"/>
            <w:vAlign w:val="center"/>
          </w:tcPr>
          <w:p w14:paraId="4AF9E62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p>
        </w:tc>
      </w:tr>
      <w:tr w14:paraId="6807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708A07C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w:t>
            </w:r>
          </w:p>
        </w:tc>
        <w:tc>
          <w:tcPr>
            <w:tcW w:w="1261" w:type="dxa"/>
            <w:noWrap w:val="0"/>
            <w:vAlign w:val="center"/>
          </w:tcPr>
          <w:p w14:paraId="53CD0EA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紧急呼叫设备</w:t>
            </w:r>
          </w:p>
        </w:tc>
        <w:tc>
          <w:tcPr>
            <w:tcW w:w="1339" w:type="dxa"/>
            <w:noWrap w:val="0"/>
            <w:vAlign w:val="center"/>
          </w:tcPr>
          <w:p w14:paraId="61DFC7E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紧急呼叫器</w:t>
            </w:r>
          </w:p>
        </w:tc>
        <w:tc>
          <w:tcPr>
            <w:tcW w:w="4579" w:type="dxa"/>
            <w:noWrap w:val="0"/>
            <w:vAlign w:val="center"/>
          </w:tcPr>
          <w:p w14:paraId="5B35951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安装在床头、卫生间等关键位置，老年人出现危机情况便于一键呼叫</w:t>
            </w:r>
          </w:p>
        </w:tc>
        <w:tc>
          <w:tcPr>
            <w:tcW w:w="1305" w:type="dxa"/>
            <w:noWrap w:val="0"/>
            <w:vAlign w:val="center"/>
          </w:tcPr>
          <w:p w14:paraId="0CD6527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基础</w:t>
            </w:r>
          </w:p>
        </w:tc>
      </w:tr>
      <w:tr w14:paraId="2362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2050BD9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w:t>
            </w:r>
          </w:p>
        </w:tc>
        <w:tc>
          <w:tcPr>
            <w:tcW w:w="1261" w:type="dxa"/>
            <w:noWrap w:val="0"/>
            <w:vAlign w:val="center"/>
          </w:tcPr>
          <w:p w14:paraId="50C70C2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生命体征监测设备</w:t>
            </w:r>
          </w:p>
        </w:tc>
        <w:tc>
          <w:tcPr>
            <w:tcW w:w="1339" w:type="dxa"/>
            <w:noWrap w:val="0"/>
            <w:vAlign w:val="center"/>
          </w:tcPr>
          <w:p w14:paraId="2F83633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智能腕表</w:t>
            </w:r>
          </w:p>
        </w:tc>
        <w:tc>
          <w:tcPr>
            <w:tcW w:w="4579" w:type="dxa"/>
            <w:noWrap w:val="0"/>
            <w:vAlign w:val="center"/>
          </w:tcPr>
          <w:p w14:paraId="00E40622">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动态监测和记录老年人呼吸、心率等参数，发现异常自动提醒</w:t>
            </w:r>
          </w:p>
        </w:tc>
        <w:tc>
          <w:tcPr>
            <w:tcW w:w="1305" w:type="dxa"/>
            <w:noWrap w:val="0"/>
            <w:vAlign w:val="center"/>
          </w:tcPr>
          <w:p w14:paraId="0DE0860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基础</w:t>
            </w:r>
          </w:p>
        </w:tc>
      </w:tr>
      <w:tr w14:paraId="19EE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6E49477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w:t>
            </w:r>
          </w:p>
        </w:tc>
        <w:tc>
          <w:tcPr>
            <w:tcW w:w="1261" w:type="dxa"/>
            <w:vMerge w:val="restart"/>
            <w:noWrap w:val="0"/>
            <w:vAlign w:val="center"/>
          </w:tcPr>
          <w:p w14:paraId="4F14F1D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安全监控装置</w:t>
            </w:r>
          </w:p>
        </w:tc>
        <w:tc>
          <w:tcPr>
            <w:tcW w:w="1339" w:type="dxa"/>
            <w:noWrap w:val="0"/>
            <w:vAlign w:val="center"/>
          </w:tcPr>
          <w:p w14:paraId="6627087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烟雾</w:t>
            </w:r>
            <w:r>
              <w:rPr>
                <w:rFonts w:hint="eastAsia" w:ascii="宋体" w:hAnsi="宋体" w:eastAsia="宋体" w:cs="宋体"/>
                <w:color w:val="auto"/>
                <w:sz w:val="21"/>
                <w:szCs w:val="21"/>
                <w:highlight w:val="none"/>
                <w:vertAlign w:val="baseline"/>
                <w:lang w:val="en-US" w:eastAsia="zh-CN"/>
              </w:rPr>
              <w:t>报警器</w:t>
            </w:r>
          </w:p>
        </w:tc>
        <w:tc>
          <w:tcPr>
            <w:tcW w:w="4579" w:type="dxa"/>
            <w:vMerge w:val="restart"/>
            <w:noWrap w:val="0"/>
            <w:vAlign w:val="center"/>
          </w:tcPr>
          <w:p w14:paraId="1B39472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安装在居家应急响应位置，用于监测老年人居室环境，发生险情时及时报警</w:t>
            </w:r>
          </w:p>
        </w:tc>
        <w:tc>
          <w:tcPr>
            <w:tcW w:w="1305" w:type="dxa"/>
            <w:noWrap w:val="0"/>
            <w:vAlign w:val="center"/>
          </w:tcPr>
          <w:p w14:paraId="7555504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基础</w:t>
            </w:r>
          </w:p>
        </w:tc>
      </w:tr>
      <w:tr w14:paraId="5151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54C3780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w:t>
            </w:r>
          </w:p>
        </w:tc>
        <w:tc>
          <w:tcPr>
            <w:tcW w:w="1261" w:type="dxa"/>
            <w:vMerge w:val="continue"/>
            <w:noWrap w:val="0"/>
            <w:vAlign w:val="center"/>
          </w:tcPr>
          <w:p w14:paraId="20C1FD8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p>
        </w:tc>
        <w:tc>
          <w:tcPr>
            <w:tcW w:w="1339" w:type="dxa"/>
            <w:noWrap w:val="0"/>
            <w:vAlign w:val="center"/>
          </w:tcPr>
          <w:p w14:paraId="0248712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可燃气体</w:t>
            </w:r>
          </w:p>
          <w:p w14:paraId="219F4A0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泄露报警器</w:t>
            </w:r>
          </w:p>
        </w:tc>
        <w:tc>
          <w:tcPr>
            <w:tcW w:w="4579" w:type="dxa"/>
            <w:vMerge w:val="continue"/>
            <w:noWrap w:val="0"/>
            <w:vAlign w:val="center"/>
          </w:tcPr>
          <w:p w14:paraId="58506A5B">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eastAsia="zh-CN"/>
              </w:rPr>
            </w:pPr>
          </w:p>
        </w:tc>
        <w:tc>
          <w:tcPr>
            <w:tcW w:w="1305" w:type="dxa"/>
            <w:noWrap w:val="0"/>
            <w:vAlign w:val="center"/>
          </w:tcPr>
          <w:p w14:paraId="3EAC3D0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可选</w:t>
            </w:r>
          </w:p>
        </w:tc>
      </w:tr>
      <w:tr w14:paraId="6B93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013464E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w:t>
            </w:r>
          </w:p>
        </w:tc>
        <w:tc>
          <w:tcPr>
            <w:tcW w:w="1261" w:type="dxa"/>
            <w:vMerge w:val="continue"/>
            <w:noWrap w:val="0"/>
            <w:vAlign w:val="center"/>
          </w:tcPr>
          <w:p w14:paraId="4FE864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p>
        </w:tc>
        <w:tc>
          <w:tcPr>
            <w:tcW w:w="1339" w:type="dxa"/>
            <w:noWrap w:val="0"/>
            <w:vAlign w:val="center"/>
          </w:tcPr>
          <w:p w14:paraId="787CF2A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溢水报警器</w:t>
            </w:r>
          </w:p>
        </w:tc>
        <w:tc>
          <w:tcPr>
            <w:tcW w:w="4579" w:type="dxa"/>
            <w:vMerge w:val="continue"/>
            <w:noWrap w:val="0"/>
            <w:vAlign w:val="center"/>
          </w:tcPr>
          <w:p w14:paraId="6D4B34F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eastAsia="zh-CN"/>
              </w:rPr>
            </w:pPr>
          </w:p>
        </w:tc>
        <w:tc>
          <w:tcPr>
            <w:tcW w:w="1305" w:type="dxa"/>
            <w:noWrap w:val="0"/>
            <w:vAlign w:val="center"/>
          </w:tcPr>
          <w:p w14:paraId="20DDBFE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可选</w:t>
            </w:r>
          </w:p>
        </w:tc>
      </w:tr>
      <w:tr w14:paraId="246A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7E0FF93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1261" w:type="dxa"/>
            <w:noWrap w:val="0"/>
            <w:vAlign w:val="center"/>
          </w:tcPr>
          <w:p w14:paraId="58D6254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视频或语音通话设备</w:t>
            </w:r>
          </w:p>
        </w:tc>
        <w:tc>
          <w:tcPr>
            <w:tcW w:w="1339" w:type="dxa"/>
            <w:noWrap w:val="0"/>
            <w:vAlign w:val="center"/>
          </w:tcPr>
          <w:p w14:paraId="607E6EC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智能监控摄像头</w:t>
            </w:r>
          </w:p>
        </w:tc>
        <w:tc>
          <w:tcPr>
            <w:tcW w:w="4579" w:type="dxa"/>
            <w:noWrap w:val="0"/>
            <w:vAlign w:val="center"/>
          </w:tcPr>
          <w:p w14:paraId="7C34B356">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双向实时视频或语音通话，及时准确掌握老人在家实时情况</w:t>
            </w:r>
          </w:p>
        </w:tc>
        <w:tc>
          <w:tcPr>
            <w:tcW w:w="1305" w:type="dxa"/>
            <w:noWrap w:val="0"/>
            <w:vAlign w:val="center"/>
          </w:tcPr>
          <w:p w14:paraId="77A6FAB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基础</w:t>
            </w:r>
          </w:p>
        </w:tc>
      </w:tr>
      <w:tr w14:paraId="5A68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4122FD4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w:t>
            </w:r>
          </w:p>
        </w:tc>
        <w:tc>
          <w:tcPr>
            <w:tcW w:w="1261" w:type="dxa"/>
            <w:vMerge w:val="restart"/>
            <w:noWrap w:val="0"/>
            <w:vAlign w:val="center"/>
          </w:tcPr>
          <w:p w14:paraId="50A8D96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智能感应设备</w:t>
            </w:r>
          </w:p>
        </w:tc>
        <w:tc>
          <w:tcPr>
            <w:tcW w:w="1339" w:type="dxa"/>
            <w:noWrap w:val="0"/>
            <w:vAlign w:val="center"/>
          </w:tcPr>
          <w:p w14:paraId="1B9F638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门磁感应器</w:t>
            </w:r>
          </w:p>
        </w:tc>
        <w:tc>
          <w:tcPr>
            <w:tcW w:w="4579" w:type="dxa"/>
            <w:noWrap w:val="0"/>
            <w:vAlign w:val="center"/>
          </w:tcPr>
          <w:p w14:paraId="3BA373D3">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装在门或窗等位置，实时监测门窗开闭状态，触发及时报警</w:t>
            </w:r>
          </w:p>
        </w:tc>
        <w:tc>
          <w:tcPr>
            <w:tcW w:w="1305" w:type="dxa"/>
            <w:noWrap w:val="0"/>
            <w:vAlign w:val="center"/>
          </w:tcPr>
          <w:p w14:paraId="7173523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可选</w:t>
            </w:r>
          </w:p>
        </w:tc>
      </w:tr>
      <w:tr w14:paraId="0738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129E0A0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w:t>
            </w:r>
          </w:p>
        </w:tc>
        <w:tc>
          <w:tcPr>
            <w:tcW w:w="1261" w:type="dxa"/>
            <w:vMerge w:val="continue"/>
            <w:noWrap w:val="0"/>
            <w:vAlign w:val="center"/>
          </w:tcPr>
          <w:p w14:paraId="0C5BF67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p>
        </w:tc>
        <w:tc>
          <w:tcPr>
            <w:tcW w:w="1339" w:type="dxa"/>
            <w:noWrap w:val="0"/>
            <w:vAlign w:val="center"/>
          </w:tcPr>
          <w:p w14:paraId="47DDADA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红外探测器</w:t>
            </w:r>
          </w:p>
        </w:tc>
        <w:tc>
          <w:tcPr>
            <w:tcW w:w="4579" w:type="dxa"/>
            <w:noWrap w:val="0"/>
            <w:vAlign w:val="center"/>
          </w:tcPr>
          <w:p w14:paraId="5DCAE83E">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安装在卧室、客厅等老年人频繁活动区域，探测老年人活动情况</w:t>
            </w:r>
          </w:p>
        </w:tc>
        <w:tc>
          <w:tcPr>
            <w:tcW w:w="1305" w:type="dxa"/>
            <w:noWrap w:val="0"/>
            <w:vAlign w:val="center"/>
          </w:tcPr>
          <w:p w14:paraId="32657C6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可选</w:t>
            </w:r>
          </w:p>
        </w:tc>
      </w:tr>
      <w:tr w14:paraId="43FB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9284" w:type="dxa"/>
            <w:gridSpan w:val="5"/>
            <w:shd w:val="clear" w:color="auto" w:fill="B6DDE8" w:themeFill="accent5" w:themeFillTint="66"/>
            <w:noWrap w:val="0"/>
            <w:vAlign w:val="center"/>
          </w:tcPr>
          <w:p w14:paraId="056F1528">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老年用品选配清单</w:t>
            </w:r>
          </w:p>
        </w:tc>
      </w:tr>
      <w:tr w14:paraId="1970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7B74EDE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序号</w:t>
            </w:r>
          </w:p>
        </w:tc>
        <w:tc>
          <w:tcPr>
            <w:tcW w:w="1261" w:type="dxa"/>
            <w:noWrap w:val="0"/>
            <w:vAlign w:val="center"/>
          </w:tcPr>
          <w:p w14:paraId="5C9FD04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类别</w:t>
            </w:r>
          </w:p>
        </w:tc>
        <w:tc>
          <w:tcPr>
            <w:tcW w:w="1339" w:type="dxa"/>
            <w:noWrap w:val="0"/>
            <w:vAlign w:val="center"/>
          </w:tcPr>
          <w:p w14:paraId="28F5F9A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项目名称</w:t>
            </w:r>
          </w:p>
        </w:tc>
        <w:tc>
          <w:tcPr>
            <w:tcW w:w="4579" w:type="dxa"/>
            <w:noWrap w:val="0"/>
            <w:vAlign w:val="center"/>
          </w:tcPr>
          <w:p w14:paraId="64EAADA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具体内容</w:t>
            </w:r>
          </w:p>
        </w:tc>
        <w:tc>
          <w:tcPr>
            <w:tcW w:w="1305" w:type="dxa"/>
            <w:noWrap w:val="0"/>
            <w:vAlign w:val="center"/>
          </w:tcPr>
          <w:p w14:paraId="2C85CB5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项目类型</w:t>
            </w:r>
          </w:p>
        </w:tc>
      </w:tr>
      <w:tr w14:paraId="33A3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014AB27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w:t>
            </w:r>
          </w:p>
        </w:tc>
        <w:tc>
          <w:tcPr>
            <w:tcW w:w="1261" w:type="dxa"/>
            <w:vMerge w:val="restart"/>
            <w:noWrap w:val="0"/>
            <w:vAlign w:val="center"/>
          </w:tcPr>
          <w:p w14:paraId="673EB5A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老年用品</w:t>
            </w:r>
          </w:p>
        </w:tc>
        <w:tc>
          <w:tcPr>
            <w:tcW w:w="1339" w:type="dxa"/>
            <w:noWrap w:val="0"/>
            <w:vAlign w:val="center"/>
          </w:tcPr>
          <w:p w14:paraId="712A070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手杖</w:t>
            </w:r>
          </w:p>
        </w:tc>
        <w:tc>
          <w:tcPr>
            <w:tcW w:w="4579" w:type="dxa"/>
            <w:noWrap w:val="0"/>
            <w:vAlign w:val="center"/>
          </w:tcPr>
          <w:p w14:paraId="4A73A92C">
            <w:pPr>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辅助老年人平稳站立和行走，包含三脚或四脚手杖、凳拐等</w:t>
            </w:r>
          </w:p>
        </w:tc>
        <w:tc>
          <w:tcPr>
            <w:tcW w:w="1305" w:type="dxa"/>
            <w:vMerge w:val="restart"/>
            <w:noWrap w:val="0"/>
            <w:vAlign w:val="center"/>
          </w:tcPr>
          <w:p w14:paraId="1542178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lang w:val="en-US" w:eastAsia="zh-CN"/>
              </w:rPr>
              <w:t>5项任选其三</w:t>
            </w:r>
          </w:p>
        </w:tc>
      </w:tr>
      <w:tr w14:paraId="3E40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52FD95C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25</w:t>
            </w:r>
          </w:p>
        </w:tc>
        <w:tc>
          <w:tcPr>
            <w:tcW w:w="1261" w:type="dxa"/>
            <w:vMerge w:val="continue"/>
            <w:noWrap w:val="0"/>
            <w:vAlign w:val="center"/>
          </w:tcPr>
          <w:p w14:paraId="66E99156">
            <w:pPr>
              <w:jc w:val="center"/>
              <w:rPr>
                <w:rFonts w:hint="eastAsia" w:ascii="宋体" w:hAnsi="宋体" w:eastAsia="宋体" w:cs="宋体"/>
                <w:color w:val="auto"/>
                <w:sz w:val="21"/>
                <w:szCs w:val="21"/>
                <w:highlight w:val="none"/>
                <w:vertAlign w:val="baseline"/>
                <w:lang w:eastAsia="zh-CN"/>
              </w:rPr>
            </w:pPr>
          </w:p>
        </w:tc>
        <w:tc>
          <w:tcPr>
            <w:tcW w:w="1339" w:type="dxa"/>
            <w:noWrap w:val="0"/>
            <w:vAlign w:val="center"/>
          </w:tcPr>
          <w:p w14:paraId="36E4F30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轮椅/助行器</w:t>
            </w:r>
          </w:p>
        </w:tc>
        <w:tc>
          <w:tcPr>
            <w:tcW w:w="4579" w:type="dxa"/>
            <w:noWrap w:val="0"/>
            <w:vAlign w:val="center"/>
          </w:tcPr>
          <w:p w14:paraId="00BD0E31">
            <w:pPr>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辅助家人、照护人员推行/帮助老年人站立行走，扩大老年人活动空间</w:t>
            </w:r>
          </w:p>
        </w:tc>
        <w:tc>
          <w:tcPr>
            <w:tcW w:w="1305" w:type="dxa"/>
            <w:vMerge w:val="continue"/>
            <w:noWrap w:val="0"/>
            <w:vAlign w:val="center"/>
          </w:tcPr>
          <w:p w14:paraId="7A822D93">
            <w:pPr>
              <w:jc w:val="center"/>
              <w:rPr>
                <w:rFonts w:hint="eastAsia" w:ascii="宋体" w:hAnsi="宋体" w:eastAsia="宋体" w:cs="宋体"/>
                <w:color w:val="auto"/>
                <w:sz w:val="21"/>
                <w:szCs w:val="21"/>
                <w:highlight w:val="none"/>
                <w:vertAlign w:val="baseline"/>
                <w:lang w:eastAsia="zh-CN"/>
              </w:rPr>
            </w:pPr>
          </w:p>
        </w:tc>
      </w:tr>
      <w:tr w14:paraId="18AB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509BA73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26</w:t>
            </w:r>
          </w:p>
        </w:tc>
        <w:tc>
          <w:tcPr>
            <w:tcW w:w="1261" w:type="dxa"/>
            <w:vMerge w:val="continue"/>
            <w:noWrap w:val="0"/>
            <w:vAlign w:val="center"/>
          </w:tcPr>
          <w:p w14:paraId="124E3F83">
            <w:pPr>
              <w:jc w:val="center"/>
              <w:rPr>
                <w:rFonts w:hint="eastAsia" w:ascii="宋体" w:hAnsi="宋体" w:eastAsia="宋体" w:cs="宋体"/>
                <w:color w:val="auto"/>
                <w:sz w:val="21"/>
                <w:szCs w:val="21"/>
                <w:highlight w:val="none"/>
                <w:vertAlign w:val="baseline"/>
                <w:lang w:eastAsia="zh-CN"/>
              </w:rPr>
            </w:pPr>
          </w:p>
        </w:tc>
        <w:tc>
          <w:tcPr>
            <w:tcW w:w="1339" w:type="dxa"/>
            <w:noWrap w:val="0"/>
            <w:vAlign w:val="center"/>
          </w:tcPr>
          <w:p w14:paraId="1CF7DFA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放大装置</w:t>
            </w:r>
          </w:p>
        </w:tc>
        <w:tc>
          <w:tcPr>
            <w:tcW w:w="4579" w:type="dxa"/>
            <w:noWrap w:val="0"/>
            <w:vAlign w:val="center"/>
          </w:tcPr>
          <w:p w14:paraId="5E625997">
            <w:pPr>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运用光学/电子原理进行影像放大，方便老年人</w:t>
            </w:r>
            <w:r>
              <w:rPr>
                <w:rFonts w:hint="eastAsia" w:ascii="宋体" w:hAnsi="宋体" w:eastAsia="宋体" w:cs="宋体"/>
                <w:color w:val="auto"/>
                <w:sz w:val="21"/>
                <w:szCs w:val="21"/>
                <w:highlight w:val="none"/>
                <w:lang w:eastAsia="zh-CN"/>
              </w:rPr>
              <w:t>使</w:t>
            </w:r>
            <w:r>
              <w:rPr>
                <w:rFonts w:hint="eastAsia" w:ascii="宋体" w:hAnsi="宋体" w:eastAsia="宋体" w:cs="宋体"/>
                <w:color w:val="auto"/>
                <w:sz w:val="21"/>
                <w:szCs w:val="21"/>
                <w:highlight w:val="none"/>
              </w:rPr>
              <w:t>用</w:t>
            </w:r>
          </w:p>
        </w:tc>
        <w:tc>
          <w:tcPr>
            <w:tcW w:w="1305" w:type="dxa"/>
            <w:vMerge w:val="continue"/>
            <w:noWrap w:val="0"/>
            <w:vAlign w:val="center"/>
          </w:tcPr>
          <w:p w14:paraId="73F6BF58">
            <w:pPr>
              <w:jc w:val="center"/>
              <w:rPr>
                <w:rFonts w:hint="eastAsia" w:ascii="宋体" w:hAnsi="宋体" w:eastAsia="宋体" w:cs="宋体"/>
                <w:color w:val="auto"/>
                <w:sz w:val="21"/>
                <w:szCs w:val="21"/>
                <w:highlight w:val="none"/>
                <w:vertAlign w:val="baseline"/>
                <w:lang w:eastAsia="zh-CN"/>
              </w:rPr>
            </w:pPr>
          </w:p>
        </w:tc>
      </w:tr>
      <w:tr w14:paraId="29F6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5B9D8CD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w:t>
            </w:r>
          </w:p>
        </w:tc>
        <w:tc>
          <w:tcPr>
            <w:tcW w:w="1261" w:type="dxa"/>
            <w:vMerge w:val="continue"/>
            <w:noWrap w:val="0"/>
            <w:vAlign w:val="center"/>
          </w:tcPr>
          <w:p w14:paraId="03CFE151">
            <w:pPr>
              <w:jc w:val="center"/>
              <w:rPr>
                <w:rFonts w:hint="eastAsia" w:ascii="宋体" w:hAnsi="宋体" w:eastAsia="宋体" w:cs="宋体"/>
                <w:color w:val="auto"/>
                <w:sz w:val="21"/>
                <w:szCs w:val="21"/>
                <w:highlight w:val="none"/>
                <w:vertAlign w:val="baseline"/>
                <w:lang w:eastAsia="zh-CN"/>
              </w:rPr>
            </w:pPr>
          </w:p>
        </w:tc>
        <w:tc>
          <w:tcPr>
            <w:tcW w:w="1339" w:type="dxa"/>
            <w:noWrap w:val="0"/>
            <w:vAlign w:val="center"/>
          </w:tcPr>
          <w:p w14:paraId="63BEC0C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自助进食</w:t>
            </w:r>
          </w:p>
          <w:p w14:paraId="72E48AF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器具</w:t>
            </w:r>
          </w:p>
        </w:tc>
        <w:tc>
          <w:tcPr>
            <w:tcW w:w="4579" w:type="dxa"/>
            <w:noWrap w:val="0"/>
            <w:vAlign w:val="center"/>
          </w:tcPr>
          <w:p w14:paraId="0218453E">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辅助老年人进食，包括防洒碗（盘）、助食筷、弯柄勺（叉）、饮水杯（壶）</w:t>
            </w:r>
          </w:p>
        </w:tc>
        <w:tc>
          <w:tcPr>
            <w:tcW w:w="1305" w:type="dxa"/>
            <w:vMerge w:val="continue"/>
            <w:noWrap w:val="0"/>
            <w:vAlign w:val="center"/>
          </w:tcPr>
          <w:p w14:paraId="3BAEBF0B">
            <w:pPr>
              <w:jc w:val="center"/>
              <w:rPr>
                <w:rFonts w:hint="eastAsia" w:ascii="宋体" w:hAnsi="宋体" w:eastAsia="宋体" w:cs="宋体"/>
                <w:color w:val="auto"/>
                <w:sz w:val="21"/>
                <w:szCs w:val="21"/>
                <w:highlight w:val="none"/>
                <w:lang w:eastAsia="zh-CN"/>
              </w:rPr>
            </w:pPr>
          </w:p>
        </w:tc>
      </w:tr>
      <w:tr w14:paraId="6EF2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800" w:type="dxa"/>
            <w:noWrap w:val="0"/>
            <w:vAlign w:val="center"/>
          </w:tcPr>
          <w:p w14:paraId="634854A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w:t>
            </w:r>
          </w:p>
        </w:tc>
        <w:tc>
          <w:tcPr>
            <w:tcW w:w="1261" w:type="dxa"/>
            <w:vMerge w:val="continue"/>
            <w:noWrap w:val="0"/>
            <w:vAlign w:val="center"/>
          </w:tcPr>
          <w:p w14:paraId="7FB9923B">
            <w:pPr>
              <w:jc w:val="center"/>
              <w:rPr>
                <w:rFonts w:hint="eastAsia" w:ascii="宋体" w:hAnsi="宋体" w:eastAsia="宋体" w:cs="宋体"/>
                <w:color w:val="auto"/>
                <w:sz w:val="21"/>
                <w:szCs w:val="21"/>
                <w:highlight w:val="none"/>
                <w:vertAlign w:val="baseline"/>
                <w:lang w:eastAsia="zh-CN"/>
              </w:rPr>
            </w:pPr>
          </w:p>
        </w:tc>
        <w:tc>
          <w:tcPr>
            <w:tcW w:w="1339" w:type="dxa"/>
            <w:noWrap w:val="0"/>
            <w:vAlign w:val="center"/>
          </w:tcPr>
          <w:p w14:paraId="34E2CB3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助听器</w:t>
            </w:r>
          </w:p>
        </w:tc>
        <w:tc>
          <w:tcPr>
            <w:tcW w:w="4579" w:type="dxa"/>
            <w:noWrap w:val="0"/>
            <w:vAlign w:val="center"/>
          </w:tcPr>
          <w:p w14:paraId="0792C31A">
            <w:pPr>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帮助老年人听清声音来源，增加与周围的交流，包括盒式助听器、耳内助听器、耳背助听器、骨</w:t>
            </w:r>
            <w:r>
              <w:rPr>
                <w:rFonts w:hint="eastAsia" w:ascii="宋体" w:hAnsi="宋体" w:eastAsia="宋体" w:cs="宋体"/>
                <w:color w:val="auto"/>
                <w:sz w:val="21"/>
                <w:szCs w:val="21"/>
                <w:highlight w:val="none"/>
                <w:lang w:eastAsia="zh-CN"/>
              </w:rPr>
              <w:t>传</w:t>
            </w:r>
            <w:r>
              <w:rPr>
                <w:rFonts w:hint="eastAsia" w:ascii="宋体" w:hAnsi="宋体" w:eastAsia="宋体" w:cs="宋体"/>
                <w:color w:val="auto"/>
                <w:sz w:val="21"/>
                <w:szCs w:val="21"/>
                <w:highlight w:val="none"/>
              </w:rPr>
              <w:t>导助听器等</w:t>
            </w:r>
          </w:p>
        </w:tc>
        <w:tc>
          <w:tcPr>
            <w:tcW w:w="1305" w:type="dxa"/>
            <w:vMerge w:val="continue"/>
            <w:noWrap w:val="0"/>
            <w:vAlign w:val="center"/>
          </w:tcPr>
          <w:p w14:paraId="638548D5">
            <w:pPr>
              <w:jc w:val="center"/>
              <w:rPr>
                <w:rFonts w:hint="eastAsia" w:ascii="宋体" w:hAnsi="宋体" w:eastAsia="宋体" w:cs="宋体"/>
                <w:color w:val="auto"/>
                <w:sz w:val="21"/>
                <w:szCs w:val="21"/>
                <w:highlight w:val="none"/>
                <w:vertAlign w:val="baseline"/>
                <w:lang w:eastAsia="zh-CN"/>
              </w:rPr>
            </w:pPr>
          </w:p>
        </w:tc>
      </w:tr>
    </w:tbl>
    <w:p w14:paraId="70774C0E">
      <w:pPr>
        <w:pStyle w:val="3"/>
        <w:adjustRightInd w:val="0"/>
        <w:snapToGrid w:val="0"/>
        <w:spacing w:line="360" w:lineRule="auto"/>
        <w:ind w:left="0" w:firstLine="40" w:firstLineChars="200"/>
        <w:rPr>
          <w:rFonts w:hint="eastAsia" w:cs="宋体"/>
          <w:b w:val="0"/>
          <w:color w:val="auto"/>
          <w:sz w:val="2"/>
          <w:szCs w:val="2"/>
          <w:lang w:val="en-US" w:eastAsia="zh-CN"/>
        </w:rPr>
      </w:pPr>
    </w:p>
    <w:p w14:paraId="51F6AA5B">
      <w:pPr>
        <w:pStyle w:val="3"/>
        <w:adjustRightInd w:val="0"/>
        <w:snapToGrid w:val="0"/>
        <w:spacing w:line="360" w:lineRule="auto"/>
        <w:ind w:left="0" w:firstLine="440" w:firstLineChars="200"/>
        <w:rPr>
          <w:rFonts w:hint="default" w:cs="宋体"/>
          <w:b w:val="0"/>
          <w:color w:val="auto"/>
          <w:sz w:val="22"/>
          <w:szCs w:val="22"/>
          <w:lang w:val="en-US" w:eastAsia="zh-CN"/>
        </w:rPr>
      </w:pPr>
      <w:r>
        <w:rPr>
          <w:rFonts w:hint="eastAsia" w:cs="宋体"/>
          <w:b w:val="0"/>
          <w:color w:val="auto"/>
          <w:sz w:val="22"/>
          <w:szCs w:val="22"/>
          <w:lang w:val="en-US" w:eastAsia="zh-CN"/>
        </w:rPr>
        <w:t>注：①服务项目分为基础项目和可选项目，基础项目是必须配置的项目，可选项目是根据老年人实际情况和需求进行个性化配置的项目。适老化改造配置项目（1-13项）中的可选项目7项选2项（不可重复选）；智能化改造配置项目（14-23项）中的可选项目4项选1项；老年用品配置项目（24-28项）中的可选项目5项选3项（不可重复选）。</w:t>
      </w:r>
      <w:r>
        <w:rPr>
          <w:rFonts w:hint="eastAsia" w:cs="宋体"/>
          <w:b/>
          <w:bCs/>
          <w:color w:val="auto"/>
          <w:sz w:val="22"/>
          <w:szCs w:val="22"/>
          <w:lang w:val="en-US" w:eastAsia="zh-CN"/>
        </w:rPr>
        <w:t>②在设施、设备合适位置应该以显著方式标明“彩票公益金自主-中国福利彩票和中国体育彩票”标识。</w:t>
      </w:r>
    </w:p>
    <w:p w14:paraId="32BC3243">
      <w:pPr>
        <w:pStyle w:val="3"/>
        <w:numPr>
          <w:ilvl w:val="0"/>
          <w:numId w:val="0"/>
        </w:numPr>
        <w:adjustRightInd w:val="0"/>
        <w:snapToGrid w:val="0"/>
        <w:spacing w:line="360" w:lineRule="auto"/>
        <w:jc w:val="center"/>
        <w:rPr>
          <w:rFonts w:hint="eastAsia" w:ascii="Segoe UI" w:hAnsi="Segoe UI" w:eastAsia="宋体" w:cs="Segoe UI"/>
          <w:b/>
          <w:bCs/>
          <w:i w:val="0"/>
          <w:iCs w:val="0"/>
          <w:caps w:val="0"/>
          <w:color w:val="auto"/>
          <w:spacing w:val="0"/>
          <w:sz w:val="24"/>
          <w:szCs w:val="24"/>
          <w:shd w:val="clear" w:fill="FDFDFE"/>
          <w:lang w:val="en-US" w:eastAsia="zh-CN"/>
        </w:rPr>
      </w:pPr>
      <w:r>
        <w:rPr>
          <w:rFonts w:hint="eastAsia" w:ascii="Segoe UI" w:hAnsi="Segoe UI" w:eastAsia="宋体" w:cs="Segoe UI"/>
          <w:b/>
          <w:bCs/>
          <w:i w:val="0"/>
          <w:iCs w:val="0"/>
          <w:caps w:val="0"/>
          <w:color w:val="auto"/>
          <w:spacing w:val="0"/>
          <w:sz w:val="24"/>
          <w:szCs w:val="24"/>
          <w:shd w:val="clear" w:fill="FDFDFE"/>
          <w:lang w:val="en-US" w:eastAsia="zh-CN"/>
        </w:rPr>
        <w:t>附表二  家庭养老床位建设产品推荐清单</w:t>
      </w:r>
    </w:p>
    <w:tbl>
      <w:tblPr>
        <w:tblStyle w:val="27"/>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4"/>
        <w:gridCol w:w="570"/>
        <w:gridCol w:w="585"/>
        <w:gridCol w:w="1575"/>
        <w:gridCol w:w="7"/>
        <w:gridCol w:w="608"/>
        <w:gridCol w:w="600"/>
        <w:gridCol w:w="3420"/>
        <w:gridCol w:w="450"/>
        <w:gridCol w:w="863"/>
      </w:tblGrid>
      <w:tr w14:paraId="075F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9292" w:type="dxa"/>
            <w:gridSpan w:val="10"/>
            <w:shd w:val="clear" w:color="auto" w:fill="B6DDE8" w:themeFill="accent5" w:themeFillTint="66"/>
            <w:vAlign w:val="center"/>
          </w:tcPr>
          <w:p w14:paraId="5684764D">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cs="宋体"/>
                <w:b w:val="0"/>
                <w:color w:val="auto"/>
                <w:sz w:val="22"/>
                <w:szCs w:val="22"/>
                <w:vertAlign w:val="baseline"/>
                <w:lang w:val="en-US" w:eastAsia="zh-CN"/>
              </w:rPr>
            </w:pPr>
            <w:r>
              <w:rPr>
                <w:rFonts w:hint="eastAsia" w:ascii="宋体" w:hAnsi="宋体" w:eastAsia="宋体" w:cs="宋体"/>
                <w:b/>
                <w:bCs/>
                <w:color w:val="auto"/>
                <w:sz w:val="22"/>
                <w:szCs w:val="22"/>
                <w:highlight w:val="none"/>
                <w:vertAlign w:val="baseline"/>
                <w:lang w:val="en-US" w:eastAsia="zh-CN"/>
              </w:rPr>
              <w:t>适老化改造产品推荐清单</w:t>
            </w:r>
            <w:r>
              <w:rPr>
                <w:rFonts w:hint="eastAsia" w:cs="宋体"/>
                <w:b/>
                <w:bCs/>
                <w:color w:val="auto"/>
                <w:sz w:val="22"/>
                <w:szCs w:val="22"/>
                <w:highlight w:val="none"/>
                <w:shd w:val="clear" w:fill="B6DDE8" w:themeFill="accent5" w:themeFillTint="66"/>
                <w:vertAlign w:val="baseline"/>
                <w:lang w:val="en-US" w:eastAsia="zh-CN" w:bidi="zh-CN"/>
              </w:rPr>
              <w:t>技术参数</w:t>
            </w:r>
            <w:r>
              <w:rPr>
                <w:rFonts w:hint="eastAsia" w:ascii="宋体" w:hAnsi="宋体" w:eastAsia="宋体" w:cs="宋体"/>
                <w:b/>
                <w:bCs/>
                <w:color w:val="auto"/>
                <w:sz w:val="22"/>
                <w:szCs w:val="22"/>
                <w:highlight w:val="none"/>
                <w:shd w:val="clear" w:fill="B6DDE8" w:themeFill="accent5" w:themeFillTint="66"/>
                <w:vertAlign w:val="baseline"/>
                <w:lang w:val="en-US" w:eastAsia="zh-CN" w:bidi="zh-CN"/>
              </w:rPr>
              <w:t>及最高限价</w:t>
            </w:r>
          </w:p>
        </w:tc>
      </w:tr>
      <w:tr w14:paraId="0B13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shd w:val="clear" w:color="auto" w:fill="auto"/>
            <w:vAlign w:val="center"/>
          </w:tcPr>
          <w:p w14:paraId="1A8B7E4C">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序号</w:t>
            </w:r>
          </w:p>
        </w:tc>
        <w:tc>
          <w:tcPr>
            <w:tcW w:w="570" w:type="dxa"/>
            <w:shd w:val="clear" w:color="auto" w:fill="auto"/>
            <w:vAlign w:val="center"/>
          </w:tcPr>
          <w:p w14:paraId="0CD43DE3">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类别</w:t>
            </w:r>
          </w:p>
        </w:tc>
        <w:tc>
          <w:tcPr>
            <w:tcW w:w="585" w:type="dxa"/>
            <w:shd w:val="clear" w:color="auto" w:fill="auto"/>
            <w:vAlign w:val="center"/>
          </w:tcPr>
          <w:p w14:paraId="0D9C7BCB">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项目名称</w:t>
            </w:r>
          </w:p>
        </w:tc>
        <w:tc>
          <w:tcPr>
            <w:tcW w:w="1575" w:type="dxa"/>
            <w:shd w:val="clear" w:color="auto" w:fill="auto"/>
            <w:vAlign w:val="center"/>
          </w:tcPr>
          <w:p w14:paraId="759AF04D">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具体内容</w:t>
            </w:r>
          </w:p>
        </w:tc>
        <w:tc>
          <w:tcPr>
            <w:tcW w:w="615" w:type="dxa"/>
            <w:gridSpan w:val="2"/>
            <w:shd w:val="clear" w:color="auto" w:fill="auto"/>
            <w:vAlign w:val="center"/>
          </w:tcPr>
          <w:p w14:paraId="761B397B">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项目类型</w:t>
            </w:r>
          </w:p>
        </w:tc>
        <w:tc>
          <w:tcPr>
            <w:tcW w:w="600" w:type="dxa"/>
            <w:shd w:val="clear" w:color="auto" w:fill="auto"/>
            <w:vAlign w:val="center"/>
          </w:tcPr>
          <w:p w14:paraId="0BD0AB06">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产品名称</w:t>
            </w:r>
          </w:p>
        </w:tc>
        <w:tc>
          <w:tcPr>
            <w:tcW w:w="3420" w:type="dxa"/>
            <w:shd w:val="clear" w:color="auto" w:fill="auto"/>
            <w:vAlign w:val="center"/>
          </w:tcPr>
          <w:p w14:paraId="68480101">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技术参数</w:t>
            </w:r>
          </w:p>
        </w:tc>
        <w:tc>
          <w:tcPr>
            <w:tcW w:w="450" w:type="dxa"/>
            <w:shd w:val="clear" w:color="auto" w:fill="auto"/>
            <w:vAlign w:val="center"/>
          </w:tcPr>
          <w:p w14:paraId="4E40BFC7">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单位</w:t>
            </w:r>
          </w:p>
        </w:tc>
        <w:tc>
          <w:tcPr>
            <w:tcW w:w="863" w:type="dxa"/>
            <w:shd w:val="clear" w:color="auto" w:fill="auto"/>
            <w:vAlign w:val="center"/>
          </w:tcPr>
          <w:p w14:paraId="63C08DBD">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最高限价（元）</w:t>
            </w:r>
          </w:p>
        </w:tc>
      </w:tr>
      <w:tr w14:paraId="1EA1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2DD25905">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1</w:t>
            </w:r>
          </w:p>
        </w:tc>
        <w:tc>
          <w:tcPr>
            <w:tcW w:w="570" w:type="dxa"/>
            <w:vMerge w:val="restart"/>
            <w:vAlign w:val="center"/>
          </w:tcPr>
          <w:p w14:paraId="5E161AB2">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地面改造</w:t>
            </w:r>
          </w:p>
        </w:tc>
        <w:tc>
          <w:tcPr>
            <w:tcW w:w="585" w:type="dxa"/>
            <w:vMerge w:val="restart"/>
            <w:vAlign w:val="center"/>
          </w:tcPr>
          <w:p w14:paraId="2E54980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防滑处理</w:t>
            </w:r>
          </w:p>
        </w:tc>
        <w:tc>
          <w:tcPr>
            <w:tcW w:w="1575" w:type="dxa"/>
            <w:vMerge w:val="restart"/>
            <w:vAlign w:val="center"/>
          </w:tcPr>
          <w:p w14:paraId="27100347">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在卫生间、厨房、卧室等区域，铺设防滑砖或者防滑地胶</w:t>
            </w:r>
          </w:p>
        </w:tc>
        <w:tc>
          <w:tcPr>
            <w:tcW w:w="615" w:type="dxa"/>
            <w:gridSpan w:val="2"/>
            <w:vMerge w:val="restart"/>
            <w:vAlign w:val="center"/>
          </w:tcPr>
          <w:p w14:paraId="2619BE0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基础（根据物理环境配置）</w:t>
            </w:r>
          </w:p>
        </w:tc>
        <w:tc>
          <w:tcPr>
            <w:tcW w:w="600" w:type="dxa"/>
            <w:shd w:val="clear" w:color="auto" w:fill="auto"/>
            <w:vAlign w:val="center"/>
          </w:tcPr>
          <w:p w14:paraId="64CB2F56">
            <w:pPr>
              <w:keepNext w:val="0"/>
              <w:keepLines w:val="0"/>
              <w:pageBreakBefore w:val="0"/>
              <w:widowControl/>
              <w:suppressLineNumbers w:val="0"/>
              <w:kinsoku/>
              <w:wordWrap w:val="0"/>
              <w:overflowPunct/>
              <w:topLinePunct w:val="0"/>
              <w:autoSpaceDE w:val="0"/>
              <w:autoSpaceDN w:val="0"/>
              <w:bidi w:val="0"/>
              <w:jc w:val="center"/>
              <w:textAlignment w:val="center"/>
              <w:rPr>
                <w:rFonts w:hint="eastAsia" w:ascii="宋体" w:hAnsi="宋体" w:eastAsia="宋体" w:cs="宋体"/>
                <w:i w:val="0"/>
                <w:iCs w:val="0"/>
                <w:color w:val="auto"/>
                <w:sz w:val="20"/>
                <w:szCs w:val="20"/>
                <w:u w:val="none"/>
                <w:lang w:val="en-US" w:eastAsia="zh-CN" w:bidi="zh-CN"/>
              </w:rPr>
            </w:pPr>
            <w:r>
              <w:rPr>
                <w:rFonts w:hint="eastAsia" w:ascii="宋体" w:hAnsi="宋体" w:eastAsia="宋体" w:cs="宋体"/>
                <w:i w:val="0"/>
                <w:iCs w:val="0"/>
                <w:color w:val="auto"/>
                <w:kern w:val="0"/>
                <w:sz w:val="20"/>
                <w:szCs w:val="20"/>
                <w:u w:val="none"/>
                <w:lang w:val="en-US" w:eastAsia="zh-CN" w:bidi="ar"/>
              </w:rPr>
              <w:t>防滑地垫</w:t>
            </w:r>
          </w:p>
        </w:tc>
        <w:tc>
          <w:tcPr>
            <w:tcW w:w="3420" w:type="dxa"/>
            <w:vAlign w:val="center"/>
          </w:tcPr>
          <w:p w14:paraId="2BF3CE4F">
            <w:pPr>
              <w:keepNext w:val="0"/>
              <w:keepLines w:val="0"/>
              <w:pageBreakBefore w:val="0"/>
              <w:kinsoku/>
              <w:wordWrap w:val="0"/>
              <w:overflowPunct/>
              <w:topLinePunct w:val="0"/>
              <w:autoSpaceDE w:val="0"/>
              <w:autoSpaceDN w:val="0"/>
              <w:bidi w:val="0"/>
              <w:jc w:val="left"/>
              <w:rPr>
                <w:rFonts w:hint="eastAsia" w:ascii="宋体" w:hAnsi="宋体" w:eastAsia="宋体" w:cs="宋体"/>
                <w:b w:val="0"/>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采用pvc材质，无异味。韧性佳；母环圆扣可拼接。建议采用尺寸：300</w:t>
            </w:r>
            <w:r>
              <w:rPr>
                <w:rFonts w:hint="eastAsia" w:cs="宋体"/>
                <w:color w:val="auto"/>
                <w:sz w:val="20"/>
                <w:szCs w:val="20"/>
                <w:vertAlign w:val="baseline"/>
                <w:lang w:val="en-US" w:eastAsia="zh-CN"/>
              </w:rPr>
              <w:t>×</w:t>
            </w:r>
            <w:r>
              <w:rPr>
                <w:rFonts w:hint="eastAsia" w:ascii="宋体" w:hAnsi="宋体" w:eastAsia="宋体" w:cs="宋体"/>
                <w:color w:val="auto"/>
                <w:sz w:val="20"/>
                <w:szCs w:val="20"/>
                <w:vertAlign w:val="baseline"/>
                <w:lang w:val="en-US" w:eastAsia="zh-CN"/>
              </w:rPr>
              <w:t>300mm</w:t>
            </w:r>
          </w:p>
        </w:tc>
        <w:tc>
          <w:tcPr>
            <w:tcW w:w="450" w:type="dxa"/>
            <w:vAlign w:val="center"/>
          </w:tcPr>
          <w:p w14:paraId="110A19A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块</w:t>
            </w:r>
          </w:p>
        </w:tc>
        <w:tc>
          <w:tcPr>
            <w:tcW w:w="863" w:type="dxa"/>
            <w:vAlign w:val="center"/>
          </w:tcPr>
          <w:p w14:paraId="4F5D3EA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110 </w:t>
            </w:r>
          </w:p>
        </w:tc>
      </w:tr>
      <w:tr w14:paraId="3131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01C90CFE">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63C9363D">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132BCD2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4C25211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7A2726F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600" w:type="dxa"/>
            <w:shd w:val="clear" w:color="auto" w:fill="auto"/>
            <w:vAlign w:val="center"/>
          </w:tcPr>
          <w:p w14:paraId="77057270">
            <w:pPr>
              <w:keepNext w:val="0"/>
              <w:keepLines w:val="0"/>
              <w:pageBreakBefore w:val="0"/>
              <w:widowControl/>
              <w:suppressLineNumbers w:val="0"/>
              <w:kinsoku/>
              <w:wordWrap w:val="0"/>
              <w:overflowPunct/>
              <w:topLinePunct w:val="0"/>
              <w:autoSpaceDE w:val="0"/>
              <w:autoSpaceDN w:val="0"/>
              <w:bidi w:val="0"/>
              <w:jc w:val="center"/>
              <w:textAlignment w:val="center"/>
              <w:rPr>
                <w:rFonts w:hint="eastAsia" w:ascii="宋体" w:hAnsi="宋体" w:eastAsia="宋体" w:cs="宋体"/>
                <w:i w:val="0"/>
                <w:iCs w:val="0"/>
                <w:color w:val="auto"/>
                <w:sz w:val="20"/>
                <w:szCs w:val="20"/>
                <w:u w:val="none"/>
                <w:lang w:val="en-US" w:eastAsia="zh-CN" w:bidi="zh-CN"/>
              </w:rPr>
            </w:pPr>
            <w:r>
              <w:rPr>
                <w:rFonts w:hint="eastAsia" w:ascii="宋体" w:hAnsi="宋体" w:eastAsia="宋体" w:cs="宋体"/>
                <w:i w:val="0"/>
                <w:iCs w:val="0"/>
                <w:color w:val="auto"/>
                <w:kern w:val="0"/>
                <w:sz w:val="20"/>
                <w:szCs w:val="20"/>
                <w:u w:val="none"/>
                <w:lang w:val="en-US" w:eastAsia="zh-CN" w:bidi="ar"/>
              </w:rPr>
              <w:t>防滑地胶</w:t>
            </w:r>
          </w:p>
        </w:tc>
        <w:tc>
          <w:tcPr>
            <w:tcW w:w="3420" w:type="dxa"/>
            <w:vAlign w:val="center"/>
          </w:tcPr>
          <w:p w14:paraId="3DB7A754">
            <w:pPr>
              <w:keepNext w:val="0"/>
              <w:keepLines w:val="0"/>
              <w:pageBreakBefore w:val="0"/>
              <w:kinsoku/>
              <w:wordWrap w:val="0"/>
              <w:overflowPunct/>
              <w:topLinePunct w:val="0"/>
              <w:autoSpaceDE w:val="0"/>
              <w:autoSpaceDN w:val="0"/>
              <w:bidi w:val="0"/>
              <w:jc w:val="left"/>
              <w:rPr>
                <w:rFonts w:hint="eastAsia" w:ascii="宋体" w:hAnsi="宋体" w:eastAsia="宋体" w:cs="宋体"/>
                <w:b w:val="0"/>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采用PVC材质地胶，防湿滑系数为≥R10，厚度≥2mm；抗菌防霉易清洗，适用于卫浴间、厨房等较湿滑地方；禁止使用便携式防滑地垫。</w:t>
            </w:r>
          </w:p>
        </w:tc>
        <w:tc>
          <w:tcPr>
            <w:tcW w:w="450" w:type="dxa"/>
            <w:vAlign w:val="center"/>
          </w:tcPr>
          <w:p w14:paraId="35937FC5">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w:t>
            </w:r>
          </w:p>
        </w:tc>
        <w:tc>
          <w:tcPr>
            <w:tcW w:w="863" w:type="dxa"/>
            <w:vAlign w:val="center"/>
          </w:tcPr>
          <w:p w14:paraId="2651D5F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307 </w:t>
            </w:r>
          </w:p>
        </w:tc>
      </w:tr>
      <w:tr w14:paraId="64AF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0C89FAA7">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5E375CF5">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13AE5ED7">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5FB3C898">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3C852A0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600" w:type="dxa"/>
            <w:shd w:val="clear" w:color="auto" w:fill="auto"/>
            <w:vAlign w:val="center"/>
          </w:tcPr>
          <w:p w14:paraId="43C202C5">
            <w:pPr>
              <w:keepNext w:val="0"/>
              <w:keepLines w:val="0"/>
              <w:pageBreakBefore w:val="0"/>
              <w:widowControl/>
              <w:suppressLineNumbers w:val="0"/>
              <w:kinsoku/>
              <w:wordWrap w:val="0"/>
              <w:overflowPunct/>
              <w:topLinePunct w:val="0"/>
              <w:autoSpaceDE w:val="0"/>
              <w:autoSpaceDN w:val="0"/>
              <w:bidi w:val="0"/>
              <w:jc w:val="center"/>
              <w:textAlignment w:val="center"/>
              <w:rPr>
                <w:rFonts w:hint="eastAsia" w:ascii="宋体" w:hAnsi="宋体" w:eastAsia="宋体" w:cs="宋体"/>
                <w:i w:val="0"/>
                <w:iCs w:val="0"/>
                <w:color w:val="auto"/>
                <w:sz w:val="20"/>
                <w:szCs w:val="20"/>
                <w:u w:val="none"/>
                <w:lang w:val="en-US" w:eastAsia="zh-CN" w:bidi="zh-CN"/>
              </w:rPr>
            </w:pPr>
            <w:r>
              <w:rPr>
                <w:rFonts w:hint="eastAsia" w:ascii="宋体" w:hAnsi="宋体" w:eastAsia="宋体" w:cs="宋体"/>
                <w:i w:val="0"/>
                <w:iCs w:val="0"/>
                <w:color w:val="auto"/>
                <w:kern w:val="0"/>
                <w:sz w:val="20"/>
                <w:szCs w:val="20"/>
                <w:u w:val="none"/>
                <w:lang w:val="en-US" w:eastAsia="zh-CN" w:bidi="ar"/>
              </w:rPr>
              <w:t>防滑地砖铺设</w:t>
            </w:r>
          </w:p>
        </w:tc>
        <w:tc>
          <w:tcPr>
            <w:tcW w:w="3420" w:type="dxa"/>
            <w:vAlign w:val="center"/>
          </w:tcPr>
          <w:p w14:paraId="44F661BD">
            <w:pPr>
              <w:pStyle w:val="3"/>
              <w:keepNext w:val="0"/>
              <w:keepLines w:val="0"/>
              <w:pageBreakBefore w:val="0"/>
              <w:kinsoku/>
              <w:wordWrap w:val="0"/>
              <w:overflowPunct/>
              <w:topLinePunct w:val="0"/>
              <w:autoSpaceDE w:val="0"/>
              <w:autoSpaceDN w:val="0"/>
              <w:bidi w:val="0"/>
              <w:adjustRightInd w:val="0"/>
              <w:snapToGrid w:val="0"/>
              <w:spacing w:line="240" w:lineRule="auto"/>
              <w:jc w:val="left"/>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国内标准地砖，符合耐磨，防水防滑，环保，抗压要求。建议使用300</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300mm、600</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600mm地砖，适用于厨房、卫浴间的施工。</w:t>
            </w:r>
          </w:p>
        </w:tc>
        <w:tc>
          <w:tcPr>
            <w:tcW w:w="450" w:type="dxa"/>
            <w:shd w:val="clear" w:color="auto" w:fill="auto"/>
            <w:vAlign w:val="center"/>
          </w:tcPr>
          <w:p w14:paraId="4C224A34">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rPr>
              <w:t>㎡</w:t>
            </w:r>
          </w:p>
        </w:tc>
        <w:tc>
          <w:tcPr>
            <w:tcW w:w="863" w:type="dxa"/>
            <w:vAlign w:val="center"/>
          </w:tcPr>
          <w:p w14:paraId="049F668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260 </w:t>
            </w:r>
          </w:p>
        </w:tc>
      </w:tr>
      <w:tr w14:paraId="1A34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73E9271E">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2</w:t>
            </w:r>
          </w:p>
        </w:tc>
        <w:tc>
          <w:tcPr>
            <w:tcW w:w="570" w:type="dxa"/>
            <w:vMerge w:val="continue"/>
            <w:vAlign w:val="center"/>
          </w:tcPr>
          <w:p w14:paraId="5A210856">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restart"/>
            <w:vAlign w:val="center"/>
          </w:tcPr>
          <w:p w14:paraId="49B6E011">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高差处理</w:t>
            </w:r>
          </w:p>
        </w:tc>
        <w:tc>
          <w:tcPr>
            <w:tcW w:w="1575" w:type="dxa"/>
            <w:vMerge w:val="restart"/>
            <w:vAlign w:val="center"/>
          </w:tcPr>
          <w:p w14:paraId="2468CDC0">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铺设水泥坡道或者加设橡胶等材质的可移动式坡道</w:t>
            </w:r>
          </w:p>
        </w:tc>
        <w:tc>
          <w:tcPr>
            <w:tcW w:w="615" w:type="dxa"/>
            <w:gridSpan w:val="2"/>
            <w:vMerge w:val="restart"/>
            <w:vAlign w:val="center"/>
          </w:tcPr>
          <w:p w14:paraId="299149D1">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基础（根据物理环境配置）</w:t>
            </w:r>
          </w:p>
        </w:tc>
        <w:tc>
          <w:tcPr>
            <w:tcW w:w="600" w:type="dxa"/>
            <w:vAlign w:val="center"/>
          </w:tcPr>
          <w:p w14:paraId="54217C6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橡胶坡道</w:t>
            </w:r>
          </w:p>
        </w:tc>
        <w:tc>
          <w:tcPr>
            <w:tcW w:w="3420" w:type="dxa"/>
            <w:vAlign w:val="center"/>
          </w:tcPr>
          <w:p w14:paraId="26C9DF45">
            <w:pPr>
              <w:keepNext w:val="0"/>
              <w:keepLines w:val="0"/>
              <w:widowControl/>
              <w:suppressLineNumbers w:val="0"/>
              <w:jc w:val="left"/>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材质：天然橡胶，表面凹凸条纹防滑设计，耐水防滑、承重力</w:t>
            </w:r>
            <w:r>
              <w:rPr>
                <w:rFonts w:hint="eastAsia" w:ascii="宋体" w:hAnsi="宋体" w:cs="宋体"/>
                <w:color w:val="auto"/>
                <w:sz w:val="22"/>
                <w:szCs w:val="22"/>
                <w:highlight w:val="none"/>
              </w:rPr>
              <w:t>≥</w:t>
            </w:r>
            <w:r>
              <w:rPr>
                <w:rFonts w:hint="eastAsia" w:ascii="宋体" w:hAnsi="宋体" w:eastAsia="宋体" w:cs="宋体"/>
                <w:i w:val="0"/>
                <w:iCs w:val="0"/>
                <w:color w:val="auto"/>
                <w:kern w:val="0"/>
                <w:sz w:val="20"/>
                <w:szCs w:val="20"/>
                <w:u w:val="none"/>
                <w:lang w:val="en-US" w:eastAsia="zh-CN" w:bidi="ar"/>
              </w:rPr>
              <w:t>500kg。</w:t>
            </w:r>
          </w:p>
        </w:tc>
        <w:tc>
          <w:tcPr>
            <w:tcW w:w="450" w:type="dxa"/>
            <w:vAlign w:val="center"/>
          </w:tcPr>
          <w:p w14:paraId="20236BB9">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块</w:t>
            </w:r>
          </w:p>
        </w:tc>
        <w:tc>
          <w:tcPr>
            <w:tcW w:w="863" w:type="dxa"/>
            <w:vAlign w:val="center"/>
          </w:tcPr>
          <w:p w14:paraId="6635B17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420 </w:t>
            </w:r>
          </w:p>
        </w:tc>
      </w:tr>
      <w:tr w14:paraId="2D3E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311842A3">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4E5DDD3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486DA027">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2A650922">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5FE3D63C">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315A1EDE">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铝合金坡道</w:t>
            </w:r>
          </w:p>
        </w:tc>
        <w:tc>
          <w:tcPr>
            <w:tcW w:w="3420" w:type="dxa"/>
            <w:vAlign w:val="center"/>
          </w:tcPr>
          <w:p w14:paraId="59862698">
            <w:pPr>
              <w:keepNext w:val="0"/>
              <w:keepLines w:val="0"/>
              <w:widowControl/>
              <w:suppressLineNumbers w:val="0"/>
              <w:jc w:val="left"/>
              <w:textAlignment w:val="center"/>
              <w:rPr>
                <w:rFonts w:hint="eastAsia" w:ascii="宋体" w:hAnsi="宋体" w:eastAsia="宋体" w:cs="宋体"/>
                <w:b w:val="0"/>
                <w:color w:val="auto"/>
                <w:sz w:val="20"/>
                <w:szCs w:val="20"/>
                <w:vertAlign w:val="baseline"/>
                <w:lang w:val="en-US" w:eastAsia="zh-CN"/>
              </w:rPr>
            </w:pPr>
            <w:r>
              <w:rPr>
                <w:rFonts w:hint="eastAsia" w:cs="宋体"/>
                <w:b w:val="0"/>
                <w:color w:val="auto"/>
                <w:sz w:val="20"/>
                <w:szCs w:val="20"/>
                <w:vertAlign w:val="baseline"/>
                <w:lang w:val="en-US" w:eastAsia="zh-CN"/>
              </w:rPr>
              <w:t>1.</w:t>
            </w:r>
            <w:r>
              <w:rPr>
                <w:rFonts w:hint="eastAsia" w:ascii="宋体" w:hAnsi="宋体" w:eastAsia="宋体" w:cs="宋体"/>
                <w:b w:val="0"/>
                <w:color w:val="auto"/>
                <w:sz w:val="20"/>
                <w:szCs w:val="20"/>
                <w:vertAlign w:val="baseline"/>
                <w:lang w:val="en-US" w:eastAsia="zh-CN"/>
              </w:rPr>
              <w:t>尺寸：880</w:t>
            </w:r>
            <w:r>
              <w:rPr>
                <w:rFonts w:hint="eastAsia" w:cs="宋体"/>
                <w:b w:val="0"/>
                <w:color w:val="auto"/>
                <w:sz w:val="20"/>
                <w:szCs w:val="20"/>
                <w:vertAlign w:val="baseline"/>
                <w:lang w:val="en-US" w:eastAsia="zh-CN"/>
              </w:rPr>
              <w:t>×</w:t>
            </w:r>
            <w:r>
              <w:rPr>
                <w:rFonts w:hint="eastAsia" w:ascii="宋体" w:hAnsi="宋体" w:eastAsia="宋体" w:cs="宋体"/>
                <w:b w:val="0"/>
                <w:color w:val="auto"/>
                <w:sz w:val="20"/>
                <w:szCs w:val="20"/>
                <w:vertAlign w:val="baseline"/>
                <w:lang w:val="en-US" w:eastAsia="zh-CN"/>
              </w:rPr>
              <w:t>750</w:t>
            </w:r>
            <w:r>
              <w:rPr>
                <w:rFonts w:hint="eastAsia" w:cs="宋体"/>
                <w:b w:val="0"/>
                <w:color w:val="auto"/>
                <w:sz w:val="20"/>
                <w:szCs w:val="20"/>
                <w:vertAlign w:val="baseline"/>
                <w:lang w:val="en-US" w:eastAsia="zh-CN"/>
              </w:rPr>
              <w:t>×</w:t>
            </w:r>
            <w:r>
              <w:rPr>
                <w:rFonts w:hint="eastAsia" w:ascii="宋体" w:hAnsi="宋体" w:eastAsia="宋体" w:cs="宋体"/>
                <w:b w:val="0"/>
                <w:color w:val="auto"/>
                <w:sz w:val="20"/>
                <w:szCs w:val="20"/>
                <w:vertAlign w:val="baseline"/>
                <w:lang w:val="en-US" w:eastAsia="zh-CN"/>
              </w:rPr>
              <w:t>55</w:t>
            </w:r>
            <w:r>
              <w:rPr>
                <w:rFonts w:hint="eastAsia" w:cs="宋体"/>
                <w:b w:val="0"/>
                <w:color w:val="auto"/>
                <w:sz w:val="20"/>
                <w:szCs w:val="20"/>
                <w:vertAlign w:val="baseline"/>
                <w:lang w:val="en-US" w:eastAsia="zh-CN"/>
              </w:rPr>
              <w:t>mm，承重</w:t>
            </w:r>
            <w:r>
              <w:rPr>
                <w:rFonts w:hint="eastAsia" w:ascii="宋体" w:hAnsi="宋体" w:cs="宋体"/>
                <w:color w:val="auto"/>
                <w:sz w:val="22"/>
                <w:szCs w:val="22"/>
                <w:highlight w:val="none"/>
              </w:rPr>
              <w:t>≥</w:t>
            </w:r>
            <w:r>
              <w:rPr>
                <w:rFonts w:hint="eastAsia" w:ascii="宋体" w:hAnsi="宋体" w:eastAsia="宋体" w:cs="宋体"/>
                <w:b w:val="0"/>
                <w:color w:val="auto"/>
                <w:sz w:val="20"/>
                <w:szCs w:val="20"/>
                <w:vertAlign w:val="baseline"/>
                <w:lang w:val="en-US" w:eastAsia="zh-CN"/>
              </w:rPr>
              <w:t>300KG</w:t>
            </w:r>
            <w:r>
              <w:rPr>
                <w:rFonts w:hint="eastAsia" w:cs="宋体"/>
                <w:b w:val="0"/>
                <w:color w:val="auto"/>
                <w:sz w:val="20"/>
                <w:szCs w:val="20"/>
                <w:vertAlign w:val="baseline"/>
                <w:lang w:val="en-US" w:eastAsia="zh-CN"/>
              </w:rPr>
              <w:t>。</w:t>
            </w:r>
          </w:p>
          <w:p w14:paraId="196F54F2">
            <w:pPr>
              <w:keepNext w:val="0"/>
              <w:keepLines w:val="0"/>
              <w:widowControl/>
              <w:suppressLineNumbers w:val="0"/>
              <w:jc w:val="left"/>
              <w:textAlignment w:val="center"/>
              <w:rPr>
                <w:rFonts w:hint="eastAsia" w:ascii="宋体" w:hAnsi="宋体" w:eastAsia="宋体" w:cs="宋体"/>
                <w:b w:val="0"/>
                <w:color w:val="auto"/>
                <w:sz w:val="20"/>
                <w:szCs w:val="20"/>
                <w:vertAlign w:val="baseline"/>
                <w:lang w:val="en-US" w:eastAsia="zh-CN"/>
              </w:rPr>
            </w:pPr>
            <w:r>
              <w:rPr>
                <w:rFonts w:hint="eastAsia" w:cs="宋体"/>
                <w:b w:val="0"/>
                <w:color w:val="auto"/>
                <w:sz w:val="20"/>
                <w:szCs w:val="20"/>
                <w:vertAlign w:val="baseline"/>
                <w:lang w:val="en-US" w:eastAsia="zh-CN"/>
              </w:rPr>
              <w:t>2.</w:t>
            </w:r>
            <w:r>
              <w:rPr>
                <w:rFonts w:hint="eastAsia" w:ascii="宋体" w:hAnsi="宋体" w:eastAsia="宋体" w:cs="宋体"/>
                <w:b w:val="0"/>
                <w:color w:val="auto"/>
                <w:sz w:val="20"/>
                <w:szCs w:val="20"/>
                <w:vertAlign w:val="baseline"/>
                <w:lang w:val="en-US" w:eastAsia="zh-CN"/>
              </w:rPr>
              <w:t>材质：铝合金</w:t>
            </w:r>
          </w:p>
          <w:p w14:paraId="6B4C1D26">
            <w:pPr>
              <w:keepNext w:val="0"/>
              <w:keepLines w:val="0"/>
              <w:widowControl/>
              <w:suppressLineNumbers w:val="0"/>
              <w:jc w:val="left"/>
              <w:textAlignment w:val="center"/>
              <w:rPr>
                <w:rFonts w:hint="eastAsia" w:ascii="宋体" w:hAnsi="宋体" w:eastAsia="宋体" w:cs="宋体"/>
                <w:b w:val="0"/>
                <w:color w:val="auto"/>
                <w:sz w:val="20"/>
                <w:szCs w:val="20"/>
                <w:vertAlign w:val="baseline"/>
                <w:lang w:val="en-US" w:eastAsia="zh-CN"/>
              </w:rPr>
            </w:pPr>
            <w:r>
              <w:rPr>
                <w:rFonts w:hint="eastAsia" w:cs="宋体"/>
                <w:b w:val="0"/>
                <w:color w:val="auto"/>
                <w:sz w:val="20"/>
                <w:szCs w:val="20"/>
                <w:vertAlign w:val="baseline"/>
                <w:lang w:val="en-US" w:eastAsia="zh-CN"/>
              </w:rPr>
              <w:t>3.</w:t>
            </w:r>
            <w:r>
              <w:rPr>
                <w:rFonts w:hint="eastAsia" w:ascii="宋体" w:hAnsi="宋体" w:eastAsia="宋体" w:cs="宋体"/>
                <w:b w:val="0"/>
                <w:color w:val="auto"/>
                <w:sz w:val="20"/>
                <w:szCs w:val="20"/>
                <w:vertAlign w:val="baseline"/>
                <w:lang w:val="en-US" w:eastAsia="zh-CN"/>
              </w:rPr>
              <w:t>使用范围：手动轮椅、电动轮椅、小推车等</w:t>
            </w:r>
            <w:r>
              <w:rPr>
                <w:rFonts w:hint="eastAsia" w:cs="宋体"/>
                <w:b w:val="0"/>
                <w:color w:val="auto"/>
                <w:sz w:val="20"/>
                <w:szCs w:val="20"/>
                <w:vertAlign w:val="baseline"/>
                <w:lang w:val="en-US" w:eastAsia="zh-CN"/>
              </w:rPr>
              <w:t>。</w:t>
            </w:r>
          </w:p>
          <w:p w14:paraId="09BDD743">
            <w:pPr>
              <w:keepNext w:val="0"/>
              <w:keepLines w:val="0"/>
              <w:widowControl/>
              <w:suppressLineNumbers w:val="0"/>
              <w:jc w:val="left"/>
              <w:textAlignment w:val="center"/>
              <w:rPr>
                <w:rFonts w:hint="eastAsia" w:ascii="宋体" w:hAnsi="宋体" w:eastAsia="宋体" w:cs="宋体"/>
                <w:b w:val="0"/>
                <w:color w:val="auto"/>
                <w:sz w:val="20"/>
                <w:szCs w:val="20"/>
                <w:vertAlign w:val="baseline"/>
                <w:lang w:val="en-US" w:eastAsia="zh-CN"/>
              </w:rPr>
            </w:pPr>
            <w:r>
              <w:rPr>
                <w:rFonts w:hint="eastAsia" w:cs="宋体"/>
                <w:b w:val="0"/>
                <w:color w:val="auto"/>
                <w:sz w:val="20"/>
                <w:szCs w:val="20"/>
                <w:vertAlign w:val="baseline"/>
                <w:lang w:val="en-US" w:eastAsia="zh-CN"/>
              </w:rPr>
              <w:t>4.</w:t>
            </w:r>
            <w:r>
              <w:rPr>
                <w:rFonts w:hint="eastAsia" w:ascii="宋体" w:hAnsi="宋体" w:eastAsia="宋体" w:cs="宋体"/>
                <w:b w:val="0"/>
                <w:color w:val="auto"/>
                <w:sz w:val="20"/>
                <w:szCs w:val="20"/>
                <w:vertAlign w:val="baseline"/>
                <w:lang w:val="en-US" w:eastAsia="zh-CN"/>
              </w:rPr>
              <w:t>高强度铝合金材质、表面防滑、安全使用</w:t>
            </w:r>
            <w:r>
              <w:rPr>
                <w:rFonts w:hint="eastAsia" w:cs="宋体"/>
                <w:b w:val="0"/>
                <w:color w:val="auto"/>
                <w:sz w:val="20"/>
                <w:szCs w:val="20"/>
                <w:vertAlign w:val="baseline"/>
                <w:lang w:val="en-US" w:eastAsia="zh-CN"/>
              </w:rPr>
              <w:t>。</w:t>
            </w:r>
          </w:p>
        </w:tc>
        <w:tc>
          <w:tcPr>
            <w:tcW w:w="450" w:type="dxa"/>
            <w:vAlign w:val="center"/>
          </w:tcPr>
          <w:p w14:paraId="4974E68A">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块</w:t>
            </w:r>
          </w:p>
        </w:tc>
        <w:tc>
          <w:tcPr>
            <w:tcW w:w="863" w:type="dxa"/>
            <w:vAlign w:val="center"/>
          </w:tcPr>
          <w:p w14:paraId="0EA97AB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1227 </w:t>
            </w:r>
          </w:p>
        </w:tc>
      </w:tr>
      <w:tr w14:paraId="7696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64ED9B6B">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5FEC4BE8">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5E9C9DC9">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778D1FE8">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7F2B3BA4">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7C530EE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水泥坡道</w:t>
            </w:r>
          </w:p>
        </w:tc>
        <w:tc>
          <w:tcPr>
            <w:tcW w:w="3420" w:type="dxa"/>
            <w:vAlign w:val="center"/>
          </w:tcPr>
          <w:p w14:paraId="73199479">
            <w:pPr>
              <w:keepNext w:val="0"/>
              <w:keepLines w:val="0"/>
              <w:widowControl/>
              <w:suppressLineNumbers w:val="0"/>
              <w:jc w:val="left"/>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台阶改坡道，铺设水泥坡道，坡道可采用带防滑纹水泥为材料增加地面摩擦系数，宽度</w:t>
            </w:r>
            <w:r>
              <w:rPr>
                <w:rStyle w:val="77"/>
                <w:rFonts w:hint="eastAsia" w:ascii="宋体" w:hAnsi="宋体" w:eastAsia="宋体" w:cs="宋体"/>
                <w:color w:val="auto"/>
                <w:lang w:val="en-US" w:eastAsia="zh-CN" w:bidi="ar"/>
              </w:rPr>
              <w:t>≧</w:t>
            </w:r>
            <w:r>
              <w:rPr>
                <w:rFonts w:hint="eastAsia" w:ascii="宋体" w:hAnsi="宋体" w:eastAsia="宋体" w:cs="宋体"/>
                <w:i w:val="0"/>
                <w:iCs w:val="0"/>
                <w:color w:val="auto"/>
                <w:kern w:val="0"/>
                <w:sz w:val="20"/>
                <w:szCs w:val="20"/>
                <w:u w:val="none"/>
                <w:lang w:val="en-US" w:eastAsia="zh-CN" w:bidi="ar"/>
              </w:rPr>
              <w:t>100mm。</w:t>
            </w:r>
          </w:p>
        </w:tc>
        <w:tc>
          <w:tcPr>
            <w:tcW w:w="450" w:type="dxa"/>
            <w:vAlign w:val="center"/>
          </w:tcPr>
          <w:p w14:paraId="4BB768CA">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w:t>
            </w:r>
          </w:p>
        </w:tc>
        <w:tc>
          <w:tcPr>
            <w:tcW w:w="863" w:type="dxa"/>
            <w:vAlign w:val="center"/>
          </w:tcPr>
          <w:p w14:paraId="4F50A8D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367 </w:t>
            </w:r>
          </w:p>
        </w:tc>
      </w:tr>
      <w:tr w14:paraId="2F77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2073D7C6">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3</w:t>
            </w:r>
          </w:p>
        </w:tc>
        <w:tc>
          <w:tcPr>
            <w:tcW w:w="570" w:type="dxa"/>
            <w:vMerge w:val="restart"/>
            <w:vAlign w:val="center"/>
          </w:tcPr>
          <w:p w14:paraId="5B4CEE9D">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门改造</w:t>
            </w:r>
          </w:p>
        </w:tc>
        <w:tc>
          <w:tcPr>
            <w:tcW w:w="585" w:type="dxa"/>
            <w:vAlign w:val="center"/>
          </w:tcPr>
          <w:p w14:paraId="020798CB">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门槛移除</w:t>
            </w:r>
          </w:p>
        </w:tc>
        <w:tc>
          <w:tcPr>
            <w:tcW w:w="1575" w:type="dxa"/>
            <w:vAlign w:val="center"/>
          </w:tcPr>
          <w:p w14:paraId="41D3788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移除门槛，便利老年人进出</w:t>
            </w:r>
          </w:p>
        </w:tc>
        <w:tc>
          <w:tcPr>
            <w:tcW w:w="615" w:type="dxa"/>
            <w:gridSpan w:val="2"/>
            <w:vAlign w:val="center"/>
          </w:tcPr>
          <w:p w14:paraId="2B492CF9">
            <w:pPr>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可选</w:t>
            </w:r>
          </w:p>
        </w:tc>
        <w:tc>
          <w:tcPr>
            <w:tcW w:w="600" w:type="dxa"/>
            <w:vAlign w:val="center"/>
          </w:tcPr>
          <w:p w14:paraId="575638E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门槛移除</w:t>
            </w:r>
          </w:p>
        </w:tc>
        <w:tc>
          <w:tcPr>
            <w:tcW w:w="3420" w:type="dxa"/>
            <w:vAlign w:val="center"/>
          </w:tcPr>
          <w:p w14:paraId="719AFB8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方便轮椅进出，突出地面门槛拆除，局部修补地面。</w:t>
            </w:r>
          </w:p>
        </w:tc>
        <w:tc>
          <w:tcPr>
            <w:tcW w:w="450" w:type="dxa"/>
            <w:vAlign w:val="center"/>
          </w:tcPr>
          <w:p w14:paraId="432D5C0D">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项</w:t>
            </w:r>
          </w:p>
        </w:tc>
        <w:tc>
          <w:tcPr>
            <w:tcW w:w="863" w:type="dxa"/>
            <w:vAlign w:val="center"/>
          </w:tcPr>
          <w:p w14:paraId="619FF97F">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800 </w:t>
            </w:r>
          </w:p>
        </w:tc>
      </w:tr>
      <w:tr w14:paraId="0369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3FCC42EC">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4</w:t>
            </w:r>
          </w:p>
        </w:tc>
        <w:tc>
          <w:tcPr>
            <w:tcW w:w="570" w:type="dxa"/>
            <w:vMerge w:val="continue"/>
            <w:vAlign w:val="center"/>
          </w:tcPr>
          <w:p w14:paraId="442B0F07">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Align w:val="center"/>
          </w:tcPr>
          <w:p w14:paraId="07DBB98F">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房门拓宽</w:t>
            </w:r>
          </w:p>
        </w:tc>
        <w:tc>
          <w:tcPr>
            <w:tcW w:w="1575" w:type="dxa"/>
            <w:vAlign w:val="center"/>
          </w:tcPr>
          <w:p w14:paraId="5119999A">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对卫生间、厨房等空间较窄的门洞进行拓宽，改善通过性，方便轮椅进出</w:t>
            </w:r>
          </w:p>
        </w:tc>
        <w:tc>
          <w:tcPr>
            <w:tcW w:w="615" w:type="dxa"/>
            <w:gridSpan w:val="2"/>
            <w:vAlign w:val="center"/>
          </w:tcPr>
          <w:p w14:paraId="75B659BB">
            <w:pPr>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可选</w:t>
            </w:r>
          </w:p>
        </w:tc>
        <w:tc>
          <w:tcPr>
            <w:tcW w:w="600" w:type="dxa"/>
            <w:vAlign w:val="center"/>
          </w:tcPr>
          <w:p w14:paraId="41FE52E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门洞拓宽</w:t>
            </w:r>
          </w:p>
        </w:tc>
        <w:tc>
          <w:tcPr>
            <w:tcW w:w="3420" w:type="dxa"/>
            <w:vAlign w:val="center"/>
          </w:tcPr>
          <w:p w14:paraId="492AA8C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对门洞狭窄影响轮椅通行进行扩宽，门净宽度≥80cm。不含木门。</w:t>
            </w:r>
          </w:p>
        </w:tc>
        <w:tc>
          <w:tcPr>
            <w:tcW w:w="450" w:type="dxa"/>
            <w:vAlign w:val="center"/>
          </w:tcPr>
          <w:p w14:paraId="65FE2AFE">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项</w:t>
            </w:r>
          </w:p>
        </w:tc>
        <w:tc>
          <w:tcPr>
            <w:tcW w:w="863" w:type="dxa"/>
            <w:vAlign w:val="center"/>
          </w:tcPr>
          <w:p w14:paraId="0E64E427">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1600 </w:t>
            </w:r>
          </w:p>
        </w:tc>
      </w:tr>
      <w:tr w14:paraId="11D7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49D6DD32">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5</w:t>
            </w:r>
          </w:p>
        </w:tc>
        <w:tc>
          <w:tcPr>
            <w:tcW w:w="570" w:type="dxa"/>
            <w:vMerge w:val="continue"/>
            <w:vAlign w:val="center"/>
          </w:tcPr>
          <w:p w14:paraId="0B7499DD">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Align w:val="center"/>
          </w:tcPr>
          <w:p w14:paraId="7A5479E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下压式门把手改造</w:t>
            </w:r>
          </w:p>
        </w:tc>
        <w:tc>
          <w:tcPr>
            <w:tcW w:w="1575" w:type="dxa"/>
            <w:vAlign w:val="center"/>
          </w:tcPr>
          <w:p w14:paraId="03A6D0B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可用单手手掌或者手指轻松操作，增加摩擦力和稳定性，方便老年人开门</w:t>
            </w:r>
          </w:p>
        </w:tc>
        <w:tc>
          <w:tcPr>
            <w:tcW w:w="615" w:type="dxa"/>
            <w:gridSpan w:val="2"/>
            <w:vAlign w:val="center"/>
          </w:tcPr>
          <w:p w14:paraId="7B940C5F">
            <w:pPr>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可选</w:t>
            </w:r>
          </w:p>
        </w:tc>
        <w:tc>
          <w:tcPr>
            <w:tcW w:w="600" w:type="dxa"/>
            <w:vAlign w:val="center"/>
          </w:tcPr>
          <w:p w14:paraId="0BEFB73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门把手</w:t>
            </w:r>
          </w:p>
        </w:tc>
        <w:tc>
          <w:tcPr>
            <w:tcW w:w="3420" w:type="dxa"/>
            <w:vAlign w:val="center"/>
          </w:tcPr>
          <w:p w14:paraId="2B74DEE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T型，更换损坏把手，便于开门。</w:t>
            </w:r>
          </w:p>
        </w:tc>
        <w:tc>
          <w:tcPr>
            <w:tcW w:w="450" w:type="dxa"/>
            <w:vAlign w:val="center"/>
          </w:tcPr>
          <w:p w14:paraId="6E36E23A">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项</w:t>
            </w:r>
          </w:p>
        </w:tc>
        <w:tc>
          <w:tcPr>
            <w:tcW w:w="863" w:type="dxa"/>
            <w:vAlign w:val="center"/>
          </w:tcPr>
          <w:p w14:paraId="46EE62F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220 </w:t>
            </w:r>
          </w:p>
        </w:tc>
      </w:tr>
      <w:tr w14:paraId="266E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70590F83">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6</w:t>
            </w:r>
          </w:p>
        </w:tc>
        <w:tc>
          <w:tcPr>
            <w:tcW w:w="570" w:type="dxa"/>
            <w:vMerge w:val="restart"/>
            <w:vAlign w:val="center"/>
          </w:tcPr>
          <w:p w14:paraId="2170A6A3">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卧室改造</w:t>
            </w:r>
          </w:p>
        </w:tc>
        <w:tc>
          <w:tcPr>
            <w:tcW w:w="585" w:type="dxa"/>
            <w:vMerge w:val="restart"/>
            <w:vAlign w:val="center"/>
          </w:tcPr>
          <w:p w14:paraId="32EDAECF">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安装床边护栏（抓杆）</w:t>
            </w:r>
          </w:p>
        </w:tc>
        <w:tc>
          <w:tcPr>
            <w:tcW w:w="1575" w:type="dxa"/>
            <w:vMerge w:val="restart"/>
            <w:vAlign w:val="center"/>
          </w:tcPr>
          <w:p w14:paraId="1BA7F165">
            <w:pPr>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辅助老年人起身、上下床，防止翻身滚下床</w:t>
            </w:r>
          </w:p>
        </w:tc>
        <w:tc>
          <w:tcPr>
            <w:tcW w:w="615" w:type="dxa"/>
            <w:gridSpan w:val="2"/>
            <w:vMerge w:val="restart"/>
            <w:vAlign w:val="center"/>
          </w:tcPr>
          <w:p w14:paraId="2C2C2E9F">
            <w:pPr>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基础（根据物理环境配置）</w:t>
            </w:r>
          </w:p>
        </w:tc>
        <w:tc>
          <w:tcPr>
            <w:tcW w:w="600" w:type="dxa"/>
            <w:vAlign w:val="center"/>
          </w:tcPr>
          <w:p w14:paraId="5763154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床边扶手</w:t>
            </w:r>
          </w:p>
        </w:tc>
        <w:tc>
          <w:tcPr>
            <w:tcW w:w="3420" w:type="dxa"/>
            <w:vAlign w:val="center"/>
          </w:tcPr>
          <w:p w14:paraId="4B6559C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底座尺寸：500</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600mm；</w:t>
            </w:r>
          </w:p>
          <w:p w14:paraId="2E9B880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高度：700mm-800</w:t>
            </w:r>
            <w:r>
              <w:rPr>
                <w:rFonts w:hint="eastAsia" w:cs="宋体"/>
                <w:i w:val="0"/>
                <w:iCs w:val="0"/>
                <w:color w:val="auto"/>
                <w:kern w:val="0"/>
                <w:sz w:val="20"/>
                <w:szCs w:val="20"/>
                <w:u w:val="none"/>
                <w:lang w:val="en-US" w:eastAsia="zh-CN" w:bidi="ar"/>
              </w:rPr>
              <w:t>mm</w:t>
            </w:r>
            <w:r>
              <w:rPr>
                <w:rFonts w:hint="eastAsia" w:ascii="宋体" w:hAnsi="宋体" w:eastAsia="宋体" w:cs="宋体"/>
                <w:i w:val="0"/>
                <w:iCs w:val="0"/>
                <w:color w:val="auto"/>
                <w:kern w:val="0"/>
                <w:sz w:val="20"/>
                <w:szCs w:val="20"/>
                <w:u w:val="none"/>
                <w:lang w:val="en-US" w:eastAsia="zh-CN" w:bidi="ar"/>
              </w:rPr>
              <w:t>高度三档可调</w:t>
            </w:r>
            <w:r>
              <w:rPr>
                <w:rFonts w:hint="eastAsia" w:cs="宋体"/>
                <w:i w:val="0"/>
                <w:iCs w:val="0"/>
                <w:color w:val="auto"/>
                <w:kern w:val="0"/>
                <w:sz w:val="20"/>
                <w:szCs w:val="20"/>
                <w:u w:val="none"/>
                <w:lang w:val="en-US" w:eastAsia="zh-CN" w:bidi="ar"/>
              </w:rPr>
              <w:t>；</w:t>
            </w:r>
          </w:p>
          <w:p w14:paraId="7E3BA76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底座：</w:t>
            </w:r>
            <w:r>
              <w:rPr>
                <w:rFonts w:hint="eastAsia" w:cs="宋体"/>
                <w:i w:val="0"/>
                <w:iCs w:val="0"/>
                <w:color w:val="auto"/>
                <w:kern w:val="0"/>
                <w:sz w:val="20"/>
                <w:szCs w:val="20"/>
                <w:u w:val="none"/>
                <w:lang w:val="en-US" w:eastAsia="zh-CN" w:bidi="ar"/>
              </w:rPr>
              <w:t>厚度</w:t>
            </w:r>
            <w:r>
              <w:rPr>
                <w:rFonts w:hint="eastAsia" w:ascii="宋体" w:hAnsi="宋体" w:eastAsia="宋体" w:cs="宋体"/>
                <w:i w:val="0"/>
                <w:iCs w:val="0"/>
                <w:color w:val="auto"/>
                <w:kern w:val="0"/>
                <w:sz w:val="20"/>
                <w:szCs w:val="20"/>
                <w:u w:val="none"/>
                <w:lang w:val="en-US" w:eastAsia="zh-CN" w:bidi="ar"/>
              </w:rPr>
              <w:t>≥3mm，表面烤漆，稳固安全。</w:t>
            </w:r>
          </w:p>
          <w:p w14:paraId="77957D6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固定立柱套管采用直径42mm优质碳钢机加工而成，采用整体螺丝固定的方式，安全美观。</w:t>
            </w:r>
          </w:p>
          <w:p w14:paraId="1B04D01A">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扶手可调解部分</w:t>
            </w:r>
            <w:r>
              <w:rPr>
                <w:rFonts w:hint="eastAsia"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t>采用</w:t>
            </w:r>
            <w:r>
              <w:rPr>
                <w:rFonts w:hint="eastAsia" w:cs="宋体"/>
                <w:i w:val="0"/>
                <w:iCs w:val="0"/>
                <w:color w:val="auto"/>
                <w:kern w:val="0"/>
                <w:sz w:val="20"/>
                <w:szCs w:val="20"/>
                <w:u w:val="none"/>
                <w:lang w:val="en-US" w:eastAsia="zh-CN" w:bidi="ar"/>
              </w:rPr>
              <w:t>直径</w:t>
            </w:r>
            <w:r>
              <w:rPr>
                <w:rFonts w:hint="eastAsia" w:ascii="宋体" w:hAnsi="宋体" w:eastAsia="宋体" w:cs="宋体"/>
                <w:i w:val="0"/>
                <w:iCs w:val="0"/>
                <w:color w:val="auto"/>
                <w:kern w:val="0"/>
                <w:sz w:val="20"/>
                <w:szCs w:val="20"/>
                <w:u w:val="none"/>
                <w:lang w:val="en-US" w:eastAsia="zh-CN" w:bidi="ar"/>
              </w:rPr>
              <w:t>32</w:t>
            </w:r>
            <w:r>
              <w:rPr>
                <w:rFonts w:hint="eastAsia" w:cs="宋体"/>
                <w:i w:val="0"/>
                <w:iCs w:val="0"/>
                <w:color w:val="auto"/>
                <w:kern w:val="0"/>
                <w:sz w:val="20"/>
                <w:szCs w:val="20"/>
                <w:u w:val="none"/>
                <w:lang w:val="en-US" w:eastAsia="zh-CN" w:bidi="ar"/>
              </w:rPr>
              <w:t>mm×</w:t>
            </w:r>
            <w:r>
              <w:rPr>
                <w:rFonts w:hint="eastAsia" w:ascii="宋体" w:hAnsi="宋体" w:eastAsia="宋体" w:cs="宋体"/>
                <w:i w:val="0"/>
                <w:iCs w:val="0"/>
                <w:color w:val="auto"/>
                <w:kern w:val="0"/>
                <w:sz w:val="20"/>
                <w:szCs w:val="20"/>
                <w:u w:val="none"/>
                <w:lang w:val="en-US" w:eastAsia="zh-CN" w:bidi="ar"/>
              </w:rPr>
              <w:t>壁厚1.2mm</w:t>
            </w:r>
            <w:r>
              <w:rPr>
                <w:rFonts w:hint="eastAsia" w:cs="宋体"/>
                <w:i w:val="0"/>
                <w:iCs w:val="0"/>
                <w:color w:val="auto"/>
                <w:kern w:val="0"/>
                <w:sz w:val="20"/>
                <w:szCs w:val="20"/>
                <w:u w:val="none"/>
                <w:lang w:val="en-US" w:eastAsia="zh-CN" w:bidi="ar"/>
              </w:rPr>
              <w:t>高</w:t>
            </w:r>
            <w:r>
              <w:rPr>
                <w:rFonts w:hint="eastAsia" w:ascii="宋体" w:hAnsi="宋体" w:eastAsia="宋体" w:cs="宋体"/>
                <w:i w:val="0"/>
                <w:iCs w:val="0"/>
                <w:color w:val="auto"/>
                <w:kern w:val="0"/>
                <w:sz w:val="20"/>
                <w:szCs w:val="20"/>
                <w:u w:val="none"/>
                <w:lang w:val="en-US" w:eastAsia="zh-CN" w:bidi="ar"/>
              </w:rPr>
              <w:t>强度304不锈钢。内衬</w:t>
            </w:r>
            <w:r>
              <w:rPr>
                <w:rFonts w:hint="eastAsia" w:cs="宋体"/>
                <w:i w:val="0"/>
                <w:iCs w:val="0"/>
                <w:color w:val="auto"/>
                <w:kern w:val="0"/>
                <w:sz w:val="20"/>
                <w:szCs w:val="20"/>
                <w:u w:val="none"/>
                <w:lang w:val="en-US" w:eastAsia="zh-CN" w:bidi="ar"/>
              </w:rPr>
              <w:t>材质采用直径不低于</w:t>
            </w:r>
            <w:r>
              <w:rPr>
                <w:rFonts w:hint="eastAsia" w:ascii="宋体" w:hAnsi="宋体" w:eastAsia="宋体" w:cs="宋体"/>
                <w:i w:val="0"/>
                <w:iCs w:val="0"/>
                <w:color w:val="auto"/>
                <w:kern w:val="0"/>
                <w:sz w:val="20"/>
                <w:szCs w:val="20"/>
                <w:u w:val="none"/>
                <w:lang w:val="en-US" w:eastAsia="zh-CN" w:bidi="ar"/>
              </w:rPr>
              <w:t>28</w:t>
            </w:r>
            <w:r>
              <w:rPr>
                <w:rFonts w:hint="eastAsia" w:cs="宋体"/>
                <w:i w:val="0"/>
                <w:iCs w:val="0"/>
                <w:color w:val="auto"/>
                <w:kern w:val="0"/>
                <w:sz w:val="20"/>
                <w:szCs w:val="20"/>
                <w:u w:val="none"/>
                <w:lang w:val="en-US" w:eastAsia="zh-CN" w:bidi="ar"/>
              </w:rPr>
              <w:t>mm×壁厚不低于</w:t>
            </w:r>
            <w:r>
              <w:rPr>
                <w:rFonts w:hint="eastAsia" w:ascii="宋体" w:hAnsi="宋体" w:eastAsia="宋体" w:cs="宋体"/>
                <w:i w:val="0"/>
                <w:iCs w:val="0"/>
                <w:color w:val="auto"/>
                <w:kern w:val="0"/>
                <w:sz w:val="20"/>
                <w:szCs w:val="20"/>
                <w:u w:val="none"/>
                <w:lang w:val="en-US" w:eastAsia="zh-CN" w:bidi="ar"/>
              </w:rPr>
              <w:t>1.2mm不锈钢。外面套管采用高强度ABS材质。表面采用防滑设计，增加了安全性和舒适度。ABS材料具有抗冲击，耐高温，耐低温，易清洁，不易滋生细菌的特性。</w:t>
            </w:r>
            <w:bookmarkStart w:id="16" w:name="OLE_LINK4"/>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提供由</w:t>
            </w:r>
            <w:bookmarkStart w:id="17" w:name="OLE_LINK3"/>
            <w:r>
              <w:rPr>
                <w:rFonts w:hint="eastAsia" w:ascii="宋体" w:hAnsi="宋体" w:eastAsia="宋体" w:cs="宋体"/>
                <w:i w:val="0"/>
                <w:iCs w:val="0"/>
                <w:color w:val="auto"/>
                <w:kern w:val="0"/>
                <w:sz w:val="20"/>
                <w:szCs w:val="20"/>
                <w:u w:val="none"/>
                <w:lang w:val="en-US" w:eastAsia="zh-CN" w:bidi="ar"/>
              </w:rPr>
              <w:t>国家认可的第三方检测机构出具的检测报告加盖投标单位公章</w:t>
            </w:r>
            <w:bookmarkEnd w:id="17"/>
            <w:r>
              <w:rPr>
                <w:rFonts w:hint="eastAsia" w:cs="宋体"/>
                <w:i w:val="0"/>
                <w:iCs w:val="0"/>
                <w:color w:val="auto"/>
                <w:kern w:val="0"/>
                <w:sz w:val="20"/>
                <w:szCs w:val="20"/>
                <w:u w:val="none"/>
                <w:lang w:val="en-US" w:eastAsia="zh-CN" w:bidi="ar"/>
              </w:rPr>
              <w:t>）</w:t>
            </w:r>
            <w:bookmarkEnd w:id="16"/>
          </w:p>
        </w:tc>
        <w:tc>
          <w:tcPr>
            <w:tcW w:w="450" w:type="dxa"/>
            <w:vAlign w:val="center"/>
          </w:tcPr>
          <w:p w14:paraId="5402BD72">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个</w:t>
            </w:r>
          </w:p>
        </w:tc>
        <w:tc>
          <w:tcPr>
            <w:tcW w:w="863" w:type="dxa"/>
            <w:vAlign w:val="center"/>
          </w:tcPr>
          <w:p w14:paraId="6AD7A15E">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843 </w:t>
            </w:r>
          </w:p>
        </w:tc>
      </w:tr>
      <w:tr w14:paraId="3688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05D434A8">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110C720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25A7E8F9">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34B6AD6A">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7D3F1475">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45D569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床边护栏</w:t>
            </w:r>
          </w:p>
        </w:tc>
        <w:tc>
          <w:tcPr>
            <w:tcW w:w="3420" w:type="dxa"/>
            <w:vAlign w:val="center"/>
          </w:tcPr>
          <w:p w14:paraId="398C5683">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尺寸：500</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570</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470</w:t>
            </w:r>
            <w:r>
              <w:rPr>
                <w:rFonts w:hint="eastAsia" w:cs="宋体"/>
                <w:i w:val="0"/>
                <w:iCs w:val="0"/>
                <w:color w:val="auto"/>
                <w:kern w:val="0"/>
                <w:sz w:val="20"/>
                <w:szCs w:val="20"/>
                <w:u w:val="none"/>
                <w:lang w:val="en-US" w:eastAsia="zh-CN" w:bidi="ar"/>
              </w:rPr>
              <w:t>mm；</w:t>
            </w:r>
          </w:p>
          <w:p w14:paraId="60A359B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最大承重：</w:t>
            </w:r>
            <w:r>
              <w:rPr>
                <w:rFonts w:hint="eastAsia" w:cs="宋体"/>
                <w:i w:val="0"/>
                <w:iCs w:val="0"/>
                <w:color w:val="auto"/>
                <w:kern w:val="0"/>
                <w:sz w:val="20"/>
                <w:szCs w:val="20"/>
                <w:u w:val="none"/>
                <w:lang w:val="en-US" w:eastAsia="zh-CN" w:bidi="ar"/>
              </w:rPr>
              <w:t>≥130</w:t>
            </w:r>
            <w:r>
              <w:rPr>
                <w:rFonts w:hint="eastAsia" w:ascii="宋体" w:hAnsi="宋体" w:eastAsia="宋体" w:cs="宋体"/>
                <w:i w:val="0"/>
                <w:iCs w:val="0"/>
                <w:color w:val="auto"/>
                <w:kern w:val="0"/>
                <w:sz w:val="20"/>
                <w:szCs w:val="20"/>
                <w:u w:val="none"/>
                <w:lang w:val="en-US" w:eastAsia="zh-CN" w:bidi="ar"/>
              </w:rPr>
              <w:t>KG</w:t>
            </w:r>
            <w:r>
              <w:rPr>
                <w:rFonts w:hint="eastAsia" w:cs="宋体"/>
                <w:i w:val="0"/>
                <w:iCs w:val="0"/>
                <w:color w:val="auto"/>
                <w:kern w:val="0"/>
                <w:sz w:val="20"/>
                <w:szCs w:val="20"/>
                <w:u w:val="none"/>
                <w:lang w:val="en-US" w:eastAsia="zh-CN" w:bidi="ar"/>
              </w:rPr>
              <w:t>；</w:t>
            </w:r>
          </w:p>
          <w:p w14:paraId="64546F7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主要材质：碳素钢管</w:t>
            </w:r>
            <w:r>
              <w:rPr>
                <w:rFonts w:hint="eastAsia" w:cs="宋体"/>
                <w:i w:val="0"/>
                <w:iCs w:val="0"/>
                <w:color w:val="auto"/>
                <w:kern w:val="0"/>
                <w:sz w:val="20"/>
                <w:szCs w:val="20"/>
                <w:u w:val="none"/>
                <w:lang w:val="en-US" w:eastAsia="zh-CN" w:bidi="ar"/>
              </w:rPr>
              <w:t>；</w:t>
            </w:r>
          </w:p>
          <w:p w14:paraId="203165A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铝合金材质，插入床垫部分可固定，扶手表面防滑，无凉感。</w:t>
            </w:r>
          </w:p>
        </w:tc>
        <w:tc>
          <w:tcPr>
            <w:tcW w:w="450" w:type="dxa"/>
            <w:vAlign w:val="center"/>
          </w:tcPr>
          <w:p w14:paraId="49F07CAB">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个</w:t>
            </w:r>
          </w:p>
        </w:tc>
        <w:tc>
          <w:tcPr>
            <w:tcW w:w="863" w:type="dxa"/>
            <w:vAlign w:val="center"/>
          </w:tcPr>
          <w:p w14:paraId="0FDAFF69">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317 </w:t>
            </w:r>
          </w:p>
        </w:tc>
      </w:tr>
      <w:tr w14:paraId="7DFA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194CB47D">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7</w:t>
            </w:r>
          </w:p>
        </w:tc>
        <w:tc>
          <w:tcPr>
            <w:tcW w:w="570" w:type="dxa"/>
            <w:vMerge w:val="continue"/>
            <w:vAlign w:val="center"/>
          </w:tcPr>
          <w:p w14:paraId="00B14643">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restart"/>
            <w:vAlign w:val="center"/>
          </w:tcPr>
          <w:p w14:paraId="3FAEEF8D">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配置护理床</w:t>
            </w:r>
          </w:p>
        </w:tc>
        <w:tc>
          <w:tcPr>
            <w:tcW w:w="1575" w:type="dxa"/>
            <w:vMerge w:val="restart"/>
            <w:vAlign w:val="center"/>
          </w:tcPr>
          <w:p w14:paraId="736BCC2F">
            <w:pPr>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帮助失能老年人完成起身、侧翻、上下床、吃饭等动作，辅助喂食、处理排泄物等</w:t>
            </w:r>
          </w:p>
        </w:tc>
        <w:tc>
          <w:tcPr>
            <w:tcW w:w="615" w:type="dxa"/>
            <w:gridSpan w:val="2"/>
            <w:vMerge w:val="restart"/>
            <w:vAlign w:val="center"/>
          </w:tcPr>
          <w:p w14:paraId="7D7F0EFD">
            <w:pPr>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可选</w:t>
            </w:r>
          </w:p>
        </w:tc>
        <w:tc>
          <w:tcPr>
            <w:tcW w:w="600" w:type="dxa"/>
            <w:vAlign w:val="center"/>
          </w:tcPr>
          <w:p w14:paraId="091CBD5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双摇护理床</w:t>
            </w:r>
          </w:p>
        </w:tc>
        <w:tc>
          <w:tcPr>
            <w:tcW w:w="3420" w:type="dxa"/>
            <w:vAlign w:val="center"/>
          </w:tcPr>
          <w:p w14:paraId="0FB00BE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1.尺寸：长2040</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宽960mm，整体承重≥300kg，背板动态载重≥70kg；</w:t>
            </w:r>
          </w:p>
          <w:p w14:paraId="3CFEDD0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2.调整角度：背部调节高度：0-70°/±5°，腿部调节高度：0-40°/±5；</w:t>
            </w:r>
          </w:p>
          <w:p w14:paraId="54453AF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3.摇杆系统：摇杆为含油带极限位置双向过营保护螺杆。采用高强度轴承钢制的螺杆，丝杆万向节采用45#精钢制成，双重保护，防滑丝，耐磨、轻便省力、无噪音；</w:t>
            </w:r>
          </w:p>
          <w:p w14:paraId="4A45C93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4.双侧可插式护栏，方便起身及坐卧助力，有效防止坠床，护栏尺寸：900</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270mm（长</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宽），护栏圆管直径：19mm；</w:t>
            </w:r>
          </w:p>
          <w:p w14:paraId="77AA31E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5.床头尾板及包围采用弧线形设计，床头尾厚度</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40mm，床尾上弧形扶手</w:t>
            </w:r>
            <w:r>
              <w:rPr>
                <w:rFonts w:hint="eastAsia" w:cs="宋体"/>
                <w:i w:val="0"/>
                <w:iCs w:val="0"/>
                <w:color w:val="auto"/>
                <w:kern w:val="0"/>
                <w:sz w:val="20"/>
                <w:szCs w:val="20"/>
                <w:u w:val="none"/>
                <w:lang w:val="en-US" w:eastAsia="zh-CN" w:bidi="ar"/>
              </w:rPr>
              <w:t>直径≥</w:t>
            </w:r>
            <w:r>
              <w:rPr>
                <w:rFonts w:hint="eastAsia" w:ascii="宋体" w:hAnsi="宋体" w:eastAsia="宋体" w:cs="宋体"/>
                <w:i w:val="0"/>
                <w:iCs w:val="0"/>
                <w:color w:val="auto"/>
                <w:kern w:val="0"/>
                <w:sz w:val="20"/>
                <w:szCs w:val="20"/>
                <w:u w:val="none"/>
                <w:lang w:val="en-US" w:eastAsia="zh-CN" w:bidi="ar"/>
              </w:rPr>
              <w:t>35mm，床头尾实现快速拆卸，满足临床急救需求。</w:t>
            </w:r>
            <w:bookmarkStart w:id="18" w:name="OLE_LINK7"/>
            <w:bookmarkStart w:id="19" w:name="OLE_LINK5"/>
            <w:r>
              <w:rPr>
                <w:rFonts w:hint="eastAsia" w:cs="宋体"/>
                <w:i w:val="0"/>
                <w:iCs w:val="0"/>
                <w:color w:val="auto"/>
                <w:kern w:val="0"/>
                <w:sz w:val="20"/>
                <w:szCs w:val="20"/>
                <w:u w:val="none"/>
                <w:lang w:val="en-US" w:eastAsia="zh-CN" w:bidi="ar"/>
              </w:rPr>
              <w:t>（提供产品功能截图或</w:t>
            </w:r>
            <w:r>
              <w:rPr>
                <w:rFonts w:hint="eastAsia" w:ascii="宋体" w:hAnsi="宋体" w:eastAsia="宋体" w:cs="宋体"/>
                <w:i w:val="0"/>
                <w:iCs w:val="0"/>
                <w:color w:val="auto"/>
                <w:kern w:val="0"/>
                <w:sz w:val="20"/>
                <w:szCs w:val="20"/>
                <w:u w:val="none"/>
                <w:lang w:val="en-US" w:eastAsia="zh-CN" w:bidi="ar"/>
              </w:rPr>
              <w:t>国家认可的第三方检</w:t>
            </w:r>
            <w:bookmarkEnd w:id="18"/>
            <w:r>
              <w:rPr>
                <w:rFonts w:hint="eastAsia" w:ascii="宋体" w:hAnsi="宋体" w:eastAsia="宋体" w:cs="宋体"/>
                <w:i w:val="0"/>
                <w:iCs w:val="0"/>
                <w:color w:val="auto"/>
                <w:kern w:val="0"/>
                <w:sz w:val="20"/>
                <w:szCs w:val="20"/>
                <w:u w:val="none"/>
                <w:lang w:val="en-US" w:eastAsia="zh-CN" w:bidi="ar"/>
              </w:rPr>
              <w:t>测机构出具的检测报告加盖投标单位公章</w:t>
            </w:r>
            <w:r>
              <w:rPr>
                <w:rFonts w:hint="eastAsia" w:cs="宋体"/>
                <w:i w:val="0"/>
                <w:iCs w:val="0"/>
                <w:color w:val="auto"/>
                <w:kern w:val="0"/>
                <w:sz w:val="20"/>
                <w:szCs w:val="20"/>
                <w:u w:val="none"/>
                <w:lang w:val="en-US" w:eastAsia="zh-CN" w:bidi="ar"/>
              </w:rPr>
              <w:t>）</w:t>
            </w:r>
            <w:bookmarkEnd w:id="19"/>
          </w:p>
        </w:tc>
        <w:tc>
          <w:tcPr>
            <w:tcW w:w="450" w:type="dxa"/>
            <w:vAlign w:val="center"/>
          </w:tcPr>
          <w:p w14:paraId="0DCBD879">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张</w:t>
            </w:r>
          </w:p>
        </w:tc>
        <w:tc>
          <w:tcPr>
            <w:tcW w:w="863" w:type="dxa"/>
            <w:vAlign w:val="center"/>
          </w:tcPr>
          <w:p w14:paraId="0D5776A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1847 </w:t>
            </w:r>
          </w:p>
        </w:tc>
      </w:tr>
      <w:tr w14:paraId="26B5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3B3C55D4">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762163D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6DD0EB88">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71425B15">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188EFF8F">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15DE099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两功能电动护理床</w:t>
            </w:r>
          </w:p>
        </w:tc>
        <w:tc>
          <w:tcPr>
            <w:tcW w:w="3420" w:type="dxa"/>
            <w:vAlign w:val="center"/>
          </w:tcPr>
          <w:p w14:paraId="6296DF1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配置：实木颗粒板床头床尾＋侧围板、五档木纹护栏、静音轮、</w:t>
            </w:r>
            <w:r>
              <w:rPr>
                <w:rFonts w:hint="eastAsia" w:cs="宋体"/>
                <w:i w:val="0"/>
                <w:iCs w:val="0"/>
                <w:color w:val="auto"/>
                <w:kern w:val="0"/>
                <w:sz w:val="20"/>
                <w:szCs w:val="20"/>
                <w:u w:val="none"/>
                <w:lang w:val="en-US" w:eastAsia="zh-CN" w:bidi="ar"/>
              </w:rPr>
              <w:t>厚度≥</w:t>
            </w:r>
            <w:r>
              <w:rPr>
                <w:rFonts w:hint="eastAsia" w:ascii="宋体" w:hAnsi="宋体" w:eastAsia="宋体" w:cs="宋体"/>
                <w:i w:val="0"/>
                <w:iCs w:val="0"/>
                <w:color w:val="auto"/>
                <w:kern w:val="0"/>
                <w:sz w:val="20"/>
                <w:szCs w:val="20"/>
                <w:u w:val="none"/>
                <w:lang w:val="en-US" w:eastAsia="zh-CN" w:bidi="ar"/>
              </w:rPr>
              <w:t>6公分棕绵床垫</w:t>
            </w:r>
          </w:p>
          <w:p w14:paraId="0AB68F7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床体主要部件参数：</w:t>
            </w:r>
          </w:p>
          <w:p w14:paraId="53D83AC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床板：原材料采用厚度</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1.2mm的15×30方管，稳固透气，不易变形，四角各有一个输液架孔，由专用冲压件包裹，稳固耐用。（可按要求带引流沟）</w:t>
            </w:r>
          </w:p>
          <w:p w14:paraId="0B75E8E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床帮：采用原材料厚度</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1.2mm的40×80mm方管，经过精密焊接加工而成。床体连接件采用厚度</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3mm冷板冲压成型，连接稳固，结实耐用。</w:t>
            </w:r>
          </w:p>
          <w:p w14:paraId="45BFAE5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整体漆面：采用室外塑粉，粉末喷涂技术，硬度高，吸附力强，经过</w:t>
            </w:r>
            <w:r>
              <w:rPr>
                <w:rFonts w:hint="eastAsia" w:cs="宋体"/>
                <w:i w:val="0"/>
                <w:iCs w:val="0"/>
                <w:color w:val="auto"/>
                <w:kern w:val="0"/>
                <w:sz w:val="20"/>
                <w:szCs w:val="20"/>
                <w:u w:val="none"/>
                <w:lang w:val="en-US" w:eastAsia="zh-CN" w:bidi="ar"/>
              </w:rPr>
              <w:t>不低于</w:t>
            </w:r>
            <w:r>
              <w:rPr>
                <w:rFonts w:hint="eastAsia" w:ascii="宋体" w:hAnsi="宋体" w:eastAsia="宋体" w:cs="宋体"/>
                <w:i w:val="0"/>
                <w:iCs w:val="0"/>
                <w:color w:val="auto"/>
                <w:kern w:val="0"/>
                <w:sz w:val="20"/>
                <w:szCs w:val="20"/>
                <w:u w:val="none"/>
                <w:lang w:val="en-US" w:eastAsia="zh-CN" w:bidi="ar"/>
              </w:rPr>
              <w:t>120小时盐雾测试合格，长时间使用抗酸碱、耐腐蚀、耐褪色，光洁度高。</w:t>
            </w:r>
            <w:bookmarkStart w:id="20" w:name="OLE_LINK9"/>
            <w:r>
              <w:rPr>
                <w:rFonts w:hint="eastAsia" w:cs="宋体"/>
                <w:i w:val="0"/>
                <w:iCs w:val="0"/>
                <w:color w:val="auto"/>
                <w:kern w:val="0"/>
                <w:sz w:val="20"/>
                <w:szCs w:val="20"/>
                <w:u w:val="none"/>
                <w:lang w:val="en-US" w:eastAsia="zh-CN" w:bidi="ar"/>
              </w:rPr>
              <w:t>（提供产品功能截图或</w:t>
            </w:r>
            <w:r>
              <w:rPr>
                <w:rFonts w:hint="eastAsia" w:ascii="宋体" w:hAnsi="宋体" w:eastAsia="宋体" w:cs="宋体"/>
                <w:i w:val="0"/>
                <w:iCs w:val="0"/>
                <w:color w:val="auto"/>
                <w:kern w:val="0"/>
                <w:sz w:val="20"/>
                <w:szCs w:val="20"/>
                <w:u w:val="none"/>
                <w:lang w:val="en-US" w:eastAsia="zh-CN" w:bidi="ar"/>
              </w:rPr>
              <w:t>国家认可的第三方检测机构出具的检测报告加盖投标单位公章</w:t>
            </w:r>
            <w:r>
              <w:rPr>
                <w:rFonts w:hint="eastAsia" w:cs="宋体"/>
                <w:i w:val="0"/>
                <w:iCs w:val="0"/>
                <w:color w:val="auto"/>
                <w:kern w:val="0"/>
                <w:sz w:val="20"/>
                <w:szCs w:val="20"/>
                <w:u w:val="none"/>
                <w:lang w:val="en-US" w:eastAsia="zh-CN" w:bidi="ar"/>
              </w:rPr>
              <w:t>）</w:t>
            </w:r>
            <w:bookmarkEnd w:id="20"/>
          </w:p>
          <w:p w14:paraId="04F18C2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配置说明：</w:t>
            </w:r>
          </w:p>
          <w:p w14:paraId="0DFC2F0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床头：实木颗粒板材质＋侧围板（可按要求带软包），采用挂式结构，拆卸方便，设有固定旋转锁。</w:t>
            </w:r>
          </w:p>
          <w:p w14:paraId="6FD2684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护栏：五档铝合金木纹护栏，横梁采用铝合金材质，美观大方，立柱采用硬度高，不易变形的不锈钢材质，一键折叠，使用方便，满足不同临床及护理人员的需要。</w:t>
            </w:r>
          </w:p>
          <w:p w14:paraId="3B88439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6、床垫：</w:t>
            </w:r>
            <w:r>
              <w:rPr>
                <w:rFonts w:hint="eastAsia" w:cs="宋体"/>
                <w:i w:val="0"/>
                <w:iCs w:val="0"/>
                <w:color w:val="auto"/>
                <w:kern w:val="0"/>
                <w:sz w:val="20"/>
                <w:szCs w:val="20"/>
                <w:u w:val="none"/>
                <w:lang w:val="en-US" w:eastAsia="zh-CN" w:bidi="ar"/>
              </w:rPr>
              <w:t>厚度≥</w:t>
            </w:r>
            <w:r>
              <w:rPr>
                <w:rFonts w:hint="eastAsia" w:ascii="宋体" w:hAnsi="宋体" w:eastAsia="宋体" w:cs="宋体"/>
                <w:i w:val="0"/>
                <w:iCs w:val="0"/>
                <w:color w:val="auto"/>
                <w:kern w:val="0"/>
                <w:sz w:val="20"/>
                <w:szCs w:val="20"/>
                <w:u w:val="none"/>
                <w:lang w:val="en-US" w:eastAsia="zh-CN" w:bidi="ar"/>
              </w:rPr>
              <w:t>6公分棕绵垫，内部采用</w:t>
            </w:r>
            <w:r>
              <w:rPr>
                <w:rFonts w:hint="eastAsia" w:cs="宋体"/>
                <w:i w:val="0"/>
                <w:iCs w:val="0"/>
                <w:color w:val="auto"/>
                <w:kern w:val="0"/>
                <w:sz w:val="20"/>
                <w:szCs w:val="20"/>
                <w:u w:val="none"/>
                <w:lang w:val="en-US" w:eastAsia="zh-CN" w:bidi="ar"/>
              </w:rPr>
              <w:t>厚度≥</w:t>
            </w:r>
            <w:r>
              <w:rPr>
                <w:rFonts w:hint="eastAsia" w:ascii="宋体" w:hAnsi="宋体" w:eastAsia="宋体" w:cs="宋体"/>
                <w:i w:val="0"/>
                <w:iCs w:val="0"/>
                <w:color w:val="auto"/>
                <w:kern w:val="0"/>
                <w:sz w:val="20"/>
                <w:szCs w:val="20"/>
                <w:u w:val="none"/>
                <w:lang w:val="en-US" w:eastAsia="zh-CN" w:bidi="ar"/>
              </w:rPr>
              <w:t>4公分天然椰棕与</w:t>
            </w:r>
            <w:r>
              <w:rPr>
                <w:rFonts w:hint="eastAsia" w:cs="宋体"/>
                <w:i w:val="0"/>
                <w:iCs w:val="0"/>
                <w:color w:val="auto"/>
                <w:kern w:val="0"/>
                <w:sz w:val="20"/>
                <w:szCs w:val="20"/>
                <w:u w:val="none"/>
                <w:lang w:val="en-US" w:eastAsia="zh-CN" w:bidi="ar"/>
              </w:rPr>
              <w:t>厚度≥</w:t>
            </w:r>
            <w:r>
              <w:rPr>
                <w:rFonts w:hint="eastAsia" w:ascii="宋体" w:hAnsi="宋体" w:eastAsia="宋体" w:cs="宋体"/>
                <w:i w:val="0"/>
                <w:iCs w:val="0"/>
                <w:color w:val="auto"/>
                <w:kern w:val="0"/>
                <w:sz w:val="20"/>
                <w:szCs w:val="20"/>
                <w:u w:val="none"/>
                <w:lang w:val="en-US" w:eastAsia="zh-CN" w:bidi="ar"/>
              </w:rPr>
              <w:t>2公分35</w:t>
            </w:r>
            <w:r>
              <w:rPr>
                <w:rFonts w:hint="eastAsia" w:cs="宋体"/>
                <w:i w:val="0"/>
                <w:iCs w:val="0"/>
                <w:color w:val="auto"/>
                <w:kern w:val="0"/>
                <w:sz w:val="20"/>
                <w:szCs w:val="20"/>
                <w:u w:val="none"/>
                <w:lang w:val="en-US" w:eastAsia="zh-CN" w:bidi="ar"/>
              </w:rPr>
              <w:t>高密度</w:t>
            </w:r>
            <w:r>
              <w:rPr>
                <w:rFonts w:hint="eastAsia" w:ascii="宋体" w:hAnsi="宋体" w:eastAsia="宋体" w:cs="宋体"/>
                <w:i w:val="0"/>
                <w:iCs w:val="0"/>
                <w:color w:val="auto"/>
                <w:kern w:val="0"/>
                <w:sz w:val="20"/>
                <w:szCs w:val="20"/>
                <w:u w:val="none"/>
                <w:lang w:val="en-US" w:eastAsia="zh-CN" w:bidi="ar"/>
              </w:rPr>
              <w:t>重体海绵</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与床面弯折匹配，棕板为机压材质3E环保椰丝棕板，经高温高压处理，经防虫蛀处理，海绵为35高密度高回弹透气海绵，外套中间部位布料经防水、透气处理，具有防霉防菌功能，耐磨防腐，防水易打理，整垫回弹性好，软硬适中，不易变形。</w:t>
            </w:r>
          </w:p>
          <w:p w14:paraId="709D166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脚轮：采用四轮独立刹车包罩静音脚轮，360度推动灵活，锁定稳固</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便于移动。</w:t>
            </w:r>
          </w:p>
          <w:p w14:paraId="7FB55B0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bookmarkStart w:id="21" w:name="OLE_LINK8"/>
            <w:r>
              <w:rPr>
                <w:rFonts w:hint="eastAsia" w:cs="宋体"/>
                <w:i w:val="0"/>
                <w:iCs w:val="0"/>
                <w:color w:val="auto"/>
                <w:kern w:val="0"/>
                <w:sz w:val="20"/>
                <w:szCs w:val="20"/>
                <w:u w:val="none"/>
                <w:lang w:val="en-US" w:eastAsia="zh-CN" w:bidi="ar"/>
              </w:rPr>
              <w:t>★</w:t>
            </w:r>
            <w:r>
              <w:rPr>
                <w:rFonts w:hint="eastAsia" w:ascii="宋体" w:hAnsi="宋体" w:eastAsia="宋体" w:cs="宋体"/>
                <w:color w:val="auto"/>
                <w:sz w:val="20"/>
                <w:szCs w:val="20"/>
                <w:highlight w:val="none"/>
                <w:lang w:val="en-US" w:eastAsia="zh-CN"/>
              </w:rPr>
              <w:t>8</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摇把：优质钢制电镀摇把，结实耐用，摇杆采用过载保护装置。</w:t>
            </w:r>
            <w:bookmarkEnd w:id="21"/>
            <w:bookmarkStart w:id="22" w:name="OLE_LINK1"/>
            <w:r>
              <w:rPr>
                <w:rFonts w:hint="eastAsia" w:cs="宋体"/>
                <w:i w:val="0"/>
                <w:iCs w:val="0"/>
                <w:color w:val="auto"/>
                <w:kern w:val="0"/>
                <w:sz w:val="20"/>
                <w:szCs w:val="20"/>
                <w:u w:val="none"/>
                <w:lang w:val="en-US" w:eastAsia="zh-CN" w:bidi="ar"/>
              </w:rPr>
              <w:t>（提供产品功能截图或</w:t>
            </w:r>
            <w:r>
              <w:rPr>
                <w:rFonts w:hint="eastAsia" w:ascii="宋体" w:hAnsi="宋体" w:eastAsia="宋体" w:cs="宋体"/>
                <w:i w:val="0"/>
                <w:iCs w:val="0"/>
                <w:color w:val="auto"/>
                <w:kern w:val="0"/>
                <w:sz w:val="20"/>
                <w:szCs w:val="20"/>
                <w:u w:val="none"/>
                <w:lang w:val="en-US" w:eastAsia="zh-CN" w:bidi="ar"/>
              </w:rPr>
              <w:t>国家认可的第三方检测机构出具的检测报告加盖投标单位公章</w:t>
            </w:r>
            <w:r>
              <w:rPr>
                <w:rFonts w:hint="eastAsia" w:cs="宋体"/>
                <w:i w:val="0"/>
                <w:iCs w:val="0"/>
                <w:color w:val="auto"/>
                <w:kern w:val="0"/>
                <w:sz w:val="20"/>
                <w:szCs w:val="20"/>
                <w:u w:val="none"/>
                <w:lang w:val="en-US" w:eastAsia="zh-CN" w:bidi="ar"/>
              </w:rPr>
              <w:t>）</w:t>
            </w:r>
            <w:bookmarkEnd w:id="22"/>
          </w:p>
        </w:tc>
        <w:tc>
          <w:tcPr>
            <w:tcW w:w="450" w:type="dxa"/>
            <w:vAlign w:val="center"/>
          </w:tcPr>
          <w:p w14:paraId="0A2FC4F8">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张</w:t>
            </w:r>
          </w:p>
        </w:tc>
        <w:tc>
          <w:tcPr>
            <w:tcW w:w="863" w:type="dxa"/>
            <w:vAlign w:val="center"/>
          </w:tcPr>
          <w:p w14:paraId="721BEDAA">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3027 </w:t>
            </w:r>
          </w:p>
        </w:tc>
      </w:tr>
      <w:tr w14:paraId="2C65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1F26569C">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8</w:t>
            </w:r>
          </w:p>
        </w:tc>
        <w:tc>
          <w:tcPr>
            <w:tcW w:w="570" w:type="dxa"/>
            <w:vMerge w:val="continue"/>
            <w:vAlign w:val="center"/>
          </w:tcPr>
          <w:p w14:paraId="02B17742">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restart"/>
            <w:vAlign w:val="center"/>
          </w:tcPr>
          <w:p w14:paraId="0DCBE57F">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配置防压疮垫</w:t>
            </w:r>
          </w:p>
        </w:tc>
        <w:tc>
          <w:tcPr>
            <w:tcW w:w="1575" w:type="dxa"/>
            <w:vMerge w:val="restart"/>
            <w:vAlign w:val="center"/>
          </w:tcPr>
          <w:p w14:paraId="0E72BA8F">
            <w:pPr>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避免长期乘坐轮椅或卧床的老年人发生严重压疮，包括防压疮坐垫、靠垫或床垫等</w:t>
            </w:r>
          </w:p>
        </w:tc>
        <w:tc>
          <w:tcPr>
            <w:tcW w:w="615" w:type="dxa"/>
            <w:gridSpan w:val="2"/>
            <w:vMerge w:val="restart"/>
            <w:vAlign w:val="center"/>
          </w:tcPr>
          <w:p w14:paraId="148B6DEC">
            <w:pPr>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可选</w:t>
            </w:r>
          </w:p>
        </w:tc>
        <w:tc>
          <w:tcPr>
            <w:tcW w:w="600" w:type="dxa"/>
            <w:vAlign w:val="center"/>
          </w:tcPr>
          <w:p w14:paraId="79D8074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防褥疮坐垫</w:t>
            </w:r>
          </w:p>
        </w:tc>
        <w:tc>
          <w:tcPr>
            <w:tcW w:w="3420" w:type="dxa"/>
            <w:vAlign w:val="center"/>
          </w:tcPr>
          <w:p w14:paraId="5C22767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尺寸：480</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480mm</w:t>
            </w:r>
            <w:r>
              <w:rPr>
                <w:rFonts w:hint="eastAsia" w:cs="宋体"/>
                <w:i w:val="0"/>
                <w:iCs w:val="0"/>
                <w:color w:val="auto"/>
                <w:kern w:val="0"/>
                <w:sz w:val="20"/>
                <w:szCs w:val="20"/>
                <w:u w:val="none"/>
                <w:lang w:val="en-US" w:eastAsia="zh-CN" w:bidi="ar"/>
              </w:rPr>
              <w:t>；</w:t>
            </w:r>
          </w:p>
          <w:p w14:paraId="28E3756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材质：优质PVC材质；轻巧耐拉伸，承重效果佳；</w:t>
            </w:r>
            <w:r>
              <w:rPr>
                <w:rFonts w:hint="eastAsia" w:cs="宋体"/>
                <w:i w:val="0"/>
                <w:iCs w:val="0"/>
                <w:color w:val="auto"/>
                <w:kern w:val="0"/>
                <w:sz w:val="20"/>
                <w:szCs w:val="20"/>
                <w:u w:val="none"/>
                <w:lang w:val="en-US" w:eastAsia="zh-CN" w:bidi="ar"/>
              </w:rPr>
              <w:t>不少于</w:t>
            </w:r>
            <w:r>
              <w:rPr>
                <w:rFonts w:hint="eastAsia" w:ascii="宋体" w:hAnsi="宋体" w:eastAsia="宋体" w:cs="宋体"/>
                <w:i w:val="0"/>
                <w:iCs w:val="0"/>
                <w:color w:val="auto"/>
                <w:kern w:val="0"/>
                <w:sz w:val="20"/>
                <w:szCs w:val="20"/>
                <w:u w:val="none"/>
                <w:lang w:val="en-US" w:eastAsia="zh-CN" w:bidi="ar"/>
              </w:rPr>
              <w:t>25个2.5cm内径小孔，均匀分布在坐垫上，与气室交错形成波浪凹凸表层，分散臀部、腿部的压力，更加透气；</w:t>
            </w:r>
          </w:p>
          <w:p w14:paraId="0A79E9A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承重</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100kg；</w:t>
            </w:r>
          </w:p>
          <w:p w14:paraId="303D9B0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配备专用打气筒，充气方便快捷。</w:t>
            </w:r>
          </w:p>
        </w:tc>
        <w:tc>
          <w:tcPr>
            <w:tcW w:w="450" w:type="dxa"/>
            <w:vAlign w:val="center"/>
          </w:tcPr>
          <w:p w14:paraId="0EDE84DF">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个</w:t>
            </w:r>
          </w:p>
        </w:tc>
        <w:tc>
          <w:tcPr>
            <w:tcW w:w="863" w:type="dxa"/>
            <w:vAlign w:val="center"/>
          </w:tcPr>
          <w:p w14:paraId="4F43584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42 </w:t>
            </w:r>
          </w:p>
        </w:tc>
      </w:tr>
      <w:tr w14:paraId="31E4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51FE214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701DD4D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475A091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2DA6F925">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7994DB46">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6D35C66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防褥疮床垫</w:t>
            </w:r>
          </w:p>
        </w:tc>
        <w:tc>
          <w:tcPr>
            <w:tcW w:w="3420" w:type="dxa"/>
            <w:vAlign w:val="center"/>
          </w:tcPr>
          <w:p w14:paraId="6F962EC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尺寸：2000</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900mm</w:t>
            </w:r>
            <w:r>
              <w:rPr>
                <w:rFonts w:hint="eastAsia" w:cs="宋体"/>
                <w:i w:val="0"/>
                <w:iCs w:val="0"/>
                <w:color w:val="auto"/>
                <w:kern w:val="0"/>
                <w:sz w:val="20"/>
                <w:szCs w:val="20"/>
                <w:u w:val="none"/>
                <w:lang w:val="en-US" w:eastAsia="zh-CN" w:bidi="ar"/>
              </w:rPr>
              <w:t>；</w:t>
            </w:r>
          </w:p>
          <w:p w14:paraId="063E014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材质：</w:t>
            </w:r>
            <w:r>
              <w:rPr>
                <w:rFonts w:hint="eastAsia" w:cs="宋体"/>
                <w:i w:val="0"/>
                <w:iCs w:val="0"/>
                <w:color w:val="auto"/>
                <w:kern w:val="0"/>
                <w:sz w:val="20"/>
                <w:szCs w:val="20"/>
                <w:u w:val="none"/>
                <w:lang w:val="en-US" w:eastAsia="zh-CN" w:bidi="ar"/>
              </w:rPr>
              <w:t>优质</w:t>
            </w:r>
            <w:r>
              <w:rPr>
                <w:rFonts w:hint="eastAsia" w:ascii="宋体" w:hAnsi="宋体" w:eastAsia="宋体" w:cs="宋体"/>
                <w:i w:val="0"/>
                <w:iCs w:val="0"/>
                <w:color w:val="auto"/>
                <w:kern w:val="0"/>
                <w:sz w:val="20"/>
                <w:szCs w:val="20"/>
                <w:u w:val="none"/>
                <w:lang w:val="en-US" w:eastAsia="zh-CN" w:bidi="ar"/>
              </w:rPr>
              <w:t>PVC</w:t>
            </w:r>
            <w:r>
              <w:rPr>
                <w:rFonts w:hint="eastAsia" w:cs="宋体"/>
                <w:i w:val="0"/>
                <w:iCs w:val="0"/>
                <w:color w:val="auto"/>
                <w:kern w:val="0"/>
                <w:sz w:val="20"/>
                <w:szCs w:val="20"/>
                <w:u w:val="none"/>
                <w:lang w:val="en-US" w:eastAsia="zh-CN" w:bidi="ar"/>
              </w:rPr>
              <w:t>；</w:t>
            </w:r>
          </w:p>
          <w:p w14:paraId="4A1CB6E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条形波动，1、2、3档为波动档，带有微型喷气孔</w:t>
            </w:r>
            <w:r>
              <w:rPr>
                <w:rFonts w:hint="eastAsia" w:cs="宋体"/>
                <w:i w:val="0"/>
                <w:iCs w:val="0"/>
                <w:color w:val="auto"/>
                <w:kern w:val="0"/>
                <w:sz w:val="20"/>
                <w:szCs w:val="20"/>
                <w:u w:val="none"/>
                <w:lang w:val="en-US" w:eastAsia="zh-CN" w:bidi="ar"/>
              </w:rPr>
              <w:t>；</w:t>
            </w:r>
          </w:p>
          <w:p w14:paraId="0147405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间隔管7分钟交替充气</w:t>
            </w:r>
            <w:r>
              <w:rPr>
                <w:rFonts w:hint="eastAsia" w:cs="宋体"/>
                <w:i w:val="0"/>
                <w:iCs w:val="0"/>
                <w:color w:val="auto"/>
                <w:kern w:val="0"/>
                <w:sz w:val="20"/>
                <w:szCs w:val="20"/>
                <w:u w:val="none"/>
                <w:lang w:val="en-US" w:eastAsia="zh-CN" w:bidi="ar"/>
              </w:rPr>
              <w:t>；</w:t>
            </w:r>
          </w:p>
          <w:p w14:paraId="5379185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低噪音设计，不大于20分贝</w:t>
            </w:r>
            <w:r>
              <w:rPr>
                <w:rFonts w:hint="eastAsia" w:cs="宋体"/>
                <w:i w:val="0"/>
                <w:iCs w:val="0"/>
                <w:color w:val="auto"/>
                <w:kern w:val="0"/>
                <w:sz w:val="20"/>
                <w:szCs w:val="20"/>
                <w:u w:val="none"/>
                <w:lang w:val="en-US" w:eastAsia="zh-CN" w:bidi="ar"/>
              </w:rPr>
              <w:t>；</w:t>
            </w:r>
          </w:p>
          <w:p w14:paraId="003A151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气条可单独拆卸，方便更换</w:t>
            </w:r>
            <w:r>
              <w:rPr>
                <w:rFonts w:hint="eastAsia" w:cs="宋体"/>
                <w:i w:val="0"/>
                <w:iCs w:val="0"/>
                <w:color w:val="auto"/>
                <w:kern w:val="0"/>
                <w:sz w:val="20"/>
                <w:szCs w:val="20"/>
                <w:u w:val="none"/>
                <w:lang w:val="en-US" w:eastAsia="zh-CN" w:bidi="ar"/>
              </w:rPr>
              <w:t>；</w:t>
            </w:r>
          </w:p>
          <w:p w14:paraId="1260A51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微电脑控制气囊换气。</w:t>
            </w:r>
          </w:p>
        </w:tc>
        <w:tc>
          <w:tcPr>
            <w:tcW w:w="450" w:type="dxa"/>
            <w:vAlign w:val="center"/>
          </w:tcPr>
          <w:p w14:paraId="6002140E">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个</w:t>
            </w:r>
          </w:p>
        </w:tc>
        <w:tc>
          <w:tcPr>
            <w:tcW w:w="863" w:type="dxa"/>
            <w:vAlign w:val="center"/>
          </w:tcPr>
          <w:p w14:paraId="4A7F785F">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577 </w:t>
            </w:r>
          </w:p>
        </w:tc>
      </w:tr>
      <w:tr w14:paraId="738B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221346A3">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9</w:t>
            </w:r>
          </w:p>
        </w:tc>
        <w:tc>
          <w:tcPr>
            <w:tcW w:w="570" w:type="dxa"/>
            <w:vMerge w:val="restart"/>
            <w:vAlign w:val="center"/>
          </w:tcPr>
          <w:p w14:paraId="115AA226">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如厕洗浴设备改造</w:t>
            </w:r>
          </w:p>
        </w:tc>
        <w:tc>
          <w:tcPr>
            <w:tcW w:w="585" w:type="dxa"/>
            <w:vMerge w:val="restart"/>
            <w:vAlign w:val="center"/>
          </w:tcPr>
          <w:p w14:paraId="593433C9">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安装扶手</w:t>
            </w:r>
          </w:p>
        </w:tc>
        <w:tc>
          <w:tcPr>
            <w:tcW w:w="1575" w:type="dxa"/>
            <w:vMerge w:val="restart"/>
            <w:vAlign w:val="center"/>
          </w:tcPr>
          <w:p w14:paraId="4D01885F">
            <w:pPr>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在如厕区或者洗浴区安装扶手，包括一字形扶手、U形扶手、L形扶手、135°扶手、T形扶手或者助力扶手等</w:t>
            </w:r>
          </w:p>
        </w:tc>
        <w:tc>
          <w:tcPr>
            <w:tcW w:w="615" w:type="dxa"/>
            <w:gridSpan w:val="2"/>
            <w:vMerge w:val="restart"/>
            <w:vAlign w:val="center"/>
          </w:tcPr>
          <w:p w14:paraId="2BD5D808">
            <w:pPr>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基础（根据物理环境配置）</w:t>
            </w:r>
          </w:p>
        </w:tc>
        <w:tc>
          <w:tcPr>
            <w:tcW w:w="600" w:type="dxa"/>
            <w:vAlign w:val="center"/>
          </w:tcPr>
          <w:p w14:paraId="2C79109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一字扶手</w:t>
            </w:r>
          </w:p>
        </w:tc>
        <w:tc>
          <w:tcPr>
            <w:tcW w:w="3420" w:type="dxa"/>
            <w:vAlign w:val="center"/>
          </w:tcPr>
          <w:p w14:paraId="2AA5D70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符合残联无障碍标准，边长：600mm，扶手外层为ABS 抗菌尼龙材质，直径为35mm</w:t>
            </w:r>
            <w:r>
              <w:rPr>
                <w:rFonts w:hint="eastAsia" w:cs="宋体"/>
                <w:i w:val="0"/>
                <w:iCs w:val="0"/>
                <w:color w:val="auto"/>
                <w:kern w:val="0"/>
                <w:sz w:val="20"/>
                <w:szCs w:val="20"/>
                <w:u w:val="none"/>
                <w:lang w:val="en-US" w:eastAsia="zh-CN" w:bidi="ar"/>
              </w:rPr>
              <w:t>（±3mm）</w:t>
            </w:r>
            <w:r>
              <w:rPr>
                <w:rFonts w:hint="eastAsia" w:ascii="宋体" w:hAnsi="宋体" w:eastAsia="宋体" w:cs="宋体"/>
                <w:i w:val="0"/>
                <w:iCs w:val="0"/>
                <w:color w:val="auto"/>
                <w:kern w:val="0"/>
                <w:sz w:val="20"/>
                <w:szCs w:val="20"/>
                <w:u w:val="none"/>
                <w:lang w:val="en-US" w:eastAsia="zh-CN" w:bidi="ar"/>
              </w:rPr>
              <w:t>，内部管材为不锈钢或铝合金材质，直径28mm</w:t>
            </w:r>
            <w:r>
              <w:rPr>
                <w:rFonts w:hint="eastAsia" w:cs="宋体"/>
                <w:i w:val="0"/>
                <w:iCs w:val="0"/>
                <w:color w:val="auto"/>
                <w:kern w:val="0"/>
                <w:sz w:val="20"/>
                <w:szCs w:val="20"/>
                <w:u w:val="none"/>
                <w:lang w:val="en-US" w:eastAsia="zh-CN" w:bidi="ar"/>
              </w:rPr>
              <w:t>（±2mm）</w:t>
            </w:r>
            <w:r>
              <w:rPr>
                <w:rFonts w:hint="eastAsia" w:ascii="宋体" w:hAnsi="宋体" w:eastAsia="宋体" w:cs="宋体"/>
                <w:i w:val="0"/>
                <w:iCs w:val="0"/>
                <w:color w:val="auto"/>
                <w:kern w:val="0"/>
                <w:sz w:val="20"/>
                <w:szCs w:val="20"/>
                <w:u w:val="none"/>
                <w:lang w:val="en-US" w:eastAsia="zh-CN" w:bidi="ar"/>
              </w:rPr>
              <w:t>，具备防转动、防滑设计，抓握更牢固，扶手承重力≥200kg。</w:t>
            </w:r>
          </w:p>
        </w:tc>
        <w:tc>
          <w:tcPr>
            <w:tcW w:w="450" w:type="dxa"/>
            <w:vAlign w:val="center"/>
          </w:tcPr>
          <w:p w14:paraId="25C523C1">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个</w:t>
            </w:r>
          </w:p>
        </w:tc>
        <w:tc>
          <w:tcPr>
            <w:tcW w:w="863" w:type="dxa"/>
            <w:vAlign w:val="center"/>
          </w:tcPr>
          <w:p w14:paraId="29D5D3D1">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178 </w:t>
            </w:r>
          </w:p>
        </w:tc>
      </w:tr>
      <w:tr w14:paraId="7D1D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5E908FF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71E12F6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2C1B8FB5">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12653E65">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6161F86D">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076CFEA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U型上翻扶手（马桶扶手）</w:t>
            </w:r>
          </w:p>
        </w:tc>
        <w:tc>
          <w:tcPr>
            <w:tcW w:w="3420" w:type="dxa"/>
            <w:vAlign w:val="center"/>
          </w:tcPr>
          <w:p w14:paraId="70C50DD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尺寸：600</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700mm</w:t>
            </w:r>
            <w:r>
              <w:rPr>
                <w:rFonts w:hint="eastAsia" w:cs="宋体"/>
                <w:i w:val="0"/>
                <w:iCs w:val="0"/>
                <w:color w:val="auto"/>
                <w:kern w:val="0"/>
                <w:sz w:val="20"/>
                <w:szCs w:val="20"/>
                <w:u w:val="none"/>
                <w:lang w:val="en-US" w:eastAsia="zh-CN" w:bidi="ar"/>
              </w:rPr>
              <w:t>；</w:t>
            </w:r>
          </w:p>
          <w:p w14:paraId="6B4AE85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2.外管材质：表面ABS材质，内置不锈钢内管，底版304#不锈钢，U型上翻带落地,厚度≥0.5毫米</w:t>
            </w:r>
            <w:r>
              <w:rPr>
                <w:rFonts w:hint="eastAsia" w:cs="宋体"/>
                <w:i w:val="0"/>
                <w:iCs w:val="0"/>
                <w:color w:val="auto"/>
                <w:kern w:val="0"/>
                <w:sz w:val="20"/>
                <w:szCs w:val="20"/>
                <w:u w:val="none"/>
                <w:lang w:val="en-US" w:eastAsia="zh-CN" w:bidi="ar"/>
              </w:rPr>
              <w:t>。</w:t>
            </w:r>
          </w:p>
        </w:tc>
        <w:tc>
          <w:tcPr>
            <w:tcW w:w="450" w:type="dxa"/>
            <w:vAlign w:val="center"/>
          </w:tcPr>
          <w:p w14:paraId="3BE767EC">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个</w:t>
            </w:r>
          </w:p>
        </w:tc>
        <w:tc>
          <w:tcPr>
            <w:tcW w:w="863" w:type="dxa"/>
            <w:vAlign w:val="center"/>
          </w:tcPr>
          <w:p w14:paraId="5492E5D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373 </w:t>
            </w:r>
          </w:p>
        </w:tc>
      </w:tr>
      <w:tr w14:paraId="70DC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3A0BEBCD">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15449071">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2C5CF685">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0558FE96">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662DC709">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2E3BBD6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135度扶手（淋浴扶手）</w:t>
            </w:r>
          </w:p>
        </w:tc>
        <w:tc>
          <w:tcPr>
            <w:tcW w:w="3420" w:type="dxa"/>
            <w:vAlign w:val="center"/>
          </w:tcPr>
          <w:p w14:paraId="2C936BA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尺寸：450mm</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450mm</w:t>
            </w:r>
            <w:r>
              <w:rPr>
                <w:rFonts w:hint="eastAsia" w:cs="宋体"/>
                <w:i w:val="0"/>
                <w:iCs w:val="0"/>
                <w:color w:val="auto"/>
                <w:kern w:val="0"/>
                <w:sz w:val="20"/>
                <w:szCs w:val="20"/>
                <w:u w:val="none"/>
                <w:lang w:val="en-US" w:eastAsia="zh-CN" w:bidi="ar"/>
              </w:rPr>
              <w:t>；</w:t>
            </w:r>
          </w:p>
          <w:p w14:paraId="54370A6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材质：外管材质</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高强度抗菌尼龙、ABS；</w:t>
            </w:r>
          </w:p>
          <w:p w14:paraId="64F305A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材质：内管材质：铝合金/不锈钢，直径28mm</w:t>
            </w:r>
            <w:r>
              <w:rPr>
                <w:rFonts w:hint="eastAsia" w:cs="宋体"/>
                <w:i w:val="0"/>
                <w:iCs w:val="0"/>
                <w:color w:val="auto"/>
                <w:kern w:val="0"/>
                <w:sz w:val="20"/>
                <w:szCs w:val="20"/>
                <w:u w:val="none"/>
                <w:lang w:val="en-US" w:eastAsia="zh-CN" w:bidi="ar"/>
              </w:rPr>
              <w:t>（±2mm）</w:t>
            </w:r>
            <w:r>
              <w:rPr>
                <w:rFonts w:hint="eastAsia" w:ascii="宋体" w:hAnsi="宋体" w:eastAsia="宋体" w:cs="宋体"/>
                <w:i w:val="0"/>
                <w:iCs w:val="0"/>
                <w:color w:val="auto"/>
                <w:kern w:val="0"/>
                <w:sz w:val="20"/>
                <w:szCs w:val="20"/>
                <w:u w:val="none"/>
                <w:lang w:val="en-US" w:eastAsia="zh-CN" w:bidi="ar"/>
              </w:rPr>
              <w:t>；</w:t>
            </w:r>
          </w:p>
          <w:p w14:paraId="7DDEE96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扶手表面使用环保标准、抗老化、耐腐蚀耐火材料，能对大肠杆菌、金黄色葡萄杆菌等细菌有效；扶手表面采用防滑浮点设计，厚度≥0.5毫米。</w:t>
            </w:r>
          </w:p>
        </w:tc>
        <w:tc>
          <w:tcPr>
            <w:tcW w:w="450" w:type="dxa"/>
            <w:vAlign w:val="center"/>
          </w:tcPr>
          <w:p w14:paraId="7B954E4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个</w:t>
            </w:r>
          </w:p>
        </w:tc>
        <w:tc>
          <w:tcPr>
            <w:tcW w:w="863" w:type="dxa"/>
            <w:vAlign w:val="center"/>
          </w:tcPr>
          <w:p w14:paraId="2C15225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210 </w:t>
            </w:r>
          </w:p>
        </w:tc>
      </w:tr>
      <w:tr w14:paraId="0310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79DAE222">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4782C5A3">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2FEA6A9F">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25BB706D">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737F5E6D">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53AB3C7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L型扶手（淋浴扶手）</w:t>
            </w:r>
          </w:p>
        </w:tc>
        <w:tc>
          <w:tcPr>
            <w:tcW w:w="3420" w:type="dxa"/>
            <w:vAlign w:val="center"/>
          </w:tcPr>
          <w:p w14:paraId="392A0FA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长宽尺寸：665</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665mm</w:t>
            </w:r>
            <w:r>
              <w:rPr>
                <w:rFonts w:hint="eastAsia" w:cs="宋体"/>
                <w:i w:val="0"/>
                <w:iCs w:val="0"/>
                <w:color w:val="auto"/>
                <w:kern w:val="0"/>
                <w:sz w:val="20"/>
                <w:szCs w:val="20"/>
                <w:u w:val="none"/>
                <w:lang w:val="en-US" w:eastAsia="zh-CN" w:bidi="ar"/>
              </w:rPr>
              <w:t>；</w:t>
            </w:r>
          </w:p>
          <w:p w14:paraId="70C9ED5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外管材质:高强度抗菌ABS/尼龙，直径35mm</w:t>
            </w:r>
            <w:r>
              <w:rPr>
                <w:rFonts w:hint="eastAsia" w:cs="宋体"/>
                <w:i w:val="0"/>
                <w:iCs w:val="0"/>
                <w:color w:val="auto"/>
                <w:kern w:val="0"/>
                <w:sz w:val="20"/>
                <w:szCs w:val="20"/>
                <w:u w:val="none"/>
                <w:lang w:val="en-US" w:eastAsia="zh-CN" w:bidi="ar"/>
              </w:rPr>
              <w:t>（±3mm）</w:t>
            </w:r>
            <w:r>
              <w:rPr>
                <w:rFonts w:hint="eastAsia" w:ascii="宋体" w:hAnsi="宋体" w:eastAsia="宋体" w:cs="宋体"/>
                <w:i w:val="0"/>
                <w:iCs w:val="0"/>
                <w:color w:val="auto"/>
                <w:kern w:val="0"/>
                <w:sz w:val="20"/>
                <w:szCs w:val="20"/>
                <w:u w:val="none"/>
                <w:lang w:val="en-US" w:eastAsia="zh-CN" w:bidi="ar"/>
              </w:rPr>
              <w:t>，内管材质：铝合金/不锈钢，直径28mm</w:t>
            </w:r>
            <w:r>
              <w:rPr>
                <w:rFonts w:hint="eastAsia" w:cs="宋体"/>
                <w:i w:val="0"/>
                <w:iCs w:val="0"/>
                <w:color w:val="auto"/>
                <w:kern w:val="0"/>
                <w:sz w:val="20"/>
                <w:szCs w:val="20"/>
                <w:u w:val="none"/>
                <w:lang w:val="en-US" w:eastAsia="zh-CN" w:bidi="ar"/>
              </w:rPr>
              <w:t>（±2mm）</w:t>
            </w:r>
            <w:r>
              <w:rPr>
                <w:rFonts w:hint="eastAsia" w:ascii="宋体" w:hAnsi="宋体" w:eastAsia="宋体" w:cs="宋体"/>
                <w:i w:val="0"/>
                <w:iCs w:val="0"/>
                <w:color w:val="auto"/>
                <w:kern w:val="0"/>
                <w:sz w:val="20"/>
                <w:szCs w:val="20"/>
                <w:u w:val="none"/>
                <w:lang w:val="en-US" w:eastAsia="zh-CN" w:bidi="ar"/>
              </w:rPr>
              <w:t>；</w:t>
            </w:r>
          </w:p>
          <w:p w14:paraId="1190F4C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扶手表面使用环保标准、抗老化、耐腐蚀耐火材料，能对大肠杆菌、金黄色葡萄杆菌等细菌有效；扶手表面采用防滑浮点设计，厚度≥0.5毫米。</w:t>
            </w:r>
          </w:p>
        </w:tc>
        <w:tc>
          <w:tcPr>
            <w:tcW w:w="450" w:type="dxa"/>
            <w:vAlign w:val="center"/>
          </w:tcPr>
          <w:p w14:paraId="391BB3B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个</w:t>
            </w:r>
          </w:p>
        </w:tc>
        <w:tc>
          <w:tcPr>
            <w:tcW w:w="863" w:type="dxa"/>
            <w:vAlign w:val="center"/>
          </w:tcPr>
          <w:p w14:paraId="14A9D3E0">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247 </w:t>
            </w:r>
          </w:p>
        </w:tc>
      </w:tr>
      <w:tr w14:paraId="62F5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5986DAA7">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2B29BC6B">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1756B219">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53C919D6">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0BE95AB1">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775884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T</w:t>
            </w:r>
            <w:r>
              <w:rPr>
                <w:rFonts w:hint="eastAsia" w:cs="宋体"/>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形扶手</w:t>
            </w:r>
          </w:p>
        </w:tc>
        <w:tc>
          <w:tcPr>
            <w:tcW w:w="3420" w:type="dxa"/>
            <w:vAlign w:val="center"/>
          </w:tcPr>
          <w:p w14:paraId="6F5F662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材质：不锈钢龙骨、不锈钢底座。</w:t>
            </w:r>
          </w:p>
          <w:p w14:paraId="4423910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内衬龙骨：不锈钢</w:t>
            </w:r>
            <w:r>
              <w:rPr>
                <w:rFonts w:hint="eastAsia" w:cs="宋体"/>
                <w:i w:val="0"/>
                <w:iCs w:val="0"/>
                <w:color w:val="auto"/>
                <w:kern w:val="0"/>
                <w:sz w:val="20"/>
                <w:szCs w:val="20"/>
                <w:u w:val="none"/>
                <w:lang w:val="en-US" w:eastAsia="zh-CN" w:bidi="ar"/>
              </w:rPr>
              <w:t>直径</w:t>
            </w:r>
            <w:r>
              <w:rPr>
                <w:rFonts w:hint="eastAsia" w:ascii="宋体" w:hAnsi="宋体" w:eastAsia="宋体" w:cs="宋体"/>
                <w:i w:val="0"/>
                <w:iCs w:val="0"/>
                <w:color w:val="auto"/>
                <w:kern w:val="0"/>
                <w:sz w:val="20"/>
                <w:szCs w:val="20"/>
                <w:u w:val="none"/>
                <w:lang w:val="en-US" w:eastAsia="zh-CN" w:bidi="ar"/>
              </w:rPr>
              <w:t>28</w:t>
            </w:r>
            <w:r>
              <w:rPr>
                <w:rFonts w:hint="eastAsia" w:cs="宋体"/>
                <w:i w:val="0"/>
                <w:iCs w:val="0"/>
                <w:color w:val="auto"/>
                <w:kern w:val="0"/>
                <w:sz w:val="20"/>
                <w:szCs w:val="20"/>
                <w:u w:val="none"/>
                <w:lang w:val="en-US" w:eastAsia="zh-CN" w:bidi="ar"/>
              </w:rPr>
              <w:t>mm（±2mm）</w:t>
            </w:r>
            <w:r>
              <w:rPr>
                <w:rFonts w:hint="eastAsia" w:ascii="宋体" w:hAnsi="宋体" w:eastAsia="宋体" w:cs="宋体"/>
                <w:i w:val="0"/>
                <w:iCs w:val="0"/>
                <w:color w:val="auto"/>
                <w:kern w:val="0"/>
                <w:sz w:val="20"/>
                <w:szCs w:val="20"/>
                <w:u w:val="none"/>
                <w:lang w:val="en-US" w:eastAsia="zh-CN" w:bidi="ar"/>
              </w:rPr>
              <w:t>管，两头不锈钢垫片满焊处理。</w:t>
            </w:r>
          </w:p>
          <w:p w14:paraId="019BD08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外层材料：采用</w:t>
            </w:r>
            <w:r>
              <w:rPr>
                <w:rFonts w:hint="eastAsia" w:cs="宋体"/>
                <w:i w:val="0"/>
                <w:iCs w:val="0"/>
                <w:color w:val="auto"/>
                <w:kern w:val="0"/>
                <w:sz w:val="20"/>
                <w:szCs w:val="20"/>
                <w:u w:val="none"/>
                <w:lang w:val="en-US" w:eastAsia="zh-CN" w:bidi="ar"/>
              </w:rPr>
              <w:t>直径</w:t>
            </w:r>
            <w:r>
              <w:rPr>
                <w:rFonts w:hint="eastAsia" w:ascii="宋体" w:hAnsi="宋体" w:eastAsia="宋体" w:cs="宋体"/>
                <w:i w:val="0"/>
                <w:iCs w:val="0"/>
                <w:color w:val="auto"/>
                <w:kern w:val="0"/>
                <w:sz w:val="20"/>
                <w:szCs w:val="20"/>
                <w:u w:val="none"/>
                <w:lang w:val="en-US" w:eastAsia="zh-CN" w:bidi="ar"/>
              </w:rPr>
              <w:t>35</w:t>
            </w:r>
            <w:r>
              <w:rPr>
                <w:rFonts w:hint="eastAsia" w:cs="宋体"/>
                <w:i w:val="0"/>
                <w:iCs w:val="0"/>
                <w:color w:val="auto"/>
                <w:kern w:val="0"/>
                <w:sz w:val="20"/>
                <w:szCs w:val="20"/>
                <w:u w:val="none"/>
                <w:lang w:val="en-US" w:eastAsia="zh-CN" w:bidi="ar"/>
              </w:rPr>
              <w:t>mm（±3mm）×壁厚不低于</w:t>
            </w:r>
            <w:r>
              <w:rPr>
                <w:rFonts w:hint="eastAsia" w:ascii="宋体" w:hAnsi="宋体" w:eastAsia="宋体" w:cs="宋体"/>
                <w:i w:val="0"/>
                <w:iCs w:val="0"/>
                <w:color w:val="auto"/>
                <w:kern w:val="0"/>
                <w:sz w:val="20"/>
                <w:szCs w:val="20"/>
                <w:u w:val="none"/>
                <w:lang w:val="en-US" w:eastAsia="zh-CN" w:bidi="ar"/>
              </w:rPr>
              <w:t>3.5mm纯黄色或者纯白色ABS或者尼龙原装环保料，不能是米白色或者米黄色回收料生产，外表面</w:t>
            </w:r>
            <w:r>
              <w:rPr>
                <w:rFonts w:hint="eastAsia" w:cs="宋体"/>
                <w:i w:val="0"/>
                <w:iCs w:val="0"/>
                <w:color w:val="auto"/>
                <w:kern w:val="0"/>
                <w:sz w:val="20"/>
                <w:szCs w:val="20"/>
                <w:u w:val="none"/>
                <w:lang w:val="en-US" w:eastAsia="zh-CN" w:bidi="ar"/>
              </w:rPr>
              <w:t>配有</w:t>
            </w:r>
            <w:r>
              <w:rPr>
                <w:rFonts w:hint="eastAsia" w:ascii="宋体" w:hAnsi="宋体" w:eastAsia="宋体" w:cs="宋体"/>
                <w:i w:val="0"/>
                <w:iCs w:val="0"/>
                <w:color w:val="auto"/>
                <w:kern w:val="0"/>
                <w:sz w:val="20"/>
                <w:szCs w:val="20"/>
                <w:u w:val="none"/>
                <w:lang w:val="en-US" w:eastAsia="zh-CN" w:bidi="ar"/>
              </w:rPr>
              <w:t>防滑颗粒，并且面管两端人工倒角，使用中安全舒话避免划伤。</w:t>
            </w:r>
          </w:p>
          <w:p w14:paraId="1EB954B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规格为盖外尺</w:t>
            </w:r>
            <w:r>
              <w:rPr>
                <w:rFonts w:hint="eastAsia" w:cs="宋体"/>
                <w:i w:val="0"/>
                <w:iCs w:val="0"/>
                <w:color w:val="auto"/>
                <w:kern w:val="0"/>
                <w:sz w:val="20"/>
                <w:szCs w:val="20"/>
                <w:u w:val="none"/>
                <w:lang w:val="en-US" w:eastAsia="zh-CN" w:bidi="ar"/>
              </w:rPr>
              <w:t>寸</w:t>
            </w:r>
            <w:r>
              <w:rPr>
                <w:rFonts w:hint="eastAsia" w:ascii="宋体" w:hAnsi="宋体" w:eastAsia="宋体" w:cs="宋体"/>
                <w:i w:val="0"/>
                <w:iCs w:val="0"/>
                <w:color w:val="auto"/>
                <w:kern w:val="0"/>
                <w:sz w:val="20"/>
                <w:szCs w:val="20"/>
                <w:u w:val="none"/>
                <w:lang w:val="en-US" w:eastAsia="zh-CN" w:bidi="ar"/>
              </w:rPr>
              <w:t>430mm。</w:t>
            </w:r>
          </w:p>
        </w:tc>
        <w:tc>
          <w:tcPr>
            <w:tcW w:w="450" w:type="dxa"/>
            <w:vAlign w:val="center"/>
          </w:tcPr>
          <w:p w14:paraId="0239899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个</w:t>
            </w:r>
          </w:p>
        </w:tc>
        <w:tc>
          <w:tcPr>
            <w:tcW w:w="863" w:type="dxa"/>
            <w:vAlign w:val="center"/>
          </w:tcPr>
          <w:p w14:paraId="0D313BE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300 </w:t>
            </w:r>
          </w:p>
        </w:tc>
      </w:tr>
      <w:tr w14:paraId="327E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3077C883">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2C35E1A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187A2972">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5FA822C1">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1F3D2176">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229DEB9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助力扶手</w:t>
            </w:r>
          </w:p>
        </w:tc>
        <w:tc>
          <w:tcPr>
            <w:tcW w:w="3420" w:type="dxa"/>
            <w:vAlign w:val="center"/>
          </w:tcPr>
          <w:p w14:paraId="1DA4863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1.尺寸：宽570</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纵深540</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高650</w:t>
            </w:r>
            <w:r>
              <w:rPr>
                <w:rFonts w:hint="eastAsia" w:cs="宋体"/>
                <w:i w:val="0"/>
                <w:iCs w:val="0"/>
                <w:color w:val="auto"/>
                <w:kern w:val="0"/>
                <w:sz w:val="20"/>
                <w:szCs w:val="20"/>
                <w:u w:val="none"/>
                <w:lang w:val="en-US" w:eastAsia="zh-CN" w:bidi="ar"/>
              </w:rPr>
              <w:t>mm</w:t>
            </w:r>
            <w:r>
              <w:rPr>
                <w:rFonts w:hint="eastAsia" w:ascii="宋体" w:hAnsi="宋体" w:eastAsia="宋体" w:cs="宋体"/>
                <w:i w:val="0"/>
                <w:iCs w:val="0"/>
                <w:color w:val="auto"/>
                <w:kern w:val="0"/>
                <w:sz w:val="20"/>
                <w:szCs w:val="20"/>
                <w:u w:val="none"/>
                <w:lang w:val="en-US" w:eastAsia="zh-CN" w:bidi="ar"/>
              </w:rPr>
              <w:t>；</w:t>
            </w:r>
          </w:p>
          <w:p w14:paraId="111B543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2.材质：PP+碳钢+TPE；</w:t>
            </w:r>
          </w:p>
          <w:p w14:paraId="61AFF93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3.适配马桶缸体座高：370-440</w:t>
            </w:r>
            <w:r>
              <w:rPr>
                <w:rFonts w:hint="eastAsia" w:cs="宋体"/>
                <w:i w:val="0"/>
                <w:iCs w:val="0"/>
                <w:color w:val="auto"/>
                <w:kern w:val="0"/>
                <w:sz w:val="20"/>
                <w:szCs w:val="20"/>
                <w:u w:val="none"/>
                <w:lang w:val="en-US" w:eastAsia="zh-CN" w:bidi="ar"/>
              </w:rPr>
              <w:t>mm</w:t>
            </w:r>
            <w:r>
              <w:rPr>
                <w:rFonts w:hint="eastAsia" w:ascii="宋体" w:hAnsi="宋体" w:eastAsia="宋体" w:cs="宋体"/>
                <w:i w:val="0"/>
                <w:iCs w:val="0"/>
                <w:color w:val="auto"/>
                <w:kern w:val="0"/>
                <w:sz w:val="20"/>
                <w:szCs w:val="20"/>
                <w:u w:val="none"/>
                <w:lang w:val="en-US" w:eastAsia="zh-CN" w:bidi="ar"/>
              </w:rPr>
              <w:t>；</w:t>
            </w:r>
          </w:p>
          <w:p w14:paraId="4F2F533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4.可上翻扶手结构方便用户起身、移位，扶手部位采用柔性防滑材质，提升用户舒适度；</w:t>
            </w:r>
          </w:p>
          <w:p w14:paraId="58E8683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5.体积轻巧，曲线设计，造型简洁美观，无需打孔安装，产品直接安装在坐便器与坐便器盖板之间。</w:t>
            </w:r>
          </w:p>
        </w:tc>
        <w:tc>
          <w:tcPr>
            <w:tcW w:w="450" w:type="dxa"/>
            <w:vAlign w:val="center"/>
          </w:tcPr>
          <w:p w14:paraId="6D6452ED">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个</w:t>
            </w:r>
          </w:p>
        </w:tc>
        <w:tc>
          <w:tcPr>
            <w:tcW w:w="863" w:type="dxa"/>
            <w:vAlign w:val="center"/>
          </w:tcPr>
          <w:p w14:paraId="28D2A59F">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723 </w:t>
            </w:r>
          </w:p>
        </w:tc>
      </w:tr>
      <w:tr w14:paraId="574F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291F720C">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10</w:t>
            </w:r>
          </w:p>
        </w:tc>
        <w:tc>
          <w:tcPr>
            <w:tcW w:w="570" w:type="dxa"/>
            <w:vMerge w:val="continue"/>
            <w:vAlign w:val="center"/>
          </w:tcPr>
          <w:p w14:paraId="4520D561">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Align w:val="center"/>
          </w:tcPr>
          <w:p w14:paraId="68BA118A">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配置淋浴椅</w:t>
            </w:r>
          </w:p>
        </w:tc>
        <w:tc>
          <w:tcPr>
            <w:tcW w:w="1575" w:type="dxa"/>
            <w:vAlign w:val="center"/>
          </w:tcPr>
          <w:p w14:paraId="782A973E">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辅助老年人洗澡用，避免老年人滑倒</w:t>
            </w:r>
          </w:p>
        </w:tc>
        <w:tc>
          <w:tcPr>
            <w:tcW w:w="615" w:type="dxa"/>
            <w:gridSpan w:val="2"/>
            <w:vAlign w:val="center"/>
          </w:tcPr>
          <w:p w14:paraId="5C7A946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基础</w:t>
            </w:r>
          </w:p>
        </w:tc>
        <w:tc>
          <w:tcPr>
            <w:tcW w:w="600" w:type="dxa"/>
            <w:vAlign w:val="center"/>
          </w:tcPr>
          <w:p w14:paraId="12ED5D0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折叠淋浴椅</w:t>
            </w:r>
          </w:p>
        </w:tc>
        <w:tc>
          <w:tcPr>
            <w:tcW w:w="3420" w:type="dxa"/>
            <w:vAlign w:val="center"/>
          </w:tcPr>
          <w:p w14:paraId="7CD7E72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lang w:val="en-US" w:eastAsia="zh-CN" w:bidi="ar"/>
              </w:rPr>
              <w:t>★</w:t>
            </w:r>
            <w:r>
              <w:rPr>
                <w:rFonts w:hint="eastAsia" w:ascii="宋体" w:hAnsi="宋体" w:eastAsia="宋体" w:cs="宋体"/>
                <w:i w:val="0"/>
                <w:iCs w:val="0"/>
                <w:color w:val="auto"/>
                <w:kern w:val="0"/>
                <w:sz w:val="20"/>
                <w:szCs w:val="20"/>
                <w:lang w:val="en-US" w:eastAsia="zh-CN" w:bidi="ar"/>
              </w:rPr>
              <w:t>1.</w:t>
            </w:r>
            <w:r>
              <w:rPr>
                <w:rFonts w:hint="eastAsia" w:ascii="宋体" w:hAnsi="宋体" w:eastAsia="宋体" w:cs="宋体"/>
                <w:i w:val="0"/>
                <w:iCs w:val="0"/>
                <w:color w:val="auto"/>
                <w:kern w:val="0"/>
                <w:sz w:val="20"/>
                <w:szCs w:val="20"/>
                <w:u w:val="none"/>
                <w:lang w:val="en-US" w:eastAsia="zh-CN" w:bidi="ar"/>
              </w:rPr>
              <w:t>集洗澡椅、座便椅、马桶椅、旋转椅、马桶增高垫于一体的多功能产品，扶手和靠背采用可快拆式设计，可根据不同使用需求灵活拆装；</w:t>
            </w:r>
            <w:bookmarkStart w:id="23" w:name="OLE_LINK10"/>
            <w:r>
              <w:rPr>
                <w:rFonts w:hint="eastAsia" w:cs="宋体"/>
                <w:i w:val="0"/>
                <w:iCs w:val="0"/>
                <w:color w:val="auto"/>
                <w:kern w:val="0"/>
                <w:sz w:val="20"/>
                <w:szCs w:val="20"/>
                <w:u w:val="none"/>
                <w:lang w:val="en-US" w:eastAsia="zh-CN" w:bidi="ar"/>
              </w:rPr>
              <w:t>（提供产品功能截图或</w:t>
            </w:r>
            <w:r>
              <w:rPr>
                <w:rFonts w:hint="eastAsia" w:ascii="宋体" w:hAnsi="宋体" w:eastAsia="宋体" w:cs="宋体"/>
                <w:i w:val="0"/>
                <w:iCs w:val="0"/>
                <w:color w:val="auto"/>
                <w:kern w:val="0"/>
                <w:sz w:val="20"/>
                <w:szCs w:val="20"/>
                <w:u w:val="none"/>
                <w:lang w:val="en-US" w:eastAsia="zh-CN" w:bidi="ar"/>
              </w:rPr>
              <w:t>国家认可的第三方检测机构出具的检测报告加盖投标单位公章</w:t>
            </w:r>
            <w:r>
              <w:rPr>
                <w:rFonts w:hint="eastAsia" w:cs="宋体"/>
                <w:i w:val="0"/>
                <w:iCs w:val="0"/>
                <w:color w:val="auto"/>
                <w:kern w:val="0"/>
                <w:sz w:val="20"/>
                <w:szCs w:val="20"/>
                <w:u w:val="none"/>
                <w:lang w:val="en-US" w:eastAsia="zh-CN" w:bidi="ar"/>
              </w:rPr>
              <w:t>）</w:t>
            </w:r>
            <w:bookmarkEnd w:id="23"/>
          </w:p>
          <w:p w14:paraId="101AE03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产品参数：座椅高度可调（430-520</w:t>
            </w:r>
            <w:r>
              <w:rPr>
                <w:rFonts w:hint="eastAsia" w:cs="宋体"/>
                <w:i w:val="0"/>
                <w:iCs w:val="0"/>
                <w:color w:val="auto"/>
                <w:kern w:val="0"/>
                <w:sz w:val="20"/>
                <w:szCs w:val="20"/>
                <w:u w:val="none"/>
                <w:lang w:val="en-US" w:eastAsia="zh-CN" w:bidi="ar"/>
              </w:rPr>
              <w:t>mm</w:t>
            </w:r>
            <w:r>
              <w:rPr>
                <w:rFonts w:hint="eastAsia" w:ascii="宋体" w:hAnsi="宋体" w:eastAsia="宋体" w:cs="宋体"/>
                <w:i w:val="0"/>
                <w:iCs w:val="0"/>
                <w:color w:val="auto"/>
                <w:kern w:val="0"/>
                <w:sz w:val="20"/>
                <w:szCs w:val="20"/>
                <w:u w:val="none"/>
                <w:lang w:val="en-US" w:eastAsia="zh-CN" w:bidi="ar"/>
              </w:rPr>
              <w:t>)，座椅面宽440</w:t>
            </w:r>
            <w:r>
              <w:rPr>
                <w:rFonts w:hint="eastAsia" w:cs="宋体"/>
                <w:i w:val="0"/>
                <w:iCs w:val="0"/>
                <w:color w:val="auto"/>
                <w:kern w:val="0"/>
                <w:sz w:val="20"/>
                <w:szCs w:val="20"/>
                <w:u w:val="none"/>
                <w:lang w:val="en-US" w:eastAsia="zh-CN" w:bidi="ar"/>
              </w:rPr>
              <w:t>mm（±5mm）</w:t>
            </w:r>
            <w:r>
              <w:rPr>
                <w:rFonts w:hint="eastAsia" w:ascii="宋体" w:hAnsi="宋体" w:eastAsia="宋体" w:cs="宋体"/>
                <w:i w:val="0"/>
                <w:iCs w:val="0"/>
                <w:color w:val="auto"/>
                <w:kern w:val="0"/>
                <w:sz w:val="20"/>
                <w:szCs w:val="20"/>
                <w:u w:val="none"/>
                <w:lang w:val="en-US" w:eastAsia="zh-CN" w:bidi="ar"/>
              </w:rPr>
              <w:t>，扶手内宽500</w:t>
            </w:r>
            <w:r>
              <w:rPr>
                <w:rFonts w:hint="eastAsia" w:cs="宋体"/>
                <w:i w:val="0"/>
                <w:iCs w:val="0"/>
                <w:color w:val="auto"/>
                <w:kern w:val="0"/>
                <w:sz w:val="20"/>
                <w:szCs w:val="20"/>
                <w:u w:val="none"/>
                <w:lang w:val="en-US" w:eastAsia="zh-CN" w:bidi="ar"/>
              </w:rPr>
              <w:t>mm（±3mm）</w:t>
            </w:r>
            <w:r>
              <w:rPr>
                <w:rFonts w:hint="eastAsia" w:ascii="宋体" w:hAnsi="宋体" w:eastAsia="宋体" w:cs="宋体"/>
                <w:i w:val="0"/>
                <w:iCs w:val="0"/>
                <w:color w:val="auto"/>
                <w:kern w:val="0"/>
                <w:sz w:val="20"/>
                <w:szCs w:val="20"/>
                <w:u w:val="none"/>
                <w:lang w:val="en-US" w:eastAsia="zh-CN" w:bidi="ar"/>
              </w:rPr>
              <w:t>，座椅面长380</w:t>
            </w:r>
            <w:r>
              <w:rPr>
                <w:rFonts w:hint="eastAsia" w:cs="宋体"/>
                <w:i w:val="0"/>
                <w:iCs w:val="0"/>
                <w:color w:val="auto"/>
                <w:kern w:val="0"/>
                <w:sz w:val="20"/>
                <w:szCs w:val="20"/>
                <w:u w:val="none"/>
                <w:lang w:val="en-US" w:eastAsia="zh-CN" w:bidi="ar"/>
              </w:rPr>
              <w:t>mm（±3mm）</w:t>
            </w:r>
            <w:r>
              <w:rPr>
                <w:rFonts w:hint="eastAsia" w:ascii="宋体" w:hAnsi="宋体" w:eastAsia="宋体" w:cs="宋体"/>
                <w:i w:val="0"/>
                <w:iCs w:val="0"/>
                <w:color w:val="auto"/>
                <w:kern w:val="0"/>
                <w:sz w:val="20"/>
                <w:szCs w:val="20"/>
                <w:u w:val="none"/>
                <w:lang w:val="en-US" w:eastAsia="zh-CN" w:bidi="ar"/>
              </w:rPr>
              <w:t>，配</w:t>
            </w:r>
            <w:r>
              <w:rPr>
                <w:rFonts w:hint="eastAsia" w:cs="宋体"/>
                <w:i w:val="0"/>
                <w:iCs w:val="0"/>
                <w:color w:val="auto"/>
                <w:kern w:val="0"/>
                <w:sz w:val="20"/>
                <w:szCs w:val="20"/>
                <w:u w:val="none"/>
                <w:lang w:val="en-US" w:eastAsia="zh-CN" w:bidi="ar"/>
              </w:rPr>
              <w:t>不低于</w:t>
            </w:r>
            <w:r>
              <w:rPr>
                <w:rFonts w:hint="eastAsia" w:ascii="宋体" w:hAnsi="宋体" w:eastAsia="宋体" w:cs="宋体"/>
                <w:i w:val="0"/>
                <w:iCs w:val="0"/>
                <w:color w:val="auto"/>
                <w:kern w:val="0"/>
                <w:sz w:val="20"/>
                <w:szCs w:val="20"/>
                <w:u w:val="none"/>
                <w:lang w:val="en-US" w:eastAsia="zh-CN" w:bidi="ar"/>
              </w:rPr>
              <w:t>6升可拆式便盆；</w:t>
            </w:r>
          </w:p>
          <w:p w14:paraId="57F4ECC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产品材质：主架采用</w:t>
            </w:r>
            <w:r>
              <w:rPr>
                <w:rFonts w:hint="eastAsia" w:cs="宋体"/>
                <w:i w:val="0"/>
                <w:iCs w:val="0"/>
                <w:color w:val="auto"/>
                <w:kern w:val="0"/>
                <w:sz w:val="20"/>
                <w:szCs w:val="20"/>
                <w:u w:val="none"/>
                <w:lang w:val="en-US" w:eastAsia="zh-CN" w:bidi="ar"/>
              </w:rPr>
              <w:t>直径</w:t>
            </w:r>
            <w:r>
              <w:rPr>
                <w:rFonts w:hint="eastAsia" w:ascii="宋体" w:hAnsi="宋体" w:eastAsia="宋体" w:cs="宋体"/>
                <w:i w:val="0"/>
                <w:iCs w:val="0"/>
                <w:color w:val="auto"/>
                <w:kern w:val="0"/>
                <w:sz w:val="20"/>
                <w:szCs w:val="20"/>
                <w:u w:val="none"/>
                <w:lang w:val="en-US" w:eastAsia="zh-CN" w:bidi="ar"/>
              </w:rPr>
              <w:t>≥25</w:t>
            </w:r>
            <w:r>
              <w:rPr>
                <w:rFonts w:hint="eastAsia" w:cs="宋体"/>
                <w:i w:val="0"/>
                <w:iCs w:val="0"/>
                <w:color w:val="auto"/>
                <w:kern w:val="0"/>
                <w:sz w:val="20"/>
                <w:szCs w:val="20"/>
                <w:u w:val="none"/>
                <w:lang w:val="en-US" w:eastAsia="zh-CN" w:bidi="ar"/>
              </w:rPr>
              <w:t>mm×厚度</w:t>
            </w:r>
            <w:r>
              <w:rPr>
                <w:rFonts w:hint="eastAsia" w:ascii="宋体" w:hAnsi="宋体" w:eastAsia="宋体" w:cs="宋体"/>
                <w:i w:val="0"/>
                <w:iCs w:val="0"/>
                <w:color w:val="auto"/>
                <w:kern w:val="0"/>
                <w:sz w:val="20"/>
                <w:szCs w:val="20"/>
                <w:u w:val="none"/>
                <w:lang w:val="en-US" w:eastAsia="zh-CN" w:bidi="ar"/>
              </w:rPr>
              <w:t>≥1.2</w:t>
            </w:r>
            <w:r>
              <w:rPr>
                <w:rFonts w:hint="eastAsia" w:cs="宋体"/>
                <w:i w:val="0"/>
                <w:iCs w:val="0"/>
                <w:color w:val="auto"/>
                <w:kern w:val="0"/>
                <w:sz w:val="20"/>
                <w:szCs w:val="20"/>
                <w:u w:val="none"/>
                <w:lang w:val="en-US" w:eastAsia="zh-CN" w:bidi="ar"/>
              </w:rPr>
              <w:t>mm</w:t>
            </w:r>
            <w:r>
              <w:rPr>
                <w:rFonts w:hint="eastAsia" w:ascii="宋体" w:hAnsi="宋体" w:eastAsia="宋体" w:cs="宋体"/>
                <w:i w:val="0"/>
                <w:iCs w:val="0"/>
                <w:color w:val="auto"/>
                <w:kern w:val="0"/>
                <w:sz w:val="20"/>
                <w:szCs w:val="20"/>
                <w:u w:val="none"/>
                <w:lang w:val="en-US" w:eastAsia="zh-CN" w:bidi="ar"/>
              </w:rPr>
              <w:t>201不锈钢材质，扶手管、靠背管</w:t>
            </w:r>
            <w:r>
              <w:rPr>
                <w:rFonts w:hint="eastAsia" w:cs="宋体"/>
                <w:i w:val="0"/>
                <w:iCs w:val="0"/>
                <w:color w:val="auto"/>
                <w:kern w:val="0"/>
                <w:sz w:val="20"/>
                <w:szCs w:val="20"/>
                <w:u w:val="none"/>
                <w:lang w:val="en-US" w:eastAsia="zh-CN" w:bidi="ar"/>
              </w:rPr>
              <w:t>直径</w:t>
            </w:r>
            <w:r>
              <w:rPr>
                <w:rFonts w:hint="eastAsia" w:ascii="宋体" w:hAnsi="宋体" w:eastAsia="宋体" w:cs="宋体"/>
                <w:i w:val="0"/>
                <w:iCs w:val="0"/>
                <w:color w:val="auto"/>
                <w:kern w:val="0"/>
                <w:sz w:val="20"/>
                <w:szCs w:val="20"/>
                <w:u w:val="none"/>
                <w:lang w:val="en-US" w:eastAsia="zh-CN" w:bidi="ar"/>
              </w:rPr>
              <w:t>≥22</w:t>
            </w:r>
            <w:r>
              <w:rPr>
                <w:rFonts w:hint="eastAsia" w:cs="宋体"/>
                <w:i w:val="0"/>
                <w:iCs w:val="0"/>
                <w:color w:val="auto"/>
                <w:kern w:val="0"/>
                <w:sz w:val="20"/>
                <w:szCs w:val="20"/>
                <w:u w:val="none"/>
                <w:lang w:val="en-US" w:eastAsia="zh-CN" w:bidi="ar"/>
              </w:rPr>
              <w:t>mm×厚度</w:t>
            </w:r>
            <w:r>
              <w:rPr>
                <w:rFonts w:hint="eastAsia" w:ascii="宋体" w:hAnsi="宋体" w:eastAsia="宋体" w:cs="宋体"/>
                <w:i w:val="0"/>
                <w:iCs w:val="0"/>
                <w:color w:val="auto"/>
                <w:kern w:val="0"/>
                <w:sz w:val="20"/>
                <w:szCs w:val="20"/>
                <w:u w:val="none"/>
                <w:lang w:val="en-US" w:eastAsia="zh-CN" w:bidi="ar"/>
              </w:rPr>
              <w:t>≥1.2</w:t>
            </w:r>
            <w:r>
              <w:rPr>
                <w:rFonts w:hint="eastAsia" w:cs="宋体"/>
                <w:i w:val="0"/>
                <w:iCs w:val="0"/>
                <w:color w:val="auto"/>
                <w:kern w:val="0"/>
                <w:sz w:val="20"/>
                <w:szCs w:val="20"/>
                <w:u w:val="none"/>
                <w:lang w:val="en-US" w:eastAsia="zh-CN" w:bidi="ar"/>
              </w:rPr>
              <w:t>mm</w:t>
            </w:r>
            <w:r>
              <w:rPr>
                <w:rFonts w:hint="eastAsia" w:ascii="宋体" w:hAnsi="宋体" w:eastAsia="宋体" w:cs="宋体"/>
                <w:i w:val="0"/>
                <w:iCs w:val="0"/>
                <w:color w:val="auto"/>
                <w:kern w:val="0"/>
                <w:sz w:val="20"/>
                <w:szCs w:val="20"/>
                <w:u w:val="none"/>
                <w:lang w:val="en-US" w:eastAsia="zh-CN" w:bidi="ar"/>
              </w:rPr>
              <w:t>、调节管</w:t>
            </w:r>
            <w:r>
              <w:rPr>
                <w:rFonts w:hint="eastAsia" w:cs="宋体"/>
                <w:i w:val="0"/>
                <w:iCs w:val="0"/>
                <w:color w:val="auto"/>
                <w:kern w:val="0"/>
                <w:sz w:val="20"/>
                <w:szCs w:val="20"/>
                <w:u w:val="none"/>
                <w:lang w:val="en-US" w:eastAsia="zh-CN" w:bidi="ar"/>
              </w:rPr>
              <w:t>直径</w:t>
            </w:r>
            <w:r>
              <w:rPr>
                <w:rFonts w:hint="eastAsia" w:ascii="宋体" w:hAnsi="宋体" w:eastAsia="宋体" w:cs="宋体"/>
                <w:i w:val="0"/>
                <w:iCs w:val="0"/>
                <w:color w:val="auto"/>
                <w:kern w:val="0"/>
                <w:sz w:val="20"/>
                <w:szCs w:val="20"/>
                <w:u w:val="none"/>
                <w:lang w:val="en-US" w:eastAsia="zh-CN" w:bidi="ar"/>
              </w:rPr>
              <w:t>≥28</w:t>
            </w:r>
            <w:r>
              <w:rPr>
                <w:rFonts w:hint="eastAsia" w:cs="宋体"/>
                <w:i w:val="0"/>
                <w:iCs w:val="0"/>
                <w:color w:val="auto"/>
                <w:kern w:val="0"/>
                <w:sz w:val="20"/>
                <w:szCs w:val="20"/>
                <w:u w:val="none"/>
                <w:lang w:val="en-US" w:eastAsia="zh-CN" w:bidi="ar"/>
              </w:rPr>
              <w:t>mm×厚度</w:t>
            </w:r>
            <w:r>
              <w:rPr>
                <w:rFonts w:hint="eastAsia" w:ascii="宋体" w:hAnsi="宋体" w:eastAsia="宋体" w:cs="宋体"/>
                <w:i w:val="0"/>
                <w:iCs w:val="0"/>
                <w:color w:val="auto"/>
                <w:kern w:val="0"/>
                <w:sz w:val="20"/>
                <w:szCs w:val="20"/>
                <w:u w:val="none"/>
                <w:lang w:val="en-US" w:eastAsia="zh-CN" w:bidi="ar"/>
              </w:rPr>
              <w:t>≥1.2</w:t>
            </w:r>
            <w:r>
              <w:rPr>
                <w:rFonts w:hint="eastAsia" w:cs="宋体"/>
                <w:i w:val="0"/>
                <w:iCs w:val="0"/>
                <w:color w:val="auto"/>
                <w:kern w:val="0"/>
                <w:sz w:val="20"/>
                <w:szCs w:val="20"/>
                <w:u w:val="none"/>
                <w:lang w:val="en-US" w:eastAsia="zh-CN" w:bidi="ar"/>
              </w:rPr>
              <w:t>mm</w:t>
            </w:r>
            <w:r>
              <w:rPr>
                <w:rFonts w:hint="eastAsia" w:ascii="宋体" w:hAnsi="宋体" w:eastAsia="宋体" w:cs="宋体"/>
                <w:i w:val="0"/>
                <w:iCs w:val="0"/>
                <w:color w:val="auto"/>
                <w:kern w:val="0"/>
                <w:sz w:val="20"/>
                <w:szCs w:val="20"/>
                <w:u w:val="none"/>
                <w:lang w:val="en-US" w:eastAsia="zh-CN" w:bidi="ar"/>
              </w:rPr>
              <w:t>、旋转架</w:t>
            </w:r>
            <w:r>
              <w:rPr>
                <w:rFonts w:hint="eastAsia" w:cs="宋体"/>
                <w:i w:val="0"/>
                <w:iCs w:val="0"/>
                <w:color w:val="auto"/>
                <w:kern w:val="0"/>
                <w:sz w:val="20"/>
                <w:szCs w:val="20"/>
                <w:u w:val="none"/>
                <w:lang w:val="en-US" w:eastAsia="zh-CN" w:bidi="ar"/>
              </w:rPr>
              <w:t>直径</w:t>
            </w:r>
            <w:r>
              <w:rPr>
                <w:rFonts w:hint="eastAsia" w:ascii="宋体" w:hAnsi="宋体" w:eastAsia="宋体" w:cs="宋体"/>
                <w:i w:val="0"/>
                <w:iCs w:val="0"/>
                <w:color w:val="auto"/>
                <w:kern w:val="0"/>
                <w:sz w:val="20"/>
                <w:szCs w:val="20"/>
                <w:u w:val="none"/>
                <w:lang w:val="en-US" w:eastAsia="zh-CN" w:bidi="ar"/>
              </w:rPr>
              <w:t>≥25</w:t>
            </w:r>
            <w:r>
              <w:rPr>
                <w:rFonts w:hint="eastAsia" w:cs="宋体"/>
                <w:i w:val="0"/>
                <w:iCs w:val="0"/>
                <w:color w:val="auto"/>
                <w:kern w:val="0"/>
                <w:sz w:val="20"/>
                <w:szCs w:val="20"/>
                <w:u w:val="none"/>
                <w:lang w:val="en-US" w:eastAsia="zh-CN" w:bidi="ar"/>
              </w:rPr>
              <w:t>mm×厚度</w:t>
            </w:r>
            <w:r>
              <w:rPr>
                <w:rFonts w:hint="eastAsia" w:ascii="宋体" w:hAnsi="宋体" w:eastAsia="宋体" w:cs="宋体"/>
                <w:i w:val="0"/>
                <w:iCs w:val="0"/>
                <w:color w:val="auto"/>
                <w:kern w:val="0"/>
                <w:sz w:val="20"/>
                <w:szCs w:val="20"/>
                <w:u w:val="none"/>
                <w:lang w:val="en-US" w:eastAsia="zh-CN" w:bidi="ar"/>
              </w:rPr>
              <w:t>≥1.2</w:t>
            </w:r>
            <w:r>
              <w:rPr>
                <w:rFonts w:hint="eastAsia" w:cs="宋体"/>
                <w:i w:val="0"/>
                <w:iCs w:val="0"/>
                <w:color w:val="auto"/>
                <w:kern w:val="0"/>
                <w:sz w:val="20"/>
                <w:szCs w:val="20"/>
                <w:u w:val="none"/>
                <w:lang w:val="en-US" w:eastAsia="zh-CN" w:bidi="ar"/>
              </w:rPr>
              <w:t>mm</w:t>
            </w:r>
            <w:r>
              <w:rPr>
                <w:rFonts w:hint="eastAsia" w:ascii="宋体" w:hAnsi="宋体" w:eastAsia="宋体" w:cs="宋体"/>
                <w:i w:val="0"/>
                <w:iCs w:val="0"/>
                <w:color w:val="auto"/>
                <w:kern w:val="0"/>
                <w:sz w:val="20"/>
                <w:szCs w:val="20"/>
                <w:u w:val="none"/>
                <w:lang w:val="en-US" w:eastAsia="zh-CN" w:bidi="ar"/>
              </w:rPr>
              <w:t>高强度铝合金材质，座板和靠背析采用HDPE吹塑成型，配TPR防滑脚垫及PU扶手管套。</w:t>
            </w:r>
          </w:p>
          <w:p w14:paraId="1A4B042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表面处理：喷塑。</w:t>
            </w:r>
          </w:p>
        </w:tc>
        <w:tc>
          <w:tcPr>
            <w:tcW w:w="450" w:type="dxa"/>
            <w:vAlign w:val="center"/>
          </w:tcPr>
          <w:p w14:paraId="6020A211">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张</w:t>
            </w:r>
          </w:p>
        </w:tc>
        <w:tc>
          <w:tcPr>
            <w:tcW w:w="863" w:type="dxa"/>
            <w:vAlign w:val="center"/>
          </w:tcPr>
          <w:p w14:paraId="7412C0FC">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cs="宋体"/>
                <w:b w:val="0"/>
                <w:bCs w:val="0"/>
                <w:i w:val="0"/>
                <w:iCs w:val="0"/>
                <w:color w:val="auto"/>
                <w:kern w:val="0"/>
                <w:sz w:val="20"/>
                <w:szCs w:val="20"/>
                <w:highlight w:val="none"/>
                <w:u w:val="none"/>
                <w:lang w:val="en-US" w:eastAsia="zh-CN" w:bidi="ar"/>
              </w:rPr>
              <w:t>850</w:t>
            </w:r>
          </w:p>
        </w:tc>
      </w:tr>
      <w:tr w14:paraId="3094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233E77E0">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11</w:t>
            </w:r>
          </w:p>
        </w:tc>
        <w:tc>
          <w:tcPr>
            <w:tcW w:w="570" w:type="dxa"/>
            <w:vMerge w:val="restart"/>
            <w:vAlign w:val="center"/>
          </w:tcPr>
          <w:p w14:paraId="4EC30840">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物理环境改造</w:t>
            </w:r>
          </w:p>
        </w:tc>
        <w:tc>
          <w:tcPr>
            <w:tcW w:w="585" w:type="dxa"/>
            <w:vAlign w:val="center"/>
          </w:tcPr>
          <w:p w14:paraId="0522B3D0">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灯源改造</w:t>
            </w:r>
          </w:p>
        </w:tc>
        <w:tc>
          <w:tcPr>
            <w:tcW w:w="1575" w:type="dxa"/>
            <w:vAlign w:val="center"/>
          </w:tcPr>
          <w:p w14:paraId="45650F0A">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安装自动感应灯，辅助老年人起夜使用</w:t>
            </w:r>
          </w:p>
        </w:tc>
        <w:tc>
          <w:tcPr>
            <w:tcW w:w="615" w:type="dxa"/>
            <w:gridSpan w:val="2"/>
            <w:vAlign w:val="center"/>
          </w:tcPr>
          <w:p w14:paraId="3D829B5D">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基础</w:t>
            </w:r>
          </w:p>
        </w:tc>
        <w:tc>
          <w:tcPr>
            <w:tcW w:w="600" w:type="dxa"/>
            <w:vAlign w:val="center"/>
          </w:tcPr>
          <w:p w14:paraId="02C2812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感应小夜灯</w:t>
            </w:r>
          </w:p>
        </w:tc>
        <w:tc>
          <w:tcPr>
            <w:tcW w:w="3420" w:type="dxa"/>
            <w:vAlign w:val="center"/>
          </w:tcPr>
          <w:p w14:paraId="76EE55C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额定功率：≥0.7W</w:t>
            </w:r>
            <w:r>
              <w:rPr>
                <w:rFonts w:hint="eastAsia" w:cs="宋体"/>
                <w:i w:val="0"/>
                <w:iCs w:val="0"/>
                <w:color w:val="auto"/>
                <w:kern w:val="0"/>
                <w:sz w:val="20"/>
                <w:szCs w:val="20"/>
                <w:u w:val="none"/>
                <w:lang w:val="en-US" w:eastAsia="zh-CN" w:bidi="ar"/>
              </w:rPr>
              <w:t>；</w:t>
            </w:r>
          </w:p>
          <w:p w14:paraId="1BAEA42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额定电压：220V</w:t>
            </w:r>
            <w:r>
              <w:rPr>
                <w:rFonts w:hint="eastAsia" w:cs="宋体"/>
                <w:i w:val="0"/>
                <w:iCs w:val="0"/>
                <w:color w:val="auto"/>
                <w:kern w:val="0"/>
                <w:sz w:val="20"/>
                <w:szCs w:val="20"/>
                <w:u w:val="none"/>
                <w:lang w:val="en-US" w:eastAsia="zh-CN" w:bidi="ar"/>
              </w:rPr>
              <w:t>；</w:t>
            </w:r>
          </w:p>
          <w:p w14:paraId="3E491CD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功能特点：天黑即亮，天亮即关，自动感应开关，三种色温可通过开关切换，低功耗</w:t>
            </w:r>
            <w:r>
              <w:rPr>
                <w:rFonts w:hint="eastAsia" w:cs="宋体"/>
                <w:i w:val="0"/>
                <w:iCs w:val="0"/>
                <w:color w:val="auto"/>
                <w:kern w:val="0"/>
                <w:sz w:val="20"/>
                <w:szCs w:val="20"/>
                <w:u w:val="none"/>
                <w:lang w:val="en-US" w:eastAsia="zh-CN" w:bidi="ar"/>
              </w:rPr>
              <w:t>；</w:t>
            </w:r>
          </w:p>
          <w:p w14:paraId="68023E3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开关类型：感应开关</w:t>
            </w:r>
            <w:r>
              <w:rPr>
                <w:rFonts w:hint="eastAsia" w:cs="宋体"/>
                <w:i w:val="0"/>
                <w:iCs w:val="0"/>
                <w:color w:val="auto"/>
                <w:kern w:val="0"/>
                <w:sz w:val="20"/>
                <w:szCs w:val="20"/>
                <w:u w:val="none"/>
                <w:lang w:val="en-US" w:eastAsia="zh-CN" w:bidi="ar"/>
              </w:rPr>
              <w:t>。</w:t>
            </w:r>
          </w:p>
        </w:tc>
        <w:tc>
          <w:tcPr>
            <w:tcW w:w="450" w:type="dxa"/>
            <w:vAlign w:val="center"/>
          </w:tcPr>
          <w:p w14:paraId="1CB4F3FF">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个</w:t>
            </w:r>
          </w:p>
        </w:tc>
        <w:tc>
          <w:tcPr>
            <w:tcW w:w="863" w:type="dxa"/>
            <w:vAlign w:val="center"/>
          </w:tcPr>
          <w:p w14:paraId="250F42AF">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38 </w:t>
            </w:r>
          </w:p>
        </w:tc>
      </w:tr>
      <w:tr w14:paraId="1F43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651501C1">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12</w:t>
            </w:r>
          </w:p>
        </w:tc>
        <w:tc>
          <w:tcPr>
            <w:tcW w:w="570" w:type="dxa"/>
            <w:vMerge w:val="continue"/>
            <w:vAlign w:val="center"/>
          </w:tcPr>
          <w:p w14:paraId="43C17853">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restart"/>
            <w:vAlign w:val="center"/>
          </w:tcPr>
          <w:p w14:paraId="5085C834">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电源插座及开关改造</w:t>
            </w:r>
          </w:p>
        </w:tc>
        <w:tc>
          <w:tcPr>
            <w:tcW w:w="1575" w:type="dxa"/>
            <w:vMerge w:val="restart"/>
            <w:vAlign w:val="center"/>
          </w:tcPr>
          <w:p w14:paraId="7BBFC002">
            <w:pPr>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根据情况进行高/低位、大面板、夜间指示改造，方便老年人使用</w:t>
            </w:r>
          </w:p>
        </w:tc>
        <w:tc>
          <w:tcPr>
            <w:tcW w:w="615" w:type="dxa"/>
            <w:gridSpan w:val="2"/>
            <w:vMerge w:val="restart"/>
            <w:vAlign w:val="center"/>
          </w:tcPr>
          <w:p w14:paraId="19DB6B56">
            <w:pPr>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可选</w:t>
            </w:r>
          </w:p>
        </w:tc>
        <w:tc>
          <w:tcPr>
            <w:tcW w:w="600" w:type="dxa"/>
            <w:vAlign w:val="center"/>
          </w:tcPr>
          <w:p w14:paraId="2AC6FEB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电路改造</w:t>
            </w:r>
          </w:p>
        </w:tc>
        <w:tc>
          <w:tcPr>
            <w:tcW w:w="3420" w:type="dxa"/>
            <w:vAlign w:val="center"/>
          </w:tcPr>
          <w:p w14:paraId="3894DE5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产品应符合国家有关标准，电路线进线 ≥10m²,空调插座线≥4m²,插座线≥ 2.5m²,灯具线≥1.5m²,线路为明装PVC套管，做到分路分漏保。</w:t>
            </w:r>
          </w:p>
        </w:tc>
        <w:tc>
          <w:tcPr>
            <w:tcW w:w="450" w:type="dxa"/>
            <w:vAlign w:val="center"/>
          </w:tcPr>
          <w:p w14:paraId="387C2F1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米</w:t>
            </w:r>
          </w:p>
        </w:tc>
        <w:tc>
          <w:tcPr>
            <w:tcW w:w="863" w:type="dxa"/>
            <w:vAlign w:val="center"/>
          </w:tcPr>
          <w:p w14:paraId="711E219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53 </w:t>
            </w:r>
          </w:p>
        </w:tc>
      </w:tr>
      <w:tr w14:paraId="2C1E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0C5279C1">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64513A9B">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156E2DFF">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6C8734F0">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3C677CEC">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583D443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开关</w:t>
            </w:r>
          </w:p>
        </w:tc>
        <w:tc>
          <w:tcPr>
            <w:tcW w:w="3420" w:type="dxa"/>
            <w:vAlign w:val="center"/>
          </w:tcPr>
          <w:p w14:paraId="520EA38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符合国标：单开单控或单开双控，带夜间指示面板+底座，含安装。</w:t>
            </w:r>
          </w:p>
        </w:tc>
        <w:tc>
          <w:tcPr>
            <w:tcW w:w="450" w:type="dxa"/>
            <w:vAlign w:val="center"/>
          </w:tcPr>
          <w:p w14:paraId="3D42ECC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6BCB16CD">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43 </w:t>
            </w:r>
          </w:p>
        </w:tc>
      </w:tr>
      <w:tr w14:paraId="4DED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16DC28BF">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1A2AD6F5">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410BD869">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03D6BD16">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37B77889">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283DA50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插座</w:t>
            </w:r>
          </w:p>
        </w:tc>
        <w:tc>
          <w:tcPr>
            <w:tcW w:w="3420" w:type="dxa"/>
            <w:vAlign w:val="center"/>
          </w:tcPr>
          <w:p w14:paraId="1A4852C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符合国标：带夜间指示面板+底座，含安装。</w:t>
            </w:r>
          </w:p>
        </w:tc>
        <w:tc>
          <w:tcPr>
            <w:tcW w:w="450" w:type="dxa"/>
            <w:vAlign w:val="center"/>
          </w:tcPr>
          <w:p w14:paraId="4FFC53F7">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3DC69927">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42 </w:t>
            </w:r>
          </w:p>
        </w:tc>
      </w:tr>
      <w:tr w14:paraId="0941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05F70861">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2BFC833C">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29BE0248">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78A579B4">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3286BB9F">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05D5EF5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强电箱及漏电保护器装置</w:t>
            </w:r>
          </w:p>
        </w:tc>
        <w:tc>
          <w:tcPr>
            <w:tcW w:w="3420" w:type="dxa"/>
            <w:vAlign w:val="center"/>
          </w:tcPr>
          <w:p w14:paraId="7834736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拆除原断路器，更换强电箱，应符合国家有关标准，总控空气开关1个，功率≥63A，其他空气开关≥3个，功率≥10A。适用于有电路安全隐患，无总控开关盒、空气开关的家庭。含拆除、电箱、漏电保护器、空开、辅料及安装人工费</w:t>
            </w:r>
            <w:r>
              <w:rPr>
                <w:rFonts w:hint="eastAsia" w:cs="宋体"/>
                <w:i w:val="0"/>
                <w:iCs w:val="0"/>
                <w:color w:val="auto"/>
                <w:kern w:val="0"/>
                <w:sz w:val="20"/>
                <w:szCs w:val="20"/>
                <w:u w:val="none"/>
                <w:lang w:val="en-US" w:eastAsia="zh-CN" w:bidi="ar"/>
              </w:rPr>
              <w:t>。</w:t>
            </w:r>
          </w:p>
        </w:tc>
        <w:tc>
          <w:tcPr>
            <w:tcW w:w="450" w:type="dxa"/>
            <w:vAlign w:val="center"/>
          </w:tcPr>
          <w:p w14:paraId="63E0652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套</w:t>
            </w:r>
          </w:p>
        </w:tc>
        <w:tc>
          <w:tcPr>
            <w:tcW w:w="863" w:type="dxa"/>
            <w:vAlign w:val="center"/>
          </w:tcPr>
          <w:p w14:paraId="462A8FCD">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687 </w:t>
            </w:r>
          </w:p>
        </w:tc>
      </w:tr>
      <w:tr w14:paraId="3DF0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6941BA24">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13</w:t>
            </w:r>
          </w:p>
        </w:tc>
        <w:tc>
          <w:tcPr>
            <w:tcW w:w="570" w:type="dxa"/>
            <w:vMerge w:val="continue"/>
            <w:vAlign w:val="center"/>
          </w:tcPr>
          <w:p w14:paraId="6D311621">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restart"/>
            <w:vAlign w:val="center"/>
          </w:tcPr>
          <w:p w14:paraId="22E04A5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安装防撞护角/防撞条、提示标识</w:t>
            </w:r>
          </w:p>
        </w:tc>
        <w:tc>
          <w:tcPr>
            <w:tcW w:w="1575" w:type="dxa"/>
            <w:vMerge w:val="restart"/>
            <w:vAlign w:val="center"/>
          </w:tcPr>
          <w:p w14:paraId="0B4306F3">
            <w:pPr>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在家具尖角或墙角安装防撞护角或者防撞条，必要时粘贴警示条</w:t>
            </w:r>
          </w:p>
        </w:tc>
        <w:tc>
          <w:tcPr>
            <w:tcW w:w="615" w:type="dxa"/>
            <w:gridSpan w:val="2"/>
            <w:vMerge w:val="restart"/>
            <w:vAlign w:val="center"/>
          </w:tcPr>
          <w:p w14:paraId="69E27A4B">
            <w:pPr>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可选</w:t>
            </w:r>
          </w:p>
        </w:tc>
        <w:tc>
          <w:tcPr>
            <w:tcW w:w="600" w:type="dxa"/>
            <w:vAlign w:val="center"/>
          </w:tcPr>
          <w:p w14:paraId="79A976E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防撞角</w:t>
            </w:r>
          </w:p>
        </w:tc>
        <w:tc>
          <w:tcPr>
            <w:tcW w:w="3420" w:type="dxa"/>
            <w:vAlign w:val="center"/>
          </w:tcPr>
          <w:p w14:paraId="411221F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尺寸：60×35×12</w:t>
            </w:r>
            <w:r>
              <w:rPr>
                <w:rFonts w:hint="eastAsia" w:cs="宋体"/>
                <w:i w:val="0"/>
                <w:iCs w:val="0"/>
                <w:color w:val="auto"/>
                <w:kern w:val="0"/>
                <w:sz w:val="20"/>
                <w:szCs w:val="20"/>
                <w:u w:val="none"/>
                <w:lang w:val="en-US" w:eastAsia="zh-CN" w:bidi="ar"/>
              </w:rPr>
              <w:t>mm；</w:t>
            </w:r>
          </w:p>
          <w:p w14:paraId="6708E4E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材质：NBR，防水耐油</w:t>
            </w:r>
            <w:r>
              <w:rPr>
                <w:rFonts w:hint="eastAsia" w:cs="宋体"/>
                <w:i w:val="0"/>
                <w:iCs w:val="0"/>
                <w:color w:val="auto"/>
                <w:kern w:val="0"/>
                <w:sz w:val="20"/>
                <w:szCs w:val="20"/>
                <w:u w:val="none"/>
                <w:lang w:val="en-US" w:eastAsia="zh-CN" w:bidi="ar"/>
              </w:rPr>
              <w:t>；</w:t>
            </w:r>
          </w:p>
          <w:p w14:paraId="135AE0F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加厚，无残留，不伤家具</w:t>
            </w:r>
            <w:r>
              <w:rPr>
                <w:rFonts w:hint="eastAsia" w:cs="宋体"/>
                <w:i w:val="0"/>
                <w:iCs w:val="0"/>
                <w:color w:val="auto"/>
                <w:kern w:val="0"/>
                <w:sz w:val="20"/>
                <w:szCs w:val="20"/>
                <w:u w:val="none"/>
                <w:lang w:val="en-US" w:eastAsia="zh-CN" w:bidi="ar"/>
              </w:rPr>
              <w:t>。</w:t>
            </w:r>
          </w:p>
        </w:tc>
        <w:tc>
          <w:tcPr>
            <w:tcW w:w="450" w:type="dxa"/>
            <w:vAlign w:val="center"/>
          </w:tcPr>
          <w:p w14:paraId="42475F6E">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033E146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5 </w:t>
            </w:r>
          </w:p>
        </w:tc>
      </w:tr>
      <w:tr w14:paraId="7D9C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2F02090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3431D9F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7B401283">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12C95AFA">
            <w:pPr>
              <w:jc w:val="center"/>
              <w:rPr>
                <w:rFonts w:hint="eastAsia" w:ascii="宋体" w:hAnsi="宋体" w:eastAsia="宋体" w:cs="宋体"/>
                <w:i w:val="0"/>
                <w:iCs w:val="0"/>
                <w:color w:val="auto"/>
                <w:kern w:val="0"/>
                <w:sz w:val="20"/>
                <w:szCs w:val="20"/>
                <w:u w:val="none"/>
                <w:lang w:val="en-US" w:eastAsia="zh-CN" w:bidi="ar"/>
              </w:rPr>
            </w:pPr>
          </w:p>
        </w:tc>
        <w:tc>
          <w:tcPr>
            <w:tcW w:w="615" w:type="dxa"/>
            <w:gridSpan w:val="2"/>
            <w:vMerge w:val="continue"/>
            <w:vAlign w:val="center"/>
          </w:tcPr>
          <w:p w14:paraId="46DF452E">
            <w:pPr>
              <w:jc w:val="center"/>
              <w:rPr>
                <w:rFonts w:hint="eastAsia" w:ascii="宋体" w:hAnsi="宋体" w:eastAsia="宋体" w:cs="宋体"/>
                <w:b w:val="0"/>
                <w:color w:val="auto"/>
                <w:sz w:val="20"/>
                <w:szCs w:val="20"/>
                <w:vertAlign w:val="baseline"/>
                <w:lang w:val="en-US" w:eastAsia="zh-CN"/>
              </w:rPr>
            </w:pPr>
          </w:p>
        </w:tc>
        <w:tc>
          <w:tcPr>
            <w:tcW w:w="600" w:type="dxa"/>
            <w:shd w:val="clear" w:color="auto" w:fill="auto"/>
            <w:vAlign w:val="center"/>
          </w:tcPr>
          <w:p w14:paraId="7FCE825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防撞条</w:t>
            </w:r>
          </w:p>
        </w:tc>
        <w:tc>
          <w:tcPr>
            <w:tcW w:w="3420" w:type="dxa"/>
            <w:shd w:val="clear" w:color="auto" w:fill="auto"/>
            <w:vAlign w:val="center"/>
          </w:tcPr>
          <w:p w14:paraId="23F403D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尺寸：35×35×7</w:t>
            </w:r>
            <w:r>
              <w:rPr>
                <w:rFonts w:hint="eastAsia" w:cs="宋体"/>
                <w:i w:val="0"/>
                <w:iCs w:val="0"/>
                <w:color w:val="auto"/>
                <w:kern w:val="0"/>
                <w:sz w:val="20"/>
                <w:szCs w:val="20"/>
                <w:u w:val="none"/>
                <w:lang w:val="en-US" w:eastAsia="zh-CN" w:bidi="ar"/>
              </w:rPr>
              <w:t>mm；</w:t>
            </w:r>
          </w:p>
          <w:p w14:paraId="0F05FEE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材质：pvc，双面胶/免钉胶</w:t>
            </w:r>
            <w:r>
              <w:rPr>
                <w:rFonts w:hint="eastAsia" w:cs="宋体"/>
                <w:i w:val="0"/>
                <w:iCs w:val="0"/>
                <w:color w:val="auto"/>
                <w:kern w:val="0"/>
                <w:sz w:val="20"/>
                <w:szCs w:val="20"/>
                <w:u w:val="none"/>
                <w:lang w:val="en-US" w:eastAsia="zh-CN" w:bidi="ar"/>
              </w:rPr>
              <w:t>；</w:t>
            </w:r>
          </w:p>
          <w:p w14:paraId="271148F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防火阻燃，经久耐用，不含甲醛</w:t>
            </w:r>
            <w:r>
              <w:rPr>
                <w:rFonts w:hint="eastAsia" w:cs="宋体"/>
                <w:i w:val="0"/>
                <w:iCs w:val="0"/>
                <w:color w:val="auto"/>
                <w:kern w:val="0"/>
                <w:sz w:val="20"/>
                <w:szCs w:val="20"/>
                <w:u w:val="none"/>
                <w:lang w:val="en-US" w:eastAsia="zh-CN" w:bidi="ar"/>
              </w:rPr>
              <w:t>。</w:t>
            </w:r>
          </w:p>
        </w:tc>
        <w:tc>
          <w:tcPr>
            <w:tcW w:w="450" w:type="dxa"/>
            <w:shd w:val="clear" w:color="auto" w:fill="auto"/>
            <w:vAlign w:val="center"/>
          </w:tcPr>
          <w:p w14:paraId="5AB9D2B7">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i w:val="0"/>
                <w:iCs w:val="0"/>
                <w:color w:val="auto"/>
                <w:kern w:val="0"/>
                <w:sz w:val="20"/>
                <w:szCs w:val="20"/>
                <w:u w:val="none"/>
                <w:lang w:val="en-US" w:eastAsia="zh-CN" w:bidi="ar"/>
              </w:rPr>
              <w:t>米</w:t>
            </w:r>
          </w:p>
        </w:tc>
        <w:tc>
          <w:tcPr>
            <w:tcW w:w="863" w:type="dxa"/>
            <w:vAlign w:val="center"/>
          </w:tcPr>
          <w:p w14:paraId="2F0A25A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21 </w:t>
            </w:r>
          </w:p>
        </w:tc>
      </w:tr>
      <w:tr w14:paraId="43C4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488BA70E">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02429D76">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3C18A607">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1AEC9E9F">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4ECA467F">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5ADDB39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自粘式防滑条</w:t>
            </w:r>
          </w:p>
        </w:tc>
        <w:tc>
          <w:tcPr>
            <w:tcW w:w="3420" w:type="dxa"/>
            <w:vAlign w:val="center"/>
          </w:tcPr>
          <w:p w14:paraId="5DA7EDB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尺寸：30×10cm</w:t>
            </w:r>
            <w:r>
              <w:rPr>
                <w:rFonts w:hint="eastAsia" w:cs="宋体"/>
                <w:i w:val="0"/>
                <w:iCs w:val="0"/>
                <w:color w:val="auto"/>
                <w:kern w:val="0"/>
                <w:sz w:val="20"/>
                <w:szCs w:val="20"/>
                <w:u w:val="none"/>
                <w:lang w:val="en-US" w:eastAsia="zh-CN" w:bidi="ar"/>
              </w:rPr>
              <w:t>；</w:t>
            </w:r>
          </w:p>
          <w:p w14:paraId="6B11867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文字：注意安全，小心地滑、小心台阶、小心玻璃</w:t>
            </w:r>
            <w:r>
              <w:rPr>
                <w:rFonts w:hint="eastAsia" w:cs="宋体"/>
                <w:i w:val="0"/>
                <w:iCs w:val="0"/>
                <w:color w:val="auto"/>
                <w:kern w:val="0"/>
                <w:sz w:val="20"/>
                <w:szCs w:val="20"/>
                <w:u w:val="none"/>
                <w:lang w:val="en-US" w:eastAsia="zh-CN" w:bidi="ar"/>
              </w:rPr>
              <w:t>等。</w:t>
            </w:r>
          </w:p>
        </w:tc>
        <w:tc>
          <w:tcPr>
            <w:tcW w:w="450" w:type="dxa"/>
            <w:vAlign w:val="center"/>
          </w:tcPr>
          <w:p w14:paraId="74C30CF8">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cs="宋体"/>
                <w:b w:val="0"/>
                <w:color w:val="auto"/>
                <w:sz w:val="20"/>
                <w:szCs w:val="20"/>
                <w:vertAlign w:val="baseline"/>
                <w:lang w:val="en-US" w:eastAsia="zh-CN"/>
              </w:rPr>
              <w:t>条</w:t>
            </w:r>
          </w:p>
        </w:tc>
        <w:tc>
          <w:tcPr>
            <w:tcW w:w="863" w:type="dxa"/>
            <w:vAlign w:val="center"/>
          </w:tcPr>
          <w:p w14:paraId="1519AF8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20 </w:t>
            </w:r>
          </w:p>
        </w:tc>
      </w:tr>
      <w:tr w14:paraId="6CED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9292" w:type="dxa"/>
            <w:gridSpan w:val="10"/>
            <w:shd w:val="clear" w:color="auto" w:fill="B6DDE8" w:themeFill="accent5" w:themeFillTint="66"/>
            <w:vAlign w:val="center"/>
          </w:tcPr>
          <w:p w14:paraId="51ECF2A4">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bCs/>
                <w:color w:val="auto"/>
                <w:sz w:val="22"/>
                <w:szCs w:val="22"/>
                <w:highlight w:val="none"/>
                <w:shd w:val="clear" w:fill="B6DDE8" w:themeFill="accent5" w:themeFillTint="66"/>
                <w:vertAlign w:val="baseline"/>
                <w:lang w:val="en-US" w:eastAsia="zh-CN"/>
              </w:rPr>
              <w:t>智能化改造</w:t>
            </w:r>
            <w:r>
              <w:rPr>
                <w:rFonts w:hint="eastAsia" w:ascii="宋体" w:hAnsi="宋体" w:eastAsia="宋体" w:cs="宋体"/>
                <w:b/>
                <w:bCs/>
                <w:color w:val="auto"/>
                <w:sz w:val="22"/>
                <w:szCs w:val="22"/>
                <w:highlight w:val="none"/>
                <w:vertAlign w:val="baseline"/>
                <w:lang w:val="en-US" w:eastAsia="zh-CN"/>
              </w:rPr>
              <w:t>产品推荐清单</w:t>
            </w:r>
            <w:r>
              <w:rPr>
                <w:rFonts w:hint="eastAsia" w:cs="宋体"/>
                <w:b/>
                <w:bCs/>
                <w:color w:val="auto"/>
                <w:sz w:val="22"/>
                <w:szCs w:val="22"/>
                <w:highlight w:val="none"/>
                <w:shd w:val="clear" w:fill="B6DDE8" w:themeFill="accent5" w:themeFillTint="66"/>
                <w:vertAlign w:val="baseline"/>
                <w:lang w:val="en-US" w:eastAsia="zh-CN" w:bidi="zh-CN"/>
              </w:rPr>
              <w:t>技术参数</w:t>
            </w:r>
            <w:r>
              <w:rPr>
                <w:rFonts w:hint="eastAsia" w:ascii="宋体" w:hAnsi="宋体" w:eastAsia="宋体" w:cs="宋体"/>
                <w:b/>
                <w:bCs/>
                <w:color w:val="auto"/>
                <w:sz w:val="22"/>
                <w:szCs w:val="22"/>
                <w:highlight w:val="none"/>
                <w:shd w:val="clear" w:fill="B6DDE8" w:themeFill="accent5" w:themeFillTint="66"/>
                <w:vertAlign w:val="baseline"/>
                <w:lang w:val="en-US" w:eastAsia="zh-CN" w:bidi="zh-CN"/>
              </w:rPr>
              <w:t>及最高限价</w:t>
            </w:r>
          </w:p>
        </w:tc>
      </w:tr>
      <w:tr w14:paraId="2A88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shd w:val="clear" w:color="auto" w:fill="auto"/>
            <w:vAlign w:val="center"/>
          </w:tcPr>
          <w:p w14:paraId="42C83F50">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序号</w:t>
            </w:r>
          </w:p>
        </w:tc>
        <w:tc>
          <w:tcPr>
            <w:tcW w:w="570" w:type="dxa"/>
            <w:shd w:val="clear" w:color="auto" w:fill="auto"/>
            <w:vAlign w:val="center"/>
          </w:tcPr>
          <w:p w14:paraId="3B728D73">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类别</w:t>
            </w:r>
          </w:p>
        </w:tc>
        <w:tc>
          <w:tcPr>
            <w:tcW w:w="585" w:type="dxa"/>
            <w:shd w:val="clear" w:color="auto" w:fill="auto"/>
            <w:vAlign w:val="center"/>
          </w:tcPr>
          <w:p w14:paraId="28BE8E7B">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项目名称</w:t>
            </w:r>
          </w:p>
        </w:tc>
        <w:tc>
          <w:tcPr>
            <w:tcW w:w="1575" w:type="dxa"/>
            <w:shd w:val="clear" w:color="auto" w:fill="auto"/>
            <w:vAlign w:val="center"/>
          </w:tcPr>
          <w:p w14:paraId="77080693">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具体内容</w:t>
            </w:r>
          </w:p>
        </w:tc>
        <w:tc>
          <w:tcPr>
            <w:tcW w:w="615" w:type="dxa"/>
            <w:gridSpan w:val="2"/>
            <w:shd w:val="clear" w:color="auto" w:fill="auto"/>
            <w:vAlign w:val="center"/>
          </w:tcPr>
          <w:p w14:paraId="5D0488F4">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项目类型</w:t>
            </w:r>
          </w:p>
        </w:tc>
        <w:tc>
          <w:tcPr>
            <w:tcW w:w="600" w:type="dxa"/>
            <w:shd w:val="clear" w:color="auto" w:fill="auto"/>
            <w:vAlign w:val="center"/>
          </w:tcPr>
          <w:p w14:paraId="504BCBDB">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产品名称</w:t>
            </w:r>
          </w:p>
        </w:tc>
        <w:tc>
          <w:tcPr>
            <w:tcW w:w="3420" w:type="dxa"/>
            <w:shd w:val="clear" w:color="auto" w:fill="auto"/>
            <w:vAlign w:val="center"/>
          </w:tcPr>
          <w:p w14:paraId="09C58A4E">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技术参数</w:t>
            </w:r>
          </w:p>
        </w:tc>
        <w:tc>
          <w:tcPr>
            <w:tcW w:w="450" w:type="dxa"/>
            <w:shd w:val="clear" w:color="auto" w:fill="auto"/>
            <w:vAlign w:val="center"/>
          </w:tcPr>
          <w:p w14:paraId="6BD466E9">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单位</w:t>
            </w:r>
          </w:p>
        </w:tc>
        <w:tc>
          <w:tcPr>
            <w:tcW w:w="863" w:type="dxa"/>
            <w:shd w:val="clear" w:color="auto" w:fill="auto"/>
            <w:vAlign w:val="center"/>
          </w:tcPr>
          <w:p w14:paraId="41861614">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最高限价（元）</w:t>
            </w:r>
          </w:p>
        </w:tc>
      </w:tr>
      <w:tr w14:paraId="5F99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798F5171">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14</w:t>
            </w:r>
          </w:p>
        </w:tc>
        <w:tc>
          <w:tcPr>
            <w:tcW w:w="570" w:type="dxa"/>
            <w:vMerge w:val="restart"/>
            <w:vAlign w:val="center"/>
          </w:tcPr>
          <w:p w14:paraId="7377080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网络连接设备</w:t>
            </w:r>
          </w:p>
        </w:tc>
        <w:tc>
          <w:tcPr>
            <w:tcW w:w="585" w:type="dxa"/>
            <w:vAlign w:val="center"/>
          </w:tcPr>
          <w:p w14:paraId="081D3D77">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WIFI路由器</w:t>
            </w:r>
          </w:p>
        </w:tc>
        <w:tc>
          <w:tcPr>
            <w:tcW w:w="1575" w:type="dxa"/>
            <w:vMerge w:val="restart"/>
            <w:vAlign w:val="center"/>
          </w:tcPr>
          <w:p w14:paraId="2719C05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保证相关智能设备数据的传送和服务响应</w:t>
            </w:r>
          </w:p>
        </w:tc>
        <w:tc>
          <w:tcPr>
            <w:tcW w:w="615" w:type="dxa"/>
            <w:gridSpan w:val="2"/>
            <w:vMerge w:val="restart"/>
            <w:vAlign w:val="center"/>
          </w:tcPr>
          <w:p w14:paraId="305373CE">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基础（任选其一）</w:t>
            </w:r>
          </w:p>
        </w:tc>
        <w:tc>
          <w:tcPr>
            <w:tcW w:w="600" w:type="dxa"/>
            <w:vAlign w:val="center"/>
          </w:tcPr>
          <w:p w14:paraId="31B6A8E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WIFI路由器</w:t>
            </w:r>
          </w:p>
        </w:tc>
        <w:tc>
          <w:tcPr>
            <w:tcW w:w="3420" w:type="dxa"/>
            <w:vAlign w:val="center"/>
          </w:tcPr>
          <w:p w14:paraId="7A7447B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保证相关智能设备数据的传送和服务响应，含三年通讯费用。</w:t>
            </w:r>
          </w:p>
        </w:tc>
        <w:tc>
          <w:tcPr>
            <w:tcW w:w="450" w:type="dxa"/>
            <w:vAlign w:val="center"/>
          </w:tcPr>
          <w:p w14:paraId="68C642E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50BC45E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953 </w:t>
            </w:r>
          </w:p>
        </w:tc>
      </w:tr>
      <w:tr w14:paraId="0A27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5B46473C">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15</w:t>
            </w:r>
          </w:p>
        </w:tc>
        <w:tc>
          <w:tcPr>
            <w:tcW w:w="570" w:type="dxa"/>
            <w:vMerge w:val="continue"/>
            <w:vAlign w:val="center"/>
          </w:tcPr>
          <w:p w14:paraId="57E1D656">
            <w:pPr>
              <w:jc w:val="center"/>
              <w:rPr>
                <w:rFonts w:hint="eastAsia" w:ascii="宋体" w:hAnsi="宋体" w:eastAsia="宋体" w:cs="宋体"/>
                <w:b w:val="0"/>
                <w:color w:val="auto"/>
                <w:sz w:val="20"/>
                <w:szCs w:val="20"/>
                <w:vertAlign w:val="baseline"/>
                <w:lang w:val="en-US" w:eastAsia="zh-CN"/>
              </w:rPr>
            </w:pPr>
          </w:p>
        </w:tc>
        <w:tc>
          <w:tcPr>
            <w:tcW w:w="585" w:type="dxa"/>
            <w:vMerge w:val="restart"/>
            <w:vAlign w:val="center"/>
          </w:tcPr>
          <w:p w14:paraId="311FA6C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无线网卡</w:t>
            </w:r>
          </w:p>
        </w:tc>
        <w:tc>
          <w:tcPr>
            <w:tcW w:w="1575" w:type="dxa"/>
            <w:vMerge w:val="continue"/>
            <w:vAlign w:val="center"/>
          </w:tcPr>
          <w:p w14:paraId="7A976443">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4D3EFFD9">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45EA0F6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流量卡</w:t>
            </w:r>
          </w:p>
        </w:tc>
        <w:tc>
          <w:tcPr>
            <w:tcW w:w="3420" w:type="dxa"/>
            <w:vAlign w:val="center"/>
          </w:tcPr>
          <w:p w14:paraId="34B1096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保证相关智能设备数据的传送和服务响应，含三年通讯费用，配置单个NB设备产品一张卡。</w:t>
            </w:r>
          </w:p>
        </w:tc>
        <w:tc>
          <w:tcPr>
            <w:tcW w:w="450" w:type="dxa"/>
            <w:vAlign w:val="center"/>
          </w:tcPr>
          <w:p w14:paraId="03B4D3E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张</w:t>
            </w:r>
          </w:p>
        </w:tc>
        <w:tc>
          <w:tcPr>
            <w:tcW w:w="863" w:type="dxa"/>
            <w:vAlign w:val="center"/>
          </w:tcPr>
          <w:p w14:paraId="4D5392B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123 </w:t>
            </w:r>
          </w:p>
        </w:tc>
      </w:tr>
      <w:tr w14:paraId="6A23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1BD92CCB">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5668BC2D">
            <w:pPr>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3334AC3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75" w:type="dxa"/>
            <w:vMerge w:val="continue"/>
            <w:vAlign w:val="center"/>
          </w:tcPr>
          <w:p w14:paraId="3C924F9C">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7D7F20AB">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69D10F6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MIFI</w:t>
            </w:r>
          </w:p>
        </w:tc>
        <w:tc>
          <w:tcPr>
            <w:tcW w:w="3420" w:type="dxa"/>
            <w:vAlign w:val="center"/>
          </w:tcPr>
          <w:p w14:paraId="43F13AE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提供流量MiFi路由器是一个便携式宽带无线装置，大小相当于一张信用卡，MiFi一般可同时支持10位</w:t>
            </w:r>
            <w:r>
              <w:rPr>
                <w:rFonts w:hint="eastAsia" w:cs="宋体"/>
                <w:i w:val="0"/>
                <w:iCs w:val="0"/>
                <w:color w:val="auto"/>
                <w:kern w:val="0"/>
                <w:sz w:val="20"/>
                <w:szCs w:val="20"/>
                <w:u w:val="none"/>
                <w:lang w:val="en-US" w:eastAsia="zh-CN" w:bidi="ar"/>
              </w:rPr>
              <w:t>及以上</w:t>
            </w:r>
            <w:r>
              <w:rPr>
                <w:rFonts w:hint="eastAsia" w:ascii="宋体" w:hAnsi="宋体" w:eastAsia="宋体" w:cs="宋体"/>
                <w:i w:val="0"/>
                <w:iCs w:val="0"/>
                <w:color w:val="auto"/>
                <w:kern w:val="0"/>
                <w:sz w:val="20"/>
                <w:szCs w:val="20"/>
                <w:u w:val="none"/>
                <w:lang w:val="en-US" w:eastAsia="zh-CN" w:bidi="ar"/>
              </w:rPr>
              <w:t>用户上网。MiFi设备可用来设置特定网络，通过蜂窝连接实现在任何地点共享网络连接。</w:t>
            </w:r>
          </w:p>
        </w:tc>
        <w:tc>
          <w:tcPr>
            <w:tcW w:w="450" w:type="dxa"/>
            <w:vAlign w:val="center"/>
          </w:tcPr>
          <w:p w14:paraId="1A65072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个</w:t>
            </w:r>
          </w:p>
        </w:tc>
        <w:tc>
          <w:tcPr>
            <w:tcW w:w="863" w:type="dxa"/>
            <w:vAlign w:val="center"/>
          </w:tcPr>
          <w:p w14:paraId="05277D0B">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677 </w:t>
            </w:r>
          </w:p>
        </w:tc>
      </w:tr>
      <w:tr w14:paraId="61CC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263E32E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16</w:t>
            </w:r>
          </w:p>
        </w:tc>
        <w:tc>
          <w:tcPr>
            <w:tcW w:w="570" w:type="dxa"/>
            <w:vMerge w:val="restart"/>
            <w:vAlign w:val="center"/>
          </w:tcPr>
          <w:p w14:paraId="10571CF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紧急呼叫设备</w:t>
            </w:r>
          </w:p>
        </w:tc>
        <w:tc>
          <w:tcPr>
            <w:tcW w:w="585" w:type="dxa"/>
            <w:vMerge w:val="restart"/>
            <w:vAlign w:val="center"/>
          </w:tcPr>
          <w:p w14:paraId="6820EAA1">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紧急呼叫器</w:t>
            </w:r>
          </w:p>
        </w:tc>
        <w:tc>
          <w:tcPr>
            <w:tcW w:w="1575" w:type="dxa"/>
            <w:vMerge w:val="restart"/>
            <w:vAlign w:val="center"/>
          </w:tcPr>
          <w:p w14:paraId="123F9B0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安装在床头、卫生间等关键位置，老年人出现危机情况便于一键呼叫</w:t>
            </w:r>
          </w:p>
        </w:tc>
        <w:tc>
          <w:tcPr>
            <w:tcW w:w="615" w:type="dxa"/>
            <w:gridSpan w:val="2"/>
            <w:vMerge w:val="restart"/>
            <w:vAlign w:val="center"/>
          </w:tcPr>
          <w:p w14:paraId="5F3CFEE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基础</w:t>
            </w:r>
            <w:r>
              <w:rPr>
                <w:rFonts w:hint="eastAsia" w:cs="宋体"/>
                <w:i w:val="0"/>
                <w:iCs w:val="0"/>
                <w:color w:val="auto"/>
                <w:kern w:val="0"/>
                <w:sz w:val="20"/>
                <w:szCs w:val="20"/>
                <w:u w:val="none"/>
                <w:lang w:val="en-US" w:eastAsia="zh-CN" w:bidi="ar"/>
              </w:rPr>
              <w:t>（依据用户需求配置）</w:t>
            </w:r>
          </w:p>
        </w:tc>
        <w:tc>
          <w:tcPr>
            <w:tcW w:w="600" w:type="dxa"/>
            <w:vAlign w:val="center"/>
          </w:tcPr>
          <w:p w14:paraId="0DC8CF7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拉绳报警器</w:t>
            </w:r>
          </w:p>
        </w:tc>
        <w:tc>
          <w:tcPr>
            <w:tcW w:w="3420" w:type="dxa"/>
            <w:vAlign w:val="center"/>
          </w:tcPr>
          <w:p w14:paraId="38A9006E">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lang w:val="en-US" w:eastAsia="zh-CN" w:bidi="ar"/>
              </w:rPr>
              <w:t>1.</w:t>
            </w:r>
            <w:r>
              <w:rPr>
                <w:rFonts w:hint="eastAsia" w:ascii="宋体" w:hAnsi="宋体" w:eastAsia="宋体" w:cs="宋体"/>
                <w:b w:val="0"/>
                <w:bCs w:val="0"/>
                <w:i w:val="0"/>
                <w:iCs w:val="0"/>
                <w:color w:val="auto"/>
                <w:kern w:val="0"/>
                <w:sz w:val="20"/>
                <w:szCs w:val="20"/>
                <w:u w:val="none"/>
                <w:lang w:val="en-US" w:eastAsia="zh-CN" w:bidi="ar"/>
              </w:rPr>
              <w:t>支持多种求助通知模式</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用户可通过拉绳和按钮两种方式实现紧急求助</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电池使用寿命3年及以上</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w:t>
            </w:r>
            <w:r>
              <w:rPr>
                <w:rFonts w:hint="eastAsia" w:cs="宋体"/>
                <w:b w:val="0"/>
                <w:bCs w:val="0"/>
                <w:i w:val="0"/>
                <w:iCs w:val="0"/>
                <w:color w:val="auto"/>
                <w:kern w:val="0"/>
                <w:sz w:val="20"/>
                <w:szCs w:val="20"/>
                <w:u w:val="none"/>
                <w:lang w:val="en-US" w:eastAsia="zh-CN" w:bidi="ar"/>
              </w:rPr>
              <w:t>.可</w:t>
            </w:r>
            <w:r>
              <w:rPr>
                <w:rFonts w:hint="eastAsia" w:ascii="宋体" w:hAnsi="宋体" w:eastAsia="宋体" w:cs="宋体"/>
                <w:b w:val="0"/>
                <w:bCs w:val="0"/>
                <w:i w:val="0"/>
                <w:iCs w:val="0"/>
                <w:color w:val="auto"/>
                <w:kern w:val="0"/>
                <w:sz w:val="20"/>
                <w:szCs w:val="20"/>
                <w:u w:val="none"/>
                <w:lang w:val="en-US" w:eastAsia="zh-CN" w:bidi="ar"/>
              </w:rPr>
              <w:t>通过</w:t>
            </w:r>
            <w:r>
              <w:rPr>
                <w:rFonts w:hint="eastAsia" w:ascii="宋体" w:hAnsi="宋体" w:cs="宋体"/>
                <w:b w:val="0"/>
                <w:bCs w:val="0"/>
                <w:kern w:val="0"/>
                <w:sz w:val="20"/>
                <w:szCs w:val="20"/>
                <w:highlight w:val="none"/>
                <w:lang w:bidi="ar"/>
              </w:rPr>
              <w:t>NB/4G/WiFi/蓝牙/zigbee</w:t>
            </w:r>
            <w:r>
              <w:rPr>
                <w:rFonts w:hint="eastAsia" w:ascii="宋体" w:hAnsi="宋体" w:eastAsia="宋体" w:cs="宋体"/>
                <w:b w:val="0"/>
                <w:bCs w:val="0"/>
                <w:i w:val="0"/>
                <w:iCs w:val="0"/>
                <w:color w:val="auto"/>
                <w:kern w:val="0"/>
                <w:sz w:val="20"/>
                <w:szCs w:val="20"/>
                <w:u w:val="none"/>
                <w:lang w:val="en-US" w:eastAsia="zh-CN" w:bidi="ar"/>
              </w:rPr>
              <w:t>方式实现数据上报通讯</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出现危急情况，可立即按下按钮或拉动挂绳发出求助信息</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求助完成后，自动复位，可重复使用</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具备电池欠压报警功能</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通信方式：</w:t>
            </w:r>
            <w:r>
              <w:rPr>
                <w:rFonts w:hint="eastAsia" w:ascii="宋体" w:hAnsi="宋体" w:cs="宋体"/>
                <w:b w:val="0"/>
                <w:bCs w:val="0"/>
                <w:kern w:val="0"/>
                <w:sz w:val="20"/>
                <w:szCs w:val="20"/>
                <w:highlight w:val="none"/>
                <w:lang w:bidi="ar"/>
              </w:rPr>
              <w:t>NB/4G/WiFi/蓝牙/zigbee并包含3年通讯费</w:t>
            </w:r>
            <w:r>
              <w:rPr>
                <w:rFonts w:hint="eastAsia" w:cs="宋体"/>
                <w:b w:val="0"/>
                <w:bCs w:val="0"/>
                <w:i w:val="0"/>
                <w:iCs w:val="0"/>
                <w:color w:val="auto"/>
                <w:kern w:val="0"/>
                <w:sz w:val="20"/>
                <w:szCs w:val="20"/>
                <w:u w:val="none"/>
                <w:lang w:val="en-US" w:eastAsia="zh-CN" w:bidi="ar"/>
              </w:rPr>
              <w:t>；</w:t>
            </w:r>
          </w:p>
          <w:p w14:paraId="21AF705B">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9.</w:t>
            </w:r>
            <w:bookmarkStart w:id="24" w:name="OLE_LINK19"/>
            <w:r>
              <w:rPr>
                <w:rFonts w:hint="eastAsia" w:ascii="宋体" w:hAnsi="宋体" w:eastAsia="宋体" w:cs="宋体"/>
                <w:b w:val="0"/>
                <w:bCs w:val="0"/>
                <w:i w:val="0"/>
                <w:iCs w:val="0"/>
                <w:color w:val="auto"/>
                <w:kern w:val="0"/>
                <w:sz w:val="20"/>
                <w:szCs w:val="20"/>
                <w:u w:val="none"/>
                <w:lang w:val="en-US" w:eastAsia="zh-CN" w:bidi="ar"/>
              </w:rPr>
              <w:t>产品具备</w:t>
            </w:r>
            <w:bookmarkEnd w:id="24"/>
            <w:r>
              <w:rPr>
                <w:rFonts w:hint="eastAsia" w:ascii="宋体" w:hAnsi="宋体" w:eastAsia="宋体" w:cs="宋体"/>
                <w:b w:val="0"/>
                <w:bCs w:val="0"/>
                <w:i w:val="0"/>
                <w:iCs w:val="0"/>
                <w:color w:val="auto"/>
                <w:kern w:val="0"/>
                <w:sz w:val="20"/>
                <w:szCs w:val="20"/>
                <w:u w:val="none"/>
                <w:lang w:val="en-US" w:eastAsia="zh-CN" w:bidi="ar"/>
              </w:rPr>
              <w:t>《无线电发射设备型号核准证》；</w:t>
            </w:r>
          </w:p>
          <w:p w14:paraId="4603090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10.产品具备《电信设备进网许可证》；</w:t>
            </w:r>
          </w:p>
          <w:p w14:paraId="222E0D76">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11</w:t>
            </w:r>
            <w:bookmarkStart w:id="25" w:name="OLE_LINK20"/>
            <w:r>
              <w:rPr>
                <w:rFonts w:hint="eastAsia" w:ascii="宋体" w:hAnsi="宋体" w:eastAsia="宋体" w:cs="宋体"/>
                <w:b w:val="0"/>
                <w:bCs w:val="0"/>
                <w:i w:val="0"/>
                <w:iCs w:val="0"/>
                <w:color w:val="auto"/>
                <w:kern w:val="0"/>
                <w:sz w:val="20"/>
                <w:szCs w:val="20"/>
                <w:u w:val="none"/>
                <w:lang w:val="en-US" w:eastAsia="zh-CN" w:bidi="ar"/>
              </w:rPr>
              <w:t>.</w:t>
            </w:r>
            <w:bookmarkEnd w:id="25"/>
            <w:r>
              <w:rPr>
                <w:rFonts w:hint="eastAsia" w:ascii="宋体" w:hAnsi="宋体" w:eastAsia="宋体" w:cs="宋体"/>
                <w:b w:val="0"/>
                <w:bCs w:val="0"/>
                <w:i w:val="0"/>
                <w:iCs w:val="0"/>
                <w:color w:val="auto"/>
                <w:kern w:val="0"/>
                <w:sz w:val="20"/>
                <w:szCs w:val="20"/>
                <w:u w:val="none"/>
                <w:lang w:val="en-US" w:eastAsia="zh-CN" w:bidi="ar"/>
              </w:rPr>
              <w:t>产品具备中国国家强制性产品认证3C证书</w:t>
            </w:r>
            <w:r>
              <w:rPr>
                <w:rFonts w:hint="eastAsia" w:cs="宋体"/>
                <w:b w:val="0"/>
                <w:bCs w:val="0"/>
                <w:i w:val="0"/>
                <w:iCs w:val="0"/>
                <w:color w:val="auto"/>
                <w:kern w:val="0"/>
                <w:sz w:val="20"/>
                <w:szCs w:val="20"/>
                <w:u w:val="none"/>
                <w:lang w:val="en-US" w:eastAsia="zh-CN" w:bidi="ar"/>
              </w:rPr>
              <w:t>。</w:t>
            </w:r>
          </w:p>
        </w:tc>
        <w:tc>
          <w:tcPr>
            <w:tcW w:w="450" w:type="dxa"/>
            <w:vAlign w:val="center"/>
          </w:tcPr>
          <w:p w14:paraId="36A798C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个</w:t>
            </w:r>
          </w:p>
        </w:tc>
        <w:tc>
          <w:tcPr>
            <w:tcW w:w="863" w:type="dxa"/>
            <w:vAlign w:val="center"/>
          </w:tcPr>
          <w:p w14:paraId="5728882D">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250 </w:t>
            </w:r>
          </w:p>
        </w:tc>
      </w:tr>
      <w:tr w14:paraId="39A3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544EAD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570" w:type="dxa"/>
            <w:vMerge w:val="continue"/>
            <w:vAlign w:val="center"/>
          </w:tcPr>
          <w:p w14:paraId="28E60FC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585" w:type="dxa"/>
            <w:vMerge w:val="continue"/>
            <w:vAlign w:val="center"/>
          </w:tcPr>
          <w:p w14:paraId="591D870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75" w:type="dxa"/>
            <w:vMerge w:val="continue"/>
            <w:vAlign w:val="center"/>
          </w:tcPr>
          <w:p w14:paraId="4A7B7A2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15" w:type="dxa"/>
            <w:gridSpan w:val="2"/>
            <w:vMerge w:val="continue"/>
            <w:vAlign w:val="center"/>
          </w:tcPr>
          <w:p w14:paraId="7A5B1F1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00" w:type="dxa"/>
            <w:vAlign w:val="center"/>
          </w:tcPr>
          <w:p w14:paraId="1106EA6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双向语音报警器</w:t>
            </w:r>
          </w:p>
        </w:tc>
        <w:tc>
          <w:tcPr>
            <w:tcW w:w="3420" w:type="dxa"/>
            <w:vAlign w:val="center"/>
          </w:tcPr>
          <w:p w14:paraId="0EC61040">
            <w:pPr>
              <w:keepNext w:val="0"/>
              <w:keepLines w:val="0"/>
              <w:widowControl/>
              <w:numPr>
                <w:ilvl w:val="0"/>
                <w:numId w:val="0"/>
              </w:numPr>
              <w:suppressLineNumbers w:val="0"/>
              <w:jc w:val="left"/>
              <w:textAlignment w:val="center"/>
              <w:rPr>
                <w:rFonts w:hint="eastAsia"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lang w:val="en-US" w:eastAsia="zh-CN" w:bidi="ar"/>
              </w:rPr>
              <w:t>1</w:t>
            </w:r>
            <w:r>
              <w:rPr>
                <w:rFonts w:hint="eastAsia" w:cs="宋体"/>
                <w:b w:val="0"/>
                <w:bCs w:val="0"/>
                <w:i w:val="0"/>
                <w:iCs w:val="0"/>
                <w:color w:val="auto"/>
                <w:kern w:val="0"/>
                <w:sz w:val="20"/>
                <w:szCs w:val="20"/>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支持多种求助通知模式</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用户可通过拉绳和按钮两种方式实现紧急求助</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w:t>
            </w:r>
            <w:r>
              <w:rPr>
                <w:rFonts w:hint="eastAsia" w:cs="宋体"/>
                <w:b w:val="0"/>
                <w:bCs w:val="0"/>
                <w:i w:val="0"/>
                <w:iCs w:val="0"/>
                <w:color w:val="auto"/>
                <w:kern w:val="0"/>
                <w:sz w:val="20"/>
                <w:szCs w:val="20"/>
                <w:u w:val="none"/>
                <w:lang w:val="en-US" w:eastAsia="zh-CN" w:bidi="ar"/>
              </w:rPr>
              <w:t>.通过NB/4G/WiFi/蓝牙/zigbee方式实现数据上报通讯；</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正面有红色LED灯，蓝色信号灯，侧面红色灯</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出现危急情况，可立即按下按钮或拉动挂绳发出求助信息，求助完成后，自动复位，可重复使用</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通信方式：NB/4G/WiFi/蓝牙/zigbee并包含3年通讯费</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支持开关关闭打开求助器</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支持通话、通话记录、语音广播功能</w:t>
            </w:r>
            <w:r>
              <w:rPr>
                <w:rFonts w:hint="eastAsia" w:cs="宋体"/>
                <w:b w:val="0"/>
                <w:bCs w:val="0"/>
                <w:i w:val="0"/>
                <w:iCs w:val="0"/>
                <w:color w:val="auto"/>
                <w:kern w:val="0"/>
                <w:sz w:val="20"/>
                <w:szCs w:val="20"/>
                <w:u w:val="none"/>
                <w:lang w:val="en-US" w:eastAsia="zh-CN" w:bidi="ar"/>
              </w:rPr>
              <w:t>。</w:t>
            </w:r>
          </w:p>
          <w:p w14:paraId="1BC42FDB">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9.产品具备《无线电发射设备型号核准证》；</w:t>
            </w:r>
          </w:p>
          <w:p w14:paraId="7B52CDAA">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10.产品具备《电信设备进网许可证》；</w:t>
            </w:r>
          </w:p>
          <w:p w14:paraId="7C116648">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11.产品具备中国国家强制性产品认证3C证书</w:t>
            </w:r>
            <w:r>
              <w:rPr>
                <w:rFonts w:hint="eastAsia" w:cs="宋体"/>
                <w:b w:val="0"/>
                <w:bCs w:val="0"/>
                <w:i w:val="0"/>
                <w:iCs w:val="0"/>
                <w:color w:val="auto"/>
                <w:kern w:val="0"/>
                <w:sz w:val="20"/>
                <w:szCs w:val="20"/>
                <w:u w:val="none"/>
                <w:lang w:val="en-US" w:eastAsia="zh-CN" w:bidi="ar"/>
              </w:rPr>
              <w:t>。</w:t>
            </w:r>
          </w:p>
        </w:tc>
        <w:tc>
          <w:tcPr>
            <w:tcW w:w="450" w:type="dxa"/>
            <w:vAlign w:val="center"/>
          </w:tcPr>
          <w:p w14:paraId="3F9B524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个</w:t>
            </w:r>
          </w:p>
        </w:tc>
        <w:tc>
          <w:tcPr>
            <w:tcW w:w="863" w:type="dxa"/>
            <w:vAlign w:val="center"/>
          </w:tcPr>
          <w:p w14:paraId="304B941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523 </w:t>
            </w:r>
          </w:p>
        </w:tc>
      </w:tr>
      <w:tr w14:paraId="147C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1DDE9B5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570" w:type="dxa"/>
            <w:vMerge w:val="continue"/>
            <w:vAlign w:val="center"/>
          </w:tcPr>
          <w:p w14:paraId="63C9188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585" w:type="dxa"/>
            <w:vMerge w:val="continue"/>
            <w:vAlign w:val="center"/>
          </w:tcPr>
          <w:p w14:paraId="1A903E2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75" w:type="dxa"/>
            <w:vMerge w:val="continue"/>
            <w:vAlign w:val="center"/>
          </w:tcPr>
          <w:p w14:paraId="7B08E07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15" w:type="dxa"/>
            <w:gridSpan w:val="2"/>
            <w:vMerge w:val="continue"/>
            <w:vAlign w:val="center"/>
          </w:tcPr>
          <w:p w14:paraId="4B4DBA0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00" w:type="dxa"/>
            <w:vAlign w:val="center"/>
          </w:tcPr>
          <w:p w14:paraId="29B9543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智能一键通</w:t>
            </w:r>
          </w:p>
        </w:tc>
        <w:tc>
          <w:tcPr>
            <w:tcW w:w="3420" w:type="dxa"/>
            <w:vAlign w:val="center"/>
          </w:tcPr>
          <w:p w14:paraId="63B6ECC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通信方式：NB/4G/WiFi/蓝牙/zigbee并包含3年通讯费</w:t>
            </w:r>
            <w:r>
              <w:rPr>
                <w:rFonts w:hint="eastAsia" w:cs="宋体"/>
                <w:b w:val="0"/>
                <w:bCs w:val="0"/>
                <w:i w:val="0"/>
                <w:iCs w:val="0"/>
                <w:color w:val="auto"/>
                <w:kern w:val="0"/>
                <w:sz w:val="20"/>
                <w:szCs w:val="20"/>
                <w:u w:val="none"/>
                <w:lang w:val="en-US" w:eastAsia="zh-CN" w:bidi="ar"/>
              </w:rPr>
              <w:t>；</w:t>
            </w:r>
          </w:p>
          <w:p w14:paraId="78E0A283">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2</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支持VoLTE语音通话</w:t>
            </w:r>
            <w:r>
              <w:rPr>
                <w:rFonts w:hint="eastAsia" w:cs="宋体"/>
                <w:b w:val="0"/>
                <w:bCs w:val="0"/>
                <w:i w:val="0"/>
                <w:iCs w:val="0"/>
                <w:color w:val="auto"/>
                <w:kern w:val="0"/>
                <w:sz w:val="20"/>
                <w:szCs w:val="20"/>
                <w:u w:val="none"/>
                <w:lang w:val="en-US" w:eastAsia="zh-CN" w:bidi="ar"/>
              </w:rPr>
              <w:t>；</w:t>
            </w:r>
          </w:p>
          <w:p w14:paraId="7024F1FE">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3</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支持SOS一键呼叫、支持一路亲情通话</w:t>
            </w:r>
            <w:r>
              <w:rPr>
                <w:rFonts w:hint="eastAsia" w:cs="宋体"/>
                <w:b w:val="0"/>
                <w:bCs w:val="0"/>
                <w:i w:val="0"/>
                <w:iCs w:val="0"/>
                <w:color w:val="auto"/>
                <w:kern w:val="0"/>
                <w:sz w:val="20"/>
                <w:szCs w:val="20"/>
                <w:u w:val="none"/>
                <w:lang w:val="en-US" w:eastAsia="zh-CN" w:bidi="ar"/>
              </w:rPr>
              <w:t>；</w:t>
            </w:r>
          </w:p>
          <w:p w14:paraId="3948966F">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4</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支持紧急社区广播和普通社区广播</w:t>
            </w:r>
            <w:r>
              <w:rPr>
                <w:rFonts w:hint="eastAsia" w:cs="宋体"/>
                <w:b w:val="0"/>
                <w:bCs w:val="0"/>
                <w:i w:val="0"/>
                <w:iCs w:val="0"/>
                <w:color w:val="auto"/>
                <w:kern w:val="0"/>
                <w:sz w:val="20"/>
                <w:szCs w:val="20"/>
                <w:u w:val="none"/>
                <w:lang w:val="en-US" w:eastAsia="zh-CN" w:bidi="ar"/>
              </w:rPr>
              <w:t>；</w:t>
            </w:r>
          </w:p>
          <w:p w14:paraId="24EA1242">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内置FM收音机功能，一键自动搜台和播放</w:t>
            </w:r>
            <w:r>
              <w:rPr>
                <w:rFonts w:hint="eastAsia" w:cs="宋体"/>
                <w:b w:val="0"/>
                <w:bCs w:val="0"/>
                <w:i w:val="0"/>
                <w:iCs w:val="0"/>
                <w:color w:val="auto"/>
                <w:kern w:val="0"/>
                <w:sz w:val="20"/>
                <w:szCs w:val="20"/>
                <w:u w:val="none"/>
                <w:lang w:val="en-US" w:eastAsia="zh-CN" w:bidi="ar"/>
              </w:rPr>
              <w:t>；</w:t>
            </w:r>
          </w:p>
          <w:p w14:paraId="32CB14D9">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6</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支持MP3播放功能，一键顺序播放</w:t>
            </w:r>
            <w:r>
              <w:rPr>
                <w:rFonts w:hint="eastAsia" w:cs="宋体"/>
                <w:b w:val="0"/>
                <w:bCs w:val="0"/>
                <w:i w:val="0"/>
                <w:iCs w:val="0"/>
                <w:color w:val="auto"/>
                <w:kern w:val="0"/>
                <w:sz w:val="20"/>
                <w:szCs w:val="20"/>
                <w:u w:val="none"/>
                <w:lang w:val="en-US" w:eastAsia="zh-CN" w:bidi="ar"/>
              </w:rPr>
              <w:t>；</w:t>
            </w:r>
          </w:p>
          <w:p w14:paraId="6BC2477D">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7</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高亮度时钟显示屏</w:t>
            </w:r>
            <w:r>
              <w:rPr>
                <w:rFonts w:hint="eastAsia" w:cs="宋体"/>
                <w:b w:val="0"/>
                <w:bCs w:val="0"/>
                <w:i w:val="0"/>
                <w:iCs w:val="0"/>
                <w:color w:val="auto"/>
                <w:kern w:val="0"/>
                <w:sz w:val="20"/>
                <w:szCs w:val="20"/>
                <w:u w:val="none"/>
                <w:lang w:val="en-US" w:eastAsia="zh-CN" w:bidi="ar"/>
              </w:rPr>
              <w:t>；</w:t>
            </w:r>
          </w:p>
          <w:p w14:paraId="576CBB1D">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8</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内置麦克风和大功率扬声器，配</w:t>
            </w:r>
            <w:r>
              <w:rPr>
                <w:rFonts w:hint="eastAsia" w:cs="宋体"/>
                <w:b w:val="0"/>
                <w:bCs w:val="0"/>
                <w:i w:val="0"/>
                <w:iCs w:val="0"/>
                <w:color w:val="auto"/>
                <w:kern w:val="0"/>
                <w:sz w:val="20"/>
                <w:szCs w:val="20"/>
                <w:u w:val="none"/>
                <w:lang w:val="en-US" w:eastAsia="zh-CN" w:bidi="ar"/>
              </w:rPr>
              <w:t>不低于</w:t>
            </w:r>
            <w:r>
              <w:rPr>
                <w:rFonts w:hint="eastAsia" w:ascii="宋体" w:hAnsi="宋体" w:eastAsia="宋体" w:cs="宋体"/>
                <w:b w:val="0"/>
                <w:bCs w:val="0"/>
                <w:i w:val="0"/>
                <w:iCs w:val="0"/>
                <w:color w:val="auto"/>
                <w:kern w:val="0"/>
                <w:sz w:val="20"/>
                <w:szCs w:val="20"/>
                <w:u w:val="none"/>
                <w:lang w:val="en-US" w:eastAsia="zh-CN" w:bidi="ar"/>
              </w:rPr>
              <w:t>16G TF卡</w:t>
            </w:r>
            <w:r>
              <w:rPr>
                <w:rFonts w:hint="eastAsia" w:cs="宋体"/>
                <w:b w:val="0"/>
                <w:bCs w:val="0"/>
                <w:i w:val="0"/>
                <w:iCs w:val="0"/>
                <w:color w:val="auto"/>
                <w:kern w:val="0"/>
                <w:sz w:val="20"/>
                <w:szCs w:val="20"/>
                <w:u w:val="none"/>
                <w:lang w:val="en-US" w:eastAsia="zh-CN" w:bidi="ar"/>
              </w:rPr>
              <w:t>；</w:t>
            </w:r>
          </w:p>
          <w:p w14:paraId="07890FC8">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9</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支持SOS按键，亲情通话键，语音广播留言键</w:t>
            </w:r>
            <w:r>
              <w:rPr>
                <w:rFonts w:hint="eastAsia" w:cs="宋体"/>
                <w:b w:val="0"/>
                <w:bCs w:val="0"/>
                <w:i w:val="0"/>
                <w:iCs w:val="0"/>
                <w:color w:val="auto"/>
                <w:kern w:val="0"/>
                <w:sz w:val="20"/>
                <w:szCs w:val="20"/>
                <w:u w:val="none"/>
                <w:lang w:val="en-US" w:eastAsia="zh-CN" w:bidi="ar"/>
              </w:rPr>
              <w:t>；</w:t>
            </w:r>
          </w:p>
          <w:p w14:paraId="428E81BF">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10</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支持收音机按键，音乐播放键</w:t>
            </w:r>
            <w:r>
              <w:rPr>
                <w:rFonts w:hint="eastAsia" w:cs="宋体"/>
                <w:b w:val="0"/>
                <w:bCs w:val="0"/>
                <w:i w:val="0"/>
                <w:iCs w:val="0"/>
                <w:color w:val="auto"/>
                <w:kern w:val="0"/>
                <w:sz w:val="20"/>
                <w:szCs w:val="20"/>
                <w:u w:val="none"/>
                <w:lang w:val="en-US" w:eastAsia="zh-CN" w:bidi="ar"/>
              </w:rPr>
              <w:t>；</w:t>
            </w:r>
          </w:p>
          <w:p w14:paraId="6DC1E358">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11</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支持TF卡槽、SIM卡槽、MICRO USB充电口</w:t>
            </w:r>
            <w:r>
              <w:rPr>
                <w:rFonts w:hint="eastAsia" w:cs="宋体"/>
                <w:b w:val="0"/>
                <w:bCs w:val="0"/>
                <w:i w:val="0"/>
                <w:iCs w:val="0"/>
                <w:color w:val="auto"/>
                <w:kern w:val="0"/>
                <w:sz w:val="20"/>
                <w:szCs w:val="20"/>
                <w:u w:val="none"/>
                <w:lang w:val="en-US" w:eastAsia="zh-CN" w:bidi="ar"/>
              </w:rPr>
              <w:t>；</w:t>
            </w:r>
          </w:p>
          <w:p w14:paraId="4CE30830">
            <w:pPr>
              <w:keepNext w:val="0"/>
              <w:keepLines w:val="0"/>
              <w:widowControl/>
              <w:suppressLineNumbers w:val="0"/>
              <w:jc w:val="left"/>
              <w:textAlignment w:val="center"/>
              <w:rPr>
                <w:rFonts w:hint="eastAsia"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12</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支持音量调节旋钮</w:t>
            </w:r>
            <w:r>
              <w:rPr>
                <w:rFonts w:hint="eastAsia" w:cs="宋体"/>
                <w:b w:val="0"/>
                <w:bCs w:val="0"/>
                <w:i w:val="0"/>
                <w:iCs w:val="0"/>
                <w:color w:val="auto"/>
                <w:kern w:val="0"/>
                <w:sz w:val="20"/>
                <w:szCs w:val="20"/>
                <w:u w:val="none"/>
                <w:lang w:val="en-US" w:eastAsia="zh-CN" w:bidi="ar"/>
              </w:rPr>
              <w:t>；</w:t>
            </w:r>
          </w:p>
          <w:p w14:paraId="33F8197A">
            <w:pPr>
              <w:keepNext w:val="0"/>
              <w:keepLines w:val="0"/>
              <w:widowControl/>
              <w:suppressLineNumbers w:val="0"/>
              <w:jc w:val="left"/>
              <w:textAlignment w:val="center"/>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★13.产品具备《无线电发射设备型号核准证》；</w:t>
            </w:r>
          </w:p>
          <w:p w14:paraId="188A5B5A">
            <w:pPr>
              <w:keepNext w:val="0"/>
              <w:keepLines w:val="0"/>
              <w:widowControl/>
              <w:suppressLineNumbers w:val="0"/>
              <w:jc w:val="left"/>
              <w:textAlignment w:val="center"/>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14.产品具备《电信设备进网许可证》；</w:t>
            </w:r>
          </w:p>
          <w:p w14:paraId="02AB90A4">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15.产品具备中国国家强制性产品认证3C证书。</w:t>
            </w:r>
          </w:p>
        </w:tc>
        <w:tc>
          <w:tcPr>
            <w:tcW w:w="450" w:type="dxa"/>
            <w:vAlign w:val="center"/>
          </w:tcPr>
          <w:p w14:paraId="2FCB509F">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个</w:t>
            </w:r>
          </w:p>
        </w:tc>
        <w:tc>
          <w:tcPr>
            <w:tcW w:w="863" w:type="dxa"/>
            <w:vAlign w:val="center"/>
          </w:tcPr>
          <w:p w14:paraId="65FF2BD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543 </w:t>
            </w:r>
          </w:p>
        </w:tc>
      </w:tr>
      <w:tr w14:paraId="3C15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459ABD4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570" w:type="dxa"/>
            <w:vMerge w:val="continue"/>
            <w:vAlign w:val="center"/>
          </w:tcPr>
          <w:p w14:paraId="4E0255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585" w:type="dxa"/>
            <w:vMerge w:val="continue"/>
            <w:vAlign w:val="center"/>
          </w:tcPr>
          <w:p w14:paraId="6E0DCAD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75" w:type="dxa"/>
            <w:vMerge w:val="continue"/>
            <w:vAlign w:val="center"/>
          </w:tcPr>
          <w:p w14:paraId="4FBC3EE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15" w:type="dxa"/>
            <w:gridSpan w:val="2"/>
            <w:vMerge w:val="continue"/>
            <w:vAlign w:val="center"/>
          </w:tcPr>
          <w:p w14:paraId="75CF18D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00" w:type="dxa"/>
            <w:vAlign w:val="center"/>
          </w:tcPr>
          <w:p w14:paraId="77FEAE1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银龄守护卡</w:t>
            </w:r>
          </w:p>
        </w:tc>
        <w:tc>
          <w:tcPr>
            <w:tcW w:w="3420" w:type="dxa"/>
            <w:vAlign w:val="center"/>
          </w:tcPr>
          <w:p w14:paraId="05A8AC5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通信方式：NB/4G/WiFi/蓝牙/zigbee并包含3年通讯费</w:t>
            </w:r>
            <w:r>
              <w:rPr>
                <w:rFonts w:hint="eastAsia" w:cs="宋体"/>
                <w:b w:val="0"/>
                <w:bCs w:val="0"/>
                <w:i w:val="0"/>
                <w:iCs w:val="0"/>
                <w:color w:val="auto"/>
                <w:kern w:val="0"/>
                <w:sz w:val="20"/>
                <w:szCs w:val="20"/>
                <w:u w:val="none"/>
                <w:lang w:val="en-US" w:eastAsia="zh-CN" w:bidi="ar"/>
              </w:rPr>
              <w:t>；</w:t>
            </w:r>
          </w:p>
          <w:p w14:paraId="196E604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2</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SOS一键求救，可用手机电话语音、短信、微信等多种通知手段，同时向老人子女、社区政府等发出报警信息</w:t>
            </w:r>
            <w:r>
              <w:rPr>
                <w:rFonts w:hint="eastAsia" w:cs="宋体"/>
                <w:b w:val="0"/>
                <w:bCs w:val="0"/>
                <w:i w:val="0"/>
                <w:iCs w:val="0"/>
                <w:color w:val="auto"/>
                <w:kern w:val="0"/>
                <w:sz w:val="20"/>
                <w:szCs w:val="20"/>
                <w:u w:val="none"/>
                <w:lang w:val="en-US" w:eastAsia="zh-CN" w:bidi="ar"/>
              </w:rPr>
              <w:t>；</w:t>
            </w:r>
          </w:p>
          <w:p w14:paraId="3F9C4173">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3</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可设置多个呼叫号码，支持白名单模式</w:t>
            </w:r>
            <w:r>
              <w:rPr>
                <w:rFonts w:hint="eastAsia" w:cs="宋体"/>
                <w:b w:val="0"/>
                <w:bCs w:val="0"/>
                <w:i w:val="0"/>
                <w:iCs w:val="0"/>
                <w:color w:val="auto"/>
                <w:kern w:val="0"/>
                <w:sz w:val="20"/>
                <w:szCs w:val="20"/>
                <w:u w:val="none"/>
                <w:lang w:val="en-US" w:eastAsia="zh-CN" w:bidi="ar"/>
              </w:rPr>
              <w:t>；</w:t>
            </w:r>
          </w:p>
          <w:p w14:paraId="1671F353">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4</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支持NFC</w:t>
            </w:r>
            <w:r>
              <w:rPr>
                <w:rFonts w:hint="eastAsia" w:cs="宋体"/>
                <w:b w:val="0"/>
                <w:bCs w:val="0"/>
                <w:i w:val="0"/>
                <w:iCs w:val="0"/>
                <w:color w:val="auto"/>
                <w:kern w:val="0"/>
                <w:sz w:val="20"/>
                <w:szCs w:val="20"/>
                <w:u w:val="none"/>
                <w:lang w:val="en-US" w:eastAsia="zh-CN" w:bidi="ar"/>
              </w:rPr>
              <w:t>；</w:t>
            </w:r>
          </w:p>
          <w:p w14:paraId="69115387">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支持自定义时段禁用设置</w:t>
            </w:r>
            <w:r>
              <w:rPr>
                <w:rFonts w:hint="eastAsia" w:cs="宋体"/>
                <w:b w:val="0"/>
                <w:bCs w:val="0"/>
                <w:i w:val="0"/>
                <w:iCs w:val="0"/>
                <w:color w:val="auto"/>
                <w:kern w:val="0"/>
                <w:sz w:val="20"/>
                <w:szCs w:val="20"/>
                <w:u w:val="none"/>
                <w:lang w:val="en-US" w:eastAsia="zh-CN" w:bidi="ar"/>
              </w:rPr>
              <w:t>；</w:t>
            </w:r>
          </w:p>
          <w:p w14:paraId="3C614CCA">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6</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支持支付宝付款码</w:t>
            </w:r>
            <w:r>
              <w:rPr>
                <w:rFonts w:hint="eastAsia" w:cs="宋体"/>
                <w:b w:val="0"/>
                <w:bCs w:val="0"/>
                <w:i w:val="0"/>
                <w:iCs w:val="0"/>
                <w:color w:val="auto"/>
                <w:kern w:val="0"/>
                <w:sz w:val="20"/>
                <w:szCs w:val="20"/>
                <w:u w:val="none"/>
                <w:lang w:val="en-US" w:eastAsia="zh-CN" w:bidi="ar"/>
              </w:rPr>
              <w:t>；</w:t>
            </w:r>
          </w:p>
          <w:p w14:paraId="573AFC8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7</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支持不同频率的定位上报</w:t>
            </w:r>
            <w:r>
              <w:rPr>
                <w:rFonts w:hint="eastAsia" w:cs="宋体"/>
                <w:b w:val="0"/>
                <w:bCs w:val="0"/>
                <w:i w:val="0"/>
                <w:iCs w:val="0"/>
                <w:color w:val="auto"/>
                <w:kern w:val="0"/>
                <w:sz w:val="20"/>
                <w:szCs w:val="20"/>
                <w:u w:val="none"/>
                <w:lang w:val="en-US" w:eastAsia="zh-CN" w:bidi="ar"/>
              </w:rPr>
              <w:t>；</w:t>
            </w:r>
          </w:p>
          <w:p w14:paraId="29850AD7">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8.</w:t>
            </w:r>
            <w:bookmarkStart w:id="26" w:name="OLE_LINK21"/>
            <w:r>
              <w:rPr>
                <w:rFonts w:hint="eastAsia" w:cs="宋体"/>
                <w:b w:val="0"/>
                <w:bCs w:val="0"/>
                <w:i w:val="0"/>
                <w:iCs w:val="0"/>
                <w:color w:val="auto"/>
                <w:kern w:val="0"/>
                <w:sz w:val="20"/>
                <w:szCs w:val="20"/>
                <w:u w:val="none"/>
                <w:lang w:val="en-US" w:eastAsia="zh-CN" w:bidi="ar"/>
              </w:rPr>
              <w:t>产品</w:t>
            </w:r>
            <w:bookmarkEnd w:id="26"/>
            <w:r>
              <w:rPr>
                <w:rFonts w:hint="eastAsia" w:ascii="宋体" w:hAnsi="宋体" w:eastAsia="宋体" w:cs="宋体"/>
                <w:b w:val="0"/>
                <w:bCs w:val="0"/>
                <w:i w:val="0"/>
                <w:iCs w:val="0"/>
                <w:color w:val="auto"/>
                <w:kern w:val="0"/>
                <w:sz w:val="20"/>
                <w:szCs w:val="20"/>
                <w:u w:val="none"/>
                <w:lang w:val="en-US" w:eastAsia="zh-CN" w:bidi="ar"/>
              </w:rPr>
              <w:t>具备《无线电发射设备型号核准证》；</w:t>
            </w:r>
          </w:p>
          <w:p w14:paraId="2C0048E6">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9.</w:t>
            </w:r>
            <w:bookmarkStart w:id="27" w:name="OLE_LINK16"/>
            <w:r>
              <w:rPr>
                <w:rFonts w:hint="eastAsia" w:cs="宋体"/>
                <w:b w:val="0"/>
                <w:bCs w:val="0"/>
                <w:i w:val="0"/>
                <w:iCs w:val="0"/>
                <w:color w:val="auto"/>
                <w:kern w:val="0"/>
                <w:sz w:val="20"/>
                <w:szCs w:val="20"/>
                <w:u w:val="none"/>
                <w:lang w:val="en-US" w:eastAsia="zh-CN" w:bidi="ar"/>
              </w:rPr>
              <w:t>产品</w:t>
            </w:r>
            <w:r>
              <w:rPr>
                <w:rFonts w:hint="eastAsia" w:ascii="宋体" w:hAnsi="宋体" w:eastAsia="宋体" w:cs="宋体"/>
                <w:b w:val="0"/>
                <w:bCs w:val="0"/>
                <w:i w:val="0"/>
                <w:iCs w:val="0"/>
                <w:color w:val="auto"/>
                <w:kern w:val="0"/>
                <w:sz w:val="20"/>
                <w:szCs w:val="20"/>
                <w:u w:val="none"/>
                <w:lang w:val="en-US" w:eastAsia="zh-CN" w:bidi="ar"/>
              </w:rPr>
              <w:t>具备</w:t>
            </w:r>
            <w:bookmarkEnd w:id="27"/>
            <w:r>
              <w:rPr>
                <w:rFonts w:hint="eastAsia" w:ascii="宋体" w:hAnsi="宋体" w:eastAsia="宋体" w:cs="宋体"/>
                <w:b w:val="0"/>
                <w:bCs w:val="0"/>
                <w:i w:val="0"/>
                <w:iCs w:val="0"/>
                <w:color w:val="auto"/>
                <w:kern w:val="0"/>
                <w:sz w:val="20"/>
                <w:szCs w:val="20"/>
                <w:u w:val="none"/>
                <w:lang w:val="en-US" w:eastAsia="zh-CN" w:bidi="ar"/>
              </w:rPr>
              <w:t>《电信设备进网许可证》；</w:t>
            </w:r>
          </w:p>
          <w:p w14:paraId="4E75895B">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10.</w:t>
            </w:r>
            <w:r>
              <w:rPr>
                <w:rFonts w:hint="eastAsia" w:cs="宋体"/>
                <w:b w:val="0"/>
                <w:bCs w:val="0"/>
                <w:i w:val="0"/>
                <w:iCs w:val="0"/>
                <w:color w:val="auto"/>
                <w:kern w:val="0"/>
                <w:sz w:val="20"/>
                <w:szCs w:val="20"/>
                <w:u w:val="none"/>
                <w:lang w:val="en-US" w:eastAsia="zh-CN" w:bidi="ar"/>
              </w:rPr>
              <w:t>产品</w:t>
            </w:r>
            <w:r>
              <w:rPr>
                <w:rFonts w:hint="eastAsia" w:ascii="宋体" w:hAnsi="宋体" w:eastAsia="宋体" w:cs="宋体"/>
                <w:b w:val="0"/>
                <w:bCs w:val="0"/>
                <w:i w:val="0"/>
                <w:iCs w:val="0"/>
                <w:color w:val="auto"/>
                <w:kern w:val="0"/>
                <w:sz w:val="20"/>
                <w:szCs w:val="20"/>
                <w:u w:val="none"/>
                <w:lang w:val="en-US" w:eastAsia="zh-CN" w:bidi="ar"/>
              </w:rPr>
              <w:t>具备中国国家强制性产品认证3C证书</w:t>
            </w:r>
            <w:r>
              <w:rPr>
                <w:rFonts w:hint="eastAsia" w:cs="宋体"/>
                <w:b w:val="0"/>
                <w:bCs w:val="0"/>
                <w:i w:val="0"/>
                <w:iCs w:val="0"/>
                <w:color w:val="auto"/>
                <w:kern w:val="0"/>
                <w:sz w:val="20"/>
                <w:szCs w:val="20"/>
                <w:u w:val="none"/>
                <w:lang w:val="en-US" w:eastAsia="zh-CN" w:bidi="ar"/>
              </w:rPr>
              <w:t>。</w:t>
            </w:r>
          </w:p>
        </w:tc>
        <w:tc>
          <w:tcPr>
            <w:tcW w:w="450" w:type="dxa"/>
            <w:vAlign w:val="center"/>
          </w:tcPr>
          <w:p w14:paraId="2152C612">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个</w:t>
            </w:r>
          </w:p>
        </w:tc>
        <w:tc>
          <w:tcPr>
            <w:tcW w:w="863" w:type="dxa"/>
            <w:vAlign w:val="center"/>
          </w:tcPr>
          <w:p w14:paraId="1AF4D9C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502 </w:t>
            </w:r>
          </w:p>
        </w:tc>
      </w:tr>
      <w:tr w14:paraId="5647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6C66DBF0">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17</w:t>
            </w:r>
          </w:p>
        </w:tc>
        <w:tc>
          <w:tcPr>
            <w:tcW w:w="570" w:type="dxa"/>
            <w:vMerge w:val="restart"/>
            <w:vAlign w:val="center"/>
          </w:tcPr>
          <w:p w14:paraId="0D946DF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生命体征监测设备</w:t>
            </w:r>
          </w:p>
        </w:tc>
        <w:tc>
          <w:tcPr>
            <w:tcW w:w="585" w:type="dxa"/>
            <w:vMerge w:val="restart"/>
            <w:vAlign w:val="center"/>
          </w:tcPr>
          <w:p w14:paraId="6B5AD529">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智能腕表</w:t>
            </w:r>
          </w:p>
        </w:tc>
        <w:tc>
          <w:tcPr>
            <w:tcW w:w="1575" w:type="dxa"/>
            <w:vMerge w:val="restart"/>
            <w:vAlign w:val="center"/>
          </w:tcPr>
          <w:p w14:paraId="501750E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动态监测和记录老年人呼吸、心率等参数，发现异常自动提醒</w:t>
            </w:r>
          </w:p>
        </w:tc>
        <w:tc>
          <w:tcPr>
            <w:tcW w:w="615" w:type="dxa"/>
            <w:gridSpan w:val="2"/>
            <w:vMerge w:val="restart"/>
            <w:vAlign w:val="center"/>
          </w:tcPr>
          <w:p w14:paraId="66C2539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基础</w:t>
            </w:r>
            <w:r>
              <w:rPr>
                <w:rFonts w:hint="eastAsia" w:cs="宋体"/>
                <w:i w:val="0"/>
                <w:iCs w:val="0"/>
                <w:color w:val="auto"/>
                <w:kern w:val="0"/>
                <w:sz w:val="20"/>
                <w:szCs w:val="20"/>
                <w:u w:val="none"/>
                <w:lang w:val="en-US" w:eastAsia="zh-CN" w:bidi="ar"/>
              </w:rPr>
              <w:t>（依据用户需求配置）</w:t>
            </w:r>
          </w:p>
        </w:tc>
        <w:tc>
          <w:tcPr>
            <w:tcW w:w="600" w:type="dxa"/>
            <w:vAlign w:val="center"/>
          </w:tcPr>
          <w:p w14:paraId="22DB887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毫米波睡眠体征监护仪（睡眠状态使用）</w:t>
            </w:r>
          </w:p>
        </w:tc>
        <w:tc>
          <w:tcPr>
            <w:tcW w:w="3420" w:type="dxa"/>
            <w:vAlign w:val="center"/>
          </w:tcPr>
          <w:p w14:paraId="0240FC04">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w:t>
            </w:r>
            <w:r>
              <w:rPr>
                <w:rFonts w:hint="eastAsia" w:ascii="宋体" w:hAnsi="宋体" w:eastAsia="宋体" w:cs="宋体"/>
                <w:b w:val="0"/>
                <w:bCs w:val="0"/>
                <w:i w:val="0"/>
                <w:iCs w:val="0"/>
                <w:color w:val="auto"/>
                <w:kern w:val="0"/>
                <w:sz w:val="20"/>
                <w:szCs w:val="20"/>
                <w:u w:val="none"/>
                <w:lang w:val="en-US" w:eastAsia="zh-CN" w:bidi="ar"/>
              </w:rPr>
              <w:t>.通信方式：NB/4G/WiFi/蓝牙/zigbee并包含3年通讯费</w:t>
            </w:r>
            <w:r>
              <w:rPr>
                <w:rFonts w:hint="eastAsia" w:cs="宋体"/>
                <w:b w:val="0"/>
                <w:bCs w:val="0"/>
                <w:i w:val="0"/>
                <w:iCs w:val="0"/>
                <w:color w:val="auto"/>
                <w:kern w:val="0"/>
                <w:sz w:val="20"/>
                <w:szCs w:val="20"/>
                <w:u w:val="none"/>
                <w:lang w:val="en-US" w:eastAsia="zh-CN" w:bidi="ar"/>
              </w:rPr>
              <w:t>；</w:t>
            </w:r>
          </w:p>
          <w:p w14:paraId="0FF097F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2</w:t>
            </w:r>
            <w:r>
              <w:rPr>
                <w:rFonts w:hint="eastAsia" w:ascii="宋体" w:hAnsi="宋体" w:eastAsia="宋体" w:cs="宋体"/>
                <w:b w:val="0"/>
                <w:bCs w:val="0"/>
                <w:i w:val="0"/>
                <w:iCs w:val="0"/>
                <w:color w:val="auto"/>
                <w:kern w:val="0"/>
                <w:sz w:val="20"/>
                <w:szCs w:val="20"/>
                <w:u w:val="none"/>
                <w:lang w:val="en-US" w:eastAsia="zh-CN" w:bidi="ar"/>
              </w:rPr>
              <w:t>.</w:t>
            </w:r>
            <w:r>
              <w:rPr>
                <w:rFonts w:hint="eastAsia" w:cs="宋体"/>
                <w:b w:val="0"/>
                <w:bCs w:val="0"/>
                <w:i w:val="0"/>
                <w:iCs w:val="0"/>
                <w:color w:val="auto"/>
                <w:kern w:val="0"/>
                <w:sz w:val="20"/>
                <w:szCs w:val="20"/>
                <w:u w:val="none"/>
                <w:lang w:val="en-US" w:eastAsia="zh-CN" w:bidi="ar"/>
              </w:rPr>
              <w:t>支持蓝牙连接；</w:t>
            </w:r>
          </w:p>
          <w:p w14:paraId="31B70EC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3</w:t>
            </w:r>
            <w:r>
              <w:rPr>
                <w:rFonts w:hint="eastAsia" w:ascii="宋体" w:hAnsi="宋体" w:eastAsia="宋体" w:cs="宋体"/>
                <w:b w:val="0"/>
                <w:bCs w:val="0"/>
                <w:i w:val="0"/>
                <w:iCs w:val="0"/>
                <w:color w:val="auto"/>
                <w:kern w:val="0"/>
                <w:sz w:val="20"/>
                <w:szCs w:val="20"/>
                <w:u w:val="none"/>
                <w:lang w:val="en-US" w:eastAsia="zh-CN" w:bidi="ar"/>
              </w:rPr>
              <w:t>.</w:t>
            </w:r>
            <w:r>
              <w:rPr>
                <w:rFonts w:hint="eastAsia" w:cs="宋体"/>
                <w:b w:val="0"/>
                <w:bCs w:val="0"/>
                <w:i w:val="0"/>
                <w:iCs w:val="0"/>
                <w:color w:val="auto"/>
                <w:kern w:val="0"/>
                <w:sz w:val="20"/>
                <w:szCs w:val="20"/>
                <w:u w:val="none"/>
                <w:lang w:val="en-US" w:eastAsia="zh-CN" w:bidi="ar"/>
              </w:rPr>
              <w:t>支持</w:t>
            </w:r>
            <w:r>
              <w:rPr>
                <w:rFonts w:hint="eastAsia" w:ascii="宋体" w:hAnsi="宋体" w:eastAsia="宋体" w:cs="宋体"/>
                <w:b w:val="0"/>
                <w:bCs w:val="0"/>
                <w:i w:val="0"/>
                <w:iCs w:val="0"/>
                <w:color w:val="auto"/>
                <w:kern w:val="0"/>
                <w:sz w:val="20"/>
                <w:szCs w:val="20"/>
                <w:u w:val="none"/>
                <w:lang w:val="en-US" w:eastAsia="zh-CN" w:bidi="ar"/>
              </w:rPr>
              <w:t>当人体胸腔位于体征检测有效范围内能检测人体的心率、呼吸</w:t>
            </w:r>
            <w:r>
              <w:rPr>
                <w:rFonts w:hint="eastAsia" w:cs="宋体"/>
                <w:b w:val="0"/>
                <w:bCs w:val="0"/>
                <w:i w:val="0"/>
                <w:iCs w:val="0"/>
                <w:color w:val="auto"/>
                <w:kern w:val="0"/>
                <w:sz w:val="20"/>
                <w:szCs w:val="20"/>
                <w:u w:val="none"/>
                <w:lang w:val="en-US" w:eastAsia="zh-CN" w:bidi="ar"/>
              </w:rPr>
              <w:t>；</w:t>
            </w:r>
          </w:p>
          <w:p w14:paraId="30FB9F8E">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4</w:t>
            </w:r>
            <w:r>
              <w:rPr>
                <w:rFonts w:hint="eastAsia" w:ascii="宋体" w:hAnsi="宋体" w:eastAsia="宋体" w:cs="宋体"/>
                <w:b w:val="0"/>
                <w:bCs w:val="0"/>
                <w:i w:val="0"/>
                <w:iCs w:val="0"/>
                <w:color w:val="auto"/>
                <w:kern w:val="0"/>
                <w:sz w:val="20"/>
                <w:szCs w:val="20"/>
                <w:u w:val="none"/>
                <w:lang w:val="en-US" w:eastAsia="zh-CN" w:bidi="ar"/>
              </w:rPr>
              <w:t>.</w:t>
            </w:r>
            <w:r>
              <w:rPr>
                <w:rFonts w:hint="eastAsia" w:cs="宋体"/>
                <w:b w:val="0"/>
                <w:bCs w:val="0"/>
                <w:i w:val="0"/>
                <w:iCs w:val="0"/>
                <w:color w:val="auto"/>
                <w:kern w:val="0"/>
                <w:sz w:val="20"/>
                <w:szCs w:val="20"/>
                <w:u w:val="none"/>
                <w:lang w:val="en-US" w:eastAsia="zh-CN" w:bidi="ar"/>
              </w:rPr>
              <w:t>支持</w:t>
            </w:r>
            <w:r>
              <w:rPr>
                <w:rFonts w:hint="eastAsia" w:ascii="宋体" w:hAnsi="宋体" w:eastAsia="宋体" w:cs="宋体"/>
                <w:b w:val="0"/>
                <w:bCs w:val="0"/>
                <w:i w:val="0"/>
                <w:iCs w:val="0"/>
                <w:color w:val="auto"/>
                <w:kern w:val="0"/>
                <w:sz w:val="20"/>
                <w:szCs w:val="20"/>
                <w:u w:val="none"/>
                <w:lang w:val="en-US" w:eastAsia="zh-CN" w:bidi="ar"/>
              </w:rPr>
              <w:t>生命体征异常报警</w:t>
            </w:r>
            <w:r>
              <w:rPr>
                <w:rFonts w:hint="eastAsia" w:cs="宋体"/>
                <w:b w:val="0"/>
                <w:bCs w:val="0"/>
                <w:i w:val="0"/>
                <w:iCs w:val="0"/>
                <w:color w:val="auto"/>
                <w:kern w:val="0"/>
                <w:sz w:val="20"/>
                <w:szCs w:val="20"/>
                <w:u w:val="none"/>
                <w:lang w:val="en-US" w:eastAsia="zh-CN" w:bidi="ar"/>
              </w:rPr>
              <w:t>；</w:t>
            </w:r>
          </w:p>
          <w:p w14:paraId="46FC987E">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5</w:t>
            </w:r>
            <w:r>
              <w:rPr>
                <w:rFonts w:hint="eastAsia" w:ascii="宋体" w:hAnsi="宋体" w:eastAsia="宋体" w:cs="宋体"/>
                <w:b w:val="0"/>
                <w:bCs w:val="0"/>
                <w:i w:val="0"/>
                <w:iCs w:val="0"/>
                <w:color w:val="auto"/>
                <w:kern w:val="0"/>
                <w:sz w:val="20"/>
                <w:szCs w:val="20"/>
                <w:u w:val="none"/>
                <w:lang w:val="en-US" w:eastAsia="zh-CN" w:bidi="ar"/>
              </w:rPr>
              <w:t>.</w:t>
            </w:r>
            <w:r>
              <w:rPr>
                <w:rFonts w:hint="eastAsia" w:cs="宋体"/>
                <w:b w:val="0"/>
                <w:bCs w:val="0"/>
                <w:i w:val="0"/>
                <w:iCs w:val="0"/>
                <w:color w:val="auto"/>
                <w:kern w:val="0"/>
                <w:sz w:val="20"/>
                <w:szCs w:val="20"/>
                <w:u w:val="none"/>
                <w:lang w:val="en-US" w:eastAsia="zh-CN" w:bidi="ar"/>
              </w:rPr>
              <w:t>支持</w:t>
            </w:r>
            <w:r>
              <w:rPr>
                <w:rFonts w:hint="eastAsia" w:ascii="宋体" w:hAnsi="宋体" w:eastAsia="宋体" w:cs="宋体"/>
                <w:b w:val="0"/>
                <w:bCs w:val="0"/>
                <w:i w:val="0"/>
                <w:iCs w:val="0"/>
                <w:color w:val="auto"/>
                <w:kern w:val="0"/>
                <w:sz w:val="20"/>
                <w:szCs w:val="20"/>
                <w:u w:val="none"/>
                <w:lang w:val="en-US" w:eastAsia="zh-CN" w:bidi="ar"/>
              </w:rPr>
              <w:t>人体胸腔位置位于体征检测有效范围内，且人体呈躺卧姿态时，未检测到心跳和呼吸，保持该状态达到设定的持续时间后报警</w:t>
            </w:r>
            <w:r>
              <w:rPr>
                <w:rFonts w:hint="eastAsia" w:cs="宋体"/>
                <w:b w:val="0"/>
                <w:bCs w:val="0"/>
                <w:i w:val="0"/>
                <w:iCs w:val="0"/>
                <w:color w:val="auto"/>
                <w:kern w:val="0"/>
                <w:sz w:val="20"/>
                <w:szCs w:val="20"/>
                <w:u w:val="none"/>
                <w:lang w:val="en-US" w:eastAsia="zh-CN" w:bidi="ar"/>
              </w:rPr>
              <w:t>；</w:t>
            </w:r>
          </w:p>
          <w:p w14:paraId="217CE141">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6</w:t>
            </w:r>
            <w:r>
              <w:rPr>
                <w:rFonts w:hint="eastAsia" w:ascii="宋体" w:hAnsi="宋体" w:eastAsia="宋体" w:cs="宋体"/>
                <w:b w:val="0"/>
                <w:bCs w:val="0"/>
                <w:i w:val="0"/>
                <w:iCs w:val="0"/>
                <w:color w:val="auto"/>
                <w:kern w:val="0"/>
                <w:sz w:val="20"/>
                <w:szCs w:val="20"/>
                <w:u w:val="none"/>
                <w:lang w:val="en-US" w:eastAsia="zh-CN" w:bidi="ar"/>
              </w:rPr>
              <w:t>.</w:t>
            </w:r>
            <w:r>
              <w:rPr>
                <w:rFonts w:hint="eastAsia" w:cs="宋体"/>
                <w:b w:val="0"/>
                <w:bCs w:val="0"/>
                <w:i w:val="0"/>
                <w:iCs w:val="0"/>
                <w:color w:val="auto"/>
                <w:kern w:val="0"/>
                <w:sz w:val="20"/>
                <w:szCs w:val="20"/>
                <w:u w:val="none"/>
                <w:lang w:val="en-US" w:eastAsia="zh-CN" w:bidi="ar"/>
              </w:rPr>
              <w:t>支持</w:t>
            </w:r>
            <w:r>
              <w:rPr>
                <w:rFonts w:hint="eastAsia" w:ascii="宋体" w:hAnsi="宋体" w:eastAsia="宋体" w:cs="宋体"/>
                <w:b w:val="0"/>
                <w:bCs w:val="0"/>
                <w:i w:val="0"/>
                <w:iCs w:val="0"/>
                <w:color w:val="auto"/>
                <w:kern w:val="0"/>
                <w:sz w:val="20"/>
                <w:szCs w:val="20"/>
                <w:u w:val="none"/>
                <w:lang w:val="en-US" w:eastAsia="zh-CN" w:bidi="ar"/>
              </w:rPr>
              <w:t>夜间长时间离床未归提醒</w:t>
            </w:r>
            <w:r>
              <w:rPr>
                <w:rFonts w:hint="eastAsia" w:cs="宋体"/>
                <w:b w:val="0"/>
                <w:bCs w:val="0"/>
                <w:i w:val="0"/>
                <w:iCs w:val="0"/>
                <w:color w:val="auto"/>
                <w:kern w:val="0"/>
                <w:sz w:val="20"/>
                <w:szCs w:val="20"/>
                <w:u w:val="none"/>
                <w:lang w:val="en-US" w:eastAsia="zh-CN" w:bidi="ar"/>
              </w:rPr>
              <w:t>。</w:t>
            </w:r>
          </w:p>
          <w:p w14:paraId="068F70AC">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7</w:t>
            </w:r>
            <w:r>
              <w:rPr>
                <w:rFonts w:hint="eastAsia" w:ascii="宋体" w:hAnsi="宋体" w:eastAsia="宋体" w:cs="宋体"/>
                <w:b w:val="0"/>
                <w:bCs w:val="0"/>
                <w:i w:val="0"/>
                <w:iCs w:val="0"/>
                <w:color w:val="auto"/>
                <w:kern w:val="0"/>
                <w:sz w:val="20"/>
                <w:szCs w:val="20"/>
                <w:u w:val="none"/>
                <w:lang w:val="en-US" w:eastAsia="zh-CN" w:bidi="ar"/>
              </w:rPr>
              <w:t>.</w:t>
            </w:r>
            <w:r>
              <w:rPr>
                <w:rFonts w:hint="eastAsia" w:cs="宋体"/>
                <w:b w:val="0"/>
                <w:bCs w:val="0"/>
                <w:i w:val="0"/>
                <w:iCs w:val="0"/>
                <w:color w:val="auto"/>
                <w:kern w:val="0"/>
                <w:sz w:val="20"/>
                <w:szCs w:val="20"/>
                <w:u w:val="none"/>
                <w:lang w:val="en-US" w:eastAsia="zh-CN" w:bidi="ar"/>
              </w:rPr>
              <w:t>支持</w:t>
            </w:r>
            <w:r>
              <w:rPr>
                <w:rFonts w:hint="eastAsia" w:ascii="宋体" w:hAnsi="宋体" w:eastAsia="宋体" w:cs="宋体"/>
                <w:b w:val="0"/>
                <w:bCs w:val="0"/>
                <w:i w:val="0"/>
                <w:iCs w:val="0"/>
                <w:color w:val="auto"/>
                <w:kern w:val="0"/>
                <w:sz w:val="20"/>
                <w:szCs w:val="20"/>
                <w:u w:val="none"/>
                <w:lang w:val="en-US" w:eastAsia="zh-CN" w:bidi="ar"/>
              </w:rPr>
              <w:t>当用户离开床面范围，持续超过设定时长后，判断为离床未归，将进行报警</w:t>
            </w:r>
            <w:r>
              <w:rPr>
                <w:rFonts w:hint="eastAsia" w:cs="宋体"/>
                <w:b w:val="0"/>
                <w:bCs w:val="0"/>
                <w:i w:val="0"/>
                <w:iCs w:val="0"/>
                <w:color w:val="auto"/>
                <w:kern w:val="0"/>
                <w:sz w:val="20"/>
                <w:szCs w:val="20"/>
                <w:u w:val="none"/>
                <w:lang w:val="en-US" w:eastAsia="zh-CN" w:bidi="ar"/>
              </w:rPr>
              <w:t>；</w:t>
            </w:r>
          </w:p>
          <w:p w14:paraId="3AA03C0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8</w:t>
            </w:r>
            <w:r>
              <w:rPr>
                <w:rFonts w:hint="eastAsia" w:ascii="宋体" w:hAnsi="宋体" w:eastAsia="宋体" w:cs="宋体"/>
                <w:b w:val="0"/>
                <w:bCs w:val="0"/>
                <w:i w:val="0"/>
                <w:iCs w:val="0"/>
                <w:color w:val="auto"/>
                <w:kern w:val="0"/>
                <w:sz w:val="20"/>
                <w:szCs w:val="20"/>
                <w:u w:val="none"/>
                <w:lang w:val="en-US" w:eastAsia="zh-CN" w:bidi="ar"/>
              </w:rPr>
              <w:t>.</w:t>
            </w:r>
            <w:r>
              <w:rPr>
                <w:rFonts w:hint="eastAsia" w:cs="宋体"/>
                <w:b w:val="0"/>
                <w:bCs w:val="0"/>
                <w:i w:val="0"/>
                <w:iCs w:val="0"/>
                <w:color w:val="auto"/>
                <w:kern w:val="0"/>
                <w:sz w:val="20"/>
                <w:szCs w:val="20"/>
                <w:u w:val="none"/>
                <w:lang w:val="en-US" w:eastAsia="zh-CN" w:bidi="ar"/>
              </w:rPr>
              <w:t>支持</w:t>
            </w:r>
            <w:r>
              <w:rPr>
                <w:rFonts w:hint="eastAsia" w:ascii="宋体" w:hAnsi="宋体" w:eastAsia="宋体" w:cs="宋体"/>
                <w:b w:val="0"/>
                <w:bCs w:val="0"/>
                <w:i w:val="0"/>
                <w:iCs w:val="0"/>
                <w:color w:val="auto"/>
                <w:kern w:val="0"/>
                <w:sz w:val="20"/>
                <w:szCs w:val="20"/>
                <w:u w:val="none"/>
                <w:lang w:val="en-US" w:eastAsia="zh-CN" w:bidi="ar"/>
              </w:rPr>
              <w:t>长时间未离床提醒</w:t>
            </w:r>
            <w:r>
              <w:rPr>
                <w:rFonts w:hint="eastAsia" w:cs="宋体"/>
                <w:b w:val="0"/>
                <w:bCs w:val="0"/>
                <w:i w:val="0"/>
                <w:iCs w:val="0"/>
                <w:color w:val="auto"/>
                <w:kern w:val="0"/>
                <w:sz w:val="20"/>
                <w:szCs w:val="20"/>
                <w:u w:val="none"/>
                <w:lang w:val="en-US" w:eastAsia="zh-CN" w:bidi="ar"/>
              </w:rPr>
              <w:t>；</w:t>
            </w:r>
          </w:p>
          <w:p w14:paraId="510D5CC0">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9</w:t>
            </w:r>
            <w:r>
              <w:rPr>
                <w:rFonts w:hint="eastAsia" w:ascii="宋体" w:hAnsi="宋体" w:eastAsia="宋体" w:cs="宋体"/>
                <w:b w:val="0"/>
                <w:bCs w:val="0"/>
                <w:i w:val="0"/>
                <w:iCs w:val="0"/>
                <w:color w:val="auto"/>
                <w:kern w:val="0"/>
                <w:sz w:val="20"/>
                <w:szCs w:val="20"/>
                <w:u w:val="none"/>
                <w:lang w:val="en-US" w:eastAsia="zh-CN" w:bidi="ar"/>
              </w:rPr>
              <w:t>.</w:t>
            </w:r>
            <w:r>
              <w:rPr>
                <w:rFonts w:hint="eastAsia" w:cs="宋体"/>
                <w:b w:val="0"/>
                <w:bCs w:val="0"/>
                <w:i w:val="0"/>
                <w:iCs w:val="0"/>
                <w:color w:val="auto"/>
                <w:kern w:val="0"/>
                <w:sz w:val="20"/>
                <w:szCs w:val="20"/>
                <w:u w:val="none"/>
                <w:lang w:val="en-US" w:eastAsia="zh-CN" w:bidi="ar"/>
              </w:rPr>
              <w:t>支持</w:t>
            </w:r>
            <w:r>
              <w:rPr>
                <w:rFonts w:hint="eastAsia" w:ascii="宋体" w:hAnsi="宋体" w:eastAsia="宋体" w:cs="宋体"/>
                <w:b w:val="0"/>
                <w:bCs w:val="0"/>
                <w:i w:val="0"/>
                <w:iCs w:val="0"/>
                <w:color w:val="auto"/>
                <w:kern w:val="0"/>
                <w:sz w:val="20"/>
                <w:szCs w:val="20"/>
                <w:u w:val="none"/>
                <w:lang w:val="en-US" w:eastAsia="zh-CN" w:bidi="ar"/>
              </w:rPr>
              <w:t>超出睡眠时段结束时间仍检测到有人体在床情况，且持续超过指定时长后，判断为用户因身体原因无法正常起床时发出报警</w:t>
            </w:r>
            <w:r>
              <w:rPr>
                <w:rFonts w:hint="eastAsia" w:cs="宋体"/>
                <w:b w:val="0"/>
                <w:bCs w:val="0"/>
                <w:i w:val="0"/>
                <w:iCs w:val="0"/>
                <w:color w:val="auto"/>
                <w:kern w:val="0"/>
                <w:sz w:val="20"/>
                <w:szCs w:val="20"/>
                <w:u w:val="none"/>
                <w:lang w:val="en-US" w:eastAsia="zh-CN" w:bidi="ar"/>
              </w:rPr>
              <w:t>；</w:t>
            </w:r>
          </w:p>
          <w:p w14:paraId="6AE5E71A">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★10</w:t>
            </w:r>
            <w:r>
              <w:rPr>
                <w:rFonts w:hint="eastAsia" w:ascii="宋体" w:hAnsi="宋体" w:eastAsia="宋体" w:cs="宋体"/>
                <w:b w:val="0"/>
                <w:bCs w:val="0"/>
                <w:i w:val="0"/>
                <w:iCs w:val="0"/>
                <w:color w:val="auto"/>
                <w:kern w:val="0"/>
                <w:sz w:val="20"/>
                <w:szCs w:val="20"/>
                <w:u w:val="none"/>
                <w:lang w:val="en-US" w:eastAsia="zh-CN" w:bidi="ar"/>
              </w:rPr>
              <w:t>.</w:t>
            </w:r>
            <w:r>
              <w:rPr>
                <w:rFonts w:hint="eastAsia" w:cs="宋体"/>
                <w:b w:val="0"/>
                <w:bCs w:val="0"/>
                <w:i w:val="0"/>
                <w:iCs w:val="0"/>
                <w:color w:val="auto"/>
                <w:kern w:val="0"/>
                <w:sz w:val="20"/>
                <w:szCs w:val="20"/>
                <w:u w:val="none"/>
                <w:lang w:val="en-US" w:eastAsia="zh-CN" w:bidi="ar"/>
              </w:rPr>
              <w:t>支持</w:t>
            </w:r>
            <w:r>
              <w:rPr>
                <w:rFonts w:hint="eastAsia" w:ascii="宋体" w:hAnsi="宋体" w:eastAsia="宋体" w:cs="宋体"/>
                <w:b w:val="0"/>
                <w:bCs w:val="0"/>
                <w:i w:val="0"/>
                <w:iCs w:val="0"/>
                <w:color w:val="auto"/>
                <w:kern w:val="0"/>
                <w:sz w:val="20"/>
                <w:szCs w:val="20"/>
                <w:u w:val="none"/>
                <w:lang w:val="en-US" w:eastAsia="zh-CN" w:bidi="ar"/>
              </w:rPr>
              <w:t>床边摔倒报警：当检测到床边出现摔倒情况，包括人体躺卧在床边、坐在床边地上等行为，立即发出报警</w:t>
            </w:r>
            <w:r>
              <w:rPr>
                <w:rFonts w:hint="eastAsia" w:cs="宋体"/>
                <w:b w:val="0"/>
                <w:bCs w:val="0"/>
                <w:i w:val="0"/>
                <w:iCs w:val="0"/>
                <w:color w:val="auto"/>
                <w:kern w:val="0"/>
                <w:sz w:val="20"/>
                <w:szCs w:val="20"/>
                <w:u w:val="none"/>
                <w:lang w:val="en-US" w:eastAsia="zh-CN" w:bidi="ar"/>
              </w:rPr>
              <w:t>；（提供产品功能截图或</w:t>
            </w:r>
            <w:r>
              <w:rPr>
                <w:rFonts w:hint="eastAsia" w:ascii="宋体" w:hAnsi="宋体" w:eastAsia="宋体" w:cs="宋体"/>
                <w:b w:val="0"/>
                <w:bCs w:val="0"/>
                <w:i w:val="0"/>
                <w:iCs w:val="0"/>
                <w:color w:val="auto"/>
                <w:kern w:val="0"/>
                <w:sz w:val="20"/>
                <w:szCs w:val="20"/>
                <w:u w:val="none"/>
                <w:lang w:val="en-US" w:eastAsia="zh-CN" w:bidi="ar"/>
              </w:rPr>
              <w:t>国家认可的第三方检测机构出具的检测报告加盖投标单位公章</w:t>
            </w:r>
            <w:r>
              <w:rPr>
                <w:rFonts w:hint="eastAsia" w:cs="宋体"/>
                <w:b w:val="0"/>
                <w:bCs w:val="0"/>
                <w:i w:val="0"/>
                <w:iCs w:val="0"/>
                <w:color w:val="auto"/>
                <w:kern w:val="0"/>
                <w:sz w:val="20"/>
                <w:szCs w:val="20"/>
                <w:u w:val="none"/>
                <w:lang w:val="en-US" w:eastAsia="zh-CN" w:bidi="ar"/>
              </w:rPr>
              <w:t>）</w:t>
            </w:r>
          </w:p>
          <w:p w14:paraId="650AE5CA">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11</w:t>
            </w:r>
            <w:r>
              <w:rPr>
                <w:rFonts w:hint="eastAsia" w:ascii="宋体" w:hAnsi="宋体" w:eastAsia="宋体" w:cs="宋体"/>
                <w:b w:val="0"/>
                <w:bCs w:val="0"/>
                <w:i w:val="0"/>
                <w:iCs w:val="0"/>
                <w:color w:val="auto"/>
                <w:kern w:val="0"/>
                <w:sz w:val="20"/>
                <w:szCs w:val="20"/>
                <w:u w:val="none"/>
                <w:lang w:val="en-US" w:eastAsia="zh-CN" w:bidi="ar"/>
              </w:rPr>
              <w:t>.</w:t>
            </w:r>
            <w:r>
              <w:rPr>
                <w:rFonts w:hint="eastAsia" w:cs="宋体"/>
                <w:b w:val="0"/>
                <w:bCs w:val="0"/>
                <w:i w:val="0"/>
                <w:iCs w:val="0"/>
                <w:color w:val="auto"/>
                <w:kern w:val="0"/>
                <w:sz w:val="20"/>
                <w:szCs w:val="20"/>
                <w:u w:val="none"/>
                <w:lang w:val="en-US" w:eastAsia="zh-CN" w:bidi="ar"/>
              </w:rPr>
              <w:t>支持</w:t>
            </w:r>
            <w:r>
              <w:rPr>
                <w:rFonts w:hint="eastAsia" w:ascii="宋体" w:hAnsi="宋体" w:eastAsia="宋体" w:cs="宋体"/>
                <w:b w:val="0"/>
                <w:bCs w:val="0"/>
                <w:i w:val="0"/>
                <w:iCs w:val="0"/>
                <w:color w:val="auto"/>
                <w:kern w:val="0"/>
                <w:sz w:val="20"/>
                <w:szCs w:val="20"/>
                <w:u w:val="none"/>
                <w:lang w:val="en-US" w:eastAsia="zh-CN" w:bidi="ar"/>
              </w:rPr>
              <w:t>心率呼吸统计</w:t>
            </w:r>
            <w:r>
              <w:rPr>
                <w:rFonts w:hint="eastAsia" w:cs="宋体"/>
                <w:b w:val="0"/>
                <w:bCs w:val="0"/>
                <w:i w:val="0"/>
                <w:iCs w:val="0"/>
                <w:color w:val="auto"/>
                <w:kern w:val="0"/>
                <w:sz w:val="20"/>
                <w:szCs w:val="20"/>
                <w:u w:val="none"/>
                <w:lang w:val="en-US" w:eastAsia="zh-CN" w:bidi="ar"/>
              </w:rPr>
              <w:t>；</w:t>
            </w:r>
          </w:p>
          <w:p w14:paraId="31851092">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12</w:t>
            </w:r>
            <w:r>
              <w:rPr>
                <w:rFonts w:hint="eastAsia" w:ascii="宋体" w:hAnsi="宋体" w:eastAsia="宋体" w:cs="宋体"/>
                <w:b w:val="0"/>
                <w:bCs w:val="0"/>
                <w:i w:val="0"/>
                <w:iCs w:val="0"/>
                <w:color w:val="auto"/>
                <w:kern w:val="0"/>
                <w:sz w:val="20"/>
                <w:szCs w:val="20"/>
                <w:u w:val="none"/>
                <w:lang w:val="en-US" w:eastAsia="zh-CN" w:bidi="ar"/>
              </w:rPr>
              <w:t>.支持蓝牙SOS一键报警</w:t>
            </w:r>
            <w:r>
              <w:rPr>
                <w:rFonts w:hint="eastAsia" w:cs="宋体"/>
                <w:b w:val="0"/>
                <w:bCs w:val="0"/>
                <w:i w:val="0"/>
                <w:iCs w:val="0"/>
                <w:color w:val="auto"/>
                <w:kern w:val="0"/>
                <w:sz w:val="20"/>
                <w:szCs w:val="20"/>
                <w:u w:val="none"/>
                <w:lang w:val="en-US" w:eastAsia="zh-CN" w:bidi="ar"/>
              </w:rPr>
              <w:t>。</w:t>
            </w:r>
          </w:p>
        </w:tc>
        <w:tc>
          <w:tcPr>
            <w:tcW w:w="450" w:type="dxa"/>
            <w:vAlign w:val="center"/>
          </w:tcPr>
          <w:p w14:paraId="2A18B3F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095B3BB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1187 </w:t>
            </w:r>
          </w:p>
        </w:tc>
      </w:tr>
      <w:tr w14:paraId="5FEF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28DDD43E">
            <w:pPr>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26BACEDD">
            <w:pPr>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7BEADF0A">
            <w:pPr>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635CFC05">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7164B6B5">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6BA1E54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智能手表（移动配置）</w:t>
            </w:r>
          </w:p>
        </w:tc>
        <w:tc>
          <w:tcPr>
            <w:tcW w:w="3420" w:type="dxa"/>
            <w:vAlign w:val="center"/>
          </w:tcPr>
          <w:p w14:paraId="609A2AF3">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尺寸：屏幕不</w:t>
            </w:r>
            <w:r>
              <w:rPr>
                <w:rFonts w:hint="eastAsia" w:cs="宋体"/>
                <w:b w:val="0"/>
                <w:bCs w:val="0"/>
                <w:i w:val="0"/>
                <w:iCs w:val="0"/>
                <w:color w:val="auto"/>
                <w:kern w:val="0"/>
                <w:sz w:val="20"/>
                <w:szCs w:val="20"/>
                <w:u w:val="none"/>
                <w:lang w:val="en-US" w:eastAsia="zh-CN" w:bidi="ar"/>
              </w:rPr>
              <w:t>小</w:t>
            </w:r>
            <w:r>
              <w:rPr>
                <w:rFonts w:hint="eastAsia" w:ascii="宋体" w:hAnsi="宋体" w:eastAsia="宋体" w:cs="宋体"/>
                <w:b w:val="0"/>
                <w:bCs w:val="0"/>
                <w:i w:val="0"/>
                <w:iCs w:val="0"/>
                <w:color w:val="auto"/>
                <w:kern w:val="0"/>
                <w:sz w:val="20"/>
                <w:szCs w:val="20"/>
                <w:u w:val="none"/>
                <w:lang w:val="en-US" w:eastAsia="zh-CN" w:bidi="ar"/>
              </w:rPr>
              <w:t>于1.4英寸</w:t>
            </w:r>
            <w:r>
              <w:rPr>
                <w:rFonts w:hint="eastAsia" w:cs="宋体"/>
                <w:b w:val="0"/>
                <w:bCs w:val="0"/>
                <w:i w:val="0"/>
                <w:iCs w:val="0"/>
                <w:color w:val="auto"/>
                <w:kern w:val="0"/>
                <w:sz w:val="20"/>
                <w:szCs w:val="20"/>
                <w:u w:val="none"/>
                <w:lang w:val="en-US" w:eastAsia="zh-CN" w:bidi="ar"/>
              </w:rPr>
              <w:t>；</w:t>
            </w:r>
          </w:p>
          <w:p w14:paraId="1FD848A1">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2</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分辨率：像素不低于240</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240</w:t>
            </w:r>
            <w:r>
              <w:rPr>
                <w:rFonts w:hint="eastAsia" w:cs="宋体"/>
                <w:b w:val="0"/>
                <w:bCs w:val="0"/>
                <w:i w:val="0"/>
                <w:iCs w:val="0"/>
                <w:color w:val="auto"/>
                <w:kern w:val="0"/>
                <w:sz w:val="20"/>
                <w:szCs w:val="20"/>
                <w:u w:val="none"/>
                <w:lang w:val="en-US" w:eastAsia="zh-CN" w:bidi="ar"/>
              </w:rPr>
              <w:t>；</w:t>
            </w:r>
          </w:p>
          <w:p w14:paraId="4CC42F92">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3</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定位方式：支持wifi/gps/lbs等多重定位</w:t>
            </w:r>
            <w:r>
              <w:rPr>
                <w:rFonts w:hint="eastAsia" w:cs="宋体"/>
                <w:b w:val="0"/>
                <w:bCs w:val="0"/>
                <w:i w:val="0"/>
                <w:iCs w:val="0"/>
                <w:color w:val="auto"/>
                <w:kern w:val="0"/>
                <w:sz w:val="20"/>
                <w:szCs w:val="20"/>
                <w:u w:val="none"/>
                <w:lang w:val="en-US" w:eastAsia="zh-CN" w:bidi="ar"/>
              </w:rPr>
              <w:t>；</w:t>
            </w:r>
          </w:p>
          <w:p w14:paraId="28AA2A97">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4</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语音闹钟提醒：支持下发实录语音闹钟通知，如吃药提醒</w:t>
            </w:r>
            <w:r>
              <w:rPr>
                <w:rFonts w:hint="eastAsia" w:cs="宋体"/>
                <w:b w:val="0"/>
                <w:bCs w:val="0"/>
                <w:i w:val="0"/>
                <w:iCs w:val="0"/>
                <w:color w:val="auto"/>
                <w:kern w:val="0"/>
                <w:sz w:val="20"/>
                <w:szCs w:val="20"/>
                <w:u w:val="none"/>
                <w:lang w:val="en-US" w:eastAsia="zh-CN" w:bidi="ar"/>
              </w:rPr>
              <w:t>；</w:t>
            </w:r>
          </w:p>
          <w:p w14:paraId="1E7AC388">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支持白名单号码，非白名单号码无法通话</w:t>
            </w:r>
            <w:r>
              <w:rPr>
                <w:rFonts w:hint="eastAsia" w:cs="宋体"/>
                <w:b w:val="0"/>
                <w:bCs w:val="0"/>
                <w:i w:val="0"/>
                <w:iCs w:val="0"/>
                <w:color w:val="auto"/>
                <w:kern w:val="0"/>
                <w:sz w:val="20"/>
                <w:szCs w:val="20"/>
                <w:u w:val="none"/>
                <w:lang w:val="en-US" w:eastAsia="zh-CN" w:bidi="ar"/>
              </w:rPr>
              <w:t>；</w:t>
            </w:r>
          </w:p>
          <w:p w14:paraId="28EAEA1F">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6</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支持计步功能</w:t>
            </w:r>
            <w:r>
              <w:rPr>
                <w:rFonts w:hint="eastAsia" w:cs="宋体"/>
                <w:b w:val="0"/>
                <w:bCs w:val="0"/>
                <w:i w:val="0"/>
                <w:iCs w:val="0"/>
                <w:color w:val="auto"/>
                <w:kern w:val="0"/>
                <w:sz w:val="20"/>
                <w:szCs w:val="20"/>
                <w:u w:val="none"/>
                <w:lang w:val="en-US" w:eastAsia="zh-CN" w:bidi="ar"/>
              </w:rPr>
              <w:t>；</w:t>
            </w:r>
          </w:p>
          <w:p w14:paraId="76DD3660">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7</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支持网络类型：NB/4G/WiFi/蓝牙/zigbee并包含3年通讯费</w:t>
            </w:r>
            <w:r>
              <w:rPr>
                <w:rFonts w:hint="eastAsia" w:cs="宋体"/>
                <w:b w:val="0"/>
                <w:bCs w:val="0"/>
                <w:i w:val="0"/>
                <w:iCs w:val="0"/>
                <w:color w:val="auto"/>
                <w:kern w:val="0"/>
                <w:sz w:val="20"/>
                <w:szCs w:val="20"/>
                <w:u w:val="none"/>
                <w:lang w:val="en-US" w:eastAsia="zh-CN" w:bidi="ar"/>
              </w:rPr>
              <w:t>；</w:t>
            </w:r>
          </w:p>
          <w:p w14:paraId="3EC306CA">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8</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支持心率测量</w:t>
            </w:r>
            <w:r>
              <w:rPr>
                <w:rFonts w:hint="eastAsia" w:cs="宋体"/>
                <w:b w:val="0"/>
                <w:bCs w:val="0"/>
                <w:i w:val="0"/>
                <w:iCs w:val="0"/>
                <w:color w:val="auto"/>
                <w:kern w:val="0"/>
                <w:sz w:val="20"/>
                <w:szCs w:val="20"/>
                <w:u w:val="none"/>
                <w:lang w:val="en-US" w:eastAsia="zh-CN" w:bidi="ar"/>
              </w:rPr>
              <w:t>；</w:t>
            </w:r>
          </w:p>
          <w:p w14:paraId="0E315AAC">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9</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支持体温测量</w:t>
            </w:r>
            <w:r>
              <w:rPr>
                <w:rFonts w:hint="eastAsia" w:cs="宋体"/>
                <w:b w:val="0"/>
                <w:bCs w:val="0"/>
                <w:i w:val="0"/>
                <w:iCs w:val="0"/>
                <w:color w:val="auto"/>
                <w:kern w:val="0"/>
                <w:sz w:val="20"/>
                <w:szCs w:val="20"/>
                <w:u w:val="none"/>
                <w:lang w:val="en-US" w:eastAsia="zh-CN" w:bidi="ar"/>
              </w:rPr>
              <w:t>；</w:t>
            </w:r>
          </w:p>
          <w:p w14:paraId="45F13C1E">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10</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支持IP67</w:t>
            </w:r>
            <w:r>
              <w:rPr>
                <w:rFonts w:hint="eastAsia" w:cs="宋体"/>
                <w:b w:val="0"/>
                <w:bCs w:val="0"/>
                <w:i w:val="0"/>
                <w:iCs w:val="0"/>
                <w:color w:val="auto"/>
                <w:kern w:val="0"/>
                <w:sz w:val="20"/>
                <w:szCs w:val="20"/>
                <w:u w:val="none"/>
                <w:lang w:val="en-US" w:eastAsia="zh-CN" w:bidi="ar"/>
              </w:rPr>
              <w:t>及以上</w:t>
            </w:r>
            <w:r>
              <w:rPr>
                <w:rFonts w:hint="eastAsia" w:ascii="宋体" w:hAnsi="宋体" w:eastAsia="宋体" w:cs="宋体"/>
                <w:b w:val="0"/>
                <w:bCs w:val="0"/>
                <w:i w:val="0"/>
                <w:iCs w:val="0"/>
                <w:color w:val="auto"/>
                <w:kern w:val="0"/>
                <w:sz w:val="20"/>
                <w:szCs w:val="20"/>
                <w:u w:val="none"/>
                <w:lang w:val="en-US" w:eastAsia="zh-CN" w:bidi="ar"/>
              </w:rPr>
              <w:t>防水</w:t>
            </w:r>
            <w:r>
              <w:rPr>
                <w:rFonts w:hint="eastAsia" w:cs="宋体"/>
                <w:b w:val="0"/>
                <w:bCs w:val="0"/>
                <w:i w:val="0"/>
                <w:iCs w:val="0"/>
                <w:color w:val="auto"/>
                <w:kern w:val="0"/>
                <w:sz w:val="20"/>
                <w:szCs w:val="20"/>
                <w:u w:val="none"/>
                <w:lang w:val="en-US" w:eastAsia="zh-CN" w:bidi="ar"/>
              </w:rPr>
              <w:t>；</w:t>
            </w:r>
          </w:p>
          <w:p w14:paraId="35DAE2FD">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11</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产品具备《无线电发射设备型号核准证》；</w:t>
            </w:r>
          </w:p>
          <w:p w14:paraId="6540D38C">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12.</w:t>
            </w:r>
            <w:r>
              <w:rPr>
                <w:rFonts w:hint="eastAsia" w:cs="宋体"/>
                <w:b w:val="0"/>
                <w:bCs w:val="0"/>
                <w:i w:val="0"/>
                <w:iCs w:val="0"/>
                <w:color w:val="auto"/>
                <w:kern w:val="0"/>
                <w:sz w:val="20"/>
                <w:szCs w:val="20"/>
                <w:u w:val="none"/>
                <w:lang w:val="en-US" w:eastAsia="zh-CN" w:bidi="ar"/>
              </w:rPr>
              <w:t>产品</w:t>
            </w:r>
            <w:r>
              <w:rPr>
                <w:rFonts w:hint="eastAsia" w:ascii="宋体" w:hAnsi="宋体" w:eastAsia="宋体" w:cs="宋体"/>
                <w:b w:val="0"/>
                <w:bCs w:val="0"/>
                <w:i w:val="0"/>
                <w:iCs w:val="0"/>
                <w:color w:val="auto"/>
                <w:kern w:val="0"/>
                <w:sz w:val="20"/>
                <w:szCs w:val="20"/>
                <w:u w:val="none"/>
                <w:lang w:val="en-US" w:eastAsia="zh-CN" w:bidi="ar"/>
              </w:rPr>
              <w:t>具备《电信设备进网许可证》；</w:t>
            </w:r>
          </w:p>
          <w:p w14:paraId="075C0792">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13.</w:t>
            </w:r>
            <w:bookmarkStart w:id="28" w:name="OLE_LINK18"/>
            <w:bookmarkStart w:id="29" w:name="OLE_LINK17"/>
            <w:r>
              <w:rPr>
                <w:rFonts w:hint="eastAsia" w:ascii="宋体" w:hAnsi="宋体" w:eastAsia="宋体" w:cs="宋体"/>
                <w:b w:val="0"/>
                <w:bCs w:val="0"/>
                <w:i w:val="0"/>
                <w:iCs w:val="0"/>
                <w:color w:val="auto"/>
                <w:kern w:val="0"/>
                <w:sz w:val="20"/>
                <w:szCs w:val="20"/>
                <w:u w:val="none"/>
                <w:lang w:val="en-US" w:eastAsia="zh-CN" w:bidi="ar"/>
              </w:rPr>
              <w:t>产品</w:t>
            </w:r>
            <w:r>
              <w:rPr>
                <w:rFonts w:hint="eastAsia" w:cs="宋体"/>
                <w:b w:val="0"/>
                <w:bCs w:val="0"/>
                <w:i w:val="0"/>
                <w:iCs w:val="0"/>
                <w:color w:val="auto"/>
                <w:kern w:val="0"/>
                <w:sz w:val="20"/>
                <w:szCs w:val="20"/>
                <w:u w:val="none"/>
                <w:lang w:val="en-US" w:eastAsia="zh-CN" w:bidi="ar"/>
              </w:rPr>
              <w:t>具备</w:t>
            </w:r>
            <w:r>
              <w:rPr>
                <w:rFonts w:hint="eastAsia" w:ascii="宋体" w:hAnsi="宋体" w:eastAsia="宋体" w:cs="宋体"/>
                <w:b w:val="0"/>
                <w:bCs w:val="0"/>
                <w:i w:val="0"/>
                <w:iCs w:val="0"/>
                <w:color w:val="auto"/>
                <w:kern w:val="0"/>
                <w:sz w:val="20"/>
                <w:szCs w:val="20"/>
                <w:u w:val="none"/>
                <w:lang w:val="en-US" w:eastAsia="zh-CN" w:bidi="ar"/>
              </w:rPr>
              <w:t>中国国家强制性产品认证3C证书</w:t>
            </w:r>
            <w:bookmarkEnd w:id="28"/>
            <w:r>
              <w:rPr>
                <w:rFonts w:hint="eastAsia" w:cs="宋体"/>
                <w:b w:val="0"/>
                <w:bCs w:val="0"/>
                <w:i w:val="0"/>
                <w:iCs w:val="0"/>
                <w:color w:val="auto"/>
                <w:kern w:val="0"/>
                <w:sz w:val="20"/>
                <w:szCs w:val="20"/>
                <w:u w:val="none"/>
                <w:lang w:val="en-US" w:eastAsia="zh-CN" w:bidi="ar"/>
              </w:rPr>
              <w:t>。</w:t>
            </w:r>
            <w:bookmarkEnd w:id="29"/>
          </w:p>
        </w:tc>
        <w:tc>
          <w:tcPr>
            <w:tcW w:w="450" w:type="dxa"/>
            <w:vAlign w:val="center"/>
          </w:tcPr>
          <w:p w14:paraId="0BCC3FBD">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6958F6F9">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519 </w:t>
            </w:r>
          </w:p>
        </w:tc>
      </w:tr>
      <w:tr w14:paraId="3799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744EA911">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18</w:t>
            </w:r>
          </w:p>
        </w:tc>
        <w:tc>
          <w:tcPr>
            <w:tcW w:w="570" w:type="dxa"/>
            <w:vMerge w:val="restart"/>
            <w:vAlign w:val="center"/>
          </w:tcPr>
          <w:p w14:paraId="41E75E5C">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安全监控装置</w:t>
            </w:r>
          </w:p>
        </w:tc>
        <w:tc>
          <w:tcPr>
            <w:tcW w:w="585" w:type="dxa"/>
            <w:vAlign w:val="center"/>
          </w:tcPr>
          <w:p w14:paraId="2C5217B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烟雾报警器</w:t>
            </w:r>
          </w:p>
        </w:tc>
        <w:tc>
          <w:tcPr>
            <w:tcW w:w="1575" w:type="dxa"/>
            <w:vMerge w:val="restart"/>
            <w:vAlign w:val="center"/>
          </w:tcPr>
          <w:p w14:paraId="6594EB0D">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安装在居家应急响应位置，用于监测老年人居室环境，发生险情时及时报警</w:t>
            </w:r>
          </w:p>
        </w:tc>
        <w:tc>
          <w:tcPr>
            <w:tcW w:w="615" w:type="dxa"/>
            <w:gridSpan w:val="2"/>
            <w:vAlign w:val="center"/>
          </w:tcPr>
          <w:p w14:paraId="682780D7">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基础</w:t>
            </w:r>
          </w:p>
        </w:tc>
        <w:tc>
          <w:tcPr>
            <w:tcW w:w="600" w:type="dxa"/>
            <w:vAlign w:val="center"/>
          </w:tcPr>
          <w:p w14:paraId="30C79F0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烟雾报警器</w:t>
            </w:r>
          </w:p>
        </w:tc>
        <w:tc>
          <w:tcPr>
            <w:tcW w:w="3420" w:type="dxa"/>
            <w:vAlign w:val="center"/>
          </w:tcPr>
          <w:p w14:paraId="2C768B80">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w:t>
            </w:r>
            <w:r>
              <w:rPr>
                <w:rFonts w:hint="eastAsia" w:ascii="宋体" w:hAnsi="宋体" w:eastAsia="宋体" w:cs="宋体"/>
                <w:b w:val="0"/>
                <w:bCs w:val="0"/>
                <w:i w:val="0"/>
                <w:iCs w:val="0"/>
                <w:color w:val="auto"/>
                <w:kern w:val="0"/>
                <w:sz w:val="20"/>
                <w:szCs w:val="20"/>
                <w:u w:val="none"/>
                <w:lang w:val="en-US" w:eastAsia="zh-CN" w:bidi="ar"/>
              </w:rPr>
              <w:t>报警音量：3米</w:t>
            </w:r>
            <w:r>
              <w:rPr>
                <w:rFonts w:hint="eastAsia" w:cs="宋体"/>
                <w:b w:val="0"/>
                <w:bCs w:val="0"/>
                <w:i w:val="0"/>
                <w:iCs w:val="0"/>
                <w:color w:val="auto"/>
                <w:kern w:val="0"/>
                <w:sz w:val="20"/>
                <w:szCs w:val="20"/>
                <w:u w:val="none"/>
                <w:lang w:val="en-US" w:eastAsia="zh-CN" w:bidi="ar"/>
              </w:rPr>
              <w:t>范围内</w:t>
            </w:r>
            <w:r>
              <w:rPr>
                <w:rFonts w:hint="eastAsia" w:ascii="宋体" w:hAnsi="宋体" w:eastAsia="宋体" w:cs="宋体"/>
                <w:b w:val="0"/>
                <w:bCs w:val="0"/>
                <w:i w:val="0"/>
                <w:iCs w:val="0"/>
                <w:color w:val="auto"/>
                <w:kern w:val="0"/>
                <w:sz w:val="20"/>
                <w:szCs w:val="20"/>
                <w:u w:val="none"/>
                <w:lang w:val="en-US" w:eastAsia="zh-CN" w:bidi="ar"/>
              </w:rPr>
              <w:t>≥85dB</w:t>
            </w:r>
            <w:r>
              <w:rPr>
                <w:rFonts w:hint="eastAsia" w:cs="宋体"/>
                <w:b w:val="0"/>
                <w:bCs w:val="0"/>
                <w:i w:val="0"/>
                <w:iCs w:val="0"/>
                <w:color w:val="auto"/>
                <w:kern w:val="0"/>
                <w:sz w:val="20"/>
                <w:szCs w:val="20"/>
                <w:u w:val="none"/>
                <w:lang w:val="en-US" w:eastAsia="zh-CN" w:bidi="ar"/>
              </w:rPr>
              <w:t>；</w:t>
            </w:r>
          </w:p>
          <w:p w14:paraId="5407F85D">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2.</w:t>
            </w:r>
            <w:r>
              <w:rPr>
                <w:rFonts w:hint="eastAsia" w:ascii="宋体" w:hAnsi="宋体" w:eastAsia="宋体" w:cs="宋体"/>
                <w:b w:val="0"/>
                <w:bCs w:val="0"/>
                <w:i w:val="0"/>
                <w:iCs w:val="0"/>
                <w:color w:val="auto"/>
                <w:kern w:val="0"/>
                <w:sz w:val="20"/>
                <w:szCs w:val="20"/>
                <w:u w:val="none"/>
                <w:lang w:val="en-US" w:eastAsia="zh-CN" w:bidi="ar"/>
              </w:rPr>
              <w:t>通信方式：NB</w:t>
            </w:r>
            <w:r>
              <w:rPr>
                <w:rFonts w:hint="eastAsia" w:ascii="宋体" w:hAnsi="宋体" w:cs="宋体"/>
                <w:b w:val="0"/>
                <w:bCs w:val="0"/>
                <w:color w:val="auto"/>
                <w:kern w:val="0"/>
                <w:sz w:val="20"/>
                <w:szCs w:val="20"/>
                <w:highlight w:val="none"/>
                <w:lang w:bidi="ar"/>
              </w:rPr>
              <w:t>/4G/WiFi/蓝牙/zigbee并包含3年通讯费</w:t>
            </w:r>
            <w:r>
              <w:rPr>
                <w:rFonts w:hint="eastAsia" w:cs="宋体"/>
                <w:b w:val="0"/>
                <w:bCs w:val="0"/>
                <w:i w:val="0"/>
                <w:iCs w:val="0"/>
                <w:color w:val="auto"/>
                <w:kern w:val="0"/>
                <w:sz w:val="20"/>
                <w:szCs w:val="20"/>
                <w:u w:val="none"/>
                <w:lang w:val="en-US" w:eastAsia="zh-CN" w:bidi="ar"/>
              </w:rPr>
              <w:t>；</w:t>
            </w:r>
          </w:p>
          <w:p w14:paraId="6DF94322">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4.</w:t>
            </w:r>
            <w:r>
              <w:rPr>
                <w:rFonts w:hint="eastAsia" w:ascii="宋体" w:hAnsi="宋体" w:eastAsia="宋体" w:cs="宋体"/>
                <w:b w:val="0"/>
                <w:bCs w:val="0"/>
                <w:i w:val="0"/>
                <w:iCs w:val="0"/>
                <w:color w:val="auto"/>
                <w:kern w:val="0"/>
                <w:sz w:val="20"/>
                <w:szCs w:val="20"/>
                <w:u w:val="none"/>
                <w:lang w:val="en-US" w:eastAsia="zh-CN" w:bidi="ar"/>
              </w:rPr>
              <w:t>防拆报警：支持</w:t>
            </w:r>
            <w:r>
              <w:rPr>
                <w:rFonts w:hint="eastAsia" w:cs="宋体"/>
                <w:b w:val="0"/>
                <w:bCs w:val="0"/>
                <w:i w:val="0"/>
                <w:iCs w:val="0"/>
                <w:color w:val="auto"/>
                <w:kern w:val="0"/>
                <w:sz w:val="20"/>
                <w:szCs w:val="20"/>
                <w:u w:val="none"/>
                <w:lang w:val="en-US" w:eastAsia="zh-CN" w:bidi="ar"/>
              </w:rPr>
              <w:t>；</w:t>
            </w:r>
          </w:p>
          <w:p w14:paraId="7D65D473">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5.</w:t>
            </w:r>
            <w:r>
              <w:rPr>
                <w:rFonts w:hint="eastAsia" w:ascii="宋体" w:hAnsi="宋体" w:eastAsia="宋体" w:cs="宋体"/>
                <w:b w:val="0"/>
                <w:bCs w:val="0"/>
                <w:i w:val="0"/>
                <w:iCs w:val="0"/>
                <w:color w:val="auto"/>
                <w:kern w:val="0"/>
                <w:sz w:val="20"/>
                <w:szCs w:val="20"/>
                <w:u w:val="none"/>
                <w:lang w:val="en-US" w:eastAsia="zh-CN" w:bidi="ar"/>
              </w:rPr>
              <w:t>静音方式：支持通过按键或远程方式静音</w:t>
            </w:r>
            <w:r>
              <w:rPr>
                <w:rFonts w:hint="eastAsia" w:cs="宋体"/>
                <w:b w:val="0"/>
                <w:bCs w:val="0"/>
                <w:i w:val="0"/>
                <w:iCs w:val="0"/>
                <w:color w:val="auto"/>
                <w:kern w:val="0"/>
                <w:sz w:val="20"/>
                <w:szCs w:val="20"/>
                <w:u w:val="none"/>
                <w:lang w:val="en-US" w:eastAsia="zh-CN" w:bidi="ar"/>
              </w:rPr>
              <w:t>；</w:t>
            </w:r>
          </w:p>
          <w:p w14:paraId="32CF5C14">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6.</w:t>
            </w:r>
            <w:r>
              <w:rPr>
                <w:rFonts w:hint="eastAsia" w:ascii="宋体" w:hAnsi="宋体" w:eastAsia="宋体" w:cs="宋体"/>
                <w:b w:val="0"/>
                <w:bCs w:val="0"/>
                <w:i w:val="0"/>
                <w:iCs w:val="0"/>
                <w:color w:val="auto"/>
                <w:kern w:val="0"/>
                <w:sz w:val="20"/>
                <w:szCs w:val="20"/>
                <w:u w:val="none"/>
                <w:lang w:val="en-US" w:eastAsia="zh-CN" w:bidi="ar"/>
              </w:rPr>
              <w:t>本地报警方式：声、光报警</w:t>
            </w:r>
            <w:r>
              <w:rPr>
                <w:rFonts w:hint="eastAsia" w:cs="宋体"/>
                <w:b w:val="0"/>
                <w:bCs w:val="0"/>
                <w:i w:val="0"/>
                <w:iCs w:val="0"/>
                <w:color w:val="auto"/>
                <w:kern w:val="0"/>
                <w:sz w:val="20"/>
                <w:szCs w:val="20"/>
                <w:u w:val="none"/>
                <w:lang w:val="en-US" w:eastAsia="zh-CN" w:bidi="ar"/>
              </w:rPr>
              <w:t>；</w:t>
            </w:r>
          </w:p>
          <w:p w14:paraId="79F407AF">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7.</w:t>
            </w:r>
            <w:r>
              <w:rPr>
                <w:rFonts w:hint="eastAsia" w:ascii="宋体" w:hAnsi="宋体" w:eastAsia="宋体" w:cs="宋体"/>
                <w:b w:val="0"/>
                <w:bCs w:val="0"/>
                <w:i w:val="0"/>
                <w:iCs w:val="0"/>
                <w:color w:val="auto"/>
                <w:kern w:val="0"/>
                <w:sz w:val="20"/>
                <w:szCs w:val="20"/>
                <w:u w:val="none"/>
                <w:lang w:val="en-US" w:eastAsia="zh-CN" w:bidi="ar"/>
              </w:rPr>
              <w:t>使用环境：温度</w:t>
            </w:r>
            <w:r>
              <w:rPr>
                <w:rFonts w:hint="eastAsia" w:cs="宋体"/>
                <w:b w:val="0"/>
                <w:bCs w:val="0"/>
                <w:i w:val="0"/>
                <w:iCs w:val="0"/>
                <w:color w:val="auto"/>
                <w:kern w:val="0"/>
                <w:sz w:val="20"/>
                <w:szCs w:val="20"/>
                <w:u w:val="none"/>
                <w:lang w:val="en-US" w:eastAsia="zh-CN" w:bidi="ar"/>
              </w:rPr>
              <w:t>范围包含</w:t>
            </w:r>
            <w:r>
              <w:rPr>
                <w:rFonts w:hint="eastAsia" w:ascii="宋体" w:hAnsi="宋体" w:eastAsia="宋体" w:cs="宋体"/>
                <w:b w:val="0"/>
                <w:bCs w:val="0"/>
                <w:i w:val="0"/>
                <w:iCs w:val="0"/>
                <w:color w:val="auto"/>
                <w:kern w:val="0"/>
                <w:sz w:val="20"/>
                <w:szCs w:val="20"/>
                <w:u w:val="none"/>
                <w:lang w:val="en-US" w:eastAsia="zh-CN" w:bidi="ar"/>
              </w:rPr>
              <w:t>：-10℃～50℃</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相对湿度：≤95%</w:t>
            </w:r>
            <w:r>
              <w:rPr>
                <w:rFonts w:hint="eastAsia" w:cs="宋体"/>
                <w:b w:val="0"/>
                <w:bCs w:val="0"/>
                <w:i w:val="0"/>
                <w:iCs w:val="0"/>
                <w:color w:val="auto"/>
                <w:kern w:val="0"/>
                <w:sz w:val="20"/>
                <w:szCs w:val="20"/>
                <w:u w:val="none"/>
                <w:lang w:val="en-US" w:eastAsia="zh-CN" w:bidi="ar"/>
              </w:rPr>
              <w:t>；</w:t>
            </w:r>
          </w:p>
          <w:p w14:paraId="62D0626D">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8.</w:t>
            </w:r>
            <w:r>
              <w:rPr>
                <w:rFonts w:hint="eastAsia" w:ascii="宋体" w:hAnsi="宋体" w:eastAsia="宋体" w:cs="宋体"/>
                <w:b w:val="0"/>
                <w:bCs w:val="0"/>
                <w:i w:val="0"/>
                <w:iCs w:val="0"/>
                <w:color w:val="auto"/>
                <w:kern w:val="0"/>
                <w:sz w:val="20"/>
                <w:szCs w:val="20"/>
                <w:u w:val="none"/>
                <w:lang w:val="en-US" w:eastAsia="zh-CN" w:bidi="ar"/>
              </w:rPr>
              <w:t>执行标准：GB 20517-2006</w:t>
            </w:r>
            <w:r>
              <w:rPr>
                <w:rFonts w:hint="eastAsia" w:cs="宋体"/>
                <w:b w:val="0"/>
                <w:bCs w:val="0"/>
                <w:i w:val="0"/>
                <w:iCs w:val="0"/>
                <w:color w:val="auto"/>
                <w:kern w:val="0"/>
                <w:sz w:val="20"/>
                <w:szCs w:val="20"/>
                <w:u w:val="none"/>
                <w:lang w:val="en-US" w:eastAsia="zh-CN" w:bidi="ar"/>
              </w:rPr>
              <w:t>；</w:t>
            </w:r>
          </w:p>
          <w:p w14:paraId="7811931F">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9.</w:t>
            </w:r>
            <w:r>
              <w:rPr>
                <w:rFonts w:hint="eastAsia" w:ascii="宋体" w:hAnsi="宋体" w:eastAsia="宋体" w:cs="宋体"/>
                <w:b w:val="0"/>
                <w:bCs w:val="0"/>
                <w:i w:val="0"/>
                <w:iCs w:val="0"/>
                <w:color w:val="auto"/>
                <w:kern w:val="0"/>
                <w:sz w:val="20"/>
                <w:szCs w:val="20"/>
                <w:u w:val="none"/>
                <w:lang w:val="en-US" w:eastAsia="zh-CN" w:bidi="ar"/>
              </w:rPr>
              <w:t>烟雾报警灵敏度符合国家标准</w:t>
            </w:r>
            <w:r>
              <w:rPr>
                <w:rFonts w:hint="eastAsia" w:cs="宋体"/>
                <w:b w:val="0"/>
                <w:bCs w:val="0"/>
                <w:i w:val="0"/>
                <w:iCs w:val="0"/>
                <w:color w:val="auto"/>
                <w:kern w:val="0"/>
                <w:sz w:val="20"/>
                <w:szCs w:val="20"/>
                <w:u w:val="none"/>
                <w:lang w:val="en-US" w:eastAsia="zh-CN" w:bidi="ar"/>
              </w:rPr>
              <w:t>；</w:t>
            </w:r>
          </w:p>
          <w:p w14:paraId="092C2F1A">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10.产品</w:t>
            </w:r>
            <w:r>
              <w:rPr>
                <w:rFonts w:hint="eastAsia" w:ascii="宋体" w:hAnsi="宋体" w:eastAsia="宋体" w:cs="宋体"/>
                <w:b w:val="0"/>
                <w:bCs w:val="0"/>
                <w:i w:val="0"/>
                <w:iCs w:val="0"/>
                <w:color w:val="auto"/>
                <w:kern w:val="0"/>
                <w:sz w:val="20"/>
                <w:szCs w:val="20"/>
                <w:u w:val="none"/>
                <w:lang w:val="en-US" w:eastAsia="zh-CN" w:bidi="ar"/>
              </w:rPr>
              <w:t>具备中国国家强制性产品认证</w:t>
            </w:r>
            <w:r>
              <w:rPr>
                <w:rFonts w:hint="eastAsia" w:cs="宋体"/>
                <w:b w:val="0"/>
                <w:bCs w:val="0"/>
                <w:i w:val="0"/>
                <w:iCs w:val="0"/>
                <w:color w:val="auto"/>
                <w:kern w:val="0"/>
                <w:sz w:val="20"/>
                <w:szCs w:val="20"/>
                <w:u w:val="none"/>
                <w:lang w:val="en-US" w:eastAsia="zh-CN" w:bidi="ar"/>
              </w:rPr>
              <w:t>3C证书；</w:t>
            </w:r>
          </w:p>
          <w:p w14:paraId="528077BD">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11.产品</w:t>
            </w:r>
            <w:r>
              <w:rPr>
                <w:rFonts w:hint="eastAsia" w:ascii="宋体" w:hAnsi="宋体" w:eastAsia="宋体" w:cs="宋体"/>
                <w:b w:val="0"/>
                <w:bCs w:val="0"/>
                <w:i w:val="0"/>
                <w:iCs w:val="0"/>
                <w:color w:val="auto"/>
                <w:kern w:val="0"/>
                <w:sz w:val="20"/>
                <w:szCs w:val="20"/>
                <w:u w:val="none"/>
                <w:lang w:val="en-US" w:eastAsia="zh-CN" w:bidi="ar"/>
              </w:rPr>
              <w:t>具备</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无线电发射设备型号核准证</w:t>
            </w:r>
            <w:r>
              <w:rPr>
                <w:rFonts w:hint="eastAsia" w:cs="宋体"/>
                <w:b w:val="0"/>
                <w:bCs w:val="0"/>
                <w:i w:val="0"/>
                <w:iCs w:val="0"/>
                <w:color w:val="auto"/>
                <w:kern w:val="0"/>
                <w:sz w:val="20"/>
                <w:szCs w:val="20"/>
                <w:u w:val="none"/>
                <w:lang w:val="en-US" w:eastAsia="zh-CN" w:bidi="ar"/>
              </w:rPr>
              <w:t>》。</w:t>
            </w:r>
          </w:p>
        </w:tc>
        <w:tc>
          <w:tcPr>
            <w:tcW w:w="450" w:type="dxa"/>
            <w:vAlign w:val="center"/>
          </w:tcPr>
          <w:p w14:paraId="5918035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720EC41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262 </w:t>
            </w:r>
          </w:p>
        </w:tc>
      </w:tr>
      <w:tr w14:paraId="10EE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042F1B95">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19</w:t>
            </w:r>
          </w:p>
        </w:tc>
        <w:tc>
          <w:tcPr>
            <w:tcW w:w="570" w:type="dxa"/>
            <w:vMerge w:val="continue"/>
            <w:vAlign w:val="center"/>
          </w:tcPr>
          <w:p w14:paraId="74E4CE18">
            <w:pPr>
              <w:jc w:val="center"/>
              <w:rPr>
                <w:rFonts w:hint="eastAsia" w:ascii="宋体" w:hAnsi="宋体" w:eastAsia="宋体" w:cs="宋体"/>
                <w:b w:val="0"/>
                <w:color w:val="auto"/>
                <w:sz w:val="20"/>
                <w:szCs w:val="20"/>
                <w:vertAlign w:val="baseline"/>
                <w:lang w:val="en-US" w:eastAsia="zh-CN"/>
              </w:rPr>
            </w:pPr>
          </w:p>
        </w:tc>
        <w:tc>
          <w:tcPr>
            <w:tcW w:w="585" w:type="dxa"/>
            <w:vAlign w:val="center"/>
          </w:tcPr>
          <w:p w14:paraId="4F4FD587">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可燃气体泄露报警器</w:t>
            </w:r>
          </w:p>
        </w:tc>
        <w:tc>
          <w:tcPr>
            <w:tcW w:w="1575" w:type="dxa"/>
            <w:vMerge w:val="continue"/>
            <w:vAlign w:val="center"/>
          </w:tcPr>
          <w:p w14:paraId="6E9805E3">
            <w:pPr>
              <w:jc w:val="center"/>
              <w:rPr>
                <w:rFonts w:hint="eastAsia" w:ascii="宋体" w:hAnsi="宋体" w:eastAsia="宋体" w:cs="宋体"/>
                <w:b w:val="0"/>
                <w:color w:val="auto"/>
                <w:sz w:val="20"/>
                <w:szCs w:val="20"/>
                <w:vertAlign w:val="baseline"/>
                <w:lang w:val="en-US" w:eastAsia="zh-CN"/>
              </w:rPr>
            </w:pPr>
          </w:p>
        </w:tc>
        <w:tc>
          <w:tcPr>
            <w:tcW w:w="615" w:type="dxa"/>
            <w:gridSpan w:val="2"/>
            <w:vMerge w:val="restart"/>
            <w:vAlign w:val="center"/>
          </w:tcPr>
          <w:p w14:paraId="4CF2B53C">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可选</w:t>
            </w:r>
          </w:p>
        </w:tc>
        <w:tc>
          <w:tcPr>
            <w:tcW w:w="600" w:type="dxa"/>
            <w:vAlign w:val="center"/>
          </w:tcPr>
          <w:p w14:paraId="156DE1B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燃气泄漏探测报警器</w:t>
            </w:r>
          </w:p>
        </w:tc>
        <w:tc>
          <w:tcPr>
            <w:tcW w:w="3420" w:type="dxa"/>
            <w:vAlign w:val="center"/>
          </w:tcPr>
          <w:p w14:paraId="44693651">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通信方式：NB</w:t>
            </w:r>
            <w:r>
              <w:rPr>
                <w:rFonts w:hint="eastAsia" w:ascii="宋体" w:hAnsi="宋体" w:cs="宋体"/>
                <w:b w:val="0"/>
                <w:bCs w:val="0"/>
                <w:color w:val="auto"/>
                <w:kern w:val="0"/>
                <w:sz w:val="20"/>
                <w:szCs w:val="20"/>
                <w:highlight w:val="none"/>
                <w:lang w:bidi="ar"/>
              </w:rPr>
              <w:t>/4G/WiFi/蓝牙/zigbee并包含3年通讯费</w:t>
            </w:r>
            <w:r>
              <w:rPr>
                <w:rFonts w:hint="eastAsia" w:ascii="宋体" w:hAnsi="宋体" w:cs="宋体"/>
                <w:b w:val="0"/>
                <w:bCs w:val="0"/>
                <w:color w:val="auto"/>
                <w:kern w:val="0"/>
                <w:sz w:val="20"/>
                <w:szCs w:val="20"/>
                <w:highlight w:val="none"/>
                <w:lang w:eastAsia="zh-CN" w:bidi="ar"/>
              </w:rPr>
              <w:t>；</w:t>
            </w:r>
          </w:p>
          <w:p w14:paraId="1D7EA851">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2</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报警方式：</w:t>
            </w:r>
            <w:r>
              <w:rPr>
                <w:rFonts w:hint="eastAsia" w:cs="宋体"/>
                <w:b w:val="0"/>
                <w:bCs w:val="0"/>
                <w:i w:val="0"/>
                <w:iCs w:val="0"/>
                <w:color w:val="auto"/>
                <w:kern w:val="0"/>
                <w:sz w:val="20"/>
                <w:szCs w:val="20"/>
                <w:u w:val="none"/>
                <w:lang w:val="en-US" w:eastAsia="zh-CN" w:bidi="ar"/>
              </w:rPr>
              <w:t>支持</w:t>
            </w:r>
            <w:r>
              <w:rPr>
                <w:rFonts w:hint="eastAsia" w:ascii="宋体" w:hAnsi="宋体" w:eastAsia="宋体" w:cs="宋体"/>
                <w:b w:val="0"/>
                <w:bCs w:val="0"/>
                <w:i w:val="0"/>
                <w:iCs w:val="0"/>
                <w:color w:val="auto"/>
                <w:kern w:val="0"/>
                <w:sz w:val="20"/>
                <w:szCs w:val="20"/>
                <w:u w:val="none"/>
                <w:lang w:val="en-US" w:eastAsia="zh-CN" w:bidi="ar"/>
              </w:rPr>
              <w:t>声、光报警</w:t>
            </w:r>
            <w:r>
              <w:rPr>
                <w:rFonts w:hint="eastAsia" w:cs="宋体"/>
                <w:b w:val="0"/>
                <w:bCs w:val="0"/>
                <w:i w:val="0"/>
                <w:iCs w:val="0"/>
                <w:color w:val="auto"/>
                <w:kern w:val="0"/>
                <w:sz w:val="20"/>
                <w:szCs w:val="20"/>
                <w:u w:val="none"/>
                <w:lang w:val="en-US" w:eastAsia="zh-CN" w:bidi="ar"/>
              </w:rPr>
              <w:t>；</w:t>
            </w:r>
          </w:p>
          <w:p w14:paraId="13ADC943">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3</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报警音量：</w:t>
            </w:r>
            <w:r>
              <w:rPr>
                <w:rFonts w:hint="eastAsia" w:cs="宋体"/>
                <w:b w:val="0"/>
                <w:bCs w:val="0"/>
                <w:i w:val="0"/>
                <w:iCs w:val="0"/>
                <w:color w:val="auto"/>
                <w:kern w:val="0"/>
                <w:sz w:val="20"/>
                <w:szCs w:val="20"/>
                <w:u w:val="none"/>
                <w:lang w:val="en-US" w:eastAsia="zh-CN" w:bidi="ar"/>
              </w:rPr>
              <w:t>1米范围内</w:t>
            </w:r>
            <w:r>
              <w:rPr>
                <w:rFonts w:hint="eastAsia" w:ascii="宋体" w:hAnsi="宋体" w:eastAsia="宋体" w:cs="宋体"/>
                <w:b w:val="0"/>
                <w:bCs w:val="0"/>
                <w:i w:val="0"/>
                <w:iCs w:val="0"/>
                <w:color w:val="auto"/>
                <w:kern w:val="0"/>
                <w:sz w:val="20"/>
                <w:szCs w:val="20"/>
                <w:u w:val="none"/>
                <w:lang w:val="en-US" w:eastAsia="zh-CN" w:bidi="ar"/>
              </w:rPr>
              <w:t>≥70dB</w:t>
            </w:r>
            <w:r>
              <w:rPr>
                <w:rFonts w:hint="eastAsia" w:cs="宋体"/>
                <w:b w:val="0"/>
                <w:bCs w:val="0"/>
                <w:i w:val="0"/>
                <w:iCs w:val="0"/>
                <w:color w:val="auto"/>
                <w:kern w:val="0"/>
                <w:sz w:val="20"/>
                <w:szCs w:val="20"/>
                <w:u w:val="none"/>
                <w:lang w:val="en-US" w:eastAsia="zh-CN" w:bidi="ar"/>
              </w:rPr>
              <w:t>；</w:t>
            </w:r>
          </w:p>
          <w:p w14:paraId="687537F0">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4</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使用环境：温度</w:t>
            </w:r>
            <w:r>
              <w:rPr>
                <w:rFonts w:hint="eastAsia" w:cs="宋体"/>
                <w:b w:val="0"/>
                <w:bCs w:val="0"/>
                <w:i w:val="0"/>
                <w:iCs w:val="0"/>
                <w:color w:val="auto"/>
                <w:kern w:val="0"/>
                <w:sz w:val="20"/>
                <w:szCs w:val="20"/>
                <w:u w:val="none"/>
                <w:lang w:val="en-US" w:eastAsia="zh-CN" w:bidi="ar"/>
              </w:rPr>
              <w:t>范围包含</w:t>
            </w:r>
            <w:r>
              <w:rPr>
                <w:rFonts w:hint="eastAsia" w:ascii="宋体" w:hAnsi="宋体" w:eastAsia="宋体" w:cs="宋体"/>
                <w:b w:val="0"/>
                <w:bCs w:val="0"/>
                <w:i w:val="0"/>
                <w:iCs w:val="0"/>
                <w:color w:val="auto"/>
                <w:kern w:val="0"/>
                <w:sz w:val="20"/>
                <w:szCs w:val="20"/>
                <w:u w:val="none"/>
                <w:lang w:val="en-US" w:eastAsia="zh-CN" w:bidi="ar"/>
              </w:rPr>
              <w:t>：-10℃～50℃；湿度</w:t>
            </w:r>
            <w:r>
              <w:rPr>
                <w:rFonts w:hint="eastAsia" w:cs="宋体"/>
                <w:b w:val="0"/>
                <w:bCs w:val="0"/>
                <w:i w:val="0"/>
                <w:iCs w:val="0"/>
                <w:color w:val="auto"/>
                <w:kern w:val="0"/>
                <w:sz w:val="20"/>
                <w:szCs w:val="20"/>
                <w:u w:val="none"/>
                <w:lang w:val="en-US" w:eastAsia="zh-CN" w:bidi="ar"/>
              </w:rPr>
              <w:t>范围包含</w:t>
            </w:r>
            <w:r>
              <w:rPr>
                <w:rFonts w:hint="eastAsia" w:ascii="宋体" w:hAnsi="宋体" w:eastAsia="宋体" w:cs="宋体"/>
                <w:b w:val="0"/>
                <w:bCs w:val="0"/>
                <w:i w:val="0"/>
                <w:iCs w:val="0"/>
                <w:color w:val="auto"/>
                <w:kern w:val="0"/>
                <w:sz w:val="20"/>
                <w:szCs w:val="20"/>
                <w:u w:val="none"/>
                <w:lang w:val="en-US" w:eastAsia="zh-CN" w:bidi="ar"/>
              </w:rPr>
              <w:t>：10～95%RH无凝露</w:t>
            </w:r>
            <w:r>
              <w:rPr>
                <w:rFonts w:hint="eastAsia" w:cs="宋体"/>
                <w:b w:val="0"/>
                <w:bCs w:val="0"/>
                <w:i w:val="0"/>
                <w:iCs w:val="0"/>
                <w:color w:val="auto"/>
                <w:kern w:val="0"/>
                <w:sz w:val="20"/>
                <w:szCs w:val="20"/>
                <w:u w:val="none"/>
                <w:lang w:val="en-US" w:eastAsia="zh-CN" w:bidi="ar"/>
              </w:rPr>
              <w:t>；</w:t>
            </w:r>
          </w:p>
          <w:p w14:paraId="5DF0CA86">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工作电压：AC220V</w:t>
            </w:r>
            <w:r>
              <w:rPr>
                <w:rFonts w:hint="eastAsia" w:cs="宋体"/>
                <w:b w:val="0"/>
                <w:bCs w:val="0"/>
                <w:i w:val="0"/>
                <w:iCs w:val="0"/>
                <w:color w:val="auto"/>
                <w:kern w:val="0"/>
                <w:sz w:val="20"/>
                <w:szCs w:val="20"/>
                <w:u w:val="none"/>
                <w:lang w:val="en-US" w:eastAsia="zh-CN" w:bidi="ar"/>
              </w:rPr>
              <w:t>；</w:t>
            </w:r>
          </w:p>
          <w:p w14:paraId="603C9F06">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6</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发射功率：≤23dBm±2dB</w:t>
            </w:r>
            <w:r>
              <w:rPr>
                <w:rFonts w:hint="eastAsia" w:cs="宋体"/>
                <w:b w:val="0"/>
                <w:bCs w:val="0"/>
                <w:i w:val="0"/>
                <w:iCs w:val="0"/>
                <w:color w:val="auto"/>
                <w:kern w:val="0"/>
                <w:sz w:val="20"/>
                <w:szCs w:val="20"/>
                <w:u w:val="none"/>
                <w:lang w:val="en-US" w:eastAsia="zh-CN" w:bidi="ar"/>
              </w:rPr>
              <w:t>；</w:t>
            </w:r>
          </w:p>
          <w:p w14:paraId="34ACF2C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7</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适用气体：</w:t>
            </w:r>
            <w:r>
              <w:rPr>
                <w:rFonts w:hint="eastAsia" w:cs="宋体"/>
                <w:b w:val="0"/>
                <w:bCs w:val="0"/>
                <w:i w:val="0"/>
                <w:iCs w:val="0"/>
                <w:color w:val="auto"/>
                <w:kern w:val="0"/>
                <w:sz w:val="20"/>
                <w:szCs w:val="20"/>
                <w:u w:val="none"/>
                <w:lang w:val="en-US" w:eastAsia="zh-CN" w:bidi="ar"/>
              </w:rPr>
              <w:t>包含</w:t>
            </w:r>
            <w:r>
              <w:rPr>
                <w:rFonts w:hint="eastAsia" w:ascii="宋体" w:hAnsi="宋体" w:eastAsia="宋体" w:cs="宋体"/>
                <w:b w:val="0"/>
                <w:bCs w:val="0"/>
                <w:i w:val="0"/>
                <w:iCs w:val="0"/>
                <w:color w:val="auto"/>
                <w:kern w:val="0"/>
                <w:sz w:val="20"/>
                <w:szCs w:val="20"/>
                <w:u w:val="none"/>
                <w:lang w:val="en-US" w:eastAsia="zh-CN" w:bidi="ar"/>
              </w:rPr>
              <w:t>甲烷（天然气），丙烷(液化气)，一氧化碳</w:t>
            </w:r>
            <w:r>
              <w:rPr>
                <w:rFonts w:hint="eastAsia" w:cs="宋体"/>
                <w:b w:val="0"/>
                <w:bCs w:val="0"/>
                <w:i w:val="0"/>
                <w:iCs w:val="0"/>
                <w:color w:val="auto"/>
                <w:kern w:val="0"/>
                <w:sz w:val="20"/>
                <w:szCs w:val="20"/>
                <w:u w:val="none"/>
                <w:lang w:val="en-US" w:eastAsia="zh-CN" w:bidi="ar"/>
              </w:rPr>
              <w:t>；</w:t>
            </w:r>
          </w:p>
          <w:p w14:paraId="0FB9B0D8">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8</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产品具备《无线电发射设备型号核准证》；</w:t>
            </w:r>
          </w:p>
          <w:p w14:paraId="3DAB7322">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9.产品具备《电信设备进网许可证》</w:t>
            </w:r>
            <w:r>
              <w:rPr>
                <w:rFonts w:hint="eastAsia" w:cs="宋体"/>
                <w:b w:val="0"/>
                <w:bCs w:val="0"/>
                <w:i w:val="0"/>
                <w:iCs w:val="0"/>
                <w:color w:val="auto"/>
                <w:kern w:val="0"/>
                <w:sz w:val="20"/>
                <w:szCs w:val="20"/>
                <w:u w:val="none"/>
                <w:lang w:val="en-US" w:eastAsia="zh-CN" w:bidi="ar"/>
              </w:rPr>
              <w:t>。</w:t>
            </w:r>
          </w:p>
        </w:tc>
        <w:tc>
          <w:tcPr>
            <w:tcW w:w="450" w:type="dxa"/>
            <w:vAlign w:val="center"/>
          </w:tcPr>
          <w:p w14:paraId="7925E75F">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1C05F86F">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255 </w:t>
            </w:r>
          </w:p>
        </w:tc>
      </w:tr>
      <w:tr w14:paraId="4BF1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5A18D785">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20</w:t>
            </w:r>
          </w:p>
        </w:tc>
        <w:tc>
          <w:tcPr>
            <w:tcW w:w="570" w:type="dxa"/>
            <w:vMerge w:val="continue"/>
            <w:vAlign w:val="center"/>
          </w:tcPr>
          <w:p w14:paraId="19661A0D">
            <w:pPr>
              <w:jc w:val="center"/>
              <w:rPr>
                <w:rFonts w:hint="eastAsia" w:ascii="宋体" w:hAnsi="宋体" w:eastAsia="宋体" w:cs="宋体"/>
                <w:b w:val="0"/>
                <w:color w:val="auto"/>
                <w:sz w:val="20"/>
                <w:szCs w:val="20"/>
                <w:vertAlign w:val="baseline"/>
                <w:lang w:val="en-US" w:eastAsia="zh-CN"/>
              </w:rPr>
            </w:pPr>
          </w:p>
        </w:tc>
        <w:tc>
          <w:tcPr>
            <w:tcW w:w="585" w:type="dxa"/>
            <w:vAlign w:val="center"/>
          </w:tcPr>
          <w:p w14:paraId="274422A0">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溢水报警器</w:t>
            </w:r>
          </w:p>
        </w:tc>
        <w:tc>
          <w:tcPr>
            <w:tcW w:w="1575" w:type="dxa"/>
            <w:vMerge w:val="continue"/>
            <w:vAlign w:val="center"/>
          </w:tcPr>
          <w:p w14:paraId="22DBB5A5">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2DD98FB9">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4CA9554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无线水浸报警器</w:t>
            </w:r>
          </w:p>
        </w:tc>
        <w:tc>
          <w:tcPr>
            <w:tcW w:w="3420" w:type="dxa"/>
            <w:vAlign w:val="center"/>
          </w:tcPr>
          <w:p w14:paraId="7A22C6CD">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支持本地、远程等多种报警功能；</w:t>
            </w:r>
          </w:p>
          <w:p w14:paraId="50371377">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2</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技术参数：</w:t>
            </w:r>
          </w:p>
          <w:p w14:paraId="69EE8DC6">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电池</w:t>
            </w:r>
            <w:r>
              <w:rPr>
                <w:rFonts w:hint="eastAsia" w:ascii="宋体" w:hAnsi="宋体" w:eastAsia="宋体" w:cs="宋体"/>
                <w:b w:val="0"/>
                <w:bCs w:val="0"/>
                <w:i w:val="0"/>
                <w:iCs w:val="0"/>
                <w:color w:val="auto"/>
                <w:kern w:val="0"/>
                <w:sz w:val="20"/>
                <w:szCs w:val="20"/>
                <w:u w:val="none"/>
                <w:lang w:val="en-US" w:eastAsia="zh-CN" w:bidi="ar"/>
              </w:rPr>
              <w:t>：锂锰电池</w:t>
            </w:r>
            <w:r>
              <w:rPr>
                <w:rFonts w:hint="eastAsia" w:cs="宋体"/>
                <w:b w:val="0"/>
                <w:bCs w:val="0"/>
                <w:i w:val="0"/>
                <w:iCs w:val="0"/>
                <w:color w:val="auto"/>
                <w:kern w:val="0"/>
                <w:sz w:val="20"/>
                <w:szCs w:val="20"/>
                <w:u w:val="none"/>
                <w:lang w:val="en-US" w:eastAsia="zh-CN" w:bidi="ar"/>
              </w:rPr>
              <w:t>容量≥</w:t>
            </w:r>
            <w:r>
              <w:rPr>
                <w:rFonts w:hint="eastAsia" w:ascii="宋体" w:hAnsi="宋体" w:eastAsia="宋体" w:cs="宋体"/>
                <w:b w:val="0"/>
                <w:bCs w:val="0"/>
                <w:i w:val="0"/>
                <w:iCs w:val="0"/>
                <w:color w:val="auto"/>
                <w:kern w:val="0"/>
                <w:sz w:val="20"/>
                <w:szCs w:val="20"/>
                <w:u w:val="none"/>
                <w:lang w:val="en-US" w:eastAsia="zh-CN" w:bidi="ar"/>
              </w:rPr>
              <w:t>1500mAh</w:t>
            </w:r>
            <w:r>
              <w:rPr>
                <w:rFonts w:hint="eastAsia" w:cs="宋体"/>
                <w:b w:val="0"/>
                <w:bCs w:val="0"/>
                <w:i w:val="0"/>
                <w:iCs w:val="0"/>
                <w:color w:val="auto"/>
                <w:kern w:val="0"/>
                <w:sz w:val="20"/>
                <w:szCs w:val="20"/>
                <w:u w:val="none"/>
                <w:lang w:val="en-US" w:eastAsia="zh-CN" w:bidi="ar"/>
              </w:rPr>
              <w:t>；</w:t>
            </w:r>
          </w:p>
          <w:p w14:paraId="6C0608F8">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指示灯：能够表示报警数据传输状态</w:t>
            </w:r>
            <w:r>
              <w:rPr>
                <w:rFonts w:hint="eastAsia" w:cs="宋体"/>
                <w:b w:val="0"/>
                <w:bCs w:val="0"/>
                <w:i w:val="0"/>
                <w:iCs w:val="0"/>
                <w:color w:val="auto"/>
                <w:kern w:val="0"/>
                <w:sz w:val="20"/>
                <w:szCs w:val="20"/>
                <w:u w:val="none"/>
                <w:lang w:val="en-US" w:eastAsia="zh-CN" w:bidi="ar"/>
              </w:rPr>
              <w:t>；</w:t>
            </w:r>
          </w:p>
          <w:p w14:paraId="3E70403A">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智能编码：内置MCU</w:t>
            </w:r>
            <w:r>
              <w:rPr>
                <w:rFonts w:hint="eastAsia" w:cs="宋体"/>
                <w:b w:val="0"/>
                <w:bCs w:val="0"/>
                <w:i w:val="0"/>
                <w:iCs w:val="0"/>
                <w:color w:val="auto"/>
                <w:kern w:val="0"/>
                <w:sz w:val="20"/>
                <w:szCs w:val="20"/>
                <w:u w:val="none"/>
                <w:lang w:val="en-US" w:eastAsia="zh-CN" w:bidi="ar"/>
              </w:rPr>
              <w:t>；</w:t>
            </w:r>
          </w:p>
          <w:p w14:paraId="5850B9A3">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使用环境</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温度</w:t>
            </w:r>
            <w:r>
              <w:rPr>
                <w:rFonts w:hint="eastAsia" w:cs="宋体"/>
                <w:b w:val="0"/>
                <w:bCs w:val="0"/>
                <w:i w:val="0"/>
                <w:iCs w:val="0"/>
                <w:color w:val="auto"/>
                <w:kern w:val="0"/>
                <w:sz w:val="20"/>
                <w:szCs w:val="20"/>
                <w:u w:val="none"/>
                <w:lang w:val="en-US" w:eastAsia="zh-CN" w:bidi="ar"/>
              </w:rPr>
              <w:t>范围包含</w:t>
            </w:r>
            <w:r>
              <w:rPr>
                <w:rFonts w:hint="eastAsia" w:ascii="宋体" w:hAnsi="宋体" w:eastAsia="宋体" w:cs="宋体"/>
                <w:b w:val="0"/>
                <w:bCs w:val="0"/>
                <w:i w:val="0"/>
                <w:iCs w:val="0"/>
                <w:color w:val="auto"/>
                <w:kern w:val="0"/>
                <w:sz w:val="20"/>
                <w:szCs w:val="20"/>
                <w:u w:val="none"/>
                <w:lang w:val="en-US" w:eastAsia="zh-CN" w:bidi="ar"/>
              </w:rPr>
              <w:t>：-10℃ - 50℃；相对湿度：≤95%</w:t>
            </w:r>
            <w:r>
              <w:rPr>
                <w:rFonts w:hint="eastAsia" w:cs="宋体"/>
                <w:b w:val="0"/>
                <w:bCs w:val="0"/>
                <w:i w:val="0"/>
                <w:iCs w:val="0"/>
                <w:color w:val="auto"/>
                <w:kern w:val="0"/>
                <w:sz w:val="20"/>
                <w:szCs w:val="20"/>
                <w:u w:val="none"/>
                <w:lang w:val="en-US" w:eastAsia="zh-CN" w:bidi="ar"/>
              </w:rPr>
              <w:t>；</w:t>
            </w:r>
          </w:p>
          <w:p w14:paraId="7504057E">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3</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探测器采用一体化设计，通讯模组内置</w:t>
            </w:r>
            <w:r>
              <w:rPr>
                <w:rFonts w:hint="eastAsia" w:cs="宋体"/>
                <w:b w:val="0"/>
                <w:bCs w:val="0"/>
                <w:i w:val="0"/>
                <w:iCs w:val="0"/>
                <w:color w:val="auto"/>
                <w:kern w:val="0"/>
                <w:sz w:val="20"/>
                <w:szCs w:val="20"/>
                <w:u w:val="none"/>
                <w:lang w:val="en-US" w:eastAsia="zh-CN" w:bidi="ar"/>
              </w:rPr>
              <w:t>；</w:t>
            </w:r>
          </w:p>
          <w:p w14:paraId="1043D013">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4</w:t>
            </w:r>
            <w:r>
              <w:rPr>
                <w:rFonts w:hint="eastAsia" w:cs="宋体"/>
                <w:b w:val="0"/>
                <w:bCs w:val="0"/>
                <w:i w:val="0"/>
                <w:iCs w:val="0"/>
                <w:color w:val="auto"/>
                <w:kern w:val="0"/>
                <w:sz w:val="20"/>
                <w:szCs w:val="20"/>
                <w:u w:val="none"/>
                <w:lang w:val="en-US" w:eastAsia="zh-CN" w:bidi="ar"/>
              </w:rPr>
              <w:t>.</w:t>
            </w:r>
            <w:r>
              <w:rPr>
                <w:rFonts w:hint="eastAsia" w:ascii="宋体" w:hAnsi="宋体" w:cs="宋体"/>
                <w:b w:val="0"/>
                <w:bCs w:val="0"/>
                <w:color w:val="auto"/>
                <w:kern w:val="0"/>
                <w:sz w:val="20"/>
                <w:szCs w:val="20"/>
                <w:highlight w:val="none"/>
                <w:lang w:bidi="ar"/>
              </w:rPr>
              <w:t>通过NB/4G/WiFi/蓝牙/zigbee方式实现数据上报通讯，并包含3年通讯费</w:t>
            </w:r>
            <w:r>
              <w:rPr>
                <w:rFonts w:hint="eastAsia" w:cs="宋体"/>
                <w:b w:val="0"/>
                <w:bCs w:val="0"/>
                <w:i w:val="0"/>
                <w:iCs w:val="0"/>
                <w:color w:val="auto"/>
                <w:kern w:val="0"/>
                <w:sz w:val="20"/>
                <w:szCs w:val="20"/>
                <w:u w:val="none"/>
                <w:lang w:val="en-US" w:eastAsia="zh-CN" w:bidi="ar"/>
              </w:rPr>
              <w:t>；</w:t>
            </w:r>
          </w:p>
          <w:p w14:paraId="449E49B7">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内置水浸传感器，可以采集水浸或漏水，自动上传至云平台</w:t>
            </w:r>
            <w:r>
              <w:rPr>
                <w:rFonts w:hint="eastAsia" w:cs="宋体"/>
                <w:b w:val="0"/>
                <w:bCs w:val="0"/>
                <w:i w:val="0"/>
                <w:iCs w:val="0"/>
                <w:color w:val="auto"/>
                <w:kern w:val="0"/>
                <w:sz w:val="20"/>
                <w:szCs w:val="20"/>
                <w:u w:val="none"/>
                <w:lang w:val="en-US" w:eastAsia="zh-CN" w:bidi="ar"/>
              </w:rPr>
              <w:t>；</w:t>
            </w:r>
          </w:p>
          <w:p w14:paraId="16B21B57">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6</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具备故障报警功能，支持水浸报警、恢复、故障、欠压、离线等状态信息的接收、解析与传输</w:t>
            </w:r>
            <w:r>
              <w:rPr>
                <w:rFonts w:hint="eastAsia" w:cs="宋体"/>
                <w:b w:val="0"/>
                <w:bCs w:val="0"/>
                <w:i w:val="0"/>
                <w:iCs w:val="0"/>
                <w:color w:val="auto"/>
                <w:kern w:val="0"/>
                <w:sz w:val="20"/>
                <w:szCs w:val="20"/>
                <w:u w:val="none"/>
                <w:lang w:val="en-US" w:eastAsia="zh-CN" w:bidi="ar"/>
              </w:rPr>
              <w:t>；</w:t>
            </w:r>
          </w:p>
          <w:p w14:paraId="482C45D0">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7</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具备数据上报失败再次上报功能，当探测器向服务器发送数据失败时，探测器将主动再发1次数据</w:t>
            </w:r>
            <w:r>
              <w:rPr>
                <w:rFonts w:hint="eastAsia" w:cs="宋体"/>
                <w:b w:val="0"/>
                <w:bCs w:val="0"/>
                <w:i w:val="0"/>
                <w:iCs w:val="0"/>
                <w:color w:val="auto"/>
                <w:kern w:val="0"/>
                <w:sz w:val="20"/>
                <w:szCs w:val="20"/>
                <w:u w:val="none"/>
                <w:lang w:val="en-US" w:eastAsia="zh-CN" w:bidi="ar"/>
              </w:rPr>
              <w:t>；</w:t>
            </w:r>
          </w:p>
          <w:p w14:paraId="01F612F1">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8</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具备信号强度检测功能，并自动上传数据，可通过微信，平台软件进行显示</w:t>
            </w:r>
            <w:r>
              <w:rPr>
                <w:rFonts w:hint="eastAsia" w:cs="宋体"/>
                <w:b w:val="0"/>
                <w:bCs w:val="0"/>
                <w:i w:val="0"/>
                <w:iCs w:val="0"/>
                <w:color w:val="auto"/>
                <w:kern w:val="0"/>
                <w:sz w:val="20"/>
                <w:szCs w:val="20"/>
                <w:u w:val="none"/>
                <w:lang w:val="en-US" w:eastAsia="zh-CN" w:bidi="ar"/>
              </w:rPr>
              <w:t>；</w:t>
            </w:r>
          </w:p>
          <w:p w14:paraId="2900EC43">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9</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具备信号弱提示功能，如安装现场信号较弱，探测器将主动发出信号弱提示</w:t>
            </w:r>
            <w:r>
              <w:rPr>
                <w:rFonts w:hint="eastAsia" w:cs="宋体"/>
                <w:b w:val="0"/>
                <w:bCs w:val="0"/>
                <w:i w:val="0"/>
                <w:iCs w:val="0"/>
                <w:color w:val="auto"/>
                <w:kern w:val="0"/>
                <w:sz w:val="20"/>
                <w:szCs w:val="20"/>
                <w:u w:val="none"/>
                <w:lang w:val="en-US" w:eastAsia="zh-CN" w:bidi="ar"/>
              </w:rPr>
              <w:t>；</w:t>
            </w:r>
          </w:p>
          <w:p w14:paraId="6F5EE181">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10</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具备心跳监测功能，支持探测器苏醒心跳保活机制，可通过平台设置心跳时间周期，分别为12小时、24小时可选</w:t>
            </w:r>
            <w:r>
              <w:rPr>
                <w:rFonts w:hint="eastAsia" w:cs="宋体"/>
                <w:b w:val="0"/>
                <w:bCs w:val="0"/>
                <w:i w:val="0"/>
                <w:iCs w:val="0"/>
                <w:color w:val="auto"/>
                <w:kern w:val="0"/>
                <w:sz w:val="20"/>
                <w:szCs w:val="20"/>
                <w:u w:val="none"/>
                <w:lang w:val="en-US" w:eastAsia="zh-CN" w:bidi="ar"/>
              </w:rPr>
              <w:t>；</w:t>
            </w:r>
          </w:p>
          <w:p w14:paraId="6DBE6E07">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11</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具备组网成功提示功能，组网成功后，指示灯快闪2次</w:t>
            </w:r>
            <w:r>
              <w:rPr>
                <w:rFonts w:hint="eastAsia" w:cs="宋体"/>
                <w:b w:val="0"/>
                <w:bCs w:val="0"/>
                <w:i w:val="0"/>
                <w:iCs w:val="0"/>
                <w:color w:val="auto"/>
                <w:kern w:val="0"/>
                <w:sz w:val="20"/>
                <w:szCs w:val="20"/>
                <w:u w:val="none"/>
                <w:lang w:val="en-US" w:eastAsia="zh-CN" w:bidi="ar"/>
              </w:rPr>
              <w:t>；</w:t>
            </w:r>
          </w:p>
          <w:p w14:paraId="55ADFD16">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12</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探测器上报信息包含：信号强度、电池电量、信号覆盖等级</w:t>
            </w:r>
            <w:r>
              <w:rPr>
                <w:rFonts w:hint="eastAsia" w:cs="宋体"/>
                <w:b w:val="0"/>
                <w:bCs w:val="0"/>
                <w:i w:val="0"/>
                <w:iCs w:val="0"/>
                <w:color w:val="auto"/>
                <w:kern w:val="0"/>
                <w:sz w:val="20"/>
                <w:szCs w:val="20"/>
                <w:u w:val="none"/>
                <w:lang w:val="en-US" w:eastAsia="zh-CN" w:bidi="ar"/>
              </w:rPr>
              <w:t>；</w:t>
            </w:r>
          </w:p>
          <w:p w14:paraId="4A269D76">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w:t>
            </w:r>
            <w:r>
              <w:rPr>
                <w:rFonts w:hint="eastAsia" w:cs="宋体"/>
                <w:b w:val="0"/>
                <w:bCs w:val="0"/>
                <w:i w:val="0"/>
                <w:iCs w:val="0"/>
                <w:color w:val="auto"/>
                <w:kern w:val="0"/>
                <w:sz w:val="20"/>
                <w:szCs w:val="20"/>
                <w:u w:val="none"/>
                <w:lang w:val="en-US" w:eastAsia="zh-CN" w:bidi="ar"/>
              </w:rPr>
              <w:t>3.</w:t>
            </w:r>
            <w:r>
              <w:rPr>
                <w:rFonts w:hint="eastAsia" w:ascii="宋体" w:hAnsi="宋体" w:eastAsia="宋体" w:cs="宋体"/>
                <w:b w:val="0"/>
                <w:bCs w:val="0"/>
                <w:i w:val="0"/>
                <w:iCs w:val="0"/>
                <w:color w:val="auto"/>
                <w:kern w:val="0"/>
                <w:sz w:val="20"/>
                <w:szCs w:val="20"/>
                <w:u w:val="none"/>
                <w:lang w:val="en-US" w:eastAsia="zh-CN" w:bidi="ar"/>
              </w:rPr>
              <w:t>执行标准：GB 4943.1-2011</w:t>
            </w:r>
            <w:r>
              <w:rPr>
                <w:rFonts w:hint="eastAsia" w:cs="宋体"/>
                <w:b w:val="0"/>
                <w:bCs w:val="0"/>
                <w:i w:val="0"/>
                <w:iCs w:val="0"/>
                <w:color w:val="auto"/>
                <w:kern w:val="0"/>
                <w:sz w:val="20"/>
                <w:szCs w:val="20"/>
                <w:u w:val="none"/>
                <w:lang w:val="en-US" w:eastAsia="zh-CN" w:bidi="ar"/>
              </w:rPr>
              <w:t>。</w:t>
            </w:r>
          </w:p>
        </w:tc>
        <w:tc>
          <w:tcPr>
            <w:tcW w:w="450" w:type="dxa"/>
            <w:vAlign w:val="center"/>
          </w:tcPr>
          <w:p w14:paraId="255CAA4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7FD4041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248 </w:t>
            </w:r>
          </w:p>
        </w:tc>
      </w:tr>
      <w:tr w14:paraId="3B02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1C067F9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21</w:t>
            </w:r>
          </w:p>
        </w:tc>
        <w:tc>
          <w:tcPr>
            <w:tcW w:w="570" w:type="dxa"/>
            <w:vMerge w:val="restart"/>
            <w:vAlign w:val="center"/>
          </w:tcPr>
          <w:p w14:paraId="548BDCF9">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视频或语音通话设备（二选一）</w:t>
            </w:r>
          </w:p>
        </w:tc>
        <w:tc>
          <w:tcPr>
            <w:tcW w:w="585" w:type="dxa"/>
            <w:vMerge w:val="restart"/>
            <w:vAlign w:val="center"/>
          </w:tcPr>
          <w:p w14:paraId="1C11CE4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智能监控摄像头</w:t>
            </w:r>
          </w:p>
        </w:tc>
        <w:tc>
          <w:tcPr>
            <w:tcW w:w="1575" w:type="dxa"/>
            <w:vMerge w:val="restart"/>
            <w:vAlign w:val="center"/>
          </w:tcPr>
          <w:p w14:paraId="40DF0D2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双向实时视频或语音通话，及时准确掌握老人在家实时情况</w:t>
            </w:r>
          </w:p>
        </w:tc>
        <w:tc>
          <w:tcPr>
            <w:tcW w:w="615" w:type="dxa"/>
            <w:gridSpan w:val="2"/>
            <w:vMerge w:val="restart"/>
            <w:vAlign w:val="center"/>
          </w:tcPr>
          <w:p w14:paraId="1CE1D9A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基础</w:t>
            </w:r>
          </w:p>
        </w:tc>
        <w:tc>
          <w:tcPr>
            <w:tcW w:w="600" w:type="dxa"/>
            <w:vAlign w:val="center"/>
          </w:tcPr>
          <w:p w14:paraId="1ADC343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智能监控摄像头</w:t>
            </w:r>
          </w:p>
        </w:tc>
        <w:tc>
          <w:tcPr>
            <w:tcW w:w="3420" w:type="dxa"/>
            <w:vAlign w:val="center"/>
          </w:tcPr>
          <w:p w14:paraId="37F9808F">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中央处理器：双核心</w:t>
            </w:r>
            <w:r>
              <w:rPr>
                <w:rFonts w:hint="eastAsia" w:cs="宋体"/>
                <w:b w:val="0"/>
                <w:bCs w:val="0"/>
                <w:i w:val="0"/>
                <w:iCs w:val="0"/>
                <w:color w:val="auto"/>
                <w:kern w:val="0"/>
                <w:sz w:val="20"/>
                <w:szCs w:val="20"/>
                <w:u w:val="none"/>
                <w:lang w:val="en-US" w:eastAsia="zh-CN" w:bidi="ar"/>
              </w:rPr>
              <w:t>及以上</w:t>
            </w:r>
            <w:r>
              <w:rPr>
                <w:rFonts w:hint="eastAsia" w:ascii="宋体" w:hAnsi="宋体" w:eastAsia="宋体" w:cs="宋体"/>
                <w:b w:val="0"/>
                <w:bCs w:val="0"/>
                <w:i w:val="0"/>
                <w:iCs w:val="0"/>
                <w:color w:val="auto"/>
                <w:kern w:val="0"/>
                <w:sz w:val="20"/>
                <w:szCs w:val="20"/>
                <w:u w:val="none"/>
                <w:lang w:val="en-US" w:eastAsia="zh-CN" w:bidi="ar"/>
              </w:rPr>
              <w:t>处理器</w:t>
            </w:r>
            <w:r>
              <w:rPr>
                <w:rFonts w:hint="eastAsia" w:cs="宋体"/>
                <w:b w:val="0"/>
                <w:bCs w:val="0"/>
                <w:i w:val="0"/>
                <w:iCs w:val="0"/>
                <w:color w:val="auto"/>
                <w:kern w:val="0"/>
                <w:sz w:val="20"/>
                <w:szCs w:val="20"/>
                <w:u w:val="none"/>
                <w:lang w:val="en-US" w:eastAsia="zh-CN" w:bidi="ar"/>
              </w:rPr>
              <w:t>；</w:t>
            </w:r>
          </w:p>
          <w:p w14:paraId="133E763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2</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视频分辨率：</w:t>
            </w:r>
            <w:r>
              <w:rPr>
                <w:rFonts w:hint="eastAsia" w:cs="宋体"/>
                <w:b w:val="0"/>
                <w:bCs w:val="0"/>
                <w:i w:val="0"/>
                <w:iCs w:val="0"/>
                <w:color w:val="auto"/>
                <w:kern w:val="0"/>
                <w:sz w:val="20"/>
                <w:szCs w:val="20"/>
                <w:u w:val="none"/>
                <w:lang w:val="en-US" w:eastAsia="zh-CN" w:bidi="ar"/>
              </w:rPr>
              <w:t>不低于</w:t>
            </w:r>
            <w:r>
              <w:rPr>
                <w:rFonts w:hint="eastAsia" w:ascii="宋体" w:hAnsi="宋体" w:eastAsia="宋体" w:cs="宋体"/>
                <w:b w:val="0"/>
                <w:bCs w:val="0"/>
                <w:i w:val="0"/>
                <w:iCs w:val="0"/>
                <w:color w:val="auto"/>
                <w:kern w:val="0"/>
                <w:sz w:val="20"/>
                <w:szCs w:val="20"/>
                <w:u w:val="none"/>
                <w:lang w:val="en-US" w:eastAsia="zh-CN" w:bidi="ar"/>
              </w:rPr>
              <w:t>1920</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1080高清</w:t>
            </w:r>
            <w:r>
              <w:rPr>
                <w:rFonts w:hint="eastAsia" w:cs="宋体"/>
                <w:b w:val="0"/>
                <w:bCs w:val="0"/>
                <w:i w:val="0"/>
                <w:iCs w:val="0"/>
                <w:color w:val="auto"/>
                <w:kern w:val="0"/>
                <w:sz w:val="20"/>
                <w:szCs w:val="20"/>
                <w:u w:val="none"/>
                <w:lang w:val="en-US" w:eastAsia="zh-CN" w:bidi="ar"/>
              </w:rPr>
              <w:t>；</w:t>
            </w:r>
          </w:p>
          <w:p w14:paraId="76249DFE">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3</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镜头：</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120</w:t>
            </w:r>
            <w:r>
              <w:rPr>
                <w:rFonts w:ascii="Segoe UI" w:hAnsi="Segoe UI" w:eastAsia="Segoe UI" w:cs="Segoe UI"/>
                <w:b w:val="0"/>
                <w:bCs w:val="0"/>
                <w:i w:val="0"/>
                <w:iCs w:val="0"/>
                <w:caps w:val="0"/>
                <w:color w:val="auto"/>
                <w:spacing w:val="0"/>
                <w:sz w:val="22"/>
                <w:szCs w:val="22"/>
                <w:shd w:val="clear" w:fill="FDFDFE"/>
              </w:rPr>
              <w:t>°</w:t>
            </w:r>
            <w:r>
              <w:rPr>
                <w:rFonts w:hint="eastAsia" w:ascii="宋体" w:hAnsi="宋体" w:eastAsia="宋体" w:cs="宋体"/>
                <w:b w:val="0"/>
                <w:bCs w:val="0"/>
                <w:i w:val="0"/>
                <w:iCs w:val="0"/>
                <w:color w:val="auto"/>
                <w:kern w:val="0"/>
                <w:sz w:val="20"/>
                <w:szCs w:val="20"/>
                <w:u w:val="none"/>
                <w:lang w:val="en-US" w:eastAsia="zh-CN" w:bidi="ar"/>
              </w:rPr>
              <w:t>视角</w:t>
            </w:r>
            <w:r>
              <w:rPr>
                <w:rFonts w:hint="eastAsia" w:cs="宋体"/>
                <w:b w:val="0"/>
                <w:bCs w:val="0"/>
                <w:i w:val="0"/>
                <w:iCs w:val="0"/>
                <w:color w:val="auto"/>
                <w:kern w:val="0"/>
                <w:sz w:val="20"/>
                <w:szCs w:val="20"/>
                <w:u w:val="none"/>
                <w:lang w:val="en-US" w:eastAsia="zh-CN" w:bidi="ar"/>
              </w:rPr>
              <w:t>；</w:t>
            </w:r>
          </w:p>
          <w:p w14:paraId="5FC479DE">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4</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夜视距离：</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10M</w:t>
            </w:r>
            <w:r>
              <w:rPr>
                <w:rFonts w:hint="eastAsia" w:cs="宋体"/>
                <w:b w:val="0"/>
                <w:bCs w:val="0"/>
                <w:i w:val="0"/>
                <w:iCs w:val="0"/>
                <w:color w:val="auto"/>
                <w:kern w:val="0"/>
                <w:sz w:val="20"/>
                <w:szCs w:val="20"/>
                <w:u w:val="none"/>
                <w:lang w:val="en-US" w:eastAsia="zh-CN" w:bidi="ar"/>
              </w:rPr>
              <w:t>；</w:t>
            </w:r>
          </w:p>
          <w:p w14:paraId="5A55AD1F">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成音频率：双数字麦克风阵列，拾音距离:</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7M</w:t>
            </w:r>
            <w:r>
              <w:rPr>
                <w:rFonts w:hint="eastAsia" w:cs="宋体"/>
                <w:b w:val="0"/>
                <w:bCs w:val="0"/>
                <w:i w:val="0"/>
                <w:iCs w:val="0"/>
                <w:color w:val="auto"/>
                <w:kern w:val="0"/>
                <w:sz w:val="20"/>
                <w:szCs w:val="20"/>
                <w:u w:val="none"/>
                <w:lang w:val="en-US" w:eastAsia="zh-CN" w:bidi="ar"/>
              </w:rPr>
              <w:t>；</w:t>
            </w:r>
          </w:p>
          <w:p w14:paraId="498B1CD3">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6</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云台轮换：水平360°，垂直</w:t>
            </w:r>
            <w:r>
              <w:rPr>
                <w:rFonts w:hint="eastAsia" w:cs="宋体"/>
                <w:b w:val="0"/>
                <w:bCs w:val="0"/>
                <w:i w:val="0"/>
                <w:iCs w:val="0"/>
                <w:color w:val="auto"/>
                <w:kern w:val="0"/>
                <w:sz w:val="20"/>
                <w:szCs w:val="20"/>
                <w:u w:val="none"/>
                <w:lang w:val="en-US" w:eastAsia="zh-CN" w:bidi="ar"/>
              </w:rPr>
              <w:t>轴≥</w:t>
            </w:r>
            <w:r>
              <w:rPr>
                <w:rFonts w:hint="eastAsia" w:ascii="宋体" w:hAnsi="宋体" w:eastAsia="宋体" w:cs="宋体"/>
                <w:b w:val="0"/>
                <w:bCs w:val="0"/>
                <w:i w:val="0"/>
                <w:iCs w:val="0"/>
                <w:color w:val="auto"/>
                <w:kern w:val="0"/>
                <w:sz w:val="20"/>
                <w:szCs w:val="20"/>
                <w:u w:val="none"/>
                <w:lang w:val="en-US" w:eastAsia="zh-CN" w:bidi="ar"/>
              </w:rPr>
              <w:t>105°</w:t>
            </w:r>
            <w:r>
              <w:rPr>
                <w:rFonts w:hint="eastAsia" w:cs="宋体"/>
                <w:b w:val="0"/>
                <w:bCs w:val="0"/>
                <w:i w:val="0"/>
                <w:iCs w:val="0"/>
                <w:color w:val="auto"/>
                <w:kern w:val="0"/>
                <w:sz w:val="20"/>
                <w:szCs w:val="20"/>
                <w:u w:val="none"/>
                <w:lang w:val="en-US" w:eastAsia="zh-CN" w:bidi="ar"/>
              </w:rPr>
              <w:t>；</w:t>
            </w:r>
          </w:p>
          <w:p w14:paraId="0F5419F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7</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网络：2.4GHz</w:t>
            </w:r>
            <w:r>
              <w:rPr>
                <w:rFonts w:hint="eastAsia" w:cs="宋体"/>
                <w:b w:val="0"/>
                <w:bCs w:val="0"/>
                <w:i w:val="0"/>
                <w:iCs w:val="0"/>
                <w:color w:val="auto"/>
                <w:kern w:val="0"/>
                <w:sz w:val="20"/>
                <w:szCs w:val="20"/>
                <w:u w:val="none"/>
                <w:lang w:val="en-US" w:eastAsia="zh-CN" w:bidi="ar"/>
              </w:rPr>
              <w:t>或5GHz；支持</w:t>
            </w:r>
            <w:r>
              <w:rPr>
                <w:rFonts w:hint="eastAsia" w:ascii="宋体" w:hAnsi="宋体" w:eastAsia="宋体" w:cs="宋体"/>
                <w:b w:val="0"/>
                <w:bCs w:val="0"/>
                <w:i w:val="0"/>
                <w:iCs w:val="0"/>
                <w:color w:val="auto"/>
                <w:kern w:val="0"/>
                <w:sz w:val="20"/>
                <w:szCs w:val="20"/>
                <w:u w:val="none"/>
                <w:lang w:val="en-US" w:eastAsia="zh-CN" w:bidi="ar"/>
              </w:rPr>
              <w:t>wifi</w:t>
            </w:r>
            <w:r>
              <w:rPr>
                <w:rFonts w:hint="eastAsia" w:cs="宋体"/>
                <w:b w:val="0"/>
                <w:bCs w:val="0"/>
                <w:i w:val="0"/>
                <w:iCs w:val="0"/>
                <w:color w:val="auto"/>
                <w:kern w:val="0"/>
                <w:sz w:val="20"/>
                <w:szCs w:val="20"/>
                <w:u w:val="none"/>
                <w:lang w:val="en-US" w:eastAsia="zh-CN" w:bidi="ar"/>
              </w:rPr>
              <w:t>；</w:t>
            </w:r>
          </w:p>
          <w:p w14:paraId="65F7F892">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8</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智能报警器：消息推送，区域警报、支持人体检测、运动检测</w:t>
            </w:r>
            <w:r>
              <w:rPr>
                <w:rFonts w:hint="eastAsia" w:cs="宋体"/>
                <w:b w:val="0"/>
                <w:bCs w:val="0"/>
                <w:i w:val="0"/>
                <w:iCs w:val="0"/>
                <w:color w:val="auto"/>
                <w:kern w:val="0"/>
                <w:sz w:val="20"/>
                <w:szCs w:val="20"/>
                <w:u w:val="none"/>
                <w:lang w:val="en-US" w:eastAsia="zh-CN" w:bidi="ar"/>
              </w:rPr>
              <w:t>。</w:t>
            </w:r>
          </w:p>
        </w:tc>
        <w:tc>
          <w:tcPr>
            <w:tcW w:w="450" w:type="dxa"/>
            <w:vAlign w:val="center"/>
          </w:tcPr>
          <w:p w14:paraId="0E272F2B">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013F64AD">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453 </w:t>
            </w:r>
          </w:p>
        </w:tc>
      </w:tr>
      <w:tr w14:paraId="1947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091CED57">
            <w:pPr>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4ABE9231">
            <w:pPr>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1BB68321">
            <w:pPr>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6C4B9D8D">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26740BA3">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41A67D1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智能桌面电视</w:t>
            </w:r>
          </w:p>
        </w:tc>
        <w:tc>
          <w:tcPr>
            <w:tcW w:w="3420" w:type="dxa"/>
            <w:vAlign w:val="center"/>
          </w:tcPr>
          <w:p w14:paraId="11312A46">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w:t>
            </w:r>
            <w:r>
              <w:rPr>
                <w:rFonts w:hint="eastAsia" w:ascii="宋体" w:hAnsi="宋体" w:eastAsia="宋体" w:cs="宋体"/>
                <w:b w:val="0"/>
                <w:bCs w:val="0"/>
                <w:i w:val="0"/>
                <w:iCs w:val="0"/>
                <w:color w:val="auto"/>
                <w:kern w:val="0"/>
                <w:sz w:val="20"/>
                <w:szCs w:val="20"/>
                <w:u w:val="none"/>
                <w:lang w:val="en-US" w:eastAsia="zh-CN" w:bidi="ar"/>
              </w:rPr>
              <w:t>屏幕：</w:t>
            </w:r>
            <w:r>
              <w:rPr>
                <w:rFonts w:hint="eastAsia" w:cs="宋体"/>
                <w:b w:val="0"/>
                <w:bCs w:val="0"/>
                <w:i w:val="0"/>
                <w:iCs w:val="0"/>
                <w:color w:val="auto"/>
                <w:kern w:val="0"/>
                <w:sz w:val="20"/>
                <w:szCs w:val="20"/>
                <w:u w:val="none"/>
                <w:lang w:val="en-US" w:eastAsia="zh-CN" w:bidi="ar"/>
              </w:rPr>
              <w:t>不小于</w:t>
            </w:r>
            <w:r>
              <w:rPr>
                <w:rFonts w:hint="eastAsia" w:ascii="宋体" w:hAnsi="宋体" w:eastAsia="宋体" w:cs="宋体"/>
                <w:b w:val="0"/>
                <w:bCs w:val="0"/>
                <w:i w:val="0"/>
                <w:iCs w:val="0"/>
                <w:color w:val="auto"/>
                <w:kern w:val="0"/>
                <w:sz w:val="20"/>
                <w:szCs w:val="20"/>
                <w:u w:val="none"/>
                <w:lang w:val="en-US" w:eastAsia="zh-CN" w:bidi="ar"/>
              </w:rPr>
              <w:t>8英寸；</w:t>
            </w:r>
            <w:r>
              <w:rPr>
                <w:rFonts w:hint="eastAsia" w:cs="宋体"/>
                <w:b w:val="0"/>
                <w:bCs w:val="0"/>
                <w:i w:val="0"/>
                <w:iCs w:val="0"/>
                <w:color w:val="auto"/>
                <w:kern w:val="0"/>
                <w:sz w:val="20"/>
                <w:szCs w:val="20"/>
                <w:u w:val="none"/>
                <w:lang w:val="en-US" w:eastAsia="zh-CN" w:bidi="ar"/>
              </w:rPr>
              <w:t>分辨率：不低于</w:t>
            </w:r>
            <w:r>
              <w:rPr>
                <w:rFonts w:hint="eastAsia" w:ascii="宋体" w:hAnsi="宋体" w:eastAsia="宋体" w:cs="宋体"/>
                <w:b w:val="0"/>
                <w:bCs w:val="0"/>
                <w:i w:val="0"/>
                <w:iCs w:val="0"/>
                <w:color w:val="auto"/>
                <w:kern w:val="0"/>
                <w:sz w:val="20"/>
                <w:szCs w:val="20"/>
                <w:u w:val="none"/>
                <w:lang w:val="en-US" w:eastAsia="zh-CN" w:bidi="ar"/>
              </w:rPr>
              <w:t>1280</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800</w:t>
            </w:r>
            <w:r>
              <w:rPr>
                <w:rFonts w:hint="eastAsia" w:cs="宋体"/>
                <w:b w:val="0"/>
                <w:bCs w:val="0"/>
                <w:i w:val="0"/>
                <w:iCs w:val="0"/>
                <w:color w:val="auto"/>
                <w:kern w:val="0"/>
                <w:sz w:val="20"/>
                <w:szCs w:val="20"/>
                <w:u w:val="none"/>
                <w:lang w:val="en-US" w:eastAsia="zh-CN" w:bidi="ar"/>
              </w:rPr>
              <w:t>；</w:t>
            </w:r>
          </w:p>
          <w:p w14:paraId="6443DC6C">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2.</w:t>
            </w:r>
            <w:r>
              <w:rPr>
                <w:rFonts w:hint="eastAsia" w:ascii="宋体" w:hAnsi="宋体" w:eastAsia="宋体" w:cs="宋体"/>
                <w:b w:val="0"/>
                <w:bCs w:val="0"/>
                <w:i w:val="0"/>
                <w:iCs w:val="0"/>
                <w:color w:val="auto"/>
                <w:kern w:val="0"/>
                <w:sz w:val="20"/>
                <w:szCs w:val="20"/>
                <w:u w:val="none"/>
                <w:lang w:val="en-US" w:eastAsia="zh-CN" w:bidi="ar"/>
              </w:rPr>
              <w:t>摄像头：</w:t>
            </w:r>
            <w:r>
              <w:rPr>
                <w:rFonts w:hint="eastAsia" w:cs="宋体"/>
                <w:b w:val="0"/>
                <w:bCs w:val="0"/>
                <w:i w:val="0"/>
                <w:iCs w:val="0"/>
                <w:color w:val="auto"/>
                <w:kern w:val="0"/>
                <w:sz w:val="20"/>
                <w:szCs w:val="20"/>
                <w:u w:val="none"/>
                <w:lang w:val="en-US" w:eastAsia="zh-CN" w:bidi="ar"/>
              </w:rPr>
              <w:t>像素不低于</w:t>
            </w:r>
            <w:r>
              <w:rPr>
                <w:rFonts w:hint="eastAsia" w:ascii="宋体" w:hAnsi="宋体" w:eastAsia="宋体" w:cs="宋体"/>
                <w:b w:val="0"/>
                <w:bCs w:val="0"/>
                <w:i w:val="0"/>
                <w:iCs w:val="0"/>
                <w:color w:val="auto"/>
                <w:kern w:val="0"/>
                <w:sz w:val="20"/>
                <w:szCs w:val="20"/>
                <w:u w:val="none"/>
                <w:lang w:val="en-US" w:eastAsia="zh-CN" w:bidi="ar"/>
              </w:rPr>
              <w:t>200</w:t>
            </w:r>
            <w:r>
              <w:rPr>
                <w:rFonts w:hint="eastAsia" w:cs="宋体"/>
                <w:b w:val="0"/>
                <w:bCs w:val="0"/>
                <w:i w:val="0"/>
                <w:iCs w:val="0"/>
                <w:color w:val="auto"/>
                <w:kern w:val="0"/>
                <w:sz w:val="20"/>
                <w:szCs w:val="20"/>
                <w:u w:val="none"/>
                <w:lang w:val="en-US" w:eastAsia="zh-CN" w:bidi="ar"/>
              </w:rPr>
              <w:t>W；</w:t>
            </w:r>
          </w:p>
          <w:p w14:paraId="43038F0D">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3.</w:t>
            </w:r>
            <w:r>
              <w:rPr>
                <w:rFonts w:hint="eastAsia" w:ascii="宋体" w:hAnsi="宋体" w:eastAsia="宋体" w:cs="宋体"/>
                <w:b w:val="0"/>
                <w:bCs w:val="0"/>
                <w:i w:val="0"/>
                <w:iCs w:val="0"/>
                <w:color w:val="auto"/>
                <w:kern w:val="0"/>
                <w:sz w:val="20"/>
                <w:szCs w:val="20"/>
                <w:u w:val="none"/>
                <w:lang w:val="en-US" w:eastAsia="zh-CN" w:bidi="ar"/>
              </w:rPr>
              <w:t>内存：</w:t>
            </w:r>
            <w:r>
              <w:rPr>
                <w:rFonts w:hint="eastAsia" w:cs="宋体"/>
                <w:b w:val="0"/>
                <w:bCs w:val="0"/>
                <w:i w:val="0"/>
                <w:iCs w:val="0"/>
                <w:color w:val="auto"/>
                <w:kern w:val="0"/>
                <w:sz w:val="20"/>
                <w:szCs w:val="20"/>
                <w:u w:val="none"/>
                <w:lang w:val="en-US" w:eastAsia="zh-CN" w:bidi="ar"/>
              </w:rPr>
              <w:t>不低于</w:t>
            </w:r>
            <w:r>
              <w:rPr>
                <w:rFonts w:hint="eastAsia" w:ascii="宋体" w:hAnsi="宋体" w:eastAsia="宋体" w:cs="宋体"/>
                <w:b w:val="0"/>
                <w:bCs w:val="0"/>
                <w:i w:val="0"/>
                <w:iCs w:val="0"/>
                <w:color w:val="auto"/>
                <w:kern w:val="0"/>
                <w:sz w:val="20"/>
                <w:szCs w:val="20"/>
                <w:u w:val="none"/>
                <w:lang w:val="en-US" w:eastAsia="zh-CN" w:bidi="ar"/>
              </w:rPr>
              <w:t>1G+8G</w:t>
            </w:r>
            <w:r>
              <w:rPr>
                <w:rFonts w:hint="eastAsia" w:cs="宋体"/>
                <w:b w:val="0"/>
                <w:bCs w:val="0"/>
                <w:i w:val="0"/>
                <w:iCs w:val="0"/>
                <w:color w:val="auto"/>
                <w:kern w:val="0"/>
                <w:sz w:val="20"/>
                <w:szCs w:val="20"/>
                <w:u w:val="none"/>
                <w:lang w:val="en-US" w:eastAsia="zh-CN" w:bidi="ar"/>
              </w:rPr>
              <w:t>；</w:t>
            </w:r>
          </w:p>
          <w:p w14:paraId="24EFC679">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4.</w:t>
            </w:r>
            <w:r>
              <w:rPr>
                <w:rFonts w:hint="eastAsia" w:ascii="宋体" w:hAnsi="宋体" w:eastAsia="宋体" w:cs="宋体"/>
                <w:b w:val="0"/>
                <w:bCs w:val="0"/>
                <w:i w:val="0"/>
                <w:iCs w:val="0"/>
                <w:color w:val="auto"/>
                <w:kern w:val="0"/>
                <w:sz w:val="20"/>
                <w:szCs w:val="20"/>
                <w:u w:val="none"/>
                <w:lang w:val="en-US" w:eastAsia="zh-CN" w:bidi="ar"/>
              </w:rPr>
              <w:t>麦克风：</w:t>
            </w:r>
            <w:r>
              <w:rPr>
                <w:rFonts w:hint="eastAsia" w:cs="宋体"/>
                <w:b w:val="0"/>
                <w:bCs w:val="0"/>
                <w:i w:val="0"/>
                <w:iCs w:val="0"/>
                <w:color w:val="auto"/>
                <w:kern w:val="0"/>
                <w:sz w:val="20"/>
                <w:szCs w:val="20"/>
                <w:u w:val="none"/>
                <w:lang w:val="en-US" w:eastAsia="zh-CN" w:bidi="ar"/>
              </w:rPr>
              <w:t>不少于</w:t>
            </w:r>
            <w:r>
              <w:rPr>
                <w:rFonts w:hint="eastAsia" w:ascii="宋体" w:hAnsi="宋体" w:eastAsia="宋体" w:cs="宋体"/>
                <w:b w:val="0"/>
                <w:bCs w:val="0"/>
                <w:i w:val="0"/>
                <w:iCs w:val="0"/>
                <w:color w:val="auto"/>
                <w:kern w:val="0"/>
                <w:sz w:val="20"/>
                <w:szCs w:val="20"/>
                <w:u w:val="none"/>
                <w:lang w:val="en-US" w:eastAsia="zh-CN" w:bidi="ar"/>
              </w:rPr>
              <w:t>4mics</w:t>
            </w:r>
            <w:r>
              <w:rPr>
                <w:rFonts w:hint="eastAsia" w:cs="宋体"/>
                <w:b w:val="0"/>
                <w:bCs w:val="0"/>
                <w:i w:val="0"/>
                <w:iCs w:val="0"/>
                <w:color w:val="auto"/>
                <w:kern w:val="0"/>
                <w:sz w:val="20"/>
                <w:szCs w:val="20"/>
                <w:u w:val="none"/>
                <w:lang w:val="en-US" w:eastAsia="zh-CN" w:bidi="ar"/>
              </w:rPr>
              <w:t>；</w:t>
            </w:r>
          </w:p>
          <w:p w14:paraId="6206E8B3">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5.</w:t>
            </w:r>
            <w:r>
              <w:rPr>
                <w:rFonts w:hint="eastAsia" w:ascii="宋体" w:hAnsi="宋体" w:eastAsia="宋体" w:cs="宋体"/>
                <w:b w:val="0"/>
                <w:bCs w:val="0"/>
                <w:i w:val="0"/>
                <w:iCs w:val="0"/>
                <w:color w:val="auto"/>
                <w:kern w:val="0"/>
                <w:sz w:val="20"/>
                <w:szCs w:val="20"/>
                <w:u w:val="none"/>
                <w:lang w:val="en-US" w:eastAsia="zh-CN" w:bidi="ar"/>
              </w:rPr>
              <w:t>扬声器：</w:t>
            </w:r>
            <w:r>
              <w:rPr>
                <w:rFonts w:hint="eastAsia" w:cs="宋体"/>
                <w:b w:val="0"/>
                <w:bCs w:val="0"/>
                <w:i w:val="0"/>
                <w:iCs w:val="0"/>
                <w:color w:val="auto"/>
                <w:kern w:val="0"/>
                <w:sz w:val="20"/>
                <w:szCs w:val="20"/>
                <w:u w:val="none"/>
                <w:lang w:val="en-US" w:eastAsia="zh-CN" w:bidi="ar"/>
              </w:rPr>
              <w:t>最大输出功率不小于</w:t>
            </w:r>
            <w:r>
              <w:rPr>
                <w:rFonts w:hint="eastAsia" w:ascii="宋体" w:hAnsi="宋体" w:eastAsia="宋体" w:cs="宋体"/>
                <w:b w:val="0"/>
                <w:bCs w:val="0"/>
                <w:i w:val="0"/>
                <w:iCs w:val="0"/>
                <w:color w:val="auto"/>
                <w:kern w:val="0"/>
                <w:sz w:val="20"/>
                <w:szCs w:val="20"/>
                <w:u w:val="none"/>
                <w:lang w:val="en-US" w:eastAsia="zh-CN" w:bidi="ar"/>
              </w:rPr>
              <w:t>8</w:t>
            </w:r>
            <w:r>
              <w:rPr>
                <w:rFonts w:hint="eastAsia" w:cs="宋体"/>
                <w:b w:val="0"/>
                <w:bCs w:val="0"/>
                <w:i w:val="0"/>
                <w:iCs w:val="0"/>
                <w:color w:val="auto"/>
                <w:kern w:val="0"/>
                <w:sz w:val="20"/>
                <w:szCs w:val="20"/>
                <w:u w:val="none"/>
                <w:lang w:val="en-US" w:eastAsia="zh-CN" w:bidi="ar"/>
              </w:rPr>
              <w:t>W；</w:t>
            </w:r>
          </w:p>
          <w:p w14:paraId="43FD3EA9">
            <w:pPr>
              <w:keepNext w:val="0"/>
              <w:keepLines w:val="0"/>
              <w:widowControl/>
              <w:suppressLineNumbers w:val="0"/>
              <w:jc w:val="left"/>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6.支持WIFI功能；</w:t>
            </w:r>
          </w:p>
          <w:p w14:paraId="13D2650F">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7.支持蓝牙功能。</w:t>
            </w:r>
          </w:p>
        </w:tc>
        <w:tc>
          <w:tcPr>
            <w:tcW w:w="450" w:type="dxa"/>
            <w:vAlign w:val="center"/>
          </w:tcPr>
          <w:p w14:paraId="6992753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35AF4A4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855 </w:t>
            </w:r>
          </w:p>
        </w:tc>
      </w:tr>
      <w:tr w14:paraId="45F1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64AB4B5A">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22</w:t>
            </w:r>
          </w:p>
        </w:tc>
        <w:tc>
          <w:tcPr>
            <w:tcW w:w="570" w:type="dxa"/>
            <w:vMerge w:val="restart"/>
            <w:vAlign w:val="center"/>
          </w:tcPr>
          <w:p w14:paraId="4424D3C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智能感应设备</w:t>
            </w:r>
          </w:p>
        </w:tc>
        <w:tc>
          <w:tcPr>
            <w:tcW w:w="585" w:type="dxa"/>
            <w:vAlign w:val="center"/>
          </w:tcPr>
          <w:p w14:paraId="6E8DE4DE">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门磁感应器</w:t>
            </w:r>
          </w:p>
        </w:tc>
        <w:tc>
          <w:tcPr>
            <w:tcW w:w="1575" w:type="dxa"/>
            <w:vAlign w:val="center"/>
          </w:tcPr>
          <w:p w14:paraId="51109B1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装在门或窗等位置，实时监测门窗开闭状态，触发及时报警</w:t>
            </w:r>
          </w:p>
        </w:tc>
        <w:tc>
          <w:tcPr>
            <w:tcW w:w="615" w:type="dxa"/>
            <w:gridSpan w:val="2"/>
            <w:vMerge w:val="restart"/>
            <w:vAlign w:val="center"/>
          </w:tcPr>
          <w:p w14:paraId="33A4C8C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可选</w:t>
            </w:r>
          </w:p>
        </w:tc>
        <w:tc>
          <w:tcPr>
            <w:tcW w:w="600" w:type="dxa"/>
            <w:vAlign w:val="center"/>
          </w:tcPr>
          <w:p w14:paraId="595B493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门磁报警器</w:t>
            </w:r>
          </w:p>
        </w:tc>
        <w:tc>
          <w:tcPr>
            <w:tcW w:w="3420" w:type="dxa"/>
            <w:vAlign w:val="center"/>
          </w:tcPr>
          <w:p w14:paraId="5CFBCF19">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通信方式：</w:t>
            </w:r>
            <w:r>
              <w:rPr>
                <w:rFonts w:hint="eastAsia" w:ascii="宋体" w:hAnsi="宋体" w:cs="宋体"/>
                <w:b w:val="0"/>
                <w:bCs w:val="0"/>
                <w:color w:val="auto"/>
                <w:kern w:val="0"/>
                <w:sz w:val="20"/>
                <w:szCs w:val="20"/>
                <w:highlight w:val="none"/>
                <w:lang w:bidi="ar"/>
              </w:rPr>
              <w:t>NB/4G/WiFi/蓝牙/zigbee并包含3年通讯费。</w:t>
            </w:r>
            <w:r>
              <w:rPr>
                <w:rFonts w:hint="eastAsia" w:cs="宋体"/>
                <w:b w:val="0"/>
                <w:bCs w:val="0"/>
                <w:i w:val="0"/>
                <w:iCs w:val="0"/>
                <w:color w:val="auto"/>
                <w:kern w:val="0"/>
                <w:sz w:val="20"/>
                <w:szCs w:val="20"/>
                <w:u w:val="none"/>
                <w:lang w:val="en-US" w:eastAsia="zh-CN" w:bidi="ar"/>
              </w:rPr>
              <w:t>；</w:t>
            </w:r>
          </w:p>
          <w:p w14:paraId="0CB0207C">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2.</w:t>
            </w:r>
            <w:r>
              <w:rPr>
                <w:rFonts w:hint="eastAsia" w:ascii="宋体" w:hAnsi="宋体" w:eastAsia="宋体" w:cs="宋体"/>
                <w:b w:val="0"/>
                <w:bCs w:val="0"/>
                <w:i w:val="0"/>
                <w:iCs w:val="0"/>
                <w:color w:val="auto"/>
                <w:kern w:val="0"/>
                <w:sz w:val="20"/>
                <w:szCs w:val="20"/>
                <w:u w:val="none"/>
                <w:lang w:val="en-US" w:eastAsia="zh-CN" w:bidi="ar"/>
              </w:rPr>
              <w:t>开门距离：&gt;35mm </w:t>
            </w:r>
            <w:r>
              <w:rPr>
                <w:rFonts w:hint="eastAsia" w:cs="宋体"/>
                <w:b w:val="0"/>
                <w:bCs w:val="0"/>
                <w:i w:val="0"/>
                <w:iCs w:val="0"/>
                <w:color w:val="auto"/>
                <w:kern w:val="0"/>
                <w:sz w:val="20"/>
                <w:szCs w:val="20"/>
                <w:u w:val="none"/>
                <w:lang w:val="en-US" w:eastAsia="zh-CN" w:bidi="ar"/>
              </w:rPr>
              <w:t>；</w:t>
            </w:r>
          </w:p>
          <w:p w14:paraId="35B0298E">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3.</w:t>
            </w:r>
            <w:r>
              <w:rPr>
                <w:rFonts w:hint="eastAsia" w:ascii="宋体" w:hAnsi="宋体" w:eastAsia="宋体" w:cs="宋体"/>
                <w:b w:val="0"/>
                <w:bCs w:val="0"/>
                <w:i w:val="0"/>
                <w:iCs w:val="0"/>
                <w:color w:val="auto"/>
                <w:kern w:val="0"/>
                <w:sz w:val="20"/>
                <w:szCs w:val="20"/>
                <w:u w:val="none"/>
                <w:lang w:val="en-US" w:eastAsia="zh-CN" w:bidi="ar"/>
              </w:rPr>
              <w:t>关门距离：＜25mm</w:t>
            </w:r>
            <w:r>
              <w:rPr>
                <w:rFonts w:hint="eastAsia" w:cs="宋体"/>
                <w:b w:val="0"/>
                <w:bCs w:val="0"/>
                <w:i w:val="0"/>
                <w:iCs w:val="0"/>
                <w:color w:val="auto"/>
                <w:kern w:val="0"/>
                <w:sz w:val="20"/>
                <w:szCs w:val="20"/>
                <w:u w:val="none"/>
                <w:lang w:val="en-US" w:eastAsia="zh-CN" w:bidi="ar"/>
              </w:rPr>
              <w:t>；</w:t>
            </w:r>
          </w:p>
          <w:p w14:paraId="4932F3A4">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4.</w:t>
            </w:r>
            <w:r>
              <w:rPr>
                <w:rFonts w:hint="eastAsia" w:ascii="宋体" w:hAnsi="宋体" w:eastAsia="宋体" w:cs="宋体"/>
                <w:b w:val="0"/>
                <w:bCs w:val="0"/>
                <w:i w:val="0"/>
                <w:iCs w:val="0"/>
                <w:color w:val="auto"/>
                <w:kern w:val="0"/>
                <w:sz w:val="20"/>
                <w:szCs w:val="20"/>
                <w:u w:val="none"/>
                <w:lang w:val="en-US" w:eastAsia="zh-CN" w:bidi="ar"/>
              </w:rPr>
              <w:t>使用环境：温度</w:t>
            </w:r>
            <w:r>
              <w:rPr>
                <w:rFonts w:hint="eastAsia" w:cs="宋体"/>
                <w:b w:val="0"/>
                <w:bCs w:val="0"/>
                <w:i w:val="0"/>
                <w:iCs w:val="0"/>
                <w:color w:val="auto"/>
                <w:kern w:val="0"/>
                <w:sz w:val="20"/>
                <w:szCs w:val="20"/>
                <w:u w:val="none"/>
                <w:lang w:val="en-US" w:eastAsia="zh-CN" w:bidi="ar"/>
              </w:rPr>
              <w:t>范围包含</w:t>
            </w:r>
            <w:r>
              <w:rPr>
                <w:rFonts w:hint="eastAsia" w:ascii="宋体" w:hAnsi="宋体" w:eastAsia="宋体" w:cs="宋体"/>
                <w:b w:val="0"/>
                <w:bCs w:val="0"/>
                <w:i w:val="0"/>
                <w:iCs w:val="0"/>
                <w:color w:val="auto"/>
                <w:kern w:val="0"/>
                <w:sz w:val="20"/>
                <w:szCs w:val="20"/>
                <w:u w:val="none"/>
                <w:lang w:val="en-US" w:eastAsia="zh-CN" w:bidi="ar"/>
              </w:rPr>
              <w:t>：-10℃ -55℃；相对湿度：≤95%</w:t>
            </w:r>
            <w:r>
              <w:rPr>
                <w:rFonts w:hint="eastAsia" w:cs="宋体"/>
                <w:b w:val="0"/>
                <w:bCs w:val="0"/>
                <w:i w:val="0"/>
                <w:iCs w:val="0"/>
                <w:color w:val="auto"/>
                <w:kern w:val="0"/>
                <w:sz w:val="20"/>
                <w:szCs w:val="20"/>
                <w:u w:val="none"/>
                <w:lang w:val="en-US" w:eastAsia="zh-CN" w:bidi="ar"/>
              </w:rPr>
              <w:t>；</w:t>
            </w:r>
          </w:p>
          <w:p w14:paraId="19604B76">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5.</w:t>
            </w:r>
            <w:r>
              <w:rPr>
                <w:rFonts w:hint="eastAsia" w:ascii="宋体" w:hAnsi="宋体" w:eastAsia="宋体" w:cs="宋体"/>
                <w:b w:val="0"/>
                <w:bCs w:val="0"/>
                <w:i w:val="0"/>
                <w:iCs w:val="0"/>
                <w:color w:val="auto"/>
                <w:kern w:val="0"/>
                <w:sz w:val="20"/>
                <w:szCs w:val="20"/>
                <w:u w:val="none"/>
                <w:lang w:val="en-US" w:eastAsia="zh-CN" w:bidi="ar"/>
              </w:rPr>
              <w:t>电池类型：</w:t>
            </w:r>
            <w:bookmarkStart w:id="30" w:name="OLE_LINK14"/>
            <w:r>
              <w:rPr>
                <w:rFonts w:hint="eastAsia" w:ascii="宋体" w:hAnsi="宋体" w:eastAsia="宋体" w:cs="宋体"/>
                <w:b w:val="0"/>
                <w:bCs w:val="0"/>
                <w:i w:val="0"/>
                <w:iCs w:val="0"/>
                <w:color w:val="auto"/>
                <w:kern w:val="0"/>
                <w:sz w:val="20"/>
                <w:szCs w:val="20"/>
                <w:u w:val="none"/>
                <w:lang w:val="en-US" w:eastAsia="zh-CN" w:bidi="ar"/>
              </w:rPr>
              <w:t>锂电池</w:t>
            </w:r>
            <w:r>
              <w:rPr>
                <w:rFonts w:hint="eastAsia" w:cs="宋体"/>
                <w:b w:val="0"/>
                <w:bCs w:val="0"/>
                <w:i w:val="0"/>
                <w:iCs w:val="0"/>
                <w:color w:val="auto"/>
                <w:kern w:val="0"/>
                <w:sz w:val="20"/>
                <w:szCs w:val="20"/>
                <w:u w:val="none"/>
                <w:lang w:val="en-US" w:eastAsia="zh-CN" w:bidi="ar"/>
              </w:rPr>
              <w:t>容量≥</w:t>
            </w:r>
            <w:r>
              <w:rPr>
                <w:rFonts w:hint="eastAsia" w:ascii="宋体" w:hAnsi="宋体" w:eastAsia="宋体" w:cs="宋体"/>
                <w:b w:val="0"/>
                <w:bCs w:val="0"/>
                <w:i w:val="0"/>
                <w:iCs w:val="0"/>
                <w:color w:val="auto"/>
                <w:kern w:val="0"/>
                <w:sz w:val="20"/>
                <w:szCs w:val="20"/>
                <w:u w:val="none"/>
                <w:lang w:val="en-US" w:eastAsia="zh-CN" w:bidi="ar"/>
              </w:rPr>
              <w:t>1400mAH</w:t>
            </w:r>
            <w:bookmarkEnd w:id="30"/>
            <w:r>
              <w:rPr>
                <w:rFonts w:hint="eastAsia" w:cs="宋体"/>
                <w:b w:val="0"/>
                <w:bCs w:val="0"/>
                <w:i w:val="0"/>
                <w:iCs w:val="0"/>
                <w:color w:val="auto"/>
                <w:kern w:val="0"/>
                <w:sz w:val="20"/>
                <w:szCs w:val="20"/>
                <w:u w:val="none"/>
                <w:lang w:val="en-US" w:eastAsia="zh-CN" w:bidi="ar"/>
              </w:rPr>
              <w:t>；</w:t>
            </w:r>
          </w:p>
          <w:p w14:paraId="6088F482">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6.</w:t>
            </w:r>
            <w:r>
              <w:rPr>
                <w:rFonts w:hint="eastAsia" w:ascii="宋体" w:hAnsi="宋体" w:eastAsia="宋体" w:cs="宋体"/>
                <w:b w:val="0"/>
                <w:bCs w:val="0"/>
                <w:i w:val="0"/>
                <w:iCs w:val="0"/>
                <w:color w:val="auto"/>
                <w:kern w:val="0"/>
                <w:sz w:val="20"/>
                <w:szCs w:val="20"/>
                <w:u w:val="none"/>
                <w:lang w:val="en-US" w:eastAsia="zh-CN" w:bidi="ar"/>
              </w:rPr>
              <w:t>具备中国国家强制性产品认证</w:t>
            </w:r>
            <w:r>
              <w:rPr>
                <w:rFonts w:hint="eastAsia" w:cs="宋体"/>
                <w:b w:val="0"/>
                <w:bCs w:val="0"/>
                <w:i w:val="0"/>
                <w:iCs w:val="0"/>
                <w:color w:val="auto"/>
                <w:kern w:val="0"/>
                <w:sz w:val="20"/>
                <w:szCs w:val="20"/>
                <w:u w:val="none"/>
                <w:lang w:val="en-US" w:eastAsia="zh-CN" w:bidi="ar"/>
              </w:rPr>
              <w:t>。</w:t>
            </w:r>
          </w:p>
        </w:tc>
        <w:tc>
          <w:tcPr>
            <w:tcW w:w="450" w:type="dxa"/>
            <w:vAlign w:val="center"/>
          </w:tcPr>
          <w:p w14:paraId="3CC1CAD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4B3EAC5D">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236 </w:t>
            </w:r>
          </w:p>
        </w:tc>
      </w:tr>
      <w:tr w14:paraId="1486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0EDABDA4">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23</w:t>
            </w:r>
          </w:p>
        </w:tc>
        <w:tc>
          <w:tcPr>
            <w:tcW w:w="570" w:type="dxa"/>
            <w:vMerge w:val="continue"/>
            <w:vAlign w:val="center"/>
          </w:tcPr>
          <w:p w14:paraId="7E687B2F">
            <w:pPr>
              <w:jc w:val="center"/>
              <w:rPr>
                <w:rFonts w:hint="eastAsia" w:ascii="宋体" w:hAnsi="宋体" w:eastAsia="宋体" w:cs="宋体"/>
                <w:b w:val="0"/>
                <w:color w:val="auto"/>
                <w:sz w:val="20"/>
                <w:szCs w:val="20"/>
                <w:vertAlign w:val="baseline"/>
                <w:lang w:val="en-US" w:eastAsia="zh-CN"/>
              </w:rPr>
            </w:pPr>
          </w:p>
        </w:tc>
        <w:tc>
          <w:tcPr>
            <w:tcW w:w="585" w:type="dxa"/>
            <w:vAlign w:val="center"/>
          </w:tcPr>
          <w:p w14:paraId="1382D48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红外探测器</w:t>
            </w:r>
          </w:p>
        </w:tc>
        <w:tc>
          <w:tcPr>
            <w:tcW w:w="1575" w:type="dxa"/>
            <w:vAlign w:val="center"/>
          </w:tcPr>
          <w:p w14:paraId="2251C3B9">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安装在卧室、客厅等老年人频繁活动区域，探测老年人活动情况</w:t>
            </w:r>
          </w:p>
        </w:tc>
        <w:tc>
          <w:tcPr>
            <w:tcW w:w="615" w:type="dxa"/>
            <w:gridSpan w:val="2"/>
            <w:vMerge w:val="continue"/>
            <w:vAlign w:val="center"/>
          </w:tcPr>
          <w:p w14:paraId="189396F0">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09A392D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人体移动探测报警器</w:t>
            </w:r>
          </w:p>
        </w:tc>
        <w:tc>
          <w:tcPr>
            <w:tcW w:w="3420" w:type="dxa"/>
            <w:shd w:val="clear" w:color="auto" w:fill="auto"/>
            <w:vAlign w:val="center"/>
          </w:tcPr>
          <w:p w14:paraId="65FCF8C9">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w:t>
            </w:r>
            <w:r>
              <w:rPr>
                <w:rFonts w:hint="eastAsia" w:cs="宋体"/>
                <w:b w:val="0"/>
                <w:bCs w:val="0"/>
                <w:i w:val="0"/>
                <w:iCs w:val="0"/>
                <w:color w:val="auto"/>
                <w:kern w:val="0"/>
                <w:sz w:val="20"/>
                <w:szCs w:val="20"/>
                <w:u w:val="none"/>
                <w:lang w:val="en-US" w:eastAsia="zh-CN" w:bidi="ar"/>
              </w:rPr>
              <w:t>.</w:t>
            </w:r>
            <w:r>
              <w:rPr>
                <w:rFonts w:hint="eastAsia" w:ascii="宋体" w:hAnsi="宋体" w:cs="宋体"/>
                <w:b w:val="0"/>
                <w:bCs w:val="0"/>
                <w:color w:val="auto"/>
                <w:kern w:val="0"/>
                <w:sz w:val="20"/>
                <w:szCs w:val="20"/>
                <w:highlight w:val="none"/>
                <w:lang w:bidi="ar"/>
              </w:rPr>
              <w:t>NB/4G/WiFi/蓝牙/zigbee并包含3年通讯费。</w:t>
            </w:r>
            <w:r>
              <w:rPr>
                <w:rFonts w:hint="eastAsia" w:cs="宋体"/>
                <w:b w:val="0"/>
                <w:bCs w:val="0"/>
                <w:i w:val="0"/>
                <w:iCs w:val="0"/>
                <w:color w:val="auto"/>
                <w:kern w:val="0"/>
                <w:sz w:val="20"/>
                <w:szCs w:val="20"/>
                <w:u w:val="none"/>
                <w:lang w:val="en-US" w:eastAsia="zh-CN" w:bidi="ar"/>
              </w:rPr>
              <w:t>；</w:t>
            </w:r>
          </w:p>
          <w:p w14:paraId="1B7751F7">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2</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支持检测到是否有人活动</w:t>
            </w:r>
            <w:r>
              <w:rPr>
                <w:rFonts w:hint="eastAsia" w:cs="宋体"/>
                <w:b w:val="0"/>
                <w:bCs w:val="0"/>
                <w:i w:val="0"/>
                <w:iCs w:val="0"/>
                <w:color w:val="auto"/>
                <w:kern w:val="0"/>
                <w:sz w:val="20"/>
                <w:szCs w:val="20"/>
                <w:u w:val="none"/>
                <w:lang w:val="en-US" w:eastAsia="zh-CN" w:bidi="ar"/>
              </w:rPr>
              <w:t>；</w:t>
            </w:r>
          </w:p>
          <w:p w14:paraId="28D6A4C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3</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支持防宠设计</w:t>
            </w:r>
            <w:r>
              <w:rPr>
                <w:rFonts w:hint="eastAsia" w:cs="宋体"/>
                <w:b w:val="0"/>
                <w:bCs w:val="0"/>
                <w:i w:val="0"/>
                <w:iCs w:val="0"/>
                <w:color w:val="auto"/>
                <w:kern w:val="0"/>
                <w:sz w:val="20"/>
                <w:szCs w:val="20"/>
                <w:u w:val="none"/>
                <w:lang w:val="en-US" w:eastAsia="zh-CN" w:bidi="ar"/>
              </w:rPr>
              <w:t>；</w:t>
            </w:r>
          </w:p>
          <w:p w14:paraId="59F32F82">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4</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具备防拆功能</w:t>
            </w:r>
            <w:r>
              <w:rPr>
                <w:rFonts w:hint="eastAsia" w:cs="宋体"/>
                <w:b w:val="0"/>
                <w:bCs w:val="0"/>
                <w:i w:val="0"/>
                <w:iCs w:val="0"/>
                <w:color w:val="auto"/>
                <w:kern w:val="0"/>
                <w:sz w:val="20"/>
                <w:szCs w:val="20"/>
                <w:u w:val="none"/>
                <w:lang w:val="en-US" w:eastAsia="zh-CN" w:bidi="ar"/>
              </w:rPr>
              <w:t>；</w:t>
            </w:r>
          </w:p>
          <w:p w14:paraId="125DF89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r>
              <w:rPr>
                <w:rFonts w:hint="eastAsia" w:cs="宋体"/>
                <w:b w:val="0"/>
                <w:bCs w:val="0"/>
                <w:i w:val="0"/>
                <w:iCs w:val="0"/>
                <w:color w:val="auto"/>
                <w:kern w:val="0"/>
                <w:sz w:val="20"/>
                <w:szCs w:val="20"/>
                <w:highlight w:val="none"/>
                <w:u w:val="none"/>
                <w:lang w:val="en-US" w:eastAsia="zh-CN" w:bidi="ar"/>
              </w:rPr>
              <w:t>.防水级别：IP41及以上；</w:t>
            </w:r>
          </w:p>
          <w:p w14:paraId="787A8D4B">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6</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支持统计模式上报，周期性上报期</w:t>
            </w:r>
            <w:r>
              <w:rPr>
                <w:rFonts w:hint="eastAsia" w:ascii="宋体" w:hAnsi="宋体" w:eastAsia="宋体" w:cs="宋体"/>
                <w:b w:val="0"/>
                <w:bCs w:val="0"/>
                <w:i w:val="0"/>
                <w:iCs w:val="0"/>
                <w:color w:val="auto"/>
                <w:kern w:val="0"/>
                <w:sz w:val="20"/>
                <w:szCs w:val="20"/>
                <w:highlight w:val="none"/>
                <w:u w:val="none"/>
                <w:lang w:val="en-US" w:eastAsia="zh-CN" w:bidi="ar"/>
              </w:rPr>
              <w:t>间所有活动记录</w:t>
            </w:r>
            <w:r>
              <w:rPr>
                <w:rFonts w:hint="eastAsia" w:cs="宋体"/>
                <w:b w:val="0"/>
                <w:bCs w:val="0"/>
                <w:i w:val="0"/>
                <w:iCs w:val="0"/>
                <w:color w:val="auto"/>
                <w:kern w:val="0"/>
                <w:sz w:val="20"/>
                <w:szCs w:val="20"/>
                <w:highlight w:val="none"/>
                <w:u w:val="none"/>
                <w:lang w:val="en-US" w:eastAsia="zh-CN" w:bidi="ar"/>
              </w:rPr>
              <w:t>；</w:t>
            </w:r>
          </w:p>
          <w:p w14:paraId="5C47210E">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cs="宋体"/>
                <w:b w:val="0"/>
                <w:bCs w:val="0"/>
                <w:i w:val="0"/>
                <w:iCs w:val="0"/>
                <w:color w:val="auto"/>
                <w:kern w:val="0"/>
                <w:sz w:val="20"/>
                <w:szCs w:val="20"/>
                <w:highlight w:val="none"/>
                <w:u w:val="none"/>
                <w:lang w:val="en-US" w:eastAsia="zh-CN" w:bidi="ar"/>
              </w:rPr>
              <w:t>★</w:t>
            </w:r>
            <w:r>
              <w:rPr>
                <w:rFonts w:hint="eastAsia" w:ascii="宋体" w:hAnsi="宋体" w:eastAsia="宋体" w:cs="宋体"/>
                <w:b w:val="0"/>
                <w:bCs w:val="0"/>
                <w:i w:val="0"/>
                <w:iCs w:val="0"/>
                <w:color w:val="auto"/>
                <w:kern w:val="0"/>
                <w:sz w:val="20"/>
                <w:szCs w:val="20"/>
                <w:highlight w:val="none"/>
                <w:u w:val="none"/>
                <w:lang w:val="en-US" w:eastAsia="zh-CN" w:bidi="ar"/>
              </w:rPr>
              <w:t>7</w:t>
            </w:r>
            <w:r>
              <w:rPr>
                <w:rFonts w:hint="eastAsia" w:cs="宋体"/>
                <w:b w:val="0"/>
                <w:bCs w:val="0"/>
                <w:i w:val="0"/>
                <w:iCs w:val="0"/>
                <w:color w:val="auto"/>
                <w:kern w:val="0"/>
                <w:sz w:val="20"/>
                <w:szCs w:val="20"/>
                <w:highlight w:val="none"/>
                <w:u w:val="none"/>
                <w:lang w:val="en-US" w:eastAsia="zh-CN" w:bidi="ar"/>
              </w:rPr>
              <w:t>.产品具备</w:t>
            </w:r>
            <w:r>
              <w:rPr>
                <w:rFonts w:hint="eastAsia" w:ascii="宋体" w:hAnsi="宋体" w:eastAsia="宋体" w:cs="宋体"/>
                <w:b w:val="0"/>
                <w:bCs w:val="0"/>
                <w:i w:val="0"/>
                <w:iCs w:val="0"/>
                <w:color w:val="auto"/>
                <w:kern w:val="0"/>
                <w:sz w:val="20"/>
                <w:szCs w:val="20"/>
                <w:highlight w:val="none"/>
                <w:u w:val="none"/>
                <w:lang w:val="en-US" w:eastAsia="zh-CN" w:bidi="ar"/>
              </w:rPr>
              <w:t>《无线电发射设备型号核准证》；</w:t>
            </w:r>
          </w:p>
          <w:p w14:paraId="52230B3E">
            <w:pPr>
              <w:jc w:val="both"/>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8</w:t>
            </w:r>
            <w:bookmarkStart w:id="31" w:name="OLE_LINK11"/>
            <w:r>
              <w:rPr>
                <w:rFonts w:hint="eastAsia" w:cs="宋体"/>
                <w:b w:val="0"/>
                <w:bCs w:val="0"/>
                <w:i w:val="0"/>
                <w:iCs w:val="0"/>
                <w:color w:val="auto"/>
                <w:kern w:val="0"/>
                <w:sz w:val="20"/>
                <w:szCs w:val="20"/>
                <w:highlight w:val="none"/>
                <w:u w:val="none"/>
                <w:lang w:val="en-US" w:eastAsia="zh-CN" w:bidi="ar"/>
              </w:rPr>
              <w:t>.产品具备《电信设备进网许可证》。</w:t>
            </w:r>
            <w:bookmarkEnd w:id="31"/>
          </w:p>
        </w:tc>
        <w:tc>
          <w:tcPr>
            <w:tcW w:w="450" w:type="dxa"/>
            <w:vAlign w:val="center"/>
          </w:tcPr>
          <w:p w14:paraId="7D9CBA2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61EAFA3C">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300 </w:t>
            </w:r>
          </w:p>
        </w:tc>
      </w:tr>
      <w:tr w14:paraId="6737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9292" w:type="dxa"/>
            <w:gridSpan w:val="10"/>
            <w:shd w:val="clear" w:color="auto" w:fill="B6DDE8" w:themeFill="accent5" w:themeFillTint="66"/>
            <w:vAlign w:val="center"/>
          </w:tcPr>
          <w:p w14:paraId="2EEEE1DE">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bCs/>
                <w:color w:val="auto"/>
                <w:sz w:val="22"/>
                <w:szCs w:val="22"/>
                <w:highlight w:val="none"/>
                <w:shd w:val="clear" w:fill="B6DDE8" w:themeFill="accent5" w:themeFillTint="66"/>
                <w:vertAlign w:val="baseline"/>
                <w:lang w:val="en-US" w:eastAsia="zh-CN"/>
              </w:rPr>
              <w:t>老年用品</w:t>
            </w:r>
            <w:r>
              <w:rPr>
                <w:rFonts w:hint="eastAsia" w:ascii="宋体" w:hAnsi="宋体" w:eastAsia="宋体" w:cs="宋体"/>
                <w:b/>
                <w:bCs/>
                <w:color w:val="auto"/>
                <w:sz w:val="22"/>
                <w:szCs w:val="22"/>
                <w:highlight w:val="none"/>
                <w:vertAlign w:val="baseline"/>
                <w:lang w:val="en-US" w:eastAsia="zh-CN"/>
              </w:rPr>
              <w:t>产品推荐清单</w:t>
            </w:r>
            <w:r>
              <w:rPr>
                <w:rFonts w:hint="eastAsia" w:cs="宋体"/>
                <w:b/>
                <w:bCs/>
                <w:color w:val="auto"/>
                <w:sz w:val="22"/>
                <w:szCs w:val="22"/>
                <w:highlight w:val="none"/>
                <w:shd w:val="clear" w:fill="B6DDE8" w:themeFill="accent5" w:themeFillTint="66"/>
                <w:vertAlign w:val="baseline"/>
                <w:lang w:val="en-US" w:eastAsia="zh-CN" w:bidi="zh-CN"/>
              </w:rPr>
              <w:t>技术参数</w:t>
            </w:r>
            <w:r>
              <w:rPr>
                <w:rFonts w:hint="eastAsia" w:ascii="宋体" w:hAnsi="宋体" w:eastAsia="宋体" w:cs="宋体"/>
                <w:b/>
                <w:bCs/>
                <w:color w:val="auto"/>
                <w:sz w:val="22"/>
                <w:szCs w:val="22"/>
                <w:highlight w:val="none"/>
                <w:shd w:val="clear" w:fill="B6DDE8" w:themeFill="accent5" w:themeFillTint="66"/>
                <w:vertAlign w:val="baseline"/>
                <w:lang w:val="en-US" w:eastAsia="zh-CN" w:bidi="zh-CN"/>
              </w:rPr>
              <w:t>及最高限价</w:t>
            </w:r>
          </w:p>
        </w:tc>
      </w:tr>
      <w:tr w14:paraId="3D8D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shd w:val="clear" w:color="auto" w:fill="auto"/>
            <w:vAlign w:val="center"/>
          </w:tcPr>
          <w:p w14:paraId="2D7349DF">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序号</w:t>
            </w:r>
          </w:p>
        </w:tc>
        <w:tc>
          <w:tcPr>
            <w:tcW w:w="570" w:type="dxa"/>
            <w:shd w:val="clear" w:color="auto" w:fill="auto"/>
            <w:vAlign w:val="center"/>
          </w:tcPr>
          <w:p w14:paraId="5F798FAD">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类别</w:t>
            </w:r>
          </w:p>
        </w:tc>
        <w:tc>
          <w:tcPr>
            <w:tcW w:w="585" w:type="dxa"/>
            <w:shd w:val="clear" w:color="auto" w:fill="auto"/>
            <w:vAlign w:val="center"/>
          </w:tcPr>
          <w:p w14:paraId="019AB1F1">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项目名称</w:t>
            </w:r>
          </w:p>
        </w:tc>
        <w:tc>
          <w:tcPr>
            <w:tcW w:w="1575" w:type="dxa"/>
            <w:shd w:val="clear" w:color="auto" w:fill="auto"/>
            <w:vAlign w:val="center"/>
          </w:tcPr>
          <w:p w14:paraId="2D186BED">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具体内容</w:t>
            </w:r>
          </w:p>
        </w:tc>
        <w:tc>
          <w:tcPr>
            <w:tcW w:w="615" w:type="dxa"/>
            <w:gridSpan w:val="2"/>
            <w:shd w:val="clear" w:color="auto" w:fill="auto"/>
            <w:vAlign w:val="center"/>
          </w:tcPr>
          <w:p w14:paraId="3232AF38">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项目类型</w:t>
            </w:r>
          </w:p>
        </w:tc>
        <w:tc>
          <w:tcPr>
            <w:tcW w:w="600" w:type="dxa"/>
            <w:shd w:val="clear" w:color="auto" w:fill="auto"/>
            <w:vAlign w:val="center"/>
          </w:tcPr>
          <w:p w14:paraId="7061EB6C">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产品名称</w:t>
            </w:r>
          </w:p>
        </w:tc>
        <w:tc>
          <w:tcPr>
            <w:tcW w:w="3420" w:type="dxa"/>
            <w:shd w:val="clear" w:color="auto" w:fill="auto"/>
            <w:vAlign w:val="center"/>
          </w:tcPr>
          <w:p w14:paraId="69AA6828">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技术参数</w:t>
            </w:r>
          </w:p>
        </w:tc>
        <w:tc>
          <w:tcPr>
            <w:tcW w:w="450" w:type="dxa"/>
            <w:shd w:val="clear" w:color="auto" w:fill="auto"/>
            <w:vAlign w:val="center"/>
          </w:tcPr>
          <w:p w14:paraId="705CD710">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单位</w:t>
            </w:r>
          </w:p>
        </w:tc>
        <w:tc>
          <w:tcPr>
            <w:tcW w:w="863" w:type="dxa"/>
            <w:shd w:val="clear" w:color="auto" w:fill="auto"/>
            <w:vAlign w:val="center"/>
          </w:tcPr>
          <w:p w14:paraId="785FA6DC">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最高限价（元）</w:t>
            </w:r>
          </w:p>
        </w:tc>
      </w:tr>
      <w:tr w14:paraId="243B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143B97B1">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24</w:t>
            </w:r>
          </w:p>
        </w:tc>
        <w:tc>
          <w:tcPr>
            <w:tcW w:w="570" w:type="dxa"/>
            <w:vMerge w:val="restart"/>
            <w:vAlign w:val="center"/>
          </w:tcPr>
          <w:p w14:paraId="5DF4B303">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老年用品</w:t>
            </w:r>
          </w:p>
        </w:tc>
        <w:tc>
          <w:tcPr>
            <w:tcW w:w="585" w:type="dxa"/>
            <w:vMerge w:val="restart"/>
            <w:vAlign w:val="center"/>
          </w:tcPr>
          <w:p w14:paraId="4079CA18">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手杖</w:t>
            </w:r>
          </w:p>
        </w:tc>
        <w:tc>
          <w:tcPr>
            <w:tcW w:w="1575" w:type="dxa"/>
            <w:vMerge w:val="restart"/>
            <w:vAlign w:val="center"/>
          </w:tcPr>
          <w:p w14:paraId="37D5DC76">
            <w:pPr>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辅助老年人平稳站立和行走，包含三脚或四脚手杖、凳拐等</w:t>
            </w:r>
          </w:p>
        </w:tc>
        <w:tc>
          <w:tcPr>
            <w:tcW w:w="615" w:type="dxa"/>
            <w:gridSpan w:val="2"/>
            <w:vMerge w:val="restart"/>
            <w:vAlign w:val="center"/>
          </w:tcPr>
          <w:p w14:paraId="1F7A50BE">
            <w:pPr>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五项任选其三</w:t>
            </w:r>
          </w:p>
        </w:tc>
        <w:tc>
          <w:tcPr>
            <w:tcW w:w="600" w:type="dxa"/>
            <w:vAlign w:val="center"/>
          </w:tcPr>
          <w:p w14:paraId="36CB58D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折叠单脚拐杖</w:t>
            </w:r>
          </w:p>
        </w:tc>
        <w:tc>
          <w:tcPr>
            <w:tcW w:w="3420" w:type="dxa"/>
            <w:vAlign w:val="center"/>
          </w:tcPr>
          <w:p w14:paraId="38DFEE7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材质：铝合金材质</w:t>
            </w:r>
            <w:r>
              <w:rPr>
                <w:rFonts w:hint="eastAsia" w:cs="宋体"/>
                <w:i w:val="0"/>
                <w:iCs w:val="0"/>
                <w:color w:val="auto"/>
                <w:kern w:val="0"/>
                <w:sz w:val="20"/>
                <w:szCs w:val="20"/>
                <w:u w:val="none"/>
                <w:lang w:val="en-US" w:eastAsia="zh-CN" w:bidi="ar"/>
              </w:rPr>
              <w:t>；</w:t>
            </w:r>
          </w:p>
          <w:p w14:paraId="4AAD4AD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尺寸：</w:t>
            </w:r>
            <w:r>
              <w:rPr>
                <w:rFonts w:hint="eastAsia" w:cs="宋体"/>
                <w:i w:val="0"/>
                <w:iCs w:val="0"/>
                <w:color w:val="auto"/>
                <w:kern w:val="0"/>
                <w:sz w:val="20"/>
                <w:szCs w:val="20"/>
                <w:u w:val="none"/>
                <w:lang w:val="en-US" w:eastAsia="zh-CN" w:bidi="ar"/>
              </w:rPr>
              <w:t>直径≥</w:t>
            </w:r>
            <w:r>
              <w:rPr>
                <w:rFonts w:hint="eastAsia" w:ascii="宋体" w:hAnsi="宋体" w:eastAsia="宋体" w:cs="宋体"/>
                <w:i w:val="0"/>
                <w:iCs w:val="0"/>
                <w:color w:val="auto"/>
                <w:kern w:val="0"/>
                <w:sz w:val="20"/>
                <w:szCs w:val="20"/>
                <w:u w:val="none"/>
                <w:lang w:val="en-US" w:eastAsia="zh-CN" w:bidi="ar"/>
              </w:rPr>
              <w:t>12</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78-89cm</w:t>
            </w:r>
            <w:r>
              <w:rPr>
                <w:rFonts w:hint="eastAsia" w:cs="宋体"/>
                <w:i w:val="0"/>
                <w:iCs w:val="0"/>
                <w:color w:val="auto"/>
                <w:kern w:val="0"/>
                <w:sz w:val="20"/>
                <w:szCs w:val="20"/>
                <w:u w:val="none"/>
                <w:lang w:val="en-US" w:eastAsia="zh-CN" w:bidi="ar"/>
              </w:rPr>
              <w:t>；</w:t>
            </w:r>
          </w:p>
          <w:p w14:paraId="4D5E06F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轻便可折叠设计、携带方便</w:t>
            </w:r>
            <w:r>
              <w:rPr>
                <w:rFonts w:hint="eastAsia" w:cs="宋体"/>
                <w:i w:val="0"/>
                <w:iCs w:val="0"/>
                <w:color w:val="auto"/>
                <w:kern w:val="0"/>
                <w:sz w:val="20"/>
                <w:szCs w:val="20"/>
                <w:u w:val="none"/>
                <w:lang w:val="en-US" w:eastAsia="zh-CN" w:bidi="ar"/>
              </w:rPr>
              <w:t>；</w:t>
            </w:r>
          </w:p>
          <w:p w14:paraId="06EAA3B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五档可调，一键伸缩</w:t>
            </w:r>
            <w:r>
              <w:rPr>
                <w:rFonts w:hint="eastAsia" w:cs="宋体"/>
                <w:i w:val="0"/>
                <w:iCs w:val="0"/>
                <w:color w:val="auto"/>
                <w:kern w:val="0"/>
                <w:sz w:val="20"/>
                <w:szCs w:val="20"/>
                <w:u w:val="none"/>
                <w:lang w:val="en-US" w:eastAsia="zh-CN" w:bidi="ar"/>
              </w:rPr>
              <w:t>。</w:t>
            </w:r>
          </w:p>
        </w:tc>
        <w:tc>
          <w:tcPr>
            <w:tcW w:w="450" w:type="dxa"/>
            <w:vAlign w:val="center"/>
          </w:tcPr>
          <w:p w14:paraId="77E24DD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根</w:t>
            </w:r>
          </w:p>
        </w:tc>
        <w:tc>
          <w:tcPr>
            <w:tcW w:w="863" w:type="dxa"/>
            <w:vAlign w:val="center"/>
          </w:tcPr>
          <w:p w14:paraId="63B9886C">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103 </w:t>
            </w:r>
          </w:p>
        </w:tc>
      </w:tr>
      <w:tr w14:paraId="28A0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78670328">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25690BAE">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2C10B6B8">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31FD7E68">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787E0455">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16CEB7B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折叠四脚拐杖</w:t>
            </w:r>
          </w:p>
        </w:tc>
        <w:tc>
          <w:tcPr>
            <w:tcW w:w="3420" w:type="dxa"/>
            <w:vAlign w:val="center"/>
          </w:tcPr>
          <w:p w14:paraId="64C2F63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铝合金杆身</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PP材质扶手</w:t>
            </w:r>
            <w:r>
              <w:rPr>
                <w:rFonts w:hint="eastAsia" w:cs="宋体"/>
                <w:i w:val="0"/>
                <w:iCs w:val="0"/>
                <w:color w:val="auto"/>
                <w:kern w:val="0"/>
                <w:sz w:val="20"/>
                <w:szCs w:val="20"/>
                <w:u w:val="none"/>
                <w:lang w:val="en-US" w:eastAsia="zh-CN" w:bidi="ar"/>
              </w:rPr>
              <w:t>；</w:t>
            </w:r>
          </w:p>
          <w:p w14:paraId="4AE7AE1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规格：</w:t>
            </w:r>
            <w:r>
              <w:rPr>
                <w:rFonts w:hint="eastAsia" w:cs="宋体"/>
                <w:i w:val="0"/>
                <w:iCs w:val="0"/>
                <w:color w:val="auto"/>
                <w:kern w:val="0"/>
                <w:sz w:val="20"/>
                <w:szCs w:val="20"/>
                <w:u w:val="none"/>
                <w:lang w:val="en-US" w:eastAsia="zh-CN" w:bidi="ar"/>
              </w:rPr>
              <w:t>直径≥</w:t>
            </w:r>
            <w:r>
              <w:rPr>
                <w:rFonts w:hint="eastAsia" w:ascii="宋体" w:hAnsi="宋体" w:eastAsia="宋体" w:cs="宋体"/>
                <w:i w:val="0"/>
                <w:iCs w:val="0"/>
                <w:color w:val="auto"/>
                <w:kern w:val="0"/>
                <w:sz w:val="20"/>
                <w:szCs w:val="20"/>
                <w:u w:val="none"/>
                <w:lang w:val="en-US" w:eastAsia="zh-CN" w:bidi="ar"/>
              </w:rPr>
              <w:t>12</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82-92</w:t>
            </w:r>
            <w:r>
              <w:rPr>
                <w:rFonts w:hint="eastAsia" w:cs="宋体"/>
                <w:i w:val="0"/>
                <w:iCs w:val="0"/>
                <w:color w:val="auto"/>
                <w:kern w:val="0"/>
                <w:sz w:val="20"/>
                <w:szCs w:val="20"/>
                <w:u w:val="none"/>
                <w:lang w:val="en-US" w:eastAsia="zh-CN" w:bidi="ar"/>
              </w:rPr>
              <w:t>cm；</w:t>
            </w:r>
          </w:p>
          <w:p w14:paraId="2765293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厚度：</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1.0</w:t>
            </w:r>
            <w:r>
              <w:rPr>
                <w:rFonts w:hint="eastAsia" w:cs="宋体"/>
                <w:i w:val="0"/>
                <w:iCs w:val="0"/>
                <w:color w:val="auto"/>
                <w:kern w:val="0"/>
                <w:sz w:val="20"/>
                <w:szCs w:val="20"/>
                <w:u w:val="none"/>
                <w:lang w:val="en-US" w:eastAsia="zh-CN" w:bidi="ar"/>
              </w:rPr>
              <w:t>mm；</w:t>
            </w:r>
          </w:p>
          <w:p w14:paraId="707CACD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4.五</w:t>
            </w:r>
            <w:r>
              <w:rPr>
                <w:rFonts w:hint="eastAsia" w:ascii="宋体" w:hAnsi="宋体" w:eastAsia="宋体" w:cs="宋体"/>
                <w:i w:val="0"/>
                <w:iCs w:val="0"/>
                <w:color w:val="auto"/>
                <w:kern w:val="0"/>
                <w:sz w:val="20"/>
                <w:szCs w:val="20"/>
                <w:u w:val="none"/>
                <w:lang w:val="en-US" w:eastAsia="zh-CN" w:bidi="ar"/>
              </w:rPr>
              <w:t>档高度调节</w:t>
            </w:r>
            <w:r>
              <w:rPr>
                <w:rFonts w:hint="eastAsia" w:cs="宋体"/>
                <w:i w:val="0"/>
                <w:iCs w:val="0"/>
                <w:color w:val="auto"/>
                <w:kern w:val="0"/>
                <w:sz w:val="20"/>
                <w:szCs w:val="20"/>
                <w:u w:val="none"/>
                <w:lang w:val="en-US" w:eastAsia="zh-CN" w:bidi="ar"/>
              </w:rPr>
              <w:t>。</w:t>
            </w:r>
          </w:p>
        </w:tc>
        <w:tc>
          <w:tcPr>
            <w:tcW w:w="450" w:type="dxa"/>
            <w:vAlign w:val="center"/>
          </w:tcPr>
          <w:p w14:paraId="5636FF2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根</w:t>
            </w:r>
          </w:p>
        </w:tc>
        <w:tc>
          <w:tcPr>
            <w:tcW w:w="863" w:type="dxa"/>
            <w:vAlign w:val="center"/>
          </w:tcPr>
          <w:p w14:paraId="0830CE5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154 </w:t>
            </w:r>
          </w:p>
        </w:tc>
      </w:tr>
      <w:tr w14:paraId="0B86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774CAE52">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17F0FE7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030376F8">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30C61D9A">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22134DF0">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2B4BB1B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带凳拐杖</w:t>
            </w:r>
          </w:p>
        </w:tc>
        <w:tc>
          <w:tcPr>
            <w:tcW w:w="3420" w:type="dxa"/>
            <w:vAlign w:val="center"/>
          </w:tcPr>
          <w:p w14:paraId="4798EEC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1.凳面：座板尺寸24.5</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21.5</w:t>
            </w:r>
            <w:r>
              <w:rPr>
                <w:rFonts w:hint="eastAsia" w:cs="宋体"/>
                <w:i w:val="0"/>
                <w:iCs w:val="0"/>
                <w:color w:val="auto"/>
                <w:kern w:val="0"/>
                <w:sz w:val="20"/>
                <w:szCs w:val="20"/>
                <w:u w:val="none"/>
                <w:lang w:val="en-US" w:eastAsia="zh-CN" w:bidi="ar"/>
              </w:rPr>
              <w:t>cm；</w:t>
            </w:r>
          </w:p>
          <w:p w14:paraId="0B2B43A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2.座板：PVC材质、整体结构铝合金</w:t>
            </w:r>
            <w:r>
              <w:rPr>
                <w:rFonts w:hint="eastAsia" w:cs="宋体"/>
                <w:i w:val="0"/>
                <w:iCs w:val="0"/>
                <w:color w:val="auto"/>
                <w:kern w:val="0"/>
                <w:sz w:val="20"/>
                <w:szCs w:val="20"/>
                <w:u w:val="none"/>
                <w:lang w:val="en-US" w:eastAsia="zh-CN" w:bidi="ar"/>
              </w:rPr>
              <w:t>；</w:t>
            </w:r>
          </w:p>
          <w:p w14:paraId="2FBDD3A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3.带 LED 照明灯，铝合金 ABS 塑料，承重</w:t>
            </w:r>
            <w:r>
              <w:rPr>
                <w:rFonts w:hint="eastAsia" w:cs="宋体"/>
                <w:i w:val="0"/>
                <w:iCs w:val="0"/>
                <w:color w:val="auto"/>
                <w:kern w:val="0"/>
                <w:sz w:val="20"/>
                <w:szCs w:val="20"/>
                <w:u w:val="none"/>
                <w:lang w:val="en-US" w:eastAsia="zh-CN" w:bidi="ar"/>
              </w:rPr>
              <w:t>≥100kg</w:t>
            </w:r>
            <w:r>
              <w:rPr>
                <w:rFonts w:hint="eastAsia" w:ascii="宋体" w:hAnsi="宋体" w:eastAsia="宋体" w:cs="宋体"/>
                <w:i w:val="0"/>
                <w:iCs w:val="0"/>
                <w:color w:val="auto"/>
                <w:kern w:val="0"/>
                <w:sz w:val="20"/>
                <w:szCs w:val="20"/>
                <w:u w:val="none"/>
                <w:lang w:val="en-US" w:eastAsia="zh-CN" w:bidi="ar"/>
              </w:rPr>
              <w:t>，</w:t>
            </w:r>
          </w:p>
          <w:p w14:paraId="6AD95B5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4.壁厚</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1.2</w:t>
            </w:r>
            <w:r>
              <w:rPr>
                <w:rFonts w:hint="eastAsia" w:cs="宋体"/>
                <w:i w:val="0"/>
                <w:iCs w:val="0"/>
                <w:color w:val="auto"/>
                <w:kern w:val="0"/>
                <w:sz w:val="20"/>
                <w:szCs w:val="20"/>
                <w:u w:val="none"/>
                <w:lang w:val="en-US" w:eastAsia="zh-CN" w:bidi="ar"/>
              </w:rPr>
              <w:t>mm。</w:t>
            </w:r>
          </w:p>
        </w:tc>
        <w:tc>
          <w:tcPr>
            <w:tcW w:w="450" w:type="dxa"/>
            <w:vAlign w:val="center"/>
          </w:tcPr>
          <w:p w14:paraId="0EFC35F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22F3C620">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159 </w:t>
            </w:r>
          </w:p>
        </w:tc>
      </w:tr>
      <w:tr w14:paraId="30A6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78F74EB2">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25</w:t>
            </w:r>
          </w:p>
        </w:tc>
        <w:tc>
          <w:tcPr>
            <w:tcW w:w="570" w:type="dxa"/>
            <w:vMerge w:val="continue"/>
            <w:vAlign w:val="center"/>
          </w:tcPr>
          <w:p w14:paraId="718C8CFE">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restart"/>
            <w:vAlign w:val="center"/>
          </w:tcPr>
          <w:p w14:paraId="705AE5E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轮椅/助行器</w:t>
            </w:r>
          </w:p>
        </w:tc>
        <w:tc>
          <w:tcPr>
            <w:tcW w:w="1575" w:type="dxa"/>
            <w:vMerge w:val="restart"/>
            <w:vAlign w:val="center"/>
          </w:tcPr>
          <w:p w14:paraId="5E5CE700">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辅助家人、照护人员推行/帮助老年人站立行走，扩大老年人活动空间</w:t>
            </w:r>
          </w:p>
        </w:tc>
        <w:tc>
          <w:tcPr>
            <w:tcW w:w="615" w:type="dxa"/>
            <w:gridSpan w:val="2"/>
            <w:vMerge w:val="continue"/>
            <w:vAlign w:val="center"/>
          </w:tcPr>
          <w:p w14:paraId="64178040">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3F7F6C4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铝合金轮椅</w:t>
            </w:r>
          </w:p>
        </w:tc>
        <w:tc>
          <w:tcPr>
            <w:tcW w:w="3420" w:type="dxa"/>
            <w:vAlign w:val="center"/>
          </w:tcPr>
          <w:p w14:paraId="5FC9B32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1.车架选用高强度A3钢焊接而成，表面经喷漆处理后具有不褪色、防锈能力强、安全性能高、坚固耐用等特点。</w:t>
            </w:r>
          </w:p>
          <w:p w14:paraId="29982F5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2.靠背架：角度完全按人体腰部生理弯曲度来设计，为人体提供最佳支撑。</w:t>
            </w:r>
          </w:p>
          <w:p w14:paraId="2A2F939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3.座垫/靠垫：采用牛津尼龙布料做成，质地柔软、透气防滑，平整美观，座面平整。</w:t>
            </w:r>
          </w:p>
          <w:p w14:paraId="592A3AF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4.采用固定斜扶手架，坚固耐用，方便使用者靠近餐台。</w:t>
            </w:r>
          </w:p>
          <w:p w14:paraId="72B1B8F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5.拆脚：固定式拆脚、操作简易，脚踏板采用塑料脚踏板，高度可调。</w:t>
            </w:r>
          </w:p>
          <w:p w14:paraId="3C6FFA8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6.前轮：PVC前轮，配高强度塑料轮毂,坚固耐用，实心轮耐磨。</w:t>
            </w:r>
          </w:p>
          <w:p w14:paraId="384DBC3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后轮：实心胎后轮，耐磨不用充气，减震功能卓越，配工程塑料手轮装置（手直接驱动轮椅时使用）。</w:t>
            </w:r>
          </w:p>
          <w:p w14:paraId="0F394B8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7.肘节式刹车装置制动低于座位面，快捷方便、安全</w:t>
            </w:r>
            <w:r>
              <w:rPr>
                <w:rFonts w:hint="eastAsia" w:cs="宋体"/>
                <w:i w:val="0"/>
                <w:iCs w:val="0"/>
                <w:color w:val="auto"/>
                <w:kern w:val="0"/>
                <w:sz w:val="20"/>
                <w:szCs w:val="20"/>
                <w:u w:val="none"/>
                <w:lang w:val="en-US" w:eastAsia="zh-CN" w:bidi="ar"/>
              </w:rPr>
              <w:t>。</w:t>
            </w:r>
          </w:p>
          <w:p w14:paraId="59FC193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8.可折叠式车型方便携带出行，且能节省占用空间位置。</w:t>
            </w:r>
          </w:p>
        </w:tc>
        <w:tc>
          <w:tcPr>
            <w:tcW w:w="450" w:type="dxa"/>
            <w:vAlign w:val="center"/>
          </w:tcPr>
          <w:p w14:paraId="02628950">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张</w:t>
            </w:r>
          </w:p>
        </w:tc>
        <w:tc>
          <w:tcPr>
            <w:tcW w:w="863" w:type="dxa"/>
            <w:vAlign w:val="center"/>
          </w:tcPr>
          <w:p w14:paraId="6D4BFBA7">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699 </w:t>
            </w:r>
          </w:p>
        </w:tc>
      </w:tr>
      <w:tr w14:paraId="6DDF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3719B5E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6930AC5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25901665">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25A59C63">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56DC6B64">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166C278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高靠背座便轮椅</w:t>
            </w:r>
          </w:p>
        </w:tc>
        <w:tc>
          <w:tcPr>
            <w:tcW w:w="3420" w:type="dxa"/>
            <w:vAlign w:val="center"/>
          </w:tcPr>
          <w:p w14:paraId="2CA17EA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车架选用高强度钢焊接而成，表面经喷塑处理后具有不褪色、防锈能力强、坚固耐用等特点。</w:t>
            </w:r>
          </w:p>
          <w:p w14:paraId="41623C8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可调节靠背架倾斜角度,调节角度范围可达90-180度，采用卡板式角度调节位置固定安全可靠。</w:t>
            </w:r>
          </w:p>
          <w:p w14:paraId="208A4EA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加厚海绵软座垫:面开口厕孔,配有大容量PVC光面方厕桶,具有防水、容易清洁功能，桶托与方厕桶配合顺畅，灵活安装和抽出厕桶，座垫可拆卸，方便清洗折叠；靠垫</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质地柔软.平整美观，抗拉强度高。</w:t>
            </w:r>
          </w:p>
          <w:p w14:paraId="17269F3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扶手可拆卸，易于操作，便于移位。</w:t>
            </w:r>
          </w:p>
          <w:p w14:paraId="3B837FC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刹车结构：采用肘节式刹车装置，驻车装置制动后低于座面，后把手带有连刹车功能能更好的让用户和看护者随意刹车或推动轮椅既安全又便捷。</w:t>
            </w:r>
          </w:p>
          <w:p w14:paraId="7328673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可拆活动拆脚，拆脚可以调节角度,最大角度调节达88-90度</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配脚托垫。</w:t>
            </w:r>
          </w:p>
          <w:p w14:paraId="5EEDF74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前轮：PVC实心轮胎，配钢质前叉。后轮：气胎后轮，减震功能卓越，配手轮装置</w:t>
            </w:r>
            <w:r>
              <w:rPr>
                <w:rFonts w:hint="eastAsia" w:cs="宋体"/>
                <w:i w:val="0"/>
                <w:iCs w:val="0"/>
                <w:color w:val="auto"/>
                <w:kern w:val="0"/>
                <w:sz w:val="20"/>
                <w:szCs w:val="20"/>
                <w:u w:val="none"/>
                <w:lang w:val="en-US" w:eastAsia="zh-CN" w:bidi="ar"/>
              </w:rPr>
              <w:t>。</w:t>
            </w:r>
          </w:p>
          <w:p w14:paraId="34A4DD0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轮椅配有双侧防倾倒辅助轮，防止轮椅在运动过程中倾翻</w:t>
            </w:r>
            <w:r>
              <w:rPr>
                <w:rFonts w:hint="eastAsia" w:cs="宋体"/>
                <w:i w:val="0"/>
                <w:iCs w:val="0"/>
                <w:color w:val="auto"/>
                <w:kern w:val="0"/>
                <w:sz w:val="20"/>
                <w:szCs w:val="20"/>
                <w:u w:val="none"/>
                <w:lang w:val="en-US" w:eastAsia="zh-CN" w:bidi="ar"/>
              </w:rPr>
              <w:t>。</w:t>
            </w:r>
          </w:p>
        </w:tc>
        <w:tc>
          <w:tcPr>
            <w:tcW w:w="450" w:type="dxa"/>
            <w:vAlign w:val="center"/>
          </w:tcPr>
          <w:p w14:paraId="1D2E01CC">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张</w:t>
            </w:r>
          </w:p>
        </w:tc>
        <w:tc>
          <w:tcPr>
            <w:tcW w:w="863" w:type="dxa"/>
            <w:vAlign w:val="center"/>
          </w:tcPr>
          <w:p w14:paraId="797A45A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1363 </w:t>
            </w:r>
          </w:p>
        </w:tc>
      </w:tr>
      <w:tr w14:paraId="684D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28332F33">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54CEB332">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4A196BA9">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40F14852">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7718ECF9">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7A1EDC9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带坐助行器</w:t>
            </w:r>
          </w:p>
        </w:tc>
        <w:tc>
          <w:tcPr>
            <w:tcW w:w="3420" w:type="dxa"/>
            <w:vAlign w:val="center"/>
          </w:tcPr>
          <w:p w14:paraId="1E06982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1.车架选用高强度特种铝型材焊接而成</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具有强度高</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重量轻的特性.表面经喷涂处理后具有不掉色，抗老化、不生锈的特质。</w:t>
            </w:r>
          </w:p>
          <w:p w14:paraId="7110706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2.车架四脚配有伸缩管，可供用户随意调节适用高度。也适用于不同高度人群使用</w:t>
            </w:r>
            <w:r>
              <w:rPr>
                <w:rFonts w:hint="eastAsia" w:cs="宋体"/>
                <w:i w:val="0"/>
                <w:iCs w:val="0"/>
                <w:color w:val="auto"/>
                <w:kern w:val="0"/>
                <w:sz w:val="20"/>
                <w:szCs w:val="20"/>
                <w:u w:val="none"/>
                <w:lang w:val="en-US" w:eastAsia="zh-CN" w:bidi="ar"/>
              </w:rPr>
              <w:t>；</w:t>
            </w:r>
          </w:p>
          <w:p w14:paraId="30888A2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3.座垫采用加厚海绵人造皮革</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耐用、防水。</w:t>
            </w:r>
          </w:p>
          <w:p w14:paraId="66C52C9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4.PVC把手：不吸汗、不易破损、变形且使用寿命长</w:t>
            </w:r>
            <w:r>
              <w:rPr>
                <w:rFonts w:hint="eastAsia" w:cs="宋体"/>
                <w:i w:val="0"/>
                <w:iCs w:val="0"/>
                <w:color w:val="auto"/>
                <w:kern w:val="0"/>
                <w:sz w:val="20"/>
                <w:szCs w:val="20"/>
                <w:u w:val="none"/>
                <w:lang w:val="en-US" w:eastAsia="zh-CN" w:bidi="ar"/>
              </w:rPr>
              <w:t>。</w:t>
            </w:r>
          </w:p>
          <w:p w14:paraId="7521948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5.前置：2个PVC轮。后配：防滑耐磨胶脚，能让用户轻松安全方便前行。</w:t>
            </w:r>
          </w:p>
          <w:p w14:paraId="1E51268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6.可折叠式车型，折叠轻便、操作方便、结构可靠的优点,能节省占用空间位置。</w:t>
            </w:r>
          </w:p>
        </w:tc>
        <w:tc>
          <w:tcPr>
            <w:tcW w:w="450" w:type="dxa"/>
            <w:vAlign w:val="center"/>
          </w:tcPr>
          <w:p w14:paraId="003755EE">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个</w:t>
            </w:r>
          </w:p>
        </w:tc>
        <w:tc>
          <w:tcPr>
            <w:tcW w:w="863" w:type="dxa"/>
            <w:vAlign w:val="center"/>
          </w:tcPr>
          <w:p w14:paraId="7668B099">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399 </w:t>
            </w:r>
          </w:p>
        </w:tc>
      </w:tr>
      <w:tr w14:paraId="1F1F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5ACEEC09">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26</w:t>
            </w:r>
          </w:p>
        </w:tc>
        <w:tc>
          <w:tcPr>
            <w:tcW w:w="570" w:type="dxa"/>
            <w:vMerge w:val="continue"/>
            <w:vAlign w:val="center"/>
          </w:tcPr>
          <w:p w14:paraId="1D6B0EE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Align w:val="center"/>
          </w:tcPr>
          <w:p w14:paraId="72C00C26">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放大装置</w:t>
            </w:r>
          </w:p>
        </w:tc>
        <w:tc>
          <w:tcPr>
            <w:tcW w:w="1575" w:type="dxa"/>
            <w:vAlign w:val="center"/>
          </w:tcPr>
          <w:p w14:paraId="2020CAD8">
            <w:pPr>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运用光学/电子原理进行影像放大，方便老年人使用</w:t>
            </w:r>
          </w:p>
        </w:tc>
        <w:tc>
          <w:tcPr>
            <w:tcW w:w="615" w:type="dxa"/>
            <w:gridSpan w:val="2"/>
            <w:vMerge w:val="continue"/>
            <w:vAlign w:val="center"/>
          </w:tcPr>
          <w:p w14:paraId="0078E96C">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68C895E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LED放大镜</w:t>
            </w:r>
          </w:p>
        </w:tc>
        <w:tc>
          <w:tcPr>
            <w:tcW w:w="3420" w:type="dxa"/>
            <w:vAlign w:val="center"/>
          </w:tcPr>
          <w:p w14:paraId="5F7D1C8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镜片直径：</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70</w:t>
            </w:r>
            <w:r>
              <w:rPr>
                <w:rFonts w:hint="eastAsia" w:cs="宋体"/>
                <w:i w:val="0"/>
                <w:iCs w:val="0"/>
                <w:color w:val="auto"/>
                <w:kern w:val="0"/>
                <w:sz w:val="20"/>
                <w:szCs w:val="20"/>
                <w:u w:val="none"/>
                <w:lang w:val="en-US" w:eastAsia="zh-CN" w:bidi="ar"/>
              </w:rPr>
              <w:t>mm</w:t>
            </w:r>
            <w:r>
              <w:rPr>
                <w:rFonts w:hint="eastAsia" w:ascii="宋体" w:hAnsi="宋体" w:eastAsia="宋体" w:cs="宋体"/>
                <w:i w:val="0"/>
                <w:iCs w:val="0"/>
                <w:color w:val="auto"/>
                <w:kern w:val="0"/>
                <w:sz w:val="20"/>
                <w:szCs w:val="20"/>
                <w:u w:val="none"/>
                <w:lang w:val="en-US" w:eastAsia="zh-CN" w:bidi="ar"/>
              </w:rPr>
              <w:t>，外观直径：</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92</w:t>
            </w:r>
            <w:r>
              <w:rPr>
                <w:rFonts w:hint="eastAsia" w:cs="宋体"/>
                <w:i w:val="0"/>
                <w:iCs w:val="0"/>
                <w:color w:val="auto"/>
                <w:kern w:val="0"/>
                <w:sz w:val="20"/>
                <w:szCs w:val="20"/>
                <w:u w:val="none"/>
                <w:lang w:val="en-US" w:eastAsia="zh-CN" w:bidi="ar"/>
              </w:rPr>
              <w:t>mm</w:t>
            </w:r>
            <w:r>
              <w:rPr>
                <w:rFonts w:hint="eastAsia" w:ascii="宋体" w:hAnsi="宋体" w:eastAsia="宋体" w:cs="宋体"/>
                <w:i w:val="0"/>
                <w:iCs w:val="0"/>
                <w:color w:val="auto"/>
                <w:kern w:val="0"/>
                <w:sz w:val="20"/>
                <w:szCs w:val="20"/>
                <w:u w:val="none"/>
                <w:lang w:val="en-US" w:eastAsia="zh-CN" w:bidi="ar"/>
              </w:rPr>
              <w:t>，高度：</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52</w:t>
            </w:r>
            <w:r>
              <w:rPr>
                <w:rFonts w:hint="eastAsia" w:cs="宋体"/>
                <w:i w:val="0"/>
                <w:iCs w:val="0"/>
                <w:color w:val="auto"/>
                <w:kern w:val="0"/>
                <w:sz w:val="20"/>
                <w:szCs w:val="20"/>
                <w:u w:val="none"/>
                <w:lang w:val="en-US" w:eastAsia="zh-CN" w:bidi="ar"/>
              </w:rPr>
              <w:t>mm；</w:t>
            </w:r>
          </w:p>
          <w:p w14:paraId="7C6D05D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材质：亚克力 /K9玻璃</w:t>
            </w:r>
            <w:r>
              <w:rPr>
                <w:rFonts w:hint="eastAsia" w:cs="宋体"/>
                <w:i w:val="0"/>
                <w:iCs w:val="0"/>
                <w:color w:val="auto"/>
                <w:kern w:val="0"/>
                <w:sz w:val="20"/>
                <w:szCs w:val="20"/>
                <w:u w:val="none"/>
                <w:lang w:val="en-US" w:eastAsia="zh-CN" w:bidi="ar"/>
              </w:rPr>
              <w:t>；</w:t>
            </w:r>
          </w:p>
          <w:p w14:paraId="6C058A2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柔和LED灯：采用3个柔和LED光源，按压式开关设计，黑暗环境也可以方便使用。</w:t>
            </w:r>
          </w:p>
        </w:tc>
        <w:tc>
          <w:tcPr>
            <w:tcW w:w="450" w:type="dxa"/>
            <w:vAlign w:val="center"/>
          </w:tcPr>
          <w:p w14:paraId="1A3D22D9">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个</w:t>
            </w:r>
          </w:p>
        </w:tc>
        <w:tc>
          <w:tcPr>
            <w:tcW w:w="863" w:type="dxa"/>
            <w:vAlign w:val="center"/>
          </w:tcPr>
          <w:p w14:paraId="34CA88B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101 </w:t>
            </w:r>
          </w:p>
        </w:tc>
      </w:tr>
      <w:tr w14:paraId="00BC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3C97E05D">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27</w:t>
            </w:r>
          </w:p>
        </w:tc>
        <w:tc>
          <w:tcPr>
            <w:tcW w:w="570" w:type="dxa"/>
            <w:vMerge w:val="continue"/>
            <w:vAlign w:val="center"/>
          </w:tcPr>
          <w:p w14:paraId="79DD1B5C">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restart"/>
            <w:vAlign w:val="center"/>
          </w:tcPr>
          <w:p w14:paraId="0536904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自助进食器具</w:t>
            </w:r>
          </w:p>
        </w:tc>
        <w:tc>
          <w:tcPr>
            <w:tcW w:w="1575" w:type="dxa"/>
            <w:vMerge w:val="restart"/>
            <w:vAlign w:val="center"/>
          </w:tcPr>
          <w:p w14:paraId="61B91B8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辅助老年人进食，包括防洒碗（盘）、助食筷、弯柄勺（叉）、饮水杯（壶）</w:t>
            </w:r>
          </w:p>
        </w:tc>
        <w:tc>
          <w:tcPr>
            <w:tcW w:w="615" w:type="dxa"/>
            <w:gridSpan w:val="2"/>
            <w:vMerge w:val="continue"/>
            <w:vAlign w:val="center"/>
          </w:tcPr>
          <w:p w14:paraId="32C84DD6">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6F942D6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自助进食器具</w:t>
            </w:r>
          </w:p>
        </w:tc>
        <w:tc>
          <w:tcPr>
            <w:tcW w:w="3420" w:type="dxa"/>
            <w:vAlign w:val="center"/>
          </w:tcPr>
          <w:p w14:paraId="51C2D76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1.助食筷可帮助一些手部僵硬、中风、挛缩的病人，自主进食。其独特的设计，及时在使用过程中，因手部问题造成的不稳现象，也可较为轻松的夹起食物。</w:t>
            </w:r>
          </w:p>
          <w:p w14:paraId="2D00C82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2.助食勺和助食叉能在水平140°、轴向旋转360°的空间范围内任意调整及锁定位置，并保持其状态。手柄位置带有橡胶皮带可按手的大小，调整松紧。手柄内部空间可以放置配重，满足用户的使用习惯及特殊需要。</w:t>
            </w:r>
          </w:p>
          <w:p w14:paraId="7E4D56A4">
            <w:pPr>
              <w:keepNext w:val="0"/>
              <w:keepLines w:val="0"/>
              <w:widowControl/>
              <w:suppressLineNumbers w:val="0"/>
              <w:jc w:val="left"/>
              <w:textAlignment w:val="center"/>
              <w:rPr>
                <w:rFonts w:hint="eastAsia"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3.助食碗和防洒盘底部带有吸盘，吸附力持久，防止碗滑动；碗口一侧为屋檐式设计，防止食物遗洒。材质：碗体为食品级PP塑料，吸盘为无毒级硅胶。</w:t>
            </w:r>
          </w:p>
          <w:p w14:paraId="051E473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kern w:val="0"/>
                <w:sz w:val="20"/>
                <w:szCs w:val="20"/>
                <w:highlight w:val="none"/>
                <w:lang w:bidi="ar"/>
              </w:rPr>
              <w:t>4</w:t>
            </w:r>
            <w:r>
              <w:rPr>
                <w:rFonts w:hint="eastAsia" w:ascii="宋体" w:hAnsi="宋体" w:cs="宋体"/>
                <w:kern w:val="0"/>
                <w:sz w:val="20"/>
                <w:szCs w:val="20"/>
                <w:highlight w:val="none"/>
                <w:lang w:val="en-US" w:eastAsia="zh-CN" w:bidi="ar"/>
              </w:rPr>
              <w:t>.</w:t>
            </w:r>
            <w:r>
              <w:rPr>
                <w:rFonts w:hint="eastAsia" w:ascii="宋体" w:hAnsi="宋体" w:cs="宋体"/>
                <w:kern w:val="0"/>
                <w:sz w:val="20"/>
                <w:szCs w:val="20"/>
                <w:highlight w:val="none"/>
                <w:lang w:bidi="ar"/>
              </w:rPr>
              <w:t>饮水杯（壶）用于儿童、老年人、残疾人、颈部受伤及吞咽功能异常患者饮用的杯子，不用仰头喝水而呛到，杯身本体设计两侧防滑防烫握把，杯盖为硅胶紧扣杯口，并有止漏设计，防洒防漏防呛。杯本体材质为食品级PP，杯盖为食品级硅胶，可微波加热，可低温冷藏。</w:t>
            </w:r>
          </w:p>
        </w:tc>
        <w:tc>
          <w:tcPr>
            <w:tcW w:w="450" w:type="dxa"/>
            <w:vAlign w:val="center"/>
          </w:tcPr>
          <w:p w14:paraId="7E437A9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套</w:t>
            </w:r>
          </w:p>
        </w:tc>
        <w:tc>
          <w:tcPr>
            <w:tcW w:w="863" w:type="dxa"/>
            <w:vAlign w:val="center"/>
          </w:tcPr>
          <w:p w14:paraId="7F81F205">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480</w:t>
            </w:r>
          </w:p>
        </w:tc>
      </w:tr>
      <w:tr w14:paraId="31BC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7AFBB8EC">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2D1969C2">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49B7C006">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1A6B874F">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21A207AF">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6236CF1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带吸管杯</w:t>
            </w:r>
          </w:p>
        </w:tc>
        <w:tc>
          <w:tcPr>
            <w:tcW w:w="3420" w:type="dxa"/>
            <w:vAlign w:val="center"/>
          </w:tcPr>
          <w:p w14:paraId="73B1077A">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w:t>
            </w:r>
            <w:r>
              <w:rPr>
                <w:rFonts w:hint="eastAsia" w:ascii="宋体" w:hAnsi="宋体" w:eastAsia="宋体" w:cs="宋体"/>
                <w:b w:val="0"/>
                <w:bCs w:val="0"/>
                <w:i w:val="0"/>
                <w:iCs w:val="0"/>
                <w:color w:val="auto"/>
                <w:kern w:val="0"/>
                <w:sz w:val="20"/>
                <w:szCs w:val="20"/>
                <w:u w:val="none"/>
                <w:lang w:val="en-US" w:eastAsia="zh-CN" w:bidi="ar"/>
              </w:rPr>
              <w:t>容量：</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350ml，杯体：食品级PP，内胆：食品级304</w:t>
            </w:r>
            <w:r>
              <w:rPr>
                <w:rFonts w:hint="eastAsia" w:cs="宋体"/>
                <w:b w:val="0"/>
                <w:bCs w:val="0"/>
                <w:i w:val="0"/>
                <w:iCs w:val="0"/>
                <w:color w:val="auto"/>
                <w:kern w:val="0"/>
                <w:sz w:val="20"/>
                <w:szCs w:val="20"/>
                <w:u w:val="none"/>
                <w:lang w:val="en-US" w:eastAsia="zh-CN" w:bidi="ar"/>
              </w:rPr>
              <w:t>及以上</w:t>
            </w:r>
            <w:r>
              <w:rPr>
                <w:rFonts w:hint="eastAsia" w:ascii="宋体" w:hAnsi="宋体" w:eastAsia="宋体" w:cs="宋体"/>
                <w:b w:val="0"/>
                <w:bCs w:val="0"/>
                <w:i w:val="0"/>
                <w:iCs w:val="0"/>
                <w:color w:val="auto"/>
                <w:kern w:val="0"/>
                <w:sz w:val="20"/>
                <w:szCs w:val="20"/>
                <w:u w:val="none"/>
                <w:lang w:val="en-US" w:eastAsia="zh-CN" w:bidi="ar"/>
              </w:rPr>
              <w:t>不锈钢</w:t>
            </w:r>
            <w:r>
              <w:rPr>
                <w:rFonts w:hint="eastAsia" w:cs="宋体"/>
                <w:b w:val="0"/>
                <w:bCs w:val="0"/>
                <w:i w:val="0"/>
                <w:iCs w:val="0"/>
                <w:color w:val="auto"/>
                <w:kern w:val="0"/>
                <w:sz w:val="20"/>
                <w:szCs w:val="20"/>
                <w:u w:val="none"/>
                <w:lang w:val="en-US" w:eastAsia="zh-CN" w:bidi="ar"/>
              </w:rPr>
              <w:t>；</w:t>
            </w:r>
          </w:p>
          <w:p w14:paraId="29113649">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2</w:t>
            </w:r>
            <w:r>
              <w:rPr>
                <w:rFonts w:hint="eastAsia" w:ascii="宋体" w:hAnsi="宋体" w:eastAsia="宋体" w:cs="宋体"/>
                <w:b w:val="0"/>
                <w:bCs w:val="0"/>
                <w:i w:val="0"/>
                <w:iCs w:val="0"/>
                <w:color w:val="auto"/>
                <w:kern w:val="0"/>
                <w:sz w:val="20"/>
                <w:szCs w:val="20"/>
                <w:u w:val="none"/>
                <w:lang w:val="en-US" w:eastAsia="zh-CN" w:bidi="ar"/>
              </w:rPr>
              <w:t>.杯口广口设计，方便使用；</w:t>
            </w:r>
          </w:p>
          <w:p w14:paraId="7CC343E9">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3</w:t>
            </w:r>
            <w:r>
              <w:rPr>
                <w:rFonts w:hint="eastAsia" w:ascii="宋体" w:hAnsi="宋体" w:eastAsia="宋体" w:cs="宋体"/>
                <w:b w:val="0"/>
                <w:bCs w:val="0"/>
                <w:i w:val="0"/>
                <w:iCs w:val="0"/>
                <w:color w:val="auto"/>
                <w:kern w:val="0"/>
                <w:sz w:val="20"/>
                <w:szCs w:val="20"/>
                <w:u w:val="none"/>
                <w:lang w:val="en-US" w:eastAsia="zh-CN" w:bidi="ar"/>
              </w:rPr>
              <w:t>.食品级材质，安全、密封好；</w:t>
            </w:r>
          </w:p>
          <w:p w14:paraId="45233BED">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4</w:t>
            </w:r>
            <w:r>
              <w:rPr>
                <w:rFonts w:hint="eastAsia" w:ascii="宋体" w:hAnsi="宋体" w:eastAsia="宋体" w:cs="宋体"/>
                <w:b w:val="0"/>
                <w:bCs w:val="0"/>
                <w:i w:val="0"/>
                <w:iCs w:val="0"/>
                <w:color w:val="auto"/>
                <w:kern w:val="0"/>
                <w:sz w:val="20"/>
                <w:szCs w:val="20"/>
                <w:u w:val="none"/>
                <w:lang w:val="en-US" w:eastAsia="zh-CN" w:bidi="ar"/>
              </w:rPr>
              <w:t>.安全防溢漏。</w:t>
            </w:r>
          </w:p>
        </w:tc>
        <w:tc>
          <w:tcPr>
            <w:tcW w:w="450" w:type="dxa"/>
            <w:vAlign w:val="center"/>
          </w:tcPr>
          <w:p w14:paraId="5BB35AF0">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1B8B4121">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69 </w:t>
            </w:r>
          </w:p>
        </w:tc>
      </w:tr>
      <w:tr w14:paraId="3E37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restart"/>
            <w:vAlign w:val="center"/>
          </w:tcPr>
          <w:p w14:paraId="77E4742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28</w:t>
            </w:r>
          </w:p>
        </w:tc>
        <w:tc>
          <w:tcPr>
            <w:tcW w:w="570" w:type="dxa"/>
            <w:vMerge w:val="continue"/>
            <w:vAlign w:val="center"/>
          </w:tcPr>
          <w:p w14:paraId="520FB694">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restart"/>
            <w:vAlign w:val="center"/>
          </w:tcPr>
          <w:p w14:paraId="22356690">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助听器</w:t>
            </w:r>
          </w:p>
        </w:tc>
        <w:tc>
          <w:tcPr>
            <w:tcW w:w="1575" w:type="dxa"/>
            <w:vMerge w:val="restart"/>
            <w:vAlign w:val="center"/>
          </w:tcPr>
          <w:p w14:paraId="7EBD32BE">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帮助老年人听清声音来源，增加与周围的交流，包括盒式助听器、耳内助听器、耳背助听器、骨传导助听器等</w:t>
            </w:r>
          </w:p>
        </w:tc>
        <w:tc>
          <w:tcPr>
            <w:tcW w:w="615" w:type="dxa"/>
            <w:gridSpan w:val="2"/>
            <w:vMerge w:val="continue"/>
            <w:vAlign w:val="center"/>
          </w:tcPr>
          <w:p w14:paraId="692F41E8">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61BB336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盒式助听器（耳内助听器）</w:t>
            </w:r>
          </w:p>
        </w:tc>
        <w:tc>
          <w:tcPr>
            <w:tcW w:w="3420" w:type="dxa"/>
            <w:vAlign w:val="center"/>
          </w:tcPr>
          <w:p w14:paraId="501E0AF1">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w:t>
            </w:r>
            <w:r>
              <w:rPr>
                <w:rFonts w:hint="eastAsia" w:ascii="宋体" w:hAnsi="宋体" w:eastAsia="宋体" w:cs="宋体"/>
                <w:b w:val="0"/>
                <w:bCs w:val="0"/>
                <w:i w:val="0"/>
                <w:iCs w:val="0"/>
                <w:color w:val="auto"/>
                <w:kern w:val="0"/>
                <w:sz w:val="20"/>
                <w:szCs w:val="20"/>
                <w:u w:val="none"/>
                <w:lang w:val="en-US" w:eastAsia="zh-CN" w:bidi="ar"/>
              </w:rPr>
              <w:t>重量：</w:t>
            </w:r>
            <w:bookmarkStart w:id="32" w:name="OLE_LINK15"/>
            <w:r>
              <w:rPr>
                <w:rFonts w:hint="eastAsia" w:cs="宋体"/>
                <w:b w:val="0"/>
                <w:bCs w:val="0"/>
                <w:i w:val="0"/>
                <w:iCs w:val="0"/>
                <w:color w:val="auto"/>
                <w:kern w:val="0"/>
                <w:sz w:val="20"/>
                <w:szCs w:val="20"/>
                <w:u w:val="none"/>
                <w:lang w:val="en-US" w:eastAsia="zh-CN" w:bidi="ar"/>
              </w:rPr>
              <w:t>≤40</w:t>
            </w:r>
            <w:r>
              <w:rPr>
                <w:rFonts w:hint="eastAsia" w:ascii="宋体" w:hAnsi="宋体" w:eastAsia="宋体" w:cs="宋体"/>
                <w:b w:val="0"/>
                <w:bCs w:val="0"/>
                <w:i w:val="0"/>
                <w:iCs w:val="0"/>
                <w:color w:val="auto"/>
                <w:kern w:val="0"/>
                <w:sz w:val="20"/>
                <w:szCs w:val="20"/>
                <w:u w:val="none"/>
                <w:lang w:val="en-US" w:eastAsia="zh-CN" w:bidi="ar"/>
              </w:rPr>
              <w:t>克</w:t>
            </w:r>
            <w:bookmarkEnd w:id="32"/>
            <w:r>
              <w:rPr>
                <w:rFonts w:hint="eastAsia" w:ascii="宋体" w:hAnsi="宋体" w:eastAsia="宋体" w:cs="宋体"/>
                <w:b w:val="0"/>
                <w:bCs w:val="0"/>
                <w:i w:val="0"/>
                <w:iCs w:val="0"/>
                <w:color w:val="auto"/>
                <w:kern w:val="0"/>
                <w:sz w:val="20"/>
                <w:szCs w:val="20"/>
                <w:u w:val="none"/>
                <w:lang w:val="en-US" w:eastAsia="zh-CN" w:bidi="ar"/>
              </w:rPr>
              <w:t>（含电池）</w:t>
            </w:r>
            <w:r>
              <w:rPr>
                <w:rFonts w:hint="eastAsia" w:cs="宋体"/>
                <w:b w:val="0"/>
                <w:bCs w:val="0"/>
                <w:i w:val="0"/>
                <w:iCs w:val="0"/>
                <w:color w:val="auto"/>
                <w:kern w:val="0"/>
                <w:sz w:val="20"/>
                <w:szCs w:val="20"/>
                <w:u w:val="none"/>
                <w:lang w:val="en-US" w:eastAsia="zh-CN" w:bidi="ar"/>
              </w:rPr>
              <w:t>；</w:t>
            </w:r>
          </w:p>
          <w:p w14:paraId="270B6031">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2.</w:t>
            </w:r>
            <w:r>
              <w:rPr>
                <w:rFonts w:hint="eastAsia" w:ascii="宋体" w:hAnsi="宋体" w:eastAsia="宋体" w:cs="宋体"/>
                <w:b w:val="0"/>
                <w:bCs w:val="0"/>
                <w:i w:val="0"/>
                <w:iCs w:val="0"/>
                <w:color w:val="auto"/>
                <w:kern w:val="0"/>
                <w:sz w:val="20"/>
                <w:szCs w:val="20"/>
                <w:u w:val="none"/>
                <w:lang w:val="en-US" w:eastAsia="zh-CN" w:bidi="ar"/>
              </w:rPr>
              <w:t>麦克风：内置双麦克风收音</w:t>
            </w:r>
            <w:r>
              <w:rPr>
                <w:rFonts w:hint="eastAsia" w:cs="宋体"/>
                <w:b w:val="0"/>
                <w:bCs w:val="0"/>
                <w:i w:val="0"/>
                <w:iCs w:val="0"/>
                <w:color w:val="auto"/>
                <w:kern w:val="0"/>
                <w:sz w:val="20"/>
                <w:szCs w:val="20"/>
                <w:u w:val="none"/>
                <w:lang w:val="en-US" w:eastAsia="zh-CN" w:bidi="ar"/>
              </w:rPr>
              <w:t>；</w:t>
            </w:r>
          </w:p>
          <w:p w14:paraId="43851ADB">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4.</w:t>
            </w:r>
            <w:r>
              <w:rPr>
                <w:rFonts w:hint="eastAsia" w:ascii="宋体" w:hAnsi="宋体" w:eastAsia="宋体" w:cs="宋体"/>
                <w:b w:val="0"/>
                <w:bCs w:val="0"/>
                <w:i w:val="0"/>
                <w:iCs w:val="0"/>
                <w:color w:val="auto"/>
                <w:kern w:val="0"/>
                <w:sz w:val="20"/>
                <w:szCs w:val="20"/>
                <w:u w:val="none"/>
                <w:lang w:val="en-US" w:eastAsia="zh-CN" w:bidi="ar"/>
              </w:rPr>
              <w:t>耳机接口：立体声接口</w:t>
            </w:r>
            <w:r>
              <w:rPr>
                <w:rFonts w:hint="eastAsia" w:cs="宋体"/>
                <w:b w:val="0"/>
                <w:bCs w:val="0"/>
                <w:i w:val="0"/>
                <w:iCs w:val="0"/>
                <w:color w:val="auto"/>
                <w:kern w:val="0"/>
                <w:sz w:val="20"/>
                <w:szCs w:val="20"/>
                <w:u w:val="none"/>
                <w:lang w:val="en-US" w:eastAsia="zh-CN" w:bidi="ar"/>
              </w:rPr>
              <w:t>；</w:t>
            </w:r>
          </w:p>
          <w:p w14:paraId="7791F3FB">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5.</w:t>
            </w:r>
            <w:r>
              <w:rPr>
                <w:rFonts w:hint="eastAsia" w:ascii="宋体" w:hAnsi="宋体" w:eastAsia="宋体" w:cs="宋体"/>
                <w:b w:val="0"/>
                <w:bCs w:val="0"/>
                <w:i w:val="0"/>
                <w:iCs w:val="0"/>
                <w:color w:val="auto"/>
                <w:kern w:val="0"/>
                <w:sz w:val="20"/>
                <w:szCs w:val="20"/>
                <w:u w:val="none"/>
                <w:lang w:val="en-US" w:eastAsia="zh-CN" w:bidi="ar"/>
              </w:rPr>
              <w:t>频率：</w:t>
            </w:r>
            <w:r>
              <w:rPr>
                <w:rFonts w:hint="eastAsia" w:cs="宋体"/>
                <w:b w:val="0"/>
                <w:bCs w:val="0"/>
                <w:i w:val="0"/>
                <w:iCs w:val="0"/>
                <w:color w:val="auto"/>
                <w:kern w:val="0"/>
                <w:sz w:val="20"/>
                <w:szCs w:val="20"/>
                <w:u w:val="none"/>
                <w:lang w:val="en-US" w:eastAsia="zh-CN" w:bidi="ar"/>
              </w:rPr>
              <w:t>不窄于</w:t>
            </w:r>
            <w:r>
              <w:rPr>
                <w:rFonts w:hint="eastAsia" w:ascii="宋体" w:hAnsi="宋体" w:eastAsia="宋体" w:cs="宋体"/>
                <w:b w:val="0"/>
                <w:bCs w:val="0"/>
                <w:i w:val="0"/>
                <w:iCs w:val="0"/>
                <w:color w:val="auto"/>
                <w:kern w:val="0"/>
                <w:sz w:val="20"/>
                <w:szCs w:val="20"/>
                <w:u w:val="none"/>
                <w:lang w:val="en-US" w:eastAsia="zh-CN" w:bidi="ar"/>
              </w:rPr>
              <w:t>40Hz～11000Hz</w:t>
            </w:r>
            <w:r>
              <w:rPr>
                <w:rFonts w:hint="eastAsia" w:cs="宋体"/>
                <w:b w:val="0"/>
                <w:bCs w:val="0"/>
                <w:i w:val="0"/>
                <w:iCs w:val="0"/>
                <w:color w:val="auto"/>
                <w:kern w:val="0"/>
                <w:sz w:val="20"/>
                <w:szCs w:val="20"/>
                <w:u w:val="none"/>
                <w:lang w:val="en-US" w:eastAsia="zh-CN" w:bidi="ar"/>
              </w:rPr>
              <w:t>；</w:t>
            </w:r>
          </w:p>
          <w:p w14:paraId="2F7023C9">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6.</w:t>
            </w:r>
            <w:r>
              <w:rPr>
                <w:rFonts w:hint="eastAsia" w:ascii="宋体" w:hAnsi="宋体" w:eastAsia="宋体" w:cs="宋体"/>
                <w:b w:val="0"/>
                <w:bCs w:val="0"/>
                <w:i w:val="0"/>
                <w:iCs w:val="0"/>
                <w:color w:val="auto"/>
                <w:kern w:val="0"/>
                <w:sz w:val="20"/>
                <w:szCs w:val="20"/>
                <w:u w:val="none"/>
                <w:lang w:val="en-US" w:eastAsia="zh-CN" w:bidi="ar"/>
              </w:rPr>
              <w:t>失真率：&lt;0.5%</w:t>
            </w:r>
            <w:r>
              <w:rPr>
                <w:rFonts w:hint="eastAsia" w:cs="宋体"/>
                <w:b w:val="0"/>
                <w:bCs w:val="0"/>
                <w:i w:val="0"/>
                <w:iCs w:val="0"/>
                <w:color w:val="auto"/>
                <w:kern w:val="0"/>
                <w:sz w:val="20"/>
                <w:szCs w:val="20"/>
                <w:u w:val="none"/>
                <w:lang w:val="en-US" w:eastAsia="zh-CN" w:bidi="ar"/>
              </w:rPr>
              <w:t>；</w:t>
            </w:r>
          </w:p>
          <w:p w14:paraId="1E3D81FB">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7.</w:t>
            </w:r>
            <w:r>
              <w:rPr>
                <w:rFonts w:hint="eastAsia" w:ascii="宋体" w:hAnsi="宋体" w:eastAsia="宋体" w:cs="宋体"/>
                <w:b w:val="0"/>
                <w:bCs w:val="0"/>
                <w:i w:val="0"/>
                <w:iCs w:val="0"/>
                <w:color w:val="auto"/>
                <w:kern w:val="0"/>
                <w:sz w:val="20"/>
                <w:szCs w:val="20"/>
                <w:u w:val="none"/>
                <w:lang w:val="en-US" w:eastAsia="zh-CN" w:bidi="ar"/>
              </w:rPr>
              <w:t>最大增益：35dB(1KHz@60dB输入）</w:t>
            </w:r>
            <w:r>
              <w:rPr>
                <w:rFonts w:hint="eastAsia" w:cs="宋体"/>
                <w:b w:val="0"/>
                <w:bCs w:val="0"/>
                <w:i w:val="0"/>
                <w:iCs w:val="0"/>
                <w:color w:val="auto"/>
                <w:kern w:val="0"/>
                <w:sz w:val="20"/>
                <w:szCs w:val="20"/>
                <w:u w:val="none"/>
                <w:lang w:val="en-US" w:eastAsia="zh-CN" w:bidi="ar"/>
              </w:rPr>
              <w:t>；</w:t>
            </w:r>
          </w:p>
          <w:p w14:paraId="0378BB4D">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8.</w:t>
            </w:r>
            <w:r>
              <w:rPr>
                <w:rFonts w:hint="eastAsia" w:ascii="宋体" w:hAnsi="宋体" w:eastAsia="宋体" w:cs="宋体"/>
                <w:b w:val="0"/>
                <w:bCs w:val="0"/>
                <w:i w:val="0"/>
                <w:iCs w:val="0"/>
                <w:color w:val="auto"/>
                <w:kern w:val="0"/>
                <w:sz w:val="20"/>
                <w:szCs w:val="20"/>
                <w:u w:val="none"/>
                <w:lang w:val="en-US" w:eastAsia="zh-CN" w:bidi="ar"/>
              </w:rPr>
              <w:t>最大输出：128dB</w:t>
            </w:r>
            <w:r>
              <w:rPr>
                <w:rFonts w:hint="eastAsia" w:cs="宋体"/>
                <w:b w:val="0"/>
                <w:bCs w:val="0"/>
                <w:i w:val="0"/>
                <w:iCs w:val="0"/>
                <w:color w:val="auto"/>
                <w:kern w:val="0"/>
                <w:sz w:val="20"/>
                <w:szCs w:val="20"/>
                <w:u w:val="none"/>
                <w:lang w:val="en-US" w:eastAsia="zh-CN" w:bidi="ar"/>
              </w:rPr>
              <w:t>；</w:t>
            </w:r>
          </w:p>
          <w:p w14:paraId="107E166C">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9.</w:t>
            </w:r>
            <w:r>
              <w:rPr>
                <w:rFonts w:hint="eastAsia" w:ascii="宋体" w:hAnsi="宋体" w:eastAsia="宋体" w:cs="宋体"/>
                <w:b w:val="0"/>
                <w:bCs w:val="0"/>
                <w:i w:val="0"/>
                <w:iCs w:val="0"/>
                <w:color w:val="auto"/>
                <w:kern w:val="0"/>
                <w:sz w:val="20"/>
                <w:szCs w:val="20"/>
                <w:u w:val="none"/>
                <w:lang w:val="en-US" w:eastAsia="zh-CN" w:bidi="ar"/>
              </w:rPr>
              <w:t>电源：一节7号电池</w:t>
            </w:r>
            <w:r>
              <w:rPr>
                <w:rFonts w:hint="eastAsia" w:cs="宋体"/>
                <w:b w:val="0"/>
                <w:bCs w:val="0"/>
                <w:i w:val="0"/>
                <w:iCs w:val="0"/>
                <w:color w:val="auto"/>
                <w:kern w:val="0"/>
                <w:sz w:val="20"/>
                <w:szCs w:val="20"/>
                <w:u w:val="none"/>
                <w:lang w:val="en-US" w:eastAsia="zh-CN" w:bidi="ar"/>
              </w:rPr>
              <w:t>；</w:t>
            </w:r>
          </w:p>
          <w:p w14:paraId="6D140ECC">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10.</w:t>
            </w:r>
            <w:r>
              <w:rPr>
                <w:rFonts w:hint="eastAsia" w:ascii="宋体" w:hAnsi="宋体" w:eastAsia="宋体" w:cs="宋体"/>
                <w:b w:val="0"/>
                <w:bCs w:val="0"/>
                <w:i w:val="0"/>
                <w:iCs w:val="0"/>
                <w:color w:val="auto"/>
                <w:kern w:val="0"/>
                <w:sz w:val="20"/>
                <w:szCs w:val="20"/>
                <w:u w:val="none"/>
                <w:lang w:val="en-US" w:eastAsia="zh-CN" w:bidi="ar"/>
              </w:rPr>
              <w:t>使用时间：≥80小时</w:t>
            </w:r>
            <w:r>
              <w:rPr>
                <w:rFonts w:hint="eastAsia" w:cs="宋体"/>
                <w:b w:val="0"/>
                <w:bCs w:val="0"/>
                <w:i w:val="0"/>
                <w:iCs w:val="0"/>
                <w:color w:val="auto"/>
                <w:kern w:val="0"/>
                <w:sz w:val="20"/>
                <w:szCs w:val="20"/>
                <w:u w:val="none"/>
                <w:lang w:val="en-US" w:eastAsia="zh-CN" w:bidi="ar"/>
              </w:rPr>
              <w:t>。</w:t>
            </w:r>
          </w:p>
        </w:tc>
        <w:tc>
          <w:tcPr>
            <w:tcW w:w="450" w:type="dxa"/>
            <w:vAlign w:val="center"/>
          </w:tcPr>
          <w:p w14:paraId="1DB091EF">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4FBB346C">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580 </w:t>
            </w:r>
          </w:p>
        </w:tc>
      </w:tr>
      <w:tr w14:paraId="52CA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672E7580">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2A17AEC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741203C8">
            <w:pPr>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31D045B3">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3A492AF1">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6D7AEC6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耳背助听器</w:t>
            </w:r>
          </w:p>
        </w:tc>
        <w:tc>
          <w:tcPr>
            <w:tcW w:w="3420" w:type="dxa"/>
            <w:vAlign w:val="center"/>
          </w:tcPr>
          <w:p w14:paraId="46E52A81">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1.最大OSPL90参数：≥120dB；</w:t>
            </w:r>
          </w:p>
          <w:p w14:paraId="45FB95B0">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2.满档声增益参数：≥60dB；</w:t>
            </w:r>
          </w:p>
          <w:p w14:paraId="3550F756">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3.总谐波失真：≤1% ；</w:t>
            </w:r>
          </w:p>
          <w:p w14:paraId="4780B87E">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4.等效输入噪声级：≤21dB；</w:t>
            </w:r>
          </w:p>
          <w:p w14:paraId="16AA7CCC">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5.频率响应范围：不窄于200Hz～5000Hz；</w:t>
            </w:r>
          </w:p>
          <w:p w14:paraId="3FEBB01E">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6.电池额定工作时间：</w:t>
            </w:r>
            <w:r>
              <w:rPr>
                <w:rFonts w:hint="eastAsia"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290h；</w:t>
            </w:r>
          </w:p>
          <w:p w14:paraId="080FD606">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7.</w:t>
            </w:r>
            <w:r>
              <w:rPr>
                <w:rFonts w:hint="eastAsia" w:cs="宋体"/>
                <w:b w:val="0"/>
                <w:bCs w:val="0"/>
                <w:i w:val="0"/>
                <w:iCs w:val="0"/>
                <w:color w:val="auto"/>
                <w:kern w:val="0"/>
                <w:sz w:val="20"/>
                <w:szCs w:val="20"/>
                <w:u w:val="none"/>
                <w:lang w:val="en-US" w:eastAsia="zh-CN" w:bidi="ar"/>
              </w:rPr>
              <w:t>支持</w:t>
            </w:r>
            <w:r>
              <w:rPr>
                <w:rFonts w:hint="eastAsia" w:ascii="宋体" w:hAnsi="宋体" w:eastAsia="宋体" w:cs="宋体"/>
                <w:b w:val="0"/>
                <w:bCs w:val="0"/>
                <w:i w:val="0"/>
                <w:iCs w:val="0"/>
                <w:color w:val="auto"/>
                <w:kern w:val="0"/>
                <w:sz w:val="20"/>
                <w:szCs w:val="20"/>
                <w:u w:val="none"/>
                <w:lang w:val="en-US" w:eastAsia="zh-CN" w:bidi="ar"/>
              </w:rPr>
              <w:t>微调功能，可根据用户需求进行微调</w:t>
            </w:r>
            <w:r>
              <w:rPr>
                <w:rFonts w:hint="eastAsia" w:cs="宋体"/>
                <w:b w:val="0"/>
                <w:bCs w:val="0"/>
                <w:i w:val="0"/>
                <w:iCs w:val="0"/>
                <w:color w:val="auto"/>
                <w:kern w:val="0"/>
                <w:sz w:val="20"/>
                <w:szCs w:val="20"/>
                <w:u w:val="none"/>
                <w:lang w:val="en-US" w:eastAsia="zh-CN" w:bidi="ar"/>
              </w:rPr>
              <w:t>。</w:t>
            </w:r>
          </w:p>
        </w:tc>
        <w:tc>
          <w:tcPr>
            <w:tcW w:w="450" w:type="dxa"/>
            <w:vAlign w:val="center"/>
          </w:tcPr>
          <w:p w14:paraId="7A25E74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761F75E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790 </w:t>
            </w:r>
          </w:p>
        </w:tc>
      </w:tr>
      <w:tr w14:paraId="3345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Merge w:val="continue"/>
            <w:vAlign w:val="center"/>
          </w:tcPr>
          <w:p w14:paraId="6DA43C4A">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70" w:type="dxa"/>
            <w:vMerge w:val="continue"/>
            <w:vAlign w:val="center"/>
          </w:tcPr>
          <w:p w14:paraId="27CEA841">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p>
        </w:tc>
        <w:tc>
          <w:tcPr>
            <w:tcW w:w="585" w:type="dxa"/>
            <w:vMerge w:val="continue"/>
            <w:vAlign w:val="center"/>
          </w:tcPr>
          <w:p w14:paraId="2158719E">
            <w:pPr>
              <w:jc w:val="center"/>
              <w:rPr>
                <w:rFonts w:hint="eastAsia" w:ascii="宋体" w:hAnsi="宋体" w:eastAsia="宋体" w:cs="宋体"/>
                <w:b w:val="0"/>
                <w:color w:val="auto"/>
                <w:sz w:val="20"/>
                <w:szCs w:val="20"/>
                <w:vertAlign w:val="baseline"/>
                <w:lang w:val="en-US" w:eastAsia="zh-CN"/>
              </w:rPr>
            </w:pPr>
          </w:p>
        </w:tc>
        <w:tc>
          <w:tcPr>
            <w:tcW w:w="1575" w:type="dxa"/>
            <w:vMerge w:val="continue"/>
            <w:vAlign w:val="center"/>
          </w:tcPr>
          <w:p w14:paraId="208E03FC">
            <w:pPr>
              <w:jc w:val="center"/>
              <w:rPr>
                <w:rFonts w:hint="eastAsia" w:ascii="宋体" w:hAnsi="宋体" w:eastAsia="宋体" w:cs="宋体"/>
                <w:b w:val="0"/>
                <w:color w:val="auto"/>
                <w:sz w:val="20"/>
                <w:szCs w:val="20"/>
                <w:vertAlign w:val="baseline"/>
                <w:lang w:val="en-US" w:eastAsia="zh-CN"/>
              </w:rPr>
            </w:pPr>
          </w:p>
        </w:tc>
        <w:tc>
          <w:tcPr>
            <w:tcW w:w="615" w:type="dxa"/>
            <w:gridSpan w:val="2"/>
            <w:vMerge w:val="continue"/>
            <w:vAlign w:val="center"/>
          </w:tcPr>
          <w:p w14:paraId="6D34A6F5">
            <w:pPr>
              <w:jc w:val="center"/>
              <w:rPr>
                <w:rFonts w:hint="eastAsia" w:ascii="宋体" w:hAnsi="宋体" w:eastAsia="宋体" w:cs="宋体"/>
                <w:b w:val="0"/>
                <w:color w:val="auto"/>
                <w:sz w:val="20"/>
                <w:szCs w:val="20"/>
                <w:vertAlign w:val="baseline"/>
                <w:lang w:val="en-US" w:eastAsia="zh-CN"/>
              </w:rPr>
            </w:pPr>
          </w:p>
        </w:tc>
        <w:tc>
          <w:tcPr>
            <w:tcW w:w="600" w:type="dxa"/>
            <w:vAlign w:val="center"/>
          </w:tcPr>
          <w:p w14:paraId="0464D2A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骨传导助听器</w:t>
            </w:r>
          </w:p>
        </w:tc>
        <w:tc>
          <w:tcPr>
            <w:tcW w:w="3420" w:type="dxa"/>
            <w:vAlign w:val="center"/>
          </w:tcPr>
          <w:p w14:paraId="56E2E9FC">
            <w:pPr>
              <w:keepNext w:val="0"/>
              <w:keepLines w:val="0"/>
              <w:widowControl/>
              <w:suppressLineNumbers w:val="0"/>
              <w:jc w:val="left"/>
              <w:textAlignment w:val="center"/>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1.控制盒有音频连接口，可通过音频线连接手机、电脑等设备。</w:t>
            </w:r>
          </w:p>
          <w:p w14:paraId="745229EE">
            <w:pPr>
              <w:keepNext w:val="0"/>
              <w:keepLines w:val="0"/>
              <w:widowControl/>
              <w:suppressLineNumbers w:val="0"/>
              <w:jc w:val="left"/>
              <w:textAlignment w:val="center"/>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2.产品重量：头戴部分≤35 克。</w:t>
            </w:r>
          </w:p>
          <w:p w14:paraId="7CAB08CC">
            <w:pPr>
              <w:keepNext w:val="0"/>
              <w:keepLines w:val="0"/>
              <w:widowControl/>
              <w:suppressLineNumbers w:val="0"/>
              <w:jc w:val="left"/>
              <w:textAlignment w:val="center"/>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★3.产品电源：内置可充电聚合物理电池≥380mAh，额定电压DC 3.7V。（提供产品功能截图或</w:t>
            </w:r>
            <w:r>
              <w:rPr>
                <w:rFonts w:hint="eastAsia" w:ascii="宋体" w:hAnsi="宋体" w:eastAsia="宋体" w:cs="宋体"/>
                <w:b w:val="0"/>
                <w:bCs w:val="0"/>
                <w:i w:val="0"/>
                <w:iCs w:val="0"/>
                <w:color w:val="auto"/>
                <w:kern w:val="0"/>
                <w:sz w:val="20"/>
                <w:szCs w:val="20"/>
                <w:u w:val="none"/>
                <w:lang w:val="en-US" w:eastAsia="zh-CN" w:bidi="ar"/>
              </w:rPr>
              <w:t>国家认可的第三方检测机构出具的检测报告加盖投标单位公章</w:t>
            </w:r>
            <w:r>
              <w:rPr>
                <w:rFonts w:hint="eastAsia" w:cs="宋体"/>
                <w:b w:val="0"/>
                <w:bCs w:val="0"/>
                <w:i w:val="0"/>
                <w:iCs w:val="0"/>
                <w:color w:val="auto"/>
                <w:kern w:val="0"/>
                <w:sz w:val="20"/>
                <w:szCs w:val="20"/>
                <w:u w:val="none"/>
                <w:lang w:val="en-US" w:eastAsia="zh-CN" w:bidi="ar"/>
              </w:rPr>
              <w:t>）</w:t>
            </w:r>
          </w:p>
          <w:p w14:paraId="38E6C3DF">
            <w:pPr>
              <w:keepNext w:val="0"/>
              <w:keepLines w:val="0"/>
              <w:widowControl/>
              <w:suppressLineNumbers w:val="0"/>
              <w:jc w:val="left"/>
              <w:textAlignment w:val="center"/>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4.工作时间：连续不低于10小时/充电时间约为2至3小时。</w:t>
            </w:r>
          </w:p>
          <w:p w14:paraId="195913DF">
            <w:pPr>
              <w:keepNext w:val="0"/>
              <w:keepLines w:val="0"/>
              <w:widowControl/>
              <w:suppressLineNumbers w:val="0"/>
              <w:jc w:val="left"/>
              <w:textAlignment w:val="center"/>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5.等效输入噪声级:26dB，实测值应不大于标称值+3dB；</w:t>
            </w:r>
          </w:p>
          <w:p w14:paraId="0F7956D8">
            <w:pPr>
              <w:keepNext w:val="0"/>
              <w:keepLines w:val="0"/>
              <w:widowControl/>
              <w:suppressLineNumbers w:val="0"/>
              <w:jc w:val="left"/>
              <w:textAlignment w:val="center"/>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6.总谐波失真：最大 7%，但不大于标称值+3%；</w:t>
            </w:r>
          </w:p>
          <w:p w14:paraId="2504EA66">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7.频率响应范围:不窄于500Hz</w:t>
            </w:r>
            <w:r>
              <w:rPr>
                <w:rFonts w:hint="eastAsia" w:ascii="宋体" w:hAnsi="宋体" w:eastAsia="宋体" w:cs="宋体"/>
                <w:b w:val="0"/>
                <w:bCs w:val="0"/>
                <w:i w:val="0"/>
                <w:iCs w:val="0"/>
                <w:color w:val="auto"/>
                <w:kern w:val="0"/>
                <w:sz w:val="20"/>
                <w:szCs w:val="20"/>
                <w:u w:val="none"/>
                <w:lang w:val="en-US" w:eastAsia="zh-CN" w:bidi="ar"/>
              </w:rPr>
              <w:t>～</w:t>
            </w:r>
            <w:r>
              <w:rPr>
                <w:rFonts w:hint="eastAsia" w:cs="宋体"/>
                <w:b w:val="0"/>
                <w:bCs w:val="0"/>
                <w:i w:val="0"/>
                <w:iCs w:val="0"/>
                <w:color w:val="auto"/>
                <w:kern w:val="0"/>
                <w:sz w:val="20"/>
                <w:szCs w:val="20"/>
                <w:u w:val="none"/>
                <w:lang w:val="en-US" w:eastAsia="zh-CN" w:bidi="ar"/>
              </w:rPr>
              <w:t>4500Hz。</w:t>
            </w:r>
          </w:p>
        </w:tc>
        <w:tc>
          <w:tcPr>
            <w:tcW w:w="450" w:type="dxa"/>
            <w:vAlign w:val="center"/>
          </w:tcPr>
          <w:p w14:paraId="7B26B90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63" w:type="dxa"/>
            <w:vAlign w:val="center"/>
          </w:tcPr>
          <w:p w14:paraId="37D9547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1477 </w:t>
            </w:r>
          </w:p>
        </w:tc>
      </w:tr>
      <w:tr w14:paraId="11F9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9292" w:type="dxa"/>
            <w:gridSpan w:val="10"/>
            <w:shd w:val="clear" w:color="auto" w:fill="B6DDE8" w:themeFill="accent5" w:themeFillTint="66"/>
            <w:vAlign w:val="center"/>
          </w:tcPr>
          <w:p w14:paraId="7B5A8456">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bCs/>
                <w:color w:val="auto"/>
                <w:sz w:val="22"/>
                <w:szCs w:val="22"/>
                <w:highlight w:val="none"/>
                <w:shd w:val="clear" w:fill="B6DDE8" w:themeFill="accent5" w:themeFillTint="66"/>
                <w:vertAlign w:val="baseline"/>
                <w:lang w:val="en-US" w:eastAsia="zh-CN"/>
              </w:rPr>
              <w:t>建床方案设计</w:t>
            </w:r>
            <w:r>
              <w:rPr>
                <w:rFonts w:hint="eastAsia" w:cs="宋体"/>
                <w:b/>
                <w:bCs/>
                <w:color w:val="auto"/>
                <w:sz w:val="22"/>
                <w:szCs w:val="22"/>
                <w:highlight w:val="none"/>
                <w:shd w:val="clear" w:fill="B6DDE8" w:themeFill="accent5" w:themeFillTint="66"/>
                <w:vertAlign w:val="baseline"/>
                <w:lang w:val="en-US" w:eastAsia="zh-CN" w:bidi="zh-CN"/>
              </w:rPr>
              <w:t>技术参数</w:t>
            </w:r>
            <w:r>
              <w:rPr>
                <w:rFonts w:hint="eastAsia" w:ascii="宋体" w:hAnsi="宋体" w:eastAsia="宋体" w:cs="宋体"/>
                <w:b/>
                <w:bCs/>
                <w:color w:val="auto"/>
                <w:sz w:val="22"/>
                <w:szCs w:val="22"/>
                <w:highlight w:val="none"/>
                <w:shd w:val="clear" w:fill="B6DDE8" w:themeFill="accent5" w:themeFillTint="66"/>
                <w:vertAlign w:val="baseline"/>
                <w:lang w:val="en-US" w:eastAsia="zh-CN" w:bidi="zh-CN"/>
              </w:rPr>
              <w:t>及最高限价</w:t>
            </w:r>
          </w:p>
        </w:tc>
      </w:tr>
      <w:tr w14:paraId="432E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shd w:val="clear" w:color="auto" w:fill="auto"/>
            <w:vAlign w:val="center"/>
          </w:tcPr>
          <w:p w14:paraId="0578F28B">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序号</w:t>
            </w:r>
          </w:p>
        </w:tc>
        <w:tc>
          <w:tcPr>
            <w:tcW w:w="570" w:type="dxa"/>
            <w:shd w:val="clear" w:color="auto" w:fill="auto"/>
            <w:vAlign w:val="center"/>
          </w:tcPr>
          <w:p w14:paraId="1C5D3039">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类别</w:t>
            </w:r>
          </w:p>
        </w:tc>
        <w:tc>
          <w:tcPr>
            <w:tcW w:w="585" w:type="dxa"/>
            <w:shd w:val="clear" w:color="auto" w:fill="auto"/>
            <w:vAlign w:val="center"/>
          </w:tcPr>
          <w:p w14:paraId="599C4705">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项目名称</w:t>
            </w:r>
          </w:p>
        </w:tc>
        <w:tc>
          <w:tcPr>
            <w:tcW w:w="1575" w:type="dxa"/>
            <w:shd w:val="clear" w:color="auto" w:fill="auto"/>
            <w:vAlign w:val="center"/>
          </w:tcPr>
          <w:p w14:paraId="253CE911">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具体内容</w:t>
            </w:r>
          </w:p>
        </w:tc>
        <w:tc>
          <w:tcPr>
            <w:tcW w:w="615" w:type="dxa"/>
            <w:gridSpan w:val="2"/>
            <w:shd w:val="clear" w:color="auto" w:fill="auto"/>
            <w:vAlign w:val="center"/>
          </w:tcPr>
          <w:p w14:paraId="5D726FAA">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项目类型</w:t>
            </w:r>
          </w:p>
        </w:tc>
        <w:tc>
          <w:tcPr>
            <w:tcW w:w="600" w:type="dxa"/>
            <w:shd w:val="clear" w:color="auto" w:fill="auto"/>
            <w:vAlign w:val="center"/>
          </w:tcPr>
          <w:p w14:paraId="7B3A7314">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产品名称</w:t>
            </w:r>
          </w:p>
        </w:tc>
        <w:tc>
          <w:tcPr>
            <w:tcW w:w="3420" w:type="dxa"/>
            <w:shd w:val="clear" w:color="auto" w:fill="auto"/>
            <w:vAlign w:val="center"/>
          </w:tcPr>
          <w:p w14:paraId="57E33CD6">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技术参数</w:t>
            </w:r>
          </w:p>
        </w:tc>
        <w:tc>
          <w:tcPr>
            <w:tcW w:w="450" w:type="dxa"/>
            <w:shd w:val="clear" w:color="auto" w:fill="auto"/>
            <w:vAlign w:val="center"/>
          </w:tcPr>
          <w:p w14:paraId="3F0EC084">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单位</w:t>
            </w:r>
          </w:p>
        </w:tc>
        <w:tc>
          <w:tcPr>
            <w:tcW w:w="863" w:type="dxa"/>
            <w:shd w:val="clear" w:color="auto" w:fill="auto"/>
            <w:vAlign w:val="center"/>
          </w:tcPr>
          <w:p w14:paraId="06C137F7">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最高限价（元）</w:t>
            </w:r>
          </w:p>
        </w:tc>
      </w:tr>
      <w:tr w14:paraId="67A3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6ADF73C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29</w:t>
            </w:r>
          </w:p>
        </w:tc>
        <w:tc>
          <w:tcPr>
            <w:tcW w:w="570" w:type="dxa"/>
            <w:vAlign w:val="center"/>
          </w:tcPr>
          <w:p w14:paraId="0D7A42BA">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其他</w:t>
            </w:r>
          </w:p>
        </w:tc>
        <w:tc>
          <w:tcPr>
            <w:tcW w:w="585" w:type="dxa"/>
            <w:vAlign w:val="center"/>
          </w:tcPr>
          <w:p w14:paraId="548B6E1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建床方案设计</w:t>
            </w:r>
          </w:p>
        </w:tc>
        <w:tc>
          <w:tcPr>
            <w:tcW w:w="1575" w:type="dxa"/>
            <w:vAlign w:val="center"/>
          </w:tcPr>
          <w:p w14:paraId="5DFC9E8F">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建床方案设计</w:t>
            </w:r>
          </w:p>
        </w:tc>
        <w:tc>
          <w:tcPr>
            <w:tcW w:w="615" w:type="dxa"/>
            <w:gridSpan w:val="2"/>
            <w:vAlign w:val="center"/>
          </w:tcPr>
          <w:p w14:paraId="40078B9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基础</w:t>
            </w:r>
          </w:p>
        </w:tc>
        <w:tc>
          <w:tcPr>
            <w:tcW w:w="600" w:type="dxa"/>
            <w:vAlign w:val="center"/>
          </w:tcPr>
          <w:p w14:paraId="686F1C2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建床方案设计</w:t>
            </w:r>
          </w:p>
        </w:tc>
        <w:tc>
          <w:tcPr>
            <w:tcW w:w="3420" w:type="dxa"/>
            <w:vAlign w:val="center"/>
          </w:tcPr>
          <w:p w14:paraId="4C24C95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按“一户一策、一人一档”的原则，对申请家庭养老床位建设和居家养老服务的老年人的自理能力、经济状况、服务意愿、照护情况和居所环境等进行综合评估，并根据评估结果进行方案设计、资料汇集等</w:t>
            </w:r>
          </w:p>
        </w:tc>
        <w:tc>
          <w:tcPr>
            <w:tcW w:w="450" w:type="dxa"/>
            <w:vAlign w:val="center"/>
          </w:tcPr>
          <w:p w14:paraId="78BEE229">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户</w:t>
            </w:r>
          </w:p>
        </w:tc>
        <w:tc>
          <w:tcPr>
            <w:tcW w:w="863" w:type="dxa"/>
            <w:vAlign w:val="center"/>
          </w:tcPr>
          <w:p w14:paraId="6E74AD61">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cs="宋体"/>
                <w:b w:val="0"/>
                <w:color w:val="auto"/>
                <w:sz w:val="20"/>
                <w:szCs w:val="20"/>
                <w:vertAlign w:val="baseline"/>
                <w:lang w:val="en-US" w:eastAsia="zh-CN"/>
              </w:rPr>
              <w:t>/</w:t>
            </w:r>
          </w:p>
        </w:tc>
      </w:tr>
      <w:tr w14:paraId="1D41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9292" w:type="dxa"/>
            <w:gridSpan w:val="10"/>
            <w:shd w:val="clear" w:color="auto" w:fill="B6DDE8" w:themeFill="accent5" w:themeFillTint="66"/>
            <w:vAlign w:val="center"/>
          </w:tcPr>
          <w:p w14:paraId="26B0D5FB">
            <w:pPr>
              <w:pStyle w:val="3"/>
              <w:keepNext w:val="0"/>
              <w:keepLines w:val="0"/>
              <w:pageBreakBefore w:val="0"/>
              <w:kinsoku/>
              <w:wordWrap w:val="0"/>
              <w:overflowPunct/>
              <w:topLinePunct w:val="0"/>
              <w:autoSpaceDE w:val="0"/>
              <w:autoSpaceDN w:val="0"/>
              <w:bidi w:val="0"/>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bCs/>
                <w:color w:val="auto"/>
                <w:sz w:val="22"/>
                <w:szCs w:val="22"/>
                <w:highlight w:val="none"/>
                <w:shd w:val="clear" w:fill="B6DDE8" w:themeFill="accent5" w:themeFillTint="66"/>
                <w:vertAlign w:val="baseline"/>
                <w:lang w:val="en-US" w:eastAsia="zh-CN"/>
              </w:rPr>
              <w:t>24小时呼叫中心</w:t>
            </w:r>
            <w:r>
              <w:rPr>
                <w:rFonts w:hint="eastAsia" w:cs="宋体"/>
                <w:b/>
                <w:bCs/>
                <w:color w:val="auto"/>
                <w:sz w:val="22"/>
                <w:szCs w:val="22"/>
                <w:highlight w:val="none"/>
                <w:shd w:val="clear" w:fill="B6DDE8" w:themeFill="accent5" w:themeFillTint="66"/>
                <w:vertAlign w:val="baseline"/>
                <w:lang w:val="en-US" w:eastAsia="zh-CN" w:bidi="zh-CN"/>
              </w:rPr>
              <w:t>技术参数</w:t>
            </w:r>
            <w:r>
              <w:rPr>
                <w:rFonts w:hint="eastAsia" w:ascii="宋体" w:hAnsi="宋体" w:eastAsia="宋体" w:cs="宋体"/>
                <w:b/>
                <w:bCs/>
                <w:color w:val="auto"/>
                <w:sz w:val="22"/>
                <w:szCs w:val="22"/>
                <w:highlight w:val="none"/>
                <w:shd w:val="clear" w:fill="B6DDE8" w:themeFill="accent5" w:themeFillTint="66"/>
                <w:vertAlign w:val="baseline"/>
                <w:lang w:val="en-US" w:eastAsia="zh-CN" w:bidi="zh-CN"/>
              </w:rPr>
              <w:t>及最高限价</w:t>
            </w:r>
          </w:p>
        </w:tc>
      </w:tr>
      <w:tr w14:paraId="1927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shd w:val="clear" w:color="auto" w:fill="auto"/>
            <w:vAlign w:val="center"/>
          </w:tcPr>
          <w:p w14:paraId="73234B33">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序号</w:t>
            </w:r>
          </w:p>
        </w:tc>
        <w:tc>
          <w:tcPr>
            <w:tcW w:w="570" w:type="dxa"/>
            <w:shd w:val="clear" w:color="auto" w:fill="auto"/>
            <w:vAlign w:val="center"/>
          </w:tcPr>
          <w:p w14:paraId="7C1E5E3A">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类别</w:t>
            </w:r>
          </w:p>
        </w:tc>
        <w:tc>
          <w:tcPr>
            <w:tcW w:w="585" w:type="dxa"/>
            <w:shd w:val="clear" w:color="auto" w:fill="auto"/>
            <w:vAlign w:val="center"/>
          </w:tcPr>
          <w:p w14:paraId="2628890B">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项目名称</w:t>
            </w:r>
          </w:p>
        </w:tc>
        <w:tc>
          <w:tcPr>
            <w:tcW w:w="1575" w:type="dxa"/>
            <w:shd w:val="clear" w:color="auto" w:fill="auto"/>
            <w:vAlign w:val="center"/>
          </w:tcPr>
          <w:p w14:paraId="79CC34D6">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具体内容</w:t>
            </w:r>
          </w:p>
        </w:tc>
        <w:tc>
          <w:tcPr>
            <w:tcW w:w="615" w:type="dxa"/>
            <w:gridSpan w:val="2"/>
            <w:shd w:val="clear" w:color="auto" w:fill="auto"/>
            <w:vAlign w:val="center"/>
          </w:tcPr>
          <w:p w14:paraId="657529AB">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项目类型</w:t>
            </w:r>
          </w:p>
        </w:tc>
        <w:tc>
          <w:tcPr>
            <w:tcW w:w="600" w:type="dxa"/>
            <w:shd w:val="clear" w:color="auto" w:fill="auto"/>
            <w:vAlign w:val="center"/>
          </w:tcPr>
          <w:p w14:paraId="68F32349">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产品名称</w:t>
            </w:r>
          </w:p>
        </w:tc>
        <w:tc>
          <w:tcPr>
            <w:tcW w:w="3420" w:type="dxa"/>
            <w:shd w:val="clear" w:color="auto" w:fill="auto"/>
            <w:vAlign w:val="center"/>
          </w:tcPr>
          <w:p w14:paraId="3CA134B9">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技术参数</w:t>
            </w:r>
          </w:p>
        </w:tc>
        <w:tc>
          <w:tcPr>
            <w:tcW w:w="450" w:type="dxa"/>
            <w:shd w:val="clear" w:color="auto" w:fill="auto"/>
            <w:vAlign w:val="center"/>
          </w:tcPr>
          <w:p w14:paraId="51C35648">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单位</w:t>
            </w:r>
          </w:p>
        </w:tc>
        <w:tc>
          <w:tcPr>
            <w:tcW w:w="863" w:type="dxa"/>
            <w:shd w:val="clear" w:color="auto" w:fill="auto"/>
            <w:vAlign w:val="center"/>
          </w:tcPr>
          <w:p w14:paraId="55C333A9">
            <w:pPr>
              <w:keepNext w:val="0"/>
              <w:keepLines w:val="0"/>
              <w:pageBreakBefore w:val="0"/>
              <w:widowControl/>
              <w:suppressLineNumbers w:val="0"/>
              <w:kinsoku/>
              <w:wordWrap w:val="0"/>
              <w:overflowPunct/>
              <w:topLinePunct w:val="0"/>
              <w:autoSpaceDE w:val="0"/>
              <w:autoSpaceDN w:val="0"/>
              <w:bidi w:val="0"/>
              <w:spacing w:line="240" w:lineRule="auto"/>
              <w:jc w:val="center"/>
              <w:textAlignment w:val="center"/>
              <w:rPr>
                <w:rFonts w:hint="eastAsia" w:ascii="宋体" w:hAnsi="宋体" w:eastAsia="宋体" w:cs="宋体"/>
                <w:b/>
                <w:bCs/>
                <w:i w:val="0"/>
                <w:iCs w:val="0"/>
                <w:color w:val="auto"/>
                <w:sz w:val="20"/>
                <w:szCs w:val="20"/>
                <w:u w:val="none"/>
                <w:lang w:val="en-US" w:eastAsia="zh-CN" w:bidi="zh-CN"/>
              </w:rPr>
            </w:pPr>
            <w:r>
              <w:rPr>
                <w:rFonts w:hint="eastAsia" w:ascii="宋体" w:hAnsi="宋体" w:eastAsia="宋体" w:cs="宋体"/>
                <w:b/>
                <w:bCs/>
                <w:i w:val="0"/>
                <w:iCs w:val="0"/>
                <w:color w:val="auto"/>
                <w:kern w:val="0"/>
                <w:sz w:val="20"/>
                <w:szCs w:val="20"/>
                <w:u w:val="none"/>
                <w:lang w:val="en-US" w:eastAsia="zh-CN" w:bidi="ar"/>
              </w:rPr>
              <w:t>最高限价（元）</w:t>
            </w:r>
          </w:p>
        </w:tc>
      </w:tr>
      <w:tr w14:paraId="7D19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67294D0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30</w:t>
            </w:r>
          </w:p>
        </w:tc>
        <w:tc>
          <w:tcPr>
            <w:tcW w:w="570" w:type="dxa"/>
            <w:vAlign w:val="center"/>
          </w:tcPr>
          <w:p w14:paraId="28F77CD9">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其他</w:t>
            </w:r>
          </w:p>
        </w:tc>
        <w:tc>
          <w:tcPr>
            <w:tcW w:w="585" w:type="dxa"/>
            <w:vAlign w:val="center"/>
          </w:tcPr>
          <w:p w14:paraId="6EEA092B">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呼叫中心</w:t>
            </w:r>
          </w:p>
        </w:tc>
        <w:tc>
          <w:tcPr>
            <w:tcW w:w="1575" w:type="dxa"/>
            <w:vAlign w:val="center"/>
          </w:tcPr>
          <w:p w14:paraId="30BC3930">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24小时呼叫中心服务</w:t>
            </w:r>
          </w:p>
        </w:tc>
        <w:tc>
          <w:tcPr>
            <w:tcW w:w="615" w:type="dxa"/>
            <w:gridSpan w:val="2"/>
            <w:vAlign w:val="center"/>
          </w:tcPr>
          <w:p w14:paraId="3C13EC4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基础</w:t>
            </w:r>
          </w:p>
        </w:tc>
        <w:tc>
          <w:tcPr>
            <w:tcW w:w="600" w:type="dxa"/>
            <w:vAlign w:val="center"/>
          </w:tcPr>
          <w:p w14:paraId="376C795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24小时呼叫中心</w:t>
            </w:r>
          </w:p>
        </w:tc>
        <w:tc>
          <w:tcPr>
            <w:tcW w:w="3420" w:type="dxa"/>
            <w:vAlign w:val="center"/>
          </w:tcPr>
          <w:p w14:paraId="696849E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支持老人向呼叫中心提出紧急救助时，呼叫中心第一时间联系该老人登记的第一联系人或服务运行商，并在第一联系人认为有需要的时候代为联系相关急救机构，服务中心无法联络第一联系人时，将视情况通知对应的运营服务商或相关的医疗、救助机构；</w:t>
            </w:r>
          </w:p>
          <w:p w14:paraId="08ABD10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2.紧急救助过程中支持在报警老人、呼叫中心坐席不断线的情况下，由呼叫中心拉起第三方通话，实现报警老人、呼叫中心坐席、第一联系人（或 110、120、救助机构等联系电话）进行三方通话；</w:t>
            </w:r>
          </w:p>
          <w:p w14:paraId="045D768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.呼叫中心需提供7</w:t>
            </w:r>
            <w:r>
              <w:rPr>
                <w:rFonts w:hint="eastAsia"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24 小时服务。</w:t>
            </w:r>
          </w:p>
        </w:tc>
        <w:tc>
          <w:tcPr>
            <w:tcW w:w="450" w:type="dxa"/>
            <w:vAlign w:val="center"/>
          </w:tcPr>
          <w:p w14:paraId="70163D1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i w:val="0"/>
                <w:iCs w:val="0"/>
                <w:color w:val="auto"/>
                <w:kern w:val="0"/>
                <w:sz w:val="20"/>
                <w:szCs w:val="20"/>
                <w:u w:val="none"/>
                <w:lang w:val="en-US" w:eastAsia="zh-CN" w:bidi="ar"/>
              </w:rPr>
              <w:t>户/月</w:t>
            </w:r>
          </w:p>
        </w:tc>
        <w:tc>
          <w:tcPr>
            <w:tcW w:w="863" w:type="dxa"/>
            <w:vAlign w:val="center"/>
          </w:tcPr>
          <w:p w14:paraId="1E8A9AAD">
            <w:pPr>
              <w:keepNext w:val="0"/>
              <w:keepLines w:val="0"/>
              <w:widowControl/>
              <w:suppressLineNumbers w:val="0"/>
              <w:jc w:val="center"/>
              <w:textAlignment w:val="center"/>
              <w:rPr>
                <w:rFonts w:hint="default" w:ascii="宋体" w:hAnsi="宋体" w:eastAsia="宋体" w:cs="宋体"/>
                <w:b w:val="0"/>
                <w:color w:val="auto"/>
                <w:sz w:val="20"/>
                <w:szCs w:val="20"/>
                <w:vertAlign w:val="baseline"/>
                <w:lang w:val="en-US" w:eastAsia="zh-CN"/>
              </w:rPr>
            </w:pPr>
            <w:r>
              <w:rPr>
                <w:rFonts w:hint="eastAsia" w:cs="宋体"/>
                <w:b w:val="0"/>
                <w:color w:val="auto"/>
                <w:sz w:val="20"/>
                <w:szCs w:val="20"/>
                <w:vertAlign w:val="baseline"/>
                <w:lang w:val="en-US" w:eastAsia="zh-CN"/>
              </w:rPr>
              <w:t>/</w:t>
            </w:r>
          </w:p>
        </w:tc>
      </w:tr>
      <w:tr w14:paraId="166F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9292" w:type="dxa"/>
            <w:gridSpan w:val="10"/>
            <w:shd w:val="clear" w:color="auto" w:fill="B6DDE8" w:themeFill="accent5" w:themeFillTint="66"/>
            <w:vAlign w:val="center"/>
          </w:tcPr>
          <w:p w14:paraId="7E3A8794">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2"/>
                <w:szCs w:val="22"/>
                <w:highlight w:val="none"/>
                <w:shd w:val="clear" w:fill="B6DDE8" w:themeFill="accent5" w:themeFillTint="66"/>
                <w:vertAlign w:val="baseline"/>
                <w:lang w:val="en-US" w:eastAsia="zh-CN" w:bidi="zh-CN"/>
              </w:rPr>
              <w:t>管理系统</w:t>
            </w:r>
            <w:r>
              <w:rPr>
                <w:rFonts w:hint="eastAsia" w:cs="宋体"/>
                <w:b/>
                <w:bCs/>
                <w:color w:val="auto"/>
                <w:sz w:val="22"/>
                <w:szCs w:val="22"/>
                <w:highlight w:val="none"/>
                <w:shd w:val="clear" w:fill="B6DDE8" w:themeFill="accent5" w:themeFillTint="66"/>
                <w:vertAlign w:val="baseline"/>
                <w:lang w:val="en-US" w:eastAsia="zh-CN" w:bidi="zh-CN"/>
              </w:rPr>
              <w:t>技术要求</w:t>
            </w:r>
          </w:p>
        </w:tc>
      </w:tr>
      <w:tr w14:paraId="42E9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537D94D4">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cs="宋体"/>
                <w:b/>
                <w:bCs/>
                <w:i w:val="0"/>
                <w:iCs w:val="0"/>
                <w:color w:val="auto"/>
                <w:kern w:val="0"/>
                <w:sz w:val="20"/>
                <w:szCs w:val="20"/>
                <w:u w:val="none"/>
                <w:lang w:val="en-US" w:eastAsia="zh-CN" w:bidi="ar"/>
              </w:rPr>
              <w:t>序号</w:t>
            </w:r>
          </w:p>
        </w:tc>
        <w:tc>
          <w:tcPr>
            <w:tcW w:w="1155" w:type="dxa"/>
            <w:gridSpan w:val="2"/>
            <w:vAlign w:val="center"/>
          </w:tcPr>
          <w:p w14:paraId="4EC4E849">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cs="宋体"/>
                <w:b/>
                <w:bCs/>
                <w:i w:val="0"/>
                <w:iCs w:val="0"/>
                <w:color w:val="auto"/>
                <w:kern w:val="0"/>
                <w:sz w:val="20"/>
                <w:szCs w:val="20"/>
                <w:u w:val="none"/>
                <w:lang w:val="en-US" w:eastAsia="zh-CN" w:bidi="ar"/>
              </w:rPr>
              <w:t>名称</w:t>
            </w:r>
          </w:p>
        </w:tc>
        <w:tc>
          <w:tcPr>
            <w:tcW w:w="1582" w:type="dxa"/>
            <w:gridSpan w:val="2"/>
            <w:vAlign w:val="center"/>
          </w:tcPr>
          <w:p w14:paraId="7F16FE0B">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cs="宋体"/>
                <w:b/>
                <w:bCs/>
                <w:i w:val="0"/>
                <w:iCs w:val="0"/>
                <w:color w:val="auto"/>
                <w:kern w:val="0"/>
                <w:sz w:val="20"/>
                <w:szCs w:val="20"/>
                <w:u w:val="none"/>
                <w:lang w:val="en-US" w:eastAsia="zh-CN" w:bidi="ar"/>
              </w:rPr>
              <w:t>分类</w:t>
            </w:r>
          </w:p>
        </w:tc>
        <w:tc>
          <w:tcPr>
            <w:tcW w:w="5941" w:type="dxa"/>
            <w:gridSpan w:val="5"/>
            <w:vAlign w:val="center"/>
          </w:tcPr>
          <w:p w14:paraId="421B9D0D">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cs="宋体"/>
                <w:b/>
                <w:bCs/>
                <w:i w:val="0"/>
                <w:iCs w:val="0"/>
                <w:color w:val="auto"/>
                <w:kern w:val="0"/>
                <w:sz w:val="20"/>
                <w:szCs w:val="20"/>
                <w:u w:val="none"/>
                <w:lang w:val="en-US" w:eastAsia="zh-CN" w:bidi="ar"/>
              </w:rPr>
              <w:t>技术要求</w:t>
            </w:r>
          </w:p>
        </w:tc>
      </w:tr>
      <w:tr w14:paraId="43F3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6F009582">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w:t>
            </w:r>
          </w:p>
        </w:tc>
        <w:tc>
          <w:tcPr>
            <w:tcW w:w="1155" w:type="dxa"/>
            <w:gridSpan w:val="2"/>
            <w:vMerge w:val="restart"/>
            <w:vAlign w:val="center"/>
          </w:tcPr>
          <w:p w14:paraId="3545B89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老年人基础信息管理</w:t>
            </w:r>
          </w:p>
        </w:tc>
        <w:tc>
          <w:tcPr>
            <w:tcW w:w="1582" w:type="dxa"/>
            <w:gridSpan w:val="2"/>
            <w:vAlign w:val="center"/>
          </w:tcPr>
          <w:p w14:paraId="4830C5E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老人档案管理</w:t>
            </w:r>
          </w:p>
        </w:tc>
        <w:tc>
          <w:tcPr>
            <w:tcW w:w="5941" w:type="dxa"/>
            <w:gridSpan w:val="5"/>
            <w:vAlign w:val="center"/>
          </w:tcPr>
          <w:p w14:paraId="23169B95">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支持老人档案维护，包含老人基本信息、守护家人数、紧急联系人、关联设备、报警方式等。</w:t>
            </w:r>
          </w:p>
        </w:tc>
      </w:tr>
      <w:tr w14:paraId="6FF1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4DAF5D5F">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w:t>
            </w:r>
          </w:p>
        </w:tc>
        <w:tc>
          <w:tcPr>
            <w:tcW w:w="1155" w:type="dxa"/>
            <w:gridSpan w:val="2"/>
            <w:vMerge w:val="continue"/>
            <w:vAlign w:val="center"/>
          </w:tcPr>
          <w:p w14:paraId="05BE5CF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781B9C2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家庭地址维护</w:t>
            </w:r>
          </w:p>
        </w:tc>
        <w:tc>
          <w:tcPr>
            <w:tcW w:w="5941" w:type="dxa"/>
            <w:gridSpan w:val="5"/>
            <w:vAlign w:val="center"/>
          </w:tcPr>
          <w:p w14:paraId="3BAA2D66">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支持针对录入家庭地址进行高精度调整，实现可视化地址分布地图呈现。</w:t>
            </w:r>
          </w:p>
        </w:tc>
      </w:tr>
      <w:tr w14:paraId="20C5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091DE353">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w:t>
            </w:r>
          </w:p>
        </w:tc>
        <w:tc>
          <w:tcPr>
            <w:tcW w:w="1155" w:type="dxa"/>
            <w:gridSpan w:val="2"/>
            <w:vMerge w:val="restart"/>
            <w:vAlign w:val="center"/>
          </w:tcPr>
          <w:p w14:paraId="04EF9D2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家床建设</w:t>
            </w:r>
          </w:p>
        </w:tc>
        <w:tc>
          <w:tcPr>
            <w:tcW w:w="1582" w:type="dxa"/>
            <w:gridSpan w:val="2"/>
            <w:vAlign w:val="center"/>
          </w:tcPr>
          <w:p w14:paraId="4981000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建床申请</w:t>
            </w:r>
          </w:p>
        </w:tc>
        <w:tc>
          <w:tcPr>
            <w:tcW w:w="5941" w:type="dxa"/>
            <w:gridSpan w:val="5"/>
            <w:vAlign w:val="center"/>
          </w:tcPr>
          <w:p w14:paraId="48D74995">
            <w:pPr>
              <w:jc w:val="both"/>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家庭养老床位建设申请管理。</w:t>
            </w:r>
          </w:p>
          <w:p w14:paraId="27BC6755">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用户向居住地社区/村委提出家庭养老床位建设的申请，政府审批通过后将申请单录入系统建档。</w:t>
            </w:r>
          </w:p>
        </w:tc>
      </w:tr>
      <w:tr w14:paraId="099E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641D0811">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4</w:t>
            </w:r>
          </w:p>
        </w:tc>
        <w:tc>
          <w:tcPr>
            <w:tcW w:w="1155" w:type="dxa"/>
            <w:gridSpan w:val="2"/>
            <w:vMerge w:val="continue"/>
            <w:vAlign w:val="center"/>
          </w:tcPr>
          <w:p w14:paraId="6E9D9B6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2613DCF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评估管理</w:t>
            </w:r>
          </w:p>
        </w:tc>
        <w:tc>
          <w:tcPr>
            <w:tcW w:w="5941" w:type="dxa"/>
            <w:gridSpan w:val="5"/>
            <w:vAlign w:val="center"/>
          </w:tcPr>
          <w:p w14:paraId="78ABD0FA">
            <w:pPr>
              <w:jc w:val="both"/>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家庭养老床位入户评估管理。</w:t>
            </w:r>
          </w:p>
          <w:p w14:paraId="14C8DED5">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入户评估并确认改造安装产品项目清单，将评估结果录入系统并经由政府审批。</w:t>
            </w:r>
          </w:p>
        </w:tc>
      </w:tr>
      <w:tr w14:paraId="6282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1610B3D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5</w:t>
            </w:r>
          </w:p>
        </w:tc>
        <w:tc>
          <w:tcPr>
            <w:tcW w:w="1155" w:type="dxa"/>
            <w:gridSpan w:val="2"/>
            <w:vMerge w:val="continue"/>
            <w:vAlign w:val="center"/>
          </w:tcPr>
          <w:p w14:paraId="10666C8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61EFF79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适老改造</w:t>
            </w:r>
          </w:p>
        </w:tc>
        <w:tc>
          <w:tcPr>
            <w:tcW w:w="5941" w:type="dxa"/>
            <w:gridSpan w:val="5"/>
            <w:vAlign w:val="center"/>
          </w:tcPr>
          <w:p w14:paraId="5DF171F8">
            <w:pPr>
              <w:jc w:val="both"/>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家庭养老床位入户改造管理。</w:t>
            </w:r>
          </w:p>
          <w:p w14:paraId="4A2C088F">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建立完整的改造档案，包括前后对比照片等，并录入信息管理系统。</w:t>
            </w:r>
          </w:p>
        </w:tc>
      </w:tr>
      <w:tr w14:paraId="2B7B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64D16580">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6</w:t>
            </w:r>
          </w:p>
        </w:tc>
        <w:tc>
          <w:tcPr>
            <w:tcW w:w="1155" w:type="dxa"/>
            <w:gridSpan w:val="2"/>
            <w:vMerge w:val="continue"/>
            <w:vAlign w:val="center"/>
          </w:tcPr>
          <w:p w14:paraId="63F5F77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010E8B6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验收管理</w:t>
            </w:r>
          </w:p>
        </w:tc>
        <w:tc>
          <w:tcPr>
            <w:tcW w:w="5941" w:type="dxa"/>
            <w:gridSpan w:val="5"/>
            <w:vAlign w:val="center"/>
          </w:tcPr>
          <w:p w14:paraId="337D441C">
            <w:pPr>
              <w:jc w:val="both"/>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家庭养老床位验收管理。</w:t>
            </w:r>
          </w:p>
          <w:p w14:paraId="452966DE">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将建设验收结果及表格一户一册录入系统留档。</w:t>
            </w:r>
          </w:p>
        </w:tc>
      </w:tr>
      <w:tr w14:paraId="3F14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11EDDD5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7</w:t>
            </w:r>
          </w:p>
        </w:tc>
        <w:tc>
          <w:tcPr>
            <w:tcW w:w="1155" w:type="dxa"/>
            <w:gridSpan w:val="2"/>
            <w:vMerge w:val="restart"/>
            <w:vAlign w:val="center"/>
          </w:tcPr>
          <w:p w14:paraId="255BFE1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设备信息中心</w:t>
            </w:r>
          </w:p>
        </w:tc>
        <w:tc>
          <w:tcPr>
            <w:tcW w:w="1582" w:type="dxa"/>
            <w:gridSpan w:val="2"/>
            <w:vAlign w:val="center"/>
          </w:tcPr>
          <w:p w14:paraId="2CE0D6B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设备基础信息管理</w:t>
            </w:r>
          </w:p>
        </w:tc>
        <w:tc>
          <w:tcPr>
            <w:tcW w:w="5941" w:type="dxa"/>
            <w:gridSpan w:val="5"/>
            <w:vAlign w:val="center"/>
          </w:tcPr>
          <w:p w14:paraId="2AB8E61F">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支持设备信息查询。设备硬件版本、类型、关联的用户信息等。</w:t>
            </w:r>
          </w:p>
        </w:tc>
      </w:tr>
      <w:tr w14:paraId="746D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60496DFB">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8</w:t>
            </w:r>
          </w:p>
        </w:tc>
        <w:tc>
          <w:tcPr>
            <w:tcW w:w="1155" w:type="dxa"/>
            <w:gridSpan w:val="2"/>
            <w:vMerge w:val="continue"/>
            <w:vAlign w:val="center"/>
          </w:tcPr>
          <w:p w14:paraId="6221F0A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19E1A22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设备数据采集及展现</w:t>
            </w:r>
          </w:p>
        </w:tc>
        <w:tc>
          <w:tcPr>
            <w:tcW w:w="5941" w:type="dxa"/>
            <w:gridSpan w:val="5"/>
            <w:vAlign w:val="center"/>
          </w:tcPr>
          <w:p w14:paraId="148EF10D">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支持不同的业务数据展现方式，支持以用户维度对绑定1个或多个设备的场景进行数据视图展现，支持以设备维度查询数据视图，如设备电量、在离线状态、信号值等。</w:t>
            </w:r>
          </w:p>
        </w:tc>
      </w:tr>
      <w:tr w14:paraId="24C2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1BC0272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9</w:t>
            </w:r>
          </w:p>
        </w:tc>
        <w:tc>
          <w:tcPr>
            <w:tcW w:w="1155" w:type="dxa"/>
            <w:gridSpan w:val="2"/>
            <w:vMerge w:val="continue"/>
            <w:vAlign w:val="center"/>
          </w:tcPr>
          <w:p w14:paraId="5B5E16F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068CE81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批量管理设备</w:t>
            </w:r>
          </w:p>
        </w:tc>
        <w:tc>
          <w:tcPr>
            <w:tcW w:w="5941" w:type="dxa"/>
            <w:gridSpan w:val="5"/>
            <w:vAlign w:val="center"/>
          </w:tcPr>
          <w:p w14:paraId="1429A38B">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支持批量导入导出设备，批量搜索设备、批量绑定设备与用户对应关系，批量迁移设备。</w:t>
            </w:r>
          </w:p>
        </w:tc>
      </w:tr>
      <w:tr w14:paraId="00C0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21CBD6F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10</w:t>
            </w:r>
          </w:p>
        </w:tc>
        <w:tc>
          <w:tcPr>
            <w:tcW w:w="1155" w:type="dxa"/>
            <w:gridSpan w:val="2"/>
            <w:vMerge w:val="continue"/>
            <w:vAlign w:val="center"/>
          </w:tcPr>
          <w:p w14:paraId="55B16BC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2143BF9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设备服务配置管理</w:t>
            </w:r>
          </w:p>
        </w:tc>
        <w:tc>
          <w:tcPr>
            <w:tcW w:w="5941" w:type="dxa"/>
            <w:gridSpan w:val="5"/>
            <w:vAlign w:val="center"/>
          </w:tcPr>
          <w:p w14:paraId="70C7C0F5">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支持针对涉及到远程修改设备配置的场景，可支持单个或批量命令下发，以满足用户使用需求。如：远程读取用电情况、远程设置工作模式等。</w:t>
            </w:r>
          </w:p>
        </w:tc>
      </w:tr>
      <w:tr w14:paraId="5B6D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4631616B">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11</w:t>
            </w:r>
          </w:p>
        </w:tc>
        <w:tc>
          <w:tcPr>
            <w:tcW w:w="1155" w:type="dxa"/>
            <w:gridSpan w:val="2"/>
            <w:vMerge w:val="continue"/>
            <w:vAlign w:val="center"/>
          </w:tcPr>
          <w:p w14:paraId="210BB7A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73ED784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指令自动触发</w:t>
            </w:r>
          </w:p>
        </w:tc>
        <w:tc>
          <w:tcPr>
            <w:tcW w:w="5941" w:type="dxa"/>
            <w:gridSpan w:val="5"/>
            <w:vAlign w:val="center"/>
          </w:tcPr>
          <w:p w14:paraId="6BAA70EA">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可预置指令，待设备上线后自动触发。</w:t>
            </w:r>
          </w:p>
        </w:tc>
      </w:tr>
      <w:tr w14:paraId="38BC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436C758D">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12</w:t>
            </w:r>
          </w:p>
        </w:tc>
        <w:tc>
          <w:tcPr>
            <w:tcW w:w="1155" w:type="dxa"/>
            <w:gridSpan w:val="2"/>
            <w:vMerge w:val="restart"/>
            <w:vAlign w:val="center"/>
          </w:tcPr>
          <w:p w14:paraId="0F34A0A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预警中心</w:t>
            </w:r>
          </w:p>
        </w:tc>
        <w:tc>
          <w:tcPr>
            <w:tcW w:w="1582" w:type="dxa"/>
            <w:gridSpan w:val="2"/>
            <w:vAlign w:val="center"/>
          </w:tcPr>
          <w:p w14:paraId="5B48D5C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预警信息管理</w:t>
            </w:r>
          </w:p>
        </w:tc>
        <w:tc>
          <w:tcPr>
            <w:tcW w:w="5941" w:type="dxa"/>
            <w:gridSpan w:val="5"/>
            <w:vAlign w:val="center"/>
          </w:tcPr>
          <w:p w14:paraId="20A63232">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支持预警阀值设置，预警模式设置。</w:t>
            </w:r>
          </w:p>
        </w:tc>
      </w:tr>
      <w:tr w14:paraId="7B77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068A8C4F">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13</w:t>
            </w:r>
          </w:p>
        </w:tc>
        <w:tc>
          <w:tcPr>
            <w:tcW w:w="1155" w:type="dxa"/>
            <w:gridSpan w:val="2"/>
            <w:vMerge w:val="continue"/>
            <w:vAlign w:val="center"/>
          </w:tcPr>
          <w:p w14:paraId="24CAF2D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3F2FC12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预警开关配置</w:t>
            </w:r>
          </w:p>
        </w:tc>
        <w:tc>
          <w:tcPr>
            <w:tcW w:w="5941" w:type="dxa"/>
            <w:gridSpan w:val="5"/>
            <w:vAlign w:val="center"/>
          </w:tcPr>
          <w:p w14:paraId="1AB098D2">
            <w:pPr>
              <w:jc w:val="both"/>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支持全局及单个自定义预警开关配置。</w:t>
            </w:r>
          </w:p>
          <w:p w14:paraId="1EA115CA">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包括不同预警类型的预警开关配置、不同设备的预警开关配置、不同用户的预警开关配置。</w:t>
            </w:r>
          </w:p>
        </w:tc>
      </w:tr>
      <w:tr w14:paraId="1899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60A2CF11">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14</w:t>
            </w:r>
          </w:p>
        </w:tc>
        <w:tc>
          <w:tcPr>
            <w:tcW w:w="1155" w:type="dxa"/>
            <w:gridSpan w:val="2"/>
            <w:vMerge w:val="continue"/>
            <w:vAlign w:val="center"/>
          </w:tcPr>
          <w:p w14:paraId="4363AA5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516DEFD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预警策略配置</w:t>
            </w:r>
          </w:p>
        </w:tc>
        <w:tc>
          <w:tcPr>
            <w:tcW w:w="5941" w:type="dxa"/>
            <w:gridSpan w:val="5"/>
            <w:vAlign w:val="center"/>
          </w:tcPr>
          <w:p w14:paraId="32C21984">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支持预警策略定义、通知策略定义，通知策略主要针对预警触发通知主体相关的配置，支持按不同标签、分类等形式分组配置发送。</w:t>
            </w:r>
          </w:p>
        </w:tc>
      </w:tr>
      <w:tr w14:paraId="090E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4547451D">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15</w:t>
            </w:r>
          </w:p>
        </w:tc>
        <w:tc>
          <w:tcPr>
            <w:tcW w:w="1155" w:type="dxa"/>
            <w:gridSpan w:val="2"/>
            <w:vMerge w:val="continue"/>
            <w:vAlign w:val="center"/>
          </w:tcPr>
          <w:p w14:paraId="03C4FB0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5313166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组合预警配置</w:t>
            </w:r>
          </w:p>
        </w:tc>
        <w:tc>
          <w:tcPr>
            <w:tcW w:w="5941" w:type="dxa"/>
            <w:gridSpan w:val="5"/>
            <w:vAlign w:val="center"/>
          </w:tcPr>
          <w:p w14:paraId="242A06AC">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支持设备、数据类型等多重组合判断预警升级，多重预警同时满足一定条件才触发正式预警。</w:t>
            </w:r>
          </w:p>
        </w:tc>
      </w:tr>
      <w:tr w14:paraId="7E9A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063891FD">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16</w:t>
            </w:r>
          </w:p>
        </w:tc>
        <w:tc>
          <w:tcPr>
            <w:tcW w:w="1155" w:type="dxa"/>
            <w:gridSpan w:val="2"/>
            <w:vMerge w:val="continue"/>
            <w:vAlign w:val="center"/>
          </w:tcPr>
          <w:p w14:paraId="4E2ECC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1297121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预警事件通知</w:t>
            </w:r>
          </w:p>
        </w:tc>
        <w:tc>
          <w:tcPr>
            <w:tcW w:w="5941" w:type="dxa"/>
            <w:gridSpan w:val="5"/>
            <w:vAlign w:val="center"/>
          </w:tcPr>
          <w:p w14:paraId="73D52D3F">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支持AI语音外呼/应用内消息/微信/短信/设备联动等多种预警通知机制。</w:t>
            </w:r>
          </w:p>
        </w:tc>
      </w:tr>
      <w:tr w14:paraId="0D99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10FA436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17</w:t>
            </w:r>
          </w:p>
        </w:tc>
        <w:tc>
          <w:tcPr>
            <w:tcW w:w="1155" w:type="dxa"/>
            <w:gridSpan w:val="2"/>
            <w:vMerge w:val="continue"/>
            <w:vAlign w:val="center"/>
          </w:tcPr>
          <w:p w14:paraId="0D0617A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3D5A473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预警事件处理</w:t>
            </w:r>
          </w:p>
        </w:tc>
        <w:tc>
          <w:tcPr>
            <w:tcW w:w="5941" w:type="dxa"/>
            <w:gridSpan w:val="5"/>
            <w:vAlign w:val="center"/>
          </w:tcPr>
          <w:p w14:paraId="6FC3C8EF">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针对预警事件，可针对不同的预警类型设置预警处理规则，支持人工或自动处理机制。</w:t>
            </w:r>
          </w:p>
        </w:tc>
      </w:tr>
      <w:tr w14:paraId="30FD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7CAFA5F9">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18</w:t>
            </w:r>
          </w:p>
        </w:tc>
        <w:tc>
          <w:tcPr>
            <w:tcW w:w="1155" w:type="dxa"/>
            <w:gridSpan w:val="2"/>
            <w:vAlign w:val="center"/>
          </w:tcPr>
          <w:p w14:paraId="63B65E2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预警工单</w:t>
            </w:r>
          </w:p>
        </w:tc>
        <w:tc>
          <w:tcPr>
            <w:tcW w:w="1582" w:type="dxa"/>
            <w:gridSpan w:val="2"/>
            <w:vAlign w:val="center"/>
          </w:tcPr>
          <w:p w14:paraId="1DFCB67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预警工单</w:t>
            </w:r>
            <w:r>
              <w:rPr>
                <w:rFonts w:hint="eastAsia" w:ascii="宋体" w:hAnsi="宋体" w:eastAsia="宋体" w:cs="宋体"/>
                <w:i w:val="0"/>
                <w:iCs w:val="0"/>
                <w:color w:val="auto"/>
                <w:kern w:val="0"/>
                <w:sz w:val="20"/>
                <w:szCs w:val="20"/>
                <w:u w:val="none"/>
                <w:lang w:val="en-US" w:eastAsia="zh-CN" w:bidi="ar"/>
              </w:rPr>
              <w:t>管理</w:t>
            </w:r>
          </w:p>
        </w:tc>
        <w:tc>
          <w:tcPr>
            <w:tcW w:w="5941" w:type="dxa"/>
            <w:gridSpan w:val="5"/>
            <w:vAlign w:val="center"/>
          </w:tcPr>
          <w:p w14:paraId="3815567F">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预警信息可转化成工单流转处置。</w:t>
            </w:r>
          </w:p>
        </w:tc>
      </w:tr>
      <w:tr w14:paraId="79EB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1EB8DC0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19</w:t>
            </w:r>
          </w:p>
        </w:tc>
        <w:tc>
          <w:tcPr>
            <w:tcW w:w="1155" w:type="dxa"/>
            <w:gridSpan w:val="2"/>
            <w:vMerge w:val="restart"/>
            <w:vAlign w:val="center"/>
          </w:tcPr>
          <w:p w14:paraId="0EA941F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配置中心</w:t>
            </w:r>
          </w:p>
        </w:tc>
        <w:tc>
          <w:tcPr>
            <w:tcW w:w="1582" w:type="dxa"/>
            <w:gridSpan w:val="2"/>
            <w:vAlign w:val="center"/>
          </w:tcPr>
          <w:p w14:paraId="097BAE1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分组管理</w:t>
            </w:r>
          </w:p>
        </w:tc>
        <w:tc>
          <w:tcPr>
            <w:tcW w:w="5941" w:type="dxa"/>
            <w:gridSpan w:val="5"/>
            <w:vAlign w:val="center"/>
          </w:tcPr>
          <w:p w14:paraId="2FA64718">
            <w:pPr>
              <w:jc w:val="both"/>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支持将用户进行分组管理，配置不同的报警类型、时间等。</w:t>
            </w:r>
          </w:p>
          <w:p w14:paraId="3EFF9210">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支持多重组合判断预警升级，多重预警同时满足一定条件才触发正式预警等。</w:t>
            </w:r>
          </w:p>
        </w:tc>
      </w:tr>
      <w:tr w14:paraId="5296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16CC8402">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20</w:t>
            </w:r>
          </w:p>
        </w:tc>
        <w:tc>
          <w:tcPr>
            <w:tcW w:w="1155" w:type="dxa"/>
            <w:gridSpan w:val="2"/>
            <w:vMerge w:val="continue"/>
            <w:vAlign w:val="center"/>
          </w:tcPr>
          <w:p w14:paraId="4630E2B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6901DF9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报警勿扰配置</w:t>
            </w:r>
          </w:p>
        </w:tc>
        <w:tc>
          <w:tcPr>
            <w:tcW w:w="5941" w:type="dxa"/>
            <w:gridSpan w:val="5"/>
            <w:vAlign w:val="center"/>
          </w:tcPr>
          <w:p w14:paraId="0E67056E">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根据用户报警类型配置勿扰时间。可批量配置，也可单个配置。</w:t>
            </w:r>
          </w:p>
        </w:tc>
      </w:tr>
      <w:tr w14:paraId="7D40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1493C4A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21</w:t>
            </w:r>
          </w:p>
        </w:tc>
        <w:tc>
          <w:tcPr>
            <w:tcW w:w="1155" w:type="dxa"/>
            <w:gridSpan w:val="2"/>
            <w:vMerge w:val="continue"/>
            <w:vAlign w:val="center"/>
          </w:tcPr>
          <w:p w14:paraId="739DCB6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52979B1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业务配置</w:t>
            </w:r>
          </w:p>
        </w:tc>
        <w:tc>
          <w:tcPr>
            <w:tcW w:w="5941" w:type="dxa"/>
            <w:gridSpan w:val="5"/>
            <w:vAlign w:val="center"/>
          </w:tcPr>
          <w:p w14:paraId="46985525">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支持大屏主题配置、大屏元素、logo、业务脱敏开关、浏览器标题、是否可重复登录等配置。</w:t>
            </w:r>
          </w:p>
        </w:tc>
      </w:tr>
      <w:tr w14:paraId="3077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08BCD680">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22</w:t>
            </w:r>
          </w:p>
        </w:tc>
        <w:tc>
          <w:tcPr>
            <w:tcW w:w="1155" w:type="dxa"/>
            <w:gridSpan w:val="2"/>
            <w:vMerge w:val="restart"/>
            <w:vAlign w:val="center"/>
          </w:tcPr>
          <w:p w14:paraId="4D18C95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系统管理</w:t>
            </w:r>
          </w:p>
        </w:tc>
        <w:tc>
          <w:tcPr>
            <w:tcW w:w="1582" w:type="dxa"/>
            <w:gridSpan w:val="2"/>
            <w:vAlign w:val="center"/>
          </w:tcPr>
          <w:p w14:paraId="0D79A1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账号管理</w:t>
            </w:r>
          </w:p>
        </w:tc>
        <w:tc>
          <w:tcPr>
            <w:tcW w:w="5941" w:type="dxa"/>
            <w:gridSpan w:val="5"/>
            <w:vAlign w:val="center"/>
          </w:tcPr>
          <w:p w14:paraId="0FFEBCC4">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支持多级账号维护、支持多种类型账号维护、可配置账号通知及短信权限、关注公众号、绑定微信信息。</w:t>
            </w:r>
          </w:p>
        </w:tc>
      </w:tr>
      <w:tr w14:paraId="03A1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1E934FD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23</w:t>
            </w:r>
          </w:p>
        </w:tc>
        <w:tc>
          <w:tcPr>
            <w:tcW w:w="1155" w:type="dxa"/>
            <w:gridSpan w:val="2"/>
            <w:vMerge w:val="continue"/>
            <w:vAlign w:val="center"/>
          </w:tcPr>
          <w:p w14:paraId="385528F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5054E3C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命令管理</w:t>
            </w:r>
          </w:p>
        </w:tc>
        <w:tc>
          <w:tcPr>
            <w:tcW w:w="5941" w:type="dxa"/>
            <w:gridSpan w:val="5"/>
            <w:vAlign w:val="center"/>
          </w:tcPr>
          <w:p w14:paraId="2C00CBFB">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查看设备批命令任务执行情况、查看每个设备的任务明细。</w:t>
            </w:r>
          </w:p>
        </w:tc>
      </w:tr>
      <w:tr w14:paraId="4ADB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40161B61">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24</w:t>
            </w:r>
          </w:p>
        </w:tc>
        <w:tc>
          <w:tcPr>
            <w:tcW w:w="1155" w:type="dxa"/>
            <w:gridSpan w:val="2"/>
            <w:vMerge w:val="continue"/>
            <w:vAlign w:val="center"/>
          </w:tcPr>
          <w:p w14:paraId="79EBAA0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193F839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导入导出结果</w:t>
            </w:r>
          </w:p>
        </w:tc>
        <w:tc>
          <w:tcPr>
            <w:tcW w:w="5941" w:type="dxa"/>
            <w:gridSpan w:val="5"/>
            <w:vAlign w:val="center"/>
          </w:tcPr>
          <w:p w14:paraId="5593BD2E">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查看系统数据导出记录，可下载结果文件。</w:t>
            </w:r>
          </w:p>
        </w:tc>
      </w:tr>
      <w:tr w14:paraId="4E0F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77ADF81F">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25</w:t>
            </w:r>
          </w:p>
        </w:tc>
        <w:tc>
          <w:tcPr>
            <w:tcW w:w="1155" w:type="dxa"/>
            <w:gridSpan w:val="2"/>
            <w:vMerge w:val="restart"/>
            <w:vAlign w:val="center"/>
          </w:tcPr>
          <w:p w14:paraId="0A69C09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统计分析</w:t>
            </w:r>
          </w:p>
        </w:tc>
        <w:tc>
          <w:tcPr>
            <w:tcW w:w="1582" w:type="dxa"/>
            <w:gridSpan w:val="2"/>
            <w:vAlign w:val="center"/>
          </w:tcPr>
          <w:p w14:paraId="001B88C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业务统计管理</w:t>
            </w:r>
          </w:p>
        </w:tc>
        <w:tc>
          <w:tcPr>
            <w:tcW w:w="5941" w:type="dxa"/>
            <w:gridSpan w:val="5"/>
            <w:vAlign w:val="center"/>
          </w:tcPr>
          <w:p w14:paraId="1404E3B5">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支持灵活、多条件统计条件筛选，自主统计业务统计信息。</w:t>
            </w:r>
          </w:p>
        </w:tc>
      </w:tr>
      <w:tr w14:paraId="64BA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5F7681D5">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26</w:t>
            </w:r>
          </w:p>
        </w:tc>
        <w:tc>
          <w:tcPr>
            <w:tcW w:w="1155" w:type="dxa"/>
            <w:gridSpan w:val="2"/>
            <w:vMerge w:val="continue"/>
            <w:vAlign w:val="center"/>
          </w:tcPr>
          <w:p w14:paraId="0553F97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4E84EB2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设备位置分布PC端</w:t>
            </w:r>
          </w:p>
        </w:tc>
        <w:tc>
          <w:tcPr>
            <w:tcW w:w="5941" w:type="dxa"/>
            <w:gridSpan w:val="5"/>
            <w:vAlign w:val="center"/>
          </w:tcPr>
          <w:p w14:paraId="4258163D">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支持查看设备地理位置分布图。</w:t>
            </w:r>
          </w:p>
        </w:tc>
      </w:tr>
      <w:tr w14:paraId="6B7A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15333B7C">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27</w:t>
            </w:r>
          </w:p>
        </w:tc>
        <w:tc>
          <w:tcPr>
            <w:tcW w:w="1155" w:type="dxa"/>
            <w:gridSpan w:val="2"/>
            <w:vMerge w:val="continue"/>
            <w:vAlign w:val="center"/>
          </w:tcPr>
          <w:p w14:paraId="27E989C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1C5DB14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设备位置分布移动端</w:t>
            </w:r>
          </w:p>
        </w:tc>
        <w:tc>
          <w:tcPr>
            <w:tcW w:w="5941" w:type="dxa"/>
            <w:gridSpan w:val="5"/>
            <w:vAlign w:val="center"/>
          </w:tcPr>
          <w:p w14:paraId="0BAD6DA1">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移动端可根据管理的用户绑定的设备查看设备地图位置分布。</w:t>
            </w:r>
          </w:p>
        </w:tc>
      </w:tr>
      <w:tr w14:paraId="3345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7028E51C">
            <w:pPr>
              <w:keepNext w:val="0"/>
              <w:keepLines w:val="0"/>
              <w:widowControl/>
              <w:suppressLineNumbers w:val="0"/>
              <w:jc w:val="center"/>
              <w:textAlignment w:val="center"/>
              <w:rPr>
                <w:rFonts w:hint="default"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28</w:t>
            </w:r>
          </w:p>
        </w:tc>
        <w:tc>
          <w:tcPr>
            <w:tcW w:w="1155" w:type="dxa"/>
            <w:gridSpan w:val="2"/>
            <w:vAlign w:val="center"/>
          </w:tcPr>
          <w:p w14:paraId="13CBEB1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我的账号</w:t>
            </w:r>
          </w:p>
        </w:tc>
        <w:tc>
          <w:tcPr>
            <w:tcW w:w="1582" w:type="dxa"/>
            <w:gridSpan w:val="2"/>
            <w:vAlign w:val="center"/>
          </w:tcPr>
          <w:p w14:paraId="250B955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我的账号管理</w:t>
            </w:r>
          </w:p>
        </w:tc>
        <w:tc>
          <w:tcPr>
            <w:tcW w:w="5941" w:type="dxa"/>
            <w:gridSpan w:val="5"/>
            <w:vAlign w:val="center"/>
          </w:tcPr>
          <w:p w14:paraId="21311272">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修改密码、查看绑定微信账号等。</w:t>
            </w:r>
          </w:p>
        </w:tc>
      </w:tr>
      <w:tr w14:paraId="08D5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197910E2">
            <w:pPr>
              <w:keepNext w:val="0"/>
              <w:keepLines w:val="0"/>
              <w:widowControl/>
              <w:suppressLineNumbers w:val="0"/>
              <w:jc w:val="center"/>
              <w:textAlignment w:val="center"/>
              <w:rPr>
                <w:rFonts w:hint="default"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29</w:t>
            </w:r>
          </w:p>
        </w:tc>
        <w:tc>
          <w:tcPr>
            <w:tcW w:w="1155" w:type="dxa"/>
            <w:gridSpan w:val="2"/>
            <w:vAlign w:val="center"/>
          </w:tcPr>
          <w:p w14:paraId="4C82EA8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数据驾驶舱</w:t>
            </w:r>
          </w:p>
        </w:tc>
        <w:tc>
          <w:tcPr>
            <w:tcW w:w="1582" w:type="dxa"/>
            <w:gridSpan w:val="2"/>
            <w:vAlign w:val="center"/>
          </w:tcPr>
          <w:p w14:paraId="2BC8080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家庭养老床位驾驶舱</w:t>
            </w:r>
          </w:p>
        </w:tc>
        <w:tc>
          <w:tcPr>
            <w:tcW w:w="5941" w:type="dxa"/>
            <w:gridSpan w:val="5"/>
            <w:vAlign w:val="center"/>
          </w:tcPr>
          <w:p w14:paraId="5E2F4AE8">
            <w:pPr>
              <w:jc w:val="both"/>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1、驾驶舱呈现老人总数、守护目标、区域分布、年龄等特征分布。显示整体守护指数、服务指数、守护天数、守护模型、智能设备数据、实时动态监护数据、实时预警研判信息、服务数据、报警时间分布。</w:t>
            </w:r>
          </w:p>
          <w:p w14:paraId="5B9731F0">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2、支持实时报警声音及动效提醒、预警处置操作入口，支持二维、卫星地图模式切换、支持用户定位及用户住址实时数据展示在地图上并可切换展示方式，支持自定义地图网格区域等。</w:t>
            </w:r>
          </w:p>
        </w:tc>
      </w:tr>
      <w:tr w14:paraId="0A62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1F7A2297">
            <w:pPr>
              <w:keepNext w:val="0"/>
              <w:keepLines w:val="0"/>
              <w:widowControl/>
              <w:suppressLineNumbers w:val="0"/>
              <w:jc w:val="center"/>
              <w:textAlignment w:val="center"/>
              <w:rPr>
                <w:rFonts w:hint="default"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30</w:t>
            </w:r>
          </w:p>
        </w:tc>
        <w:tc>
          <w:tcPr>
            <w:tcW w:w="1155" w:type="dxa"/>
            <w:gridSpan w:val="2"/>
            <w:vAlign w:val="center"/>
          </w:tcPr>
          <w:p w14:paraId="67A01D5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多重通知机制</w:t>
            </w:r>
          </w:p>
        </w:tc>
        <w:tc>
          <w:tcPr>
            <w:tcW w:w="1582" w:type="dxa"/>
            <w:gridSpan w:val="2"/>
            <w:vAlign w:val="center"/>
          </w:tcPr>
          <w:p w14:paraId="5FAE01C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多重通知机制</w:t>
            </w:r>
          </w:p>
        </w:tc>
        <w:tc>
          <w:tcPr>
            <w:tcW w:w="5941" w:type="dxa"/>
            <w:gridSpan w:val="5"/>
            <w:vAlign w:val="center"/>
          </w:tcPr>
          <w:p w14:paraId="760FF900">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支持AI语音外呼/应用内消息/微信/短信/设备联动等多种预警通知机制。</w:t>
            </w:r>
          </w:p>
        </w:tc>
      </w:tr>
      <w:tr w14:paraId="215E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3DC63572">
            <w:pPr>
              <w:keepNext w:val="0"/>
              <w:keepLines w:val="0"/>
              <w:widowControl/>
              <w:suppressLineNumbers w:val="0"/>
              <w:jc w:val="center"/>
              <w:textAlignment w:val="center"/>
              <w:rPr>
                <w:rFonts w:hint="default"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31</w:t>
            </w:r>
          </w:p>
        </w:tc>
        <w:tc>
          <w:tcPr>
            <w:tcW w:w="1155" w:type="dxa"/>
            <w:gridSpan w:val="2"/>
            <w:vMerge w:val="restart"/>
            <w:vAlign w:val="center"/>
          </w:tcPr>
          <w:p w14:paraId="1893AD0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应用端</w:t>
            </w:r>
          </w:p>
        </w:tc>
        <w:tc>
          <w:tcPr>
            <w:tcW w:w="1582" w:type="dxa"/>
            <w:gridSpan w:val="2"/>
            <w:vAlign w:val="center"/>
          </w:tcPr>
          <w:p w14:paraId="71471E6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电脑PC端</w:t>
            </w:r>
          </w:p>
        </w:tc>
        <w:tc>
          <w:tcPr>
            <w:tcW w:w="5941" w:type="dxa"/>
            <w:gridSpan w:val="5"/>
            <w:vAlign w:val="center"/>
          </w:tcPr>
          <w:p w14:paraId="14AF5E3D">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支持多级PC端统一调度管理，支持多层级账号管理维度，可展现居家分布地图，预警分布地图，业务分析统计等业务功能。</w:t>
            </w:r>
          </w:p>
        </w:tc>
      </w:tr>
      <w:tr w14:paraId="0DF1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5DA6132C">
            <w:pPr>
              <w:keepNext w:val="0"/>
              <w:keepLines w:val="0"/>
              <w:widowControl/>
              <w:suppressLineNumbers w:val="0"/>
              <w:jc w:val="center"/>
              <w:textAlignment w:val="center"/>
              <w:rPr>
                <w:rFonts w:hint="default"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32</w:t>
            </w:r>
          </w:p>
        </w:tc>
        <w:tc>
          <w:tcPr>
            <w:tcW w:w="1155" w:type="dxa"/>
            <w:gridSpan w:val="2"/>
            <w:vMerge w:val="continue"/>
            <w:vAlign w:val="center"/>
          </w:tcPr>
          <w:p w14:paraId="2BF75C7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578D0BF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网格员手机端</w:t>
            </w:r>
          </w:p>
        </w:tc>
        <w:tc>
          <w:tcPr>
            <w:tcW w:w="5941" w:type="dxa"/>
            <w:gridSpan w:val="5"/>
            <w:vAlign w:val="center"/>
          </w:tcPr>
          <w:p w14:paraId="1DF5069D">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支持手机H5端实现网格员远程监护，支持1对多或多对1的灵活监护模式，以网格化、移动办公的方式对老人居住环境实现守护。</w:t>
            </w:r>
          </w:p>
        </w:tc>
      </w:tr>
      <w:tr w14:paraId="30CB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3C06F6B7">
            <w:pPr>
              <w:keepNext w:val="0"/>
              <w:keepLines w:val="0"/>
              <w:widowControl/>
              <w:suppressLineNumbers w:val="0"/>
              <w:jc w:val="center"/>
              <w:textAlignment w:val="center"/>
              <w:rPr>
                <w:rFonts w:hint="default"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33</w:t>
            </w:r>
          </w:p>
        </w:tc>
        <w:tc>
          <w:tcPr>
            <w:tcW w:w="1155" w:type="dxa"/>
            <w:gridSpan w:val="2"/>
            <w:vMerge w:val="continue"/>
            <w:vAlign w:val="center"/>
          </w:tcPr>
          <w:p w14:paraId="1A5D149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6FFAB22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公众号端</w:t>
            </w:r>
          </w:p>
        </w:tc>
        <w:tc>
          <w:tcPr>
            <w:tcW w:w="5941" w:type="dxa"/>
            <w:gridSpan w:val="5"/>
            <w:vAlign w:val="center"/>
          </w:tcPr>
          <w:p w14:paraId="3B2F3004">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以公众号作为应用端预警通知或业务消息推送重要手段。</w:t>
            </w:r>
          </w:p>
        </w:tc>
      </w:tr>
      <w:tr w14:paraId="0282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4D128CA2">
            <w:pPr>
              <w:keepNext w:val="0"/>
              <w:keepLines w:val="0"/>
              <w:widowControl/>
              <w:suppressLineNumbers w:val="0"/>
              <w:jc w:val="center"/>
              <w:textAlignment w:val="center"/>
              <w:rPr>
                <w:rFonts w:hint="default"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34</w:t>
            </w:r>
          </w:p>
        </w:tc>
        <w:tc>
          <w:tcPr>
            <w:tcW w:w="1155" w:type="dxa"/>
            <w:gridSpan w:val="2"/>
            <w:vMerge w:val="continue"/>
            <w:vAlign w:val="center"/>
          </w:tcPr>
          <w:p w14:paraId="5231A15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709202A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监护人手机端</w:t>
            </w:r>
          </w:p>
        </w:tc>
        <w:tc>
          <w:tcPr>
            <w:tcW w:w="5941" w:type="dxa"/>
            <w:gridSpan w:val="5"/>
            <w:vAlign w:val="center"/>
          </w:tcPr>
          <w:p w14:paraId="14230AD6">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支持老人家属使用手机端应用远程监护老人安全、健康情况。</w:t>
            </w:r>
          </w:p>
        </w:tc>
      </w:tr>
      <w:tr w14:paraId="1366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14" w:type="dxa"/>
            <w:vAlign w:val="center"/>
          </w:tcPr>
          <w:p w14:paraId="7280BECE">
            <w:pPr>
              <w:keepNext w:val="0"/>
              <w:keepLines w:val="0"/>
              <w:widowControl/>
              <w:suppressLineNumbers w:val="0"/>
              <w:jc w:val="center"/>
              <w:textAlignment w:val="center"/>
              <w:rPr>
                <w:rFonts w:hint="default" w:cs="宋体"/>
                <w:i w:val="0"/>
                <w:iCs w:val="0"/>
                <w:color w:val="auto"/>
                <w:kern w:val="0"/>
                <w:sz w:val="20"/>
                <w:szCs w:val="20"/>
                <w:u w:val="none"/>
                <w:lang w:val="en-US" w:eastAsia="zh-CN" w:bidi="ar"/>
              </w:rPr>
            </w:pPr>
            <w:r>
              <w:rPr>
                <w:rFonts w:hint="eastAsia" w:cs="宋体"/>
                <w:i w:val="0"/>
                <w:iCs w:val="0"/>
                <w:color w:val="auto"/>
                <w:kern w:val="0"/>
                <w:sz w:val="20"/>
                <w:szCs w:val="20"/>
                <w:u w:val="none"/>
                <w:lang w:val="en-US" w:eastAsia="zh-CN" w:bidi="ar"/>
              </w:rPr>
              <w:t>35</w:t>
            </w:r>
          </w:p>
        </w:tc>
        <w:tc>
          <w:tcPr>
            <w:tcW w:w="1155" w:type="dxa"/>
            <w:gridSpan w:val="2"/>
            <w:vMerge w:val="continue"/>
            <w:vAlign w:val="center"/>
          </w:tcPr>
          <w:p w14:paraId="71AB356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582" w:type="dxa"/>
            <w:gridSpan w:val="2"/>
            <w:vAlign w:val="center"/>
          </w:tcPr>
          <w:p w14:paraId="426DFA1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zh-CN" w:eastAsia="zh-CN" w:bidi="ar"/>
              </w:rPr>
              <w:t>能力开放API</w:t>
            </w:r>
          </w:p>
        </w:tc>
        <w:tc>
          <w:tcPr>
            <w:tcW w:w="5941" w:type="dxa"/>
            <w:gridSpan w:val="5"/>
            <w:vAlign w:val="center"/>
          </w:tcPr>
          <w:p w14:paraId="687DFF89">
            <w:pPr>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zh-CN"/>
              </w:rPr>
              <w:t>支持单点登录或一点对接，提供支持所有设备的统一接入文档，方便将目标数据同步至一网通、城脑等平台。</w:t>
            </w:r>
          </w:p>
        </w:tc>
      </w:tr>
      <w:tr w14:paraId="3139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9292" w:type="dxa"/>
            <w:gridSpan w:val="10"/>
            <w:vAlign w:val="center"/>
          </w:tcPr>
          <w:p w14:paraId="0FDF5B39">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cs="宋体"/>
                <w:b/>
                <w:bCs/>
                <w:i w:val="0"/>
                <w:iCs w:val="0"/>
                <w:color w:val="auto"/>
                <w:kern w:val="0"/>
                <w:sz w:val="21"/>
                <w:szCs w:val="21"/>
                <w:u w:val="none"/>
                <w:lang w:val="en-US" w:eastAsia="zh-CN" w:bidi="ar"/>
              </w:rPr>
              <w:t>备注：（1）中标人应提供具备上述功能的管理系统，本项目具有物联功能设备均须接入本项目管理系统，将家庭养老床位纳入动态管理和远程管理。（2）上述“家庭养老床位建设产品推荐清单”内涉及参数尺寸规格如未注明偏离区间的，允许偏离范围为±5%。投标人可根据自身情况提供相适应的、符合采购人需求的产品。</w:t>
            </w:r>
          </w:p>
        </w:tc>
      </w:tr>
    </w:tbl>
    <w:p w14:paraId="5B50F2FA">
      <w:pPr>
        <w:pStyle w:val="3"/>
        <w:adjustRightInd w:val="0"/>
        <w:snapToGrid w:val="0"/>
        <w:spacing w:line="360" w:lineRule="auto"/>
        <w:ind w:firstLine="0" w:firstLineChars="0"/>
        <w:rPr>
          <w:rFonts w:hint="eastAsia" w:ascii="宋体" w:hAnsi="宋体" w:eastAsia="宋体" w:cs="宋体"/>
          <w:b/>
          <w:bCs/>
          <w:color w:val="auto"/>
          <w:sz w:val="24"/>
          <w:szCs w:val="24"/>
          <w:u w:val="none"/>
          <w:lang w:val="en-US" w:eastAsia="zh-CN" w:bidi="zh-CN"/>
        </w:rPr>
      </w:pPr>
    </w:p>
    <w:p w14:paraId="31531E7D">
      <w:pPr>
        <w:pStyle w:val="3"/>
        <w:adjustRightInd w:val="0"/>
        <w:snapToGrid w:val="0"/>
        <w:spacing w:line="360" w:lineRule="auto"/>
        <w:ind w:firstLine="0" w:firstLineChars="0"/>
        <w:rPr>
          <w:rFonts w:hint="default" w:ascii="宋体" w:hAnsi="宋体" w:eastAsia="宋体" w:cs="宋体"/>
          <w:b/>
          <w:bCs/>
          <w:color w:val="auto"/>
          <w:sz w:val="24"/>
          <w:szCs w:val="24"/>
          <w:u w:val="none"/>
          <w:lang w:val="en-US" w:eastAsia="zh-CN" w:bidi="zh-CN"/>
        </w:rPr>
      </w:pPr>
      <w:r>
        <w:rPr>
          <w:rFonts w:hint="eastAsia" w:ascii="宋体" w:hAnsi="宋体" w:eastAsia="宋体" w:cs="宋体"/>
          <w:b/>
          <w:bCs/>
          <w:color w:val="auto"/>
          <w:sz w:val="24"/>
          <w:szCs w:val="24"/>
          <w:u w:val="none"/>
          <w:lang w:val="en-US" w:eastAsia="zh-CN" w:bidi="zh-CN"/>
        </w:rPr>
        <w:t>五、建床后</w:t>
      </w:r>
      <w:r>
        <w:rPr>
          <w:rFonts w:hint="eastAsia" w:cs="宋体"/>
          <w:b/>
          <w:bCs/>
          <w:color w:val="auto"/>
          <w:sz w:val="24"/>
          <w:szCs w:val="24"/>
          <w:u w:val="none"/>
          <w:lang w:val="en-US" w:eastAsia="zh-CN" w:bidi="zh-CN"/>
        </w:rPr>
        <w:t>居家养老</w:t>
      </w:r>
      <w:r>
        <w:rPr>
          <w:rFonts w:hint="eastAsia" w:ascii="宋体" w:hAnsi="宋体" w:eastAsia="宋体" w:cs="宋体"/>
          <w:b/>
          <w:bCs/>
          <w:color w:val="auto"/>
          <w:sz w:val="24"/>
          <w:szCs w:val="24"/>
          <w:u w:val="none"/>
          <w:lang w:val="en-US" w:eastAsia="zh-CN" w:bidi="zh-CN"/>
        </w:rPr>
        <w:t>上门服务要求</w:t>
      </w:r>
    </w:p>
    <w:p w14:paraId="55B599E2">
      <w:pPr>
        <w:pStyle w:val="3"/>
        <w:adjustRightInd w:val="0"/>
        <w:snapToGrid w:val="0"/>
        <w:spacing w:line="360" w:lineRule="auto"/>
        <w:ind w:left="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老年人能力评估结果，参考《居家养老上门服务基本项目参考清单》中的服务项目，为有需求的老年人提供居家养老上门服务。①居家养老上门服务均以基础服务包的形式提供，与重度残疾人护理补贴等可同时享受。基础服务包项目参考“居家养老上门服务基本项目参考清单”（见附表三）并根据实际选取组合，价格按照采购有关要求确定。符合条件的养老服务补贴对象，可结合基础服务包与养老服务补贴，叠加扩充服务内容（服务内容不应与养老服务补贴服务重复，可根据老人实际需求制定服务计划，并报采购人同意后实施）。②政策衔接。根据《温州市居家养老服务促进条例》，将居家上门服务试点工作与困难老年人三项补贴政策、“爱心卡”服务相结合，为有需求的老年人提供个性化居家上门服务，保障试点工作的延续性和长效性。③签订协议。中标供应商应与老年人家庭签订服务协议，明确服务内容、服务频次及政府购买服务以外的特色服务收费标准。相关服务费用应明码标价、主动公示，并在服务协议中予以明确。</w:t>
      </w:r>
    </w:p>
    <w:p w14:paraId="2A5BE31A">
      <w:pPr>
        <w:pStyle w:val="3"/>
        <w:numPr>
          <w:ilvl w:val="0"/>
          <w:numId w:val="0"/>
        </w:numPr>
        <w:adjustRightInd w:val="0"/>
        <w:snapToGrid w:val="0"/>
        <w:spacing w:line="360" w:lineRule="auto"/>
        <w:jc w:val="center"/>
        <w:rPr>
          <w:rFonts w:hint="default" w:ascii="Segoe UI" w:hAnsi="Segoe UI" w:eastAsia="宋体" w:cs="Segoe UI"/>
          <w:b/>
          <w:bCs/>
          <w:i w:val="0"/>
          <w:iCs w:val="0"/>
          <w:caps w:val="0"/>
          <w:color w:val="auto"/>
          <w:spacing w:val="0"/>
          <w:sz w:val="24"/>
          <w:szCs w:val="24"/>
          <w:shd w:val="clear" w:fill="FDFDFE"/>
          <w:lang w:val="en-US" w:eastAsia="zh-CN"/>
        </w:rPr>
      </w:pPr>
      <w:r>
        <w:rPr>
          <w:rFonts w:hint="eastAsia" w:ascii="Segoe UI" w:hAnsi="Segoe UI" w:eastAsia="宋体" w:cs="Segoe UI"/>
          <w:b/>
          <w:bCs/>
          <w:i w:val="0"/>
          <w:iCs w:val="0"/>
          <w:caps w:val="0"/>
          <w:color w:val="auto"/>
          <w:spacing w:val="0"/>
          <w:sz w:val="24"/>
          <w:szCs w:val="24"/>
          <w:shd w:val="clear" w:fill="FDFDFE"/>
          <w:lang w:val="en-US" w:eastAsia="zh-CN"/>
        </w:rPr>
        <w:t>附表三  居家养老上门服务基本项目参考清单</w:t>
      </w:r>
    </w:p>
    <w:tbl>
      <w:tblPr>
        <w:tblStyle w:val="27"/>
        <w:tblW w:w="9294"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579"/>
        <w:gridCol w:w="6856"/>
      </w:tblGrid>
      <w:tr w14:paraId="2F33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shd w:val="clear" w:color="auto" w:fill="B6DDE8" w:themeFill="accent5" w:themeFillTint="66"/>
            <w:noWrap w:val="0"/>
            <w:vAlign w:val="center"/>
          </w:tcPr>
          <w:p w14:paraId="0505A006">
            <w:pPr>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类别</w:t>
            </w:r>
          </w:p>
        </w:tc>
        <w:tc>
          <w:tcPr>
            <w:tcW w:w="1579" w:type="dxa"/>
            <w:shd w:val="clear" w:color="auto" w:fill="B6DDE8" w:themeFill="accent5" w:themeFillTint="66"/>
            <w:noWrap w:val="0"/>
            <w:vAlign w:val="center"/>
          </w:tcPr>
          <w:p w14:paraId="25AE0245">
            <w:pPr>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项目名称</w:t>
            </w:r>
          </w:p>
        </w:tc>
        <w:tc>
          <w:tcPr>
            <w:tcW w:w="6856" w:type="dxa"/>
            <w:shd w:val="clear" w:color="auto" w:fill="B6DDE8" w:themeFill="accent5" w:themeFillTint="66"/>
            <w:noWrap w:val="0"/>
            <w:vAlign w:val="center"/>
          </w:tcPr>
          <w:p w14:paraId="2B995892">
            <w:pPr>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服务内容</w:t>
            </w:r>
          </w:p>
        </w:tc>
      </w:tr>
      <w:tr w14:paraId="395B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restart"/>
            <w:noWrap w:val="0"/>
            <w:vAlign w:val="center"/>
          </w:tcPr>
          <w:p w14:paraId="0C9DFC5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shd w:val="clear" w:color="auto" w:fill="FFFFFF"/>
                <w:lang w:val="en-US" w:eastAsia="zh-CN"/>
              </w:rPr>
              <w:t>生活照料服务</w:t>
            </w:r>
          </w:p>
        </w:tc>
        <w:tc>
          <w:tcPr>
            <w:tcW w:w="1579" w:type="dxa"/>
            <w:noWrap w:val="0"/>
            <w:vAlign w:val="center"/>
          </w:tcPr>
          <w:p w14:paraId="7EEE52A0">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助餐</w:t>
            </w:r>
          </w:p>
        </w:tc>
        <w:tc>
          <w:tcPr>
            <w:tcW w:w="6856" w:type="dxa"/>
            <w:noWrap w:val="0"/>
            <w:vAlign w:val="center"/>
          </w:tcPr>
          <w:p w14:paraId="64E82162">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上门烹饪、协助老年人前往老年助餐点就餐、送餐上门等</w:t>
            </w:r>
          </w:p>
        </w:tc>
      </w:tr>
      <w:tr w14:paraId="157C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1C17CDA8">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1838FC20">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助浴</w:t>
            </w:r>
          </w:p>
        </w:tc>
        <w:tc>
          <w:tcPr>
            <w:tcW w:w="6856" w:type="dxa"/>
            <w:noWrap w:val="0"/>
            <w:vAlign w:val="center"/>
          </w:tcPr>
          <w:p w14:paraId="5F0F1AAC">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上门助浴或协助前往老年人助浴点进行身体清洁等</w:t>
            </w:r>
          </w:p>
        </w:tc>
      </w:tr>
      <w:tr w14:paraId="723A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7059C78A">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474A29F3">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助洁</w:t>
            </w:r>
          </w:p>
        </w:tc>
        <w:tc>
          <w:tcPr>
            <w:tcW w:w="6856" w:type="dxa"/>
            <w:noWrap w:val="0"/>
            <w:vAlign w:val="center"/>
          </w:tcPr>
          <w:p w14:paraId="0F3BF1B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洗漱、剪发剃须、洗脚、剪指（趾）甲等身体助洁服务，居家清洁、衣物洗涤、物品整理等普通助洁服务。</w:t>
            </w:r>
          </w:p>
        </w:tc>
      </w:tr>
      <w:tr w14:paraId="44EA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1666EB9B">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0BEEEC42">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助行</w:t>
            </w:r>
          </w:p>
        </w:tc>
        <w:tc>
          <w:tcPr>
            <w:tcW w:w="6856" w:type="dxa"/>
            <w:noWrap w:val="0"/>
            <w:vAlign w:val="center"/>
          </w:tcPr>
          <w:p w14:paraId="4F4FE848">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协助行走、陪伴外出、参加活动等</w:t>
            </w:r>
          </w:p>
        </w:tc>
      </w:tr>
      <w:tr w14:paraId="3416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6B575665">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5D20D243">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助急</w:t>
            </w:r>
          </w:p>
        </w:tc>
        <w:tc>
          <w:tcPr>
            <w:tcW w:w="6856" w:type="dxa"/>
            <w:noWrap w:val="0"/>
            <w:vAlign w:val="center"/>
          </w:tcPr>
          <w:p w14:paraId="5F1B364F">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紧急呼叫受理、紧急转介等</w:t>
            </w:r>
          </w:p>
        </w:tc>
      </w:tr>
      <w:tr w14:paraId="41C6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10421B04">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3C769A9B">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助医</w:t>
            </w:r>
          </w:p>
        </w:tc>
        <w:tc>
          <w:tcPr>
            <w:tcW w:w="6856" w:type="dxa"/>
            <w:noWrap w:val="0"/>
            <w:vAlign w:val="center"/>
          </w:tcPr>
          <w:p w14:paraId="19ACA464">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陪同就医、治疗陪伴等</w:t>
            </w:r>
          </w:p>
        </w:tc>
      </w:tr>
      <w:tr w14:paraId="0331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restart"/>
            <w:noWrap w:val="0"/>
            <w:vAlign w:val="center"/>
          </w:tcPr>
          <w:p w14:paraId="5D451ED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shd w:val="clear" w:color="auto" w:fill="FFFFFF"/>
                <w:lang w:val="en-US" w:eastAsia="zh-CN"/>
              </w:rPr>
              <w:t>基础照护服务</w:t>
            </w:r>
          </w:p>
        </w:tc>
        <w:tc>
          <w:tcPr>
            <w:tcW w:w="1579" w:type="dxa"/>
            <w:noWrap w:val="0"/>
            <w:vAlign w:val="center"/>
          </w:tcPr>
          <w:p w14:paraId="72DBFDD6">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排泄护理</w:t>
            </w:r>
          </w:p>
        </w:tc>
        <w:tc>
          <w:tcPr>
            <w:tcW w:w="6856" w:type="dxa"/>
            <w:noWrap w:val="0"/>
            <w:vAlign w:val="center"/>
          </w:tcPr>
          <w:p w14:paraId="12AA0CE0">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排尿护理、排便护理、排气护理等</w:t>
            </w:r>
          </w:p>
        </w:tc>
      </w:tr>
      <w:tr w14:paraId="2FCE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06EDA3A2">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11B9DBDF">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护理协助</w:t>
            </w:r>
          </w:p>
        </w:tc>
        <w:tc>
          <w:tcPr>
            <w:tcW w:w="6856" w:type="dxa"/>
            <w:noWrap w:val="0"/>
            <w:vAlign w:val="center"/>
          </w:tcPr>
          <w:p w14:paraId="0C165BEE">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为老年人进行保暖和物理降温，协助和指导翻身、拍背、褥疮预防等</w:t>
            </w:r>
          </w:p>
        </w:tc>
      </w:tr>
      <w:tr w14:paraId="3298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6DF36E5F">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256AEE8E">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康复护理</w:t>
            </w:r>
          </w:p>
        </w:tc>
        <w:tc>
          <w:tcPr>
            <w:tcW w:w="6856" w:type="dxa"/>
            <w:noWrap w:val="0"/>
            <w:vAlign w:val="center"/>
          </w:tcPr>
          <w:p w14:paraId="77399205">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包括康复评估、计划制定、康复指导、康复理疗等</w:t>
            </w:r>
          </w:p>
        </w:tc>
      </w:tr>
      <w:tr w14:paraId="7129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1EC93EE7">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4DD7BE75">
            <w:pPr>
              <w:spacing w:line="360" w:lineRule="exact"/>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用药照护</w:t>
            </w:r>
          </w:p>
        </w:tc>
        <w:tc>
          <w:tcPr>
            <w:tcW w:w="6856" w:type="dxa"/>
            <w:noWrap w:val="0"/>
            <w:vAlign w:val="center"/>
          </w:tcPr>
          <w:p w14:paraId="2871C730">
            <w:pPr>
              <w:spacing w:line="360" w:lineRule="exact"/>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包括用药提醒、用药指导及不良反应观察等</w:t>
            </w:r>
          </w:p>
        </w:tc>
      </w:tr>
      <w:tr w14:paraId="2A3D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2436D3F1">
            <w:pPr>
              <w:jc w:val="center"/>
              <w:rPr>
                <w:rFonts w:hint="eastAsia" w:ascii="宋体" w:hAnsi="宋体" w:eastAsia="宋体" w:cs="宋体"/>
                <w:b/>
                <w:bCs/>
                <w:color w:val="auto"/>
                <w:sz w:val="21"/>
                <w:szCs w:val="21"/>
                <w:highlight w:val="none"/>
                <w:vertAlign w:val="baseline"/>
                <w:lang w:val="en-US" w:eastAsia="zh-CN"/>
              </w:rPr>
            </w:pPr>
          </w:p>
        </w:tc>
        <w:tc>
          <w:tcPr>
            <w:tcW w:w="1579" w:type="dxa"/>
            <w:noWrap w:val="0"/>
            <w:vAlign w:val="center"/>
          </w:tcPr>
          <w:p w14:paraId="640C7CCE">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生活照护</w:t>
            </w:r>
          </w:p>
        </w:tc>
        <w:tc>
          <w:tcPr>
            <w:tcW w:w="6856" w:type="dxa"/>
            <w:noWrap w:val="0"/>
            <w:vAlign w:val="center"/>
          </w:tcPr>
          <w:p w14:paraId="5146B503">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协助穿（脱）衣、饮食照护、睡眠照护等</w:t>
            </w:r>
          </w:p>
        </w:tc>
      </w:tr>
      <w:tr w14:paraId="6BCF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restart"/>
            <w:noWrap w:val="0"/>
            <w:vAlign w:val="center"/>
          </w:tcPr>
          <w:p w14:paraId="0C5D710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探访关爱服务</w:t>
            </w:r>
          </w:p>
        </w:tc>
        <w:tc>
          <w:tcPr>
            <w:tcW w:w="1579" w:type="dxa"/>
            <w:noWrap w:val="0"/>
            <w:vAlign w:val="center"/>
          </w:tcPr>
          <w:p w14:paraId="61631C42">
            <w:pPr>
              <w:spacing w:line="360" w:lineRule="exact"/>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vertAlign w:val="baseline"/>
                <w:lang w:val="en-US" w:eastAsia="zh-CN"/>
              </w:rPr>
              <w:t>远程服务</w:t>
            </w:r>
          </w:p>
        </w:tc>
        <w:tc>
          <w:tcPr>
            <w:tcW w:w="6856" w:type="dxa"/>
            <w:noWrap w:val="0"/>
            <w:vAlign w:val="center"/>
          </w:tcPr>
          <w:p w14:paraId="3A697304">
            <w:pPr>
              <w:spacing w:line="360" w:lineRule="exact"/>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vertAlign w:val="baseline"/>
                <w:lang w:val="en-US" w:eastAsia="zh-CN"/>
              </w:rPr>
              <w:t>接受与协助老年人电话呼叫和紧急求助</w:t>
            </w:r>
          </w:p>
        </w:tc>
      </w:tr>
      <w:tr w14:paraId="5B54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5A5A1FE4">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4ADCD1C1">
            <w:pPr>
              <w:spacing w:line="360" w:lineRule="exact"/>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vertAlign w:val="baseline"/>
                <w:lang w:val="en-US" w:eastAsia="zh-CN"/>
              </w:rPr>
              <w:t>上门探访</w:t>
            </w:r>
          </w:p>
        </w:tc>
        <w:tc>
          <w:tcPr>
            <w:tcW w:w="6856" w:type="dxa"/>
            <w:noWrap w:val="0"/>
            <w:vAlign w:val="center"/>
          </w:tcPr>
          <w:p w14:paraId="7CE9AC98">
            <w:pPr>
              <w:spacing w:line="360" w:lineRule="exact"/>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了解掌握老年人的健康状况、精神状况、安全情况、卫生状况、居室环境、服务需求等</w:t>
            </w:r>
          </w:p>
        </w:tc>
      </w:tr>
      <w:tr w14:paraId="4B77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restart"/>
            <w:noWrap w:val="0"/>
            <w:vAlign w:val="center"/>
          </w:tcPr>
          <w:p w14:paraId="66E2E28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健康管理服务</w:t>
            </w:r>
          </w:p>
        </w:tc>
        <w:tc>
          <w:tcPr>
            <w:tcW w:w="1579" w:type="dxa"/>
            <w:noWrap w:val="0"/>
            <w:vAlign w:val="center"/>
          </w:tcPr>
          <w:p w14:paraId="36A7CE7E">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信息采集</w:t>
            </w:r>
          </w:p>
        </w:tc>
        <w:tc>
          <w:tcPr>
            <w:tcW w:w="6856" w:type="dxa"/>
            <w:noWrap w:val="0"/>
            <w:vAlign w:val="center"/>
          </w:tcPr>
          <w:p w14:paraId="5071530E">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采集老年人的体检信息、既往疾病史等健康信息，建立老年人健康档案</w:t>
            </w:r>
          </w:p>
        </w:tc>
      </w:tr>
      <w:tr w14:paraId="61D5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193BE297">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5F7C8129">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健康咨询</w:t>
            </w:r>
          </w:p>
        </w:tc>
        <w:tc>
          <w:tcPr>
            <w:tcW w:w="6856" w:type="dxa"/>
            <w:noWrap w:val="0"/>
            <w:vAlign w:val="center"/>
          </w:tcPr>
          <w:p w14:paraId="1C7C85B3">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为老年人提供防跌倒、疾病预防、膳食营养、康复保健等指导</w:t>
            </w:r>
          </w:p>
        </w:tc>
      </w:tr>
      <w:tr w14:paraId="62A4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051EBEA5">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5CD7B6FC">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健康干预</w:t>
            </w:r>
          </w:p>
        </w:tc>
        <w:tc>
          <w:tcPr>
            <w:tcW w:w="6856" w:type="dxa"/>
            <w:noWrap w:val="0"/>
            <w:vAlign w:val="center"/>
          </w:tcPr>
          <w:p w14:paraId="28666CFF">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制定服务方案，为老年人的生活起居、慢病调理等提供干预服务</w:t>
            </w:r>
          </w:p>
        </w:tc>
      </w:tr>
      <w:tr w14:paraId="47DA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257A6695">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7CAB98D6">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常规生理指标监测</w:t>
            </w:r>
          </w:p>
        </w:tc>
        <w:tc>
          <w:tcPr>
            <w:tcW w:w="6856" w:type="dxa"/>
            <w:noWrap w:val="0"/>
            <w:vAlign w:val="center"/>
          </w:tcPr>
          <w:p w14:paraId="5043A982">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监测体温、体重、血压、呼吸、心率、血糖等</w:t>
            </w:r>
          </w:p>
        </w:tc>
      </w:tr>
      <w:tr w14:paraId="7079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restart"/>
            <w:noWrap w:val="0"/>
            <w:vAlign w:val="center"/>
          </w:tcPr>
          <w:p w14:paraId="64F9635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委托代办服务</w:t>
            </w:r>
          </w:p>
        </w:tc>
        <w:tc>
          <w:tcPr>
            <w:tcW w:w="1579" w:type="dxa"/>
            <w:noWrap w:val="0"/>
            <w:vAlign w:val="center"/>
          </w:tcPr>
          <w:p w14:paraId="53D23404">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代购日常用品</w:t>
            </w:r>
          </w:p>
        </w:tc>
        <w:tc>
          <w:tcPr>
            <w:tcW w:w="6856" w:type="dxa"/>
            <w:noWrap w:val="0"/>
            <w:vAlign w:val="center"/>
          </w:tcPr>
          <w:p w14:paraId="192A74D0">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代购日常生活用品、果蔬等</w:t>
            </w:r>
          </w:p>
        </w:tc>
      </w:tr>
      <w:tr w14:paraId="4261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52C4838B">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7F2624FD">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代缴日常费用</w:t>
            </w:r>
          </w:p>
        </w:tc>
        <w:tc>
          <w:tcPr>
            <w:tcW w:w="6856" w:type="dxa"/>
            <w:noWrap w:val="0"/>
            <w:vAlign w:val="center"/>
          </w:tcPr>
          <w:p w14:paraId="3163D0E7">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代缴水、电、气、通讯费等日常费用</w:t>
            </w:r>
          </w:p>
        </w:tc>
      </w:tr>
      <w:tr w14:paraId="2F6C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72B7FA6E">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7B88FB5A">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代订代取业务</w:t>
            </w:r>
          </w:p>
        </w:tc>
        <w:tc>
          <w:tcPr>
            <w:tcW w:w="6856" w:type="dxa"/>
            <w:noWrap w:val="0"/>
            <w:vAlign w:val="center"/>
          </w:tcPr>
          <w:p w14:paraId="76BDDBD4">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代订车票、预约车辆，代取送信函、文件和物品等</w:t>
            </w:r>
          </w:p>
        </w:tc>
      </w:tr>
      <w:tr w14:paraId="4308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025B0B28">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32044AB4">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代为申请服务</w:t>
            </w:r>
          </w:p>
        </w:tc>
        <w:tc>
          <w:tcPr>
            <w:tcW w:w="6856" w:type="dxa"/>
            <w:noWrap w:val="0"/>
            <w:vAlign w:val="center"/>
          </w:tcPr>
          <w:p w14:paraId="40B38FD9">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代为申请法律援助、救助服务等</w:t>
            </w:r>
          </w:p>
        </w:tc>
      </w:tr>
      <w:tr w14:paraId="1697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restart"/>
            <w:noWrap w:val="0"/>
            <w:vAlign w:val="center"/>
          </w:tcPr>
          <w:p w14:paraId="4EBE7DD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精神慰藉服务</w:t>
            </w:r>
          </w:p>
        </w:tc>
        <w:tc>
          <w:tcPr>
            <w:tcW w:w="1579" w:type="dxa"/>
            <w:noWrap w:val="0"/>
            <w:vAlign w:val="center"/>
          </w:tcPr>
          <w:p w14:paraId="7B1F186B">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陪伴支持</w:t>
            </w:r>
          </w:p>
        </w:tc>
        <w:tc>
          <w:tcPr>
            <w:tcW w:w="6856" w:type="dxa"/>
            <w:noWrap w:val="0"/>
            <w:vAlign w:val="center"/>
          </w:tcPr>
          <w:p w14:paraId="6EF6B24D">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定期协助有意愿的老年人外出活动或前往服务机构参加集体活动</w:t>
            </w:r>
          </w:p>
        </w:tc>
      </w:tr>
      <w:tr w14:paraId="7C48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70DFA46F">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7D51BDAB">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情绪疏导</w:t>
            </w:r>
          </w:p>
        </w:tc>
        <w:tc>
          <w:tcPr>
            <w:tcW w:w="6856" w:type="dxa"/>
            <w:noWrap w:val="0"/>
            <w:vAlign w:val="center"/>
          </w:tcPr>
          <w:p w14:paraId="3812C2DA">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与老年人进行谈心、交流，耐心倾听老年人的诉说</w:t>
            </w:r>
          </w:p>
        </w:tc>
      </w:tr>
      <w:tr w14:paraId="0DF9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9" w:type="dxa"/>
            <w:vMerge w:val="continue"/>
            <w:noWrap w:val="0"/>
            <w:vAlign w:val="center"/>
          </w:tcPr>
          <w:p w14:paraId="3CE8628F">
            <w:pPr>
              <w:jc w:val="center"/>
              <w:rPr>
                <w:rFonts w:hint="eastAsia" w:ascii="宋体" w:hAnsi="宋体" w:eastAsia="宋体" w:cs="宋体"/>
                <w:color w:val="auto"/>
                <w:sz w:val="21"/>
                <w:szCs w:val="21"/>
                <w:highlight w:val="none"/>
                <w:vertAlign w:val="baseline"/>
                <w:lang w:val="en-US" w:eastAsia="zh-CN"/>
              </w:rPr>
            </w:pPr>
          </w:p>
        </w:tc>
        <w:tc>
          <w:tcPr>
            <w:tcW w:w="1579" w:type="dxa"/>
            <w:noWrap w:val="0"/>
            <w:vAlign w:val="center"/>
          </w:tcPr>
          <w:p w14:paraId="7C663CD6">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心理慰藉</w:t>
            </w:r>
          </w:p>
        </w:tc>
        <w:tc>
          <w:tcPr>
            <w:tcW w:w="6856" w:type="dxa"/>
            <w:noWrap w:val="0"/>
            <w:vAlign w:val="center"/>
          </w:tcPr>
          <w:p w14:paraId="3358AF1C">
            <w:pPr>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通过心理健康教育、心理干预手段调整老年人心理状态</w:t>
            </w:r>
          </w:p>
        </w:tc>
      </w:tr>
    </w:tbl>
    <w:p w14:paraId="0F3FAB18">
      <w:pPr>
        <w:pStyle w:val="3"/>
        <w:adjustRightInd w:val="0"/>
        <w:snapToGrid w:val="0"/>
        <w:spacing w:line="240" w:lineRule="auto"/>
        <w:ind w:left="0" w:firstLine="0" w:firstLineChars="0"/>
        <w:rPr>
          <w:rFonts w:hint="eastAsia" w:cs="宋体"/>
          <w:b w:val="0"/>
          <w:color w:val="auto"/>
          <w:sz w:val="22"/>
          <w:szCs w:val="22"/>
          <w:lang w:val="en-US" w:eastAsia="zh-CN"/>
        </w:rPr>
      </w:pPr>
    </w:p>
    <w:tbl>
      <w:tblPr>
        <w:tblStyle w:val="27"/>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3"/>
        <w:gridCol w:w="570"/>
        <w:gridCol w:w="1511"/>
        <w:gridCol w:w="656"/>
        <w:gridCol w:w="4007"/>
        <w:gridCol w:w="900"/>
        <w:gridCol w:w="1056"/>
      </w:tblGrid>
      <w:tr w14:paraId="4C84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9303" w:type="dxa"/>
            <w:gridSpan w:val="7"/>
            <w:shd w:val="clear" w:color="auto" w:fill="B6DDE8" w:themeFill="accent5" w:themeFillTint="66"/>
            <w:vAlign w:val="center"/>
          </w:tcPr>
          <w:p w14:paraId="193EDE11">
            <w:pPr>
              <w:pStyle w:val="3"/>
              <w:adjustRightInd w:val="0"/>
              <w:snapToGrid w:val="0"/>
              <w:spacing w:line="240" w:lineRule="auto"/>
              <w:jc w:val="center"/>
              <w:rPr>
                <w:rFonts w:hint="eastAsia" w:cs="宋体"/>
                <w:b/>
                <w:bCs/>
                <w:color w:val="auto"/>
                <w:sz w:val="20"/>
                <w:szCs w:val="20"/>
                <w:vertAlign w:val="baseline"/>
                <w:lang w:val="en-US" w:eastAsia="zh-CN"/>
              </w:rPr>
            </w:pPr>
            <w:r>
              <w:rPr>
                <w:rFonts w:hint="eastAsia" w:ascii="宋体" w:hAnsi="宋体" w:eastAsia="宋体" w:cs="宋体"/>
                <w:b/>
                <w:bCs/>
                <w:color w:val="auto"/>
                <w:sz w:val="22"/>
                <w:szCs w:val="22"/>
                <w:highlight w:val="none"/>
                <w:shd w:val="clear" w:fill="B6DDE8" w:themeFill="accent5" w:themeFillTint="66"/>
                <w:vertAlign w:val="baseline"/>
                <w:lang w:val="en-US" w:eastAsia="zh-CN" w:bidi="zh-CN"/>
              </w:rPr>
              <w:t>居家养老上门服务清单、服务标准及最高限价</w:t>
            </w:r>
          </w:p>
        </w:tc>
      </w:tr>
      <w:tr w14:paraId="33F1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shd w:val="clear" w:color="auto" w:fill="FFFFFF" w:themeFill="background1"/>
            <w:vAlign w:val="center"/>
          </w:tcPr>
          <w:p w14:paraId="019FB4EF">
            <w:pPr>
              <w:pStyle w:val="3"/>
              <w:adjustRightInd w:val="0"/>
              <w:snapToGrid w:val="0"/>
              <w:spacing w:line="240" w:lineRule="auto"/>
              <w:jc w:val="center"/>
              <w:rPr>
                <w:rFonts w:hint="eastAsia" w:ascii="宋体" w:hAnsi="宋体" w:eastAsia="宋体" w:cs="宋体"/>
                <w:b/>
                <w:bCs/>
                <w:color w:val="auto"/>
                <w:sz w:val="20"/>
                <w:szCs w:val="20"/>
                <w:vertAlign w:val="baseline"/>
                <w:lang w:val="en-US" w:eastAsia="zh-CN"/>
              </w:rPr>
            </w:pPr>
            <w:r>
              <w:rPr>
                <w:rFonts w:hint="eastAsia" w:cs="宋体"/>
                <w:b/>
                <w:bCs/>
                <w:color w:val="auto"/>
                <w:sz w:val="20"/>
                <w:szCs w:val="20"/>
                <w:vertAlign w:val="baseline"/>
                <w:lang w:val="en-US" w:eastAsia="zh-CN"/>
              </w:rPr>
              <w:t>类别</w:t>
            </w:r>
          </w:p>
        </w:tc>
        <w:tc>
          <w:tcPr>
            <w:tcW w:w="570" w:type="dxa"/>
            <w:shd w:val="clear" w:color="auto" w:fill="FFFFFF" w:themeFill="background1"/>
            <w:vAlign w:val="center"/>
          </w:tcPr>
          <w:p w14:paraId="5AD87B2B">
            <w:pPr>
              <w:pStyle w:val="3"/>
              <w:adjustRightInd w:val="0"/>
              <w:snapToGrid w:val="0"/>
              <w:spacing w:line="240" w:lineRule="auto"/>
              <w:jc w:val="center"/>
              <w:rPr>
                <w:rFonts w:hint="default" w:ascii="宋体" w:hAnsi="宋体" w:eastAsia="宋体" w:cs="宋体"/>
                <w:b/>
                <w:bCs/>
                <w:color w:val="auto"/>
                <w:sz w:val="20"/>
                <w:szCs w:val="20"/>
                <w:vertAlign w:val="baseline"/>
                <w:lang w:val="en-US" w:eastAsia="zh-CN"/>
              </w:rPr>
            </w:pPr>
            <w:r>
              <w:rPr>
                <w:rFonts w:hint="eastAsia" w:cs="宋体"/>
                <w:b/>
                <w:bCs/>
                <w:color w:val="auto"/>
                <w:sz w:val="20"/>
                <w:szCs w:val="20"/>
                <w:vertAlign w:val="baseline"/>
                <w:lang w:val="en-US" w:eastAsia="zh-CN"/>
              </w:rPr>
              <w:t>项目名称</w:t>
            </w:r>
          </w:p>
        </w:tc>
        <w:tc>
          <w:tcPr>
            <w:tcW w:w="1511" w:type="dxa"/>
            <w:shd w:val="clear" w:color="auto" w:fill="FFFFFF" w:themeFill="background1"/>
            <w:vAlign w:val="center"/>
          </w:tcPr>
          <w:p w14:paraId="71FEEE1A">
            <w:pPr>
              <w:pStyle w:val="3"/>
              <w:adjustRightInd w:val="0"/>
              <w:snapToGrid w:val="0"/>
              <w:spacing w:line="240" w:lineRule="auto"/>
              <w:jc w:val="center"/>
              <w:rPr>
                <w:rFonts w:hint="default" w:ascii="宋体" w:hAnsi="宋体" w:eastAsia="宋体" w:cs="宋体"/>
                <w:b/>
                <w:bCs/>
                <w:color w:val="auto"/>
                <w:sz w:val="20"/>
                <w:szCs w:val="20"/>
                <w:vertAlign w:val="baseline"/>
                <w:lang w:val="en-US" w:eastAsia="zh-CN"/>
              </w:rPr>
            </w:pPr>
            <w:r>
              <w:rPr>
                <w:rFonts w:hint="eastAsia" w:cs="宋体"/>
                <w:b/>
                <w:bCs/>
                <w:color w:val="auto"/>
                <w:sz w:val="20"/>
                <w:szCs w:val="20"/>
                <w:vertAlign w:val="baseline"/>
                <w:lang w:val="en-US" w:eastAsia="zh-CN"/>
              </w:rPr>
              <w:t>服务内容</w:t>
            </w:r>
          </w:p>
        </w:tc>
        <w:tc>
          <w:tcPr>
            <w:tcW w:w="656" w:type="dxa"/>
            <w:shd w:val="clear" w:color="auto" w:fill="FFFFFF" w:themeFill="background1"/>
            <w:vAlign w:val="center"/>
          </w:tcPr>
          <w:p w14:paraId="376829A8">
            <w:pPr>
              <w:pStyle w:val="3"/>
              <w:adjustRightInd w:val="0"/>
              <w:snapToGrid w:val="0"/>
              <w:spacing w:line="240" w:lineRule="auto"/>
              <w:jc w:val="center"/>
              <w:rPr>
                <w:rFonts w:hint="default" w:ascii="宋体" w:hAnsi="宋体" w:eastAsia="宋体" w:cs="宋体"/>
                <w:b/>
                <w:bCs/>
                <w:color w:val="auto"/>
                <w:sz w:val="20"/>
                <w:szCs w:val="20"/>
                <w:vertAlign w:val="baseline"/>
                <w:lang w:val="en-US" w:eastAsia="zh-CN"/>
              </w:rPr>
            </w:pPr>
            <w:r>
              <w:rPr>
                <w:rFonts w:hint="eastAsia" w:cs="宋体"/>
                <w:b/>
                <w:bCs/>
                <w:color w:val="auto"/>
                <w:sz w:val="20"/>
                <w:szCs w:val="20"/>
                <w:vertAlign w:val="baseline"/>
                <w:lang w:val="en-US" w:eastAsia="zh-CN"/>
              </w:rPr>
              <w:t>项目名称</w:t>
            </w:r>
          </w:p>
        </w:tc>
        <w:tc>
          <w:tcPr>
            <w:tcW w:w="4007" w:type="dxa"/>
            <w:shd w:val="clear" w:color="auto" w:fill="FFFFFF" w:themeFill="background1"/>
            <w:vAlign w:val="center"/>
          </w:tcPr>
          <w:p w14:paraId="75181092">
            <w:pPr>
              <w:pStyle w:val="3"/>
              <w:adjustRightInd w:val="0"/>
              <w:snapToGrid w:val="0"/>
              <w:spacing w:line="240" w:lineRule="auto"/>
              <w:jc w:val="center"/>
              <w:rPr>
                <w:rFonts w:hint="default" w:ascii="宋体" w:hAnsi="宋体" w:eastAsia="宋体" w:cs="宋体"/>
                <w:b/>
                <w:bCs/>
                <w:color w:val="auto"/>
                <w:sz w:val="20"/>
                <w:szCs w:val="20"/>
                <w:vertAlign w:val="baseline"/>
                <w:lang w:val="en-US" w:eastAsia="zh-CN"/>
              </w:rPr>
            </w:pPr>
            <w:r>
              <w:rPr>
                <w:rFonts w:hint="eastAsia" w:cs="宋体"/>
                <w:b/>
                <w:bCs/>
                <w:color w:val="auto"/>
                <w:sz w:val="20"/>
                <w:szCs w:val="20"/>
                <w:vertAlign w:val="baseline"/>
                <w:lang w:val="en-US" w:eastAsia="zh-CN"/>
              </w:rPr>
              <w:t>服务标准</w:t>
            </w:r>
          </w:p>
        </w:tc>
        <w:tc>
          <w:tcPr>
            <w:tcW w:w="900" w:type="dxa"/>
            <w:shd w:val="clear" w:color="auto" w:fill="FFFFFF" w:themeFill="background1"/>
            <w:vAlign w:val="center"/>
          </w:tcPr>
          <w:p w14:paraId="377A643D">
            <w:pPr>
              <w:pStyle w:val="3"/>
              <w:adjustRightInd w:val="0"/>
              <w:snapToGrid w:val="0"/>
              <w:spacing w:line="240" w:lineRule="auto"/>
              <w:jc w:val="center"/>
              <w:rPr>
                <w:rFonts w:hint="default" w:ascii="宋体" w:hAnsi="宋体" w:eastAsia="宋体" w:cs="宋体"/>
                <w:b/>
                <w:bCs/>
                <w:color w:val="auto"/>
                <w:sz w:val="20"/>
                <w:szCs w:val="20"/>
                <w:vertAlign w:val="baseline"/>
                <w:lang w:val="en-US" w:eastAsia="zh-CN"/>
              </w:rPr>
            </w:pPr>
            <w:r>
              <w:rPr>
                <w:rFonts w:hint="eastAsia" w:cs="宋体"/>
                <w:b/>
                <w:bCs/>
                <w:color w:val="auto"/>
                <w:sz w:val="20"/>
                <w:szCs w:val="20"/>
                <w:vertAlign w:val="baseline"/>
                <w:lang w:val="en-US" w:eastAsia="zh-CN"/>
              </w:rPr>
              <w:t>服务时长</w:t>
            </w:r>
          </w:p>
        </w:tc>
        <w:tc>
          <w:tcPr>
            <w:tcW w:w="1056" w:type="dxa"/>
            <w:shd w:val="clear" w:color="auto" w:fill="FFFFFF" w:themeFill="background1"/>
            <w:vAlign w:val="center"/>
          </w:tcPr>
          <w:p w14:paraId="5DCA5D2D">
            <w:pPr>
              <w:pStyle w:val="3"/>
              <w:adjustRightInd w:val="0"/>
              <w:snapToGrid w:val="0"/>
              <w:spacing w:line="240" w:lineRule="auto"/>
              <w:jc w:val="center"/>
              <w:rPr>
                <w:rFonts w:hint="default" w:ascii="宋体" w:hAnsi="宋体" w:eastAsia="宋体" w:cs="宋体"/>
                <w:b/>
                <w:bCs/>
                <w:color w:val="auto"/>
                <w:sz w:val="20"/>
                <w:szCs w:val="20"/>
                <w:vertAlign w:val="baseline"/>
                <w:lang w:val="en-US" w:eastAsia="zh-CN"/>
              </w:rPr>
            </w:pPr>
            <w:r>
              <w:rPr>
                <w:rFonts w:hint="eastAsia" w:cs="宋体"/>
                <w:b/>
                <w:bCs/>
                <w:color w:val="auto"/>
                <w:sz w:val="20"/>
                <w:szCs w:val="20"/>
                <w:vertAlign w:val="baseline"/>
                <w:lang w:val="en-US" w:eastAsia="zh-CN"/>
              </w:rPr>
              <w:t>最高限价</w:t>
            </w:r>
          </w:p>
        </w:tc>
      </w:tr>
      <w:tr w14:paraId="4223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restart"/>
            <w:vAlign w:val="center"/>
          </w:tcPr>
          <w:p w14:paraId="5BF1FB17">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生活照料服务</w:t>
            </w:r>
          </w:p>
        </w:tc>
        <w:tc>
          <w:tcPr>
            <w:tcW w:w="570" w:type="dxa"/>
            <w:vMerge w:val="restart"/>
            <w:vAlign w:val="center"/>
          </w:tcPr>
          <w:p w14:paraId="1F287E95">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助餐</w:t>
            </w:r>
          </w:p>
        </w:tc>
        <w:tc>
          <w:tcPr>
            <w:tcW w:w="1511" w:type="dxa"/>
            <w:vMerge w:val="restart"/>
            <w:vAlign w:val="center"/>
          </w:tcPr>
          <w:p w14:paraId="3314665C">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上门烹饪、协助老年人前往老年助餐点就餐、送餐上门等</w:t>
            </w:r>
          </w:p>
        </w:tc>
        <w:tc>
          <w:tcPr>
            <w:tcW w:w="656" w:type="dxa"/>
            <w:vAlign w:val="center"/>
          </w:tcPr>
          <w:p w14:paraId="0CBC4D0C">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协助</w:t>
            </w:r>
          </w:p>
          <w:p w14:paraId="77CD43FE">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进食</w:t>
            </w:r>
          </w:p>
        </w:tc>
        <w:tc>
          <w:tcPr>
            <w:tcW w:w="4007" w:type="dxa"/>
            <w:vAlign w:val="center"/>
          </w:tcPr>
          <w:p w14:paraId="49B59F96">
            <w:pPr>
              <w:numPr>
                <w:ilvl w:val="0"/>
                <w:numId w:val="0"/>
              </w:numPr>
              <w:spacing w:line="240" w:lineRule="auto"/>
              <w:ind w:left="0" w:leftChars="0" w:firstLine="0" w:firstLineChars="0"/>
              <w:jc w:val="both"/>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1.主要指为失能、半失能服务对象配餐及喂饭；2.饭、菜应注意营养，合理配餐，适合老人口味。</w:t>
            </w:r>
          </w:p>
        </w:tc>
        <w:tc>
          <w:tcPr>
            <w:tcW w:w="900" w:type="dxa"/>
            <w:vAlign w:val="center"/>
          </w:tcPr>
          <w:p w14:paraId="71D467AE">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≧15分钟</w:t>
            </w:r>
          </w:p>
        </w:tc>
        <w:tc>
          <w:tcPr>
            <w:tcW w:w="1056" w:type="dxa"/>
            <w:shd w:val="clear" w:color="auto" w:fill="auto"/>
            <w:vAlign w:val="center"/>
          </w:tcPr>
          <w:p w14:paraId="4CEA1D3C">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26元/次</w:t>
            </w:r>
          </w:p>
        </w:tc>
      </w:tr>
      <w:tr w14:paraId="2291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0EED7BDC">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39C95AAF">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7AEEF242">
            <w:pPr>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0682F6C7">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上门</w:t>
            </w:r>
          </w:p>
          <w:p w14:paraId="49DEE20B">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送餐</w:t>
            </w:r>
          </w:p>
        </w:tc>
        <w:tc>
          <w:tcPr>
            <w:tcW w:w="4007" w:type="dxa"/>
            <w:vAlign w:val="center"/>
          </w:tcPr>
          <w:p w14:paraId="4487C447">
            <w:pPr>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1.根据老人要求及时家老人预定的饭菜送到老人家中；2.此项不包含餐费，餐费由老人自理。</w:t>
            </w:r>
          </w:p>
        </w:tc>
        <w:tc>
          <w:tcPr>
            <w:tcW w:w="900" w:type="dxa"/>
            <w:vAlign w:val="center"/>
          </w:tcPr>
          <w:p w14:paraId="632BE846">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≧15分钟</w:t>
            </w:r>
          </w:p>
        </w:tc>
        <w:tc>
          <w:tcPr>
            <w:tcW w:w="1056" w:type="dxa"/>
            <w:shd w:val="clear" w:color="auto" w:fill="auto"/>
            <w:vAlign w:val="center"/>
          </w:tcPr>
          <w:p w14:paraId="78DDBB2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12元/次</w:t>
            </w:r>
          </w:p>
        </w:tc>
      </w:tr>
      <w:tr w14:paraId="3A3C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6F2FDD0D">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7FF81F02">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08AC7D17">
            <w:pPr>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7E886052">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上门</w:t>
            </w:r>
          </w:p>
          <w:p w14:paraId="5A5F40E0">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做餐</w:t>
            </w:r>
          </w:p>
        </w:tc>
        <w:tc>
          <w:tcPr>
            <w:tcW w:w="4007" w:type="dxa"/>
            <w:vAlign w:val="center"/>
          </w:tcPr>
          <w:p w14:paraId="3D5416BD">
            <w:pPr>
              <w:numPr>
                <w:ilvl w:val="0"/>
                <w:numId w:val="0"/>
              </w:numPr>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1.根据老年人的需求（一般为一菜一汤），为他们提供上门做饭，（包括买、烧、洗，食材费用由老人支付）；2.应遵循老人口味合理制作，洗、煮饭菜应干净、卫生；3.只含老人餐。</w:t>
            </w:r>
          </w:p>
        </w:tc>
        <w:tc>
          <w:tcPr>
            <w:tcW w:w="900" w:type="dxa"/>
            <w:vAlign w:val="center"/>
          </w:tcPr>
          <w:p w14:paraId="57B8848D">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≧15分钟</w:t>
            </w:r>
          </w:p>
        </w:tc>
        <w:tc>
          <w:tcPr>
            <w:tcW w:w="1056" w:type="dxa"/>
            <w:shd w:val="clear" w:color="auto" w:fill="auto"/>
            <w:vAlign w:val="center"/>
          </w:tcPr>
          <w:p w14:paraId="492705BB">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36元/次</w:t>
            </w:r>
          </w:p>
        </w:tc>
      </w:tr>
      <w:tr w14:paraId="66F0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1E169B38">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restart"/>
            <w:vAlign w:val="center"/>
          </w:tcPr>
          <w:p w14:paraId="7A432C9C">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助浴</w:t>
            </w:r>
          </w:p>
        </w:tc>
        <w:tc>
          <w:tcPr>
            <w:tcW w:w="1511" w:type="dxa"/>
            <w:vMerge w:val="restart"/>
            <w:vAlign w:val="center"/>
          </w:tcPr>
          <w:p w14:paraId="08481BE2">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上门助浴或协助前往老年人助浴点进行身体清洁等</w:t>
            </w:r>
          </w:p>
        </w:tc>
        <w:tc>
          <w:tcPr>
            <w:tcW w:w="656" w:type="dxa"/>
            <w:vAlign w:val="center"/>
          </w:tcPr>
          <w:p w14:paraId="7A2D62B8">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上门</w:t>
            </w:r>
          </w:p>
          <w:p w14:paraId="6B44526D">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助浴</w:t>
            </w:r>
          </w:p>
        </w:tc>
        <w:tc>
          <w:tcPr>
            <w:tcW w:w="4007" w:type="dxa"/>
            <w:vAlign w:val="center"/>
          </w:tcPr>
          <w:p w14:paraId="08EB828B">
            <w:pPr>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助浴过程中应有家属或两名以上服务人员在场，保障老人安全；2.根据气候状况和老人居住条件，注意防寒保暖、防暑降温和浴室内通风，环境温度应调节到25℃至30℃之间；3.助浴过程中应注意观察老人身体情况，如遇老人身体不适，应立即采取应急措施，并通知老人监护人。</w:t>
            </w:r>
          </w:p>
        </w:tc>
        <w:tc>
          <w:tcPr>
            <w:tcW w:w="900" w:type="dxa"/>
            <w:vAlign w:val="center"/>
          </w:tcPr>
          <w:p w14:paraId="3FB89D24">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≧30分钟</w:t>
            </w:r>
          </w:p>
        </w:tc>
        <w:tc>
          <w:tcPr>
            <w:tcW w:w="1056" w:type="dxa"/>
            <w:shd w:val="clear" w:color="auto" w:fill="auto"/>
            <w:vAlign w:val="center"/>
          </w:tcPr>
          <w:p w14:paraId="57CEFFCB">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102元/次</w:t>
            </w:r>
          </w:p>
        </w:tc>
      </w:tr>
      <w:tr w14:paraId="651F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7826A69A">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003F9A75">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2E6BA218">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7381B322">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上门</w:t>
            </w:r>
          </w:p>
          <w:p w14:paraId="68973B5D">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擦浴</w:t>
            </w:r>
          </w:p>
        </w:tc>
        <w:tc>
          <w:tcPr>
            <w:tcW w:w="4007" w:type="dxa"/>
            <w:vAlign w:val="center"/>
          </w:tcPr>
          <w:p w14:paraId="33510871">
            <w:pPr>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擦浴过程中应有家属或两名以上服务人员在场，保障老人安全；2.根据气候状况和老人居住条件，注意防寒保暖、防暑降温和浴室内通风，环境温度应调节到25℃至30℃之间；3.擦浴过程中应注意观察老人身体情况，如遇老人身体不适，应立即采取应急措施，并通知老人监护人。</w:t>
            </w:r>
          </w:p>
        </w:tc>
        <w:tc>
          <w:tcPr>
            <w:tcW w:w="900" w:type="dxa"/>
            <w:vAlign w:val="center"/>
          </w:tcPr>
          <w:p w14:paraId="23A91BBE">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≧15分钟</w:t>
            </w:r>
          </w:p>
        </w:tc>
        <w:tc>
          <w:tcPr>
            <w:tcW w:w="1056" w:type="dxa"/>
            <w:shd w:val="clear" w:color="auto" w:fill="auto"/>
            <w:vAlign w:val="center"/>
          </w:tcPr>
          <w:p w14:paraId="628DC06D">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53元/次</w:t>
            </w:r>
          </w:p>
        </w:tc>
      </w:tr>
      <w:tr w14:paraId="3F0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574A0FD2">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760BD370">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3CAD8FF4">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6EB000E1">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集中</w:t>
            </w:r>
          </w:p>
          <w:p w14:paraId="0A1AD566">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助浴</w:t>
            </w:r>
          </w:p>
        </w:tc>
        <w:tc>
          <w:tcPr>
            <w:tcW w:w="4007" w:type="dxa"/>
            <w:vAlign w:val="center"/>
          </w:tcPr>
          <w:p w14:paraId="0CA114E3">
            <w:pPr>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1.集中助浴点应选择有公用助浴设施的照料中心或养老服务机构；2.助浴前对老人进行安全提示；3.助浴过程中应有家属在场；4.助浴过程中应注意观察老人身体情况，如遇老人身体不适，协助采取应急措施。</w:t>
            </w:r>
          </w:p>
        </w:tc>
        <w:tc>
          <w:tcPr>
            <w:tcW w:w="900" w:type="dxa"/>
            <w:vAlign w:val="center"/>
          </w:tcPr>
          <w:p w14:paraId="7F1430BD">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≧15分钟</w:t>
            </w:r>
          </w:p>
        </w:tc>
        <w:tc>
          <w:tcPr>
            <w:tcW w:w="1056" w:type="dxa"/>
            <w:shd w:val="clear" w:color="auto" w:fill="auto"/>
            <w:vAlign w:val="center"/>
          </w:tcPr>
          <w:p w14:paraId="5A72BC9F">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53元/次</w:t>
            </w:r>
          </w:p>
        </w:tc>
      </w:tr>
      <w:tr w14:paraId="3D26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19D4F662">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4F9D9B71">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0152EA60">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16745F88">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陪同接送集中助浴</w:t>
            </w:r>
          </w:p>
        </w:tc>
        <w:tc>
          <w:tcPr>
            <w:tcW w:w="4007" w:type="dxa"/>
            <w:vAlign w:val="center"/>
          </w:tcPr>
          <w:p w14:paraId="6FD93D1F">
            <w:pPr>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专人陪同接送服务对象前往定点机构接受服务（交通费由服务对象负责）,车辆通行15分钟内路程</w:t>
            </w:r>
          </w:p>
        </w:tc>
        <w:tc>
          <w:tcPr>
            <w:tcW w:w="900" w:type="dxa"/>
            <w:vAlign w:val="center"/>
          </w:tcPr>
          <w:p w14:paraId="36744865">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w:t>
            </w:r>
          </w:p>
        </w:tc>
        <w:tc>
          <w:tcPr>
            <w:tcW w:w="1056" w:type="dxa"/>
            <w:shd w:val="clear" w:color="auto" w:fill="auto"/>
            <w:vAlign w:val="center"/>
          </w:tcPr>
          <w:p w14:paraId="661A990C">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27</w:t>
            </w:r>
            <w:r>
              <w:rPr>
                <w:rFonts w:hint="eastAsia" w:ascii="宋体" w:hAnsi="宋体" w:eastAsia="宋体" w:cs="宋体"/>
                <w:i w:val="0"/>
                <w:iCs w:val="0"/>
                <w:color w:val="000000"/>
                <w:kern w:val="0"/>
                <w:sz w:val="20"/>
                <w:szCs w:val="20"/>
                <w:u w:val="none"/>
                <w:lang w:val="en-US" w:eastAsia="zh-CN" w:bidi="ar"/>
              </w:rPr>
              <w:t>元/次</w:t>
            </w:r>
          </w:p>
        </w:tc>
      </w:tr>
      <w:tr w14:paraId="6E8D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1E21EF6A">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restart"/>
            <w:vAlign w:val="center"/>
          </w:tcPr>
          <w:p w14:paraId="41184205">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助洁</w:t>
            </w:r>
          </w:p>
        </w:tc>
        <w:tc>
          <w:tcPr>
            <w:tcW w:w="1511" w:type="dxa"/>
            <w:vMerge w:val="restart"/>
            <w:vAlign w:val="center"/>
          </w:tcPr>
          <w:p w14:paraId="426D4CBB">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洗漱、剪发剃须、洗脚、剪指（趾）甲等身体助洁服务，居家清洁、衣物洗涤、物品整理等普通助洁服务</w:t>
            </w:r>
          </w:p>
        </w:tc>
        <w:tc>
          <w:tcPr>
            <w:tcW w:w="656" w:type="dxa"/>
            <w:vAlign w:val="center"/>
          </w:tcPr>
          <w:p w14:paraId="69DAC80B">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面部</w:t>
            </w:r>
          </w:p>
          <w:p w14:paraId="6C4269A1">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清洁</w:t>
            </w:r>
          </w:p>
        </w:tc>
        <w:tc>
          <w:tcPr>
            <w:tcW w:w="4007" w:type="dxa"/>
            <w:vAlign w:val="center"/>
          </w:tcPr>
          <w:p w14:paraId="0AC315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为服务对象清洁其面部保持颜面部干净，口角、耳后、颈部无污垢，鼻、眼部无分泌物。</w:t>
            </w:r>
          </w:p>
        </w:tc>
        <w:tc>
          <w:tcPr>
            <w:tcW w:w="900" w:type="dxa"/>
            <w:vAlign w:val="center"/>
          </w:tcPr>
          <w:p w14:paraId="26067A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≧8分钟</w:t>
            </w:r>
          </w:p>
        </w:tc>
        <w:tc>
          <w:tcPr>
            <w:tcW w:w="1056" w:type="dxa"/>
            <w:shd w:val="clear" w:color="auto" w:fill="auto"/>
            <w:vAlign w:val="center"/>
          </w:tcPr>
          <w:p w14:paraId="5BCB4F3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元/次</w:t>
            </w:r>
          </w:p>
        </w:tc>
      </w:tr>
      <w:tr w14:paraId="14E7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411491AE">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396288C0">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276BEF97">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646CDCCB">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口腔</w:t>
            </w:r>
          </w:p>
          <w:p w14:paraId="67BF0BC4">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清洁</w:t>
            </w:r>
          </w:p>
        </w:tc>
        <w:tc>
          <w:tcPr>
            <w:tcW w:w="4007" w:type="dxa"/>
            <w:vAlign w:val="center"/>
          </w:tcPr>
          <w:p w14:paraId="3EF1F2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根据服务对象的生活自理能力，鼓励并协助有自理能力或上肢功能良好的部分自理服务对象采用漱口、自行刷牙的方式清洁口腔；对于不能自理的服务对象采用棉棒擦拭口腔进行清洁</w:t>
            </w:r>
          </w:p>
        </w:tc>
        <w:tc>
          <w:tcPr>
            <w:tcW w:w="900" w:type="dxa"/>
            <w:vAlign w:val="center"/>
          </w:tcPr>
          <w:p w14:paraId="28B72E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≧6分钟</w:t>
            </w:r>
          </w:p>
        </w:tc>
        <w:tc>
          <w:tcPr>
            <w:tcW w:w="1056" w:type="dxa"/>
            <w:shd w:val="clear" w:color="auto" w:fill="auto"/>
            <w:vAlign w:val="center"/>
          </w:tcPr>
          <w:p w14:paraId="6D3C9F79">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22</w:t>
            </w:r>
            <w:r>
              <w:rPr>
                <w:rFonts w:hint="eastAsia" w:ascii="宋体" w:hAnsi="宋体" w:eastAsia="宋体" w:cs="宋体"/>
                <w:i w:val="0"/>
                <w:iCs w:val="0"/>
                <w:color w:val="000000"/>
                <w:kern w:val="0"/>
                <w:sz w:val="20"/>
                <w:szCs w:val="20"/>
                <w:u w:val="none"/>
                <w:lang w:val="en-US" w:eastAsia="zh-CN" w:bidi="ar"/>
              </w:rPr>
              <w:t>元/次</w:t>
            </w:r>
          </w:p>
        </w:tc>
      </w:tr>
      <w:tr w14:paraId="2A28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3E98DEB7">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28BF9E23">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6806CD45">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31B98939">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手部</w:t>
            </w:r>
          </w:p>
          <w:p w14:paraId="5D0F6577">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清洁</w:t>
            </w:r>
          </w:p>
        </w:tc>
        <w:tc>
          <w:tcPr>
            <w:tcW w:w="4007" w:type="dxa"/>
            <w:vAlign w:val="center"/>
          </w:tcPr>
          <w:p w14:paraId="0F38C2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根据服务对象病情、手部皮肤情况，选择适宜的方法给予清洗手部</w:t>
            </w:r>
          </w:p>
        </w:tc>
        <w:tc>
          <w:tcPr>
            <w:tcW w:w="900" w:type="dxa"/>
            <w:vAlign w:val="center"/>
          </w:tcPr>
          <w:p w14:paraId="1F4606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≧4分钟</w:t>
            </w:r>
          </w:p>
        </w:tc>
        <w:tc>
          <w:tcPr>
            <w:tcW w:w="1056" w:type="dxa"/>
            <w:shd w:val="clear" w:color="auto" w:fill="auto"/>
            <w:vAlign w:val="center"/>
          </w:tcPr>
          <w:p w14:paraId="6F3D4007">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元/次</w:t>
            </w:r>
          </w:p>
        </w:tc>
      </w:tr>
      <w:tr w14:paraId="3B61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1FF9D755">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5DAA6688">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62A95FF6">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6DECBE9F">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耳部</w:t>
            </w:r>
          </w:p>
          <w:p w14:paraId="2E5284C9">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护理</w:t>
            </w:r>
          </w:p>
        </w:tc>
        <w:tc>
          <w:tcPr>
            <w:tcW w:w="4007" w:type="dxa"/>
            <w:vAlign w:val="center"/>
          </w:tcPr>
          <w:p w14:paraId="59E373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据服务对象病情、耳部皮肤、外耳道情况，选择合适的工具为服务对象进行护理</w:t>
            </w:r>
          </w:p>
        </w:tc>
        <w:tc>
          <w:tcPr>
            <w:tcW w:w="900" w:type="dxa"/>
            <w:vAlign w:val="center"/>
          </w:tcPr>
          <w:p w14:paraId="0BB315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≧4分钟</w:t>
            </w:r>
          </w:p>
        </w:tc>
        <w:tc>
          <w:tcPr>
            <w:tcW w:w="1056" w:type="dxa"/>
            <w:shd w:val="clear" w:color="auto" w:fill="auto"/>
            <w:vAlign w:val="center"/>
          </w:tcPr>
          <w:p w14:paraId="45E6E8F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元/次</w:t>
            </w:r>
          </w:p>
        </w:tc>
      </w:tr>
      <w:tr w14:paraId="15D7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1B6851AB">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66B8423A">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4A8D08FA">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2EFF87C6">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理发</w:t>
            </w:r>
          </w:p>
          <w:p w14:paraId="00AFC427">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服务</w:t>
            </w:r>
          </w:p>
        </w:tc>
        <w:tc>
          <w:tcPr>
            <w:tcW w:w="4007" w:type="dxa"/>
            <w:vAlign w:val="center"/>
          </w:tcPr>
          <w:p w14:paraId="190AC6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1.选择合适的工具为服务对象修剪头发；2.理发人员应受过培训上岗。</w:t>
            </w:r>
          </w:p>
        </w:tc>
        <w:tc>
          <w:tcPr>
            <w:tcW w:w="900" w:type="dxa"/>
            <w:vAlign w:val="center"/>
          </w:tcPr>
          <w:p w14:paraId="079185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≧10分钟</w:t>
            </w:r>
          </w:p>
        </w:tc>
        <w:tc>
          <w:tcPr>
            <w:tcW w:w="1056" w:type="dxa"/>
            <w:shd w:val="clear" w:color="auto" w:fill="auto"/>
            <w:vAlign w:val="center"/>
          </w:tcPr>
          <w:p w14:paraId="3E1B4B87">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元/次</w:t>
            </w:r>
          </w:p>
        </w:tc>
      </w:tr>
      <w:tr w14:paraId="1451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347F465F">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57C288FF">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3FA2A6B5">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780BB93A">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剃须</w:t>
            </w:r>
          </w:p>
          <w:p w14:paraId="77B820B6">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服务</w:t>
            </w:r>
          </w:p>
        </w:tc>
        <w:tc>
          <w:tcPr>
            <w:tcW w:w="4007" w:type="dxa"/>
            <w:vAlign w:val="center"/>
          </w:tcPr>
          <w:p w14:paraId="783F4D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选择合适的工具为男性服务对象剔除胡须</w:t>
            </w:r>
          </w:p>
        </w:tc>
        <w:tc>
          <w:tcPr>
            <w:tcW w:w="900" w:type="dxa"/>
            <w:vAlign w:val="center"/>
          </w:tcPr>
          <w:p w14:paraId="5546AC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≧4分钟</w:t>
            </w:r>
          </w:p>
        </w:tc>
        <w:tc>
          <w:tcPr>
            <w:tcW w:w="1056" w:type="dxa"/>
            <w:shd w:val="clear" w:color="auto" w:fill="auto"/>
            <w:vAlign w:val="center"/>
          </w:tcPr>
          <w:p w14:paraId="7AF67581">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元/次</w:t>
            </w:r>
          </w:p>
        </w:tc>
      </w:tr>
      <w:tr w14:paraId="70C9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146DA010">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66A76A03">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1F0041DB">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330D2042">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洗发</w:t>
            </w:r>
          </w:p>
          <w:p w14:paraId="2E6236BD">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服务</w:t>
            </w:r>
          </w:p>
        </w:tc>
        <w:tc>
          <w:tcPr>
            <w:tcW w:w="4007" w:type="dxa"/>
            <w:vAlign w:val="center"/>
          </w:tcPr>
          <w:p w14:paraId="667D92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选择适合的舒适体位，为服务对象清洗头发</w:t>
            </w:r>
          </w:p>
        </w:tc>
        <w:tc>
          <w:tcPr>
            <w:tcW w:w="900" w:type="dxa"/>
            <w:vAlign w:val="center"/>
          </w:tcPr>
          <w:p w14:paraId="3D913A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≧5分钟</w:t>
            </w:r>
          </w:p>
        </w:tc>
        <w:tc>
          <w:tcPr>
            <w:tcW w:w="1056" w:type="dxa"/>
            <w:shd w:val="clear" w:color="auto" w:fill="auto"/>
            <w:vAlign w:val="center"/>
          </w:tcPr>
          <w:p w14:paraId="741481D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元/次</w:t>
            </w:r>
          </w:p>
        </w:tc>
      </w:tr>
      <w:tr w14:paraId="3695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1B60CCD1">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344A46FF">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002E9E53">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0BCE7BE7">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上门</w:t>
            </w:r>
          </w:p>
          <w:p w14:paraId="30958BAD">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洗脚</w:t>
            </w:r>
          </w:p>
        </w:tc>
        <w:tc>
          <w:tcPr>
            <w:tcW w:w="4007" w:type="dxa"/>
            <w:vAlign w:val="center"/>
          </w:tcPr>
          <w:p w14:paraId="7A7143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泡脚、洗脚，水温适宜。</w:t>
            </w:r>
          </w:p>
        </w:tc>
        <w:tc>
          <w:tcPr>
            <w:tcW w:w="900" w:type="dxa"/>
            <w:vAlign w:val="center"/>
          </w:tcPr>
          <w:p w14:paraId="79CDC3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≧10分钟</w:t>
            </w:r>
          </w:p>
        </w:tc>
        <w:tc>
          <w:tcPr>
            <w:tcW w:w="1056" w:type="dxa"/>
            <w:shd w:val="clear" w:color="auto" w:fill="auto"/>
            <w:vAlign w:val="center"/>
          </w:tcPr>
          <w:p w14:paraId="2D217BD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26</w:t>
            </w:r>
            <w:r>
              <w:rPr>
                <w:rFonts w:hint="eastAsia" w:ascii="宋体" w:hAnsi="宋体" w:eastAsia="宋体" w:cs="宋体"/>
                <w:i w:val="0"/>
                <w:iCs w:val="0"/>
                <w:color w:val="000000"/>
                <w:kern w:val="0"/>
                <w:sz w:val="20"/>
                <w:szCs w:val="20"/>
                <w:u w:val="none"/>
                <w:lang w:val="en-US" w:eastAsia="zh-CN" w:bidi="ar"/>
              </w:rPr>
              <w:t>元/次</w:t>
            </w:r>
          </w:p>
        </w:tc>
      </w:tr>
      <w:tr w14:paraId="6760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4D29D04F">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4991AE61">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46408E1A">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22CDB0C5">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上门指甲修剪</w:t>
            </w:r>
          </w:p>
        </w:tc>
        <w:tc>
          <w:tcPr>
            <w:tcW w:w="4007" w:type="dxa"/>
            <w:vAlign w:val="center"/>
          </w:tcPr>
          <w:p w14:paraId="09BFF6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根据服务对象个人卫生习惯，选择合适的工具为服务对象指甲进行护理</w:t>
            </w:r>
          </w:p>
        </w:tc>
        <w:tc>
          <w:tcPr>
            <w:tcW w:w="900" w:type="dxa"/>
            <w:vAlign w:val="center"/>
          </w:tcPr>
          <w:p w14:paraId="40DE0F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≧5分钟</w:t>
            </w:r>
          </w:p>
        </w:tc>
        <w:tc>
          <w:tcPr>
            <w:tcW w:w="1056" w:type="dxa"/>
            <w:shd w:val="clear" w:color="auto" w:fill="auto"/>
            <w:vAlign w:val="center"/>
          </w:tcPr>
          <w:p w14:paraId="49BE8529">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12元/次</w:t>
            </w:r>
          </w:p>
        </w:tc>
      </w:tr>
      <w:tr w14:paraId="4AAB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120ADBC3">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2B2BE9A7">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1282E170">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25256BFA">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上门趾甲修剪</w:t>
            </w:r>
          </w:p>
        </w:tc>
        <w:tc>
          <w:tcPr>
            <w:tcW w:w="4007" w:type="dxa"/>
            <w:vAlign w:val="center"/>
          </w:tcPr>
          <w:p w14:paraId="158590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根据服务对象个人卫生习惯，选择合适的工具为服务对象指甲进行护理</w:t>
            </w:r>
          </w:p>
        </w:tc>
        <w:tc>
          <w:tcPr>
            <w:tcW w:w="900" w:type="dxa"/>
            <w:vAlign w:val="center"/>
          </w:tcPr>
          <w:p w14:paraId="59F24A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≧5分钟</w:t>
            </w:r>
          </w:p>
        </w:tc>
        <w:tc>
          <w:tcPr>
            <w:tcW w:w="1056" w:type="dxa"/>
            <w:shd w:val="clear" w:color="auto" w:fill="auto"/>
            <w:vAlign w:val="center"/>
          </w:tcPr>
          <w:p w14:paraId="3138CB9D">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12元/次</w:t>
            </w:r>
          </w:p>
        </w:tc>
      </w:tr>
      <w:tr w14:paraId="5850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42666A42">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72DED560">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437BB525">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3399AD72">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居家</w:t>
            </w:r>
          </w:p>
          <w:p w14:paraId="126B5F33">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打扫</w:t>
            </w:r>
          </w:p>
        </w:tc>
        <w:tc>
          <w:tcPr>
            <w:tcW w:w="4007" w:type="dxa"/>
            <w:vAlign w:val="center"/>
          </w:tcPr>
          <w:p w14:paraId="2A16EC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由内而外打扫居室卫生，拖洗地面至清洁无污，并通风保持地面干燥，防止老人滑倒；2.处理垃圾不扬尘，保持客厅、卧室、厨卫整洁；3.保持居室整洁美观、目测无灰尘、空气清新无异味；4.保洁用品应及时清洗、消毒，保持清洁及卫生；5.打扫过程中，如遇钱财等贵重物品，应提醒老人妥善保管。</w:t>
            </w:r>
          </w:p>
        </w:tc>
        <w:tc>
          <w:tcPr>
            <w:tcW w:w="900" w:type="dxa"/>
            <w:vAlign w:val="center"/>
          </w:tcPr>
          <w:p w14:paraId="715F5A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≧60分钟，≧30分钟</w:t>
            </w:r>
          </w:p>
        </w:tc>
        <w:tc>
          <w:tcPr>
            <w:tcW w:w="1056" w:type="dxa"/>
            <w:shd w:val="clear" w:color="auto" w:fill="auto"/>
            <w:vAlign w:val="center"/>
          </w:tcPr>
          <w:p w14:paraId="3F88338C">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28</w:t>
            </w:r>
            <w:r>
              <w:rPr>
                <w:rFonts w:hint="eastAsia" w:ascii="宋体" w:hAnsi="宋体" w:eastAsia="宋体" w:cs="宋体"/>
                <w:i w:val="0"/>
                <w:iCs w:val="0"/>
                <w:color w:val="000000"/>
                <w:kern w:val="0"/>
                <w:sz w:val="20"/>
                <w:szCs w:val="20"/>
                <w:u w:val="none"/>
                <w:lang w:val="en-US" w:eastAsia="zh-CN" w:bidi="ar"/>
              </w:rPr>
              <w:t>元/时</w:t>
            </w:r>
          </w:p>
        </w:tc>
      </w:tr>
      <w:tr w14:paraId="7C55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358A06DB">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196F16F2">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4E2846C7">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7354A93F">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四件套换洗</w:t>
            </w:r>
          </w:p>
        </w:tc>
        <w:tc>
          <w:tcPr>
            <w:tcW w:w="4007" w:type="dxa"/>
            <w:vAlign w:val="center"/>
          </w:tcPr>
          <w:p w14:paraId="3A6148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床上四件套洗涤、晾晒</w:t>
            </w:r>
          </w:p>
        </w:tc>
        <w:tc>
          <w:tcPr>
            <w:tcW w:w="900" w:type="dxa"/>
            <w:vAlign w:val="center"/>
          </w:tcPr>
          <w:p w14:paraId="3C082C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≧15分钟</w:t>
            </w:r>
          </w:p>
        </w:tc>
        <w:tc>
          <w:tcPr>
            <w:tcW w:w="1056" w:type="dxa"/>
            <w:shd w:val="clear" w:color="auto" w:fill="auto"/>
            <w:vAlign w:val="center"/>
          </w:tcPr>
          <w:p w14:paraId="6D3C22CC">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45</w:t>
            </w:r>
            <w:r>
              <w:rPr>
                <w:rFonts w:hint="eastAsia" w:ascii="宋体" w:hAnsi="宋体" w:eastAsia="宋体" w:cs="宋体"/>
                <w:i w:val="0"/>
                <w:iCs w:val="0"/>
                <w:color w:val="000000"/>
                <w:kern w:val="0"/>
                <w:sz w:val="20"/>
                <w:szCs w:val="20"/>
                <w:u w:val="none"/>
                <w:lang w:val="en-US" w:eastAsia="zh-CN" w:bidi="ar"/>
              </w:rPr>
              <w:t>元/次</w:t>
            </w:r>
          </w:p>
        </w:tc>
      </w:tr>
      <w:tr w14:paraId="5C0F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4C4ECA71">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740ADF05">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233BC5BC">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1F911F75">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衣裤</w:t>
            </w:r>
          </w:p>
          <w:p w14:paraId="2BF90CE8">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换洗</w:t>
            </w:r>
          </w:p>
        </w:tc>
        <w:tc>
          <w:tcPr>
            <w:tcW w:w="4007" w:type="dxa"/>
            <w:vAlign w:val="center"/>
          </w:tcPr>
          <w:p w14:paraId="0466A1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秋冬衣物一套，夏季衣物两套洗涤、晾晒</w:t>
            </w:r>
          </w:p>
        </w:tc>
        <w:tc>
          <w:tcPr>
            <w:tcW w:w="900" w:type="dxa"/>
            <w:vAlign w:val="center"/>
          </w:tcPr>
          <w:p w14:paraId="2195EC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≧15分钟</w:t>
            </w:r>
          </w:p>
        </w:tc>
        <w:tc>
          <w:tcPr>
            <w:tcW w:w="1056" w:type="dxa"/>
            <w:shd w:val="clear" w:color="auto" w:fill="auto"/>
            <w:vAlign w:val="center"/>
          </w:tcPr>
          <w:p w14:paraId="155529C8">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46元/次</w:t>
            </w:r>
          </w:p>
        </w:tc>
      </w:tr>
      <w:tr w14:paraId="5132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1F08ACD5">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0417075F">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62AAD289">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0FEEB632">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物品</w:t>
            </w:r>
          </w:p>
          <w:p w14:paraId="5172E305">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整理</w:t>
            </w:r>
          </w:p>
        </w:tc>
        <w:tc>
          <w:tcPr>
            <w:tcW w:w="4007" w:type="dxa"/>
            <w:vAlign w:val="center"/>
          </w:tcPr>
          <w:p w14:paraId="491C28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1.开窗通风，保持客厅、卧室、厨卫整洁，物品摆放整齐；2.按需晾晒（棉被，厚毛毯等）、更换床上四件套；3.按老人习惯整理床铺，保持床铺整洁。</w:t>
            </w:r>
          </w:p>
        </w:tc>
        <w:tc>
          <w:tcPr>
            <w:tcW w:w="900" w:type="dxa"/>
            <w:vAlign w:val="center"/>
          </w:tcPr>
          <w:p w14:paraId="58C5E6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≧30分钟</w:t>
            </w:r>
          </w:p>
        </w:tc>
        <w:tc>
          <w:tcPr>
            <w:tcW w:w="1056" w:type="dxa"/>
            <w:shd w:val="clear" w:color="auto" w:fill="auto"/>
            <w:vAlign w:val="center"/>
          </w:tcPr>
          <w:p w14:paraId="7E19CA20">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53</w:t>
            </w:r>
            <w:r>
              <w:rPr>
                <w:rFonts w:hint="eastAsia" w:ascii="宋体" w:hAnsi="宋体" w:eastAsia="宋体" w:cs="宋体"/>
                <w:i w:val="0"/>
                <w:iCs w:val="0"/>
                <w:color w:val="000000"/>
                <w:kern w:val="0"/>
                <w:sz w:val="20"/>
                <w:szCs w:val="20"/>
                <w:u w:val="none"/>
                <w:lang w:val="en-US" w:eastAsia="zh-CN" w:bidi="ar"/>
              </w:rPr>
              <w:t>元/次</w:t>
            </w:r>
          </w:p>
        </w:tc>
      </w:tr>
      <w:tr w14:paraId="4B42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244D89A8">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center"/>
          </w:tcPr>
          <w:p w14:paraId="37B1EC78">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1"/>
                <w:szCs w:val="21"/>
                <w:highlight w:val="none"/>
                <w:shd w:val="clear" w:color="auto" w:fill="FFFFFF"/>
                <w:lang w:val="en-US" w:eastAsia="zh-CN"/>
              </w:rPr>
              <w:t>助行</w:t>
            </w:r>
          </w:p>
        </w:tc>
        <w:tc>
          <w:tcPr>
            <w:tcW w:w="1511" w:type="dxa"/>
            <w:vAlign w:val="center"/>
          </w:tcPr>
          <w:p w14:paraId="34EEEDE4">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协助行走、陪伴外出、参加活动等</w:t>
            </w:r>
          </w:p>
        </w:tc>
        <w:tc>
          <w:tcPr>
            <w:tcW w:w="656" w:type="dxa"/>
            <w:vAlign w:val="center"/>
          </w:tcPr>
          <w:p w14:paraId="120D8EC8">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陪同</w:t>
            </w:r>
          </w:p>
          <w:p w14:paraId="4790A7E8">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外出</w:t>
            </w:r>
          </w:p>
        </w:tc>
        <w:tc>
          <w:tcPr>
            <w:tcW w:w="4007" w:type="dxa"/>
            <w:vAlign w:val="center"/>
          </w:tcPr>
          <w:p w14:paraId="114D42E6">
            <w:pPr>
              <w:pStyle w:val="3"/>
              <w:adjustRightInd w:val="0"/>
              <w:snapToGrid w:val="0"/>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陪同老年人在住宅附近周边区域户外散步或陪同老年人就近购物、探访等</w:t>
            </w:r>
          </w:p>
        </w:tc>
        <w:tc>
          <w:tcPr>
            <w:tcW w:w="900" w:type="dxa"/>
            <w:vAlign w:val="center"/>
          </w:tcPr>
          <w:p w14:paraId="3E11BAF4">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≧15分钟</w:t>
            </w:r>
          </w:p>
        </w:tc>
        <w:tc>
          <w:tcPr>
            <w:tcW w:w="1056" w:type="dxa"/>
            <w:shd w:val="clear" w:color="auto" w:fill="auto"/>
            <w:vAlign w:val="center"/>
          </w:tcPr>
          <w:p w14:paraId="4788E0C4">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34</w:t>
            </w:r>
            <w:r>
              <w:rPr>
                <w:rFonts w:hint="eastAsia" w:ascii="宋体" w:hAnsi="宋体" w:eastAsia="宋体" w:cs="宋体"/>
                <w:i w:val="0"/>
                <w:iCs w:val="0"/>
                <w:color w:val="000000"/>
                <w:kern w:val="0"/>
                <w:sz w:val="20"/>
                <w:szCs w:val="20"/>
                <w:u w:val="none"/>
                <w:lang w:val="en-US" w:eastAsia="zh-CN" w:bidi="ar"/>
              </w:rPr>
              <w:t>元/次</w:t>
            </w:r>
          </w:p>
        </w:tc>
      </w:tr>
      <w:tr w14:paraId="2EE7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0A1E48A8">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center"/>
          </w:tcPr>
          <w:p w14:paraId="62D3B6CF">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助医</w:t>
            </w:r>
          </w:p>
        </w:tc>
        <w:tc>
          <w:tcPr>
            <w:tcW w:w="1511" w:type="dxa"/>
            <w:vAlign w:val="center"/>
          </w:tcPr>
          <w:p w14:paraId="0462AC1A">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陪同就医、治疗陪伴等</w:t>
            </w:r>
          </w:p>
        </w:tc>
        <w:tc>
          <w:tcPr>
            <w:tcW w:w="656" w:type="dxa"/>
            <w:vAlign w:val="center"/>
          </w:tcPr>
          <w:p w14:paraId="3E5EC412">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陪同</w:t>
            </w:r>
          </w:p>
          <w:p w14:paraId="55991BE7">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就医</w:t>
            </w:r>
          </w:p>
        </w:tc>
        <w:tc>
          <w:tcPr>
            <w:tcW w:w="4007" w:type="dxa"/>
            <w:vAlign w:val="center"/>
          </w:tcPr>
          <w:p w14:paraId="72DA0731">
            <w:pPr>
              <w:pStyle w:val="3"/>
              <w:adjustRightInd w:val="0"/>
              <w:snapToGrid w:val="0"/>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1.陪同就诊的情形为：常见病、慢性病复诊、辅助性检查、门诊注射、换药；2.注意老人途中安全；3.就医后及时向老人监护人反馈就诊情况。</w:t>
            </w:r>
          </w:p>
        </w:tc>
        <w:tc>
          <w:tcPr>
            <w:tcW w:w="900" w:type="dxa"/>
            <w:vAlign w:val="center"/>
          </w:tcPr>
          <w:p w14:paraId="4B2DEC33">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≧15分钟</w:t>
            </w:r>
          </w:p>
        </w:tc>
        <w:tc>
          <w:tcPr>
            <w:tcW w:w="1056" w:type="dxa"/>
            <w:shd w:val="clear" w:color="auto" w:fill="auto"/>
            <w:vAlign w:val="center"/>
          </w:tcPr>
          <w:p w14:paraId="41769C49">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元/次</w:t>
            </w:r>
          </w:p>
        </w:tc>
      </w:tr>
      <w:tr w14:paraId="1FFA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restart"/>
            <w:vAlign w:val="center"/>
          </w:tcPr>
          <w:p w14:paraId="15D6575F">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基础照护服务</w:t>
            </w:r>
          </w:p>
        </w:tc>
        <w:tc>
          <w:tcPr>
            <w:tcW w:w="570" w:type="dxa"/>
            <w:vAlign w:val="center"/>
          </w:tcPr>
          <w:p w14:paraId="3BA9FF36">
            <w:pPr>
              <w:spacing w:line="360" w:lineRule="exact"/>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排泄护理</w:t>
            </w:r>
          </w:p>
        </w:tc>
        <w:tc>
          <w:tcPr>
            <w:tcW w:w="1511" w:type="dxa"/>
            <w:vAlign w:val="center"/>
          </w:tcPr>
          <w:p w14:paraId="404CB94F">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排尿护理、排便护理、排气护理等</w:t>
            </w:r>
          </w:p>
        </w:tc>
        <w:tc>
          <w:tcPr>
            <w:tcW w:w="656" w:type="dxa"/>
            <w:vAlign w:val="center"/>
          </w:tcPr>
          <w:p w14:paraId="6F29728F">
            <w:pPr>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排泄</w:t>
            </w:r>
          </w:p>
          <w:p w14:paraId="1F91FC31">
            <w:pPr>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护理</w:t>
            </w:r>
          </w:p>
        </w:tc>
        <w:tc>
          <w:tcPr>
            <w:tcW w:w="4007" w:type="dxa"/>
            <w:vAlign w:val="center"/>
          </w:tcPr>
          <w:p w14:paraId="14786C67">
            <w:pPr>
              <w:spacing w:line="240" w:lineRule="auto"/>
              <w:jc w:val="both"/>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提供诱导排泄的方法，促进排泄，并处理排泄物</w:t>
            </w:r>
          </w:p>
        </w:tc>
        <w:tc>
          <w:tcPr>
            <w:tcW w:w="900" w:type="dxa"/>
            <w:vAlign w:val="center"/>
          </w:tcPr>
          <w:p w14:paraId="769AFB53">
            <w:pPr>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056" w:type="dxa"/>
            <w:shd w:val="clear" w:color="auto" w:fill="auto"/>
            <w:vAlign w:val="center"/>
          </w:tcPr>
          <w:p w14:paraId="401AA837">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元/次</w:t>
            </w:r>
          </w:p>
        </w:tc>
      </w:tr>
      <w:tr w14:paraId="5467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5627098C">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center"/>
          </w:tcPr>
          <w:p w14:paraId="0FACECE5">
            <w:pPr>
              <w:spacing w:line="360" w:lineRule="exact"/>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护理协助</w:t>
            </w:r>
          </w:p>
        </w:tc>
        <w:tc>
          <w:tcPr>
            <w:tcW w:w="1511" w:type="dxa"/>
            <w:vAlign w:val="center"/>
          </w:tcPr>
          <w:p w14:paraId="02FE1904">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为老年人进行保暖和物理降温，协助和指导翻身、拍背、褥疮预防等</w:t>
            </w:r>
          </w:p>
        </w:tc>
        <w:tc>
          <w:tcPr>
            <w:tcW w:w="656" w:type="dxa"/>
            <w:vAlign w:val="center"/>
          </w:tcPr>
          <w:p w14:paraId="29F32EB6">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lang w:val="en-US" w:eastAsia="zh-CN"/>
              </w:rPr>
              <w:t>翻身叩背促进排痰</w:t>
            </w:r>
          </w:p>
        </w:tc>
        <w:tc>
          <w:tcPr>
            <w:tcW w:w="4007" w:type="dxa"/>
            <w:vAlign w:val="center"/>
          </w:tcPr>
          <w:p w14:paraId="069DF4B2">
            <w:pPr>
              <w:spacing w:line="240" w:lineRule="auto"/>
              <w:jc w:val="both"/>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b w:val="0"/>
                <w:color w:val="auto"/>
                <w:sz w:val="20"/>
                <w:szCs w:val="20"/>
                <w:vertAlign w:val="baseline"/>
                <w:lang w:val="en-US" w:eastAsia="zh-CN" w:bidi="zh-CN"/>
              </w:rPr>
              <w:t>根据服务对象的病情帮助其翻身拍背，促进有效排痰</w:t>
            </w:r>
          </w:p>
        </w:tc>
        <w:tc>
          <w:tcPr>
            <w:tcW w:w="900" w:type="dxa"/>
            <w:vAlign w:val="center"/>
          </w:tcPr>
          <w:p w14:paraId="2D9524CA">
            <w:pPr>
              <w:spacing w:line="360" w:lineRule="exact"/>
              <w:jc w:val="center"/>
              <w:rPr>
                <w:rFonts w:hint="eastAsia" w:ascii="宋体" w:hAnsi="宋体" w:eastAsia="宋体" w:cs="宋体"/>
                <w:b w:val="0"/>
                <w:color w:val="auto"/>
                <w:sz w:val="20"/>
                <w:szCs w:val="20"/>
                <w:vertAlign w:val="baseline"/>
              </w:rPr>
            </w:pPr>
            <w:bookmarkStart w:id="33" w:name="OLE_LINK13"/>
            <w:r>
              <w:rPr>
                <w:rFonts w:hint="eastAsia" w:ascii="宋体" w:hAnsi="宋体" w:eastAsia="宋体" w:cs="宋体"/>
                <w:color w:val="auto"/>
                <w:sz w:val="21"/>
                <w:szCs w:val="21"/>
                <w:highlight w:val="none"/>
                <w:vertAlign w:val="baseline"/>
                <w:lang w:val="en-US" w:eastAsia="zh-CN"/>
              </w:rPr>
              <w:t>-</w:t>
            </w:r>
            <w:bookmarkEnd w:id="33"/>
          </w:p>
        </w:tc>
        <w:tc>
          <w:tcPr>
            <w:tcW w:w="1056" w:type="dxa"/>
            <w:shd w:val="clear" w:color="auto" w:fill="auto"/>
            <w:vAlign w:val="center"/>
          </w:tcPr>
          <w:p w14:paraId="3EA5BBBE">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元/次</w:t>
            </w:r>
          </w:p>
        </w:tc>
      </w:tr>
      <w:tr w14:paraId="0E91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24CB2BCA">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center"/>
          </w:tcPr>
          <w:p w14:paraId="3273B812">
            <w:pPr>
              <w:spacing w:line="360" w:lineRule="exact"/>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康复护理</w:t>
            </w:r>
          </w:p>
        </w:tc>
        <w:tc>
          <w:tcPr>
            <w:tcW w:w="1511" w:type="dxa"/>
            <w:vAlign w:val="center"/>
          </w:tcPr>
          <w:p w14:paraId="40DA0E4A">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包括康复评估、计划制定、康复指导、康复理疗等</w:t>
            </w:r>
          </w:p>
        </w:tc>
        <w:tc>
          <w:tcPr>
            <w:tcW w:w="656" w:type="dxa"/>
            <w:vAlign w:val="center"/>
          </w:tcPr>
          <w:p w14:paraId="73FC70C8">
            <w:pPr>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康复</w:t>
            </w:r>
          </w:p>
          <w:p w14:paraId="2F3BEE73">
            <w:pPr>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护理</w:t>
            </w:r>
          </w:p>
        </w:tc>
        <w:tc>
          <w:tcPr>
            <w:tcW w:w="4007" w:type="dxa"/>
            <w:vAlign w:val="center"/>
          </w:tcPr>
          <w:p w14:paraId="7DA70DCA">
            <w:pPr>
              <w:spacing w:line="240" w:lineRule="auto"/>
              <w:jc w:val="both"/>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1.全面评估老年人的身体状况、功能能力和心理状况，为制定康复计划提供依据。2.根据评估结果，为老年人制定个性化的康复计划，明确康复目标和方法。3.向老年人及其家属讲解康复计划，提供针对性的康复方法和技巧指导。4.通过物理治疗、作业治疗等手段，帮助老年人恢复身体机能，提高生活质量。</w:t>
            </w:r>
          </w:p>
        </w:tc>
        <w:tc>
          <w:tcPr>
            <w:tcW w:w="900" w:type="dxa"/>
            <w:vAlign w:val="center"/>
          </w:tcPr>
          <w:p w14:paraId="53B4F4EA">
            <w:pPr>
              <w:spacing w:line="360" w:lineRule="exact"/>
              <w:jc w:val="center"/>
              <w:rPr>
                <w:rFonts w:hint="eastAsia" w:ascii="宋体" w:hAnsi="宋体" w:eastAsia="宋体" w:cs="宋体"/>
                <w:color w:val="auto"/>
                <w:sz w:val="21"/>
                <w:szCs w:val="21"/>
                <w:highlight w:val="none"/>
                <w:vertAlign w:val="baseline"/>
                <w:lang w:val="en-US" w:eastAsia="zh-CN"/>
              </w:rPr>
            </w:pPr>
          </w:p>
        </w:tc>
        <w:tc>
          <w:tcPr>
            <w:tcW w:w="1056" w:type="dxa"/>
            <w:shd w:val="clear" w:color="auto" w:fill="auto"/>
            <w:vAlign w:val="center"/>
          </w:tcPr>
          <w:p w14:paraId="47915499">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152</w:t>
            </w:r>
            <w:r>
              <w:rPr>
                <w:rFonts w:hint="eastAsia" w:ascii="宋体" w:hAnsi="宋体" w:eastAsia="宋体" w:cs="宋体"/>
                <w:i w:val="0"/>
                <w:iCs w:val="0"/>
                <w:color w:val="000000"/>
                <w:kern w:val="0"/>
                <w:sz w:val="20"/>
                <w:szCs w:val="20"/>
                <w:u w:val="none"/>
                <w:lang w:val="en-US" w:eastAsia="zh-CN" w:bidi="ar"/>
              </w:rPr>
              <w:t>元/次</w:t>
            </w:r>
          </w:p>
        </w:tc>
      </w:tr>
      <w:tr w14:paraId="0DD4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3AE44502">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center"/>
          </w:tcPr>
          <w:p w14:paraId="340D8000">
            <w:pPr>
              <w:spacing w:line="360" w:lineRule="exact"/>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用药照护</w:t>
            </w:r>
          </w:p>
        </w:tc>
        <w:tc>
          <w:tcPr>
            <w:tcW w:w="1511" w:type="dxa"/>
            <w:vAlign w:val="center"/>
          </w:tcPr>
          <w:p w14:paraId="60291522">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包括用药提醒、用药指导及不良反应观察等</w:t>
            </w:r>
          </w:p>
        </w:tc>
        <w:tc>
          <w:tcPr>
            <w:tcW w:w="656" w:type="dxa"/>
            <w:vAlign w:val="center"/>
          </w:tcPr>
          <w:p w14:paraId="14F51E77">
            <w:pPr>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协助</w:t>
            </w:r>
          </w:p>
          <w:p w14:paraId="4A258424">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lang w:val="en-US" w:eastAsia="zh-CN"/>
              </w:rPr>
              <w:t>用药</w:t>
            </w:r>
          </w:p>
        </w:tc>
        <w:tc>
          <w:tcPr>
            <w:tcW w:w="4007" w:type="dxa"/>
            <w:vAlign w:val="center"/>
          </w:tcPr>
          <w:p w14:paraId="6817E587">
            <w:pPr>
              <w:spacing w:line="240" w:lineRule="auto"/>
              <w:jc w:val="both"/>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b w:val="0"/>
                <w:color w:val="auto"/>
                <w:sz w:val="20"/>
                <w:szCs w:val="20"/>
                <w:vertAlign w:val="baseline"/>
                <w:lang w:val="en-US" w:eastAsia="zh-CN" w:bidi="zh-CN"/>
              </w:rPr>
              <w:t>提醒、协助服务对象完成口服给药</w:t>
            </w:r>
          </w:p>
        </w:tc>
        <w:tc>
          <w:tcPr>
            <w:tcW w:w="900" w:type="dxa"/>
            <w:vAlign w:val="center"/>
          </w:tcPr>
          <w:p w14:paraId="0D6119B6">
            <w:pPr>
              <w:spacing w:line="360" w:lineRule="exact"/>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1"/>
                <w:szCs w:val="21"/>
                <w:highlight w:val="none"/>
                <w:vertAlign w:val="baseline"/>
                <w:lang w:val="en-US" w:eastAsia="zh-CN"/>
              </w:rPr>
              <w:t>-</w:t>
            </w:r>
          </w:p>
        </w:tc>
        <w:tc>
          <w:tcPr>
            <w:tcW w:w="1056" w:type="dxa"/>
            <w:shd w:val="clear" w:color="auto" w:fill="auto"/>
            <w:vAlign w:val="center"/>
          </w:tcPr>
          <w:p w14:paraId="7CAC6EC1">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10元/次</w:t>
            </w:r>
          </w:p>
        </w:tc>
      </w:tr>
      <w:tr w14:paraId="4E63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46C2FFDB">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center"/>
          </w:tcPr>
          <w:p w14:paraId="0167CE04">
            <w:pPr>
              <w:spacing w:line="360" w:lineRule="exact"/>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生活照护</w:t>
            </w:r>
          </w:p>
        </w:tc>
        <w:tc>
          <w:tcPr>
            <w:tcW w:w="1511" w:type="dxa"/>
            <w:vAlign w:val="center"/>
          </w:tcPr>
          <w:p w14:paraId="5F7F58CA">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协助穿（脱）衣、饮食照护、睡眠照护等</w:t>
            </w:r>
          </w:p>
        </w:tc>
        <w:tc>
          <w:tcPr>
            <w:tcW w:w="656" w:type="dxa"/>
            <w:vAlign w:val="center"/>
          </w:tcPr>
          <w:p w14:paraId="4BBB9931">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lang w:val="en-US" w:eastAsia="zh-CN"/>
              </w:rPr>
              <w:t>协助穿（脱）衣</w:t>
            </w:r>
          </w:p>
        </w:tc>
        <w:tc>
          <w:tcPr>
            <w:tcW w:w="4007" w:type="dxa"/>
            <w:vAlign w:val="center"/>
          </w:tcPr>
          <w:p w14:paraId="07ACE20C">
            <w:pPr>
              <w:spacing w:line="240" w:lineRule="auto"/>
              <w:jc w:val="both"/>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b w:val="0"/>
                <w:color w:val="auto"/>
                <w:sz w:val="20"/>
                <w:szCs w:val="20"/>
                <w:vertAlign w:val="baseline"/>
                <w:lang w:val="en-US" w:eastAsia="zh-CN" w:bidi="zh-CN"/>
              </w:rPr>
              <w:t>起床或睡眠协助穿（脱）衣物</w:t>
            </w:r>
          </w:p>
        </w:tc>
        <w:tc>
          <w:tcPr>
            <w:tcW w:w="900" w:type="dxa"/>
            <w:vAlign w:val="center"/>
          </w:tcPr>
          <w:p w14:paraId="74E658BD">
            <w:pPr>
              <w:spacing w:line="360" w:lineRule="exact"/>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1"/>
                <w:szCs w:val="21"/>
                <w:highlight w:val="none"/>
                <w:vertAlign w:val="baseline"/>
                <w:lang w:val="en-US" w:eastAsia="zh-CN"/>
              </w:rPr>
              <w:t>-</w:t>
            </w:r>
          </w:p>
        </w:tc>
        <w:tc>
          <w:tcPr>
            <w:tcW w:w="1056" w:type="dxa"/>
            <w:shd w:val="clear" w:color="auto" w:fill="auto"/>
            <w:vAlign w:val="center"/>
          </w:tcPr>
          <w:p w14:paraId="01573DC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33</w:t>
            </w:r>
            <w:r>
              <w:rPr>
                <w:rFonts w:hint="eastAsia" w:ascii="宋体" w:hAnsi="宋体" w:eastAsia="宋体" w:cs="宋体"/>
                <w:i w:val="0"/>
                <w:iCs w:val="0"/>
                <w:color w:val="000000"/>
                <w:kern w:val="0"/>
                <w:sz w:val="20"/>
                <w:szCs w:val="20"/>
                <w:u w:val="none"/>
                <w:lang w:val="en-US" w:eastAsia="zh-CN" w:bidi="ar"/>
              </w:rPr>
              <w:t>元/次</w:t>
            </w:r>
          </w:p>
        </w:tc>
      </w:tr>
      <w:tr w14:paraId="0E77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restart"/>
            <w:vAlign w:val="center"/>
          </w:tcPr>
          <w:p w14:paraId="76BB68D2">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探访关爱服务</w:t>
            </w:r>
          </w:p>
        </w:tc>
        <w:tc>
          <w:tcPr>
            <w:tcW w:w="570" w:type="dxa"/>
            <w:vAlign w:val="center"/>
          </w:tcPr>
          <w:p w14:paraId="2A62E255">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远程服务</w:t>
            </w:r>
          </w:p>
        </w:tc>
        <w:tc>
          <w:tcPr>
            <w:tcW w:w="1511" w:type="dxa"/>
            <w:vAlign w:val="center"/>
          </w:tcPr>
          <w:p w14:paraId="1DC453DE">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接受与协助老年人电话呼叫和紧急求助</w:t>
            </w:r>
          </w:p>
        </w:tc>
        <w:tc>
          <w:tcPr>
            <w:tcW w:w="656" w:type="dxa"/>
            <w:vAlign w:val="center"/>
          </w:tcPr>
          <w:p w14:paraId="47922EC6">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远程</w:t>
            </w:r>
          </w:p>
          <w:p w14:paraId="261EC6A9">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服务</w:t>
            </w:r>
          </w:p>
        </w:tc>
        <w:tc>
          <w:tcPr>
            <w:tcW w:w="4007" w:type="dxa"/>
            <w:vAlign w:val="center"/>
          </w:tcPr>
          <w:p w14:paraId="713693E1">
            <w:pPr>
              <w:pStyle w:val="3"/>
              <w:adjustRightInd w:val="0"/>
              <w:snapToGrid w:val="0"/>
              <w:spacing w:line="240" w:lineRule="auto"/>
              <w:jc w:val="both"/>
              <w:rPr>
                <w:rFonts w:hint="eastAsia" w:ascii="宋体" w:hAnsi="宋体" w:eastAsia="宋体" w:cs="宋体"/>
                <w:b w:val="0"/>
                <w:color w:val="auto"/>
                <w:sz w:val="20"/>
                <w:szCs w:val="20"/>
                <w:vertAlign w:val="baseline"/>
                <w:lang w:val="en-US"/>
              </w:rPr>
            </w:pPr>
            <w:r>
              <w:rPr>
                <w:rFonts w:hint="eastAsia" w:ascii="宋体" w:hAnsi="宋体" w:eastAsia="宋体" w:cs="宋体"/>
                <w:b w:val="0"/>
                <w:color w:val="auto"/>
                <w:sz w:val="20"/>
                <w:szCs w:val="20"/>
                <w:vertAlign w:val="baseline"/>
                <w:lang w:val="en-US" w:eastAsia="zh-CN" w:bidi="zh-CN"/>
              </w:rPr>
              <w:t>每月不少于2次对老人进行电话关爱，包括但不限于心理关爱、节日问候、生日电话</w:t>
            </w:r>
          </w:p>
        </w:tc>
        <w:tc>
          <w:tcPr>
            <w:tcW w:w="900" w:type="dxa"/>
            <w:vAlign w:val="center"/>
          </w:tcPr>
          <w:p w14:paraId="1FB83AB2">
            <w:pPr>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1"/>
                <w:szCs w:val="21"/>
                <w:highlight w:val="none"/>
                <w:vertAlign w:val="baseline"/>
                <w:lang w:val="en-US" w:eastAsia="zh-CN"/>
              </w:rPr>
              <w:t>-</w:t>
            </w:r>
          </w:p>
        </w:tc>
        <w:tc>
          <w:tcPr>
            <w:tcW w:w="1056" w:type="dxa"/>
            <w:shd w:val="clear" w:color="auto" w:fill="auto"/>
            <w:vAlign w:val="center"/>
          </w:tcPr>
          <w:p w14:paraId="462E5026">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元/月</w:t>
            </w:r>
          </w:p>
        </w:tc>
      </w:tr>
      <w:tr w14:paraId="6FAF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7C7FCE6B">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center"/>
          </w:tcPr>
          <w:p w14:paraId="51A98476">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上门探访</w:t>
            </w:r>
          </w:p>
        </w:tc>
        <w:tc>
          <w:tcPr>
            <w:tcW w:w="1511" w:type="dxa"/>
            <w:vAlign w:val="center"/>
          </w:tcPr>
          <w:p w14:paraId="634956C1">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了解掌握老年人的健康状况、精神状况、安全情况、卫生状况、居室环境、服务需求等</w:t>
            </w:r>
          </w:p>
        </w:tc>
        <w:tc>
          <w:tcPr>
            <w:tcW w:w="656" w:type="dxa"/>
            <w:vAlign w:val="center"/>
          </w:tcPr>
          <w:p w14:paraId="735F2470">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上门</w:t>
            </w:r>
          </w:p>
          <w:p w14:paraId="7A686CA7">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探访</w:t>
            </w:r>
          </w:p>
        </w:tc>
        <w:tc>
          <w:tcPr>
            <w:tcW w:w="4007" w:type="dxa"/>
            <w:vAlign w:val="center"/>
          </w:tcPr>
          <w:p w14:paraId="60B3BD7F">
            <w:pPr>
              <w:pStyle w:val="3"/>
              <w:adjustRightInd w:val="0"/>
              <w:snapToGrid w:val="0"/>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每月不少于5次登门了解掌握老年人的健康状况、精神状况、安全情况、卫生状况、居室环境、服务需求等。</w:t>
            </w:r>
          </w:p>
        </w:tc>
        <w:tc>
          <w:tcPr>
            <w:tcW w:w="900" w:type="dxa"/>
            <w:vAlign w:val="center"/>
          </w:tcPr>
          <w:p w14:paraId="5FB6F6FF">
            <w:pPr>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1"/>
                <w:szCs w:val="21"/>
                <w:highlight w:val="none"/>
                <w:vertAlign w:val="baseline"/>
                <w:lang w:val="en-US" w:eastAsia="zh-CN"/>
              </w:rPr>
              <w:t>-</w:t>
            </w:r>
          </w:p>
        </w:tc>
        <w:tc>
          <w:tcPr>
            <w:tcW w:w="1056" w:type="dxa"/>
            <w:shd w:val="clear" w:color="auto" w:fill="auto"/>
            <w:vAlign w:val="center"/>
          </w:tcPr>
          <w:p w14:paraId="74F7198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27</w:t>
            </w:r>
            <w:r>
              <w:rPr>
                <w:rFonts w:hint="eastAsia" w:ascii="宋体" w:hAnsi="宋体" w:eastAsia="宋体" w:cs="宋体"/>
                <w:i w:val="0"/>
                <w:iCs w:val="0"/>
                <w:color w:val="000000"/>
                <w:kern w:val="0"/>
                <w:sz w:val="20"/>
                <w:szCs w:val="20"/>
                <w:u w:val="none"/>
                <w:lang w:val="en-US" w:eastAsia="zh-CN" w:bidi="ar"/>
              </w:rPr>
              <w:t>元/月</w:t>
            </w:r>
          </w:p>
        </w:tc>
      </w:tr>
      <w:tr w14:paraId="0918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restart"/>
            <w:vAlign w:val="center"/>
          </w:tcPr>
          <w:p w14:paraId="440B60F5">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健康管理服务</w:t>
            </w:r>
          </w:p>
        </w:tc>
        <w:tc>
          <w:tcPr>
            <w:tcW w:w="570" w:type="dxa"/>
            <w:vAlign w:val="center"/>
          </w:tcPr>
          <w:p w14:paraId="61282721">
            <w:pPr>
              <w:pStyle w:val="3"/>
              <w:adjustRightInd w:val="0"/>
              <w:snapToGrid w:val="0"/>
              <w:spacing w:line="240" w:lineRule="auto"/>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信息采集</w:t>
            </w:r>
          </w:p>
        </w:tc>
        <w:tc>
          <w:tcPr>
            <w:tcW w:w="1511" w:type="dxa"/>
            <w:vAlign w:val="center"/>
          </w:tcPr>
          <w:p w14:paraId="268C5C9E">
            <w:pPr>
              <w:pStyle w:val="3"/>
              <w:adjustRightInd w:val="0"/>
              <w:snapToGrid w:val="0"/>
              <w:spacing w:line="240" w:lineRule="auto"/>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采集老年人的体检信息、既往疾病史等健康信息，建立老年人健康档案</w:t>
            </w:r>
          </w:p>
        </w:tc>
        <w:tc>
          <w:tcPr>
            <w:tcW w:w="656" w:type="dxa"/>
            <w:vAlign w:val="center"/>
          </w:tcPr>
          <w:p w14:paraId="2C8263D4">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信息</w:t>
            </w:r>
          </w:p>
          <w:p w14:paraId="4770305D">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采集</w:t>
            </w:r>
          </w:p>
        </w:tc>
        <w:tc>
          <w:tcPr>
            <w:tcW w:w="4007" w:type="dxa"/>
            <w:vAlign w:val="center"/>
          </w:tcPr>
          <w:p w14:paraId="63B92D19">
            <w:pPr>
              <w:spacing w:line="240" w:lineRule="auto"/>
              <w:jc w:val="both"/>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采集老年人的体检信息、既往疾病史等健康信息，建立老年人健康档案</w:t>
            </w:r>
          </w:p>
        </w:tc>
        <w:tc>
          <w:tcPr>
            <w:tcW w:w="900" w:type="dxa"/>
            <w:vAlign w:val="center"/>
          </w:tcPr>
          <w:p w14:paraId="6E0DCE2F">
            <w:pPr>
              <w:spacing w:line="240" w:lineRule="auto"/>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w:t>
            </w:r>
          </w:p>
        </w:tc>
        <w:tc>
          <w:tcPr>
            <w:tcW w:w="1056" w:type="dxa"/>
            <w:shd w:val="clear" w:color="auto" w:fill="auto"/>
            <w:vAlign w:val="center"/>
          </w:tcPr>
          <w:p w14:paraId="5BBA3F01">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cs="宋体"/>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元/次</w:t>
            </w:r>
          </w:p>
        </w:tc>
      </w:tr>
      <w:tr w14:paraId="1536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65DF2CD0">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center"/>
          </w:tcPr>
          <w:p w14:paraId="455DD6EE">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健康咨询</w:t>
            </w:r>
          </w:p>
        </w:tc>
        <w:tc>
          <w:tcPr>
            <w:tcW w:w="1511" w:type="dxa"/>
            <w:vAlign w:val="center"/>
          </w:tcPr>
          <w:p w14:paraId="57A5B6E9">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为老年人提供防跌倒、疾病预防、膳食营养、康复保健等指导</w:t>
            </w:r>
          </w:p>
        </w:tc>
        <w:tc>
          <w:tcPr>
            <w:tcW w:w="656" w:type="dxa"/>
            <w:vAlign w:val="center"/>
          </w:tcPr>
          <w:p w14:paraId="55DE12D5">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健康</w:t>
            </w:r>
          </w:p>
          <w:p w14:paraId="06804CB1">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咨询</w:t>
            </w:r>
          </w:p>
        </w:tc>
        <w:tc>
          <w:tcPr>
            <w:tcW w:w="4007" w:type="dxa"/>
            <w:vAlign w:val="center"/>
          </w:tcPr>
          <w:p w14:paraId="4A3BAD99">
            <w:pPr>
              <w:pStyle w:val="3"/>
              <w:adjustRightInd w:val="0"/>
              <w:snapToGrid w:val="0"/>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为老年人提供防跌倒、疾病预防、膳食营养、康复保健等指导</w:t>
            </w:r>
          </w:p>
        </w:tc>
        <w:tc>
          <w:tcPr>
            <w:tcW w:w="900" w:type="dxa"/>
            <w:vAlign w:val="center"/>
          </w:tcPr>
          <w:p w14:paraId="61A8813B">
            <w:pPr>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w:t>
            </w:r>
          </w:p>
        </w:tc>
        <w:tc>
          <w:tcPr>
            <w:tcW w:w="1056" w:type="dxa"/>
            <w:shd w:val="clear" w:color="auto" w:fill="auto"/>
            <w:vAlign w:val="center"/>
          </w:tcPr>
          <w:p w14:paraId="2B0A04CB">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52元/次</w:t>
            </w:r>
          </w:p>
        </w:tc>
      </w:tr>
      <w:tr w14:paraId="540E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0A26AE1F">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center"/>
          </w:tcPr>
          <w:p w14:paraId="68CD5D86">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健康干预</w:t>
            </w:r>
          </w:p>
        </w:tc>
        <w:tc>
          <w:tcPr>
            <w:tcW w:w="1511" w:type="dxa"/>
            <w:vAlign w:val="center"/>
          </w:tcPr>
          <w:p w14:paraId="126588D7">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制定服务方案，为老年人的生活起居、慢病调理等提供干预服务</w:t>
            </w:r>
          </w:p>
        </w:tc>
        <w:tc>
          <w:tcPr>
            <w:tcW w:w="656" w:type="dxa"/>
            <w:vAlign w:val="center"/>
          </w:tcPr>
          <w:p w14:paraId="234EDC12">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康复</w:t>
            </w:r>
          </w:p>
          <w:p w14:paraId="7C521AFF">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理疗</w:t>
            </w:r>
          </w:p>
        </w:tc>
        <w:tc>
          <w:tcPr>
            <w:tcW w:w="4007" w:type="dxa"/>
            <w:vAlign w:val="center"/>
          </w:tcPr>
          <w:p w14:paraId="15BE257C">
            <w:pPr>
              <w:pStyle w:val="3"/>
              <w:adjustRightInd w:val="0"/>
              <w:snapToGrid w:val="0"/>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1.由专业、有资质的人员实施；2.根据老人特殊生理特点选择理疗方式；3.理疗过程中应注意观察老人的身体适应情况，防止损伤；4.根据需要配备相应的合格理疗器具。</w:t>
            </w:r>
          </w:p>
        </w:tc>
        <w:tc>
          <w:tcPr>
            <w:tcW w:w="900" w:type="dxa"/>
            <w:vAlign w:val="center"/>
          </w:tcPr>
          <w:p w14:paraId="4D5FD614">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≧30分钟</w:t>
            </w:r>
          </w:p>
        </w:tc>
        <w:tc>
          <w:tcPr>
            <w:tcW w:w="1056" w:type="dxa"/>
            <w:shd w:val="clear" w:color="auto" w:fill="auto"/>
            <w:vAlign w:val="center"/>
          </w:tcPr>
          <w:p w14:paraId="1B8C0F11">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52元/次</w:t>
            </w:r>
          </w:p>
        </w:tc>
      </w:tr>
      <w:tr w14:paraId="514A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5038A6A2">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restart"/>
            <w:vAlign w:val="center"/>
          </w:tcPr>
          <w:p w14:paraId="1B5F6389">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常规生理指标监测</w:t>
            </w:r>
          </w:p>
        </w:tc>
        <w:tc>
          <w:tcPr>
            <w:tcW w:w="1511" w:type="dxa"/>
            <w:vMerge w:val="restart"/>
            <w:vAlign w:val="center"/>
          </w:tcPr>
          <w:p w14:paraId="47E7F0CE">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监测体温、体重、血压、呼吸、心率、血糖等</w:t>
            </w:r>
          </w:p>
        </w:tc>
        <w:tc>
          <w:tcPr>
            <w:tcW w:w="656" w:type="dxa"/>
            <w:vAlign w:val="center"/>
          </w:tcPr>
          <w:p w14:paraId="31CC6AAC">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健康</w:t>
            </w:r>
          </w:p>
          <w:p w14:paraId="523CBEE9">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监测</w:t>
            </w:r>
          </w:p>
        </w:tc>
        <w:tc>
          <w:tcPr>
            <w:tcW w:w="4007" w:type="dxa"/>
            <w:vAlign w:val="center"/>
          </w:tcPr>
          <w:p w14:paraId="1615CD43">
            <w:pPr>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为服务对象测量血氧</w:t>
            </w:r>
          </w:p>
        </w:tc>
        <w:tc>
          <w:tcPr>
            <w:tcW w:w="900" w:type="dxa"/>
            <w:vAlign w:val="center"/>
          </w:tcPr>
          <w:p w14:paraId="53948036">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w:t>
            </w:r>
          </w:p>
        </w:tc>
        <w:tc>
          <w:tcPr>
            <w:tcW w:w="1056" w:type="dxa"/>
            <w:shd w:val="clear" w:color="auto" w:fill="auto"/>
            <w:vAlign w:val="center"/>
          </w:tcPr>
          <w:p w14:paraId="6C5F4E3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6元/次</w:t>
            </w:r>
          </w:p>
        </w:tc>
      </w:tr>
      <w:tr w14:paraId="128C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318FA491">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7772F035">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2FE48F95">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36E8314D">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健康</w:t>
            </w:r>
          </w:p>
          <w:p w14:paraId="5141E293">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监测</w:t>
            </w:r>
          </w:p>
        </w:tc>
        <w:tc>
          <w:tcPr>
            <w:tcW w:w="4007" w:type="dxa"/>
            <w:vAlign w:val="center"/>
          </w:tcPr>
          <w:p w14:paraId="08CDDED2">
            <w:pPr>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为服务对象测量体温、血压、心率</w:t>
            </w:r>
          </w:p>
        </w:tc>
        <w:tc>
          <w:tcPr>
            <w:tcW w:w="900" w:type="dxa"/>
            <w:vAlign w:val="center"/>
          </w:tcPr>
          <w:p w14:paraId="5D9A0A74">
            <w:pPr>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w:t>
            </w:r>
          </w:p>
        </w:tc>
        <w:tc>
          <w:tcPr>
            <w:tcW w:w="1056" w:type="dxa"/>
            <w:shd w:val="clear" w:color="auto" w:fill="auto"/>
            <w:vAlign w:val="center"/>
          </w:tcPr>
          <w:p w14:paraId="58B15E6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6元/次</w:t>
            </w:r>
          </w:p>
        </w:tc>
      </w:tr>
      <w:tr w14:paraId="396F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476B0C5B">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5650C531">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6ED1CC40">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7105EB88">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健康</w:t>
            </w:r>
          </w:p>
          <w:p w14:paraId="5EF4465B">
            <w:pPr>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shd w:val="clear" w:color="auto" w:fill="FFFFFF"/>
                <w:lang w:val="en-US" w:eastAsia="zh-CN"/>
              </w:rPr>
              <w:t>监测</w:t>
            </w:r>
          </w:p>
        </w:tc>
        <w:tc>
          <w:tcPr>
            <w:tcW w:w="4007" w:type="dxa"/>
            <w:vAlign w:val="center"/>
          </w:tcPr>
          <w:p w14:paraId="34527DC6">
            <w:pPr>
              <w:spacing w:line="240" w:lineRule="auto"/>
              <w:jc w:val="both"/>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为服务对象测量血糖</w:t>
            </w:r>
          </w:p>
        </w:tc>
        <w:tc>
          <w:tcPr>
            <w:tcW w:w="900" w:type="dxa"/>
            <w:vAlign w:val="center"/>
          </w:tcPr>
          <w:p w14:paraId="02437D9A">
            <w:pPr>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w:t>
            </w:r>
          </w:p>
        </w:tc>
        <w:tc>
          <w:tcPr>
            <w:tcW w:w="1056" w:type="dxa"/>
            <w:shd w:val="clear" w:color="auto" w:fill="auto"/>
            <w:vAlign w:val="center"/>
          </w:tcPr>
          <w:p w14:paraId="2FB09655">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10元/次</w:t>
            </w:r>
          </w:p>
        </w:tc>
      </w:tr>
      <w:tr w14:paraId="79F9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restart"/>
            <w:vAlign w:val="center"/>
          </w:tcPr>
          <w:p w14:paraId="39DA9DD3">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委托代办服务</w:t>
            </w:r>
          </w:p>
        </w:tc>
        <w:tc>
          <w:tcPr>
            <w:tcW w:w="570" w:type="dxa"/>
            <w:vAlign w:val="top"/>
          </w:tcPr>
          <w:p w14:paraId="27EE5460">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代购日常用品</w:t>
            </w:r>
          </w:p>
        </w:tc>
        <w:tc>
          <w:tcPr>
            <w:tcW w:w="1511" w:type="dxa"/>
            <w:vAlign w:val="center"/>
          </w:tcPr>
          <w:p w14:paraId="08D09F09">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代购日常生活用品、果蔬等</w:t>
            </w:r>
          </w:p>
        </w:tc>
        <w:tc>
          <w:tcPr>
            <w:tcW w:w="656" w:type="dxa"/>
            <w:vAlign w:val="center"/>
          </w:tcPr>
          <w:p w14:paraId="050BBEAD">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代购</w:t>
            </w:r>
          </w:p>
          <w:p w14:paraId="264B8688">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物品</w:t>
            </w:r>
          </w:p>
        </w:tc>
        <w:tc>
          <w:tcPr>
            <w:tcW w:w="4007" w:type="dxa"/>
            <w:vAlign w:val="center"/>
          </w:tcPr>
          <w:p w14:paraId="51ACF52A">
            <w:pPr>
              <w:spacing w:line="240" w:lineRule="auto"/>
              <w:jc w:val="both"/>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b w:val="0"/>
                <w:color w:val="auto"/>
                <w:sz w:val="20"/>
                <w:szCs w:val="20"/>
                <w:vertAlign w:val="baseline"/>
                <w:lang w:val="en-US" w:eastAsia="zh-CN" w:bidi="zh-CN"/>
              </w:rPr>
              <w:t>代购日常生活用品、果蔬等，材料费用由老人自理。</w:t>
            </w:r>
          </w:p>
        </w:tc>
        <w:tc>
          <w:tcPr>
            <w:tcW w:w="900" w:type="dxa"/>
            <w:vAlign w:val="center"/>
          </w:tcPr>
          <w:p w14:paraId="286A1D65">
            <w:pPr>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w:t>
            </w:r>
          </w:p>
        </w:tc>
        <w:tc>
          <w:tcPr>
            <w:tcW w:w="1056" w:type="dxa"/>
            <w:shd w:val="clear" w:color="auto" w:fill="auto"/>
            <w:vAlign w:val="center"/>
          </w:tcPr>
          <w:p w14:paraId="19C605C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6元/次</w:t>
            </w:r>
          </w:p>
        </w:tc>
      </w:tr>
      <w:tr w14:paraId="4AD7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02D727BE">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top"/>
          </w:tcPr>
          <w:p w14:paraId="1AC98B47">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代缴日常费用</w:t>
            </w:r>
          </w:p>
        </w:tc>
        <w:tc>
          <w:tcPr>
            <w:tcW w:w="1511" w:type="dxa"/>
            <w:vAlign w:val="center"/>
          </w:tcPr>
          <w:p w14:paraId="56326783">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代缴水、电、气、通讯费等日常费用</w:t>
            </w:r>
          </w:p>
        </w:tc>
        <w:tc>
          <w:tcPr>
            <w:tcW w:w="656" w:type="dxa"/>
            <w:vAlign w:val="center"/>
          </w:tcPr>
          <w:p w14:paraId="0D4B7415">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代缴</w:t>
            </w:r>
          </w:p>
          <w:p w14:paraId="7C56F491">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费用</w:t>
            </w:r>
          </w:p>
        </w:tc>
        <w:tc>
          <w:tcPr>
            <w:tcW w:w="4007" w:type="dxa"/>
            <w:vAlign w:val="center"/>
          </w:tcPr>
          <w:p w14:paraId="6173F45D">
            <w:pPr>
              <w:spacing w:line="240" w:lineRule="auto"/>
              <w:jc w:val="both"/>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b w:val="0"/>
                <w:color w:val="auto"/>
                <w:sz w:val="20"/>
                <w:szCs w:val="20"/>
                <w:vertAlign w:val="baseline"/>
                <w:lang w:val="en-US" w:eastAsia="zh-CN" w:bidi="zh-CN"/>
              </w:rPr>
              <w:t>代缴水、电、气、通讯费等日常费用，缴纳费用由老人自理。</w:t>
            </w:r>
          </w:p>
        </w:tc>
        <w:tc>
          <w:tcPr>
            <w:tcW w:w="900" w:type="dxa"/>
            <w:vAlign w:val="center"/>
          </w:tcPr>
          <w:p w14:paraId="02380454">
            <w:pPr>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w:t>
            </w:r>
          </w:p>
        </w:tc>
        <w:tc>
          <w:tcPr>
            <w:tcW w:w="1056" w:type="dxa"/>
            <w:shd w:val="clear" w:color="auto" w:fill="auto"/>
            <w:vAlign w:val="center"/>
          </w:tcPr>
          <w:p w14:paraId="1CA3AAB7">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6元/次</w:t>
            </w:r>
          </w:p>
        </w:tc>
      </w:tr>
      <w:tr w14:paraId="3762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02C60527">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top"/>
          </w:tcPr>
          <w:p w14:paraId="6B287C46">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代订代取业务</w:t>
            </w:r>
          </w:p>
        </w:tc>
        <w:tc>
          <w:tcPr>
            <w:tcW w:w="1511" w:type="dxa"/>
            <w:vAlign w:val="center"/>
          </w:tcPr>
          <w:p w14:paraId="25318203">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代订车票、预约车辆，代取送信函、文件和物品等</w:t>
            </w:r>
          </w:p>
        </w:tc>
        <w:tc>
          <w:tcPr>
            <w:tcW w:w="656" w:type="dxa"/>
            <w:vAlign w:val="center"/>
          </w:tcPr>
          <w:p w14:paraId="6E646A3B">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代订</w:t>
            </w:r>
          </w:p>
          <w:p w14:paraId="00200181">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服务</w:t>
            </w:r>
          </w:p>
        </w:tc>
        <w:tc>
          <w:tcPr>
            <w:tcW w:w="4007" w:type="dxa"/>
            <w:vAlign w:val="center"/>
          </w:tcPr>
          <w:p w14:paraId="52C58EA0">
            <w:pPr>
              <w:spacing w:line="240" w:lineRule="auto"/>
              <w:jc w:val="both"/>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b w:val="0"/>
                <w:color w:val="auto"/>
                <w:sz w:val="20"/>
                <w:szCs w:val="20"/>
                <w:vertAlign w:val="baseline"/>
                <w:lang w:val="en-US" w:eastAsia="zh-CN" w:bidi="zh-CN"/>
              </w:rPr>
              <w:t>代订车票、预约车辆，代取送信函、文件和物品等，订购费用由老人自理。</w:t>
            </w:r>
          </w:p>
        </w:tc>
        <w:tc>
          <w:tcPr>
            <w:tcW w:w="900" w:type="dxa"/>
            <w:vAlign w:val="center"/>
          </w:tcPr>
          <w:p w14:paraId="158B4C34">
            <w:pPr>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w:t>
            </w:r>
          </w:p>
        </w:tc>
        <w:tc>
          <w:tcPr>
            <w:tcW w:w="1056" w:type="dxa"/>
            <w:shd w:val="clear" w:color="auto" w:fill="auto"/>
            <w:vAlign w:val="center"/>
          </w:tcPr>
          <w:p w14:paraId="67E54453">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5元/次</w:t>
            </w:r>
          </w:p>
        </w:tc>
      </w:tr>
      <w:tr w14:paraId="4E55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7E76899A">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top"/>
          </w:tcPr>
          <w:p w14:paraId="23EBC6D1">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代为申请服务</w:t>
            </w:r>
          </w:p>
        </w:tc>
        <w:tc>
          <w:tcPr>
            <w:tcW w:w="1511" w:type="dxa"/>
            <w:vAlign w:val="center"/>
          </w:tcPr>
          <w:p w14:paraId="204ABD7D">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代为申请法律援助、救助服务等</w:t>
            </w:r>
          </w:p>
        </w:tc>
        <w:tc>
          <w:tcPr>
            <w:tcW w:w="656" w:type="dxa"/>
            <w:vAlign w:val="center"/>
          </w:tcPr>
          <w:p w14:paraId="778C15F4">
            <w:pPr>
              <w:spacing w:line="240" w:lineRule="auto"/>
              <w:jc w:val="center"/>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代为申请服务</w:t>
            </w:r>
          </w:p>
        </w:tc>
        <w:tc>
          <w:tcPr>
            <w:tcW w:w="4007" w:type="dxa"/>
            <w:vAlign w:val="center"/>
          </w:tcPr>
          <w:p w14:paraId="552D7475">
            <w:pPr>
              <w:spacing w:line="240" w:lineRule="auto"/>
              <w:jc w:val="both"/>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b w:val="0"/>
                <w:color w:val="auto"/>
                <w:sz w:val="20"/>
                <w:szCs w:val="20"/>
                <w:vertAlign w:val="baseline"/>
                <w:lang w:val="en-US" w:eastAsia="zh-CN" w:bidi="zh-CN"/>
              </w:rPr>
              <w:t>代为申请法律援助、救助服务等</w:t>
            </w:r>
          </w:p>
        </w:tc>
        <w:tc>
          <w:tcPr>
            <w:tcW w:w="900" w:type="dxa"/>
            <w:vAlign w:val="center"/>
          </w:tcPr>
          <w:p w14:paraId="6AEE0BC4">
            <w:pPr>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w:t>
            </w:r>
          </w:p>
        </w:tc>
        <w:tc>
          <w:tcPr>
            <w:tcW w:w="1056" w:type="dxa"/>
            <w:shd w:val="clear" w:color="auto" w:fill="auto"/>
            <w:vAlign w:val="center"/>
          </w:tcPr>
          <w:p w14:paraId="36C374AE">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5</w:t>
            </w:r>
            <w:r>
              <w:rPr>
                <w:rFonts w:hint="eastAsia"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元/次</w:t>
            </w:r>
          </w:p>
        </w:tc>
      </w:tr>
      <w:tr w14:paraId="5F39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restart"/>
            <w:vAlign w:val="center"/>
          </w:tcPr>
          <w:p w14:paraId="4FC10BF4">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精神慰藉服务</w:t>
            </w:r>
          </w:p>
        </w:tc>
        <w:tc>
          <w:tcPr>
            <w:tcW w:w="570" w:type="dxa"/>
            <w:vAlign w:val="center"/>
          </w:tcPr>
          <w:p w14:paraId="6B3D8AF2">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陪伴支持</w:t>
            </w:r>
          </w:p>
        </w:tc>
        <w:tc>
          <w:tcPr>
            <w:tcW w:w="1511" w:type="dxa"/>
            <w:vAlign w:val="top"/>
          </w:tcPr>
          <w:p w14:paraId="0C16669A">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定期协助有意愿的老年人外出活动或前往服务机构参加集体活动</w:t>
            </w:r>
          </w:p>
        </w:tc>
        <w:tc>
          <w:tcPr>
            <w:tcW w:w="656" w:type="dxa"/>
            <w:vAlign w:val="center"/>
          </w:tcPr>
          <w:p w14:paraId="70736422">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陪伴</w:t>
            </w:r>
          </w:p>
          <w:p w14:paraId="410C29F6">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支持</w:t>
            </w:r>
          </w:p>
        </w:tc>
        <w:tc>
          <w:tcPr>
            <w:tcW w:w="4007" w:type="dxa"/>
            <w:vAlign w:val="center"/>
          </w:tcPr>
          <w:p w14:paraId="454569C4">
            <w:pPr>
              <w:spacing w:line="240" w:lineRule="auto"/>
              <w:jc w:val="both"/>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定期协助有意愿的老年人外出活动或前往服务机构参加集体活动</w:t>
            </w:r>
          </w:p>
        </w:tc>
        <w:tc>
          <w:tcPr>
            <w:tcW w:w="900" w:type="dxa"/>
            <w:vAlign w:val="center"/>
          </w:tcPr>
          <w:p w14:paraId="4656A4A4">
            <w:pPr>
              <w:spacing w:line="240" w:lineRule="auto"/>
              <w:jc w:val="both"/>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≧15分钟</w:t>
            </w:r>
          </w:p>
        </w:tc>
        <w:tc>
          <w:tcPr>
            <w:tcW w:w="1056" w:type="dxa"/>
            <w:shd w:val="clear" w:color="auto" w:fill="auto"/>
            <w:vAlign w:val="center"/>
          </w:tcPr>
          <w:p w14:paraId="7AA7F2EB">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3</w:t>
            </w:r>
            <w:r>
              <w:rPr>
                <w:rFonts w:hint="eastAsia"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元/次</w:t>
            </w:r>
          </w:p>
        </w:tc>
      </w:tr>
      <w:tr w14:paraId="166A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54D9C15E">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center"/>
          </w:tcPr>
          <w:p w14:paraId="7F8ACEC6">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情绪疏导</w:t>
            </w:r>
          </w:p>
        </w:tc>
        <w:tc>
          <w:tcPr>
            <w:tcW w:w="1511" w:type="dxa"/>
            <w:vAlign w:val="top"/>
          </w:tcPr>
          <w:p w14:paraId="328D6F93">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与老年人进行谈心、交流，耐心倾听老年人的诉说</w:t>
            </w:r>
          </w:p>
        </w:tc>
        <w:tc>
          <w:tcPr>
            <w:tcW w:w="656" w:type="dxa"/>
            <w:vAlign w:val="center"/>
          </w:tcPr>
          <w:p w14:paraId="3BAA2DF5">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情绪</w:t>
            </w:r>
          </w:p>
          <w:p w14:paraId="372E588A">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疏导</w:t>
            </w:r>
          </w:p>
        </w:tc>
        <w:tc>
          <w:tcPr>
            <w:tcW w:w="4007" w:type="dxa"/>
            <w:vAlign w:val="center"/>
          </w:tcPr>
          <w:p w14:paraId="330E4B51">
            <w:pPr>
              <w:spacing w:line="240" w:lineRule="auto"/>
              <w:jc w:val="both"/>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与老年人进行谈心、交流，耐心倾听老年人的诉说</w:t>
            </w:r>
          </w:p>
        </w:tc>
        <w:tc>
          <w:tcPr>
            <w:tcW w:w="900" w:type="dxa"/>
            <w:vAlign w:val="center"/>
          </w:tcPr>
          <w:p w14:paraId="5D7506B5">
            <w:pPr>
              <w:spacing w:line="240" w:lineRule="auto"/>
              <w:jc w:val="both"/>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≧15分钟</w:t>
            </w:r>
          </w:p>
        </w:tc>
        <w:tc>
          <w:tcPr>
            <w:tcW w:w="1056" w:type="dxa"/>
            <w:shd w:val="clear" w:color="auto" w:fill="auto"/>
            <w:vAlign w:val="center"/>
          </w:tcPr>
          <w:p w14:paraId="2A17693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3</w:t>
            </w:r>
            <w:r>
              <w:rPr>
                <w:rFonts w:hint="eastAsia"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元/次</w:t>
            </w:r>
          </w:p>
        </w:tc>
      </w:tr>
      <w:tr w14:paraId="5FED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549D79A9">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Align w:val="center"/>
          </w:tcPr>
          <w:p w14:paraId="2408205F">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心理慰藉</w:t>
            </w:r>
          </w:p>
        </w:tc>
        <w:tc>
          <w:tcPr>
            <w:tcW w:w="1511" w:type="dxa"/>
            <w:vAlign w:val="top"/>
          </w:tcPr>
          <w:p w14:paraId="47DE0D29">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通过心理健康教育、心理干预手段调整老年人心理状态</w:t>
            </w:r>
          </w:p>
        </w:tc>
        <w:tc>
          <w:tcPr>
            <w:tcW w:w="656" w:type="dxa"/>
            <w:vAlign w:val="center"/>
          </w:tcPr>
          <w:p w14:paraId="092EA5DD">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心理</w:t>
            </w:r>
          </w:p>
          <w:p w14:paraId="0A0193CD">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慰藉</w:t>
            </w:r>
          </w:p>
        </w:tc>
        <w:tc>
          <w:tcPr>
            <w:tcW w:w="4007" w:type="dxa"/>
            <w:vAlign w:val="center"/>
          </w:tcPr>
          <w:p w14:paraId="6E1DE893">
            <w:pPr>
              <w:spacing w:line="240" w:lineRule="auto"/>
              <w:jc w:val="both"/>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通过心理健康教育、心理干预手段调整老年人心理状态</w:t>
            </w:r>
          </w:p>
        </w:tc>
        <w:tc>
          <w:tcPr>
            <w:tcW w:w="900" w:type="dxa"/>
            <w:vAlign w:val="center"/>
          </w:tcPr>
          <w:p w14:paraId="7C98F314">
            <w:pPr>
              <w:spacing w:line="240" w:lineRule="auto"/>
              <w:jc w:val="both"/>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≧15分钟</w:t>
            </w:r>
          </w:p>
        </w:tc>
        <w:tc>
          <w:tcPr>
            <w:tcW w:w="1056" w:type="dxa"/>
            <w:shd w:val="clear" w:color="auto" w:fill="auto"/>
            <w:vAlign w:val="center"/>
          </w:tcPr>
          <w:p w14:paraId="180F9A51">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30元/次</w:t>
            </w:r>
          </w:p>
        </w:tc>
      </w:tr>
      <w:tr w14:paraId="3F85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restart"/>
            <w:vAlign w:val="center"/>
          </w:tcPr>
          <w:p w14:paraId="7B8C186F">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家政服务</w:t>
            </w:r>
          </w:p>
        </w:tc>
        <w:tc>
          <w:tcPr>
            <w:tcW w:w="570" w:type="dxa"/>
            <w:vMerge w:val="restart"/>
            <w:vAlign w:val="center"/>
          </w:tcPr>
          <w:p w14:paraId="34972B7C">
            <w:pPr>
              <w:pStyle w:val="3"/>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家具清洗、维修服务</w:t>
            </w:r>
          </w:p>
        </w:tc>
        <w:tc>
          <w:tcPr>
            <w:tcW w:w="1511" w:type="dxa"/>
            <w:vMerge w:val="restart"/>
            <w:vAlign w:val="center"/>
          </w:tcPr>
          <w:p w14:paraId="0DEF54E9">
            <w:pPr>
              <w:pStyle w:val="3"/>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为老年人提供家具清洗、维修</w:t>
            </w:r>
          </w:p>
        </w:tc>
        <w:tc>
          <w:tcPr>
            <w:tcW w:w="656" w:type="dxa"/>
            <w:vAlign w:val="center"/>
          </w:tcPr>
          <w:p w14:paraId="25B8336C">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油烟机清洗</w:t>
            </w:r>
          </w:p>
        </w:tc>
        <w:tc>
          <w:tcPr>
            <w:tcW w:w="4007" w:type="dxa"/>
            <w:vAlign w:val="center"/>
          </w:tcPr>
          <w:p w14:paraId="0CBC113F">
            <w:pPr>
              <w:spacing w:line="240" w:lineRule="auto"/>
              <w:jc w:val="both"/>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为服务对象提供清洗油烟机服务</w:t>
            </w:r>
          </w:p>
        </w:tc>
        <w:tc>
          <w:tcPr>
            <w:tcW w:w="900" w:type="dxa"/>
            <w:vAlign w:val="center"/>
          </w:tcPr>
          <w:p w14:paraId="7929CCDC">
            <w:pPr>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lang w:val="en-US" w:eastAsia="zh-CN" w:bidi="zh-CN"/>
              </w:rPr>
              <w:t>≧10分钟</w:t>
            </w:r>
          </w:p>
        </w:tc>
        <w:tc>
          <w:tcPr>
            <w:tcW w:w="1056" w:type="dxa"/>
            <w:shd w:val="clear" w:color="auto" w:fill="auto"/>
            <w:vAlign w:val="center"/>
          </w:tcPr>
          <w:p w14:paraId="77BCFECB">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26元/次</w:t>
            </w:r>
          </w:p>
        </w:tc>
      </w:tr>
      <w:tr w14:paraId="5E72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1CE97B1A">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0EFB941C">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51F39707">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2605AF0F">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冰箱</w:t>
            </w:r>
          </w:p>
          <w:p w14:paraId="23671259">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清洗</w:t>
            </w:r>
          </w:p>
        </w:tc>
        <w:tc>
          <w:tcPr>
            <w:tcW w:w="4007" w:type="dxa"/>
            <w:vAlign w:val="center"/>
          </w:tcPr>
          <w:p w14:paraId="668175CF">
            <w:pPr>
              <w:spacing w:line="240" w:lineRule="auto"/>
              <w:jc w:val="both"/>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为服务对象提供清洗冰箱服务</w:t>
            </w:r>
          </w:p>
        </w:tc>
        <w:tc>
          <w:tcPr>
            <w:tcW w:w="900" w:type="dxa"/>
            <w:vAlign w:val="center"/>
          </w:tcPr>
          <w:p w14:paraId="5099070B">
            <w:pPr>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lang w:val="en-US" w:eastAsia="zh-CN" w:bidi="zh-CN"/>
              </w:rPr>
              <w:t>≧10分钟</w:t>
            </w:r>
          </w:p>
        </w:tc>
        <w:tc>
          <w:tcPr>
            <w:tcW w:w="1056" w:type="dxa"/>
            <w:shd w:val="clear" w:color="auto" w:fill="auto"/>
            <w:vAlign w:val="center"/>
          </w:tcPr>
          <w:p w14:paraId="31CA8512">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26元/次</w:t>
            </w:r>
          </w:p>
        </w:tc>
      </w:tr>
      <w:tr w14:paraId="2756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Merge w:val="continue"/>
            <w:vAlign w:val="center"/>
          </w:tcPr>
          <w:p w14:paraId="7B9CAA28">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570" w:type="dxa"/>
            <w:vMerge w:val="continue"/>
            <w:vAlign w:val="center"/>
          </w:tcPr>
          <w:p w14:paraId="26D27515">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1511" w:type="dxa"/>
            <w:vMerge w:val="continue"/>
            <w:vAlign w:val="center"/>
          </w:tcPr>
          <w:p w14:paraId="6F26FB2F">
            <w:pPr>
              <w:pStyle w:val="3"/>
              <w:adjustRightInd w:val="0"/>
              <w:snapToGrid w:val="0"/>
              <w:spacing w:line="240" w:lineRule="auto"/>
              <w:jc w:val="center"/>
              <w:rPr>
                <w:rFonts w:hint="eastAsia" w:ascii="宋体" w:hAnsi="宋体" w:eastAsia="宋体" w:cs="宋体"/>
                <w:b w:val="0"/>
                <w:color w:val="auto"/>
                <w:sz w:val="20"/>
                <w:szCs w:val="20"/>
                <w:vertAlign w:val="baseline"/>
              </w:rPr>
            </w:pPr>
          </w:p>
        </w:tc>
        <w:tc>
          <w:tcPr>
            <w:tcW w:w="656" w:type="dxa"/>
            <w:vAlign w:val="center"/>
          </w:tcPr>
          <w:p w14:paraId="28AF5DD2">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维修</w:t>
            </w:r>
          </w:p>
          <w:p w14:paraId="70A43295">
            <w:pPr>
              <w:spacing w:line="240" w:lineRule="auto"/>
              <w:jc w:val="center"/>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服务</w:t>
            </w:r>
          </w:p>
        </w:tc>
        <w:tc>
          <w:tcPr>
            <w:tcW w:w="4007" w:type="dxa"/>
            <w:vAlign w:val="center"/>
          </w:tcPr>
          <w:p w14:paraId="64225A0C">
            <w:pPr>
              <w:spacing w:line="240" w:lineRule="auto"/>
              <w:jc w:val="both"/>
              <w:rPr>
                <w:rFonts w:hint="eastAsia" w:ascii="宋体" w:hAnsi="宋体" w:eastAsia="宋体" w:cs="宋体"/>
                <w:b w:val="0"/>
                <w:color w:val="auto"/>
                <w:sz w:val="20"/>
                <w:szCs w:val="20"/>
                <w:vertAlign w:val="baseline"/>
                <w:lang w:val="en-US" w:eastAsia="zh-CN" w:bidi="zh-CN"/>
              </w:rPr>
            </w:pPr>
            <w:r>
              <w:rPr>
                <w:rFonts w:hint="eastAsia" w:ascii="宋体" w:hAnsi="宋体" w:eastAsia="宋体" w:cs="宋体"/>
                <w:b w:val="0"/>
                <w:color w:val="auto"/>
                <w:sz w:val="20"/>
                <w:szCs w:val="20"/>
                <w:vertAlign w:val="baseline"/>
                <w:lang w:val="en-US" w:eastAsia="zh-CN" w:bidi="zh-CN"/>
              </w:rPr>
              <w:t>为服务对象提供寻找、监督通下水道、修门开锁、水电维修、家电维修、家电安装等特殊服务（按维修项目收取市场价）</w:t>
            </w:r>
          </w:p>
        </w:tc>
        <w:tc>
          <w:tcPr>
            <w:tcW w:w="900" w:type="dxa"/>
            <w:vAlign w:val="center"/>
          </w:tcPr>
          <w:p w14:paraId="210D709E">
            <w:pPr>
              <w:pStyle w:val="3"/>
              <w:adjustRightInd w:val="0"/>
              <w:snapToGrid w:val="0"/>
              <w:spacing w:line="240" w:lineRule="auto"/>
              <w:jc w:val="center"/>
              <w:rPr>
                <w:rFonts w:hint="eastAsia" w:ascii="宋体" w:hAnsi="宋体" w:eastAsia="宋体" w:cs="宋体"/>
                <w:b w:val="0"/>
                <w:color w:val="auto"/>
                <w:sz w:val="20"/>
                <w:szCs w:val="20"/>
                <w:vertAlign w:val="baseline"/>
              </w:rPr>
            </w:pPr>
            <w:r>
              <w:rPr>
                <w:rFonts w:hint="eastAsia" w:ascii="宋体" w:hAnsi="宋体" w:eastAsia="宋体" w:cs="宋体"/>
                <w:color w:val="auto"/>
                <w:sz w:val="20"/>
                <w:szCs w:val="20"/>
                <w:highlight w:val="none"/>
                <w:vertAlign w:val="baseline"/>
                <w:lang w:val="en-US" w:eastAsia="zh-CN"/>
              </w:rPr>
              <w:t>-</w:t>
            </w:r>
          </w:p>
        </w:tc>
        <w:tc>
          <w:tcPr>
            <w:tcW w:w="1056" w:type="dxa"/>
            <w:shd w:val="clear" w:color="auto" w:fill="auto"/>
            <w:vAlign w:val="center"/>
          </w:tcPr>
          <w:p w14:paraId="7C3E0F7C">
            <w:pPr>
              <w:keepNext w:val="0"/>
              <w:keepLines w:val="0"/>
              <w:widowControl/>
              <w:suppressLineNumbers w:val="0"/>
              <w:jc w:val="center"/>
              <w:textAlignment w:val="center"/>
              <w:rPr>
                <w:rFonts w:hint="eastAsia" w:ascii="宋体" w:hAnsi="宋体" w:eastAsia="宋体" w:cs="宋体"/>
                <w:b w:val="0"/>
                <w:color w:val="auto"/>
                <w:sz w:val="20"/>
                <w:szCs w:val="20"/>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16元/次</w:t>
            </w:r>
          </w:p>
        </w:tc>
      </w:tr>
      <w:tr w14:paraId="386D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603" w:type="dxa"/>
            <w:vAlign w:val="center"/>
          </w:tcPr>
          <w:p w14:paraId="50A705A4">
            <w:pPr>
              <w:pStyle w:val="3"/>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其他服务</w:t>
            </w:r>
          </w:p>
        </w:tc>
        <w:tc>
          <w:tcPr>
            <w:tcW w:w="570" w:type="dxa"/>
            <w:vAlign w:val="center"/>
          </w:tcPr>
          <w:p w14:paraId="0A6D7D9D">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w:t>
            </w:r>
          </w:p>
        </w:tc>
        <w:tc>
          <w:tcPr>
            <w:tcW w:w="1511" w:type="dxa"/>
            <w:vAlign w:val="center"/>
          </w:tcPr>
          <w:p w14:paraId="41D56608">
            <w:pPr>
              <w:pStyle w:val="3"/>
              <w:adjustRightInd w:val="0"/>
              <w:snapToGrid w:val="0"/>
              <w:spacing w:line="240" w:lineRule="auto"/>
              <w:jc w:val="center"/>
              <w:rPr>
                <w:rFonts w:hint="default"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w:t>
            </w:r>
          </w:p>
        </w:tc>
        <w:tc>
          <w:tcPr>
            <w:tcW w:w="656" w:type="dxa"/>
            <w:vAlign w:val="center"/>
          </w:tcPr>
          <w:p w14:paraId="13AB28EE">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w:t>
            </w:r>
          </w:p>
        </w:tc>
        <w:tc>
          <w:tcPr>
            <w:tcW w:w="4007" w:type="dxa"/>
            <w:vAlign w:val="center"/>
          </w:tcPr>
          <w:p w14:paraId="3450BAD2">
            <w:pPr>
              <w:pStyle w:val="3"/>
              <w:adjustRightInd w:val="0"/>
              <w:snapToGrid w:val="0"/>
              <w:spacing w:line="240" w:lineRule="auto"/>
              <w:jc w:val="left"/>
              <w:rPr>
                <w:rFonts w:hint="eastAsia" w:ascii="宋体" w:hAnsi="宋体" w:eastAsia="宋体" w:cs="宋体"/>
                <w:b w:val="0"/>
                <w:color w:val="auto"/>
                <w:sz w:val="20"/>
                <w:szCs w:val="20"/>
                <w:vertAlign w:val="baseline"/>
              </w:rPr>
            </w:pPr>
            <w:r>
              <w:rPr>
                <w:rFonts w:hint="eastAsia" w:ascii="宋体" w:hAnsi="宋体" w:eastAsia="宋体" w:cs="宋体"/>
                <w:b w:val="0"/>
                <w:color w:val="auto"/>
                <w:sz w:val="20"/>
                <w:szCs w:val="20"/>
                <w:vertAlign w:val="baseline"/>
              </w:rPr>
              <w:t>1.开展延伸和拓展服务须取得老人认同，并具备相应资质及经营范围，须书面上报区民政局同意并备案；2.服务价格参照上述服务类别执行。</w:t>
            </w:r>
          </w:p>
        </w:tc>
        <w:tc>
          <w:tcPr>
            <w:tcW w:w="900" w:type="dxa"/>
            <w:vAlign w:val="center"/>
          </w:tcPr>
          <w:p w14:paraId="6F92E874">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ascii="宋体" w:hAnsi="宋体" w:eastAsia="宋体" w:cs="宋体"/>
                <w:b w:val="0"/>
                <w:color w:val="auto"/>
                <w:sz w:val="20"/>
                <w:szCs w:val="20"/>
                <w:vertAlign w:val="baseline"/>
                <w:lang w:val="en-US" w:eastAsia="zh-CN"/>
              </w:rPr>
              <w:t>-</w:t>
            </w:r>
          </w:p>
        </w:tc>
        <w:tc>
          <w:tcPr>
            <w:tcW w:w="1056" w:type="dxa"/>
            <w:vAlign w:val="center"/>
          </w:tcPr>
          <w:p w14:paraId="0B3FB194">
            <w:pPr>
              <w:pStyle w:val="3"/>
              <w:adjustRightInd w:val="0"/>
              <w:snapToGrid w:val="0"/>
              <w:spacing w:line="240" w:lineRule="auto"/>
              <w:jc w:val="center"/>
              <w:rPr>
                <w:rFonts w:hint="eastAsia" w:ascii="宋体" w:hAnsi="宋体" w:eastAsia="宋体" w:cs="宋体"/>
                <w:b w:val="0"/>
                <w:color w:val="auto"/>
                <w:sz w:val="20"/>
                <w:szCs w:val="20"/>
                <w:vertAlign w:val="baseline"/>
                <w:lang w:val="en-US" w:eastAsia="zh-CN"/>
              </w:rPr>
            </w:pPr>
            <w:r>
              <w:rPr>
                <w:rFonts w:hint="eastAsia" w:cs="宋体"/>
                <w:b w:val="0"/>
                <w:color w:val="auto"/>
                <w:sz w:val="20"/>
                <w:szCs w:val="20"/>
                <w:vertAlign w:val="baseline"/>
                <w:lang w:val="en-US" w:eastAsia="zh-CN"/>
              </w:rPr>
              <w:t>/</w:t>
            </w:r>
          </w:p>
        </w:tc>
      </w:tr>
    </w:tbl>
    <w:p w14:paraId="07209F00">
      <w:pPr>
        <w:pStyle w:val="3"/>
        <w:adjustRightInd w:val="0"/>
        <w:snapToGrid w:val="0"/>
        <w:spacing w:line="360" w:lineRule="auto"/>
        <w:ind w:firstLine="0" w:firstLineChars="0"/>
        <w:rPr>
          <w:rFonts w:hint="eastAsia" w:ascii="宋体" w:hAnsi="宋体" w:eastAsia="宋体" w:cs="宋体"/>
          <w:b/>
          <w:bCs/>
          <w:color w:val="auto"/>
          <w:sz w:val="24"/>
          <w:szCs w:val="24"/>
          <w:u w:val="none"/>
          <w:lang w:val="en-US" w:eastAsia="zh-CN" w:bidi="zh-CN"/>
        </w:rPr>
      </w:pPr>
    </w:p>
    <w:p w14:paraId="4B56FE18">
      <w:pPr>
        <w:pStyle w:val="3"/>
        <w:adjustRightInd w:val="0"/>
        <w:snapToGrid w:val="0"/>
        <w:spacing w:line="360" w:lineRule="auto"/>
        <w:ind w:firstLine="0" w:firstLineChars="0"/>
        <w:rPr>
          <w:rFonts w:hint="default" w:ascii="宋体" w:hAnsi="宋体" w:eastAsia="宋体" w:cs="宋体"/>
          <w:b/>
          <w:bCs/>
          <w:color w:val="auto"/>
          <w:sz w:val="24"/>
          <w:szCs w:val="24"/>
          <w:u w:val="none"/>
          <w:lang w:val="en-US" w:eastAsia="zh-CN" w:bidi="zh-CN"/>
        </w:rPr>
      </w:pPr>
      <w:r>
        <w:rPr>
          <w:rFonts w:hint="eastAsia" w:ascii="宋体" w:hAnsi="宋体" w:eastAsia="宋体" w:cs="宋体"/>
          <w:b/>
          <w:bCs/>
          <w:color w:val="auto"/>
          <w:sz w:val="24"/>
          <w:szCs w:val="24"/>
          <w:u w:val="none"/>
          <w:lang w:val="en-US" w:eastAsia="zh-CN" w:bidi="zh-CN"/>
        </w:rPr>
        <w:t>六、工作步骤</w:t>
      </w:r>
    </w:p>
    <w:p w14:paraId="61E18333">
      <w:pPr>
        <w:pStyle w:val="3"/>
        <w:adjustRightInd w:val="0"/>
        <w:snapToGrid w:val="0"/>
        <w:spacing w:line="360" w:lineRule="auto"/>
        <w:ind w:left="0" w:firstLine="440" w:firstLineChars="200"/>
        <w:rPr>
          <w:rFonts w:hint="eastAsia" w:ascii="宋体" w:hAnsi="宋体" w:eastAsia="宋体" w:cs="宋体"/>
          <w:b w:val="0"/>
          <w:color w:val="auto"/>
          <w:sz w:val="22"/>
          <w:szCs w:val="22"/>
        </w:rPr>
      </w:pPr>
      <w:r>
        <w:rPr>
          <w:rFonts w:hint="eastAsia" w:cs="宋体"/>
          <w:b w:val="0"/>
          <w:color w:val="auto"/>
          <w:sz w:val="22"/>
          <w:szCs w:val="22"/>
          <w:lang w:val="en-US" w:eastAsia="zh-CN"/>
        </w:rPr>
        <w:t>1.</w:t>
      </w:r>
      <w:r>
        <w:rPr>
          <w:rFonts w:hint="eastAsia" w:ascii="宋体" w:hAnsi="宋体" w:eastAsia="宋体" w:cs="宋体"/>
          <w:b w:val="0"/>
          <w:color w:val="auto"/>
          <w:sz w:val="22"/>
          <w:szCs w:val="22"/>
        </w:rPr>
        <w:t>确定对象：根据老年人能力评估筛选出的困难老年人中失能部分失能人员，由老年人家庭提出改造申请，填写《温州市苍南县家庭养老照护床位建床申请表》，审核认定对象进行公示。</w:t>
      </w:r>
    </w:p>
    <w:p w14:paraId="78E58E33">
      <w:pPr>
        <w:pStyle w:val="3"/>
        <w:adjustRightInd w:val="0"/>
        <w:snapToGrid w:val="0"/>
        <w:spacing w:line="360" w:lineRule="auto"/>
        <w:ind w:left="0" w:firstLine="440" w:firstLineChars="200"/>
        <w:rPr>
          <w:rFonts w:hint="eastAsia" w:ascii="宋体" w:hAnsi="宋体" w:eastAsia="宋体" w:cs="宋体"/>
          <w:b w:val="0"/>
          <w:color w:val="auto"/>
          <w:sz w:val="22"/>
          <w:szCs w:val="22"/>
        </w:rPr>
      </w:pPr>
      <w:r>
        <w:rPr>
          <w:rFonts w:hint="eastAsia" w:cs="宋体"/>
          <w:b w:val="0"/>
          <w:color w:val="auto"/>
          <w:sz w:val="22"/>
          <w:szCs w:val="22"/>
          <w:lang w:val="en-US" w:eastAsia="zh-CN"/>
        </w:rPr>
        <w:t>2.</w:t>
      </w:r>
      <w:r>
        <w:rPr>
          <w:rFonts w:hint="eastAsia" w:ascii="宋体" w:hAnsi="宋体" w:eastAsia="宋体" w:cs="宋体"/>
          <w:b w:val="0"/>
          <w:color w:val="auto"/>
          <w:sz w:val="22"/>
          <w:szCs w:val="22"/>
        </w:rPr>
        <w:t>评估设计：按照政府采购相关规定，确定家庭养老床位改造机构，需求评估，提出改造方案，经老年人家庭确认签字后</w:t>
      </w:r>
      <w:r>
        <w:rPr>
          <w:rFonts w:hint="eastAsia" w:ascii="宋体" w:hAnsi="宋体" w:eastAsia="宋体" w:cs="宋体"/>
          <w:b w:val="0"/>
          <w:bCs w:val="0"/>
          <w:color w:val="auto"/>
          <w:sz w:val="22"/>
          <w:szCs w:val="22"/>
        </w:rPr>
        <w:t>。</w:t>
      </w:r>
    </w:p>
    <w:p w14:paraId="023F12AF">
      <w:pPr>
        <w:pStyle w:val="3"/>
        <w:adjustRightInd w:val="0"/>
        <w:snapToGrid w:val="0"/>
        <w:spacing w:line="360" w:lineRule="auto"/>
        <w:ind w:left="0" w:firstLine="440" w:firstLineChars="200"/>
        <w:rPr>
          <w:rFonts w:hint="eastAsia" w:ascii="宋体" w:hAnsi="宋体" w:eastAsia="宋体" w:cs="宋体"/>
          <w:b w:val="0"/>
          <w:color w:val="auto"/>
          <w:sz w:val="22"/>
          <w:szCs w:val="22"/>
        </w:rPr>
      </w:pPr>
      <w:r>
        <w:rPr>
          <w:rFonts w:hint="eastAsia" w:cs="宋体"/>
          <w:b w:val="0"/>
          <w:color w:val="auto"/>
          <w:sz w:val="22"/>
          <w:szCs w:val="22"/>
          <w:lang w:val="en-US" w:eastAsia="zh-CN"/>
        </w:rPr>
        <w:t>3.</w:t>
      </w:r>
      <w:r>
        <w:rPr>
          <w:rFonts w:hint="eastAsia" w:ascii="宋体" w:hAnsi="宋体" w:eastAsia="宋体" w:cs="宋体"/>
          <w:b w:val="0"/>
          <w:color w:val="auto"/>
          <w:sz w:val="22"/>
          <w:szCs w:val="22"/>
        </w:rPr>
        <w:t>改造实施：改造服务机构按照审批后的方案实施改造，改造过程中广泛听取老人及家属的意见，及时发现并修正问题，确保效果。改造完成后，改造服务机构要建立完整的改造档案，并将相关改造信息资料录入信息管理系统。</w:t>
      </w:r>
    </w:p>
    <w:p w14:paraId="494BCAF7">
      <w:pPr>
        <w:pStyle w:val="3"/>
        <w:adjustRightInd w:val="0"/>
        <w:snapToGrid w:val="0"/>
        <w:spacing w:line="360" w:lineRule="auto"/>
        <w:ind w:left="0" w:firstLine="440" w:firstLineChars="200"/>
        <w:rPr>
          <w:rFonts w:hint="eastAsia" w:ascii="宋体" w:hAnsi="宋体" w:eastAsia="宋体" w:cs="宋体"/>
          <w:b w:val="0"/>
          <w:color w:val="auto"/>
          <w:sz w:val="22"/>
          <w:szCs w:val="22"/>
        </w:rPr>
      </w:pPr>
      <w:r>
        <w:rPr>
          <w:rFonts w:hint="eastAsia" w:cs="宋体"/>
          <w:b w:val="0"/>
          <w:color w:val="auto"/>
          <w:sz w:val="22"/>
          <w:szCs w:val="22"/>
          <w:lang w:val="en-US" w:eastAsia="zh-CN"/>
        </w:rPr>
        <w:t>4.</w:t>
      </w:r>
      <w:r>
        <w:rPr>
          <w:rFonts w:hint="eastAsia" w:ascii="宋体" w:hAnsi="宋体" w:eastAsia="宋体" w:cs="宋体"/>
          <w:b w:val="0"/>
          <w:color w:val="auto"/>
          <w:sz w:val="22"/>
          <w:szCs w:val="22"/>
        </w:rPr>
        <w:t>项目验收：</w:t>
      </w:r>
      <w:r>
        <w:rPr>
          <w:rFonts w:hint="eastAsia" w:cs="宋体"/>
          <w:b w:val="0"/>
          <w:color w:val="auto"/>
          <w:sz w:val="22"/>
          <w:szCs w:val="22"/>
          <w:lang w:val="en-US" w:eastAsia="zh-CN"/>
        </w:rPr>
        <w:t>采购人</w:t>
      </w:r>
      <w:r>
        <w:rPr>
          <w:rFonts w:hint="eastAsia" w:ascii="宋体" w:hAnsi="宋体" w:eastAsia="宋体" w:cs="宋体"/>
          <w:b w:val="0"/>
          <w:color w:val="auto"/>
          <w:sz w:val="22"/>
          <w:szCs w:val="22"/>
        </w:rPr>
        <w:t>按照政府采购相关规定，对设计方案、工程施工、竣工验收、服务追踪的全过程监管。结果作为费用结算和补贴的依据。</w:t>
      </w:r>
    </w:p>
    <w:p w14:paraId="20C912BF">
      <w:pPr>
        <w:pStyle w:val="3"/>
        <w:adjustRightInd w:val="0"/>
        <w:snapToGrid w:val="0"/>
        <w:spacing w:line="360" w:lineRule="auto"/>
        <w:ind w:left="0" w:firstLine="440" w:firstLineChars="200"/>
        <w:rPr>
          <w:rFonts w:hint="eastAsia" w:ascii="宋体" w:hAnsi="宋体" w:eastAsia="宋体" w:cs="宋体"/>
          <w:b w:val="0"/>
          <w:color w:val="auto"/>
          <w:sz w:val="22"/>
          <w:szCs w:val="22"/>
        </w:rPr>
      </w:pPr>
      <w:r>
        <w:rPr>
          <w:rFonts w:hint="eastAsia" w:cs="宋体"/>
          <w:b w:val="0"/>
          <w:color w:val="auto"/>
          <w:sz w:val="22"/>
          <w:szCs w:val="22"/>
          <w:lang w:val="en-US" w:eastAsia="zh-CN"/>
        </w:rPr>
        <w:t>5.</w:t>
      </w:r>
      <w:r>
        <w:rPr>
          <w:rFonts w:hint="eastAsia" w:ascii="宋体" w:hAnsi="宋体" w:eastAsia="宋体" w:cs="宋体"/>
          <w:b w:val="0"/>
          <w:color w:val="auto"/>
          <w:sz w:val="22"/>
          <w:szCs w:val="22"/>
        </w:rPr>
        <w:t>居家上门服务：养老服务机构根据老年人能力评估结果，制定符合服务对象需求的服务方案，建立服务档案，与服务对象签订不少于6个月的服务协议，服务商按照协议约定提供服务。服务对象可在基础服务包补贴之外增购自选项目，自选项目需</w:t>
      </w:r>
      <w:r>
        <w:rPr>
          <w:rFonts w:hint="eastAsia" w:cs="宋体"/>
          <w:b w:val="0"/>
          <w:color w:val="auto"/>
          <w:sz w:val="22"/>
          <w:szCs w:val="22"/>
          <w:lang w:val="en-US" w:eastAsia="zh-CN"/>
        </w:rPr>
        <w:t>服务对象</w:t>
      </w:r>
      <w:r>
        <w:rPr>
          <w:rFonts w:hint="eastAsia" w:ascii="宋体" w:hAnsi="宋体" w:eastAsia="宋体" w:cs="宋体"/>
          <w:b w:val="0"/>
          <w:color w:val="auto"/>
          <w:sz w:val="22"/>
          <w:szCs w:val="22"/>
        </w:rPr>
        <w:t>自行承担服务费用。自选项目收费标准采取市场定价，由服务机构自主确定，并及时报</w:t>
      </w:r>
      <w:r>
        <w:rPr>
          <w:rFonts w:hint="eastAsia" w:cs="宋体"/>
          <w:b w:val="0"/>
          <w:color w:val="auto"/>
          <w:sz w:val="22"/>
          <w:szCs w:val="22"/>
          <w:lang w:val="en-US" w:eastAsia="zh-CN"/>
        </w:rPr>
        <w:t>采购人</w:t>
      </w:r>
      <w:r>
        <w:rPr>
          <w:rFonts w:hint="eastAsia" w:ascii="宋体" w:hAnsi="宋体" w:eastAsia="宋体" w:cs="宋体"/>
          <w:b w:val="0"/>
          <w:color w:val="auto"/>
          <w:sz w:val="22"/>
          <w:szCs w:val="22"/>
        </w:rPr>
        <w:t>。期满不愿继续接受服务的，根据服务对象自主意愿可以终止服务。</w:t>
      </w:r>
    </w:p>
    <w:p w14:paraId="75642785">
      <w:pPr>
        <w:pStyle w:val="3"/>
        <w:adjustRightInd w:val="0"/>
        <w:snapToGrid w:val="0"/>
        <w:spacing w:line="360" w:lineRule="auto"/>
        <w:ind w:firstLine="0" w:firstLineChars="0"/>
        <w:rPr>
          <w:rFonts w:hint="default" w:ascii="宋体" w:hAnsi="宋体" w:eastAsia="宋体" w:cs="宋体"/>
          <w:b/>
          <w:bCs/>
          <w:color w:val="auto"/>
          <w:sz w:val="24"/>
          <w:szCs w:val="24"/>
          <w:u w:val="none"/>
          <w:lang w:val="en-US" w:eastAsia="zh-CN" w:bidi="zh-CN"/>
        </w:rPr>
      </w:pPr>
      <w:r>
        <w:rPr>
          <w:rFonts w:hint="eastAsia" w:ascii="宋体" w:hAnsi="宋体" w:eastAsia="宋体" w:cs="宋体"/>
          <w:b/>
          <w:bCs/>
          <w:color w:val="auto"/>
          <w:sz w:val="24"/>
          <w:szCs w:val="24"/>
          <w:u w:val="none"/>
          <w:lang w:val="en-US" w:eastAsia="zh-CN" w:bidi="zh-CN"/>
        </w:rPr>
        <w:t>七、服务要求</w:t>
      </w:r>
    </w:p>
    <w:p w14:paraId="78537780">
      <w:pPr>
        <w:pStyle w:val="3"/>
        <w:numPr>
          <w:ilvl w:val="0"/>
          <w:numId w:val="0"/>
        </w:numPr>
        <w:adjustRightInd w:val="0"/>
        <w:snapToGrid w:val="0"/>
        <w:spacing w:line="360" w:lineRule="auto"/>
        <w:ind w:left="0" w:leftChars="0" w:firstLine="442" w:firstLineChars="20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（一）家庭养老床位服务机构要求</w:t>
      </w:r>
    </w:p>
    <w:p w14:paraId="3D445619">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1.应具备建床后对老年人上门服务功能和开展24小时服务能力，服务半径范围城区一般不超过15分钟、农村原则上不超过30分钟，并配有家庭养老床位管理和服务功能的信息化系统。</w:t>
      </w:r>
    </w:p>
    <w:p w14:paraId="118705C6">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2.配备与服务相匹配的专业团队，且相关人员应符合行业要求并具备相关资质，开展评估、安装、售后服务。</w:t>
      </w:r>
    </w:p>
    <w:p w14:paraId="6AC97C9A">
      <w:pPr>
        <w:pStyle w:val="3"/>
        <w:adjustRightInd w:val="0"/>
        <w:snapToGrid w:val="0"/>
        <w:spacing w:line="360" w:lineRule="auto"/>
        <w:ind w:left="0" w:firstLine="440" w:firstLineChars="200"/>
        <w:rPr>
          <w:rFonts w:hint="default" w:cs="宋体"/>
          <w:b w:val="0"/>
          <w:color w:val="auto"/>
          <w:sz w:val="22"/>
          <w:szCs w:val="22"/>
          <w:lang w:val="en-US" w:eastAsia="zh-CN"/>
        </w:rPr>
      </w:pPr>
      <w:r>
        <w:rPr>
          <w:rFonts w:hint="eastAsia" w:cs="宋体"/>
          <w:b w:val="0"/>
          <w:color w:val="auto"/>
          <w:sz w:val="22"/>
          <w:szCs w:val="22"/>
          <w:lang w:val="en-US" w:eastAsia="zh-CN"/>
        </w:rPr>
        <w:t>3.呼叫中心服务：具备7×24小时话务服务及苍南县本地方言沟通服务能力；具备完整的团队话务管理人员和话务受理人员；具备完善的管理规章制度；具备业务流程服务质量保证。</w:t>
      </w:r>
    </w:p>
    <w:p w14:paraId="6F08259B">
      <w:pPr>
        <w:pStyle w:val="3"/>
        <w:numPr>
          <w:ilvl w:val="0"/>
          <w:numId w:val="0"/>
        </w:numPr>
        <w:adjustRightInd w:val="0"/>
        <w:snapToGrid w:val="0"/>
        <w:spacing w:line="360" w:lineRule="auto"/>
        <w:ind w:left="0" w:leftChars="0" w:firstLine="442" w:firstLineChars="20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（二）居家养老上门服务机构要求</w:t>
      </w:r>
    </w:p>
    <w:p w14:paraId="3EAFD6B4">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1.应具备对老年人上门服务功能，服务半径范围城区一般不超过15分钟、乡村原则上不超过30分钟，并配有信息化设备确保服务及时响应和记录。</w:t>
      </w:r>
    </w:p>
    <w:p w14:paraId="5AB82AFD">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2.正式登记注册，具有与本项目采购相适应的服务能力，合法运营；</w:t>
      </w:r>
    </w:p>
    <w:p w14:paraId="2E338AF1">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3.居家养老上门服务人员</w:t>
      </w:r>
    </w:p>
    <w:p w14:paraId="586C3BF8">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（1）基本要求：</w:t>
      </w:r>
    </w:p>
    <w:p w14:paraId="3314E957">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a.具备合法的劳动从业资格；</w:t>
      </w:r>
    </w:p>
    <w:p w14:paraId="561AD8F1">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b.信守职业道德，遵纪守法，熟悉居家养老服务程序和规范要求；</w:t>
      </w:r>
    </w:p>
    <w:p w14:paraId="08C9E9AE">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c.具有符合工作岗位要求的文化程度、健康状况证明及语言表达能力。</w:t>
      </w:r>
    </w:p>
    <w:p w14:paraId="05534851">
      <w:pPr>
        <w:pStyle w:val="3"/>
        <w:adjustRightInd w:val="0"/>
        <w:snapToGrid w:val="0"/>
        <w:spacing w:line="360" w:lineRule="auto"/>
        <w:ind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（2）管理人员：</w:t>
      </w:r>
    </w:p>
    <w:p w14:paraId="2B618DDE">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a.了解国家和行业主管部门有关居家养老服务的法律法规和规定；</w:t>
      </w:r>
    </w:p>
    <w:p w14:paraId="398A02A5">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b.掌握企业管理、经营项目的有关专业知识及专业技术；</w:t>
      </w:r>
    </w:p>
    <w:p w14:paraId="28E3298E">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c.具有高中以上文化程度和一定年限的管理工作经历；</w:t>
      </w:r>
    </w:p>
    <w:p w14:paraId="77863FE7">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d.每年至少参加1次管理培训活动。</w:t>
      </w:r>
    </w:p>
    <w:p w14:paraId="6FABB40A">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（3）居家养老服务员：</w:t>
      </w:r>
    </w:p>
    <w:p w14:paraId="09D3D7E0">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a.具备与服务内容相适应的岗位技能，能和老人无障碍沟通；</w:t>
      </w:r>
    </w:p>
    <w:p w14:paraId="7EAFA714">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b.年龄在18周岁以上、60周岁以下，初中以上文化程度；</w:t>
      </w:r>
    </w:p>
    <w:p w14:paraId="45C07F10">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c.无精神病史和各类传染病；</w:t>
      </w:r>
    </w:p>
    <w:p w14:paraId="44734D16">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d.每年在岗培训不少于10学时。</w:t>
      </w:r>
    </w:p>
    <w:p w14:paraId="73F40510">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（4）行为规范：</w:t>
      </w:r>
    </w:p>
    <w:p w14:paraId="373A188A">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a.仪表仪容端庄、大方、整洁；</w:t>
      </w:r>
    </w:p>
    <w:p w14:paraId="49E97DE3">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b.统一着装、配备工号牌；</w:t>
      </w:r>
    </w:p>
    <w:p w14:paraId="7D6A98AE">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c.语言文明、简洁、清晰；</w:t>
      </w:r>
    </w:p>
    <w:p w14:paraId="0DBDBB34">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d.主动服务，符合相应岗位的服务礼仪规范；</w:t>
      </w:r>
    </w:p>
    <w:p w14:paraId="7865F7D9">
      <w:pPr>
        <w:pStyle w:val="3"/>
        <w:adjustRightInd w:val="0"/>
        <w:snapToGrid w:val="0"/>
        <w:spacing w:line="360" w:lineRule="auto"/>
        <w:ind w:firstLine="880" w:firstLineChars="400"/>
        <w:rPr>
          <w:rFonts w:hint="eastAsia" w:cs="宋体"/>
          <w:b w:val="0"/>
          <w:color w:val="auto"/>
          <w:sz w:val="22"/>
          <w:szCs w:val="22"/>
          <w:lang w:val="en-US" w:eastAsia="zh-CN"/>
        </w:rPr>
      </w:pPr>
      <w:r>
        <w:rPr>
          <w:rFonts w:hint="eastAsia" w:cs="宋体"/>
          <w:b w:val="0"/>
          <w:color w:val="auto"/>
          <w:sz w:val="22"/>
          <w:szCs w:val="22"/>
          <w:lang w:val="en-US" w:eastAsia="zh-CN"/>
        </w:rPr>
        <w:t>e.尊老敬老，对老年人富有爱心。</w:t>
      </w:r>
    </w:p>
    <w:p w14:paraId="52E6E29F">
      <w:pPr>
        <w:pStyle w:val="3"/>
        <w:numPr>
          <w:ilvl w:val="0"/>
          <w:numId w:val="0"/>
        </w:numPr>
        <w:adjustRightInd w:val="0"/>
        <w:snapToGrid w:val="0"/>
        <w:spacing w:line="360" w:lineRule="auto"/>
        <w:ind w:left="0" w:leftChars="0" w:firstLine="440" w:firstLineChars="200"/>
        <w:rPr>
          <w:rFonts w:hint="eastAsia" w:ascii="宋体" w:hAnsi="宋体" w:eastAsia="宋体" w:cs="宋体"/>
          <w:b w:val="0"/>
          <w:bCs w:val="0"/>
          <w:color w:val="auto"/>
          <w:sz w:val="22"/>
          <w:szCs w:val="22"/>
          <w:lang w:val="en-US" w:eastAsia="zh-CN"/>
        </w:rPr>
      </w:pPr>
      <w:r>
        <w:rPr>
          <w:rFonts w:hint="eastAsia" w:cs="宋体"/>
          <w:b w:val="0"/>
          <w:bCs w:val="0"/>
          <w:color w:val="auto"/>
          <w:sz w:val="22"/>
          <w:szCs w:val="22"/>
          <w:lang w:val="en-US" w:eastAsia="zh-CN"/>
        </w:rPr>
        <w:t>4.</w:t>
      </w:r>
      <w:r>
        <w:rPr>
          <w:rFonts w:hint="eastAsia" w:ascii="宋体" w:hAnsi="宋体" w:eastAsia="宋体" w:cs="宋体"/>
          <w:b w:val="0"/>
          <w:bCs w:val="0"/>
          <w:color w:val="auto"/>
          <w:sz w:val="22"/>
          <w:szCs w:val="22"/>
          <w:lang w:val="en-US" w:eastAsia="zh-CN"/>
        </w:rPr>
        <w:t>居家养老上门服务内容。养老服务机构根据自身能力和老人需求，主要可提供以下服务内容：</w:t>
      </w:r>
    </w:p>
    <w:p w14:paraId="1A23085E">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（1）居家照护服务。对老年人开展生活照料、基础照护服务、健康管理服务、探访关爱服务、精神慰藉服务和委托代办服务。</w:t>
      </w:r>
    </w:p>
    <w:p w14:paraId="08A0EFC4">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2）机构设施共享服务。提供阶段性专项照护，包括术后康复或健康异常期间的针对性、个性化服务，以及家庭喘息式短期照料等。开放机构内部养老床位及康养设施设备、医疗资源与社工项目等，提供绿色便捷通道。</w:t>
      </w:r>
    </w:p>
    <w:p w14:paraId="30BC57AA">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（3）家庭照护增能服务。对家庭照护者开展照护知识讲解、照护操作培训、心理疏导等。</w:t>
      </w:r>
    </w:p>
    <w:p w14:paraId="5E79C305">
      <w:pPr>
        <w:pStyle w:val="3"/>
        <w:numPr>
          <w:ilvl w:val="0"/>
          <w:numId w:val="0"/>
        </w:numPr>
        <w:adjustRightInd w:val="0"/>
        <w:snapToGrid w:val="0"/>
        <w:spacing w:line="360" w:lineRule="auto"/>
        <w:ind w:left="0" w:leftChars="0" w:firstLine="442" w:firstLineChars="20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eastAsia" w:cs="宋体"/>
          <w:b/>
          <w:bCs/>
          <w:color w:val="auto"/>
          <w:sz w:val="22"/>
          <w:szCs w:val="22"/>
          <w:lang w:val="en-US" w:eastAsia="zh-CN"/>
        </w:rPr>
        <w:t>三</w:t>
      </w:r>
      <w:r>
        <w:rPr>
          <w:rFonts w:hint="eastAsia" w:ascii="宋体" w:hAnsi="宋体" w:eastAsia="宋体" w:cs="宋体"/>
          <w:b/>
          <w:bCs/>
          <w:color w:val="auto"/>
          <w:sz w:val="22"/>
          <w:szCs w:val="22"/>
          <w:lang w:val="en-US" w:eastAsia="zh-CN"/>
        </w:rPr>
        <w:t>）服务履约要求</w:t>
      </w:r>
    </w:p>
    <w:p w14:paraId="4AD758C7">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1.根据要求，中标人应与服务对象签订一户一方案服务协议（包含床位建设、居家上门服务、安全责任等内容），规定外档案，格式自拟。一户一方案需经老人（家属）、采购人同意后方能实施改造。</w:t>
      </w:r>
    </w:p>
    <w:p w14:paraId="0656DD87">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2.要求提供7×24小时的实时支持服务响应服务，并对设备的运行情况进行实时监控。平台须确保告警或预警信息的及时送达。未经采购人许可，本项目投入人员不得擅自更换，工作期间，保证随叫随到。要求在12小时内响应采购人提出的疑问并进行答复，如有必要，应及时提交修改意见。当设备出现故障时，在接到采购人的维修通知后，中标人应在2小时到场，4小时解决问题。若问题不能现场解决，也将采取相应措施以保证设备正常运行，必要时包括更换必要的硬件或切换线路。如果故障在检修8小时后仍无法排除，中标人应在24小时内提供备机供采购人使用。</w:t>
      </w:r>
    </w:p>
    <w:p w14:paraId="110A0059">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bCs w:val="0"/>
          <w:color w:val="auto"/>
          <w:sz w:val="22"/>
          <w:szCs w:val="22"/>
          <w:lang w:val="en-US" w:eastAsia="zh-CN"/>
        </w:rPr>
        <w:t>3.在项目实施过程中，按照项目采购需求和投标文件为实施依据，如有和采购需求和投标文件不符的情况，采购人应及时发送整改意见书，中标人应在5个工作日内完成整改，整改超过2次的，视为消极履约，该次服务款项将不予支付，但中标人仍需整改至符合要求为止。</w:t>
      </w:r>
      <w:r>
        <w:rPr>
          <w:rFonts w:hint="eastAsia" w:cs="宋体"/>
          <w:b w:val="0"/>
          <w:color w:val="auto"/>
          <w:sz w:val="22"/>
          <w:szCs w:val="22"/>
          <w:lang w:val="en-US" w:eastAsia="zh-CN"/>
        </w:rPr>
        <w:t>项目实施过程中的安全（包括人身安全、财产安全、紧急呼叫未及时响应产生的安全事故等），由中标人负责。</w:t>
      </w:r>
    </w:p>
    <w:p w14:paraId="231DDA18">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4.现场安装服务要求：服务人员需统一工作服、佩戴工作证（入户前需主动出示）、入户施工时穿戴自带鞋套。服务过程中安装点位需征得服务对象同意，完成后需清理现场。安装完成后，需进行调试，调试不成功的需立即更换。现场服务人员需告知设备各功能以及使用方法和故障报修方法。竣工验收之前，投标人仍须承担成品保护、保洁、安全等工作，此类费用由投标人承担。</w:t>
      </w:r>
    </w:p>
    <w:p w14:paraId="3FF15EED">
      <w:pPr>
        <w:pStyle w:val="3"/>
        <w:adjustRightInd w:val="0"/>
        <w:snapToGrid w:val="0"/>
        <w:spacing w:line="360" w:lineRule="auto"/>
        <w:ind w:left="0" w:firstLine="440" w:firstLineChars="200"/>
        <w:rPr>
          <w:rFonts w:hint="eastAsia" w:cs="宋体"/>
          <w:b w:val="0"/>
          <w:bCs w:val="0"/>
          <w:color w:val="auto"/>
          <w:sz w:val="22"/>
          <w:szCs w:val="22"/>
          <w:lang w:val="en-US" w:eastAsia="zh-CN"/>
        </w:rPr>
      </w:pPr>
      <w:r>
        <w:rPr>
          <w:rFonts w:hint="eastAsia" w:cs="宋体"/>
          <w:b w:val="0"/>
          <w:bCs w:val="0"/>
          <w:color w:val="auto"/>
          <w:sz w:val="22"/>
          <w:szCs w:val="22"/>
          <w:lang w:val="en-US" w:eastAsia="zh-CN"/>
        </w:rPr>
        <w:t>5.中标人需提供服务对象建床改造前、改造中、改造后的视频（照片），和居家上门服务相关内容，上传至采购人提供的系统，上传的照片须带有服务时间的水印照片。</w:t>
      </w:r>
    </w:p>
    <w:p w14:paraId="0D15C885">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6.本项目情况复杂，投标人可按实际需求勘察现场，并在报价中综合考虑。任何因忽视或误解而导致的索赔或工期延长申请将不获批准。</w:t>
      </w:r>
    </w:p>
    <w:p w14:paraId="4CE422C8">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7.本项目在实施过程中，由于投标人自身原因产生的重复施工或错误施工，因此带来的额外施工费用由投标人自行承担。</w:t>
      </w:r>
    </w:p>
    <w:p w14:paraId="2CFD1473">
      <w:pPr>
        <w:pStyle w:val="3"/>
        <w:adjustRightInd w:val="0"/>
        <w:snapToGrid w:val="0"/>
        <w:spacing w:line="360" w:lineRule="auto"/>
        <w:ind w:left="0" w:firstLine="440" w:firstLineChars="200"/>
        <w:rPr>
          <w:rFonts w:hint="eastAsia"/>
          <w:color w:val="auto"/>
        </w:rPr>
      </w:pPr>
      <w:r>
        <w:rPr>
          <w:rFonts w:hint="eastAsia" w:cs="宋体"/>
          <w:b w:val="0"/>
          <w:color w:val="auto"/>
          <w:sz w:val="22"/>
          <w:szCs w:val="22"/>
          <w:lang w:val="en-US" w:eastAsia="zh-CN"/>
        </w:rPr>
        <w:t>8.</w:t>
      </w:r>
      <w:r>
        <w:rPr>
          <w:rFonts w:hint="eastAsia"/>
          <w:color w:val="auto"/>
        </w:rPr>
        <w:t>本项目涉及的所有数据投标人应严格保密，如有外泄，投标人承担相应违约责任。</w:t>
      </w:r>
    </w:p>
    <w:p w14:paraId="2F52D0F3">
      <w:pPr>
        <w:pStyle w:val="3"/>
        <w:adjustRightInd w:val="0"/>
        <w:snapToGrid w:val="0"/>
        <w:spacing w:line="360" w:lineRule="auto"/>
        <w:ind w:left="0" w:firstLine="440" w:firstLineChars="200"/>
        <w:rPr>
          <w:rFonts w:hint="default" w:eastAsia="宋体" w:cs="宋体"/>
          <w:b w:val="0"/>
          <w:color w:val="auto"/>
          <w:sz w:val="22"/>
          <w:szCs w:val="22"/>
          <w:lang w:val="en-US" w:eastAsia="zh-CN"/>
        </w:rPr>
      </w:pPr>
      <w:r>
        <w:rPr>
          <w:rFonts w:hint="eastAsia"/>
          <w:color w:val="auto"/>
          <w:lang w:val="en-US" w:eastAsia="zh-CN"/>
        </w:rPr>
        <w:t>9.</w:t>
      </w:r>
      <w:r>
        <w:rPr>
          <w:rFonts w:hint="eastAsia"/>
          <w:color w:val="auto"/>
        </w:rPr>
        <w:t>投标人应保障本项目所有数据的安全性。</w:t>
      </w:r>
    </w:p>
    <w:p w14:paraId="2C96C6F6">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10.中标人应无偿对接本地政务云及相关安全评估。</w:t>
      </w:r>
    </w:p>
    <w:p w14:paraId="3EBE9889">
      <w:pPr>
        <w:pStyle w:val="3"/>
        <w:numPr>
          <w:ilvl w:val="0"/>
          <w:numId w:val="0"/>
        </w:numPr>
        <w:adjustRightInd w:val="0"/>
        <w:snapToGrid w:val="0"/>
        <w:spacing w:line="360" w:lineRule="auto"/>
        <w:ind w:left="0" w:leftChars="0" w:firstLine="442" w:firstLineChars="20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eastAsia" w:cs="宋体"/>
          <w:b/>
          <w:bCs/>
          <w:color w:val="auto"/>
          <w:sz w:val="22"/>
          <w:szCs w:val="22"/>
          <w:lang w:val="en-US" w:eastAsia="zh-CN"/>
        </w:rPr>
        <w:t>四</w:t>
      </w:r>
      <w:r>
        <w:rPr>
          <w:rFonts w:hint="eastAsia" w:ascii="宋体" w:hAnsi="宋体" w:eastAsia="宋体" w:cs="宋体"/>
          <w:b/>
          <w:bCs/>
          <w:color w:val="auto"/>
          <w:sz w:val="22"/>
          <w:szCs w:val="22"/>
          <w:lang w:val="en-US" w:eastAsia="zh-CN"/>
        </w:rPr>
        <w:t>）质保期</w:t>
      </w:r>
    </w:p>
    <w:p w14:paraId="377B3292">
      <w:pPr>
        <w:pStyle w:val="3"/>
        <w:adjustRightInd w:val="0"/>
        <w:snapToGrid w:val="0"/>
        <w:spacing w:line="360" w:lineRule="auto"/>
        <w:ind w:left="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本项目家庭养老床位建设产品质保期为 3 年。</w:t>
      </w:r>
    </w:p>
    <w:p w14:paraId="5FB46E5C">
      <w:pPr>
        <w:pStyle w:val="3"/>
        <w:numPr>
          <w:ilvl w:val="0"/>
          <w:numId w:val="0"/>
        </w:numPr>
        <w:adjustRightInd w:val="0"/>
        <w:snapToGrid w:val="0"/>
        <w:spacing w:line="360" w:lineRule="auto"/>
        <w:ind w:left="0" w:leftChars="0" w:firstLine="442" w:firstLineChars="20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eastAsia" w:cs="宋体"/>
          <w:b/>
          <w:bCs/>
          <w:color w:val="auto"/>
          <w:sz w:val="22"/>
          <w:szCs w:val="22"/>
          <w:lang w:val="en-US" w:eastAsia="zh-CN"/>
        </w:rPr>
        <w:t>五</w:t>
      </w:r>
      <w:r>
        <w:rPr>
          <w:rFonts w:hint="eastAsia" w:ascii="宋体" w:hAnsi="宋体" w:eastAsia="宋体" w:cs="宋体"/>
          <w:b/>
          <w:bCs/>
          <w:color w:val="auto"/>
          <w:sz w:val="22"/>
          <w:szCs w:val="22"/>
          <w:lang w:val="en-US" w:eastAsia="zh-CN"/>
        </w:rPr>
        <w:t>）延伸服务</w:t>
      </w:r>
    </w:p>
    <w:p w14:paraId="6AC6CCD5">
      <w:pPr>
        <w:pStyle w:val="3"/>
        <w:numPr>
          <w:ilvl w:val="0"/>
          <w:numId w:val="0"/>
        </w:numPr>
        <w:adjustRightInd w:val="0"/>
        <w:snapToGrid w:val="0"/>
        <w:spacing w:line="360" w:lineRule="auto"/>
        <w:ind w:left="0" w:leftChars="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中标人应向社会公布和宣传提供的相关服务内容，苍南县其他老年人（服务对象以外）可购买中标人在本地提供的相关服务，服务项目和价格参照投标服务项目和中标价格（家庭建床和居家上门服务），中标人不得以其他理由拒绝服务。</w:t>
      </w:r>
    </w:p>
    <w:p w14:paraId="516C16AA">
      <w:pPr>
        <w:pStyle w:val="3"/>
        <w:adjustRightInd w:val="0"/>
        <w:snapToGrid w:val="0"/>
        <w:spacing w:line="360" w:lineRule="auto"/>
        <w:ind w:left="0" w:firstLine="0" w:firstLineChars="0"/>
        <w:rPr>
          <w:rFonts w:hint="eastAsia" w:ascii="宋体" w:hAnsi="宋体" w:eastAsia="宋体" w:cs="宋体"/>
          <w:b/>
          <w:bCs/>
          <w:color w:val="auto"/>
          <w:sz w:val="24"/>
          <w:szCs w:val="24"/>
          <w:u w:val="none"/>
          <w:lang w:val="en-US" w:eastAsia="zh-CN" w:bidi="zh-CN"/>
        </w:rPr>
      </w:pPr>
      <w:r>
        <w:rPr>
          <w:rFonts w:hint="eastAsia" w:cs="宋体"/>
          <w:b/>
          <w:bCs/>
          <w:color w:val="auto"/>
          <w:sz w:val="24"/>
          <w:szCs w:val="24"/>
          <w:u w:val="none"/>
          <w:lang w:val="en-US" w:eastAsia="zh-CN" w:bidi="zh-CN"/>
        </w:rPr>
        <w:t>八</w:t>
      </w:r>
      <w:r>
        <w:rPr>
          <w:rFonts w:hint="eastAsia" w:ascii="宋体" w:hAnsi="宋体" w:eastAsia="宋体" w:cs="宋体"/>
          <w:b/>
          <w:bCs/>
          <w:color w:val="auto"/>
          <w:sz w:val="24"/>
          <w:szCs w:val="24"/>
          <w:u w:val="none"/>
          <w:lang w:val="en-US" w:eastAsia="zh-CN" w:bidi="zh-CN"/>
        </w:rPr>
        <w:t>、商务条款</w:t>
      </w:r>
    </w:p>
    <w:p w14:paraId="65BF3823">
      <w:pPr>
        <w:pStyle w:val="3"/>
        <w:adjustRightInd w:val="0"/>
        <w:snapToGrid w:val="0"/>
        <w:spacing w:line="360" w:lineRule="auto"/>
        <w:ind w:left="0" w:firstLine="442" w:firstLineChars="200"/>
        <w:rPr>
          <w:rFonts w:hint="default" w:ascii="宋体" w:hAnsi="宋体" w:eastAsia="宋体" w:cs="宋体"/>
          <w:b w:val="0"/>
          <w:color w:val="auto"/>
          <w:sz w:val="22"/>
          <w:szCs w:val="22"/>
          <w:lang w:val="en-US" w:eastAsia="zh-CN"/>
        </w:rPr>
      </w:pPr>
      <w:r>
        <w:rPr>
          <w:rFonts w:hint="eastAsia" w:cs="宋体"/>
          <w:b/>
          <w:bCs/>
          <w:color w:val="auto"/>
          <w:sz w:val="22"/>
          <w:szCs w:val="22"/>
          <w:lang w:eastAsia="zh-CN"/>
        </w:rPr>
        <w:t>（</w:t>
      </w:r>
      <w:r>
        <w:rPr>
          <w:rFonts w:hint="eastAsia" w:cs="宋体"/>
          <w:b/>
          <w:bCs/>
          <w:color w:val="auto"/>
          <w:sz w:val="22"/>
          <w:szCs w:val="22"/>
          <w:lang w:val="en-US" w:eastAsia="zh-CN"/>
        </w:rPr>
        <w:t>一</w:t>
      </w:r>
      <w:r>
        <w:rPr>
          <w:rFonts w:hint="eastAsia" w:cs="宋体"/>
          <w:b/>
          <w:bCs/>
          <w:color w:val="auto"/>
          <w:sz w:val="22"/>
          <w:szCs w:val="22"/>
          <w:lang w:eastAsia="zh-CN"/>
        </w:rPr>
        <w:t>）</w:t>
      </w:r>
      <w:r>
        <w:rPr>
          <w:rFonts w:hint="eastAsia" w:cs="宋体"/>
          <w:b/>
          <w:bCs/>
          <w:color w:val="auto"/>
          <w:sz w:val="22"/>
          <w:szCs w:val="22"/>
          <w:lang w:val="en-US" w:eastAsia="zh-CN"/>
        </w:rPr>
        <w:t>合同履行期限</w:t>
      </w:r>
    </w:p>
    <w:p w14:paraId="5B0D5232">
      <w:pPr>
        <w:pStyle w:val="3"/>
        <w:adjustRightInd w:val="0"/>
        <w:snapToGrid w:val="0"/>
        <w:spacing w:line="360" w:lineRule="auto"/>
        <w:ind w:left="0" w:firstLine="440" w:firstLineChars="200"/>
        <w:rPr>
          <w:rFonts w:hint="eastAsia" w:ascii="宋体" w:hAnsi="宋体" w:eastAsia="宋体" w:cs="宋体"/>
          <w:b w:val="0"/>
          <w:color w:val="auto"/>
          <w:sz w:val="22"/>
          <w:szCs w:val="22"/>
        </w:rPr>
      </w:pPr>
      <w:r>
        <w:rPr>
          <w:rFonts w:hint="eastAsia" w:cs="宋体"/>
          <w:b w:val="0"/>
          <w:color w:val="auto"/>
          <w:sz w:val="22"/>
          <w:szCs w:val="22"/>
          <w:lang w:val="en-US" w:eastAsia="zh-CN"/>
        </w:rPr>
        <w:t>1.</w:t>
      </w:r>
      <w:r>
        <w:rPr>
          <w:rFonts w:hint="eastAsia" w:ascii="宋体" w:hAnsi="宋体" w:eastAsia="宋体" w:cs="宋体"/>
          <w:b w:val="0"/>
          <w:color w:val="auto"/>
          <w:sz w:val="22"/>
          <w:szCs w:val="22"/>
        </w:rPr>
        <w:t>家庭养老床位建设履行期限：</w:t>
      </w:r>
      <w:r>
        <w:rPr>
          <w:rFonts w:hint="eastAsia" w:cs="宋体"/>
          <w:b w:val="0"/>
          <w:color w:val="auto"/>
          <w:sz w:val="22"/>
          <w:szCs w:val="22"/>
          <w:lang w:val="en-US" w:eastAsia="zh-CN"/>
        </w:rPr>
        <w:t>2024年12月15日前完成全部家庭养老床位建设，并通过验收</w:t>
      </w:r>
      <w:r>
        <w:rPr>
          <w:rFonts w:hint="eastAsia" w:ascii="宋体" w:hAnsi="宋体" w:eastAsia="宋体" w:cs="宋体"/>
          <w:b w:val="0"/>
          <w:color w:val="auto"/>
          <w:sz w:val="22"/>
          <w:szCs w:val="22"/>
        </w:rPr>
        <w:t>。</w:t>
      </w:r>
    </w:p>
    <w:p w14:paraId="5E91B54B">
      <w:pPr>
        <w:pStyle w:val="3"/>
        <w:adjustRightInd w:val="0"/>
        <w:snapToGrid w:val="0"/>
        <w:spacing w:line="360" w:lineRule="auto"/>
        <w:ind w:left="0" w:firstLine="440" w:firstLineChars="200"/>
        <w:rPr>
          <w:rFonts w:hint="eastAsia" w:ascii="宋体" w:hAnsi="宋体" w:eastAsia="宋体" w:cs="宋体"/>
          <w:b w:val="0"/>
          <w:color w:val="auto"/>
          <w:sz w:val="22"/>
          <w:szCs w:val="22"/>
        </w:rPr>
      </w:pPr>
      <w:r>
        <w:rPr>
          <w:rFonts w:hint="eastAsia" w:cs="宋体"/>
          <w:b w:val="0"/>
          <w:color w:val="auto"/>
          <w:sz w:val="22"/>
          <w:szCs w:val="22"/>
          <w:lang w:val="en-US" w:eastAsia="zh-CN"/>
        </w:rPr>
        <w:t>2.</w:t>
      </w:r>
      <w:r>
        <w:rPr>
          <w:rFonts w:hint="eastAsia" w:ascii="宋体" w:hAnsi="宋体" w:eastAsia="宋体" w:cs="宋体"/>
          <w:b w:val="0"/>
          <w:color w:val="auto"/>
          <w:sz w:val="22"/>
          <w:szCs w:val="22"/>
        </w:rPr>
        <w:t>居家</w:t>
      </w:r>
      <w:r>
        <w:rPr>
          <w:rFonts w:hint="eastAsia" w:cs="宋体"/>
          <w:b w:val="0"/>
          <w:color w:val="auto"/>
          <w:sz w:val="22"/>
          <w:szCs w:val="22"/>
          <w:lang w:val="en-US" w:eastAsia="zh-CN"/>
        </w:rPr>
        <w:t>上门</w:t>
      </w:r>
      <w:r>
        <w:rPr>
          <w:rFonts w:hint="eastAsia" w:ascii="宋体" w:hAnsi="宋体" w:eastAsia="宋体" w:cs="宋体"/>
          <w:b w:val="0"/>
          <w:color w:val="auto"/>
          <w:sz w:val="22"/>
          <w:szCs w:val="22"/>
        </w:rPr>
        <w:t>养老服务履行期限：</w:t>
      </w:r>
      <w:r>
        <w:rPr>
          <w:rFonts w:hint="eastAsia" w:cs="宋体"/>
          <w:b w:val="0"/>
          <w:color w:val="auto"/>
          <w:sz w:val="22"/>
          <w:szCs w:val="22"/>
          <w:lang w:val="en-US" w:eastAsia="zh-CN"/>
        </w:rPr>
        <w:t>2025年5月15日前完成全部居家上门养老服务，并通过验收。每位</w:t>
      </w:r>
      <w:r>
        <w:rPr>
          <w:rFonts w:hint="eastAsia" w:ascii="宋体" w:hAnsi="宋体" w:eastAsia="宋体" w:cs="宋体"/>
          <w:b w:val="0"/>
          <w:color w:val="auto"/>
          <w:sz w:val="22"/>
          <w:szCs w:val="22"/>
        </w:rPr>
        <w:t>服务期限</w:t>
      </w:r>
      <w:r>
        <w:rPr>
          <w:rFonts w:hint="eastAsia" w:cs="宋体"/>
          <w:b w:val="0"/>
          <w:color w:val="auto"/>
          <w:sz w:val="22"/>
          <w:szCs w:val="22"/>
          <w:lang w:val="en-US" w:eastAsia="zh-CN"/>
        </w:rPr>
        <w:t>不少于</w:t>
      </w:r>
      <w:r>
        <w:rPr>
          <w:rFonts w:hint="eastAsia" w:ascii="宋体" w:hAnsi="宋体" w:eastAsia="宋体" w:cs="宋体"/>
          <w:b w:val="0"/>
          <w:color w:val="auto"/>
          <w:sz w:val="22"/>
          <w:szCs w:val="22"/>
        </w:rPr>
        <w:t>6个月（其中家庭养老床位建设部分的居家养老上门服务对象的服务期限自家庭养老床位建设通过验收之日起算）。</w:t>
      </w:r>
    </w:p>
    <w:p w14:paraId="60817482">
      <w:pPr>
        <w:pStyle w:val="3"/>
        <w:adjustRightInd w:val="0"/>
        <w:snapToGrid w:val="0"/>
        <w:spacing w:line="360" w:lineRule="auto"/>
        <w:ind w:left="0" w:firstLine="442" w:firstLineChars="200"/>
        <w:rPr>
          <w:rFonts w:hint="eastAsia" w:cs="宋体"/>
          <w:b/>
          <w:bCs/>
          <w:color w:val="auto"/>
          <w:sz w:val="22"/>
          <w:szCs w:val="22"/>
          <w:lang w:eastAsia="zh-CN"/>
        </w:rPr>
      </w:pPr>
      <w:r>
        <w:rPr>
          <w:rFonts w:hint="eastAsia" w:cs="宋体"/>
          <w:b/>
          <w:bCs/>
          <w:color w:val="auto"/>
          <w:sz w:val="22"/>
          <w:szCs w:val="22"/>
          <w:lang w:val="en-US" w:eastAsia="zh-CN"/>
        </w:rPr>
        <w:t>（二）履约保证金</w:t>
      </w:r>
    </w:p>
    <w:p w14:paraId="569B7323">
      <w:pPr>
        <w:pStyle w:val="3"/>
        <w:adjustRightInd w:val="0"/>
        <w:snapToGrid w:val="0"/>
        <w:spacing w:line="360" w:lineRule="auto"/>
        <w:ind w:left="0" w:firstLine="440" w:firstLineChars="200"/>
        <w:rPr>
          <w:rFonts w:hint="eastAsia" w:ascii="宋体" w:hAnsi="宋体" w:eastAsia="宋体" w:cs="宋体"/>
          <w:b w:val="0"/>
          <w:bCs w:val="0"/>
          <w:color w:val="auto"/>
          <w:sz w:val="22"/>
          <w:szCs w:val="22"/>
        </w:rPr>
      </w:pPr>
      <w:r>
        <w:rPr>
          <w:rFonts w:hint="eastAsia" w:cs="宋体"/>
          <w:b w:val="0"/>
          <w:bCs w:val="0"/>
          <w:color w:val="auto"/>
          <w:sz w:val="22"/>
          <w:szCs w:val="22"/>
          <w:lang w:val="en-US" w:eastAsia="zh-CN"/>
        </w:rPr>
        <w:t>根据《浙江省财政厅关于进一步发挥政府采购政策功能权利推动经济稳进提质的通知》（浙财采监〔2022〕3号）文件精神及本项目特点，免收履约保证金</w:t>
      </w:r>
      <w:r>
        <w:rPr>
          <w:rFonts w:hint="eastAsia" w:ascii="宋体" w:hAnsi="宋体" w:eastAsia="宋体" w:cs="宋体"/>
          <w:b w:val="0"/>
          <w:bCs w:val="0"/>
          <w:color w:val="auto"/>
          <w:sz w:val="22"/>
          <w:szCs w:val="22"/>
        </w:rPr>
        <w:t>。</w:t>
      </w:r>
    </w:p>
    <w:p w14:paraId="28BD114A">
      <w:pPr>
        <w:pStyle w:val="3"/>
        <w:adjustRightInd w:val="0"/>
        <w:snapToGrid w:val="0"/>
        <w:spacing w:line="360" w:lineRule="auto"/>
        <w:ind w:left="0" w:firstLine="442" w:firstLineChars="20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zh-CN" w:eastAsia="zh-CN"/>
        </w:rPr>
        <w:t>（三）</w:t>
      </w:r>
      <w:r>
        <w:rPr>
          <w:rFonts w:hint="eastAsia" w:ascii="宋体" w:hAnsi="宋体" w:eastAsia="宋体" w:cs="宋体"/>
          <w:b/>
          <w:bCs/>
          <w:color w:val="auto"/>
          <w:sz w:val="22"/>
          <w:szCs w:val="22"/>
          <w:lang w:val="en-US" w:eastAsia="zh-CN"/>
        </w:rPr>
        <w:t>付款方式</w:t>
      </w:r>
    </w:p>
    <w:p w14:paraId="6A61191B">
      <w:pPr>
        <w:pStyle w:val="3"/>
        <w:numPr>
          <w:ilvl w:val="0"/>
          <w:numId w:val="0"/>
        </w:numPr>
        <w:adjustRightInd w:val="0"/>
        <w:snapToGrid w:val="0"/>
        <w:spacing w:line="360" w:lineRule="auto"/>
        <w:ind w:left="0" w:leftChars="0" w:firstLine="440" w:firstLineChars="200"/>
        <w:rPr>
          <w:rFonts w:hint="eastAsia" w:ascii="宋体" w:hAnsi="宋体" w:eastAsia="宋体" w:cs="宋体"/>
          <w:b w:val="0"/>
          <w:bCs w:val="0"/>
          <w:color w:val="auto"/>
          <w:sz w:val="22"/>
          <w:szCs w:val="22"/>
        </w:rPr>
      </w:pPr>
      <w:r>
        <w:rPr>
          <w:rFonts w:hint="eastAsia" w:cs="宋体"/>
          <w:b w:val="0"/>
          <w:bCs w:val="0"/>
          <w:color w:val="auto"/>
          <w:sz w:val="22"/>
          <w:szCs w:val="22"/>
          <w:lang w:eastAsia="zh-CN"/>
        </w:rPr>
        <w:t>（</w:t>
      </w:r>
      <w:r>
        <w:rPr>
          <w:rFonts w:hint="eastAsia" w:cs="宋体"/>
          <w:b w:val="0"/>
          <w:bCs w:val="0"/>
          <w:color w:val="auto"/>
          <w:sz w:val="22"/>
          <w:szCs w:val="22"/>
          <w:lang w:val="en-US" w:eastAsia="zh-CN"/>
        </w:rPr>
        <w:t>1</w:t>
      </w:r>
      <w:r>
        <w:rPr>
          <w:rFonts w:hint="eastAsia" w:cs="宋体"/>
          <w:b w:val="0"/>
          <w:bCs w:val="0"/>
          <w:color w:val="auto"/>
          <w:sz w:val="22"/>
          <w:szCs w:val="22"/>
          <w:lang w:eastAsia="zh-CN"/>
        </w:rPr>
        <w:t>）</w:t>
      </w:r>
      <w:r>
        <w:rPr>
          <w:rFonts w:hint="eastAsia" w:cs="宋体"/>
          <w:b w:val="0"/>
          <w:bCs w:val="0"/>
          <w:color w:val="auto"/>
          <w:sz w:val="22"/>
          <w:szCs w:val="22"/>
          <w:lang w:val="en-US" w:eastAsia="zh-CN"/>
        </w:rPr>
        <w:t>预付款：</w:t>
      </w:r>
      <w:r>
        <w:rPr>
          <w:rFonts w:hint="eastAsia" w:ascii="宋体" w:hAnsi="宋体" w:eastAsia="宋体" w:cs="宋体"/>
          <w:b w:val="0"/>
          <w:bCs w:val="0"/>
          <w:color w:val="auto"/>
          <w:sz w:val="22"/>
          <w:szCs w:val="22"/>
        </w:rPr>
        <w:t>合同签订后</w:t>
      </w:r>
      <w:r>
        <w:rPr>
          <w:rFonts w:hint="eastAsia" w:cs="宋体"/>
          <w:b w:val="0"/>
          <w:bCs w:val="0"/>
          <w:color w:val="auto"/>
          <w:sz w:val="22"/>
          <w:szCs w:val="22"/>
          <w:lang w:val="en-US" w:eastAsia="zh-CN"/>
        </w:rPr>
        <w:t>5个工作</w:t>
      </w:r>
      <w:r>
        <w:rPr>
          <w:rFonts w:hint="eastAsia" w:ascii="宋体" w:hAnsi="宋体" w:eastAsia="宋体" w:cs="宋体"/>
          <w:b w:val="0"/>
          <w:bCs w:val="0"/>
          <w:color w:val="auto"/>
          <w:sz w:val="22"/>
          <w:szCs w:val="22"/>
        </w:rPr>
        <w:t>日内采购人支付</w:t>
      </w:r>
      <w:r>
        <w:rPr>
          <w:rFonts w:hint="eastAsia" w:cs="宋体"/>
          <w:b w:val="0"/>
          <w:bCs w:val="0"/>
          <w:color w:val="auto"/>
          <w:sz w:val="22"/>
          <w:szCs w:val="22"/>
          <w:lang w:eastAsia="zh-CN"/>
        </w:rPr>
        <w:t>中标</w:t>
      </w:r>
      <w:r>
        <w:rPr>
          <w:rFonts w:hint="eastAsia" w:cs="宋体"/>
          <w:b w:val="0"/>
          <w:bCs w:val="0"/>
          <w:color w:val="auto"/>
          <w:sz w:val="22"/>
          <w:szCs w:val="22"/>
          <w:lang w:val="en-US" w:eastAsia="zh-CN"/>
        </w:rPr>
        <w:t>人合同金额的50%</w:t>
      </w:r>
      <w:r>
        <w:rPr>
          <w:rFonts w:hint="eastAsia" w:ascii="宋体" w:hAnsi="宋体" w:eastAsia="宋体" w:cs="宋体"/>
          <w:b w:val="0"/>
          <w:bCs w:val="0"/>
          <w:color w:val="auto"/>
          <w:sz w:val="22"/>
          <w:szCs w:val="22"/>
        </w:rPr>
        <w:t>；</w:t>
      </w:r>
    </w:p>
    <w:p w14:paraId="568CDB2C">
      <w:pPr>
        <w:pStyle w:val="3"/>
        <w:numPr>
          <w:ilvl w:val="0"/>
          <w:numId w:val="0"/>
        </w:numPr>
        <w:adjustRightInd w:val="0"/>
        <w:snapToGrid w:val="0"/>
        <w:spacing w:line="360" w:lineRule="auto"/>
        <w:ind w:left="0" w:leftChars="0" w:firstLine="440" w:firstLineChars="200"/>
        <w:rPr>
          <w:rFonts w:hint="default" w:cs="宋体"/>
          <w:b w:val="0"/>
          <w:bCs w:val="0"/>
          <w:color w:val="auto"/>
          <w:sz w:val="22"/>
          <w:szCs w:val="22"/>
          <w:lang w:val="en-US" w:eastAsia="zh-CN"/>
        </w:rPr>
      </w:pPr>
      <w:r>
        <w:rPr>
          <w:rFonts w:hint="eastAsia" w:cs="宋体"/>
          <w:b w:val="0"/>
          <w:bCs w:val="0"/>
          <w:color w:val="auto"/>
          <w:sz w:val="22"/>
          <w:szCs w:val="22"/>
          <w:lang w:eastAsia="zh-CN"/>
        </w:rPr>
        <w:t>（</w:t>
      </w:r>
      <w:r>
        <w:rPr>
          <w:rFonts w:hint="eastAsia" w:cs="宋体"/>
          <w:b w:val="0"/>
          <w:bCs w:val="0"/>
          <w:color w:val="auto"/>
          <w:sz w:val="22"/>
          <w:szCs w:val="22"/>
          <w:lang w:val="en-US" w:eastAsia="zh-CN"/>
        </w:rPr>
        <w:t>2</w:t>
      </w:r>
      <w:r>
        <w:rPr>
          <w:rFonts w:hint="eastAsia" w:cs="宋体"/>
          <w:b w:val="0"/>
          <w:bCs w:val="0"/>
          <w:color w:val="auto"/>
          <w:sz w:val="22"/>
          <w:szCs w:val="22"/>
          <w:lang w:eastAsia="zh-CN"/>
        </w:rPr>
        <w:t>）</w:t>
      </w:r>
      <w:r>
        <w:rPr>
          <w:rFonts w:hint="eastAsia" w:cs="宋体"/>
          <w:b w:val="0"/>
          <w:bCs w:val="0"/>
          <w:color w:val="auto"/>
          <w:sz w:val="22"/>
          <w:szCs w:val="22"/>
          <w:lang w:val="en-US" w:eastAsia="zh-CN"/>
        </w:rPr>
        <w:t>进度款：①中标人完成家庭养老床位建设并通过验收，</w:t>
      </w:r>
      <w:r>
        <w:rPr>
          <w:rFonts w:hint="eastAsia" w:ascii="宋体" w:hAnsi="宋体" w:eastAsia="宋体" w:cs="宋体"/>
          <w:b w:val="0"/>
          <w:bCs w:val="0"/>
          <w:color w:val="auto"/>
          <w:sz w:val="22"/>
          <w:szCs w:val="22"/>
        </w:rPr>
        <w:t>向采购人递交申请，</w:t>
      </w:r>
      <w:r>
        <w:rPr>
          <w:rFonts w:hint="eastAsia" w:cs="宋体"/>
          <w:b w:val="0"/>
          <w:bCs w:val="0"/>
          <w:color w:val="auto"/>
          <w:sz w:val="22"/>
          <w:szCs w:val="22"/>
          <w:lang w:val="en-US" w:eastAsia="zh-CN"/>
        </w:rPr>
        <w:t>采购人审核后5个工作日内支付至合同金额的70%。②中标人完成整体项目验收</w:t>
      </w:r>
      <w:r>
        <w:rPr>
          <w:rFonts w:hint="eastAsia" w:ascii="宋体" w:hAnsi="宋体" w:eastAsia="宋体" w:cs="宋体"/>
          <w:b w:val="0"/>
          <w:bCs w:val="0"/>
          <w:color w:val="auto"/>
          <w:sz w:val="22"/>
          <w:szCs w:val="22"/>
        </w:rPr>
        <w:t>，向采购人递交申请，采购人审核后</w:t>
      </w:r>
      <w:r>
        <w:rPr>
          <w:rFonts w:hint="eastAsia" w:ascii="宋体" w:hAnsi="宋体" w:eastAsia="宋体" w:cs="宋体"/>
          <w:b w:val="0"/>
          <w:bCs w:val="0"/>
          <w:color w:val="auto"/>
          <w:sz w:val="22"/>
          <w:szCs w:val="22"/>
          <w:lang w:val="en-US" w:eastAsia="zh-CN"/>
        </w:rPr>
        <w:t>5个工作日</w:t>
      </w:r>
      <w:r>
        <w:rPr>
          <w:rFonts w:hint="eastAsia" w:ascii="宋体" w:hAnsi="宋体" w:eastAsia="宋体" w:cs="宋体"/>
          <w:b w:val="0"/>
          <w:bCs w:val="0"/>
          <w:color w:val="auto"/>
          <w:sz w:val="22"/>
          <w:szCs w:val="22"/>
        </w:rPr>
        <w:t>一次性付</w:t>
      </w:r>
      <w:r>
        <w:rPr>
          <w:rFonts w:hint="eastAsia" w:ascii="宋体" w:hAnsi="宋体" w:eastAsia="宋体" w:cs="宋体"/>
          <w:b w:val="0"/>
          <w:bCs w:val="0"/>
          <w:color w:val="auto"/>
          <w:sz w:val="22"/>
          <w:szCs w:val="22"/>
          <w:lang w:val="en-US" w:eastAsia="zh-CN"/>
        </w:rPr>
        <w:t>清结算</w:t>
      </w:r>
      <w:r>
        <w:rPr>
          <w:rFonts w:hint="eastAsia" w:ascii="宋体" w:hAnsi="宋体" w:eastAsia="宋体" w:cs="宋体"/>
          <w:b w:val="0"/>
          <w:bCs w:val="0"/>
          <w:color w:val="auto"/>
          <w:sz w:val="22"/>
          <w:szCs w:val="22"/>
        </w:rPr>
        <w:t>余款</w:t>
      </w:r>
      <w:r>
        <w:rPr>
          <w:rFonts w:hint="eastAsia" w:cs="宋体"/>
          <w:b w:val="0"/>
          <w:bCs w:val="0"/>
          <w:color w:val="auto"/>
          <w:sz w:val="22"/>
          <w:szCs w:val="22"/>
          <w:lang w:val="en-US" w:eastAsia="zh-CN"/>
        </w:rPr>
        <w:t>。</w:t>
      </w:r>
    </w:p>
    <w:p w14:paraId="1BB16F22">
      <w:pPr>
        <w:pStyle w:val="3"/>
        <w:numPr>
          <w:ilvl w:val="0"/>
          <w:numId w:val="0"/>
        </w:numPr>
        <w:adjustRightInd w:val="0"/>
        <w:snapToGrid w:val="0"/>
        <w:spacing w:line="360" w:lineRule="auto"/>
        <w:ind w:left="0" w:leftChars="0" w:firstLine="440" w:firstLineChars="200"/>
        <w:rPr>
          <w:rFonts w:hint="eastAsia" w:cs="宋体"/>
          <w:b w:val="0"/>
          <w:color w:val="auto"/>
          <w:sz w:val="22"/>
          <w:szCs w:val="22"/>
          <w:lang w:val="en-US" w:eastAsia="zh-CN"/>
        </w:rPr>
      </w:pPr>
      <w:r>
        <w:rPr>
          <w:rFonts w:hint="eastAsia" w:cs="宋体"/>
          <w:b w:val="0"/>
          <w:color w:val="auto"/>
          <w:sz w:val="22"/>
          <w:szCs w:val="22"/>
          <w:lang w:val="en-US" w:eastAsia="zh-CN"/>
        </w:rPr>
        <w:t>（3）付款其他说明：</w:t>
      </w:r>
    </w:p>
    <w:p w14:paraId="53F539F5">
      <w:pPr>
        <w:pStyle w:val="3"/>
        <w:numPr>
          <w:ilvl w:val="0"/>
          <w:numId w:val="0"/>
        </w:numPr>
        <w:adjustRightInd w:val="0"/>
        <w:snapToGrid w:val="0"/>
        <w:spacing w:line="360" w:lineRule="auto"/>
        <w:ind w:left="0" w:leftChars="0" w:firstLine="440" w:firstLineChars="200"/>
        <w:rPr>
          <w:rFonts w:hint="default" w:ascii="宋体" w:hAnsi="宋体" w:eastAsia="宋体" w:cs="宋体"/>
          <w:b w:val="0"/>
          <w:color w:val="auto"/>
          <w:sz w:val="22"/>
          <w:szCs w:val="22"/>
          <w:lang w:val="en-US"/>
        </w:rPr>
      </w:pPr>
      <w:r>
        <w:rPr>
          <w:rFonts w:hint="eastAsia" w:cs="宋体"/>
          <w:b w:val="0"/>
          <w:color w:val="auto"/>
          <w:sz w:val="22"/>
          <w:szCs w:val="22"/>
          <w:lang w:val="en-US" w:eastAsia="zh-CN"/>
        </w:rPr>
        <w:t>①</w:t>
      </w:r>
      <w:r>
        <w:rPr>
          <w:rFonts w:hint="eastAsia" w:ascii="宋体" w:hAnsi="宋体" w:eastAsia="宋体" w:cs="宋体"/>
          <w:b w:val="0"/>
          <w:bCs/>
          <w:color w:val="auto"/>
          <w:sz w:val="22"/>
          <w:lang w:val="zh-CN" w:eastAsia="zh-CN"/>
        </w:rPr>
        <w:t>签订合同时</w:t>
      </w:r>
      <w:r>
        <w:rPr>
          <w:rFonts w:hint="eastAsia" w:ascii="宋体" w:hAnsi="宋体" w:eastAsia="宋体" w:cs="宋体"/>
          <w:b w:val="0"/>
          <w:bCs/>
          <w:color w:val="auto"/>
          <w:sz w:val="22"/>
          <w:lang w:val="en-US" w:eastAsia="zh-CN"/>
        </w:rPr>
        <w:t>中标人</w:t>
      </w:r>
      <w:r>
        <w:rPr>
          <w:rFonts w:hint="eastAsia" w:ascii="宋体" w:hAnsi="宋体" w:eastAsia="宋体" w:cs="宋体"/>
          <w:b w:val="0"/>
          <w:bCs/>
          <w:color w:val="auto"/>
          <w:sz w:val="22"/>
          <w:lang w:val="zh-CN" w:eastAsia="zh-CN"/>
        </w:rPr>
        <w:t>明确表示无需预付款或者要求降低预付款比例的，采购人可在合同中另行约定。</w:t>
      </w:r>
      <w:r>
        <w:rPr>
          <w:rFonts w:hint="eastAsia" w:ascii="宋体" w:hAnsi="宋体" w:eastAsia="宋体" w:cs="宋体"/>
          <w:b w:val="0"/>
          <w:bCs/>
          <w:color w:val="auto"/>
          <w:sz w:val="22"/>
          <w:lang w:val="en-US" w:eastAsia="zh-CN"/>
        </w:rPr>
        <w:t>合同为</w:t>
      </w:r>
      <w:r>
        <w:rPr>
          <w:rFonts w:hint="eastAsia" w:cs="宋体"/>
          <w:b w:val="0"/>
          <w:color w:val="auto"/>
          <w:sz w:val="22"/>
          <w:szCs w:val="22"/>
          <w:lang w:val="en-US" w:eastAsia="zh-CN"/>
        </w:rPr>
        <w:t>中小企业合同的，预付款支付前中标人须向采购人提交</w:t>
      </w:r>
      <w:r>
        <w:rPr>
          <w:rFonts w:hint="eastAsia" w:cs="Arial" w:asciiTheme="minorEastAsia" w:hAnsiTheme="minorEastAsia" w:eastAsiaTheme="minorEastAsia"/>
          <w:color w:val="auto"/>
          <w:kern w:val="0"/>
          <w:sz w:val="22"/>
          <w:szCs w:val="22"/>
          <w:lang w:val="zh-CN" w:eastAsia="zh-CN" w:bidi="zh-CN"/>
        </w:rPr>
        <w:t>提交银行、保险公司等金融机构出具的预付款保函或其他担保措施</w:t>
      </w:r>
      <w:r>
        <w:rPr>
          <w:rFonts w:hint="eastAsia" w:cs="宋体"/>
          <w:b w:val="0"/>
          <w:color w:val="auto"/>
          <w:sz w:val="22"/>
          <w:szCs w:val="22"/>
          <w:lang w:val="en-US" w:eastAsia="zh-CN"/>
        </w:rPr>
        <w:t>，预付款保函具体相关操作详见“第二部分 投标人须知”。</w:t>
      </w:r>
    </w:p>
    <w:p w14:paraId="75EC794F">
      <w:pPr>
        <w:pStyle w:val="3"/>
        <w:numPr>
          <w:ilvl w:val="0"/>
          <w:numId w:val="0"/>
        </w:numPr>
        <w:adjustRightInd w:val="0"/>
        <w:snapToGrid w:val="0"/>
        <w:spacing w:line="360" w:lineRule="auto"/>
        <w:ind w:left="0" w:leftChars="0"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zh-CN" w:eastAsia="zh-CN" w:bidi="zh-CN"/>
        </w:rPr>
        <w:t>②</w:t>
      </w:r>
      <w:r>
        <w:rPr>
          <w:rFonts w:hint="eastAsia" w:ascii="宋体" w:hAnsi="宋体" w:eastAsia="宋体" w:cs="宋体"/>
          <w:b w:val="0"/>
          <w:color w:val="auto"/>
          <w:sz w:val="22"/>
          <w:szCs w:val="22"/>
        </w:rPr>
        <w:t>居家养老上门服务按实际服务月数结算并支付，原则上每个居家养老上门服务对象服务不少于6个月，老年人因故死亡而导致服务不满6个月的，可按实际服务</w:t>
      </w:r>
      <w:r>
        <w:rPr>
          <w:rFonts w:hint="eastAsia" w:cs="宋体"/>
          <w:b w:val="0"/>
          <w:color w:val="auto"/>
          <w:sz w:val="22"/>
          <w:szCs w:val="22"/>
          <w:lang w:val="en-US" w:eastAsia="zh-CN"/>
        </w:rPr>
        <w:t>次</w:t>
      </w:r>
      <w:r>
        <w:rPr>
          <w:rFonts w:hint="eastAsia" w:ascii="宋体" w:hAnsi="宋体" w:eastAsia="宋体" w:cs="宋体"/>
          <w:b w:val="0"/>
          <w:color w:val="auto"/>
          <w:sz w:val="22"/>
          <w:szCs w:val="22"/>
        </w:rPr>
        <w:t>数支付服务费。</w:t>
      </w:r>
    </w:p>
    <w:p w14:paraId="4A19E0F0">
      <w:pPr>
        <w:pStyle w:val="3"/>
        <w:numPr>
          <w:ilvl w:val="0"/>
          <w:numId w:val="0"/>
        </w:numPr>
        <w:adjustRightInd w:val="0"/>
        <w:snapToGrid w:val="0"/>
        <w:spacing w:line="360" w:lineRule="auto"/>
        <w:ind w:left="0" w:leftChars="0" w:firstLine="440" w:firstLineChars="200"/>
        <w:rPr>
          <w:rFonts w:hint="default" w:ascii="宋体" w:hAnsi="宋体" w:eastAsia="宋体" w:cs="宋体"/>
          <w:b w:val="0"/>
          <w:bCs/>
          <w:color w:val="auto"/>
          <w:sz w:val="22"/>
          <w:lang w:val="en-US" w:eastAsia="zh-CN"/>
        </w:rPr>
      </w:pPr>
      <w:r>
        <w:rPr>
          <w:rFonts w:hint="eastAsia" w:ascii="宋体" w:hAnsi="宋体" w:eastAsia="宋体" w:cs="宋体"/>
          <w:b w:val="0"/>
          <w:color w:val="auto"/>
          <w:sz w:val="22"/>
          <w:szCs w:val="22"/>
          <w:lang w:eastAsia="zh-CN"/>
        </w:rPr>
        <w:t>③</w:t>
      </w:r>
      <w:r>
        <w:rPr>
          <w:rFonts w:hint="default" w:ascii="宋体" w:hAnsi="宋体" w:eastAsia="宋体" w:cs="宋体"/>
          <w:bCs/>
          <w:color w:val="auto"/>
          <w:szCs w:val="21"/>
          <w:lang w:val="en-US" w:eastAsia="zh-CN"/>
        </w:rPr>
        <w:t>本项目按实结算</w:t>
      </w:r>
      <w:r>
        <w:rPr>
          <w:rFonts w:hint="eastAsia" w:ascii="宋体" w:hAnsi="宋体" w:eastAsia="宋体" w:cs="宋体"/>
          <w:bCs/>
          <w:color w:val="auto"/>
          <w:szCs w:val="21"/>
          <w:lang w:val="en-US" w:eastAsia="zh-CN"/>
        </w:rPr>
        <w:t>，</w:t>
      </w:r>
      <w:r>
        <w:rPr>
          <w:rFonts w:hint="eastAsia" w:ascii="宋体" w:hAnsi="宋体" w:eastAsia="宋体" w:cs="宋体"/>
          <w:b w:val="0"/>
          <w:color w:val="auto"/>
          <w:sz w:val="22"/>
          <w:szCs w:val="22"/>
          <w:lang w:val="en-US" w:eastAsia="zh-CN"/>
        </w:rPr>
        <w:t>每笔款项支付前中标人均须提交正式等额发票。</w:t>
      </w:r>
    </w:p>
    <w:bookmarkEnd w:id="15"/>
    <w:p w14:paraId="64BC4609">
      <w:pPr>
        <w:spacing w:line="360" w:lineRule="auto"/>
        <w:rPr>
          <w:rFonts w:hint="eastAsia" w:ascii="宋体" w:hAnsi="宋体" w:eastAsia="宋体" w:cs="宋体"/>
          <w:b/>
          <w:bCs/>
          <w:color w:val="auto"/>
          <w:sz w:val="24"/>
          <w:szCs w:val="24"/>
          <w:u w:val="none"/>
          <w:lang w:val="en-US" w:eastAsia="zh-CN" w:bidi="zh-CN"/>
        </w:rPr>
      </w:pPr>
      <w:r>
        <w:rPr>
          <w:rFonts w:hint="eastAsia" w:ascii="宋体" w:hAnsi="宋体" w:eastAsia="宋体" w:cs="宋体"/>
          <w:b/>
          <w:bCs/>
          <w:color w:val="auto"/>
          <w:sz w:val="24"/>
          <w:szCs w:val="24"/>
          <w:u w:val="none"/>
          <w:lang w:val="en-US" w:eastAsia="zh-CN" w:bidi="zh-CN"/>
        </w:rPr>
        <w:t>九、服务考核方式</w:t>
      </w:r>
    </w:p>
    <w:p w14:paraId="48AEF1C1">
      <w:pPr>
        <w:spacing w:line="360" w:lineRule="auto"/>
        <w:ind w:firstLine="440" w:firstLineChars="200"/>
        <w:rPr>
          <w:rFonts w:hint="eastAsia" w:asciiTheme="minorEastAsia" w:hAnsiTheme="minorEastAsia" w:eastAsiaTheme="minorEastAsia"/>
          <w:color w:val="auto"/>
          <w:sz w:val="22"/>
          <w:szCs w:val="21"/>
          <w:u w:val="none"/>
          <w:lang w:val="en-US" w:eastAsia="zh-CN"/>
        </w:rPr>
      </w:pPr>
      <w:r>
        <w:rPr>
          <w:rFonts w:hint="eastAsia" w:asciiTheme="minorEastAsia" w:hAnsiTheme="minorEastAsia" w:eastAsiaTheme="minorEastAsia"/>
          <w:color w:val="auto"/>
          <w:sz w:val="22"/>
          <w:szCs w:val="21"/>
          <w:u w:val="none"/>
          <w:lang w:val="en-US" w:eastAsia="zh-CN"/>
        </w:rPr>
        <w:t>中标人在完成居家养老服务任务后，结合被服务对象本人（或家属）的反馈信息进行满意度测评。采购人采取随机抽查的方式，抽查10%的被服务对象进行满意度测评，测评结果与服务费挂钩。满意度平均得分在90分及以上的，按服务中标金额的100%一次性结算居家养老上门服务费用；满意度平均得分在80分（含）-90分（不含）的，按服务中标金额的90%一次性结算；满意度平均得分在60分（含）-80分（不含），按服务中标金额的70%一次性结算；满意度平均得分低于60分的，采购人不予支付剩余居家养老服务款项。</w:t>
      </w:r>
    </w:p>
    <w:p w14:paraId="7A5A39DC">
      <w:pPr>
        <w:rPr>
          <w:rFonts w:hint="eastAsia" w:asciiTheme="minorEastAsia" w:hAnsiTheme="minorEastAsia" w:eastAsiaTheme="minorEastAsia"/>
          <w:color w:val="auto"/>
          <w:sz w:val="22"/>
          <w:szCs w:val="21"/>
          <w:u w:val="none"/>
          <w:lang w:val="en-US" w:eastAsia="zh-CN"/>
        </w:rPr>
      </w:pPr>
      <w:r>
        <w:rPr>
          <w:rFonts w:hint="eastAsia" w:asciiTheme="minorEastAsia" w:hAnsiTheme="minorEastAsia" w:eastAsiaTheme="minorEastAsia"/>
          <w:color w:val="auto"/>
          <w:sz w:val="22"/>
          <w:szCs w:val="21"/>
          <w:u w:val="none"/>
          <w:lang w:val="en-US" w:eastAsia="zh-CN"/>
        </w:rPr>
        <w:br w:type="page"/>
      </w:r>
    </w:p>
    <w:p w14:paraId="73FFF72F">
      <w:pPr>
        <w:spacing w:line="360" w:lineRule="auto"/>
        <w:rPr>
          <w:rFonts w:hint="default" w:asciiTheme="minorEastAsia" w:hAnsiTheme="minorEastAsia" w:eastAsiaTheme="minorEastAsia"/>
          <w:color w:val="auto"/>
          <w:sz w:val="28"/>
          <w:szCs w:val="24"/>
          <w:u w:val="none"/>
          <w:lang w:val="en-US" w:eastAsia="zh-CN"/>
        </w:rPr>
      </w:pPr>
      <w:r>
        <w:rPr>
          <w:rFonts w:hint="eastAsia" w:asciiTheme="minorEastAsia" w:hAnsiTheme="minorEastAsia" w:eastAsiaTheme="minorEastAsia"/>
          <w:b/>
          <w:bCs/>
          <w:color w:val="auto"/>
          <w:sz w:val="28"/>
          <w:szCs w:val="24"/>
          <w:u w:val="none"/>
          <w:lang w:val="en-US" w:eastAsia="zh-CN"/>
        </w:rPr>
        <w:t>附表四</w:t>
      </w:r>
    </w:p>
    <w:p w14:paraId="01AA457A">
      <w:pPr>
        <w:spacing w:line="360" w:lineRule="auto"/>
        <w:jc w:val="center"/>
        <w:rPr>
          <w:rFonts w:hint="default" w:asciiTheme="minorEastAsia" w:hAnsiTheme="minorEastAsia" w:eastAsiaTheme="minorEastAsia"/>
          <w:b/>
          <w:bCs/>
          <w:color w:val="auto"/>
          <w:sz w:val="28"/>
          <w:szCs w:val="24"/>
          <w:u w:val="none"/>
          <w:lang w:val="en-US" w:eastAsia="zh-CN"/>
        </w:rPr>
      </w:pPr>
      <w:r>
        <w:rPr>
          <w:rFonts w:hint="eastAsia" w:asciiTheme="minorEastAsia" w:hAnsiTheme="minorEastAsia" w:eastAsiaTheme="minorEastAsia"/>
          <w:b/>
          <w:bCs/>
          <w:color w:val="auto"/>
          <w:sz w:val="32"/>
          <w:szCs w:val="28"/>
          <w:u w:val="none"/>
          <w:lang w:val="en-US" w:eastAsia="zh-CN"/>
        </w:rPr>
        <w:t>居家养老服务满意度测评表</w:t>
      </w:r>
    </w:p>
    <w:tbl>
      <w:tblPr>
        <w:tblStyle w:val="27"/>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981"/>
        <w:gridCol w:w="6053"/>
        <w:gridCol w:w="2258"/>
      </w:tblGrid>
      <w:tr w14:paraId="6A73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81" w:type="dxa"/>
            <w:vAlign w:val="center"/>
          </w:tcPr>
          <w:p w14:paraId="398EA4EE">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sz w:val="22"/>
                <w:szCs w:val="21"/>
                <w:u w:val="none"/>
                <w:vertAlign w:val="baseline"/>
                <w:lang w:val="en-US" w:eastAsia="zh-CN"/>
              </w:rPr>
              <w:t>老年人</w:t>
            </w:r>
          </w:p>
          <w:p w14:paraId="6B636733">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sz w:val="22"/>
                <w:szCs w:val="21"/>
                <w:u w:val="none"/>
                <w:vertAlign w:val="baseline"/>
                <w:lang w:val="en-US" w:eastAsia="zh-CN"/>
              </w:rPr>
              <w:t>信息</w:t>
            </w:r>
          </w:p>
        </w:tc>
        <w:tc>
          <w:tcPr>
            <w:tcW w:w="8311" w:type="dxa"/>
            <w:gridSpan w:val="2"/>
            <w:vAlign w:val="center"/>
          </w:tcPr>
          <w:p w14:paraId="64460F7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none"/>
              </w:rPr>
              <w:t>_______________</w:t>
            </w:r>
            <w:r>
              <w:rPr>
                <w:rFonts w:hint="eastAsia" w:ascii="宋体" w:hAnsi="宋体" w:eastAsia="宋体" w:cs="宋体"/>
                <w:color w:val="auto"/>
                <w:kern w:val="0"/>
                <w:sz w:val="21"/>
                <w:szCs w:val="21"/>
                <w:highlight w:val="none"/>
              </w:rPr>
              <w:t xml:space="preserve">          性别：○男    ○女</w:t>
            </w:r>
          </w:p>
          <w:p w14:paraId="32B363E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年龄：</w:t>
            </w:r>
            <w:r>
              <w:rPr>
                <w:rFonts w:hint="eastAsia" w:ascii="宋体" w:hAnsi="宋体" w:eastAsia="宋体" w:cs="宋体"/>
                <w:color w:val="auto"/>
                <w:kern w:val="0"/>
                <w:sz w:val="21"/>
                <w:szCs w:val="21"/>
                <w:highlight w:val="none"/>
                <w:u w:val="none"/>
              </w:rPr>
              <w:t>______</w:t>
            </w:r>
            <w:r>
              <w:rPr>
                <w:rFonts w:hint="eastAsia" w:ascii="宋体" w:hAnsi="宋体" w:eastAsia="宋体" w:cs="宋体"/>
                <w:color w:val="auto"/>
                <w:kern w:val="0"/>
                <w:sz w:val="21"/>
                <w:szCs w:val="21"/>
                <w:highlight w:val="none"/>
              </w:rPr>
              <w:t>周岁               联系电话：</w:t>
            </w:r>
            <w:r>
              <w:rPr>
                <w:rFonts w:hint="eastAsia" w:ascii="宋体" w:hAnsi="宋体" w:eastAsia="宋体" w:cs="宋体"/>
                <w:color w:val="auto"/>
                <w:kern w:val="0"/>
                <w:sz w:val="21"/>
                <w:szCs w:val="21"/>
                <w:highlight w:val="none"/>
                <w:u w:val="none"/>
              </w:rPr>
              <w:t>____________________________</w:t>
            </w:r>
          </w:p>
          <w:p w14:paraId="182DE232">
            <w:pPr>
              <w:keepNext w:val="0"/>
              <w:keepLines w:val="0"/>
              <w:pageBreakBefore w:val="0"/>
              <w:kinsoku/>
              <w:wordWrap/>
              <w:overflowPunct/>
              <w:topLinePunct w:val="0"/>
              <w:bidi w:val="0"/>
              <w:adjustRightInd/>
              <w:snapToGrid/>
              <w:spacing w:line="360" w:lineRule="exact"/>
              <w:jc w:val="both"/>
              <w:textAlignment w:val="auto"/>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家庭住址：</w:t>
            </w:r>
            <w:r>
              <w:rPr>
                <w:rFonts w:hint="eastAsia" w:ascii="宋体" w:hAnsi="宋体" w:eastAsia="宋体" w:cs="宋体"/>
                <w:color w:val="auto"/>
                <w:kern w:val="0"/>
                <w:sz w:val="21"/>
                <w:szCs w:val="21"/>
                <w:highlight w:val="none"/>
                <w:u w:val="single"/>
                <w:lang w:val="en-US" w:eastAsia="zh-CN"/>
              </w:rPr>
              <w:t xml:space="preserve">                     </w:t>
            </w:r>
          </w:p>
        </w:tc>
      </w:tr>
      <w:tr w14:paraId="4F8D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981" w:type="dxa"/>
            <w:vAlign w:val="center"/>
          </w:tcPr>
          <w:p w14:paraId="06854126">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sz w:val="22"/>
                <w:szCs w:val="21"/>
                <w:u w:val="none"/>
                <w:vertAlign w:val="baseline"/>
                <w:lang w:val="en-US" w:eastAsia="zh-CN"/>
              </w:rPr>
              <w:t>受访人</w:t>
            </w:r>
          </w:p>
        </w:tc>
        <w:tc>
          <w:tcPr>
            <w:tcW w:w="8311" w:type="dxa"/>
            <w:gridSpan w:val="2"/>
            <w:vAlign w:val="center"/>
          </w:tcPr>
          <w:p w14:paraId="1773836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○老年人本人</w:t>
            </w:r>
          </w:p>
          <w:p w14:paraId="511B36F7">
            <w:pPr>
              <w:keepNext w:val="0"/>
              <w:keepLines w:val="0"/>
              <w:pageBreakBefore w:val="0"/>
              <w:kinsoku/>
              <w:wordWrap/>
              <w:overflowPunct/>
              <w:topLinePunct w:val="0"/>
              <w:bidi w:val="0"/>
              <w:adjustRightInd/>
              <w:snapToGrid/>
              <w:spacing w:line="360" w:lineRule="exact"/>
              <w:jc w:val="both"/>
              <w:textAlignment w:val="auto"/>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○非本人，与老年人关系</w:t>
            </w:r>
            <w:r>
              <w:rPr>
                <w:rFonts w:hint="eastAsia" w:ascii="宋体" w:hAnsi="宋体" w:eastAsia="宋体" w:cs="宋体"/>
                <w:color w:val="auto"/>
                <w:kern w:val="0"/>
                <w:sz w:val="21"/>
                <w:szCs w:val="21"/>
                <w:highlight w:val="none"/>
                <w:u w:val="none"/>
              </w:rPr>
              <w:t>_______________</w:t>
            </w:r>
          </w:p>
        </w:tc>
      </w:tr>
      <w:tr w14:paraId="1F4B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7034" w:type="dxa"/>
            <w:gridSpan w:val="2"/>
            <w:vAlign w:val="center"/>
          </w:tcPr>
          <w:p w14:paraId="7E0445D5">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sz w:val="22"/>
                <w:szCs w:val="21"/>
                <w:u w:val="none"/>
                <w:vertAlign w:val="baseline"/>
                <w:lang w:val="en-US" w:eastAsia="zh-CN"/>
              </w:rPr>
              <w:t>测评内容</w:t>
            </w:r>
          </w:p>
        </w:tc>
        <w:tc>
          <w:tcPr>
            <w:tcW w:w="2258" w:type="dxa"/>
            <w:vAlign w:val="center"/>
          </w:tcPr>
          <w:p w14:paraId="1DC0A109">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sz w:val="22"/>
                <w:szCs w:val="21"/>
                <w:u w:val="none"/>
                <w:vertAlign w:val="baseline"/>
                <w:lang w:val="en-US" w:eastAsia="zh-CN"/>
              </w:rPr>
              <w:t>评分（每项10分）</w:t>
            </w:r>
          </w:p>
        </w:tc>
      </w:tr>
      <w:tr w14:paraId="1DAB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981" w:type="dxa"/>
            <w:vAlign w:val="center"/>
          </w:tcPr>
          <w:p w14:paraId="76AC5E88">
            <w:pPr>
              <w:widowControl/>
              <w:jc w:val="center"/>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1</w:t>
            </w:r>
          </w:p>
        </w:tc>
        <w:tc>
          <w:tcPr>
            <w:tcW w:w="6053" w:type="dxa"/>
            <w:vAlign w:val="center"/>
          </w:tcPr>
          <w:p w14:paraId="0B651910">
            <w:pPr>
              <w:widowControl/>
              <w:jc w:val="both"/>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对服务机构安排的服务时间是否满意</w:t>
            </w:r>
            <w:r>
              <w:rPr>
                <w:rFonts w:hint="eastAsia" w:ascii="宋体" w:hAnsi="宋体" w:eastAsia="宋体" w:cs="宋体"/>
                <w:color w:val="auto"/>
                <w:kern w:val="0"/>
                <w:sz w:val="21"/>
                <w:szCs w:val="21"/>
                <w:highlight w:val="none"/>
                <w:lang w:eastAsia="zh-CN"/>
              </w:rPr>
              <w:t>？</w:t>
            </w:r>
          </w:p>
        </w:tc>
        <w:tc>
          <w:tcPr>
            <w:tcW w:w="2258" w:type="dxa"/>
            <w:vAlign w:val="center"/>
          </w:tcPr>
          <w:p w14:paraId="64091405">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p>
        </w:tc>
      </w:tr>
      <w:tr w14:paraId="0585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981" w:type="dxa"/>
            <w:vAlign w:val="center"/>
          </w:tcPr>
          <w:p w14:paraId="5A7B8E08">
            <w:pPr>
              <w:widowControl/>
              <w:jc w:val="center"/>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2</w:t>
            </w:r>
          </w:p>
        </w:tc>
        <w:tc>
          <w:tcPr>
            <w:tcW w:w="6053" w:type="dxa"/>
            <w:vAlign w:val="center"/>
          </w:tcPr>
          <w:p w14:paraId="0F3D0F14">
            <w:pPr>
              <w:widowControl/>
              <w:jc w:val="both"/>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对服务机构提供的服务内容是否满意(服务项目是否能满足您的需求)</w:t>
            </w:r>
          </w:p>
        </w:tc>
        <w:tc>
          <w:tcPr>
            <w:tcW w:w="2258" w:type="dxa"/>
            <w:vAlign w:val="center"/>
          </w:tcPr>
          <w:p w14:paraId="2F27216C">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p>
        </w:tc>
      </w:tr>
      <w:tr w14:paraId="5FE8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981" w:type="dxa"/>
            <w:vAlign w:val="center"/>
          </w:tcPr>
          <w:p w14:paraId="665A9286">
            <w:pPr>
              <w:jc w:val="center"/>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3</w:t>
            </w:r>
          </w:p>
        </w:tc>
        <w:tc>
          <w:tcPr>
            <w:tcW w:w="6053" w:type="dxa"/>
            <w:vAlign w:val="center"/>
          </w:tcPr>
          <w:p w14:paraId="2901C8C5">
            <w:pPr>
              <w:jc w:val="both"/>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对服务员的服务时间是否满意？（服务员服务时间是否到位,是否有迟到或者早退现象）</w:t>
            </w:r>
          </w:p>
        </w:tc>
        <w:tc>
          <w:tcPr>
            <w:tcW w:w="2258" w:type="dxa"/>
            <w:vAlign w:val="center"/>
          </w:tcPr>
          <w:p w14:paraId="49BD894F">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p>
        </w:tc>
      </w:tr>
      <w:tr w14:paraId="73FC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981" w:type="dxa"/>
            <w:vAlign w:val="center"/>
          </w:tcPr>
          <w:p w14:paraId="35048988">
            <w:pPr>
              <w:widowControl/>
              <w:jc w:val="center"/>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4</w:t>
            </w:r>
          </w:p>
        </w:tc>
        <w:tc>
          <w:tcPr>
            <w:tcW w:w="6053" w:type="dxa"/>
            <w:vAlign w:val="center"/>
          </w:tcPr>
          <w:p w14:paraId="1ADA3366">
            <w:pPr>
              <w:widowControl/>
              <w:jc w:val="both"/>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对服务员的服务态度是否满意？(是否存在服务态度差、脏活累活不愿意做等情况)</w:t>
            </w:r>
          </w:p>
        </w:tc>
        <w:tc>
          <w:tcPr>
            <w:tcW w:w="2258" w:type="dxa"/>
            <w:vAlign w:val="center"/>
          </w:tcPr>
          <w:p w14:paraId="577F7C3B">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p>
        </w:tc>
      </w:tr>
      <w:tr w14:paraId="0463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981" w:type="dxa"/>
            <w:vAlign w:val="center"/>
          </w:tcPr>
          <w:p w14:paraId="2C813C0B">
            <w:pPr>
              <w:widowControl/>
              <w:jc w:val="center"/>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5</w:t>
            </w:r>
          </w:p>
        </w:tc>
        <w:tc>
          <w:tcPr>
            <w:tcW w:w="6053" w:type="dxa"/>
            <w:vAlign w:val="center"/>
          </w:tcPr>
          <w:p w14:paraId="3B6DAE99">
            <w:pPr>
              <w:widowControl/>
              <w:jc w:val="both"/>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对服务员的工作效率是否满意？（是否存在手脚慢，工作拖拉、敷衍了事现象）</w:t>
            </w:r>
          </w:p>
        </w:tc>
        <w:tc>
          <w:tcPr>
            <w:tcW w:w="2258" w:type="dxa"/>
            <w:vAlign w:val="center"/>
          </w:tcPr>
          <w:p w14:paraId="4E041617">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p>
        </w:tc>
      </w:tr>
      <w:tr w14:paraId="7D76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981" w:type="dxa"/>
            <w:vAlign w:val="center"/>
          </w:tcPr>
          <w:p w14:paraId="25F95880">
            <w:pPr>
              <w:widowControl/>
              <w:jc w:val="center"/>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6</w:t>
            </w:r>
          </w:p>
        </w:tc>
        <w:tc>
          <w:tcPr>
            <w:tcW w:w="6053" w:type="dxa"/>
            <w:vAlign w:val="center"/>
          </w:tcPr>
          <w:p w14:paraId="7F83A3B3">
            <w:pPr>
              <w:widowControl/>
              <w:jc w:val="both"/>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服务员对老年人的关爱程度是否满意？</w:t>
            </w:r>
          </w:p>
        </w:tc>
        <w:tc>
          <w:tcPr>
            <w:tcW w:w="2258" w:type="dxa"/>
            <w:vAlign w:val="center"/>
          </w:tcPr>
          <w:p w14:paraId="2906324A">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p>
        </w:tc>
      </w:tr>
      <w:tr w14:paraId="183E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981" w:type="dxa"/>
            <w:vAlign w:val="center"/>
          </w:tcPr>
          <w:p w14:paraId="341FF7FF">
            <w:pPr>
              <w:widowControl/>
              <w:jc w:val="center"/>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7</w:t>
            </w:r>
          </w:p>
        </w:tc>
        <w:tc>
          <w:tcPr>
            <w:tcW w:w="6053" w:type="dxa"/>
            <w:vAlign w:val="center"/>
          </w:tcPr>
          <w:p w14:paraId="482205AD">
            <w:pPr>
              <w:widowControl/>
              <w:jc w:val="both"/>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服务员服务时的责任心是否满意？</w:t>
            </w:r>
          </w:p>
        </w:tc>
        <w:tc>
          <w:tcPr>
            <w:tcW w:w="2258" w:type="dxa"/>
            <w:vAlign w:val="center"/>
          </w:tcPr>
          <w:p w14:paraId="6B4DE257">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p>
        </w:tc>
      </w:tr>
      <w:tr w14:paraId="786C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981" w:type="dxa"/>
            <w:vAlign w:val="center"/>
          </w:tcPr>
          <w:p w14:paraId="72734E46">
            <w:pPr>
              <w:widowControl/>
              <w:jc w:val="center"/>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8</w:t>
            </w:r>
          </w:p>
        </w:tc>
        <w:tc>
          <w:tcPr>
            <w:tcW w:w="6053" w:type="dxa"/>
            <w:vAlign w:val="center"/>
          </w:tcPr>
          <w:p w14:paraId="1FC4AA04">
            <w:pPr>
              <w:widowControl/>
              <w:jc w:val="both"/>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对服务员上门服务时的品德表现是否满意？</w:t>
            </w:r>
          </w:p>
        </w:tc>
        <w:tc>
          <w:tcPr>
            <w:tcW w:w="2258" w:type="dxa"/>
            <w:vAlign w:val="center"/>
          </w:tcPr>
          <w:p w14:paraId="4D2BFCC6">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p>
        </w:tc>
      </w:tr>
      <w:tr w14:paraId="6669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981" w:type="dxa"/>
            <w:vAlign w:val="center"/>
          </w:tcPr>
          <w:p w14:paraId="538D9D04">
            <w:pPr>
              <w:widowControl/>
              <w:jc w:val="center"/>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9</w:t>
            </w:r>
          </w:p>
        </w:tc>
        <w:tc>
          <w:tcPr>
            <w:tcW w:w="6053" w:type="dxa"/>
            <w:vAlign w:val="center"/>
          </w:tcPr>
          <w:p w14:paraId="53DBBDB2">
            <w:pPr>
              <w:widowControl/>
              <w:jc w:val="both"/>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对服务员的服务质量是否满意？</w:t>
            </w:r>
          </w:p>
        </w:tc>
        <w:tc>
          <w:tcPr>
            <w:tcW w:w="2258" w:type="dxa"/>
            <w:vAlign w:val="center"/>
          </w:tcPr>
          <w:p w14:paraId="3CEF5A94">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p>
        </w:tc>
      </w:tr>
      <w:tr w14:paraId="42AA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981" w:type="dxa"/>
            <w:vAlign w:val="center"/>
          </w:tcPr>
          <w:p w14:paraId="34AF30A7">
            <w:pPr>
              <w:widowControl/>
              <w:jc w:val="center"/>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10</w:t>
            </w:r>
          </w:p>
        </w:tc>
        <w:tc>
          <w:tcPr>
            <w:tcW w:w="6053" w:type="dxa"/>
            <w:vAlign w:val="center"/>
          </w:tcPr>
          <w:p w14:paraId="36B62FDA">
            <w:pPr>
              <w:widowControl/>
              <w:jc w:val="both"/>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kern w:val="0"/>
                <w:sz w:val="21"/>
                <w:szCs w:val="21"/>
                <w:highlight w:val="none"/>
              </w:rPr>
              <w:t>对服务公司的监督管理是否满意？（服务公司是否有人上门或者电话回访，听取老年人的意见建议）</w:t>
            </w:r>
          </w:p>
        </w:tc>
        <w:tc>
          <w:tcPr>
            <w:tcW w:w="2258" w:type="dxa"/>
            <w:vAlign w:val="center"/>
          </w:tcPr>
          <w:p w14:paraId="2C7DC763">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p>
        </w:tc>
      </w:tr>
      <w:tr w14:paraId="2BB0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rPr>
        <w:tc>
          <w:tcPr>
            <w:tcW w:w="7034" w:type="dxa"/>
            <w:gridSpan w:val="2"/>
            <w:vAlign w:val="center"/>
          </w:tcPr>
          <w:p w14:paraId="669BAD5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总分</w:t>
            </w:r>
          </w:p>
        </w:tc>
        <w:tc>
          <w:tcPr>
            <w:tcW w:w="2258" w:type="dxa"/>
            <w:vAlign w:val="center"/>
          </w:tcPr>
          <w:p w14:paraId="0DF9C9C2">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szCs w:val="21"/>
                <w:u w:val="none"/>
                <w:vertAlign w:val="baseline"/>
                <w:lang w:val="en-US" w:eastAsia="zh-CN"/>
              </w:rPr>
            </w:pPr>
          </w:p>
        </w:tc>
      </w:tr>
      <w:tr w14:paraId="5D16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4" w:hRule="atLeast"/>
        </w:trPr>
        <w:tc>
          <w:tcPr>
            <w:tcW w:w="9292" w:type="dxa"/>
            <w:gridSpan w:val="3"/>
            <w:vAlign w:val="top"/>
          </w:tcPr>
          <w:p w14:paraId="152E4D20">
            <w:pPr>
              <w:keepNext w:val="0"/>
              <w:keepLines w:val="0"/>
              <w:pageBreakBefore w:val="0"/>
              <w:kinsoku/>
              <w:wordWrap/>
              <w:overflowPunct/>
              <w:topLinePunct w:val="0"/>
              <w:bidi w:val="0"/>
              <w:adjustRightInd/>
              <w:snapToGrid/>
              <w:spacing w:line="360" w:lineRule="exact"/>
              <w:jc w:val="both"/>
              <w:textAlignment w:val="auto"/>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sz w:val="22"/>
                <w:szCs w:val="21"/>
                <w:u w:val="none"/>
                <w:vertAlign w:val="baseline"/>
                <w:lang w:val="en-US" w:eastAsia="zh-CN"/>
              </w:rPr>
              <w:t>关于居家养老服务的意见和建议：</w:t>
            </w:r>
          </w:p>
        </w:tc>
      </w:tr>
      <w:tr w14:paraId="2896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4" w:hRule="atLeast"/>
        </w:trPr>
        <w:tc>
          <w:tcPr>
            <w:tcW w:w="9292" w:type="dxa"/>
            <w:gridSpan w:val="3"/>
            <w:vAlign w:val="top"/>
          </w:tcPr>
          <w:p w14:paraId="35B66C51">
            <w:pPr>
              <w:keepNext w:val="0"/>
              <w:keepLines w:val="0"/>
              <w:pageBreakBefore w:val="0"/>
              <w:kinsoku/>
              <w:wordWrap/>
              <w:overflowPunct/>
              <w:topLinePunct w:val="0"/>
              <w:bidi w:val="0"/>
              <w:adjustRightInd/>
              <w:snapToGrid/>
              <w:spacing w:line="360" w:lineRule="exact"/>
              <w:jc w:val="both"/>
              <w:textAlignment w:val="auto"/>
              <w:rPr>
                <w:rFonts w:hint="eastAsia" w:ascii="宋体" w:hAnsi="宋体" w:eastAsia="宋体" w:cs="宋体"/>
                <w:color w:val="auto"/>
                <w:sz w:val="22"/>
                <w:szCs w:val="21"/>
                <w:u w:val="none"/>
                <w:vertAlign w:val="baseline"/>
                <w:lang w:val="en-US" w:eastAsia="zh-CN"/>
              </w:rPr>
            </w:pPr>
          </w:p>
          <w:p w14:paraId="583430CA">
            <w:pPr>
              <w:keepNext w:val="0"/>
              <w:keepLines w:val="0"/>
              <w:pageBreakBefore w:val="0"/>
              <w:kinsoku/>
              <w:wordWrap/>
              <w:overflowPunct/>
              <w:topLinePunct w:val="0"/>
              <w:bidi w:val="0"/>
              <w:adjustRightInd/>
              <w:snapToGrid/>
              <w:spacing w:line="360" w:lineRule="exact"/>
              <w:jc w:val="both"/>
              <w:textAlignment w:val="auto"/>
              <w:rPr>
                <w:rFonts w:hint="eastAsia" w:ascii="宋体" w:hAnsi="宋体" w:eastAsia="宋体" w:cs="宋体"/>
                <w:color w:val="auto"/>
                <w:sz w:val="22"/>
                <w:szCs w:val="21"/>
                <w:u w:val="none"/>
                <w:vertAlign w:val="baseline"/>
                <w:lang w:val="en-US" w:eastAsia="zh-CN"/>
              </w:rPr>
            </w:pPr>
          </w:p>
          <w:p w14:paraId="269F488C">
            <w:pPr>
              <w:keepNext w:val="0"/>
              <w:keepLines w:val="0"/>
              <w:pageBreakBefore w:val="0"/>
              <w:kinsoku/>
              <w:wordWrap/>
              <w:overflowPunct/>
              <w:topLinePunct w:val="0"/>
              <w:bidi w:val="0"/>
              <w:adjustRightInd/>
              <w:snapToGrid/>
              <w:spacing w:line="360" w:lineRule="exact"/>
              <w:jc w:val="both"/>
              <w:textAlignment w:val="auto"/>
              <w:rPr>
                <w:rFonts w:hint="eastAsia" w:ascii="宋体" w:hAnsi="宋体" w:eastAsia="宋体" w:cs="宋体"/>
                <w:color w:val="auto"/>
                <w:sz w:val="22"/>
                <w:szCs w:val="21"/>
                <w:u w:val="none"/>
                <w:vertAlign w:val="baseline"/>
                <w:lang w:val="en-US" w:eastAsia="zh-CN"/>
              </w:rPr>
            </w:pPr>
            <w:r>
              <w:rPr>
                <w:rFonts w:hint="eastAsia" w:ascii="宋体" w:hAnsi="宋体" w:eastAsia="宋体" w:cs="宋体"/>
                <w:color w:val="auto"/>
                <w:sz w:val="22"/>
                <w:szCs w:val="21"/>
                <w:u w:val="none"/>
                <w:vertAlign w:val="baseline"/>
                <w:lang w:val="en-US" w:eastAsia="zh-CN"/>
              </w:rPr>
              <w:t>测评员签字：</w:t>
            </w:r>
            <w:r>
              <w:rPr>
                <w:rFonts w:hint="eastAsia" w:ascii="宋体" w:hAnsi="宋体" w:eastAsia="宋体" w:cs="宋体"/>
                <w:color w:val="auto"/>
                <w:sz w:val="22"/>
                <w:szCs w:val="21"/>
                <w:u w:val="single"/>
                <w:vertAlign w:val="baseline"/>
                <w:lang w:val="en-US" w:eastAsia="zh-CN"/>
              </w:rPr>
              <w:t xml:space="preserve">                                   </w:t>
            </w:r>
            <w:r>
              <w:rPr>
                <w:rFonts w:hint="eastAsia" w:ascii="宋体" w:hAnsi="宋体" w:eastAsia="宋体" w:cs="宋体"/>
                <w:color w:val="auto"/>
                <w:sz w:val="22"/>
                <w:szCs w:val="21"/>
                <w:u w:val="none"/>
                <w:vertAlign w:val="baseline"/>
                <w:lang w:val="en-US" w:eastAsia="zh-CN"/>
              </w:rPr>
              <w:t xml:space="preserve">        测评时间：     年   月   日</w:t>
            </w:r>
          </w:p>
        </w:tc>
      </w:tr>
    </w:tbl>
    <w:p w14:paraId="6C065ADC">
      <w:pPr>
        <w:ind w:firstLine="440" w:firstLineChars="200"/>
        <w:rPr>
          <w:rFonts w:hint="eastAsia" w:ascii="宋体" w:hAnsi="宋体" w:eastAsia="宋体" w:cs="宋体"/>
          <w:b w:val="0"/>
          <w:bCs w:val="0"/>
          <w:color w:val="auto"/>
          <w:sz w:val="22"/>
          <w:szCs w:val="22"/>
          <w:lang w:val="en-US" w:eastAsia="zh-CN"/>
        </w:rPr>
      </w:pPr>
      <w:r>
        <w:rPr>
          <w:rFonts w:hint="eastAsia" w:cs="宋体"/>
          <w:b w:val="0"/>
          <w:bCs w:val="0"/>
          <w:color w:val="auto"/>
          <w:sz w:val="22"/>
          <w:szCs w:val="22"/>
          <w:lang w:val="en-US" w:eastAsia="zh-CN"/>
        </w:rPr>
        <w:t>注：具体考核细则以实际执行为准，采购人可调整考核内容，中标人须无条件配合。</w:t>
      </w:r>
    </w:p>
    <w:p w14:paraId="0BCA8D73">
      <w:pPr>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bookmarkEnd w:id="14"/>
    <w:p w14:paraId="21FB65B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0"/>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第</w:t>
      </w:r>
      <w:r>
        <w:rPr>
          <w:rFonts w:hint="eastAsia" w:cs="仿宋_GB2312" w:asciiTheme="minorEastAsia" w:hAnsiTheme="minorEastAsia" w:eastAsiaTheme="minorEastAsia"/>
          <w:b/>
          <w:color w:val="auto"/>
          <w:sz w:val="32"/>
          <w:szCs w:val="32"/>
          <w:lang w:val="en-US" w:eastAsia="zh-CN"/>
        </w:rPr>
        <w:t>四</w:t>
      </w:r>
      <w:r>
        <w:rPr>
          <w:rFonts w:hint="eastAsia" w:cs="仿宋_GB2312" w:asciiTheme="minorEastAsia" w:hAnsiTheme="minorEastAsia" w:eastAsiaTheme="minorEastAsia"/>
          <w:b/>
          <w:color w:val="auto"/>
          <w:sz w:val="32"/>
          <w:szCs w:val="32"/>
        </w:rPr>
        <w:t>部分  评标办法</w:t>
      </w:r>
    </w:p>
    <w:tbl>
      <w:tblPr>
        <w:tblStyle w:val="26"/>
        <w:tblpPr w:leftFromText="180" w:rightFromText="180" w:vertAnchor="text" w:horzAnchor="page" w:tblpX="1184" w:tblpY="599"/>
        <w:tblOverlap w:val="never"/>
        <w:tblW w:w="955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18"/>
        <w:gridCol w:w="1050"/>
        <w:gridCol w:w="690"/>
        <w:gridCol w:w="1080"/>
        <w:gridCol w:w="6214"/>
      </w:tblGrid>
      <w:tr w14:paraId="66064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9552" w:type="dxa"/>
            <w:gridSpan w:val="5"/>
            <w:tcBorders>
              <w:tl2br w:val="nil"/>
              <w:tr2bl w:val="nil"/>
            </w:tcBorders>
            <w:shd w:val="clear" w:color="auto" w:fill="B6DDE8" w:themeFill="accent5" w:themeFillTint="66"/>
            <w:noWrap w:val="0"/>
            <w:vAlign w:val="center"/>
          </w:tcPr>
          <w:p w14:paraId="54FE46DF">
            <w:pPr>
              <w:keepNext w:val="0"/>
              <w:keepLines w:val="0"/>
              <w:pageBreakBefore w:val="0"/>
              <w:widowControl w:val="0"/>
              <w:kinsoku/>
              <w:wordWrap w:val="0"/>
              <w:overflowPunct/>
              <w:topLinePunct w:val="0"/>
              <w:bidi w:val="0"/>
              <w:adjustRightInd/>
              <w:snapToGrid w:val="0"/>
              <w:spacing w:line="240" w:lineRule="auto"/>
              <w:jc w:val="center"/>
              <w:textAlignment w:val="auto"/>
              <w:rPr>
                <w:rFonts w:hint="eastAsia" w:ascii="宋体" w:hAnsi="宋体" w:eastAsia="宋体" w:cs="宋体"/>
                <w:b/>
                <w:bCs/>
                <w:color w:val="auto"/>
                <w:spacing w:val="0"/>
                <w:position w:val="0"/>
                <w:sz w:val="24"/>
                <w:szCs w:val="24"/>
                <w:highlight w:val="none"/>
                <w:shd w:val="clear" w:fill="B6DDE8" w:themeFill="accent5" w:themeFillTint="66"/>
                <w:lang w:val="en-US" w:eastAsia="zh-CN"/>
              </w:rPr>
            </w:pPr>
            <w:r>
              <w:rPr>
                <w:rFonts w:hint="eastAsia" w:ascii="宋体" w:hAnsi="宋体" w:eastAsia="宋体" w:cs="宋体"/>
                <w:b/>
                <w:bCs/>
                <w:color w:val="auto"/>
                <w:spacing w:val="0"/>
                <w:position w:val="0"/>
                <w:sz w:val="28"/>
                <w:szCs w:val="28"/>
                <w:highlight w:val="none"/>
                <w:shd w:val="clear" w:fill="B6DDE8" w:themeFill="accent5" w:themeFillTint="66"/>
                <w:lang w:val="en-US" w:eastAsia="zh-CN"/>
              </w:rPr>
              <w:t>评标办法前附表</w:t>
            </w:r>
          </w:p>
        </w:tc>
      </w:tr>
      <w:tr w14:paraId="7B530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9552" w:type="dxa"/>
            <w:gridSpan w:val="5"/>
            <w:tcBorders>
              <w:tl2br w:val="nil"/>
              <w:tr2bl w:val="nil"/>
            </w:tcBorders>
            <w:shd w:val="clear" w:color="auto" w:fill="auto"/>
            <w:noWrap w:val="0"/>
            <w:vAlign w:val="center"/>
          </w:tcPr>
          <w:p w14:paraId="1B4525EA">
            <w:pPr>
              <w:keepNext w:val="0"/>
              <w:keepLines w:val="0"/>
              <w:pageBreakBefore w:val="0"/>
              <w:widowControl w:val="0"/>
              <w:kinsoku/>
              <w:wordWrap w:val="0"/>
              <w:overflowPunct/>
              <w:topLinePunct w:val="0"/>
              <w:bidi w:val="0"/>
              <w:adjustRightInd/>
              <w:snapToGrid w:val="0"/>
              <w:spacing w:line="240" w:lineRule="auto"/>
              <w:jc w:val="left"/>
              <w:textAlignment w:val="auto"/>
              <w:rPr>
                <w:rFonts w:hint="eastAsia" w:ascii="宋体" w:hAnsi="宋体" w:eastAsia="宋体" w:cs="宋体"/>
                <w:b/>
                <w:bCs/>
                <w:color w:val="auto"/>
                <w:spacing w:val="0"/>
                <w:position w:val="0"/>
                <w:sz w:val="21"/>
                <w:szCs w:val="21"/>
                <w:highlight w:val="none"/>
                <w:lang w:val="en-US" w:eastAsia="zh-CN"/>
              </w:rPr>
            </w:pPr>
            <w:r>
              <w:rPr>
                <w:rFonts w:hint="eastAsia" w:ascii="宋体" w:hAnsi="宋体" w:eastAsia="宋体" w:cs="宋体"/>
                <w:b/>
                <w:bCs/>
                <w:color w:val="auto"/>
                <w:spacing w:val="0"/>
                <w:position w:val="0"/>
                <w:sz w:val="22"/>
                <w:szCs w:val="22"/>
                <w:highlight w:val="none"/>
                <w:shd w:val="clear"/>
                <w:lang w:val="en-US" w:eastAsia="zh-CN"/>
              </w:rPr>
              <w:t>（一）技术资信分（满分</w:t>
            </w:r>
            <w:r>
              <w:rPr>
                <w:rFonts w:hint="eastAsia" w:cs="宋体"/>
                <w:b/>
                <w:bCs/>
                <w:color w:val="auto"/>
                <w:spacing w:val="0"/>
                <w:position w:val="0"/>
                <w:sz w:val="22"/>
                <w:szCs w:val="22"/>
                <w:highlight w:val="none"/>
                <w:shd w:val="clear"/>
                <w:lang w:val="en-US" w:eastAsia="zh-CN"/>
              </w:rPr>
              <w:t>80</w:t>
            </w:r>
            <w:r>
              <w:rPr>
                <w:rFonts w:hint="eastAsia" w:ascii="宋体" w:hAnsi="宋体" w:eastAsia="宋体" w:cs="宋体"/>
                <w:b/>
                <w:bCs/>
                <w:color w:val="auto"/>
                <w:spacing w:val="0"/>
                <w:position w:val="0"/>
                <w:sz w:val="22"/>
                <w:szCs w:val="22"/>
                <w:highlight w:val="none"/>
                <w:shd w:val="clear"/>
                <w:lang w:val="en-US" w:eastAsia="zh-CN"/>
              </w:rPr>
              <w:t>分）</w:t>
            </w:r>
          </w:p>
        </w:tc>
      </w:tr>
      <w:tr w14:paraId="7F77BA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tcBorders>
              <w:tl2br w:val="nil"/>
              <w:tr2bl w:val="nil"/>
            </w:tcBorders>
            <w:noWrap w:val="0"/>
            <w:vAlign w:val="center"/>
          </w:tcPr>
          <w:p w14:paraId="5128B66F">
            <w:pPr>
              <w:keepNext w:val="0"/>
              <w:keepLines w:val="0"/>
              <w:pageBreakBefore w:val="0"/>
              <w:widowControl w:val="0"/>
              <w:kinsoku/>
              <w:wordWrap w:val="0"/>
              <w:overflowPunct/>
              <w:topLinePunct w:val="0"/>
              <w:autoSpaceDE/>
              <w:autoSpaceDN/>
              <w:bidi w:val="0"/>
              <w:adjustRightInd/>
              <w:snapToGrid/>
              <w:spacing w:after="0" w:line="330" w:lineRule="exact"/>
              <w:jc w:val="center"/>
              <w:textAlignment w:val="auto"/>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序号</w:t>
            </w:r>
          </w:p>
        </w:tc>
        <w:tc>
          <w:tcPr>
            <w:tcW w:w="1050" w:type="dxa"/>
            <w:tcBorders>
              <w:tl2br w:val="nil"/>
              <w:tr2bl w:val="nil"/>
            </w:tcBorders>
            <w:noWrap w:val="0"/>
            <w:vAlign w:val="center"/>
          </w:tcPr>
          <w:p w14:paraId="24FA6CD0">
            <w:pPr>
              <w:keepNext w:val="0"/>
              <w:keepLines w:val="0"/>
              <w:pageBreakBefore w:val="0"/>
              <w:widowControl w:val="0"/>
              <w:kinsoku/>
              <w:wordWrap w:val="0"/>
              <w:overflowPunct/>
              <w:topLinePunct w:val="0"/>
              <w:autoSpaceDE/>
              <w:autoSpaceDN/>
              <w:bidi w:val="0"/>
              <w:adjustRightInd/>
              <w:snapToGrid/>
              <w:spacing w:after="0" w:line="330" w:lineRule="exact"/>
              <w:jc w:val="center"/>
              <w:textAlignment w:val="auto"/>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评分内容</w:t>
            </w:r>
          </w:p>
        </w:tc>
        <w:tc>
          <w:tcPr>
            <w:tcW w:w="690" w:type="dxa"/>
            <w:tcBorders>
              <w:tl2br w:val="nil"/>
              <w:tr2bl w:val="nil"/>
            </w:tcBorders>
            <w:noWrap w:val="0"/>
            <w:vAlign w:val="center"/>
          </w:tcPr>
          <w:p w14:paraId="0EF95F8C">
            <w:pPr>
              <w:keepNext w:val="0"/>
              <w:keepLines w:val="0"/>
              <w:pageBreakBefore w:val="0"/>
              <w:widowControl w:val="0"/>
              <w:kinsoku/>
              <w:wordWrap w:val="0"/>
              <w:overflowPunct/>
              <w:topLinePunct w:val="0"/>
              <w:autoSpaceDE/>
              <w:autoSpaceDN/>
              <w:bidi w:val="0"/>
              <w:adjustRightInd/>
              <w:snapToGrid/>
              <w:spacing w:after="0" w:line="330" w:lineRule="exact"/>
              <w:jc w:val="center"/>
              <w:textAlignment w:val="auto"/>
              <w:rPr>
                <w:rFonts w:hint="eastAsia" w:ascii="宋体" w:hAnsi="宋体" w:eastAsia="宋体" w:cs="宋体"/>
                <w:b/>
                <w:bCs/>
                <w:color w:val="auto"/>
                <w:spacing w:val="0"/>
                <w:position w:val="0"/>
                <w:sz w:val="21"/>
                <w:szCs w:val="21"/>
                <w:highlight w:val="none"/>
                <w:lang w:eastAsia="zh-CN"/>
              </w:rPr>
            </w:pPr>
            <w:r>
              <w:rPr>
                <w:rFonts w:hint="eastAsia" w:cs="宋体"/>
                <w:b/>
                <w:bCs/>
                <w:color w:val="auto"/>
                <w:spacing w:val="0"/>
                <w:position w:val="0"/>
                <w:sz w:val="21"/>
                <w:szCs w:val="21"/>
                <w:highlight w:val="none"/>
                <w:lang w:val="en-US" w:eastAsia="zh-CN"/>
              </w:rPr>
              <w:t>权重</w:t>
            </w:r>
          </w:p>
        </w:tc>
        <w:tc>
          <w:tcPr>
            <w:tcW w:w="1080" w:type="dxa"/>
            <w:tcBorders>
              <w:tl2br w:val="nil"/>
              <w:tr2bl w:val="nil"/>
            </w:tcBorders>
            <w:noWrap w:val="0"/>
            <w:vAlign w:val="center"/>
          </w:tcPr>
          <w:p w14:paraId="178401D7">
            <w:pPr>
              <w:keepNext w:val="0"/>
              <w:keepLines w:val="0"/>
              <w:pageBreakBefore w:val="0"/>
              <w:widowControl w:val="0"/>
              <w:kinsoku/>
              <w:wordWrap w:val="0"/>
              <w:overflowPunct/>
              <w:topLinePunct w:val="0"/>
              <w:autoSpaceDE/>
              <w:autoSpaceDN/>
              <w:bidi w:val="0"/>
              <w:adjustRightInd/>
              <w:snapToGrid/>
              <w:spacing w:after="0" w:line="330" w:lineRule="exact"/>
              <w:jc w:val="center"/>
              <w:textAlignment w:val="auto"/>
              <w:rPr>
                <w:rFonts w:hint="eastAsia" w:ascii="宋体" w:hAnsi="宋体" w:eastAsia="宋体" w:cs="宋体"/>
                <w:b/>
                <w:bCs/>
                <w:color w:val="auto"/>
                <w:spacing w:val="0"/>
                <w:position w:val="0"/>
                <w:sz w:val="21"/>
                <w:szCs w:val="21"/>
                <w:highlight w:val="none"/>
                <w:lang w:val="en-US" w:eastAsia="zh-CN"/>
              </w:rPr>
            </w:pPr>
            <w:r>
              <w:rPr>
                <w:rFonts w:hint="eastAsia" w:ascii="宋体" w:hAnsi="宋体" w:eastAsia="宋体" w:cs="宋体"/>
                <w:b/>
                <w:bCs/>
                <w:color w:val="auto"/>
                <w:spacing w:val="0"/>
                <w:position w:val="0"/>
                <w:sz w:val="21"/>
                <w:szCs w:val="21"/>
                <w:highlight w:val="none"/>
                <w:lang w:val="en-US" w:eastAsia="zh-CN"/>
              </w:rPr>
              <w:t>主观分/客观分属性</w:t>
            </w:r>
          </w:p>
        </w:tc>
        <w:tc>
          <w:tcPr>
            <w:tcW w:w="6214" w:type="dxa"/>
            <w:tcBorders>
              <w:tl2br w:val="nil"/>
              <w:tr2bl w:val="nil"/>
            </w:tcBorders>
            <w:noWrap w:val="0"/>
            <w:vAlign w:val="center"/>
          </w:tcPr>
          <w:p w14:paraId="1DAD7870">
            <w:pPr>
              <w:keepNext w:val="0"/>
              <w:keepLines w:val="0"/>
              <w:pageBreakBefore w:val="0"/>
              <w:widowControl w:val="0"/>
              <w:kinsoku/>
              <w:wordWrap w:val="0"/>
              <w:overflowPunct/>
              <w:topLinePunct w:val="0"/>
              <w:autoSpaceDE/>
              <w:autoSpaceDN/>
              <w:bidi w:val="0"/>
              <w:adjustRightInd/>
              <w:snapToGrid/>
              <w:spacing w:after="0" w:line="330" w:lineRule="exact"/>
              <w:jc w:val="center"/>
              <w:textAlignment w:val="auto"/>
              <w:rPr>
                <w:rFonts w:hint="eastAsia" w:ascii="宋体" w:hAnsi="宋体" w:eastAsia="宋体" w:cs="宋体"/>
                <w:b/>
                <w:bCs/>
                <w:color w:val="auto"/>
                <w:spacing w:val="0"/>
                <w:position w:val="0"/>
                <w:sz w:val="21"/>
                <w:szCs w:val="21"/>
                <w:highlight w:val="none"/>
                <w:lang w:val="en-US" w:eastAsia="zh-CN"/>
              </w:rPr>
            </w:pPr>
            <w:r>
              <w:rPr>
                <w:rFonts w:hint="eastAsia" w:ascii="宋体" w:hAnsi="宋体" w:eastAsia="宋体" w:cs="宋体"/>
                <w:b/>
                <w:bCs/>
                <w:color w:val="auto"/>
                <w:spacing w:val="0"/>
                <w:position w:val="0"/>
                <w:sz w:val="21"/>
                <w:szCs w:val="21"/>
                <w:highlight w:val="none"/>
                <w:lang w:val="en-US" w:eastAsia="zh-CN"/>
              </w:rPr>
              <w:t>评分细则</w:t>
            </w:r>
          </w:p>
        </w:tc>
      </w:tr>
      <w:tr w14:paraId="555214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restart"/>
            <w:tcBorders>
              <w:tl2br w:val="nil"/>
              <w:tr2bl w:val="nil"/>
            </w:tcBorders>
            <w:noWrap w:val="0"/>
            <w:vAlign w:val="center"/>
          </w:tcPr>
          <w:p w14:paraId="6734A752">
            <w:pPr>
              <w:keepNext w:val="0"/>
              <w:keepLines w:val="0"/>
              <w:pageBreakBefore w:val="0"/>
              <w:widowControl w:val="0"/>
              <w:suppressLineNumbers w:val="0"/>
              <w:kinsoku/>
              <w:wordWrap w:val="0"/>
              <w:overflowPunct/>
              <w:topLinePunct w:val="0"/>
              <w:autoSpaceDE w:val="0"/>
              <w:autoSpaceDN w:val="0"/>
              <w:bidi w:val="0"/>
              <w:adjustRightInd/>
              <w:snapToGrid/>
              <w:spacing w:line="330" w:lineRule="exact"/>
              <w:jc w:val="center"/>
              <w:textAlignment w:val="auto"/>
              <w:rPr>
                <w:rFonts w:hint="default" w:ascii="宋体" w:hAnsi="宋体" w:eastAsia="宋体" w:cs="宋体"/>
                <w:b w:val="0"/>
                <w:bCs w:val="0"/>
                <w:color w:val="auto"/>
                <w:spacing w:val="0"/>
                <w:kern w:val="2"/>
                <w:position w:val="0"/>
                <w:sz w:val="21"/>
                <w:szCs w:val="21"/>
                <w:highlight w:val="none"/>
                <w:lang w:val="en-US" w:eastAsia="zh-CN" w:bidi="ar-SA"/>
              </w:rPr>
            </w:pPr>
            <w:r>
              <w:rPr>
                <w:rFonts w:hint="eastAsia" w:cs="宋体"/>
                <w:b w:val="0"/>
                <w:bCs w:val="0"/>
                <w:color w:val="auto"/>
                <w:spacing w:val="0"/>
                <w:kern w:val="2"/>
                <w:position w:val="0"/>
                <w:sz w:val="21"/>
                <w:szCs w:val="21"/>
                <w:highlight w:val="none"/>
                <w:lang w:val="en-US" w:eastAsia="zh-CN" w:bidi="ar-SA"/>
              </w:rPr>
              <w:t>1</w:t>
            </w:r>
          </w:p>
        </w:tc>
        <w:tc>
          <w:tcPr>
            <w:tcW w:w="1050" w:type="dxa"/>
            <w:vMerge w:val="restart"/>
            <w:tcBorders>
              <w:tl2br w:val="nil"/>
              <w:tr2bl w:val="nil"/>
            </w:tcBorders>
            <w:noWrap w:val="0"/>
            <w:vAlign w:val="center"/>
          </w:tcPr>
          <w:p w14:paraId="3E746CEC">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类似业绩</w:t>
            </w:r>
          </w:p>
        </w:tc>
        <w:tc>
          <w:tcPr>
            <w:tcW w:w="690" w:type="dxa"/>
            <w:vMerge w:val="restart"/>
            <w:tcBorders>
              <w:tl2br w:val="nil"/>
              <w:tr2bl w:val="nil"/>
            </w:tcBorders>
            <w:noWrap w:val="0"/>
            <w:vAlign w:val="center"/>
          </w:tcPr>
          <w:p w14:paraId="190DE65F">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2分</w:t>
            </w:r>
          </w:p>
        </w:tc>
        <w:tc>
          <w:tcPr>
            <w:tcW w:w="1080" w:type="dxa"/>
            <w:tcBorders>
              <w:tl2br w:val="nil"/>
              <w:tr2bl w:val="nil"/>
            </w:tcBorders>
            <w:noWrap w:val="0"/>
            <w:vAlign w:val="center"/>
          </w:tcPr>
          <w:p w14:paraId="0399309C">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客观</w:t>
            </w:r>
          </w:p>
        </w:tc>
        <w:tc>
          <w:tcPr>
            <w:tcW w:w="6214" w:type="dxa"/>
            <w:tcBorders>
              <w:tl2br w:val="nil"/>
              <w:tr2bl w:val="nil"/>
            </w:tcBorders>
            <w:noWrap w:val="0"/>
            <w:vAlign w:val="center"/>
          </w:tcPr>
          <w:p w14:paraId="1230ADD0">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Cs/>
                <w:color w:val="auto"/>
                <w:spacing w:val="0"/>
                <w:kern w:val="28"/>
                <w:position w:val="0"/>
                <w:sz w:val="21"/>
                <w:szCs w:val="21"/>
                <w:highlight w:val="none"/>
                <w:lang w:val="en-US" w:eastAsia="zh-CN"/>
              </w:rPr>
              <w:t>投标人</w:t>
            </w:r>
            <w:r>
              <w:rPr>
                <w:rFonts w:hint="eastAsia" w:ascii="宋体" w:hAnsi="宋体" w:eastAsia="宋体" w:cs="宋体"/>
                <w:b w:val="0"/>
                <w:bCs w:val="0"/>
                <w:color w:val="auto"/>
                <w:spacing w:val="0"/>
                <w:position w:val="0"/>
                <w:sz w:val="21"/>
                <w:szCs w:val="21"/>
                <w:highlight w:val="none"/>
                <w:lang w:val="en-US" w:eastAsia="zh-CN"/>
              </w:rPr>
              <w:t>自2021年</w:t>
            </w:r>
            <w:r>
              <w:rPr>
                <w:rFonts w:hint="eastAsia" w:cs="宋体"/>
                <w:b w:val="0"/>
                <w:bCs w:val="0"/>
                <w:color w:val="auto"/>
                <w:spacing w:val="0"/>
                <w:position w:val="0"/>
                <w:sz w:val="21"/>
                <w:szCs w:val="21"/>
                <w:highlight w:val="none"/>
                <w:lang w:val="en-US" w:eastAsia="zh-CN"/>
              </w:rPr>
              <w:t>1</w:t>
            </w:r>
            <w:r>
              <w:rPr>
                <w:rFonts w:hint="eastAsia" w:ascii="宋体" w:hAnsi="宋体" w:eastAsia="宋体" w:cs="宋体"/>
                <w:b w:val="0"/>
                <w:bCs w:val="0"/>
                <w:color w:val="auto"/>
                <w:spacing w:val="0"/>
                <w:position w:val="0"/>
                <w:sz w:val="21"/>
                <w:szCs w:val="21"/>
                <w:highlight w:val="none"/>
                <w:lang w:val="en-US" w:eastAsia="zh-CN"/>
              </w:rPr>
              <w:t>月1日以来（以签订合同时间为准）完成过家庭养老床位建设（或适老化改造项目或智能化改造项目）类似项目业绩的，每个得0.5分，本项最高得1分。</w:t>
            </w:r>
          </w:p>
          <w:p w14:paraId="3E693C2E">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注：以合同服务内容为准（合同未体现服务内容的，另须提供合同业主盖章的相关证明），提供合同扫描件，否则不得分。</w:t>
            </w:r>
          </w:p>
        </w:tc>
      </w:tr>
      <w:tr w14:paraId="29D8E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continue"/>
            <w:tcBorders>
              <w:tl2br w:val="nil"/>
              <w:tr2bl w:val="nil"/>
            </w:tcBorders>
            <w:noWrap w:val="0"/>
            <w:vAlign w:val="center"/>
          </w:tcPr>
          <w:p w14:paraId="0FE896BC">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rPr>
            </w:pPr>
          </w:p>
        </w:tc>
        <w:tc>
          <w:tcPr>
            <w:tcW w:w="1050" w:type="dxa"/>
            <w:vMerge w:val="continue"/>
            <w:tcBorders>
              <w:tl2br w:val="nil"/>
              <w:tr2bl w:val="nil"/>
            </w:tcBorders>
            <w:noWrap w:val="0"/>
            <w:vAlign w:val="center"/>
          </w:tcPr>
          <w:p w14:paraId="12259264">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rPr>
            </w:pPr>
          </w:p>
        </w:tc>
        <w:tc>
          <w:tcPr>
            <w:tcW w:w="690" w:type="dxa"/>
            <w:vMerge w:val="continue"/>
            <w:tcBorders>
              <w:tl2br w:val="nil"/>
              <w:tr2bl w:val="nil"/>
            </w:tcBorders>
            <w:noWrap w:val="0"/>
            <w:vAlign w:val="center"/>
          </w:tcPr>
          <w:p w14:paraId="3365DE34">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rPr>
            </w:pPr>
          </w:p>
        </w:tc>
        <w:tc>
          <w:tcPr>
            <w:tcW w:w="1080" w:type="dxa"/>
            <w:tcBorders>
              <w:tl2br w:val="nil"/>
              <w:tr2bl w:val="nil"/>
            </w:tcBorders>
            <w:noWrap w:val="0"/>
            <w:vAlign w:val="center"/>
          </w:tcPr>
          <w:p w14:paraId="446CCAB1">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客观</w:t>
            </w:r>
          </w:p>
        </w:tc>
        <w:tc>
          <w:tcPr>
            <w:tcW w:w="6214" w:type="dxa"/>
            <w:tcBorders>
              <w:tl2br w:val="nil"/>
              <w:tr2bl w:val="nil"/>
            </w:tcBorders>
            <w:noWrap w:val="0"/>
            <w:vAlign w:val="center"/>
          </w:tcPr>
          <w:p w14:paraId="5CBFABFA">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Cs/>
                <w:color w:val="auto"/>
                <w:spacing w:val="0"/>
                <w:kern w:val="28"/>
                <w:position w:val="0"/>
                <w:sz w:val="21"/>
                <w:szCs w:val="21"/>
                <w:highlight w:val="none"/>
                <w:lang w:val="en-US" w:eastAsia="zh-CN"/>
              </w:rPr>
              <w:t>投标</w:t>
            </w:r>
            <w:r>
              <w:rPr>
                <w:rFonts w:hint="eastAsia" w:ascii="宋体" w:hAnsi="宋体" w:eastAsia="宋体" w:cs="宋体"/>
                <w:b w:val="0"/>
                <w:bCs/>
                <w:color w:val="auto"/>
                <w:spacing w:val="0"/>
                <w:kern w:val="28"/>
                <w:position w:val="0"/>
                <w:sz w:val="21"/>
                <w:szCs w:val="21"/>
                <w:highlight w:val="none"/>
                <w:lang w:val="en-US" w:eastAsia="zh-CN"/>
              </w:rPr>
              <w:t>人</w:t>
            </w:r>
            <w:r>
              <w:rPr>
                <w:rFonts w:hint="eastAsia" w:ascii="宋体" w:hAnsi="宋体" w:eastAsia="宋体" w:cs="宋体"/>
                <w:b w:val="0"/>
                <w:bCs/>
                <w:color w:val="auto"/>
                <w:spacing w:val="0"/>
                <w:position w:val="0"/>
                <w:sz w:val="21"/>
                <w:szCs w:val="21"/>
                <w:highlight w:val="none"/>
                <w:lang w:val="en-US" w:eastAsia="zh-CN"/>
              </w:rPr>
              <w:t>2021年</w:t>
            </w:r>
            <w:r>
              <w:rPr>
                <w:rFonts w:hint="eastAsia" w:cs="宋体"/>
                <w:b w:val="0"/>
                <w:bCs/>
                <w:color w:val="auto"/>
                <w:spacing w:val="0"/>
                <w:position w:val="0"/>
                <w:sz w:val="21"/>
                <w:szCs w:val="21"/>
                <w:highlight w:val="none"/>
                <w:lang w:val="en-US" w:eastAsia="zh-CN"/>
              </w:rPr>
              <w:t>1</w:t>
            </w:r>
            <w:r>
              <w:rPr>
                <w:rFonts w:hint="eastAsia" w:ascii="宋体" w:hAnsi="宋体" w:eastAsia="宋体" w:cs="宋体"/>
                <w:b w:val="0"/>
                <w:bCs/>
                <w:color w:val="auto"/>
                <w:spacing w:val="0"/>
                <w:position w:val="0"/>
                <w:sz w:val="21"/>
                <w:szCs w:val="21"/>
                <w:highlight w:val="none"/>
                <w:lang w:val="en-US" w:eastAsia="zh-CN"/>
              </w:rPr>
              <w:t>月1日以来（</w:t>
            </w:r>
            <w:r>
              <w:rPr>
                <w:rFonts w:hint="eastAsia" w:ascii="宋体" w:hAnsi="宋体" w:eastAsia="宋体" w:cs="宋体"/>
                <w:b w:val="0"/>
                <w:bCs w:val="0"/>
                <w:color w:val="auto"/>
                <w:spacing w:val="0"/>
                <w:position w:val="0"/>
                <w:sz w:val="21"/>
                <w:szCs w:val="21"/>
                <w:highlight w:val="none"/>
                <w:lang w:val="en-US" w:eastAsia="zh-CN"/>
              </w:rPr>
              <w:t>以签订合同时间为准）完成过居家养老服务（或居家养老上门服务）类似项目业绩的，每个得0.5分，本项最高得1分。</w:t>
            </w:r>
          </w:p>
          <w:p w14:paraId="0F4772D9">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注：以合同服务内容为准（合同未体现服务内容的，另须提供合同业主盖章的相关证明），提供合同扫描件，否则不得分。</w:t>
            </w:r>
          </w:p>
        </w:tc>
      </w:tr>
      <w:tr w14:paraId="28301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tcBorders>
              <w:tl2br w:val="nil"/>
              <w:tr2bl w:val="nil"/>
            </w:tcBorders>
            <w:noWrap w:val="0"/>
            <w:vAlign w:val="center"/>
          </w:tcPr>
          <w:p w14:paraId="1EEE372B">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2</w:t>
            </w:r>
          </w:p>
        </w:tc>
        <w:tc>
          <w:tcPr>
            <w:tcW w:w="1050" w:type="dxa"/>
            <w:tcBorders>
              <w:tl2br w:val="nil"/>
              <w:tr2bl w:val="nil"/>
            </w:tcBorders>
            <w:noWrap w:val="0"/>
            <w:vAlign w:val="center"/>
          </w:tcPr>
          <w:p w14:paraId="441B12D6">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pacing w:val="0"/>
                <w:position w:val="0"/>
                <w:sz w:val="21"/>
                <w:szCs w:val="21"/>
                <w:highlight w:val="none"/>
                <w:lang w:val="en-US" w:eastAsia="zh-CN"/>
              </w:rPr>
              <w:t>投标产品情况</w:t>
            </w:r>
          </w:p>
        </w:tc>
        <w:tc>
          <w:tcPr>
            <w:tcW w:w="690" w:type="dxa"/>
            <w:tcBorders>
              <w:tl2br w:val="nil"/>
              <w:tr2bl w:val="nil"/>
            </w:tcBorders>
            <w:noWrap w:val="0"/>
            <w:vAlign w:val="center"/>
          </w:tcPr>
          <w:p w14:paraId="09E9C32D">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w:t>
            </w:r>
          </w:p>
        </w:tc>
        <w:tc>
          <w:tcPr>
            <w:tcW w:w="1080" w:type="dxa"/>
            <w:tcBorders>
              <w:tl2br w:val="nil"/>
              <w:tr2bl w:val="nil"/>
            </w:tcBorders>
            <w:noWrap w:val="0"/>
            <w:vAlign w:val="center"/>
          </w:tcPr>
          <w:p w14:paraId="12179BD0">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客观</w:t>
            </w:r>
          </w:p>
        </w:tc>
        <w:tc>
          <w:tcPr>
            <w:tcW w:w="6214" w:type="dxa"/>
            <w:tcBorders>
              <w:tl2br w:val="nil"/>
              <w:tr2bl w:val="nil"/>
            </w:tcBorders>
            <w:noWrap w:val="0"/>
            <w:vAlign w:val="center"/>
          </w:tcPr>
          <w:p w14:paraId="72102581">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根据所投产品技术指标与采购文件</w:t>
            </w:r>
            <w:r>
              <w:rPr>
                <w:rFonts w:hint="eastAsia" w:cs="宋体"/>
                <w:b w:val="0"/>
                <w:bCs w:val="0"/>
                <w:color w:val="auto"/>
                <w:spacing w:val="0"/>
                <w:position w:val="0"/>
                <w:sz w:val="21"/>
                <w:szCs w:val="21"/>
                <w:highlight w:val="none"/>
                <w:lang w:val="en-US" w:eastAsia="zh-CN"/>
              </w:rPr>
              <w:t>“家庭养老床位建设产品推荐清单”</w:t>
            </w:r>
            <w:r>
              <w:rPr>
                <w:rFonts w:hint="eastAsia" w:ascii="宋体" w:hAnsi="宋体" w:eastAsia="宋体" w:cs="宋体"/>
                <w:b w:val="0"/>
                <w:bCs w:val="0"/>
                <w:color w:val="auto"/>
                <w:spacing w:val="0"/>
                <w:position w:val="0"/>
                <w:sz w:val="21"/>
                <w:szCs w:val="21"/>
                <w:highlight w:val="none"/>
                <w:lang w:val="en-US" w:eastAsia="zh-CN"/>
              </w:rPr>
              <w:t>要求每负偏离一条标“</w:t>
            </w:r>
            <w:r>
              <w:rPr>
                <w:rFonts w:hint="eastAsia" w:cs="宋体"/>
                <w:b w:val="0"/>
                <w:bCs w:val="0"/>
                <w:color w:val="auto"/>
                <w:spacing w:val="0"/>
                <w:position w:val="0"/>
                <w:sz w:val="21"/>
                <w:szCs w:val="21"/>
                <w:highlight w:val="none"/>
                <w:lang w:val="en-US" w:eastAsia="zh-CN"/>
              </w:rPr>
              <w:t>★</w:t>
            </w:r>
            <w:r>
              <w:rPr>
                <w:rFonts w:hint="eastAsia" w:ascii="宋体" w:hAnsi="宋体" w:eastAsia="宋体" w:cs="宋体"/>
                <w:b w:val="0"/>
                <w:bCs w:val="0"/>
                <w:color w:val="auto"/>
                <w:spacing w:val="0"/>
                <w:position w:val="0"/>
                <w:sz w:val="21"/>
                <w:szCs w:val="21"/>
                <w:highlight w:val="none"/>
                <w:lang w:val="en-US" w:eastAsia="zh-CN"/>
              </w:rPr>
              <w:t>”指标扣 1 分。</w:t>
            </w:r>
          </w:p>
          <w:p w14:paraId="00F848C7">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注：标“</w:t>
            </w:r>
            <w:r>
              <w:rPr>
                <w:rFonts w:hint="eastAsia" w:cs="宋体"/>
                <w:b w:val="0"/>
                <w:bCs w:val="0"/>
                <w:color w:val="auto"/>
                <w:spacing w:val="0"/>
                <w:position w:val="0"/>
                <w:sz w:val="21"/>
                <w:szCs w:val="21"/>
                <w:highlight w:val="none"/>
                <w:lang w:val="en-US" w:eastAsia="zh-CN"/>
              </w:rPr>
              <w:t>★</w:t>
            </w:r>
            <w:r>
              <w:rPr>
                <w:rFonts w:hint="eastAsia" w:ascii="宋体" w:hAnsi="宋体" w:eastAsia="宋体" w:cs="宋体"/>
                <w:b w:val="0"/>
                <w:bCs w:val="0"/>
                <w:color w:val="auto"/>
                <w:spacing w:val="0"/>
                <w:position w:val="0"/>
                <w:sz w:val="21"/>
                <w:szCs w:val="21"/>
                <w:highlight w:val="none"/>
                <w:lang w:val="en-US" w:eastAsia="zh-CN"/>
              </w:rPr>
              <w:t>”的响应条款必须提供相应的证明材料，负偏离或未提供证明材料，不得分。</w:t>
            </w:r>
          </w:p>
        </w:tc>
      </w:tr>
      <w:tr w14:paraId="1D2573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restart"/>
            <w:tcBorders>
              <w:tl2br w:val="nil"/>
              <w:tr2bl w:val="nil"/>
            </w:tcBorders>
            <w:noWrap w:val="0"/>
            <w:vAlign w:val="center"/>
          </w:tcPr>
          <w:p w14:paraId="09BD3CBF">
            <w:pPr>
              <w:keepNext w:val="0"/>
              <w:keepLines w:val="0"/>
              <w:pageBreakBefore w:val="0"/>
              <w:widowControl w:val="0"/>
              <w:suppressLineNumbers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i w:val="0"/>
                <w:iCs w:val="0"/>
                <w:color w:val="auto"/>
                <w:spacing w:val="0"/>
                <w:kern w:val="0"/>
                <w:position w:val="0"/>
                <w:sz w:val="21"/>
                <w:szCs w:val="21"/>
                <w:highlight w:val="none"/>
                <w:u w:val="none"/>
                <w:lang w:val="en-US" w:eastAsia="zh-CN" w:bidi="ar"/>
              </w:rPr>
            </w:pPr>
            <w:r>
              <w:rPr>
                <w:rFonts w:hint="eastAsia" w:cs="宋体"/>
                <w:i w:val="0"/>
                <w:iCs w:val="0"/>
                <w:color w:val="auto"/>
                <w:spacing w:val="0"/>
                <w:kern w:val="0"/>
                <w:position w:val="0"/>
                <w:sz w:val="21"/>
                <w:szCs w:val="21"/>
                <w:highlight w:val="none"/>
                <w:u w:val="none"/>
                <w:lang w:val="en-US" w:eastAsia="zh-CN" w:bidi="ar"/>
              </w:rPr>
              <w:t>3</w:t>
            </w:r>
          </w:p>
        </w:tc>
        <w:tc>
          <w:tcPr>
            <w:tcW w:w="1050" w:type="dxa"/>
            <w:vMerge w:val="restart"/>
            <w:tcBorders>
              <w:tl2br w:val="nil"/>
              <w:tr2bl w:val="nil"/>
            </w:tcBorders>
            <w:noWrap w:val="0"/>
            <w:vAlign w:val="center"/>
          </w:tcPr>
          <w:p w14:paraId="1A7A925F">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bidi="zh-CN"/>
              </w:rPr>
            </w:pPr>
            <w:r>
              <w:rPr>
                <w:rFonts w:hint="eastAsia" w:ascii="宋体" w:hAnsi="宋体" w:eastAsia="宋体" w:cs="宋体"/>
                <w:b w:val="0"/>
                <w:bCs w:val="0"/>
                <w:color w:val="auto"/>
                <w:spacing w:val="0"/>
                <w:position w:val="0"/>
                <w:sz w:val="21"/>
                <w:szCs w:val="21"/>
                <w:highlight w:val="none"/>
                <w:lang w:val="en-US" w:eastAsia="zh-CN" w:bidi="zh-CN"/>
              </w:rPr>
              <w:t>人员情况</w:t>
            </w:r>
          </w:p>
        </w:tc>
        <w:tc>
          <w:tcPr>
            <w:tcW w:w="690" w:type="dxa"/>
            <w:vMerge w:val="restart"/>
            <w:tcBorders>
              <w:tl2br w:val="nil"/>
              <w:tr2bl w:val="nil"/>
            </w:tcBorders>
            <w:noWrap w:val="0"/>
            <w:vAlign w:val="center"/>
          </w:tcPr>
          <w:p w14:paraId="2F6A413B">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bidi="zh-CN"/>
              </w:rPr>
            </w:pPr>
            <w:r>
              <w:rPr>
                <w:rFonts w:hint="eastAsia" w:cs="宋体"/>
                <w:b w:val="0"/>
                <w:bCs w:val="0"/>
                <w:color w:val="auto"/>
                <w:spacing w:val="0"/>
                <w:position w:val="0"/>
                <w:sz w:val="21"/>
                <w:szCs w:val="21"/>
                <w:highlight w:val="none"/>
                <w:lang w:val="en-US" w:eastAsia="zh-CN" w:bidi="zh-CN"/>
              </w:rPr>
              <w:t>10</w:t>
            </w:r>
            <w:r>
              <w:rPr>
                <w:rFonts w:hint="eastAsia" w:ascii="宋体" w:hAnsi="宋体" w:eastAsia="宋体" w:cs="宋体"/>
                <w:b w:val="0"/>
                <w:bCs w:val="0"/>
                <w:color w:val="auto"/>
                <w:spacing w:val="0"/>
                <w:position w:val="0"/>
                <w:sz w:val="21"/>
                <w:szCs w:val="21"/>
                <w:highlight w:val="none"/>
                <w:lang w:val="en-US" w:eastAsia="zh-CN" w:bidi="zh-CN"/>
              </w:rPr>
              <w:t>分</w:t>
            </w:r>
          </w:p>
        </w:tc>
        <w:tc>
          <w:tcPr>
            <w:tcW w:w="1080" w:type="dxa"/>
            <w:tcBorders>
              <w:tl2br w:val="nil"/>
              <w:tr2bl w:val="nil"/>
            </w:tcBorders>
            <w:noWrap w:val="0"/>
            <w:vAlign w:val="center"/>
          </w:tcPr>
          <w:p w14:paraId="6571AFBE">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客观</w:t>
            </w:r>
          </w:p>
        </w:tc>
        <w:tc>
          <w:tcPr>
            <w:tcW w:w="6214" w:type="dxa"/>
            <w:tcBorders>
              <w:tl2br w:val="nil"/>
              <w:tr2bl w:val="nil"/>
            </w:tcBorders>
            <w:noWrap w:val="0"/>
            <w:vAlign w:val="center"/>
          </w:tcPr>
          <w:p w14:paraId="49950E05">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拟派项目负责人具有信息系统项目管理师的得1分</w:t>
            </w:r>
            <w:r>
              <w:rPr>
                <w:rFonts w:hint="eastAsia" w:cs="宋体"/>
                <w:b w:val="0"/>
                <w:bCs w:val="0"/>
                <w:color w:val="auto"/>
                <w:spacing w:val="0"/>
                <w:position w:val="0"/>
                <w:sz w:val="21"/>
                <w:szCs w:val="21"/>
                <w:highlight w:val="none"/>
                <w:lang w:val="en-US" w:eastAsia="zh-CN"/>
              </w:rPr>
              <w:t>或</w:t>
            </w:r>
            <w:r>
              <w:rPr>
                <w:rFonts w:hint="eastAsia" w:ascii="宋体" w:hAnsi="宋体" w:eastAsia="宋体" w:cs="宋体"/>
                <w:b w:val="0"/>
                <w:bCs w:val="0"/>
                <w:color w:val="auto"/>
                <w:spacing w:val="0"/>
                <w:position w:val="0"/>
                <w:sz w:val="21"/>
                <w:szCs w:val="21"/>
                <w:highlight w:val="none"/>
                <w:lang w:val="en-US" w:eastAsia="zh-CN"/>
              </w:rPr>
              <w:t>具有机电工程二级及以上注册建造师证书的得</w:t>
            </w:r>
            <w:r>
              <w:rPr>
                <w:rFonts w:hint="eastAsia" w:cs="宋体"/>
                <w:b w:val="0"/>
                <w:bCs w:val="0"/>
                <w:color w:val="auto"/>
                <w:spacing w:val="0"/>
                <w:position w:val="0"/>
                <w:sz w:val="21"/>
                <w:szCs w:val="21"/>
                <w:highlight w:val="none"/>
                <w:lang w:val="en-US" w:eastAsia="zh-CN"/>
              </w:rPr>
              <w:t>2</w:t>
            </w:r>
            <w:r>
              <w:rPr>
                <w:rFonts w:hint="eastAsia" w:ascii="宋体" w:hAnsi="宋体" w:eastAsia="宋体" w:cs="宋体"/>
                <w:b w:val="0"/>
                <w:bCs w:val="0"/>
                <w:color w:val="auto"/>
                <w:spacing w:val="0"/>
                <w:position w:val="0"/>
                <w:sz w:val="21"/>
                <w:szCs w:val="21"/>
                <w:highlight w:val="none"/>
                <w:lang w:val="en-US" w:eastAsia="zh-CN"/>
              </w:rPr>
              <w:t>分；本项最高得2分。</w:t>
            </w:r>
          </w:p>
          <w:p w14:paraId="4F89F580">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注：须提供能体现评分因素的相关证书扫描件和</w:t>
            </w:r>
            <w:r>
              <w:rPr>
                <w:rFonts w:hint="eastAsia" w:ascii="宋体" w:hAnsi="宋体" w:eastAsia="宋体" w:cs="宋体"/>
                <w:bCs/>
                <w:color w:val="auto"/>
                <w:spacing w:val="0"/>
                <w:kern w:val="28"/>
                <w:position w:val="0"/>
                <w:sz w:val="21"/>
                <w:szCs w:val="21"/>
                <w:highlight w:val="none"/>
                <w:lang w:val="en-US" w:eastAsia="zh-CN"/>
              </w:rPr>
              <w:t>投标人</w:t>
            </w:r>
            <w:r>
              <w:rPr>
                <w:rFonts w:hint="eastAsia" w:ascii="宋体" w:hAnsi="宋体" w:eastAsia="宋体" w:cs="宋体"/>
                <w:b w:val="0"/>
                <w:bCs w:val="0"/>
                <w:color w:val="auto"/>
                <w:spacing w:val="0"/>
                <w:position w:val="0"/>
                <w:sz w:val="21"/>
                <w:szCs w:val="21"/>
                <w:highlight w:val="none"/>
                <w:lang w:val="en-US" w:eastAsia="zh-CN"/>
              </w:rPr>
              <w:t>为其缴纳的投标截止时间前近3个月任意一个月的社保缴纳证明材料，否则不得分。</w:t>
            </w:r>
          </w:p>
        </w:tc>
      </w:tr>
      <w:tr w14:paraId="759B1C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continue"/>
            <w:tcBorders>
              <w:tl2br w:val="nil"/>
              <w:tr2bl w:val="nil"/>
            </w:tcBorders>
            <w:noWrap w:val="0"/>
            <w:vAlign w:val="center"/>
          </w:tcPr>
          <w:p w14:paraId="3C0E79AA">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rPr>
            </w:pPr>
          </w:p>
        </w:tc>
        <w:tc>
          <w:tcPr>
            <w:tcW w:w="1050" w:type="dxa"/>
            <w:vMerge w:val="continue"/>
            <w:tcBorders>
              <w:tl2br w:val="nil"/>
              <w:tr2bl w:val="nil"/>
            </w:tcBorders>
            <w:noWrap w:val="0"/>
            <w:vAlign w:val="center"/>
          </w:tcPr>
          <w:p w14:paraId="465C4038">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rPr>
            </w:pPr>
          </w:p>
        </w:tc>
        <w:tc>
          <w:tcPr>
            <w:tcW w:w="690" w:type="dxa"/>
            <w:vMerge w:val="continue"/>
            <w:tcBorders>
              <w:tl2br w:val="nil"/>
              <w:tr2bl w:val="nil"/>
            </w:tcBorders>
            <w:noWrap w:val="0"/>
            <w:vAlign w:val="center"/>
          </w:tcPr>
          <w:p w14:paraId="604F6E0E">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rPr>
            </w:pPr>
          </w:p>
        </w:tc>
        <w:tc>
          <w:tcPr>
            <w:tcW w:w="1080" w:type="dxa"/>
            <w:tcBorders>
              <w:tl2br w:val="nil"/>
              <w:tr2bl w:val="nil"/>
            </w:tcBorders>
            <w:noWrap w:val="0"/>
            <w:vAlign w:val="center"/>
          </w:tcPr>
          <w:p w14:paraId="108FDA3A">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客观</w:t>
            </w:r>
          </w:p>
        </w:tc>
        <w:tc>
          <w:tcPr>
            <w:tcW w:w="6214" w:type="dxa"/>
            <w:tcBorders>
              <w:tl2br w:val="nil"/>
              <w:tr2bl w:val="nil"/>
            </w:tcBorders>
            <w:noWrap w:val="0"/>
            <w:vAlign w:val="center"/>
          </w:tcPr>
          <w:p w14:paraId="7BB2E1F0">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lang w:val="en-US" w:eastAsia="zh-CN" w:bidi="zh-CN"/>
              </w:rPr>
              <w:t>（1）</w:t>
            </w:r>
            <w:r>
              <w:rPr>
                <w:rFonts w:hint="eastAsia" w:ascii="宋体" w:hAnsi="宋体" w:eastAsia="宋体" w:cs="宋体"/>
                <w:b w:val="0"/>
                <w:bCs w:val="0"/>
                <w:color w:val="auto"/>
                <w:spacing w:val="0"/>
                <w:position w:val="0"/>
                <w:sz w:val="21"/>
                <w:szCs w:val="21"/>
                <w:highlight w:val="none"/>
                <w:lang w:val="en-US" w:eastAsia="zh-CN"/>
              </w:rPr>
              <w:t>项目组成员（不包括项目负责人）具有</w:t>
            </w:r>
            <w:r>
              <w:rPr>
                <w:rFonts w:hint="eastAsia" w:cs="宋体"/>
                <w:b w:val="0"/>
                <w:bCs w:val="0"/>
                <w:color w:val="auto"/>
                <w:spacing w:val="0"/>
                <w:position w:val="0"/>
                <w:sz w:val="21"/>
                <w:szCs w:val="21"/>
                <w:highlight w:val="none"/>
                <w:lang w:val="en-US" w:eastAsia="zh-CN"/>
              </w:rPr>
              <w:t>信息安全管理师（或信息安全工程师）、软件设计师、高级</w:t>
            </w:r>
            <w:r>
              <w:rPr>
                <w:rFonts w:hint="eastAsia" w:ascii="宋体" w:hAnsi="宋体" w:eastAsia="宋体" w:cs="宋体"/>
                <w:b w:val="0"/>
                <w:bCs w:val="0"/>
                <w:color w:val="auto"/>
                <w:spacing w:val="0"/>
                <w:position w:val="0"/>
                <w:sz w:val="21"/>
                <w:szCs w:val="21"/>
                <w:highlight w:val="none"/>
                <w:lang w:val="en-US" w:eastAsia="zh-CN"/>
              </w:rPr>
              <w:t>物联网应用工程师证书</w:t>
            </w:r>
            <w:r>
              <w:rPr>
                <w:rFonts w:hint="eastAsia" w:cs="宋体"/>
                <w:b w:val="0"/>
                <w:bCs w:val="0"/>
                <w:color w:val="auto"/>
                <w:spacing w:val="0"/>
                <w:position w:val="0"/>
                <w:sz w:val="21"/>
                <w:szCs w:val="21"/>
                <w:highlight w:val="none"/>
                <w:lang w:val="en-US" w:eastAsia="zh-CN"/>
              </w:rPr>
              <w:t>、</w:t>
            </w:r>
            <w:r>
              <w:rPr>
                <w:rFonts w:hint="eastAsia" w:ascii="宋体" w:hAnsi="宋体" w:eastAsia="宋体" w:cs="宋体"/>
                <w:b w:val="0"/>
                <w:bCs w:val="0"/>
                <w:color w:val="auto"/>
                <w:spacing w:val="0"/>
                <w:position w:val="0"/>
                <w:sz w:val="21"/>
                <w:szCs w:val="21"/>
                <w:highlight w:val="none"/>
                <w:lang w:val="en-US" w:eastAsia="zh-CN"/>
              </w:rPr>
              <w:t>智能建筑弱电中级级以上工程师职称证书</w:t>
            </w:r>
            <w:r>
              <w:rPr>
                <w:rFonts w:hint="eastAsia" w:cs="宋体"/>
                <w:b w:val="0"/>
                <w:bCs w:val="0"/>
                <w:color w:val="auto"/>
                <w:spacing w:val="0"/>
                <w:position w:val="0"/>
                <w:sz w:val="21"/>
                <w:szCs w:val="21"/>
                <w:highlight w:val="none"/>
                <w:lang w:val="en-US" w:eastAsia="zh-CN"/>
              </w:rPr>
              <w:t>、低压电工证</w:t>
            </w:r>
            <w:r>
              <w:rPr>
                <w:rFonts w:hint="eastAsia" w:ascii="宋体" w:hAnsi="宋体" w:eastAsia="宋体" w:cs="宋体"/>
                <w:b w:val="0"/>
                <w:bCs w:val="0"/>
                <w:color w:val="auto"/>
                <w:spacing w:val="0"/>
                <w:position w:val="0"/>
                <w:sz w:val="21"/>
                <w:szCs w:val="21"/>
                <w:highlight w:val="none"/>
                <w:lang w:val="en-US" w:eastAsia="zh-CN"/>
              </w:rPr>
              <w:t>，每类证书得1分，本项最高得</w:t>
            </w:r>
            <w:r>
              <w:rPr>
                <w:rFonts w:hint="eastAsia" w:cs="宋体"/>
                <w:b w:val="0"/>
                <w:bCs w:val="0"/>
                <w:color w:val="auto"/>
                <w:spacing w:val="0"/>
                <w:position w:val="0"/>
                <w:sz w:val="21"/>
                <w:szCs w:val="21"/>
                <w:highlight w:val="none"/>
                <w:lang w:val="en-US" w:eastAsia="zh-CN"/>
              </w:rPr>
              <w:t>3</w:t>
            </w:r>
            <w:r>
              <w:rPr>
                <w:rFonts w:hint="eastAsia" w:ascii="宋体" w:hAnsi="宋体" w:eastAsia="宋体" w:cs="宋体"/>
                <w:b w:val="0"/>
                <w:bCs w:val="0"/>
                <w:color w:val="auto"/>
                <w:spacing w:val="0"/>
                <w:position w:val="0"/>
                <w:sz w:val="21"/>
                <w:szCs w:val="21"/>
                <w:highlight w:val="none"/>
                <w:lang w:val="en-US" w:eastAsia="zh-CN"/>
              </w:rPr>
              <w:t>分。</w:t>
            </w:r>
          </w:p>
          <w:p w14:paraId="63C05A31">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（2）项目组成员（不包括项目负责人）具有政府部门颁发的四级（中级）及以上养老护理员职业技能证书的，每本证书得0.5分，</w:t>
            </w:r>
            <w:r>
              <w:rPr>
                <w:rFonts w:hint="eastAsia" w:cs="宋体"/>
                <w:b w:val="0"/>
                <w:bCs w:val="0"/>
                <w:color w:val="auto"/>
                <w:spacing w:val="0"/>
                <w:position w:val="0"/>
                <w:sz w:val="21"/>
                <w:szCs w:val="21"/>
                <w:highlight w:val="none"/>
                <w:lang w:val="en-US" w:eastAsia="zh-CN"/>
              </w:rPr>
              <w:t>本项</w:t>
            </w:r>
            <w:r>
              <w:rPr>
                <w:rFonts w:hint="eastAsia" w:ascii="宋体" w:hAnsi="宋体" w:eastAsia="宋体" w:cs="宋体"/>
                <w:b w:val="0"/>
                <w:bCs w:val="0"/>
                <w:color w:val="auto"/>
                <w:spacing w:val="0"/>
                <w:position w:val="0"/>
                <w:sz w:val="21"/>
                <w:szCs w:val="21"/>
                <w:highlight w:val="none"/>
                <w:lang w:val="en-US" w:eastAsia="zh-CN"/>
              </w:rPr>
              <w:t>最高得</w:t>
            </w:r>
            <w:r>
              <w:rPr>
                <w:rFonts w:hint="eastAsia" w:cs="宋体"/>
                <w:b w:val="0"/>
                <w:bCs w:val="0"/>
                <w:color w:val="auto"/>
                <w:spacing w:val="0"/>
                <w:position w:val="0"/>
                <w:sz w:val="21"/>
                <w:szCs w:val="21"/>
                <w:highlight w:val="none"/>
                <w:lang w:val="en-US" w:eastAsia="zh-CN"/>
              </w:rPr>
              <w:t>5</w:t>
            </w:r>
            <w:r>
              <w:rPr>
                <w:rFonts w:hint="eastAsia" w:ascii="宋体" w:hAnsi="宋体" w:eastAsia="宋体" w:cs="宋体"/>
                <w:b w:val="0"/>
                <w:bCs w:val="0"/>
                <w:color w:val="auto"/>
                <w:spacing w:val="0"/>
                <w:position w:val="0"/>
                <w:sz w:val="21"/>
                <w:szCs w:val="21"/>
                <w:highlight w:val="none"/>
                <w:lang w:val="en-US" w:eastAsia="zh-CN"/>
              </w:rPr>
              <w:t>分。</w:t>
            </w:r>
          </w:p>
          <w:p w14:paraId="57D71137">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注：</w:t>
            </w:r>
            <w:r>
              <w:rPr>
                <w:rFonts w:hint="eastAsia" w:ascii="宋体" w:hAnsi="宋体" w:eastAsia="宋体" w:cs="宋体"/>
                <w:color w:val="auto"/>
                <w:sz w:val="21"/>
                <w:szCs w:val="21"/>
                <w:lang w:val="en-US" w:eastAsia="zh-CN" w:bidi="zh-CN"/>
              </w:rPr>
              <w:t>以上人员不得兼任，须提供能体现评分因素的相关证书扫描件和投标人为其缴纳的投标截止时间前近3个月任意一个月的社保缴纳证明材料，否则不得分。</w:t>
            </w:r>
          </w:p>
        </w:tc>
      </w:tr>
      <w:tr w14:paraId="4D5C0E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tcBorders>
              <w:tl2br w:val="nil"/>
              <w:tr2bl w:val="nil"/>
            </w:tcBorders>
            <w:noWrap w:val="0"/>
            <w:vAlign w:val="center"/>
          </w:tcPr>
          <w:p w14:paraId="45CD057E">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1050" w:type="dxa"/>
            <w:tcBorders>
              <w:tl2br w:val="nil"/>
              <w:tr2bl w:val="nil"/>
            </w:tcBorders>
            <w:noWrap w:val="0"/>
            <w:vAlign w:val="center"/>
          </w:tcPr>
          <w:p w14:paraId="0CA7AAF9">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项目需求理解</w:t>
            </w:r>
          </w:p>
        </w:tc>
        <w:tc>
          <w:tcPr>
            <w:tcW w:w="690" w:type="dxa"/>
            <w:tcBorders>
              <w:tl2br w:val="nil"/>
              <w:tr2bl w:val="nil"/>
            </w:tcBorders>
            <w:noWrap w:val="0"/>
            <w:vAlign w:val="center"/>
          </w:tcPr>
          <w:p w14:paraId="72064ACE">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lang w:val="en-US" w:eastAsia="zh-CN"/>
              </w:rPr>
            </w:pPr>
            <w:r>
              <w:rPr>
                <w:rFonts w:hint="eastAsia"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分</w:t>
            </w:r>
          </w:p>
        </w:tc>
        <w:tc>
          <w:tcPr>
            <w:tcW w:w="1080" w:type="dxa"/>
            <w:tcBorders>
              <w:tl2br w:val="nil"/>
              <w:tr2bl w:val="nil"/>
            </w:tcBorders>
            <w:noWrap w:val="0"/>
            <w:vAlign w:val="center"/>
          </w:tcPr>
          <w:p w14:paraId="15990007">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主观</w:t>
            </w:r>
          </w:p>
        </w:tc>
        <w:tc>
          <w:tcPr>
            <w:tcW w:w="6214" w:type="dxa"/>
            <w:tcBorders>
              <w:tl2br w:val="nil"/>
              <w:tr2bl w:val="nil"/>
            </w:tcBorders>
            <w:noWrap w:val="0"/>
            <w:vAlign w:val="center"/>
          </w:tcPr>
          <w:p w14:paraId="2C7538B8">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根据投标人对项目重难点的把握及建议方案，是否能够充分满足家庭养老床位建设、居家养老服务要求，是否能有效解决在床位建设、居家养老服务过程中遇到的困难进行综合打分。</w:t>
            </w:r>
          </w:p>
          <w:p w14:paraId="079967BF">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（1）重难点把握准确，方案合理可行，能有效解决问题的</w:t>
            </w:r>
            <w:r>
              <w:rPr>
                <w:rFonts w:hint="eastAsia" w:cs="宋体"/>
                <w:b w:val="0"/>
                <w:bCs w:val="0"/>
                <w:color w:val="auto"/>
                <w:spacing w:val="0"/>
                <w:position w:val="0"/>
                <w:sz w:val="21"/>
                <w:szCs w:val="21"/>
                <w:highlight w:val="none"/>
                <w:lang w:val="en-US" w:eastAsia="zh-CN"/>
              </w:rPr>
              <w:t>，</w:t>
            </w:r>
            <w:r>
              <w:rPr>
                <w:rFonts w:hint="eastAsia" w:ascii="宋体" w:hAnsi="宋体" w:eastAsia="宋体" w:cs="宋体"/>
                <w:b w:val="0"/>
                <w:bCs w:val="0"/>
                <w:color w:val="auto"/>
                <w:spacing w:val="0"/>
                <w:position w:val="0"/>
                <w:sz w:val="21"/>
                <w:szCs w:val="21"/>
                <w:highlight w:val="none"/>
                <w:lang w:val="en-US" w:eastAsia="zh-CN"/>
              </w:rPr>
              <w:t>得</w:t>
            </w:r>
            <w:r>
              <w:rPr>
                <w:rFonts w:hint="eastAsia" w:cs="宋体"/>
                <w:b w:val="0"/>
                <w:bCs w:val="0"/>
                <w:color w:val="auto"/>
                <w:spacing w:val="0"/>
                <w:position w:val="0"/>
                <w:sz w:val="21"/>
                <w:szCs w:val="21"/>
                <w:highlight w:val="none"/>
                <w:lang w:val="en-US" w:eastAsia="zh-CN"/>
              </w:rPr>
              <w:t>3</w:t>
            </w:r>
            <w:r>
              <w:rPr>
                <w:rFonts w:hint="eastAsia" w:ascii="宋体" w:hAnsi="宋体" w:eastAsia="宋体" w:cs="宋体"/>
                <w:b w:val="0"/>
                <w:bCs w:val="0"/>
                <w:color w:val="auto"/>
                <w:spacing w:val="0"/>
                <w:position w:val="0"/>
                <w:sz w:val="21"/>
                <w:szCs w:val="21"/>
                <w:highlight w:val="none"/>
                <w:lang w:val="en-US" w:eastAsia="zh-CN"/>
              </w:rPr>
              <w:t>分；</w:t>
            </w:r>
          </w:p>
          <w:p w14:paraId="75E5D708">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（2）重难点把握较准确，方案较为科学完整、合理的</w:t>
            </w:r>
            <w:r>
              <w:rPr>
                <w:rFonts w:hint="eastAsia" w:cs="宋体"/>
                <w:b w:val="0"/>
                <w:bCs w:val="0"/>
                <w:color w:val="auto"/>
                <w:spacing w:val="0"/>
                <w:position w:val="0"/>
                <w:sz w:val="21"/>
                <w:szCs w:val="21"/>
                <w:highlight w:val="none"/>
                <w:lang w:val="en-US" w:eastAsia="zh-CN"/>
              </w:rPr>
              <w:t>，</w:t>
            </w:r>
            <w:r>
              <w:rPr>
                <w:rFonts w:hint="eastAsia" w:ascii="宋体" w:hAnsi="宋体" w:eastAsia="宋体" w:cs="宋体"/>
                <w:b w:val="0"/>
                <w:bCs w:val="0"/>
                <w:color w:val="auto"/>
                <w:spacing w:val="0"/>
                <w:position w:val="0"/>
                <w:sz w:val="21"/>
                <w:szCs w:val="21"/>
                <w:highlight w:val="none"/>
                <w:lang w:val="en-US" w:eastAsia="zh-CN"/>
              </w:rPr>
              <w:t>得</w:t>
            </w:r>
            <w:r>
              <w:rPr>
                <w:rFonts w:hint="eastAsia" w:cs="宋体"/>
                <w:b w:val="0"/>
                <w:bCs w:val="0"/>
                <w:color w:val="auto"/>
                <w:spacing w:val="0"/>
                <w:position w:val="0"/>
                <w:sz w:val="21"/>
                <w:szCs w:val="21"/>
                <w:highlight w:val="none"/>
                <w:lang w:val="en-US" w:eastAsia="zh-CN"/>
              </w:rPr>
              <w:t>2</w:t>
            </w:r>
            <w:r>
              <w:rPr>
                <w:rFonts w:hint="eastAsia" w:ascii="宋体" w:hAnsi="宋体" w:eastAsia="宋体" w:cs="宋体"/>
                <w:b w:val="0"/>
                <w:bCs w:val="0"/>
                <w:color w:val="auto"/>
                <w:spacing w:val="0"/>
                <w:position w:val="0"/>
                <w:sz w:val="21"/>
                <w:szCs w:val="21"/>
                <w:highlight w:val="none"/>
                <w:lang w:val="en-US" w:eastAsia="zh-CN"/>
              </w:rPr>
              <w:t>分；</w:t>
            </w:r>
          </w:p>
          <w:p w14:paraId="5F15A4C8">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（3）重难点把握不够准确，方案不够合理的</w:t>
            </w:r>
            <w:r>
              <w:rPr>
                <w:rFonts w:hint="eastAsia" w:cs="宋体"/>
                <w:b w:val="0"/>
                <w:bCs w:val="0"/>
                <w:color w:val="auto"/>
                <w:spacing w:val="0"/>
                <w:position w:val="0"/>
                <w:sz w:val="21"/>
                <w:szCs w:val="21"/>
                <w:highlight w:val="none"/>
                <w:lang w:val="en-US" w:eastAsia="zh-CN"/>
              </w:rPr>
              <w:t>，</w:t>
            </w:r>
            <w:r>
              <w:rPr>
                <w:rFonts w:hint="eastAsia" w:ascii="宋体" w:hAnsi="宋体" w:eastAsia="宋体" w:cs="宋体"/>
                <w:b w:val="0"/>
                <w:bCs w:val="0"/>
                <w:color w:val="auto"/>
                <w:spacing w:val="0"/>
                <w:position w:val="0"/>
                <w:sz w:val="21"/>
                <w:szCs w:val="21"/>
                <w:highlight w:val="none"/>
                <w:lang w:val="en-US" w:eastAsia="zh-CN"/>
              </w:rPr>
              <w:t>得1分；</w:t>
            </w:r>
          </w:p>
          <w:p w14:paraId="78A23EC3">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（4）</w:t>
            </w:r>
            <w:r>
              <w:rPr>
                <w:rFonts w:hint="eastAsia" w:ascii="宋体" w:hAnsi="宋体" w:eastAsia="宋体" w:cs="宋体"/>
                <w:color w:val="auto"/>
                <w:sz w:val="21"/>
                <w:szCs w:val="21"/>
                <w:highlight w:val="none"/>
                <w:lang w:val="en-US" w:eastAsia="zh-CN"/>
              </w:rPr>
              <w:t>方案脱离采购需求或未提供的不得分</w:t>
            </w:r>
            <w:r>
              <w:rPr>
                <w:rFonts w:hint="eastAsia" w:ascii="宋体" w:hAnsi="宋体" w:eastAsia="宋体" w:cs="宋体"/>
                <w:b w:val="0"/>
                <w:bCs w:val="0"/>
                <w:color w:val="auto"/>
                <w:spacing w:val="0"/>
                <w:position w:val="0"/>
                <w:sz w:val="21"/>
                <w:szCs w:val="21"/>
                <w:highlight w:val="none"/>
                <w:lang w:val="en-US" w:eastAsia="zh-CN"/>
              </w:rPr>
              <w:t>。</w:t>
            </w:r>
          </w:p>
        </w:tc>
      </w:tr>
      <w:tr w14:paraId="6C2A8A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tcBorders>
              <w:tl2br w:val="nil"/>
              <w:tr2bl w:val="nil"/>
            </w:tcBorders>
            <w:noWrap w:val="0"/>
            <w:vAlign w:val="center"/>
          </w:tcPr>
          <w:p w14:paraId="36A20F66">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5</w:t>
            </w:r>
          </w:p>
        </w:tc>
        <w:tc>
          <w:tcPr>
            <w:tcW w:w="1050" w:type="dxa"/>
            <w:tcBorders>
              <w:tl2br w:val="nil"/>
              <w:tr2bl w:val="nil"/>
            </w:tcBorders>
            <w:noWrap w:val="0"/>
            <w:vAlign w:val="center"/>
          </w:tcPr>
          <w:p w14:paraId="6BE7302F">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评估方案</w:t>
            </w:r>
          </w:p>
        </w:tc>
        <w:tc>
          <w:tcPr>
            <w:tcW w:w="690" w:type="dxa"/>
            <w:tcBorders>
              <w:tl2br w:val="nil"/>
              <w:tr2bl w:val="nil"/>
            </w:tcBorders>
            <w:noWrap w:val="0"/>
            <w:vAlign w:val="center"/>
          </w:tcPr>
          <w:p w14:paraId="194BFAF2">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c>
          <w:tcPr>
            <w:tcW w:w="1080" w:type="dxa"/>
            <w:tcBorders>
              <w:tl2br w:val="nil"/>
              <w:tr2bl w:val="nil"/>
            </w:tcBorders>
            <w:noWrap w:val="0"/>
            <w:vAlign w:val="center"/>
          </w:tcPr>
          <w:p w14:paraId="6FE50C78">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w:t>
            </w:r>
          </w:p>
        </w:tc>
        <w:tc>
          <w:tcPr>
            <w:tcW w:w="6214" w:type="dxa"/>
            <w:tcBorders>
              <w:tl2br w:val="nil"/>
              <w:tr2bl w:val="nil"/>
            </w:tcBorders>
            <w:noWrap w:val="0"/>
            <w:vAlign w:val="center"/>
          </w:tcPr>
          <w:p w14:paraId="54291B53">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根据投标人针对本项目家庭床位建设及居家养老服务采购需求，根据“一户一策、一人一档”提出的个性化实施方案（包含但不限于入户评估、方案设计、入户改造、养老项目实施等）进行综合评分。</w:t>
            </w:r>
          </w:p>
          <w:p w14:paraId="54311150">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（1）实施方案切实可实施性好，内容合理，需求匹配度高的</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得5分；</w:t>
            </w:r>
          </w:p>
          <w:p w14:paraId="11C732DE">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（2）实施方案较简单但基本可行，需求匹配度一般的</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得3.5分；</w:t>
            </w:r>
          </w:p>
          <w:p w14:paraId="6F7578E2">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（3）实施方案简单，可操作性不强，需求匹配度不足的</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得2分；</w:t>
            </w:r>
          </w:p>
          <w:p w14:paraId="0B672733">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color w:val="auto"/>
                <w:sz w:val="21"/>
                <w:szCs w:val="21"/>
                <w:highlight w:val="none"/>
                <w:lang w:val="en-US" w:eastAsia="zh-CN"/>
              </w:rPr>
              <w:t>（4）方案脱离采购需求或未提供的不得分。</w:t>
            </w:r>
          </w:p>
        </w:tc>
      </w:tr>
      <w:tr w14:paraId="637924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restart"/>
            <w:tcBorders>
              <w:tl2br w:val="nil"/>
              <w:tr2bl w:val="nil"/>
            </w:tcBorders>
            <w:noWrap w:val="0"/>
            <w:vAlign w:val="center"/>
          </w:tcPr>
          <w:p w14:paraId="3FA6FE79">
            <w:pPr>
              <w:keepNext w:val="0"/>
              <w:keepLines w:val="0"/>
              <w:pageBreakBefore w:val="0"/>
              <w:widowControl w:val="0"/>
              <w:suppressLineNumbers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i w:val="0"/>
                <w:iCs w:val="0"/>
                <w:color w:val="auto"/>
                <w:spacing w:val="0"/>
                <w:kern w:val="0"/>
                <w:position w:val="0"/>
                <w:sz w:val="21"/>
                <w:szCs w:val="21"/>
                <w:highlight w:val="none"/>
                <w:u w:val="none"/>
                <w:lang w:val="en-US" w:eastAsia="zh-CN" w:bidi="ar"/>
              </w:rPr>
            </w:pPr>
            <w:r>
              <w:rPr>
                <w:rFonts w:hint="eastAsia" w:cs="宋体"/>
                <w:i w:val="0"/>
                <w:iCs w:val="0"/>
                <w:color w:val="auto"/>
                <w:spacing w:val="0"/>
                <w:kern w:val="0"/>
                <w:position w:val="0"/>
                <w:sz w:val="21"/>
                <w:szCs w:val="21"/>
                <w:highlight w:val="none"/>
                <w:u w:val="none"/>
                <w:lang w:val="en-US" w:eastAsia="zh-CN" w:bidi="ar"/>
              </w:rPr>
              <w:t>6</w:t>
            </w:r>
          </w:p>
        </w:tc>
        <w:tc>
          <w:tcPr>
            <w:tcW w:w="1050" w:type="dxa"/>
            <w:vMerge w:val="restart"/>
            <w:tcBorders>
              <w:tl2br w:val="nil"/>
              <w:tr2bl w:val="nil"/>
            </w:tcBorders>
            <w:noWrap w:val="0"/>
            <w:vAlign w:val="center"/>
          </w:tcPr>
          <w:p w14:paraId="2EB17574">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家庭床位系统建设</w:t>
            </w:r>
          </w:p>
        </w:tc>
        <w:tc>
          <w:tcPr>
            <w:tcW w:w="690" w:type="dxa"/>
            <w:vMerge w:val="restart"/>
            <w:tcBorders>
              <w:tl2br w:val="nil"/>
              <w:tr2bl w:val="nil"/>
            </w:tcBorders>
            <w:noWrap w:val="0"/>
            <w:vAlign w:val="center"/>
          </w:tcPr>
          <w:p w14:paraId="0D1C3AB2">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2</w:t>
            </w:r>
            <w:r>
              <w:rPr>
                <w:rFonts w:hint="eastAsia" w:cs="宋体"/>
                <w:b w:val="0"/>
                <w:bCs w:val="0"/>
                <w:color w:val="auto"/>
                <w:spacing w:val="0"/>
                <w:position w:val="0"/>
                <w:sz w:val="21"/>
                <w:szCs w:val="21"/>
                <w:highlight w:val="none"/>
                <w:lang w:val="en-US" w:eastAsia="zh-CN"/>
              </w:rPr>
              <w:t>9</w:t>
            </w:r>
            <w:r>
              <w:rPr>
                <w:rFonts w:hint="eastAsia" w:ascii="宋体" w:hAnsi="宋体" w:eastAsia="宋体" w:cs="宋体"/>
                <w:b w:val="0"/>
                <w:bCs w:val="0"/>
                <w:color w:val="auto"/>
                <w:spacing w:val="0"/>
                <w:position w:val="0"/>
                <w:sz w:val="21"/>
                <w:szCs w:val="21"/>
                <w:highlight w:val="none"/>
                <w:lang w:val="en-US" w:eastAsia="zh-CN"/>
              </w:rPr>
              <w:t>分</w:t>
            </w:r>
          </w:p>
        </w:tc>
        <w:tc>
          <w:tcPr>
            <w:tcW w:w="1080" w:type="dxa"/>
            <w:tcBorders>
              <w:tl2br w:val="nil"/>
              <w:tr2bl w:val="nil"/>
            </w:tcBorders>
            <w:noWrap w:val="0"/>
            <w:vAlign w:val="center"/>
          </w:tcPr>
          <w:p w14:paraId="5865A9CC">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rPr>
              <w:t>主观</w:t>
            </w:r>
          </w:p>
        </w:tc>
        <w:tc>
          <w:tcPr>
            <w:tcW w:w="6214" w:type="dxa"/>
            <w:tcBorders>
              <w:tl2br w:val="nil"/>
              <w:tr2bl w:val="nil"/>
            </w:tcBorders>
            <w:noWrap w:val="0"/>
            <w:vAlign w:val="center"/>
          </w:tcPr>
          <w:p w14:paraId="05491B7A">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根据投标人针对本项目提出的家庭床位建设实施保障方案，包含但不限于项目实施管理、实施进度计划、设计联络沟通、软硬件供货、施工总体计划、项目工期及验收的保障措施内容等进行综合评分。</w:t>
            </w:r>
          </w:p>
          <w:p w14:paraId="626A6C94">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（1）项目实施计划详细具体，保证措施贴合项目所需的，得</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p w14:paraId="6E7B2554">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（2）项目实施计划较为全面，保证措施基本贴合项目所需的，得</w:t>
            </w:r>
            <w:r>
              <w:rPr>
                <w:rFonts w:hint="eastAsia" w:cs="宋体"/>
                <w:color w:val="auto"/>
                <w:kern w:val="2"/>
                <w:sz w:val="21"/>
                <w:szCs w:val="21"/>
                <w:highlight w:val="none"/>
                <w:lang w:val="en-US" w:eastAsia="zh-CN" w:bidi="ar-SA"/>
              </w:rPr>
              <w:t>3.5</w:t>
            </w:r>
            <w:r>
              <w:rPr>
                <w:rFonts w:hint="eastAsia" w:ascii="宋体" w:hAnsi="宋体" w:eastAsia="宋体" w:cs="宋体"/>
                <w:color w:val="auto"/>
                <w:kern w:val="2"/>
                <w:sz w:val="21"/>
                <w:szCs w:val="21"/>
                <w:highlight w:val="none"/>
                <w:lang w:val="en-US" w:eastAsia="zh-CN" w:bidi="ar-SA"/>
              </w:rPr>
              <w:t>分；</w:t>
            </w:r>
          </w:p>
          <w:p w14:paraId="5651EAD7">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（3）项目实施计划及进度保证措施不全面的，得2分；</w:t>
            </w:r>
          </w:p>
          <w:p w14:paraId="4BF3F855">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lang w:val="en-US" w:eastAsia="zh-CN"/>
              </w:rPr>
              <w:t>方案脱离采购需求或未提供的不得分</w:t>
            </w:r>
            <w:r>
              <w:rPr>
                <w:rFonts w:hint="eastAsia" w:ascii="宋体" w:hAnsi="宋体" w:eastAsia="宋体" w:cs="宋体"/>
                <w:color w:val="auto"/>
                <w:kern w:val="2"/>
                <w:sz w:val="21"/>
                <w:szCs w:val="21"/>
                <w:highlight w:val="none"/>
                <w:lang w:val="en-US" w:eastAsia="zh-CN" w:bidi="ar-SA"/>
              </w:rPr>
              <w:t>。</w:t>
            </w:r>
          </w:p>
        </w:tc>
      </w:tr>
      <w:tr w14:paraId="2D57BF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continue"/>
            <w:tcBorders>
              <w:tl2br w:val="nil"/>
              <w:tr2bl w:val="nil"/>
            </w:tcBorders>
            <w:noWrap w:val="0"/>
            <w:vAlign w:val="center"/>
          </w:tcPr>
          <w:p w14:paraId="0D94FBC5">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p>
        </w:tc>
        <w:tc>
          <w:tcPr>
            <w:tcW w:w="1050" w:type="dxa"/>
            <w:vMerge w:val="continue"/>
            <w:tcBorders>
              <w:tl2br w:val="nil"/>
              <w:tr2bl w:val="nil"/>
            </w:tcBorders>
            <w:noWrap w:val="0"/>
            <w:vAlign w:val="center"/>
          </w:tcPr>
          <w:p w14:paraId="35BF2580">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p>
        </w:tc>
        <w:tc>
          <w:tcPr>
            <w:tcW w:w="690" w:type="dxa"/>
            <w:vMerge w:val="continue"/>
            <w:tcBorders>
              <w:tl2br w:val="nil"/>
              <w:tr2bl w:val="nil"/>
            </w:tcBorders>
            <w:noWrap w:val="0"/>
            <w:vAlign w:val="center"/>
          </w:tcPr>
          <w:p w14:paraId="437CC3E7">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p>
        </w:tc>
        <w:tc>
          <w:tcPr>
            <w:tcW w:w="1080" w:type="dxa"/>
            <w:tcBorders>
              <w:tl2br w:val="nil"/>
              <w:tr2bl w:val="nil"/>
            </w:tcBorders>
            <w:shd w:val="clear" w:color="auto" w:fill="auto"/>
            <w:noWrap w:val="0"/>
            <w:vAlign w:val="center"/>
          </w:tcPr>
          <w:p w14:paraId="46F10EF1">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rPr>
              <w:t>主观</w:t>
            </w:r>
          </w:p>
        </w:tc>
        <w:tc>
          <w:tcPr>
            <w:tcW w:w="6214" w:type="dxa"/>
            <w:tcBorders>
              <w:tl2br w:val="nil"/>
              <w:tr2bl w:val="nil"/>
            </w:tcBorders>
            <w:shd w:val="clear" w:color="auto" w:fill="auto"/>
            <w:noWrap w:val="0"/>
            <w:vAlign w:val="center"/>
          </w:tcPr>
          <w:p w14:paraId="33FDF8A1">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根据投标人针对本项目提供的管理系统与养老服务管理平台对接服务方案，管理系统对接方案的完整性、兼容性等进行综合评分。</w:t>
            </w:r>
          </w:p>
          <w:p w14:paraId="3328A9A5">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（1）方案全面详实、兼容性好、技术先进的，得</w:t>
            </w:r>
            <w:r>
              <w:rPr>
                <w:rFonts w:hint="eastAsia"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分；</w:t>
            </w:r>
          </w:p>
          <w:p w14:paraId="495F4BD7">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（2）方案简单、兼容性与技术一般的，得</w:t>
            </w:r>
            <w:r>
              <w:rPr>
                <w:rFonts w:hint="eastAsia" w:cs="宋体"/>
                <w:b w:val="0"/>
                <w:bCs w:val="0"/>
                <w:color w:val="auto"/>
                <w:kern w:val="2"/>
                <w:sz w:val="21"/>
                <w:szCs w:val="21"/>
                <w:highlight w:val="none"/>
                <w:lang w:val="en-US" w:eastAsia="zh-CN" w:bidi="ar-SA"/>
              </w:rPr>
              <w:t>3.5</w:t>
            </w:r>
            <w:r>
              <w:rPr>
                <w:rFonts w:hint="eastAsia" w:ascii="宋体" w:hAnsi="宋体" w:eastAsia="宋体" w:cs="宋体"/>
                <w:b w:val="0"/>
                <w:bCs w:val="0"/>
                <w:color w:val="auto"/>
                <w:kern w:val="2"/>
                <w:sz w:val="21"/>
                <w:szCs w:val="21"/>
                <w:highlight w:val="none"/>
                <w:lang w:val="en-US" w:eastAsia="zh-CN" w:bidi="ar-SA"/>
              </w:rPr>
              <w:t>分；</w:t>
            </w:r>
          </w:p>
          <w:p w14:paraId="229AC965">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（3）方案粗糙、兼容性差、技术落后的，得</w:t>
            </w:r>
            <w:r>
              <w:rPr>
                <w:rFonts w:hint="eastAsia"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分；</w:t>
            </w:r>
          </w:p>
          <w:p w14:paraId="36712A91">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kern w:val="2"/>
                <w:sz w:val="21"/>
                <w:szCs w:val="21"/>
                <w:highlight w:val="none"/>
                <w:lang w:val="en-US" w:eastAsia="zh-CN" w:bidi="ar-SA"/>
              </w:rPr>
              <w:t>（4）方案脱离采购需求或未提供的不得分。</w:t>
            </w:r>
          </w:p>
        </w:tc>
      </w:tr>
      <w:tr w14:paraId="3D6CF3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continue"/>
            <w:tcBorders>
              <w:tl2br w:val="nil"/>
              <w:tr2bl w:val="nil"/>
            </w:tcBorders>
            <w:noWrap w:val="0"/>
            <w:vAlign w:val="center"/>
          </w:tcPr>
          <w:p w14:paraId="61E23ED5">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p>
        </w:tc>
        <w:tc>
          <w:tcPr>
            <w:tcW w:w="1050" w:type="dxa"/>
            <w:vMerge w:val="continue"/>
            <w:tcBorders>
              <w:tl2br w:val="nil"/>
              <w:tr2bl w:val="nil"/>
            </w:tcBorders>
            <w:noWrap w:val="0"/>
            <w:vAlign w:val="center"/>
          </w:tcPr>
          <w:p w14:paraId="7F30C790">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p>
        </w:tc>
        <w:tc>
          <w:tcPr>
            <w:tcW w:w="690" w:type="dxa"/>
            <w:vMerge w:val="continue"/>
            <w:tcBorders>
              <w:tl2br w:val="nil"/>
              <w:tr2bl w:val="nil"/>
            </w:tcBorders>
            <w:noWrap w:val="0"/>
            <w:vAlign w:val="center"/>
          </w:tcPr>
          <w:p w14:paraId="544D6779">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p>
        </w:tc>
        <w:tc>
          <w:tcPr>
            <w:tcW w:w="1080" w:type="dxa"/>
            <w:tcBorders>
              <w:tl2br w:val="nil"/>
              <w:tr2bl w:val="nil"/>
            </w:tcBorders>
            <w:shd w:val="clear" w:color="auto" w:fill="auto"/>
            <w:noWrap w:val="0"/>
            <w:vAlign w:val="center"/>
          </w:tcPr>
          <w:p w14:paraId="01BA30E4">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主观</w:t>
            </w:r>
          </w:p>
        </w:tc>
        <w:tc>
          <w:tcPr>
            <w:tcW w:w="6214" w:type="dxa"/>
            <w:tcBorders>
              <w:tl2br w:val="nil"/>
              <w:tr2bl w:val="nil"/>
            </w:tcBorders>
            <w:shd w:val="clear" w:color="auto" w:fill="auto"/>
            <w:noWrap w:val="0"/>
            <w:vAlign w:val="center"/>
          </w:tcPr>
          <w:p w14:paraId="43C7361F">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根据投标人针对本项目提供呼叫中心服务方案，包括但不限于呼叫中心对接方案成熟度、话务受理人员情况、业务流程服务方案、管理规章制度等情况进行综合打分。</w:t>
            </w:r>
          </w:p>
          <w:p w14:paraId="55AED617">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（1）方案完整性和可实施性好，满足项目需求的，得</w:t>
            </w:r>
            <w:r>
              <w:rPr>
                <w:rFonts w:hint="eastAsia"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755DD914">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（2）方案完整性和可实施性一般，基本满足项目需求的，得</w:t>
            </w:r>
            <w:r>
              <w:rPr>
                <w:rFonts w:hint="eastAsia"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6B284504">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（3）方案完整性和可实施性不全面、有缺陷的，得2分；</w:t>
            </w:r>
          </w:p>
          <w:p w14:paraId="53A50C36">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rPr>
              <w:t>（4）方案脱离采购需求或未提供的不得分。</w:t>
            </w:r>
          </w:p>
        </w:tc>
      </w:tr>
      <w:tr w14:paraId="7DDDF1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continue"/>
            <w:tcBorders>
              <w:tl2br w:val="nil"/>
              <w:tr2bl w:val="nil"/>
            </w:tcBorders>
            <w:noWrap w:val="0"/>
            <w:vAlign w:val="center"/>
          </w:tcPr>
          <w:p w14:paraId="57648A38">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p>
        </w:tc>
        <w:tc>
          <w:tcPr>
            <w:tcW w:w="1050" w:type="dxa"/>
            <w:vMerge w:val="continue"/>
            <w:tcBorders>
              <w:tl2br w:val="nil"/>
              <w:tr2bl w:val="nil"/>
            </w:tcBorders>
            <w:noWrap w:val="0"/>
            <w:vAlign w:val="center"/>
          </w:tcPr>
          <w:p w14:paraId="6BA78C75">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p>
        </w:tc>
        <w:tc>
          <w:tcPr>
            <w:tcW w:w="690" w:type="dxa"/>
            <w:vMerge w:val="continue"/>
            <w:tcBorders>
              <w:tl2br w:val="nil"/>
              <w:tr2bl w:val="nil"/>
            </w:tcBorders>
            <w:noWrap w:val="0"/>
            <w:vAlign w:val="center"/>
          </w:tcPr>
          <w:p w14:paraId="73808AA1">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p>
        </w:tc>
        <w:tc>
          <w:tcPr>
            <w:tcW w:w="1080" w:type="dxa"/>
            <w:tcBorders>
              <w:tl2br w:val="nil"/>
              <w:tr2bl w:val="nil"/>
            </w:tcBorders>
            <w:noWrap w:val="0"/>
            <w:vAlign w:val="center"/>
          </w:tcPr>
          <w:p w14:paraId="15478DF9">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6214" w:type="dxa"/>
            <w:tcBorders>
              <w:tl2br w:val="nil"/>
              <w:tr2bl w:val="nil"/>
            </w:tcBorders>
            <w:noWrap w:val="0"/>
            <w:vAlign w:val="center"/>
          </w:tcPr>
          <w:p w14:paraId="006F775A">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根据投标人针对本项目提出的售后服务承诺内容，包含但不限于售后服务内容、故障响应时间、响应方式、售后服务点信息等进行综合评分。</w:t>
            </w:r>
          </w:p>
          <w:p w14:paraId="48B3D1E6">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bidi="zh-CN"/>
              </w:rPr>
              <w:t>（1）</w:t>
            </w:r>
            <w:r>
              <w:rPr>
                <w:rFonts w:hint="eastAsia" w:ascii="宋体" w:hAnsi="宋体" w:eastAsia="宋体" w:cs="宋体"/>
                <w:color w:val="auto"/>
                <w:sz w:val="21"/>
                <w:szCs w:val="21"/>
                <w:highlight w:val="none"/>
                <w:lang w:val="en-US" w:eastAsia="zh-CN"/>
              </w:rPr>
              <w:t>售后服务服务措施方案完整、良好，完全符合本项目的实际情况的，得3分；</w:t>
            </w:r>
          </w:p>
          <w:p w14:paraId="090D5C0A">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（2）售后服务措施方案较合理，基本符合项目实际情况的，得2分；</w:t>
            </w:r>
          </w:p>
          <w:p w14:paraId="2F6CF28F">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（3）售后服务措施方案一般，合理性一般的，得1分；</w:t>
            </w:r>
          </w:p>
          <w:p w14:paraId="45EC364E">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（4）措施脱离采购需求或未提供的不得分。</w:t>
            </w:r>
          </w:p>
        </w:tc>
      </w:tr>
      <w:tr w14:paraId="125A90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continue"/>
            <w:tcBorders>
              <w:tl2br w:val="nil"/>
              <w:tr2bl w:val="nil"/>
            </w:tcBorders>
            <w:noWrap w:val="0"/>
            <w:vAlign w:val="center"/>
          </w:tcPr>
          <w:p w14:paraId="0EC4A84D">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rPr>
            </w:pPr>
          </w:p>
        </w:tc>
        <w:tc>
          <w:tcPr>
            <w:tcW w:w="1050" w:type="dxa"/>
            <w:vMerge w:val="continue"/>
            <w:tcBorders>
              <w:tl2br w:val="nil"/>
              <w:tr2bl w:val="nil"/>
            </w:tcBorders>
            <w:noWrap w:val="0"/>
            <w:vAlign w:val="center"/>
          </w:tcPr>
          <w:p w14:paraId="17A57551">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rPr>
            </w:pPr>
          </w:p>
        </w:tc>
        <w:tc>
          <w:tcPr>
            <w:tcW w:w="690" w:type="dxa"/>
            <w:vMerge w:val="continue"/>
            <w:tcBorders>
              <w:tl2br w:val="nil"/>
              <w:tr2bl w:val="nil"/>
            </w:tcBorders>
            <w:noWrap w:val="0"/>
            <w:vAlign w:val="center"/>
          </w:tcPr>
          <w:p w14:paraId="73AD2504">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rPr>
            </w:pPr>
          </w:p>
        </w:tc>
        <w:tc>
          <w:tcPr>
            <w:tcW w:w="1080" w:type="dxa"/>
            <w:tcBorders>
              <w:tl2br w:val="nil"/>
              <w:tr2bl w:val="nil"/>
            </w:tcBorders>
            <w:noWrap w:val="0"/>
            <w:vAlign w:val="center"/>
          </w:tcPr>
          <w:p w14:paraId="208EF9A9">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6214" w:type="dxa"/>
            <w:tcBorders>
              <w:tl2br w:val="nil"/>
              <w:tr2bl w:val="nil"/>
            </w:tcBorders>
            <w:noWrap w:val="0"/>
            <w:vAlign w:val="center"/>
          </w:tcPr>
          <w:p w14:paraId="18E5FD41">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管理系统功能演示</w:t>
            </w:r>
            <w:r>
              <w:rPr>
                <w:rFonts w:hint="eastAsia" w:ascii="宋体" w:hAnsi="宋体" w:eastAsia="宋体" w:cs="宋体"/>
                <w:b w:val="0"/>
                <w:bCs w:val="0"/>
                <w:color w:val="auto"/>
                <w:sz w:val="21"/>
                <w:szCs w:val="21"/>
                <w:highlight w:val="none"/>
                <w:lang w:val="en-US" w:eastAsia="zh-CN"/>
              </w:rPr>
              <w:t>和讲解（可采用PPT或录制‌‌Demo版</w:t>
            </w:r>
            <w:r>
              <w:rPr>
                <w:rFonts w:hint="eastAsia" w:cs="宋体"/>
                <w:b w:val="0"/>
                <w:bCs w:val="0"/>
                <w:color w:val="auto"/>
                <w:sz w:val="21"/>
                <w:szCs w:val="21"/>
                <w:highlight w:val="none"/>
                <w:lang w:val="en-US" w:eastAsia="zh-CN"/>
              </w:rPr>
              <w:t>或类似管理系统</w:t>
            </w:r>
            <w:r>
              <w:rPr>
                <w:rFonts w:hint="eastAsia" w:ascii="宋体" w:hAnsi="宋体" w:eastAsia="宋体" w:cs="宋体"/>
                <w:b w:val="0"/>
                <w:bCs w:val="0"/>
                <w:color w:val="auto"/>
                <w:sz w:val="21"/>
                <w:szCs w:val="21"/>
                <w:highlight w:val="none"/>
                <w:lang w:val="en-US" w:eastAsia="zh-CN"/>
              </w:rPr>
              <w:t>演示视频），主要体现建床、准备、预警、处置四个功能阶段，投标人根据功能要求进行演示（时间不得超过10分钟），评标委员会根据演示</w:t>
            </w:r>
            <w:r>
              <w:rPr>
                <w:rFonts w:hint="eastAsia" w:cs="宋体"/>
                <w:b w:val="0"/>
                <w:bCs w:val="0"/>
                <w:color w:val="auto"/>
                <w:sz w:val="21"/>
                <w:szCs w:val="21"/>
                <w:highlight w:val="none"/>
                <w:lang w:val="en-US" w:eastAsia="zh-CN"/>
              </w:rPr>
              <w:t>内</w:t>
            </w:r>
            <w:r>
              <w:rPr>
                <w:rFonts w:hint="eastAsia" w:ascii="宋体" w:hAnsi="宋体" w:eastAsia="宋体" w:cs="宋体"/>
                <w:b w:val="0"/>
                <w:bCs w:val="0"/>
                <w:color w:val="auto"/>
                <w:sz w:val="21"/>
                <w:szCs w:val="21"/>
                <w:highlight w:val="none"/>
                <w:lang w:val="en-US" w:eastAsia="zh-CN"/>
              </w:rPr>
              <w:t>容进行综合打分。</w:t>
            </w:r>
          </w:p>
          <w:p w14:paraId="0602CEDE">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一、床位建设：</w:t>
            </w:r>
          </w:p>
          <w:p w14:paraId="48C5CAA2">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（1）床位建设，确认服务对象后，可通过PC端批量添加申请对象，并对其申请对象进行评估流程，评估通过后即可进行改造，用户</w:t>
            </w:r>
            <w:r>
              <w:rPr>
                <w:rFonts w:hint="eastAsia" w:cs="宋体"/>
                <w:b w:val="0"/>
                <w:bCs w:val="0"/>
                <w:color w:val="auto"/>
                <w:sz w:val="21"/>
                <w:szCs w:val="21"/>
                <w:highlight w:val="none"/>
                <w:lang w:val="en-US" w:eastAsia="zh-CN"/>
              </w:rPr>
              <w:t>或服务商</w:t>
            </w:r>
            <w:r>
              <w:rPr>
                <w:rFonts w:hint="eastAsia" w:ascii="宋体" w:hAnsi="宋体" w:eastAsia="宋体" w:cs="宋体"/>
                <w:b w:val="0"/>
                <w:bCs w:val="0"/>
                <w:color w:val="auto"/>
                <w:sz w:val="21"/>
                <w:szCs w:val="21"/>
                <w:highlight w:val="none"/>
                <w:lang w:val="en-US" w:eastAsia="zh-CN"/>
              </w:rPr>
              <w:t>可在线发起建设任务，发起后会将对应的建设任务同步至建设人员移动端进行建设</w:t>
            </w:r>
            <w:r>
              <w:rPr>
                <w:rFonts w:hint="eastAsia" w:cs="宋体"/>
                <w:b w:val="0"/>
                <w:bCs w:val="0"/>
                <w:color w:val="auto"/>
                <w:sz w:val="21"/>
                <w:szCs w:val="21"/>
                <w:highlight w:val="none"/>
                <w:lang w:val="en-US" w:eastAsia="zh-CN"/>
              </w:rPr>
              <w:t>或由建设人员直接进行建设</w:t>
            </w:r>
            <w:r>
              <w:rPr>
                <w:rFonts w:hint="eastAsia" w:ascii="宋体" w:hAnsi="宋体" w:eastAsia="宋体" w:cs="宋体"/>
                <w:b w:val="0"/>
                <w:bCs w:val="0"/>
                <w:color w:val="auto"/>
                <w:sz w:val="21"/>
                <w:szCs w:val="21"/>
                <w:highlight w:val="none"/>
                <w:lang w:val="en-US" w:eastAsia="zh-CN"/>
              </w:rPr>
              <w:t>。（0-0.5分）</w:t>
            </w:r>
          </w:p>
          <w:p w14:paraId="5D1F15F5">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（2）服务管理，支持对家庭养老床位的服务项目维护功能，并支持服务商根据服务对象的个人情况制定服务日历。同时，服务人员执行服务过程中，可记录服务过程并同步至PC端进行监管。（0-0.5分）</w:t>
            </w:r>
          </w:p>
          <w:p w14:paraId="0E96F602">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二、前期准备：</w:t>
            </w:r>
          </w:p>
          <w:p w14:paraId="6325DF03">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定义预警策略，可针对触发条件进行自定义配置，支持多种预警类型，其中包括电子围栏预警、低电量预警、防拆预警、无体动预警等多种预警类型。同时也支持设置预警级别、预警开关、预警时段。支持组合预警，在特殊场景中（例如6小时无人活动），可通过配置红外、水表、门磁、主动报警器等的组合预警阈值实现组合预警。（0-1分）</w:t>
            </w:r>
          </w:p>
          <w:p w14:paraId="21C921AC">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三、预警生成：</w:t>
            </w:r>
          </w:p>
          <w:p w14:paraId="5C5C3547">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预警产生可触发平台驾驶舱实时预警声音及动效，具备预警处置操作入口，支持二维、卫星地图模式切换，支持用户定位及智能设备实时数据展示在地图上并可切换展示方式，支持自定义地图网格区域，支持守护区域分区展示。（0-1分）</w:t>
            </w:r>
          </w:p>
          <w:p w14:paraId="2C2FC503">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（2）预警产生可触发AI语音外呼/应用内消息/微信/短信/声光设备联动等多种预警通知。（0-1.5分）</w:t>
            </w:r>
          </w:p>
          <w:p w14:paraId="69760106">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（3）系统提供在守护模式下，支持以下情况报警：长时间无人活动报警、指定时段无人活动报警、并提供多个设备联动预警。（0-1.5分）</w:t>
            </w:r>
          </w:p>
          <w:p w14:paraId="0B30812B">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四、业务处置：</w:t>
            </w:r>
          </w:p>
          <w:p w14:paraId="650B07F6">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（1）通过电脑端和移动端开展预警信息预处理、自动处理等功能，预警中心能展示预警处理情况、预警分类、预警用户分布等统计数据。（0-1分）</w:t>
            </w:r>
          </w:p>
          <w:p w14:paraId="557BA100">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针对真实事件，支持多级联动处置，运营端可通过网格化派单，执行者可通过移动端在线处置，并在PC端进行实时同步进度，在处置过程中，执行者可通过移动端对处置情况进行全流程记录包括但不仅限于服务情况，回访评价记录、工单操作日志。（0-1分）</w:t>
            </w:r>
          </w:p>
          <w:p w14:paraId="6F14BDF1">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（3）针对一些特殊情况（如：老人外出旅游，子女家住几日），支持按老人、报警类型、时间段等元素设置暂停报警功能，可填写暂停原因；支持单个和批量</w:t>
            </w:r>
            <w:r>
              <w:rPr>
                <w:rFonts w:hint="eastAsia" w:cs="宋体"/>
                <w:b w:val="0"/>
                <w:bCs w:val="0"/>
                <w:color w:val="auto"/>
                <w:sz w:val="21"/>
                <w:szCs w:val="21"/>
                <w:highlight w:val="none"/>
                <w:lang w:val="en-US" w:eastAsia="zh-CN"/>
              </w:rPr>
              <w:t>停用设备</w:t>
            </w:r>
            <w:r>
              <w:rPr>
                <w:rFonts w:hint="eastAsia" w:ascii="宋体" w:hAnsi="宋体" w:eastAsia="宋体" w:cs="宋体"/>
                <w:b w:val="0"/>
                <w:bCs w:val="0"/>
                <w:color w:val="auto"/>
                <w:sz w:val="21"/>
                <w:szCs w:val="21"/>
                <w:highlight w:val="none"/>
                <w:lang w:val="en-US" w:eastAsia="zh-CN"/>
              </w:rPr>
              <w:t>操作。（0-1分）</w:t>
            </w:r>
          </w:p>
          <w:p w14:paraId="11F42018">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（4）支持不同的业务数据展现方式，支持以用户维度对绑定1个或多个设备的场景进行数据视图展现，支持以设备维度查询数据视图。如设备电量、在离线状态、信号值、心率、血压等数据趋势图分析。（0-1分）</w:t>
            </w:r>
          </w:p>
        </w:tc>
      </w:tr>
      <w:tr w14:paraId="018A35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restart"/>
            <w:tcBorders>
              <w:tl2br w:val="nil"/>
              <w:tr2bl w:val="nil"/>
            </w:tcBorders>
            <w:noWrap w:val="0"/>
            <w:vAlign w:val="center"/>
          </w:tcPr>
          <w:p w14:paraId="7473BC98">
            <w:pPr>
              <w:keepNext w:val="0"/>
              <w:keepLines w:val="0"/>
              <w:pageBreakBefore w:val="0"/>
              <w:widowControl w:val="0"/>
              <w:suppressLineNumbers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bCs/>
                <w:color w:val="auto"/>
                <w:spacing w:val="0"/>
                <w:kern w:val="2"/>
                <w:position w:val="0"/>
                <w:sz w:val="21"/>
                <w:szCs w:val="21"/>
                <w:highlight w:val="none"/>
                <w:lang w:val="en-US" w:eastAsia="zh-CN" w:bidi="ar-SA"/>
              </w:rPr>
            </w:pPr>
            <w:r>
              <w:rPr>
                <w:rFonts w:hint="eastAsia" w:cs="宋体"/>
                <w:b w:val="0"/>
                <w:bCs w:val="0"/>
                <w:color w:val="auto"/>
                <w:spacing w:val="0"/>
                <w:kern w:val="2"/>
                <w:position w:val="0"/>
                <w:sz w:val="21"/>
                <w:szCs w:val="21"/>
                <w:highlight w:val="none"/>
                <w:lang w:val="en-US" w:eastAsia="zh-CN" w:bidi="ar-SA"/>
              </w:rPr>
              <w:t>7</w:t>
            </w:r>
          </w:p>
        </w:tc>
        <w:tc>
          <w:tcPr>
            <w:tcW w:w="1050" w:type="dxa"/>
            <w:vMerge w:val="restart"/>
            <w:tcBorders>
              <w:tl2br w:val="nil"/>
              <w:tr2bl w:val="nil"/>
            </w:tcBorders>
            <w:noWrap w:val="0"/>
            <w:vAlign w:val="center"/>
          </w:tcPr>
          <w:p w14:paraId="03AD577A">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居家养老服务</w:t>
            </w:r>
          </w:p>
        </w:tc>
        <w:tc>
          <w:tcPr>
            <w:tcW w:w="690" w:type="dxa"/>
            <w:vMerge w:val="restart"/>
            <w:tcBorders>
              <w:tl2br w:val="nil"/>
              <w:tr2bl w:val="nil"/>
            </w:tcBorders>
            <w:noWrap w:val="0"/>
            <w:vAlign w:val="center"/>
          </w:tcPr>
          <w:p w14:paraId="3492F336">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21分</w:t>
            </w:r>
          </w:p>
        </w:tc>
        <w:tc>
          <w:tcPr>
            <w:tcW w:w="1080" w:type="dxa"/>
            <w:tcBorders>
              <w:tl2br w:val="nil"/>
              <w:tr2bl w:val="nil"/>
            </w:tcBorders>
            <w:noWrap w:val="0"/>
            <w:vAlign w:val="center"/>
          </w:tcPr>
          <w:p w14:paraId="07A338C4">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6214" w:type="dxa"/>
            <w:tcBorders>
              <w:tl2br w:val="nil"/>
              <w:tr2bl w:val="nil"/>
            </w:tcBorders>
            <w:noWrap w:val="0"/>
            <w:vAlign w:val="center"/>
          </w:tcPr>
          <w:p w14:paraId="3038FEBD">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根据投标人针对本项目对居家老人的语言沟通、探访关爱、生活照料、基础照护、健康管理、家政服务、委托代办、精神慰藉和其他服务等每个服务项目的服务方案进行评分：</w:t>
            </w:r>
          </w:p>
          <w:p w14:paraId="5AD5F335">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（1）方案内容详尽、服务标准规范，对不同补贴标准老人的服务方案合理性、针对性、可行性强、优于招标文件要求的，得6分；</w:t>
            </w:r>
          </w:p>
          <w:p w14:paraId="26681B91">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（2）方案内容较为详尽、服务标准清晰，对不同补贴标准老人的服务方案较为合理的，得4分；</w:t>
            </w:r>
          </w:p>
          <w:p w14:paraId="7B11996A">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（3）方案内容粗略，服务标准不清晰，基本与采购需求一致的，得2分。</w:t>
            </w:r>
          </w:p>
          <w:p w14:paraId="7D57D09A">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（4）方案脱离采购需求或未提供的不得分。</w:t>
            </w:r>
          </w:p>
        </w:tc>
      </w:tr>
      <w:tr w14:paraId="4B4EDE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continue"/>
            <w:tcBorders>
              <w:tl2br w:val="nil"/>
              <w:tr2bl w:val="nil"/>
            </w:tcBorders>
            <w:noWrap w:val="0"/>
            <w:vAlign w:val="center"/>
          </w:tcPr>
          <w:p w14:paraId="79828E0F">
            <w:pPr>
              <w:keepNext w:val="0"/>
              <w:keepLines w:val="0"/>
              <w:pageBreakBefore w:val="0"/>
              <w:widowControl w:val="0"/>
              <w:suppressLineNumbers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bCs/>
                <w:color w:val="auto"/>
                <w:spacing w:val="0"/>
                <w:position w:val="0"/>
                <w:sz w:val="21"/>
                <w:szCs w:val="21"/>
                <w:highlight w:val="none"/>
                <w:lang w:eastAsia="zh-CN"/>
              </w:rPr>
            </w:pPr>
          </w:p>
        </w:tc>
        <w:tc>
          <w:tcPr>
            <w:tcW w:w="1050" w:type="dxa"/>
            <w:vMerge w:val="continue"/>
            <w:tcBorders>
              <w:tl2br w:val="nil"/>
              <w:tr2bl w:val="nil"/>
            </w:tcBorders>
            <w:noWrap w:val="0"/>
            <w:vAlign w:val="center"/>
          </w:tcPr>
          <w:p w14:paraId="21B6131C">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p>
        </w:tc>
        <w:tc>
          <w:tcPr>
            <w:tcW w:w="690" w:type="dxa"/>
            <w:vMerge w:val="continue"/>
            <w:tcBorders>
              <w:tl2br w:val="nil"/>
              <w:tr2bl w:val="nil"/>
            </w:tcBorders>
            <w:noWrap w:val="0"/>
            <w:vAlign w:val="center"/>
          </w:tcPr>
          <w:p w14:paraId="7B2E0122">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p>
        </w:tc>
        <w:tc>
          <w:tcPr>
            <w:tcW w:w="1080" w:type="dxa"/>
            <w:tcBorders>
              <w:tl2br w:val="nil"/>
              <w:tr2bl w:val="nil"/>
            </w:tcBorders>
            <w:noWrap w:val="0"/>
            <w:vAlign w:val="center"/>
          </w:tcPr>
          <w:p w14:paraId="168C8A04">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主观</w:t>
            </w:r>
          </w:p>
        </w:tc>
        <w:tc>
          <w:tcPr>
            <w:tcW w:w="6214" w:type="dxa"/>
            <w:tcBorders>
              <w:tl2br w:val="nil"/>
              <w:tr2bl w:val="nil"/>
            </w:tcBorders>
            <w:noWrap w:val="0"/>
            <w:vAlign w:val="center"/>
          </w:tcPr>
          <w:p w14:paraId="34A6E067">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根据投标人为服务对象提供标准化居家养老服务项目、服务标准及运营管理流程，根据方案的完整性和可行性进行综合评分</w:t>
            </w:r>
            <w:r>
              <w:rPr>
                <w:rFonts w:hint="eastAsia" w:ascii="宋体" w:hAnsi="宋体" w:eastAsia="宋体" w:cs="宋体"/>
                <w:color w:val="auto"/>
                <w:spacing w:val="0"/>
                <w:position w:val="0"/>
                <w:sz w:val="21"/>
                <w:szCs w:val="21"/>
                <w:highlight w:val="none"/>
              </w:rPr>
              <w:t>。</w:t>
            </w:r>
          </w:p>
          <w:p w14:paraId="74504887">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lang w:val="en-US" w:eastAsia="zh-CN" w:bidi="zh-CN"/>
              </w:rPr>
              <w:t>（1）</w:t>
            </w:r>
            <w:r>
              <w:rPr>
                <w:rFonts w:hint="eastAsia" w:ascii="宋体" w:hAnsi="宋体" w:eastAsia="宋体" w:cs="宋体"/>
                <w:color w:val="auto"/>
                <w:spacing w:val="0"/>
                <w:position w:val="0"/>
                <w:sz w:val="21"/>
                <w:szCs w:val="21"/>
                <w:highlight w:val="none"/>
                <w:lang w:val="en-US" w:eastAsia="zh-CN"/>
              </w:rPr>
              <w:t>服务方案完整、可行，有详细的服务内容、服务标准和运营流程的，得3分；</w:t>
            </w:r>
          </w:p>
          <w:p w14:paraId="172C80C8">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（2）服务方案较完整、较可行、有较详细的服务内容、服务标准和运营流程的，得2分；</w:t>
            </w:r>
          </w:p>
          <w:p w14:paraId="710354BE">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（3）服务方案一般，服务内容、服务标准和运营流程基本可行的，得1分。</w:t>
            </w:r>
          </w:p>
          <w:p w14:paraId="74ED648D">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（4）方案</w:t>
            </w:r>
            <w:r>
              <w:rPr>
                <w:rFonts w:hint="eastAsia" w:ascii="宋体" w:hAnsi="宋体" w:eastAsia="宋体" w:cs="宋体"/>
                <w:color w:val="auto"/>
                <w:sz w:val="21"/>
                <w:szCs w:val="21"/>
                <w:highlight w:val="none"/>
                <w:lang w:val="en-US" w:eastAsia="zh-CN"/>
              </w:rPr>
              <w:t>脱离采购需求或未提供的不得分</w:t>
            </w:r>
            <w:r>
              <w:rPr>
                <w:rFonts w:hint="eastAsia" w:ascii="宋体" w:hAnsi="宋体" w:eastAsia="宋体" w:cs="宋体"/>
                <w:color w:val="auto"/>
                <w:spacing w:val="0"/>
                <w:position w:val="0"/>
                <w:sz w:val="21"/>
                <w:szCs w:val="21"/>
                <w:highlight w:val="none"/>
                <w:lang w:val="en-US" w:eastAsia="zh-CN"/>
              </w:rPr>
              <w:t>。</w:t>
            </w:r>
          </w:p>
        </w:tc>
      </w:tr>
      <w:tr w14:paraId="3A95EF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continue"/>
            <w:tcBorders>
              <w:tl2br w:val="nil"/>
              <w:tr2bl w:val="nil"/>
            </w:tcBorders>
            <w:noWrap w:val="0"/>
            <w:vAlign w:val="center"/>
          </w:tcPr>
          <w:p w14:paraId="40366AF4">
            <w:pPr>
              <w:keepNext w:val="0"/>
              <w:keepLines w:val="0"/>
              <w:pageBreakBefore w:val="0"/>
              <w:widowControl w:val="0"/>
              <w:suppressLineNumbers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i w:val="0"/>
                <w:iCs w:val="0"/>
                <w:color w:val="auto"/>
                <w:spacing w:val="0"/>
                <w:kern w:val="0"/>
                <w:position w:val="0"/>
                <w:sz w:val="21"/>
                <w:szCs w:val="21"/>
                <w:highlight w:val="none"/>
                <w:u w:val="none"/>
                <w:lang w:val="en-US" w:eastAsia="zh-CN" w:bidi="ar"/>
              </w:rPr>
            </w:pPr>
          </w:p>
        </w:tc>
        <w:tc>
          <w:tcPr>
            <w:tcW w:w="1050" w:type="dxa"/>
            <w:vMerge w:val="continue"/>
            <w:tcBorders>
              <w:tl2br w:val="nil"/>
              <w:tr2bl w:val="nil"/>
            </w:tcBorders>
            <w:noWrap w:val="0"/>
            <w:vAlign w:val="center"/>
          </w:tcPr>
          <w:p w14:paraId="57C8E5EB">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z w:val="21"/>
                <w:szCs w:val="21"/>
                <w:highlight w:val="none"/>
                <w:lang w:val="en-US" w:eastAsia="zh-CN"/>
              </w:rPr>
            </w:pPr>
          </w:p>
        </w:tc>
        <w:tc>
          <w:tcPr>
            <w:tcW w:w="690" w:type="dxa"/>
            <w:vMerge w:val="continue"/>
            <w:tcBorders>
              <w:tl2br w:val="nil"/>
              <w:tr2bl w:val="nil"/>
            </w:tcBorders>
            <w:noWrap w:val="0"/>
            <w:vAlign w:val="center"/>
          </w:tcPr>
          <w:p w14:paraId="5606E913">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p>
        </w:tc>
        <w:tc>
          <w:tcPr>
            <w:tcW w:w="1080" w:type="dxa"/>
            <w:tcBorders>
              <w:tl2br w:val="nil"/>
              <w:tr2bl w:val="nil"/>
            </w:tcBorders>
            <w:noWrap w:val="0"/>
            <w:vAlign w:val="center"/>
          </w:tcPr>
          <w:p w14:paraId="2552B9C0">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主观</w:t>
            </w:r>
          </w:p>
        </w:tc>
        <w:tc>
          <w:tcPr>
            <w:tcW w:w="6214" w:type="dxa"/>
            <w:tcBorders>
              <w:tl2br w:val="nil"/>
              <w:tr2bl w:val="nil"/>
            </w:tcBorders>
            <w:noWrap w:val="0"/>
            <w:vAlign w:val="center"/>
          </w:tcPr>
          <w:p w14:paraId="01029389">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根据投标人提供的居家养老服务质量保障方案，包含但不限于质量保障体系、质量保障目标、质量保障措施、服务流程、服务响应时间、服务规范情况等进行综合评分。</w:t>
            </w:r>
          </w:p>
          <w:p w14:paraId="4DB43748">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（1）服务保障方案全面具体、保障措施合理、可实施性强的，得3分。</w:t>
            </w:r>
          </w:p>
          <w:p w14:paraId="64C51452">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（2）服务保障方案较全面具体、保障措施较强、可实施性较强的，得2分；</w:t>
            </w:r>
          </w:p>
          <w:p w14:paraId="35255CCC">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（3）服务保障方案简单、保障措施一般、可实施性弱的，得1分；</w:t>
            </w:r>
          </w:p>
          <w:p w14:paraId="70150356">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（4）</w:t>
            </w:r>
            <w:r>
              <w:rPr>
                <w:rFonts w:hint="eastAsia" w:ascii="宋体" w:hAnsi="宋体" w:eastAsia="宋体" w:cs="宋体"/>
                <w:color w:val="auto"/>
                <w:sz w:val="21"/>
                <w:szCs w:val="21"/>
                <w:highlight w:val="none"/>
                <w:lang w:val="en-US" w:eastAsia="zh-CN"/>
              </w:rPr>
              <w:t>方案脱离采购需求或未提供的不得分</w:t>
            </w:r>
            <w:r>
              <w:rPr>
                <w:rFonts w:hint="eastAsia" w:ascii="宋体" w:hAnsi="宋体" w:eastAsia="宋体" w:cs="宋体"/>
                <w:color w:val="auto"/>
                <w:spacing w:val="0"/>
                <w:position w:val="0"/>
                <w:sz w:val="21"/>
                <w:szCs w:val="21"/>
                <w:highlight w:val="none"/>
                <w:lang w:val="en-US" w:eastAsia="zh-CN"/>
              </w:rPr>
              <w:t>。</w:t>
            </w:r>
          </w:p>
        </w:tc>
      </w:tr>
      <w:tr w14:paraId="4A6408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continue"/>
            <w:tcBorders>
              <w:tl2br w:val="nil"/>
              <w:tr2bl w:val="nil"/>
            </w:tcBorders>
            <w:noWrap w:val="0"/>
            <w:vAlign w:val="center"/>
          </w:tcPr>
          <w:p w14:paraId="23AC732C">
            <w:pPr>
              <w:keepNext w:val="0"/>
              <w:keepLines w:val="0"/>
              <w:pageBreakBefore w:val="0"/>
              <w:widowControl w:val="0"/>
              <w:suppressLineNumbers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bCs/>
                <w:color w:val="auto"/>
                <w:spacing w:val="0"/>
                <w:kern w:val="2"/>
                <w:position w:val="0"/>
                <w:sz w:val="21"/>
                <w:szCs w:val="21"/>
                <w:highlight w:val="none"/>
                <w:lang w:val="en-US" w:eastAsia="zh-CN" w:bidi="ar-SA"/>
              </w:rPr>
            </w:pPr>
          </w:p>
        </w:tc>
        <w:tc>
          <w:tcPr>
            <w:tcW w:w="1050" w:type="dxa"/>
            <w:vMerge w:val="continue"/>
            <w:tcBorders>
              <w:tl2br w:val="nil"/>
              <w:tr2bl w:val="nil"/>
            </w:tcBorders>
            <w:noWrap w:val="0"/>
            <w:vAlign w:val="center"/>
          </w:tcPr>
          <w:p w14:paraId="59D56698">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p>
        </w:tc>
        <w:tc>
          <w:tcPr>
            <w:tcW w:w="690" w:type="dxa"/>
            <w:vMerge w:val="continue"/>
            <w:tcBorders>
              <w:tl2br w:val="nil"/>
              <w:tr2bl w:val="nil"/>
            </w:tcBorders>
            <w:noWrap w:val="0"/>
            <w:vAlign w:val="center"/>
          </w:tcPr>
          <w:p w14:paraId="654DA3EB">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eastAsia="zh-CN"/>
              </w:rPr>
            </w:pPr>
          </w:p>
        </w:tc>
        <w:tc>
          <w:tcPr>
            <w:tcW w:w="1080" w:type="dxa"/>
            <w:tcBorders>
              <w:tl2br w:val="nil"/>
              <w:tr2bl w:val="nil"/>
            </w:tcBorders>
            <w:noWrap w:val="0"/>
            <w:vAlign w:val="center"/>
          </w:tcPr>
          <w:p w14:paraId="27720C38">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主观</w:t>
            </w:r>
          </w:p>
        </w:tc>
        <w:tc>
          <w:tcPr>
            <w:tcW w:w="6214" w:type="dxa"/>
            <w:tcBorders>
              <w:tl2br w:val="nil"/>
              <w:tr2bl w:val="nil"/>
            </w:tcBorders>
            <w:noWrap w:val="0"/>
            <w:vAlign w:val="center"/>
          </w:tcPr>
          <w:p w14:paraId="0D8C1384">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根据投标人针对本项目拟设立的各项管理规章制度（包含但不限于服务人员培训制度、服务质量内部管理制度、服务档案管理制度、工作人员守则制度、服务承诺制度和服务反馈制度等）及档案资料建立管理方案（包含但不限于</w:t>
            </w:r>
            <w:r>
              <w:rPr>
                <w:rFonts w:hint="eastAsia" w:ascii="宋体" w:hAnsi="宋体" w:eastAsia="宋体" w:cs="宋体"/>
                <w:color w:val="auto"/>
                <w:sz w:val="21"/>
                <w:szCs w:val="21"/>
                <w:highlight w:val="none"/>
              </w:rPr>
              <w:t>健康档案</w:t>
            </w:r>
            <w:r>
              <w:rPr>
                <w:rFonts w:hint="eastAsia" w:ascii="宋体" w:hAnsi="宋体" w:eastAsia="宋体" w:cs="宋体"/>
                <w:b w:val="0"/>
                <w:bCs w:val="0"/>
                <w:color w:val="auto"/>
                <w:spacing w:val="0"/>
                <w:position w:val="0"/>
                <w:sz w:val="21"/>
                <w:szCs w:val="21"/>
                <w:highlight w:val="none"/>
                <w:lang w:val="en-US" w:eastAsia="zh-CN"/>
              </w:rPr>
              <w:t>、设备管理、业主方反馈资料、</w:t>
            </w:r>
            <w:r>
              <w:rPr>
                <w:rFonts w:hint="eastAsia" w:ascii="宋体" w:hAnsi="宋体" w:eastAsia="宋体" w:cs="宋体"/>
                <w:color w:val="auto"/>
                <w:sz w:val="21"/>
                <w:szCs w:val="21"/>
                <w:highlight w:val="none"/>
              </w:rPr>
              <w:t>志愿者服务记录表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小结总结、</w:t>
            </w:r>
            <w:r>
              <w:rPr>
                <w:rFonts w:hint="eastAsia" w:ascii="宋体" w:hAnsi="宋体" w:eastAsia="宋体" w:cs="宋体"/>
                <w:b w:val="0"/>
                <w:bCs w:val="0"/>
                <w:color w:val="auto"/>
                <w:spacing w:val="0"/>
                <w:position w:val="0"/>
                <w:sz w:val="21"/>
                <w:szCs w:val="21"/>
                <w:highlight w:val="none"/>
                <w:lang w:val="en-US" w:eastAsia="zh-CN"/>
              </w:rPr>
              <w:t>行政文件资料等档案的建立与管理）进行综合打分。</w:t>
            </w:r>
          </w:p>
          <w:p w14:paraId="6813EE06">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lang w:val="en-US" w:eastAsia="zh-CN" w:bidi="zh-CN"/>
              </w:rPr>
              <w:t>（1）</w:t>
            </w:r>
            <w:r>
              <w:rPr>
                <w:rFonts w:hint="eastAsia" w:ascii="宋体" w:hAnsi="宋体" w:eastAsia="宋体" w:cs="宋体"/>
                <w:b w:val="0"/>
                <w:bCs w:val="0"/>
                <w:color w:val="auto"/>
                <w:spacing w:val="0"/>
                <w:position w:val="0"/>
                <w:sz w:val="21"/>
                <w:szCs w:val="21"/>
                <w:highlight w:val="none"/>
                <w:lang w:val="en-US" w:eastAsia="zh-CN"/>
              </w:rPr>
              <w:t>各项管理规章制度完善，档案资料建立管理方案全面具体的，得3分。</w:t>
            </w:r>
          </w:p>
          <w:p w14:paraId="13738F3A">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（2）各项管理规章制度较完善，档案资料建立管理方案较全面具体的，得2分。</w:t>
            </w:r>
          </w:p>
          <w:p w14:paraId="0ABE1556">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（3）各项管理规章制度简单，档案资料建立管理方案一般的，得1分。</w:t>
            </w:r>
          </w:p>
          <w:p w14:paraId="2D020C4D">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b w:val="0"/>
                <w:bCs w:val="0"/>
                <w:color w:val="auto"/>
                <w:spacing w:val="0"/>
                <w:position w:val="0"/>
                <w:sz w:val="21"/>
                <w:szCs w:val="21"/>
                <w:highlight w:val="none"/>
                <w:lang w:val="en-US" w:eastAsia="zh-CN"/>
              </w:rPr>
            </w:pPr>
            <w:r>
              <w:rPr>
                <w:rFonts w:hint="eastAsia" w:ascii="宋体" w:hAnsi="宋体" w:eastAsia="宋体" w:cs="宋体"/>
                <w:b w:val="0"/>
                <w:bCs w:val="0"/>
                <w:color w:val="auto"/>
                <w:spacing w:val="0"/>
                <w:position w:val="0"/>
                <w:sz w:val="21"/>
                <w:szCs w:val="21"/>
                <w:highlight w:val="none"/>
                <w:lang w:val="en-US" w:eastAsia="zh-CN"/>
              </w:rPr>
              <w:t>（4）制度及</w:t>
            </w:r>
            <w:r>
              <w:rPr>
                <w:rFonts w:hint="eastAsia" w:ascii="宋体" w:hAnsi="宋体" w:eastAsia="宋体" w:cs="宋体"/>
                <w:color w:val="auto"/>
                <w:sz w:val="21"/>
                <w:szCs w:val="21"/>
                <w:highlight w:val="none"/>
                <w:lang w:val="en-US" w:eastAsia="zh-CN"/>
              </w:rPr>
              <w:t>方案脱离采购需求或未提供的不得分</w:t>
            </w:r>
            <w:r>
              <w:rPr>
                <w:rFonts w:hint="eastAsia" w:ascii="宋体" w:hAnsi="宋体" w:eastAsia="宋体" w:cs="宋体"/>
                <w:color w:val="auto"/>
                <w:spacing w:val="0"/>
                <w:position w:val="0"/>
                <w:sz w:val="21"/>
                <w:szCs w:val="21"/>
                <w:highlight w:val="none"/>
                <w:lang w:val="en-US" w:eastAsia="zh-CN"/>
              </w:rPr>
              <w:t>。</w:t>
            </w:r>
          </w:p>
        </w:tc>
      </w:tr>
      <w:tr w14:paraId="18B430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continue"/>
            <w:tcBorders>
              <w:tl2br w:val="nil"/>
              <w:tr2bl w:val="nil"/>
            </w:tcBorders>
            <w:noWrap w:val="0"/>
            <w:vAlign w:val="center"/>
          </w:tcPr>
          <w:p w14:paraId="1880B143">
            <w:pPr>
              <w:keepNext w:val="0"/>
              <w:keepLines w:val="0"/>
              <w:pageBreakBefore w:val="0"/>
              <w:widowControl w:val="0"/>
              <w:suppressLineNumbers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bCs/>
                <w:color w:val="auto"/>
                <w:spacing w:val="0"/>
                <w:kern w:val="2"/>
                <w:position w:val="0"/>
                <w:sz w:val="21"/>
                <w:szCs w:val="21"/>
                <w:highlight w:val="none"/>
                <w:lang w:val="en-US" w:eastAsia="zh-CN" w:bidi="ar-SA"/>
              </w:rPr>
            </w:pPr>
          </w:p>
        </w:tc>
        <w:tc>
          <w:tcPr>
            <w:tcW w:w="1050" w:type="dxa"/>
            <w:vMerge w:val="continue"/>
            <w:tcBorders>
              <w:tl2br w:val="nil"/>
              <w:tr2bl w:val="nil"/>
            </w:tcBorders>
            <w:noWrap w:val="0"/>
            <w:vAlign w:val="center"/>
          </w:tcPr>
          <w:p w14:paraId="6AC005D9">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kern w:val="2"/>
                <w:position w:val="0"/>
                <w:sz w:val="21"/>
                <w:szCs w:val="21"/>
                <w:highlight w:val="none"/>
                <w:lang w:val="en-US" w:eastAsia="zh-CN" w:bidi="ar-SA"/>
              </w:rPr>
            </w:pPr>
          </w:p>
        </w:tc>
        <w:tc>
          <w:tcPr>
            <w:tcW w:w="690" w:type="dxa"/>
            <w:vMerge w:val="continue"/>
            <w:tcBorders>
              <w:tl2br w:val="nil"/>
              <w:tr2bl w:val="nil"/>
            </w:tcBorders>
            <w:noWrap w:val="0"/>
            <w:vAlign w:val="center"/>
          </w:tcPr>
          <w:p w14:paraId="1BF45DC9">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kern w:val="2"/>
                <w:position w:val="0"/>
                <w:sz w:val="21"/>
                <w:szCs w:val="21"/>
                <w:highlight w:val="none"/>
                <w:lang w:val="en-US" w:eastAsia="zh-CN" w:bidi="ar-SA"/>
              </w:rPr>
            </w:pPr>
          </w:p>
        </w:tc>
        <w:tc>
          <w:tcPr>
            <w:tcW w:w="1080" w:type="dxa"/>
            <w:tcBorders>
              <w:tl2br w:val="nil"/>
              <w:tr2bl w:val="nil"/>
            </w:tcBorders>
            <w:noWrap w:val="0"/>
            <w:vAlign w:val="center"/>
          </w:tcPr>
          <w:p w14:paraId="5A702F2D">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主观</w:t>
            </w:r>
          </w:p>
        </w:tc>
        <w:tc>
          <w:tcPr>
            <w:tcW w:w="6214" w:type="dxa"/>
            <w:tcBorders>
              <w:tl2br w:val="nil"/>
              <w:tr2bl w:val="nil"/>
            </w:tcBorders>
            <w:noWrap w:val="0"/>
            <w:vAlign w:val="center"/>
          </w:tcPr>
          <w:p w14:paraId="57AF343E">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根据投标人服务装备配置情况，包含但不限于电子设备、交通工具、其他服务配备（如工作服、血压计等与工作相关设备）等进行综合评分。需提供相关证明材料，如照片、备品清单等。</w:t>
            </w:r>
          </w:p>
          <w:p w14:paraId="25070331">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lang w:val="en-US" w:eastAsia="zh-CN" w:bidi="ar-SA"/>
              </w:rPr>
              <w:t>（1）</w:t>
            </w:r>
            <w:r>
              <w:rPr>
                <w:rFonts w:hint="eastAsia" w:ascii="宋体" w:hAnsi="宋体" w:eastAsia="宋体" w:cs="宋体"/>
                <w:color w:val="auto"/>
                <w:spacing w:val="0"/>
                <w:kern w:val="2"/>
                <w:position w:val="0"/>
                <w:sz w:val="21"/>
                <w:szCs w:val="21"/>
                <w:highlight w:val="none"/>
                <w:lang w:val="en-US" w:eastAsia="zh-CN" w:bidi="ar-SA"/>
              </w:rPr>
              <w:t>配备齐全且利用率高的，得3分；</w:t>
            </w:r>
          </w:p>
          <w:p w14:paraId="3E6512D7">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lang w:val="en-US" w:eastAsia="zh-CN" w:bidi="ar-SA"/>
              </w:rPr>
              <w:t>（2）</w:t>
            </w:r>
            <w:r>
              <w:rPr>
                <w:rFonts w:hint="eastAsia" w:ascii="宋体" w:hAnsi="宋体" w:eastAsia="宋体" w:cs="宋体"/>
                <w:color w:val="auto"/>
                <w:spacing w:val="0"/>
                <w:kern w:val="2"/>
                <w:position w:val="0"/>
                <w:sz w:val="21"/>
                <w:szCs w:val="21"/>
                <w:highlight w:val="none"/>
                <w:lang w:val="en-US" w:eastAsia="zh-CN" w:bidi="ar-SA"/>
              </w:rPr>
              <w:t>基本配备齐全，利用率一般的，得2分；</w:t>
            </w:r>
          </w:p>
          <w:p w14:paraId="287C9824">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（3）部分配备齐全得1分。</w:t>
            </w:r>
          </w:p>
          <w:p w14:paraId="278D741E">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（4）配备情况不适用本项目或未配备的，不得分。</w:t>
            </w:r>
          </w:p>
        </w:tc>
      </w:tr>
      <w:tr w14:paraId="3E9C66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518" w:type="dxa"/>
            <w:vMerge w:val="continue"/>
            <w:tcBorders>
              <w:tl2br w:val="nil"/>
              <w:tr2bl w:val="nil"/>
            </w:tcBorders>
            <w:noWrap w:val="0"/>
            <w:vAlign w:val="center"/>
          </w:tcPr>
          <w:p w14:paraId="3046E703">
            <w:pPr>
              <w:keepNext w:val="0"/>
              <w:keepLines w:val="0"/>
              <w:pageBreakBefore w:val="0"/>
              <w:widowControl w:val="0"/>
              <w:suppressLineNumbers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i w:val="0"/>
                <w:iCs w:val="0"/>
                <w:color w:val="auto"/>
                <w:spacing w:val="0"/>
                <w:kern w:val="0"/>
                <w:position w:val="0"/>
                <w:sz w:val="21"/>
                <w:szCs w:val="21"/>
                <w:highlight w:val="none"/>
                <w:u w:val="none"/>
                <w:lang w:val="en-US" w:eastAsia="zh-CN" w:bidi="ar"/>
              </w:rPr>
            </w:pPr>
          </w:p>
        </w:tc>
        <w:tc>
          <w:tcPr>
            <w:tcW w:w="1050" w:type="dxa"/>
            <w:vMerge w:val="continue"/>
            <w:tcBorders>
              <w:tl2br w:val="nil"/>
              <w:tr2bl w:val="nil"/>
            </w:tcBorders>
            <w:noWrap w:val="0"/>
            <w:vAlign w:val="center"/>
          </w:tcPr>
          <w:p w14:paraId="6D4F79D9">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kern w:val="2"/>
                <w:position w:val="0"/>
                <w:sz w:val="21"/>
                <w:szCs w:val="21"/>
                <w:highlight w:val="none"/>
                <w:lang w:val="en-US" w:eastAsia="zh-CN" w:bidi="ar-SA"/>
              </w:rPr>
            </w:pPr>
          </w:p>
        </w:tc>
        <w:tc>
          <w:tcPr>
            <w:tcW w:w="690" w:type="dxa"/>
            <w:vMerge w:val="continue"/>
            <w:tcBorders>
              <w:tl2br w:val="nil"/>
              <w:tr2bl w:val="nil"/>
            </w:tcBorders>
            <w:noWrap w:val="0"/>
            <w:vAlign w:val="center"/>
          </w:tcPr>
          <w:p w14:paraId="3039CDD4">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b w:val="0"/>
                <w:bCs w:val="0"/>
                <w:color w:val="auto"/>
                <w:spacing w:val="0"/>
                <w:position w:val="0"/>
                <w:sz w:val="21"/>
                <w:szCs w:val="21"/>
                <w:highlight w:val="none"/>
                <w:lang w:val="en-US" w:eastAsia="zh-CN"/>
              </w:rPr>
            </w:pPr>
          </w:p>
        </w:tc>
        <w:tc>
          <w:tcPr>
            <w:tcW w:w="1080" w:type="dxa"/>
            <w:tcBorders>
              <w:tl2br w:val="nil"/>
              <w:tr2bl w:val="nil"/>
            </w:tcBorders>
            <w:noWrap w:val="0"/>
            <w:vAlign w:val="center"/>
          </w:tcPr>
          <w:p w14:paraId="2B05D769">
            <w:pPr>
              <w:keepNext w:val="0"/>
              <w:keepLines w:val="0"/>
              <w:pageBreakBefore w:val="0"/>
              <w:widowControl w:val="0"/>
              <w:kinsoku/>
              <w:wordWrap w:val="0"/>
              <w:overflowPunct/>
              <w:topLinePunct w:val="0"/>
              <w:autoSpaceDE w:val="0"/>
              <w:autoSpaceDN w:val="0"/>
              <w:bidi w:val="0"/>
              <w:adjustRightInd/>
              <w:snapToGrid/>
              <w:spacing w:line="330" w:lineRule="exact"/>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主观</w:t>
            </w:r>
          </w:p>
        </w:tc>
        <w:tc>
          <w:tcPr>
            <w:tcW w:w="6214" w:type="dxa"/>
            <w:tcBorders>
              <w:tl2br w:val="nil"/>
              <w:tr2bl w:val="nil"/>
            </w:tcBorders>
            <w:noWrap w:val="0"/>
            <w:vAlign w:val="center"/>
          </w:tcPr>
          <w:p w14:paraId="5900FD16">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根据投标人针对居家养老上门服务过程中可能遇到的突发事件（如老人跌倒、噎食、突发疾病、自然灾害、突发公共卫生事件等情况）制定应急预案，对异常情况的处理方案和处理能力进行综合评分。</w:t>
            </w:r>
          </w:p>
          <w:p w14:paraId="5217785D">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lang w:val="en-US" w:eastAsia="zh-CN" w:bidi="zh-CN"/>
              </w:rPr>
              <w:t>（1）</w:t>
            </w:r>
            <w:r>
              <w:rPr>
                <w:rFonts w:hint="eastAsia" w:ascii="宋体" w:hAnsi="宋体" w:eastAsia="宋体" w:cs="宋体"/>
                <w:color w:val="auto"/>
                <w:spacing w:val="0"/>
                <w:position w:val="0"/>
                <w:sz w:val="21"/>
                <w:szCs w:val="21"/>
                <w:highlight w:val="none"/>
                <w:lang w:val="en-US" w:eastAsia="zh-CN"/>
              </w:rPr>
              <w:t>方案合理、条理清晰、内容完整，具有可行性的，得3分。</w:t>
            </w:r>
          </w:p>
          <w:p w14:paraId="03E62A99">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（2）方案较为合理、条理清晰，内容较完整的，得2分。</w:t>
            </w:r>
          </w:p>
          <w:p w14:paraId="37C18376">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（3）方案一般、条理一般、内容一般的，得1分。</w:t>
            </w:r>
          </w:p>
          <w:p w14:paraId="390FC25E">
            <w:pPr>
              <w:keepNext w:val="0"/>
              <w:keepLines w:val="0"/>
              <w:pageBreakBefore w:val="0"/>
              <w:widowControl w:val="0"/>
              <w:kinsoku/>
              <w:wordWrap w:val="0"/>
              <w:overflowPunct/>
              <w:topLinePunct w:val="0"/>
              <w:autoSpaceDE w:val="0"/>
              <w:autoSpaceDN w:val="0"/>
              <w:bidi w:val="0"/>
              <w:adjustRightInd/>
              <w:snapToGrid/>
              <w:spacing w:line="330" w:lineRule="exact"/>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（4）</w:t>
            </w:r>
            <w:r>
              <w:rPr>
                <w:rFonts w:hint="eastAsia" w:ascii="宋体" w:hAnsi="宋体" w:eastAsia="宋体" w:cs="宋体"/>
                <w:color w:val="auto"/>
                <w:sz w:val="21"/>
                <w:szCs w:val="21"/>
                <w:highlight w:val="none"/>
                <w:lang w:val="en-US" w:eastAsia="zh-CN"/>
              </w:rPr>
              <w:t>方案脱离采购需求或未提供的不得分</w:t>
            </w:r>
            <w:r>
              <w:rPr>
                <w:rFonts w:hint="eastAsia" w:ascii="宋体" w:hAnsi="宋体" w:eastAsia="宋体" w:cs="宋体"/>
                <w:color w:val="auto"/>
                <w:spacing w:val="0"/>
                <w:position w:val="0"/>
                <w:sz w:val="21"/>
                <w:szCs w:val="21"/>
                <w:highlight w:val="none"/>
                <w:lang w:val="en-US" w:eastAsia="zh-CN"/>
              </w:rPr>
              <w:t>。</w:t>
            </w:r>
          </w:p>
        </w:tc>
      </w:tr>
      <w:tr w14:paraId="5B1541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9552" w:type="dxa"/>
            <w:gridSpan w:val="5"/>
            <w:tcBorders>
              <w:tl2br w:val="nil"/>
              <w:tr2bl w:val="nil"/>
            </w:tcBorders>
            <w:shd w:val="clear" w:color="auto" w:fill="auto"/>
            <w:noWrap w:val="0"/>
            <w:vAlign w:val="center"/>
          </w:tcPr>
          <w:p w14:paraId="4615849C">
            <w:pPr>
              <w:keepNext w:val="0"/>
              <w:keepLines w:val="0"/>
              <w:pageBreakBefore w:val="0"/>
              <w:widowControl w:val="0"/>
              <w:kinsoku/>
              <w:wordWrap w:val="0"/>
              <w:overflowPunct/>
              <w:topLinePunct w:val="0"/>
              <w:autoSpaceDE w:val="0"/>
              <w:autoSpaceDN w:val="0"/>
              <w:bidi w:val="0"/>
              <w:adjustRightInd/>
              <w:snapToGrid/>
              <w:spacing w:before="36" w:line="330" w:lineRule="exact"/>
              <w:ind w:left="120" w:right="310" w:hanging="1"/>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b/>
                <w:bCs/>
                <w:color w:val="auto"/>
                <w:spacing w:val="0"/>
                <w:position w:val="0"/>
                <w:sz w:val="22"/>
                <w:szCs w:val="22"/>
                <w:highlight w:val="none"/>
                <w:lang w:val="en-US" w:eastAsia="zh-CN"/>
              </w:rPr>
              <w:t>（二）商务报价分（满分</w:t>
            </w:r>
            <w:r>
              <w:rPr>
                <w:rFonts w:hint="eastAsia" w:cs="宋体"/>
                <w:b/>
                <w:bCs/>
                <w:color w:val="auto"/>
                <w:spacing w:val="0"/>
                <w:position w:val="0"/>
                <w:sz w:val="22"/>
                <w:szCs w:val="22"/>
                <w:highlight w:val="none"/>
                <w:lang w:val="en-US" w:eastAsia="zh-CN"/>
              </w:rPr>
              <w:t>20</w:t>
            </w:r>
            <w:r>
              <w:rPr>
                <w:rFonts w:hint="eastAsia" w:ascii="宋体" w:hAnsi="宋体" w:eastAsia="宋体" w:cs="宋体"/>
                <w:b/>
                <w:bCs/>
                <w:color w:val="auto"/>
                <w:spacing w:val="0"/>
                <w:position w:val="0"/>
                <w:sz w:val="22"/>
                <w:szCs w:val="22"/>
                <w:highlight w:val="none"/>
                <w:lang w:val="en-US" w:eastAsia="zh-CN"/>
              </w:rPr>
              <w:t>分）</w:t>
            </w:r>
          </w:p>
        </w:tc>
      </w:tr>
      <w:tr w14:paraId="0994B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9552" w:type="dxa"/>
            <w:gridSpan w:val="5"/>
            <w:tcBorders>
              <w:tl2br w:val="nil"/>
              <w:tr2bl w:val="nil"/>
            </w:tcBorders>
            <w:noWrap w:val="0"/>
            <w:vAlign w:val="center"/>
          </w:tcPr>
          <w:p w14:paraId="6C86C4E5">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ind w:left="0" w:leftChars="0" w:right="0" w:rightChars="0" w:firstLine="0" w:firstLineChars="0"/>
              <w:textAlignment w:val="auto"/>
              <w:rPr>
                <w:rStyle w:val="71"/>
                <w:rFonts w:hint="eastAsia" w:cs="宋体"/>
                <w:b/>
                <w:bCs/>
                <w:color w:val="auto"/>
                <w:sz w:val="21"/>
                <w:szCs w:val="21"/>
                <w:lang w:val="en-US" w:eastAsia="zh-CN"/>
              </w:rPr>
            </w:pPr>
            <w:r>
              <w:rPr>
                <w:rFonts w:hint="eastAsia" w:ascii="宋体" w:hAnsi="宋体" w:eastAsia="宋体" w:cs="宋体"/>
                <w:b/>
                <w:bCs/>
                <w:color w:val="auto"/>
                <w:sz w:val="21"/>
                <w:szCs w:val="21"/>
                <w:lang w:val="en-US" w:eastAsia="zh-CN" w:bidi="zh-CN"/>
              </w:rPr>
              <w:t>1.</w:t>
            </w:r>
            <w:r>
              <w:rPr>
                <w:rStyle w:val="71"/>
                <w:rFonts w:hint="eastAsia" w:cs="宋体"/>
                <w:b/>
                <w:bCs/>
                <w:color w:val="auto"/>
                <w:sz w:val="21"/>
                <w:szCs w:val="21"/>
                <w:lang w:val="en-US" w:eastAsia="zh-CN"/>
              </w:rPr>
              <w:t>本项目采用综合折扣率报价：以满足招标文件要求且有效投标价格的最低的折扣率为评标基准价，其价格分为20分。其他投标人的价格分统一按照下列公式计算：投标折扣率得分＝(评标基准价/有效投标折扣率)×20%×100(精确到小数点后二位)。</w:t>
            </w:r>
          </w:p>
          <w:p w14:paraId="12F4A00F">
            <w:pPr>
              <w:keepNext w:val="0"/>
              <w:keepLines w:val="0"/>
              <w:pageBreakBefore w:val="0"/>
              <w:widowControl w:val="0"/>
              <w:numPr>
                <w:ilvl w:val="0"/>
                <w:numId w:val="0"/>
              </w:numPr>
              <w:kinsoku/>
              <w:wordWrap w:val="0"/>
              <w:overflowPunct/>
              <w:topLinePunct w:val="0"/>
              <w:autoSpaceDE w:val="0"/>
              <w:autoSpaceDN w:val="0"/>
              <w:bidi w:val="0"/>
              <w:adjustRightInd/>
              <w:snapToGrid/>
              <w:spacing w:line="330" w:lineRule="exact"/>
              <w:ind w:left="0" w:leftChars="0" w:right="0" w:rightChars="0" w:firstLine="0" w:firstLineChars="0"/>
              <w:textAlignment w:val="auto"/>
              <w:rPr>
                <w:rStyle w:val="71"/>
                <w:rFonts w:hint="default" w:cs="宋体"/>
                <w:b w:val="0"/>
                <w:bCs w:val="0"/>
                <w:color w:val="auto"/>
                <w:sz w:val="21"/>
                <w:szCs w:val="21"/>
                <w:lang w:val="en-US" w:eastAsia="zh-CN"/>
              </w:rPr>
            </w:pPr>
            <w:r>
              <w:rPr>
                <w:rStyle w:val="71"/>
                <w:rFonts w:hint="eastAsia" w:cs="宋体"/>
                <w:b w:val="0"/>
                <w:bCs w:val="0"/>
                <w:color w:val="auto"/>
                <w:sz w:val="21"/>
                <w:szCs w:val="21"/>
                <w:lang w:val="en-US" w:eastAsia="zh-CN"/>
              </w:rPr>
              <w:t>2.本次招标各标项预算价为标项一：1900000元人民币；标项二：1280000元人民币；采用综合折扣率报价，如果该标项所有投标人的折扣率报价均超出100%的情况，该标项作流（废）标处理。如果仅仅某个（些）投标人的折扣率报价超过100%，则该投标人作无效标处理。</w:t>
            </w:r>
          </w:p>
          <w:p w14:paraId="1932EFBF">
            <w:pPr>
              <w:keepNext w:val="0"/>
              <w:keepLines w:val="0"/>
              <w:pageBreakBefore w:val="0"/>
              <w:widowControl w:val="0"/>
              <w:kinsoku/>
              <w:wordWrap w:val="0"/>
              <w:overflowPunct/>
              <w:topLinePunct w:val="0"/>
              <w:autoSpaceDE w:val="0"/>
              <w:autoSpaceDN w:val="0"/>
              <w:bidi w:val="0"/>
              <w:adjustRightInd/>
              <w:snapToGrid/>
              <w:spacing w:line="330" w:lineRule="exact"/>
              <w:ind w:left="0" w:right="0" w:firstLine="0"/>
              <w:textAlignment w:val="auto"/>
              <w:rPr>
                <w:rStyle w:val="71"/>
                <w:rFonts w:hint="eastAsia" w:ascii="宋体" w:hAnsi="宋体" w:eastAsia="宋体" w:cs="宋体"/>
                <w:color w:val="auto"/>
                <w:sz w:val="21"/>
                <w:szCs w:val="21"/>
                <w:lang w:val="en-US" w:eastAsia="zh-CN"/>
              </w:rPr>
            </w:pPr>
            <w:r>
              <w:rPr>
                <w:rStyle w:val="71"/>
                <w:rFonts w:hint="eastAsia" w:cs="宋体"/>
                <w:color w:val="auto"/>
                <w:sz w:val="21"/>
                <w:szCs w:val="21"/>
                <w:lang w:val="en-US" w:eastAsia="zh-CN"/>
              </w:rPr>
              <w:t>3</w:t>
            </w:r>
            <w:r>
              <w:rPr>
                <w:rStyle w:val="71"/>
                <w:rFonts w:hint="eastAsia" w:ascii="宋体" w:hAnsi="宋体" w:eastAsia="宋体" w:cs="宋体"/>
                <w:color w:val="auto"/>
                <w:sz w:val="21"/>
                <w:szCs w:val="21"/>
                <w:lang w:val="en-US" w:eastAsia="zh-CN"/>
              </w:rPr>
              <w:t>.本项目在报价评审时对符合中小企业划型标准规定（工信部联企业[2011]300号）的小型和微型企业给予价格优惠扶持，用扣除后的价格参与评审，具体如下：</w:t>
            </w:r>
          </w:p>
          <w:p w14:paraId="6B2EB234">
            <w:pPr>
              <w:keepNext w:val="0"/>
              <w:keepLines w:val="0"/>
              <w:pageBreakBefore w:val="0"/>
              <w:widowControl w:val="0"/>
              <w:kinsoku/>
              <w:wordWrap w:val="0"/>
              <w:overflowPunct/>
              <w:topLinePunct w:val="0"/>
              <w:autoSpaceDE w:val="0"/>
              <w:autoSpaceDN w:val="0"/>
              <w:bidi w:val="0"/>
              <w:adjustRightInd/>
              <w:snapToGrid/>
              <w:spacing w:line="330" w:lineRule="exact"/>
              <w:ind w:left="0" w:right="0" w:firstLine="0"/>
              <w:textAlignment w:val="auto"/>
              <w:rPr>
                <w:rStyle w:val="71"/>
                <w:rFonts w:hint="eastAsia" w:ascii="宋体" w:hAnsi="宋体" w:eastAsia="宋体" w:cs="宋体"/>
                <w:color w:val="auto"/>
                <w:sz w:val="21"/>
                <w:szCs w:val="21"/>
                <w:lang w:val="en-US" w:eastAsia="zh-CN"/>
              </w:rPr>
            </w:pPr>
            <w:r>
              <w:rPr>
                <w:rStyle w:val="71"/>
                <w:rFonts w:hint="eastAsia" w:ascii="宋体" w:hAnsi="宋体" w:eastAsia="宋体" w:cs="宋体"/>
                <w:color w:val="auto"/>
                <w:sz w:val="21"/>
                <w:szCs w:val="21"/>
                <w:lang w:val="en-US" w:eastAsia="zh-CN"/>
              </w:rPr>
              <w:t>(1)本项目对小型和微型企业产品的价格给予</w:t>
            </w:r>
            <w:r>
              <w:rPr>
                <w:rStyle w:val="71"/>
                <w:rFonts w:hint="eastAsia" w:ascii="宋体" w:hAnsi="宋体" w:eastAsia="宋体" w:cs="宋体"/>
                <w:b/>
                <w:bCs/>
                <w:color w:val="auto"/>
                <w:sz w:val="21"/>
                <w:szCs w:val="21"/>
                <w:lang w:val="en-US" w:eastAsia="zh-CN"/>
              </w:rPr>
              <w:t xml:space="preserve"> 10% </w:t>
            </w:r>
            <w:r>
              <w:rPr>
                <w:rStyle w:val="71"/>
                <w:rFonts w:hint="eastAsia" w:ascii="宋体" w:hAnsi="宋体" w:eastAsia="宋体" w:cs="宋体"/>
                <w:color w:val="auto"/>
                <w:sz w:val="21"/>
                <w:szCs w:val="21"/>
                <w:lang w:val="en-US" w:eastAsia="zh-CN"/>
              </w:rPr>
              <w:t>的扣除，用扣除后的价格（即投标报价的 90% ）参与报价分评审。</w:t>
            </w:r>
          </w:p>
          <w:p w14:paraId="19A7680E">
            <w:pPr>
              <w:keepNext w:val="0"/>
              <w:keepLines w:val="0"/>
              <w:pageBreakBefore w:val="0"/>
              <w:widowControl w:val="0"/>
              <w:kinsoku/>
              <w:wordWrap w:val="0"/>
              <w:overflowPunct/>
              <w:topLinePunct w:val="0"/>
              <w:autoSpaceDE w:val="0"/>
              <w:autoSpaceDN w:val="0"/>
              <w:bidi w:val="0"/>
              <w:adjustRightInd/>
              <w:snapToGrid/>
              <w:spacing w:line="330" w:lineRule="exact"/>
              <w:ind w:left="0" w:right="0" w:firstLine="0"/>
              <w:textAlignment w:val="auto"/>
              <w:rPr>
                <w:rStyle w:val="71"/>
                <w:rFonts w:hint="eastAsia" w:ascii="宋体" w:hAnsi="宋体" w:eastAsia="宋体" w:cs="宋体"/>
                <w:color w:val="auto"/>
                <w:sz w:val="21"/>
                <w:szCs w:val="21"/>
                <w:lang w:val="en-US" w:eastAsia="zh-CN"/>
              </w:rPr>
            </w:pPr>
            <w:r>
              <w:rPr>
                <w:rStyle w:val="71"/>
                <w:rFonts w:hint="eastAsia" w:ascii="宋体" w:hAnsi="宋体" w:eastAsia="宋体" w:cs="宋体"/>
                <w:color w:val="auto"/>
                <w:sz w:val="21"/>
                <w:szCs w:val="21"/>
                <w:lang w:val="en-US" w:eastAsia="zh-CN"/>
              </w:rPr>
              <w:t>(2)参与本项目政府采购活动的中小企业应当提供 《中小企业声明函》。</w:t>
            </w:r>
          </w:p>
          <w:p w14:paraId="5E96BDE2">
            <w:pPr>
              <w:keepNext w:val="0"/>
              <w:keepLines w:val="0"/>
              <w:pageBreakBefore w:val="0"/>
              <w:widowControl w:val="0"/>
              <w:kinsoku/>
              <w:wordWrap w:val="0"/>
              <w:overflowPunct/>
              <w:topLinePunct w:val="0"/>
              <w:autoSpaceDE w:val="0"/>
              <w:autoSpaceDN w:val="0"/>
              <w:bidi w:val="0"/>
              <w:adjustRightInd/>
              <w:snapToGrid/>
              <w:spacing w:line="330" w:lineRule="exact"/>
              <w:ind w:left="0" w:right="0" w:firstLine="0"/>
              <w:textAlignment w:val="auto"/>
              <w:rPr>
                <w:rStyle w:val="71"/>
                <w:rFonts w:hint="eastAsia" w:ascii="宋体" w:hAnsi="宋体" w:eastAsia="宋体" w:cs="宋体"/>
                <w:color w:val="auto"/>
                <w:sz w:val="21"/>
                <w:szCs w:val="21"/>
                <w:lang w:val="en-US" w:eastAsia="zh-CN"/>
              </w:rPr>
            </w:pPr>
            <w:r>
              <w:rPr>
                <w:rStyle w:val="71"/>
                <w:rFonts w:hint="eastAsia" w:ascii="宋体" w:hAnsi="宋体" w:eastAsia="宋体" w:cs="宋体"/>
                <w:color w:val="auto"/>
                <w:sz w:val="21"/>
                <w:szCs w:val="21"/>
                <w:lang w:val="en-US" w:eastAsia="zh-CN"/>
              </w:rPr>
              <w:t>(3)中小企业按上述优惠取得政府采购合同后，小型、微型企业不得分包或转包给大型、中型企业，中型企业不得分包或转包给大型企业。</w:t>
            </w:r>
          </w:p>
          <w:p w14:paraId="5AF70022">
            <w:pPr>
              <w:keepNext w:val="0"/>
              <w:keepLines w:val="0"/>
              <w:pageBreakBefore w:val="0"/>
              <w:widowControl w:val="0"/>
              <w:kinsoku/>
              <w:wordWrap w:val="0"/>
              <w:overflowPunct/>
              <w:topLinePunct w:val="0"/>
              <w:autoSpaceDE w:val="0"/>
              <w:autoSpaceDN w:val="0"/>
              <w:bidi w:val="0"/>
              <w:adjustRightInd/>
              <w:snapToGrid/>
              <w:spacing w:line="330" w:lineRule="exact"/>
              <w:ind w:left="0" w:right="0" w:firstLine="0"/>
              <w:textAlignment w:val="auto"/>
              <w:rPr>
                <w:rStyle w:val="71"/>
                <w:rFonts w:hint="eastAsia" w:ascii="宋体" w:hAnsi="宋体" w:eastAsia="宋体" w:cs="宋体"/>
                <w:color w:val="auto"/>
                <w:sz w:val="21"/>
                <w:szCs w:val="21"/>
                <w:lang w:val="en-US" w:eastAsia="zh-CN"/>
              </w:rPr>
            </w:pPr>
            <w:r>
              <w:rPr>
                <w:rStyle w:val="71"/>
                <w:rFonts w:hint="eastAsia" w:cs="宋体"/>
                <w:color w:val="auto"/>
                <w:sz w:val="21"/>
                <w:szCs w:val="21"/>
                <w:lang w:val="en-US" w:eastAsia="zh-CN"/>
              </w:rPr>
              <w:t>4</w:t>
            </w:r>
            <w:r>
              <w:rPr>
                <w:rStyle w:val="71"/>
                <w:rFonts w:hint="eastAsia" w:ascii="宋体" w:hAnsi="宋体" w:eastAsia="宋体" w:cs="宋体"/>
                <w:color w:val="auto"/>
                <w:sz w:val="21"/>
                <w:szCs w:val="21"/>
                <w:lang w:val="en-US" w:eastAsia="zh-CN"/>
              </w:rPr>
              <w:t xml:space="preserve">.符合《财政部、司法部关于政府采购支持监狱企业发展有关问题的通知》（财库[2014]68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 </w:t>
            </w:r>
            <w:r>
              <w:rPr>
                <w:rStyle w:val="71"/>
                <w:rFonts w:hint="eastAsia" w:ascii="宋体" w:hAnsi="宋体" w:eastAsia="宋体" w:cs="宋体"/>
                <w:b/>
                <w:bCs/>
                <w:color w:val="auto"/>
                <w:sz w:val="21"/>
                <w:szCs w:val="21"/>
                <w:lang w:val="en-US" w:eastAsia="zh-CN"/>
              </w:rPr>
              <w:t>10%</w:t>
            </w:r>
            <w:r>
              <w:rPr>
                <w:rStyle w:val="71"/>
                <w:rFonts w:hint="eastAsia" w:cs="宋体"/>
                <w:b/>
                <w:bCs/>
                <w:color w:val="auto"/>
                <w:sz w:val="21"/>
                <w:szCs w:val="21"/>
                <w:lang w:val="en-US" w:eastAsia="zh-CN"/>
              </w:rPr>
              <w:t xml:space="preserve"> </w:t>
            </w:r>
            <w:r>
              <w:rPr>
                <w:rStyle w:val="71"/>
                <w:rFonts w:hint="eastAsia" w:ascii="宋体" w:hAnsi="宋体" w:eastAsia="宋体" w:cs="宋体"/>
                <w:color w:val="auto"/>
                <w:sz w:val="21"/>
                <w:szCs w:val="21"/>
                <w:lang w:val="en-US" w:eastAsia="zh-CN"/>
              </w:rPr>
              <w:t>的价格扣除扶持政策。</w:t>
            </w:r>
          </w:p>
          <w:p w14:paraId="392BDC7B">
            <w:pPr>
              <w:keepNext w:val="0"/>
              <w:keepLines w:val="0"/>
              <w:pageBreakBefore w:val="0"/>
              <w:widowControl w:val="0"/>
              <w:kinsoku/>
              <w:wordWrap w:val="0"/>
              <w:overflowPunct/>
              <w:topLinePunct w:val="0"/>
              <w:autoSpaceDE w:val="0"/>
              <w:autoSpaceDN w:val="0"/>
              <w:bidi w:val="0"/>
              <w:adjustRightInd/>
              <w:snapToGrid/>
              <w:spacing w:line="330" w:lineRule="exact"/>
              <w:ind w:left="0" w:right="0" w:firstLine="0"/>
              <w:textAlignment w:val="auto"/>
              <w:rPr>
                <w:rStyle w:val="71"/>
                <w:rFonts w:hint="eastAsia" w:ascii="宋体" w:hAnsi="宋体" w:eastAsia="宋体" w:cs="宋体"/>
                <w:color w:val="auto"/>
                <w:sz w:val="21"/>
                <w:szCs w:val="21"/>
                <w:lang w:val="en-US" w:eastAsia="zh-CN"/>
              </w:rPr>
            </w:pPr>
            <w:r>
              <w:rPr>
                <w:rStyle w:val="71"/>
                <w:rFonts w:hint="eastAsia" w:ascii="宋体" w:hAnsi="宋体" w:eastAsia="宋体" w:cs="宋体"/>
                <w:color w:val="auto"/>
                <w:sz w:val="21"/>
                <w:szCs w:val="21"/>
                <w:lang w:val="en-US" w:eastAsia="zh-CN"/>
              </w:rPr>
              <w:t>备注：（1）监狱企业证明文件：省级或以上监狱管理局、戒毒管理局（含新疆生产建设兵团）出具的属于监狱企业的证明文件。（2）如果提供其他监狱企业制造的货物，还须同时提供该企业为监狱企业的证明文件。</w:t>
            </w:r>
          </w:p>
          <w:p w14:paraId="140683F7">
            <w:pPr>
              <w:keepNext w:val="0"/>
              <w:keepLines w:val="0"/>
              <w:pageBreakBefore w:val="0"/>
              <w:widowControl w:val="0"/>
              <w:kinsoku/>
              <w:wordWrap w:val="0"/>
              <w:overflowPunct/>
              <w:topLinePunct w:val="0"/>
              <w:autoSpaceDE w:val="0"/>
              <w:autoSpaceDN w:val="0"/>
              <w:bidi w:val="0"/>
              <w:adjustRightInd/>
              <w:snapToGrid/>
              <w:spacing w:line="330" w:lineRule="exact"/>
              <w:ind w:left="0" w:right="0" w:firstLine="0"/>
              <w:textAlignment w:val="auto"/>
              <w:rPr>
                <w:rStyle w:val="71"/>
                <w:rFonts w:hint="eastAsia" w:ascii="宋体" w:hAnsi="宋体" w:eastAsia="宋体" w:cs="宋体"/>
                <w:color w:val="auto"/>
                <w:sz w:val="21"/>
                <w:szCs w:val="21"/>
                <w:lang w:val="en-US" w:eastAsia="zh-CN"/>
              </w:rPr>
            </w:pPr>
            <w:r>
              <w:rPr>
                <w:rStyle w:val="71"/>
                <w:rFonts w:hint="eastAsia" w:cs="宋体"/>
                <w:color w:val="auto"/>
                <w:sz w:val="21"/>
                <w:szCs w:val="21"/>
                <w:lang w:val="en-US" w:eastAsia="zh-CN"/>
              </w:rPr>
              <w:t>5</w:t>
            </w:r>
            <w:r>
              <w:rPr>
                <w:rStyle w:val="71"/>
                <w:rFonts w:hint="eastAsia" w:ascii="宋体" w:hAnsi="宋体" w:eastAsia="宋体" w:cs="宋体"/>
                <w:color w:val="auto"/>
                <w:sz w:val="21"/>
                <w:szCs w:val="21"/>
                <w:lang w:val="en-US" w:eastAsia="zh-CN"/>
              </w:rPr>
              <w:t xml:space="preserve">.符合《财政部、民政部、中国残疾人联合会关于促进残疾人就业政府采购政策的通知》（财库[2017]141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 </w:t>
            </w:r>
            <w:r>
              <w:rPr>
                <w:rStyle w:val="71"/>
                <w:rFonts w:hint="eastAsia" w:ascii="宋体" w:hAnsi="宋体" w:eastAsia="宋体" w:cs="宋体"/>
                <w:b/>
                <w:bCs/>
                <w:color w:val="auto"/>
                <w:sz w:val="21"/>
                <w:szCs w:val="21"/>
                <w:lang w:val="en-US" w:eastAsia="zh-CN"/>
              </w:rPr>
              <w:t>10%</w:t>
            </w:r>
            <w:r>
              <w:rPr>
                <w:rStyle w:val="71"/>
                <w:rFonts w:hint="eastAsia" w:cs="宋体"/>
                <w:b/>
                <w:bCs/>
                <w:color w:val="auto"/>
                <w:sz w:val="21"/>
                <w:szCs w:val="21"/>
                <w:lang w:val="en-US" w:eastAsia="zh-CN"/>
              </w:rPr>
              <w:t xml:space="preserve"> </w:t>
            </w:r>
            <w:r>
              <w:rPr>
                <w:rStyle w:val="71"/>
                <w:rFonts w:hint="eastAsia" w:ascii="宋体" w:hAnsi="宋体" w:eastAsia="宋体" w:cs="宋体"/>
                <w:color w:val="auto"/>
                <w:sz w:val="21"/>
                <w:szCs w:val="21"/>
                <w:lang w:val="en-US" w:eastAsia="zh-CN"/>
              </w:rPr>
              <w:t>价格扣除扶持政策。</w:t>
            </w:r>
          </w:p>
          <w:p w14:paraId="44405E55">
            <w:pPr>
              <w:keepNext w:val="0"/>
              <w:keepLines w:val="0"/>
              <w:pageBreakBefore w:val="0"/>
              <w:widowControl w:val="0"/>
              <w:kinsoku/>
              <w:wordWrap w:val="0"/>
              <w:overflowPunct/>
              <w:topLinePunct w:val="0"/>
              <w:autoSpaceDE w:val="0"/>
              <w:autoSpaceDN w:val="0"/>
              <w:bidi w:val="0"/>
              <w:adjustRightInd/>
              <w:snapToGrid/>
              <w:spacing w:line="330" w:lineRule="exact"/>
              <w:ind w:left="0" w:right="0" w:firstLine="0"/>
              <w:textAlignment w:val="auto"/>
              <w:rPr>
                <w:rStyle w:val="71"/>
                <w:rFonts w:hint="eastAsia" w:ascii="宋体" w:hAnsi="宋体" w:eastAsia="宋体" w:cs="宋体"/>
                <w:color w:val="auto"/>
                <w:sz w:val="21"/>
                <w:szCs w:val="21"/>
                <w:lang w:val="en-US" w:eastAsia="zh-CN"/>
              </w:rPr>
            </w:pPr>
            <w:r>
              <w:rPr>
                <w:rStyle w:val="71"/>
                <w:rFonts w:hint="eastAsia" w:ascii="宋体" w:hAnsi="宋体" w:eastAsia="宋体" w:cs="宋体"/>
                <w:color w:val="auto"/>
                <w:sz w:val="21"/>
                <w:szCs w:val="21"/>
                <w:lang w:val="en-US" w:eastAsia="zh-CN"/>
              </w:rPr>
              <w:t>备注：（1）残疾人福利性单位证明材料：残疾人福利性单位声明函。</w:t>
            </w:r>
          </w:p>
          <w:p w14:paraId="279109D4">
            <w:pPr>
              <w:keepNext w:val="0"/>
              <w:keepLines w:val="0"/>
              <w:pageBreakBefore w:val="0"/>
              <w:widowControl w:val="0"/>
              <w:kinsoku/>
              <w:wordWrap w:val="0"/>
              <w:overflowPunct/>
              <w:topLinePunct w:val="0"/>
              <w:autoSpaceDE w:val="0"/>
              <w:autoSpaceDN w:val="0"/>
              <w:bidi w:val="0"/>
              <w:adjustRightInd/>
              <w:snapToGrid/>
              <w:spacing w:line="330" w:lineRule="exact"/>
              <w:ind w:left="0" w:right="0" w:firstLine="0"/>
              <w:textAlignment w:val="auto"/>
              <w:rPr>
                <w:rFonts w:hint="eastAsia" w:ascii="宋体" w:hAnsi="宋体" w:eastAsia="宋体" w:cs="宋体"/>
                <w:color w:val="auto"/>
                <w:spacing w:val="0"/>
                <w:position w:val="0"/>
                <w:sz w:val="21"/>
                <w:szCs w:val="21"/>
                <w:highlight w:val="none"/>
                <w:lang w:eastAsia="zh-CN"/>
              </w:rPr>
            </w:pPr>
            <w:r>
              <w:rPr>
                <w:rStyle w:val="71"/>
                <w:rFonts w:hint="eastAsia" w:cs="宋体"/>
                <w:color w:val="auto"/>
                <w:sz w:val="21"/>
                <w:szCs w:val="21"/>
                <w:lang w:val="en-US" w:eastAsia="zh-CN"/>
              </w:rPr>
              <w:t>6.</w:t>
            </w:r>
            <w:r>
              <w:rPr>
                <w:rFonts w:hint="eastAsia" w:cs="宋体"/>
                <w:color w:val="auto"/>
                <w:sz w:val="22"/>
                <w:szCs w:val="22"/>
                <w:lang w:val="en-US" w:eastAsia="zh-CN"/>
              </w:rPr>
              <w:t xml:space="preserve">大中型企业与小微企业组成联合体的参与本项目投标的，对于联合协议约定小微企业的合同份额占到合同总金额30%以上的，对联合体报价给予 </w:t>
            </w:r>
            <w:r>
              <w:rPr>
                <w:rFonts w:hint="eastAsia" w:cs="宋体"/>
                <w:b/>
                <w:bCs/>
                <w:color w:val="auto"/>
                <w:sz w:val="22"/>
                <w:szCs w:val="22"/>
                <w:lang w:val="en-US" w:eastAsia="zh-CN"/>
              </w:rPr>
              <w:t xml:space="preserve">4% </w:t>
            </w:r>
            <w:r>
              <w:rPr>
                <w:rFonts w:hint="eastAsia" w:cs="宋体"/>
                <w:color w:val="auto"/>
                <w:sz w:val="22"/>
                <w:szCs w:val="22"/>
                <w:lang w:val="en-US" w:eastAsia="zh-CN"/>
              </w:rPr>
              <w:t>的扣除，用扣除后的价格</w:t>
            </w:r>
            <w:r>
              <w:rPr>
                <w:rStyle w:val="71"/>
                <w:rFonts w:hint="eastAsia" w:ascii="宋体" w:hAnsi="宋体" w:eastAsia="宋体" w:cs="宋体"/>
                <w:color w:val="auto"/>
                <w:sz w:val="21"/>
                <w:szCs w:val="21"/>
                <w:lang w:val="en-US" w:eastAsia="zh-CN"/>
              </w:rPr>
              <w:t>（即投标报价的 96% ）</w:t>
            </w:r>
            <w:r>
              <w:rPr>
                <w:rFonts w:hint="eastAsia" w:cs="宋体"/>
                <w:color w:val="auto"/>
                <w:sz w:val="22"/>
                <w:szCs w:val="22"/>
                <w:lang w:val="en-US" w:eastAsia="zh-CN"/>
              </w:rPr>
              <w:t>参加评审。组成联合体内的企业存在直接控股、管理关系的，不享受价格扣除优惠政策</w:t>
            </w:r>
            <w:r>
              <w:rPr>
                <w:rStyle w:val="71"/>
                <w:rFonts w:hint="eastAsia" w:cs="宋体"/>
                <w:color w:val="auto"/>
                <w:sz w:val="21"/>
                <w:szCs w:val="21"/>
                <w:lang w:val="en-US" w:eastAsia="zh-CN"/>
              </w:rPr>
              <w:t>。</w:t>
            </w:r>
          </w:p>
        </w:tc>
      </w:tr>
    </w:tbl>
    <w:p w14:paraId="3FE14E9C">
      <w:pPr>
        <w:keepNext w:val="0"/>
        <w:keepLines w:val="0"/>
        <w:pageBreakBefore w:val="0"/>
        <w:widowControl w:val="0"/>
        <w:kinsoku/>
        <w:wordWrap/>
        <w:overflowPunct/>
        <w:topLinePunct w:val="0"/>
        <w:autoSpaceDE w:val="0"/>
        <w:autoSpaceDN w:val="0"/>
        <w:bidi w:val="0"/>
        <w:adjustRightInd/>
        <w:snapToGrid/>
        <w:spacing w:line="100" w:lineRule="exact"/>
        <w:textAlignment w:val="auto"/>
        <w:rPr>
          <w:rFonts w:hint="eastAsia" w:cs="Arial" w:asciiTheme="minorEastAsia" w:hAnsiTheme="minorEastAsia" w:eastAsiaTheme="minorEastAsia"/>
          <w:b/>
          <w:color w:val="auto"/>
          <w:kern w:val="0"/>
          <w:sz w:val="22"/>
          <w:szCs w:val="21"/>
        </w:rPr>
      </w:pPr>
    </w:p>
    <w:p w14:paraId="40E4C627">
      <w:pPr>
        <w:adjustRightInd/>
        <w:spacing w:line="360" w:lineRule="auto"/>
        <w:ind w:firstLine="442" w:firstLineChars="200"/>
        <w:rPr>
          <w:rFonts w:cs="Arial" w:asciiTheme="minorEastAsia" w:hAnsiTheme="minorEastAsia" w:eastAsiaTheme="minorEastAsia"/>
          <w:b/>
          <w:color w:val="auto"/>
          <w:kern w:val="0"/>
          <w:sz w:val="22"/>
          <w:szCs w:val="21"/>
        </w:rPr>
      </w:pPr>
      <w:r>
        <w:rPr>
          <w:rFonts w:hint="eastAsia" w:cs="Arial" w:asciiTheme="minorEastAsia" w:hAnsiTheme="minorEastAsia" w:eastAsiaTheme="minorEastAsia"/>
          <w:b/>
          <w:color w:val="auto"/>
          <w:kern w:val="0"/>
          <w:sz w:val="22"/>
          <w:szCs w:val="21"/>
        </w:rPr>
        <w:t>备注：投标人编制投标文件（商务技术文件部分）时，建议按此目录（序号和内容）提供评标标准相应的商务技术资料。</w:t>
      </w:r>
    </w:p>
    <w:p w14:paraId="465C6D1C">
      <w:pPr>
        <w:adjustRightInd/>
        <w:spacing w:line="360" w:lineRule="auto"/>
        <w:rPr>
          <w:rFonts w:cs="Arial" w:asciiTheme="minorEastAsia" w:hAnsiTheme="minorEastAsia" w:eastAsiaTheme="minorEastAsia"/>
          <w:b/>
          <w:color w:val="auto"/>
          <w:kern w:val="0"/>
          <w:sz w:val="22"/>
          <w:szCs w:val="21"/>
        </w:rPr>
      </w:pPr>
    </w:p>
    <w:p w14:paraId="69767A36">
      <w:pPr>
        <w:pStyle w:val="69"/>
        <w:spacing w:before="0" w:line="360" w:lineRule="auto"/>
        <w:ind w:left="0" w:leftChars="0" w:firstLine="0" w:firstLineChars="0"/>
        <w:jc w:val="center"/>
        <w:rPr>
          <w:rFonts w:cs="仿宋_GB2312" w:asciiTheme="minorEastAsia" w:hAnsiTheme="minorEastAsia" w:eastAsiaTheme="minorEastAsia"/>
          <w:b/>
          <w:color w:val="auto"/>
          <w:sz w:val="22"/>
          <w:szCs w:val="18"/>
        </w:rPr>
      </w:pPr>
      <w:r>
        <w:rPr>
          <w:rFonts w:hint="eastAsia" w:cs="仿宋_GB2312" w:asciiTheme="minorEastAsia" w:hAnsiTheme="minorEastAsia" w:eastAsiaTheme="minorEastAsia"/>
          <w:b/>
          <w:color w:val="auto"/>
          <w:sz w:val="28"/>
          <w:szCs w:val="18"/>
        </w:rPr>
        <w:t>一、评标方法</w:t>
      </w:r>
    </w:p>
    <w:p w14:paraId="7B5DB4E0">
      <w:pPr>
        <w:adjustRightInd/>
        <w:spacing w:line="360" w:lineRule="auto"/>
        <w:ind w:firstLine="442" w:firstLineChars="200"/>
        <w:rPr>
          <w:rFonts w:cs="Arial" w:asciiTheme="minorEastAsia" w:hAnsiTheme="minorEastAsia" w:eastAsiaTheme="minorEastAsia"/>
          <w:color w:val="auto"/>
          <w:kern w:val="0"/>
          <w:sz w:val="22"/>
          <w:szCs w:val="21"/>
        </w:rPr>
      </w:pPr>
      <w:r>
        <w:rPr>
          <w:rFonts w:hint="eastAsia" w:cs="Arial" w:asciiTheme="minorEastAsia" w:hAnsiTheme="minorEastAsia" w:eastAsiaTheme="minorEastAsia"/>
          <w:b/>
          <w:bCs/>
          <w:color w:val="auto"/>
          <w:kern w:val="0"/>
          <w:sz w:val="22"/>
          <w:szCs w:val="21"/>
        </w:rPr>
        <w:t>1.本项目采用综合评分法。</w:t>
      </w:r>
      <w:r>
        <w:rPr>
          <w:rFonts w:hint="eastAsia" w:cs="Arial" w:asciiTheme="minorEastAsia" w:hAnsiTheme="minorEastAsia" w:eastAsiaTheme="minorEastAsia"/>
          <w:color w:val="auto"/>
          <w:kern w:val="0"/>
          <w:sz w:val="22"/>
          <w:szCs w:val="21"/>
        </w:rPr>
        <w:t>综合评分法，是指投标文件满足招标文件全部实质性要求，且按照评审因素的量化指标评审得分最高的投标人为中标候选人的评标方法。</w:t>
      </w:r>
    </w:p>
    <w:p w14:paraId="71636E73">
      <w:pPr>
        <w:snapToGrid w:val="0"/>
        <w:spacing w:line="360" w:lineRule="auto"/>
        <w:jc w:val="center"/>
        <w:rPr>
          <w:rFonts w:cs="仿宋_GB2312" w:asciiTheme="minorEastAsia" w:hAnsiTheme="minorEastAsia" w:eastAsiaTheme="minorEastAsia"/>
          <w:b/>
          <w:color w:val="auto"/>
          <w:sz w:val="28"/>
          <w:szCs w:val="21"/>
        </w:rPr>
      </w:pPr>
      <w:r>
        <w:rPr>
          <w:rFonts w:hint="eastAsia" w:cs="仿宋_GB2312" w:asciiTheme="minorEastAsia" w:hAnsiTheme="minorEastAsia" w:eastAsiaTheme="minorEastAsia"/>
          <w:b/>
          <w:color w:val="auto"/>
          <w:sz w:val="28"/>
          <w:szCs w:val="21"/>
        </w:rPr>
        <w:t>二、评标标准</w:t>
      </w:r>
    </w:p>
    <w:p w14:paraId="741676BA">
      <w:pPr>
        <w:pStyle w:val="69"/>
        <w:spacing w:before="0" w:line="360" w:lineRule="auto"/>
        <w:ind w:firstLine="480" w:firstLineChars="0"/>
        <w:rPr>
          <w:rFonts w:cs="Arial" w:asciiTheme="minorEastAsia" w:hAnsiTheme="minorEastAsia" w:eastAsiaTheme="minorEastAsia"/>
          <w:color w:val="auto"/>
          <w:kern w:val="0"/>
          <w:sz w:val="22"/>
          <w:szCs w:val="18"/>
        </w:rPr>
      </w:pPr>
      <w:r>
        <w:rPr>
          <w:rFonts w:hint="eastAsia" w:cs="Arial" w:asciiTheme="minorEastAsia" w:hAnsiTheme="minorEastAsia" w:eastAsiaTheme="minorEastAsia"/>
          <w:color w:val="auto"/>
          <w:kern w:val="0"/>
          <w:sz w:val="22"/>
          <w:szCs w:val="18"/>
        </w:rPr>
        <w:t>2.评标标准：见评标办法前附表。</w:t>
      </w:r>
    </w:p>
    <w:p w14:paraId="2600F0CB">
      <w:pPr>
        <w:snapToGrid w:val="0"/>
        <w:spacing w:line="360" w:lineRule="auto"/>
        <w:jc w:val="center"/>
        <w:rPr>
          <w:rFonts w:asciiTheme="minorEastAsia" w:hAnsiTheme="minorEastAsia" w:eastAsiaTheme="minorEastAsia"/>
          <w:b/>
          <w:color w:val="auto"/>
          <w:sz w:val="28"/>
          <w:szCs w:val="28"/>
        </w:rPr>
      </w:pPr>
      <w:r>
        <w:rPr>
          <w:rFonts w:hint="eastAsia" w:cs="仿宋_GB2312" w:asciiTheme="minorEastAsia" w:hAnsiTheme="minorEastAsia" w:eastAsiaTheme="minorEastAsia"/>
          <w:b/>
          <w:color w:val="auto"/>
          <w:sz w:val="28"/>
          <w:szCs w:val="21"/>
        </w:rPr>
        <w:t>三、评标程序</w:t>
      </w:r>
    </w:p>
    <w:p w14:paraId="2186195B">
      <w:pPr>
        <w:pStyle w:val="69"/>
        <w:spacing w:before="0" w:line="360" w:lineRule="auto"/>
        <w:ind w:firstLine="480"/>
        <w:rPr>
          <w:rFonts w:hint="eastAsia" w:asciiTheme="minorEastAsia" w:hAnsiTheme="minorEastAsia" w:eastAsiaTheme="minorEastAsia"/>
          <w:color w:val="auto"/>
          <w:sz w:val="22"/>
          <w:szCs w:val="18"/>
          <w:lang w:val="en-US" w:eastAsia="zh-CN"/>
        </w:rPr>
      </w:pPr>
      <w:r>
        <w:rPr>
          <w:rFonts w:hint="eastAsia" w:asciiTheme="minorEastAsia" w:hAnsiTheme="minorEastAsia" w:eastAsiaTheme="minorEastAsia"/>
          <w:color w:val="auto"/>
          <w:sz w:val="22"/>
          <w:szCs w:val="18"/>
          <w:lang w:val="en-US" w:eastAsia="zh-CN"/>
        </w:rPr>
        <w:t>3.1 资格审查。资格审查小组应当对投标截止时间前完成上传并在规定时间内进行解密的投标人进行资格审查。不满足资格要求的，投标无效。</w:t>
      </w:r>
    </w:p>
    <w:p w14:paraId="5BC411E2">
      <w:pPr>
        <w:pStyle w:val="69"/>
        <w:spacing w:before="0" w:line="360" w:lineRule="auto"/>
        <w:ind w:firstLine="480"/>
        <w:rPr>
          <w:rFonts w:hint="default" w:cs="宋体" w:asciiTheme="minorEastAsia" w:hAnsiTheme="minorEastAsia" w:eastAsiaTheme="minorEastAsia"/>
          <w:color w:val="auto"/>
          <w:sz w:val="22"/>
          <w:szCs w:val="18"/>
          <w:lang w:val="en-US" w:eastAsia="zh-CN"/>
        </w:rPr>
      </w:pPr>
      <w:r>
        <w:rPr>
          <w:rFonts w:hint="eastAsia" w:cs="宋体" w:asciiTheme="minorEastAsia" w:hAnsiTheme="minorEastAsia" w:eastAsiaTheme="minorEastAsia"/>
          <w:b/>
          <w:bCs/>
          <w:color w:val="auto"/>
          <w:sz w:val="22"/>
          <w:szCs w:val="18"/>
          <w:lang w:val="en-US" w:eastAsia="zh-CN"/>
        </w:rPr>
        <w:t>同时将以询标形式要求投标人 30 分钟内回复（上传）《政府采购活动现场确认声明书》（附件4），未按时回复默认均无利害关系。</w:t>
      </w:r>
    </w:p>
    <w:p w14:paraId="3BD7EEEC">
      <w:pPr>
        <w:pStyle w:val="69"/>
        <w:spacing w:before="0" w:line="360" w:lineRule="auto"/>
        <w:ind w:firstLine="480"/>
        <w:rPr>
          <w:rFonts w:hint="eastAsia"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3.</w:t>
      </w:r>
      <w:r>
        <w:rPr>
          <w:rFonts w:hint="eastAsia" w:asciiTheme="minorEastAsia" w:hAnsiTheme="minorEastAsia" w:eastAsiaTheme="minorEastAsia"/>
          <w:color w:val="auto"/>
          <w:sz w:val="22"/>
          <w:szCs w:val="18"/>
          <w:lang w:val="en-US" w:eastAsia="zh-CN"/>
        </w:rPr>
        <w:t xml:space="preserve">2 </w:t>
      </w:r>
      <w:r>
        <w:rPr>
          <w:rFonts w:hint="eastAsia" w:asciiTheme="minorEastAsia" w:hAnsiTheme="minorEastAsia" w:eastAsiaTheme="minorEastAsia"/>
          <w:color w:val="auto"/>
          <w:sz w:val="22"/>
          <w:szCs w:val="18"/>
        </w:rPr>
        <w:t>符合性审查。评标委员会应当对符合资格的投标人的投标文件进行符合性审查，以确定其是否满足招标文件的实质性要求。不满足招标文件的实质性要求的，投标无效。</w:t>
      </w:r>
    </w:p>
    <w:p w14:paraId="5C04643C">
      <w:pPr>
        <w:pStyle w:val="69"/>
        <w:spacing w:before="0" w:line="360" w:lineRule="auto"/>
        <w:ind w:firstLine="480"/>
        <w:rPr>
          <w:rFonts w:hint="eastAsia"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3.</w:t>
      </w:r>
      <w:r>
        <w:rPr>
          <w:rFonts w:hint="eastAsia" w:asciiTheme="minorEastAsia" w:hAnsiTheme="minorEastAsia" w:eastAsiaTheme="minorEastAsia"/>
          <w:color w:val="auto"/>
          <w:sz w:val="22"/>
          <w:szCs w:val="18"/>
          <w:lang w:val="en-US" w:eastAsia="zh-CN"/>
        </w:rPr>
        <w:t>3</w:t>
      </w:r>
      <w:r>
        <w:rPr>
          <w:rFonts w:hint="eastAsia" w:asciiTheme="minorEastAsia" w:hAnsiTheme="minorEastAsia" w:eastAsiaTheme="minorEastAsia"/>
          <w:color w:val="auto"/>
          <w:sz w:val="22"/>
          <w:szCs w:val="18"/>
        </w:rPr>
        <w:t xml:space="preserve"> 比较与评价。评标委员会应当按照招标文件中规定的评标方法和标准，对符合性审查合格的投标文件进行商务和技术评估，综合比较与评价。</w:t>
      </w:r>
    </w:p>
    <w:p w14:paraId="561F77B5">
      <w:pPr>
        <w:pStyle w:val="69"/>
        <w:spacing w:before="0"/>
        <w:ind w:firstLine="480"/>
        <w:rPr>
          <w:rFonts w:hint="eastAsia"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3.</w:t>
      </w:r>
      <w:r>
        <w:rPr>
          <w:rFonts w:hint="eastAsia" w:asciiTheme="minorEastAsia" w:hAnsiTheme="minorEastAsia" w:eastAsiaTheme="minorEastAsia"/>
          <w:color w:val="auto"/>
          <w:sz w:val="22"/>
          <w:szCs w:val="18"/>
          <w:lang w:val="en-US" w:eastAsia="zh-CN"/>
        </w:rPr>
        <w:t xml:space="preserve">4 </w:t>
      </w:r>
      <w:r>
        <w:rPr>
          <w:rFonts w:hint="eastAsia" w:asciiTheme="minorEastAsia" w:hAnsiTheme="minorEastAsia" w:eastAsiaTheme="minorEastAsia"/>
          <w:color w:val="auto"/>
          <w:sz w:val="22"/>
          <w:szCs w:val="18"/>
        </w:rPr>
        <w:t>汇总商务技术得分。评标委员会各成员应当独立对每个投标人的商务和技术文件进行评价，并汇总商务技术得分情况。</w:t>
      </w:r>
    </w:p>
    <w:p w14:paraId="4E010ACC">
      <w:pPr>
        <w:pStyle w:val="69"/>
        <w:spacing w:before="0"/>
        <w:ind w:firstLine="480"/>
        <w:rPr>
          <w:rFonts w:hint="eastAsia"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3.</w:t>
      </w:r>
      <w:r>
        <w:rPr>
          <w:rFonts w:hint="eastAsia" w:asciiTheme="minorEastAsia" w:hAnsiTheme="minorEastAsia" w:eastAsiaTheme="minorEastAsia"/>
          <w:color w:val="auto"/>
          <w:sz w:val="22"/>
          <w:szCs w:val="18"/>
          <w:lang w:val="en-US" w:eastAsia="zh-CN"/>
        </w:rPr>
        <w:t xml:space="preserve">5 </w:t>
      </w:r>
      <w:r>
        <w:rPr>
          <w:rFonts w:hint="eastAsia" w:asciiTheme="minorEastAsia" w:hAnsiTheme="minorEastAsia" w:eastAsiaTheme="minorEastAsia"/>
          <w:color w:val="auto"/>
          <w:sz w:val="22"/>
          <w:szCs w:val="18"/>
        </w:rPr>
        <w:t>报价评审。</w:t>
      </w:r>
    </w:p>
    <w:p w14:paraId="470787AE">
      <w:pPr>
        <w:pStyle w:val="69"/>
        <w:spacing w:before="0"/>
        <w:ind w:firstLine="480"/>
        <w:rPr>
          <w:rFonts w:hint="eastAsia" w:asciiTheme="minorEastAsia" w:hAnsiTheme="minorEastAsia" w:eastAsiaTheme="minorEastAsia"/>
          <w:color w:val="auto"/>
          <w:sz w:val="22"/>
          <w:szCs w:val="18"/>
        </w:rPr>
      </w:pPr>
      <w:r>
        <w:rPr>
          <w:rFonts w:hint="eastAsia" w:asciiTheme="minorEastAsia" w:hAnsiTheme="minorEastAsia" w:eastAsiaTheme="minorEastAsia"/>
          <w:color w:val="auto"/>
          <w:sz w:val="22"/>
          <w:szCs w:val="18"/>
          <w:lang w:eastAsia="zh-CN"/>
        </w:rPr>
        <w:t>3.5.1</w:t>
      </w:r>
      <w:r>
        <w:rPr>
          <w:rFonts w:hint="eastAsia" w:asciiTheme="minorEastAsia" w:hAnsiTheme="minorEastAsia" w:eastAsiaTheme="minorEastAsia"/>
          <w:color w:val="auto"/>
          <w:sz w:val="22"/>
          <w:szCs w:val="18"/>
          <w:lang w:val="en-US" w:eastAsia="zh-CN"/>
        </w:rPr>
        <w:t xml:space="preserve"> </w:t>
      </w:r>
      <w:r>
        <w:rPr>
          <w:rFonts w:hint="eastAsia" w:asciiTheme="minorEastAsia" w:hAnsiTheme="minorEastAsia" w:eastAsiaTheme="minorEastAsia"/>
          <w:color w:val="auto"/>
          <w:sz w:val="22"/>
          <w:szCs w:val="18"/>
        </w:rPr>
        <w:t>投标文件报价出现前后不一致的，按照下列规定修正：</w:t>
      </w:r>
    </w:p>
    <w:p w14:paraId="1D32E9E6">
      <w:pPr>
        <w:pStyle w:val="69"/>
        <w:spacing w:before="0"/>
        <w:ind w:firstLine="480"/>
        <w:rPr>
          <w:rFonts w:hint="eastAsia" w:asciiTheme="minorEastAsia" w:hAnsiTheme="minorEastAsia" w:eastAsiaTheme="minorEastAsia"/>
          <w:color w:val="auto"/>
          <w:sz w:val="22"/>
          <w:szCs w:val="18"/>
          <w:lang w:eastAsia="zh-CN"/>
        </w:rPr>
      </w:pPr>
      <w:r>
        <w:rPr>
          <w:rFonts w:hint="eastAsia" w:asciiTheme="minorEastAsia" w:hAnsiTheme="minorEastAsia" w:eastAsiaTheme="minorEastAsia"/>
          <w:color w:val="auto"/>
          <w:sz w:val="22"/>
          <w:szCs w:val="18"/>
          <w:lang w:eastAsia="zh-CN"/>
        </w:rPr>
        <w:t>3.5.1</w:t>
      </w:r>
      <w:r>
        <w:rPr>
          <w:rFonts w:hint="eastAsia" w:asciiTheme="minorEastAsia" w:hAnsiTheme="minorEastAsia" w:eastAsiaTheme="minorEastAsia"/>
          <w:color w:val="auto"/>
          <w:sz w:val="22"/>
          <w:szCs w:val="18"/>
        </w:rPr>
        <w:t>.1</w:t>
      </w:r>
      <w:r>
        <w:rPr>
          <w:rFonts w:hint="eastAsia" w:asciiTheme="minorEastAsia" w:hAnsiTheme="minorEastAsia" w:eastAsiaTheme="minorEastAsia"/>
          <w:color w:val="auto"/>
          <w:sz w:val="22"/>
          <w:szCs w:val="18"/>
          <w:lang w:val="en-US" w:eastAsia="zh-CN"/>
        </w:rPr>
        <w:t xml:space="preserve"> </w:t>
      </w:r>
      <w:r>
        <w:rPr>
          <w:rFonts w:hint="eastAsia" w:asciiTheme="minorEastAsia" w:hAnsiTheme="minorEastAsia" w:eastAsiaTheme="minorEastAsia"/>
          <w:color w:val="auto"/>
          <w:sz w:val="22"/>
          <w:szCs w:val="18"/>
        </w:rPr>
        <w:t>投标文件中开标一览表(报价表)内容与投标文件中相应内容不一致的，以开标一览表(报价表)为准</w:t>
      </w:r>
      <w:r>
        <w:rPr>
          <w:rFonts w:hint="eastAsia" w:asciiTheme="minorEastAsia" w:hAnsiTheme="minorEastAsia" w:eastAsiaTheme="minorEastAsia"/>
          <w:color w:val="auto"/>
          <w:sz w:val="22"/>
          <w:szCs w:val="18"/>
          <w:lang w:eastAsia="zh-CN"/>
        </w:rPr>
        <w:t>；</w:t>
      </w:r>
    </w:p>
    <w:p w14:paraId="60A6B2F0">
      <w:pPr>
        <w:pStyle w:val="69"/>
        <w:spacing w:before="0"/>
        <w:ind w:firstLine="480"/>
        <w:rPr>
          <w:rFonts w:hint="eastAsia" w:asciiTheme="minorEastAsia" w:hAnsiTheme="minorEastAsia" w:eastAsiaTheme="minorEastAsia"/>
          <w:color w:val="auto"/>
          <w:sz w:val="22"/>
          <w:szCs w:val="18"/>
          <w:lang w:eastAsia="zh-CN"/>
        </w:rPr>
      </w:pPr>
      <w:r>
        <w:rPr>
          <w:rFonts w:hint="eastAsia" w:asciiTheme="minorEastAsia" w:hAnsiTheme="minorEastAsia" w:eastAsiaTheme="minorEastAsia"/>
          <w:color w:val="auto"/>
          <w:sz w:val="22"/>
          <w:szCs w:val="18"/>
          <w:lang w:eastAsia="zh-CN"/>
        </w:rPr>
        <w:t>3.5.1</w:t>
      </w:r>
      <w:r>
        <w:rPr>
          <w:rFonts w:hint="eastAsia" w:asciiTheme="minorEastAsia" w:hAnsiTheme="minorEastAsia" w:eastAsiaTheme="minorEastAsia"/>
          <w:color w:val="auto"/>
          <w:sz w:val="22"/>
          <w:szCs w:val="18"/>
        </w:rPr>
        <w:t>.2</w:t>
      </w:r>
      <w:r>
        <w:rPr>
          <w:rFonts w:hint="eastAsia" w:asciiTheme="minorEastAsia" w:hAnsiTheme="minorEastAsia" w:eastAsiaTheme="minorEastAsia"/>
          <w:color w:val="auto"/>
          <w:sz w:val="22"/>
          <w:szCs w:val="18"/>
          <w:lang w:val="en-US" w:eastAsia="zh-CN"/>
        </w:rPr>
        <w:t xml:space="preserve"> </w:t>
      </w:r>
      <w:r>
        <w:rPr>
          <w:rFonts w:hint="eastAsia" w:asciiTheme="minorEastAsia" w:hAnsiTheme="minorEastAsia" w:eastAsiaTheme="minorEastAsia"/>
          <w:color w:val="auto"/>
          <w:sz w:val="22"/>
          <w:szCs w:val="18"/>
        </w:rPr>
        <w:t>大写金额和小写金额不一致的，以大写金额为准</w:t>
      </w:r>
      <w:r>
        <w:rPr>
          <w:rFonts w:hint="eastAsia" w:asciiTheme="minorEastAsia" w:hAnsiTheme="minorEastAsia" w:eastAsiaTheme="minorEastAsia"/>
          <w:color w:val="auto"/>
          <w:sz w:val="22"/>
          <w:szCs w:val="18"/>
          <w:lang w:eastAsia="zh-CN"/>
        </w:rPr>
        <w:t>；</w:t>
      </w:r>
    </w:p>
    <w:p w14:paraId="02F18515">
      <w:pPr>
        <w:pStyle w:val="69"/>
        <w:spacing w:before="0"/>
        <w:ind w:firstLine="480"/>
        <w:rPr>
          <w:rFonts w:hint="eastAsia" w:asciiTheme="minorEastAsia" w:hAnsiTheme="minorEastAsia" w:eastAsiaTheme="minorEastAsia"/>
          <w:color w:val="auto"/>
          <w:sz w:val="22"/>
          <w:szCs w:val="18"/>
          <w:lang w:eastAsia="zh-CN"/>
        </w:rPr>
      </w:pPr>
      <w:r>
        <w:rPr>
          <w:rFonts w:hint="eastAsia" w:asciiTheme="minorEastAsia" w:hAnsiTheme="minorEastAsia" w:eastAsiaTheme="minorEastAsia"/>
          <w:color w:val="auto"/>
          <w:sz w:val="22"/>
          <w:szCs w:val="18"/>
          <w:lang w:eastAsia="zh-CN"/>
        </w:rPr>
        <w:t>3.5.1</w:t>
      </w:r>
      <w:r>
        <w:rPr>
          <w:rFonts w:hint="eastAsia" w:asciiTheme="minorEastAsia" w:hAnsiTheme="minorEastAsia" w:eastAsiaTheme="minorEastAsia"/>
          <w:color w:val="auto"/>
          <w:sz w:val="22"/>
          <w:szCs w:val="18"/>
        </w:rPr>
        <w:t>.3</w:t>
      </w:r>
      <w:r>
        <w:rPr>
          <w:rFonts w:hint="eastAsia" w:asciiTheme="minorEastAsia" w:hAnsiTheme="minorEastAsia" w:eastAsiaTheme="minorEastAsia"/>
          <w:color w:val="auto"/>
          <w:sz w:val="22"/>
          <w:szCs w:val="18"/>
          <w:lang w:val="en-US" w:eastAsia="zh-CN"/>
        </w:rPr>
        <w:t xml:space="preserve"> </w:t>
      </w:r>
      <w:r>
        <w:rPr>
          <w:rFonts w:hint="eastAsia" w:asciiTheme="minorEastAsia" w:hAnsiTheme="minorEastAsia" w:eastAsiaTheme="minorEastAsia"/>
          <w:color w:val="auto"/>
          <w:sz w:val="22"/>
          <w:szCs w:val="18"/>
        </w:rPr>
        <w:t>单价金额小数点或者百分比有明显错位的，以开标一览表的总价为准，并修改单价</w:t>
      </w:r>
      <w:r>
        <w:rPr>
          <w:rFonts w:hint="eastAsia" w:asciiTheme="minorEastAsia" w:hAnsiTheme="minorEastAsia" w:eastAsiaTheme="minorEastAsia"/>
          <w:color w:val="auto"/>
          <w:sz w:val="22"/>
          <w:szCs w:val="18"/>
          <w:lang w:eastAsia="zh-CN"/>
        </w:rPr>
        <w:t>；</w:t>
      </w:r>
    </w:p>
    <w:p w14:paraId="3F778D47">
      <w:pPr>
        <w:pStyle w:val="69"/>
        <w:spacing w:before="0"/>
        <w:ind w:firstLine="480"/>
        <w:rPr>
          <w:rFonts w:hint="eastAsia" w:asciiTheme="minorEastAsia" w:hAnsiTheme="minorEastAsia" w:eastAsiaTheme="minorEastAsia"/>
          <w:color w:val="auto"/>
          <w:sz w:val="22"/>
          <w:szCs w:val="18"/>
        </w:rPr>
      </w:pPr>
      <w:r>
        <w:rPr>
          <w:rFonts w:hint="eastAsia" w:asciiTheme="minorEastAsia" w:hAnsiTheme="minorEastAsia" w:eastAsiaTheme="minorEastAsia"/>
          <w:color w:val="auto"/>
          <w:sz w:val="22"/>
          <w:szCs w:val="18"/>
          <w:lang w:eastAsia="zh-CN"/>
        </w:rPr>
        <w:t>3.5.1</w:t>
      </w:r>
      <w:r>
        <w:rPr>
          <w:rFonts w:hint="eastAsia" w:asciiTheme="minorEastAsia" w:hAnsiTheme="minorEastAsia" w:eastAsiaTheme="minorEastAsia"/>
          <w:color w:val="auto"/>
          <w:sz w:val="22"/>
          <w:szCs w:val="18"/>
        </w:rPr>
        <w:t>.4</w:t>
      </w:r>
      <w:r>
        <w:rPr>
          <w:rFonts w:hint="eastAsia" w:asciiTheme="minorEastAsia" w:hAnsiTheme="minorEastAsia" w:eastAsiaTheme="minorEastAsia"/>
          <w:color w:val="auto"/>
          <w:sz w:val="22"/>
          <w:szCs w:val="18"/>
          <w:lang w:val="en-US" w:eastAsia="zh-CN"/>
        </w:rPr>
        <w:t xml:space="preserve"> </w:t>
      </w:r>
      <w:r>
        <w:rPr>
          <w:rFonts w:hint="eastAsia" w:asciiTheme="minorEastAsia" w:hAnsiTheme="minorEastAsia" w:eastAsiaTheme="minorEastAsia"/>
          <w:color w:val="auto"/>
          <w:sz w:val="22"/>
          <w:szCs w:val="18"/>
        </w:rPr>
        <w:t>总价金额与按单价汇总金额不一致的，以单价金额计算结果为准。</w:t>
      </w:r>
    </w:p>
    <w:p w14:paraId="594E1524">
      <w:pPr>
        <w:pStyle w:val="69"/>
        <w:spacing w:before="0"/>
        <w:ind w:firstLine="480"/>
        <w:rPr>
          <w:rFonts w:hint="eastAsia" w:asciiTheme="minorEastAsia" w:hAnsiTheme="minorEastAsia" w:eastAsiaTheme="minorEastAsia"/>
          <w:color w:val="auto"/>
          <w:sz w:val="22"/>
          <w:szCs w:val="18"/>
        </w:rPr>
      </w:pPr>
      <w:r>
        <w:rPr>
          <w:rFonts w:hint="eastAsia" w:asciiTheme="minorEastAsia" w:hAnsiTheme="minorEastAsia" w:eastAsiaTheme="minorEastAsia"/>
          <w:color w:val="auto"/>
          <w:sz w:val="22"/>
          <w:szCs w:val="18"/>
          <w:lang w:eastAsia="zh-CN"/>
        </w:rPr>
        <w:t>3.5.1</w:t>
      </w:r>
      <w:r>
        <w:rPr>
          <w:rFonts w:hint="eastAsia" w:asciiTheme="minorEastAsia" w:hAnsiTheme="minorEastAsia" w:eastAsiaTheme="minorEastAsia"/>
          <w:color w:val="auto"/>
          <w:sz w:val="22"/>
          <w:szCs w:val="18"/>
        </w:rPr>
        <w:t>.5</w:t>
      </w:r>
      <w:r>
        <w:rPr>
          <w:rFonts w:hint="eastAsia" w:asciiTheme="minorEastAsia" w:hAnsiTheme="minorEastAsia" w:eastAsiaTheme="minorEastAsia"/>
          <w:color w:val="auto"/>
          <w:sz w:val="22"/>
          <w:szCs w:val="18"/>
          <w:lang w:val="en-US" w:eastAsia="zh-CN"/>
        </w:rPr>
        <w:t xml:space="preserve"> </w:t>
      </w:r>
      <w:r>
        <w:rPr>
          <w:rFonts w:hint="eastAsia" w:asciiTheme="minorEastAsia" w:hAnsiTheme="minorEastAsia" w:eastAsiaTheme="minorEastAsia"/>
          <w:color w:val="auto"/>
          <w:sz w:val="22"/>
          <w:szCs w:val="18"/>
        </w:rPr>
        <w:t>同时出现两种以上不一致的，按照3.</w:t>
      </w:r>
      <w:r>
        <w:rPr>
          <w:rFonts w:hint="eastAsia" w:asciiTheme="minorEastAsia" w:hAnsiTheme="minorEastAsia" w:eastAsiaTheme="minorEastAsia"/>
          <w:color w:val="auto"/>
          <w:sz w:val="22"/>
          <w:szCs w:val="18"/>
          <w:lang w:val="en-US" w:eastAsia="zh-CN"/>
        </w:rPr>
        <w:t>5</w:t>
      </w:r>
      <w:r>
        <w:rPr>
          <w:rFonts w:hint="eastAsia" w:asciiTheme="minorEastAsia" w:hAnsiTheme="minorEastAsia" w:eastAsiaTheme="minorEastAsia"/>
          <w:color w:val="auto"/>
          <w:sz w:val="22"/>
          <w:szCs w:val="18"/>
        </w:rPr>
        <w:t>.1规定的顺序修正。修正后的报价按照财政部第87号令 《政府采购货物和服务招标投标管理办法》第五十一条第二款的规定经投标人确认后产生约束力。</w:t>
      </w:r>
    </w:p>
    <w:p w14:paraId="57282DCA">
      <w:pPr>
        <w:pStyle w:val="69"/>
        <w:spacing w:before="0"/>
        <w:ind w:firstLine="480"/>
        <w:rPr>
          <w:rFonts w:hint="eastAsia"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3.</w:t>
      </w:r>
      <w:r>
        <w:rPr>
          <w:rFonts w:hint="eastAsia" w:asciiTheme="minorEastAsia" w:hAnsiTheme="minorEastAsia" w:eastAsiaTheme="minorEastAsia"/>
          <w:color w:val="auto"/>
          <w:sz w:val="22"/>
          <w:szCs w:val="18"/>
          <w:lang w:val="en-US" w:eastAsia="zh-CN"/>
        </w:rPr>
        <w:t>5</w:t>
      </w:r>
      <w:r>
        <w:rPr>
          <w:rFonts w:hint="eastAsia" w:asciiTheme="minorEastAsia" w:hAnsiTheme="minorEastAsia" w:eastAsiaTheme="minorEastAsia"/>
          <w:color w:val="auto"/>
          <w:sz w:val="22"/>
          <w:szCs w:val="18"/>
        </w:rPr>
        <w:t>.2</w:t>
      </w:r>
      <w:r>
        <w:rPr>
          <w:rFonts w:hint="eastAsia" w:asciiTheme="minorEastAsia" w:hAnsiTheme="minorEastAsia" w:eastAsiaTheme="minorEastAsia"/>
          <w:color w:val="auto"/>
          <w:sz w:val="22"/>
          <w:szCs w:val="18"/>
          <w:lang w:val="en-US" w:eastAsia="zh-CN"/>
        </w:rPr>
        <w:t xml:space="preserve"> </w:t>
      </w:r>
      <w:r>
        <w:rPr>
          <w:rFonts w:hint="eastAsia" w:asciiTheme="minorEastAsia" w:hAnsiTheme="minorEastAsia" w:eastAsiaTheme="minorEastAsia"/>
          <w:color w:val="auto"/>
          <w:sz w:val="22"/>
          <w:szCs w:val="18"/>
        </w:rPr>
        <w:t>投标文件出现不是唯一的、有选择性投标报价的，投标无效。</w:t>
      </w:r>
    </w:p>
    <w:p w14:paraId="50899147">
      <w:pPr>
        <w:pStyle w:val="69"/>
        <w:spacing w:before="0"/>
        <w:ind w:firstLine="480"/>
        <w:rPr>
          <w:rFonts w:hint="eastAsia"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3.</w:t>
      </w:r>
      <w:r>
        <w:rPr>
          <w:rFonts w:hint="eastAsia" w:asciiTheme="minorEastAsia" w:hAnsiTheme="minorEastAsia" w:eastAsiaTheme="minorEastAsia"/>
          <w:color w:val="auto"/>
          <w:sz w:val="22"/>
          <w:szCs w:val="18"/>
          <w:lang w:val="en-US" w:eastAsia="zh-CN"/>
        </w:rPr>
        <w:t>5</w:t>
      </w:r>
      <w:r>
        <w:rPr>
          <w:rFonts w:hint="eastAsia" w:asciiTheme="minorEastAsia" w:hAnsiTheme="minorEastAsia" w:eastAsiaTheme="minorEastAsia"/>
          <w:color w:val="auto"/>
          <w:sz w:val="22"/>
          <w:szCs w:val="18"/>
        </w:rPr>
        <w:t>.3</w:t>
      </w:r>
      <w:r>
        <w:rPr>
          <w:rFonts w:hint="eastAsia" w:asciiTheme="minorEastAsia" w:hAnsiTheme="minorEastAsia" w:eastAsiaTheme="minorEastAsia"/>
          <w:color w:val="auto"/>
          <w:sz w:val="22"/>
          <w:szCs w:val="18"/>
          <w:lang w:val="en-US" w:eastAsia="zh-CN"/>
        </w:rPr>
        <w:t xml:space="preserve"> </w:t>
      </w:r>
      <w:r>
        <w:rPr>
          <w:rFonts w:hint="eastAsia" w:asciiTheme="minorEastAsia" w:hAnsiTheme="minorEastAsia" w:eastAsiaTheme="minorEastAsia"/>
          <w:color w:val="auto"/>
          <w:sz w:val="22"/>
          <w:szCs w:val="18"/>
        </w:rPr>
        <w:t>投标报价</w:t>
      </w:r>
      <w:r>
        <w:rPr>
          <w:rFonts w:hint="eastAsia" w:asciiTheme="minorEastAsia" w:hAnsiTheme="minorEastAsia" w:eastAsiaTheme="minorEastAsia"/>
          <w:color w:val="auto"/>
          <w:sz w:val="22"/>
          <w:szCs w:val="18"/>
          <w:lang w:eastAsia="zh-CN"/>
        </w:rPr>
        <w:t>（</w:t>
      </w:r>
      <w:r>
        <w:rPr>
          <w:rFonts w:hint="eastAsia" w:asciiTheme="minorEastAsia" w:hAnsiTheme="minorEastAsia" w:eastAsiaTheme="minorEastAsia"/>
          <w:color w:val="auto"/>
          <w:sz w:val="22"/>
          <w:szCs w:val="18"/>
          <w:lang w:val="en-US" w:eastAsia="zh-CN"/>
        </w:rPr>
        <w:t>折扣率</w:t>
      </w:r>
      <w:r>
        <w:rPr>
          <w:rFonts w:hint="eastAsia" w:asciiTheme="minorEastAsia" w:hAnsiTheme="minorEastAsia" w:eastAsiaTheme="minorEastAsia"/>
          <w:color w:val="auto"/>
          <w:sz w:val="22"/>
          <w:szCs w:val="18"/>
          <w:lang w:eastAsia="zh-CN"/>
        </w:rPr>
        <w:t>）</w:t>
      </w:r>
      <w:r>
        <w:rPr>
          <w:rFonts w:hint="eastAsia" w:asciiTheme="minorEastAsia" w:hAnsiTheme="minorEastAsia" w:eastAsiaTheme="minorEastAsia"/>
          <w:color w:val="auto"/>
          <w:sz w:val="22"/>
          <w:szCs w:val="18"/>
        </w:rPr>
        <w:t>超过</w:t>
      </w:r>
      <w:r>
        <w:rPr>
          <w:rFonts w:hint="eastAsia" w:asciiTheme="minorEastAsia" w:hAnsiTheme="minorEastAsia" w:eastAsiaTheme="minorEastAsia"/>
          <w:color w:val="auto"/>
          <w:sz w:val="22"/>
          <w:szCs w:val="18"/>
          <w:lang w:val="en-US" w:eastAsia="zh-CN"/>
        </w:rPr>
        <w:t>100%</w:t>
      </w:r>
      <w:r>
        <w:rPr>
          <w:rFonts w:hint="eastAsia" w:asciiTheme="minorEastAsia" w:hAnsiTheme="minorEastAsia" w:eastAsiaTheme="minorEastAsia"/>
          <w:color w:val="auto"/>
          <w:sz w:val="22"/>
          <w:szCs w:val="18"/>
        </w:rPr>
        <w:t>，投标无效。</w:t>
      </w:r>
    </w:p>
    <w:p w14:paraId="1D4005D7">
      <w:pPr>
        <w:pStyle w:val="69"/>
        <w:spacing w:before="0"/>
        <w:ind w:firstLine="480"/>
        <w:rPr>
          <w:rFonts w:hint="eastAsia"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3.</w:t>
      </w:r>
      <w:r>
        <w:rPr>
          <w:rFonts w:hint="eastAsia" w:asciiTheme="minorEastAsia" w:hAnsiTheme="minorEastAsia" w:eastAsiaTheme="minorEastAsia"/>
          <w:color w:val="auto"/>
          <w:sz w:val="22"/>
          <w:szCs w:val="18"/>
          <w:lang w:val="en-US" w:eastAsia="zh-CN"/>
        </w:rPr>
        <w:t>5</w:t>
      </w:r>
      <w:r>
        <w:rPr>
          <w:rFonts w:hint="eastAsia" w:asciiTheme="minorEastAsia" w:hAnsiTheme="minorEastAsia" w:eastAsiaTheme="minorEastAsia"/>
          <w:color w:val="auto"/>
          <w:sz w:val="22"/>
          <w:szCs w:val="18"/>
        </w:rPr>
        <w:t>.4</w:t>
      </w:r>
      <w:r>
        <w:rPr>
          <w:rFonts w:hint="eastAsia" w:asciiTheme="minorEastAsia" w:hAnsiTheme="minorEastAsia" w:eastAsiaTheme="minorEastAsia"/>
          <w:color w:val="auto"/>
          <w:sz w:val="22"/>
          <w:szCs w:val="18"/>
          <w:lang w:val="en-US" w:eastAsia="zh-CN"/>
        </w:rPr>
        <w:t xml:space="preserve"> 评标委员会认为投标人的报价明显低于其他通过符合性审查投标人的报价，有可能影响产品质量或者不能诚信履约的，将通过政采云询标要求其在合理的时间内提供说明，必要时提交相关证明材料；投标人不能证明其报价合理性的，将会作为无效投标处理</w:t>
      </w:r>
      <w:r>
        <w:rPr>
          <w:rFonts w:hint="eastAsia" w:asciiTheme="minorEastAsia" w:hAnsiTheme="minorEastAsia" w:eastAsiaTheme="minorEastAsia"/>
          <w:color w:val="auto"/>
          <w:sz w:val="22"/>
          <w:szCs w:val="18"/>
        </w:rPr>
        <w:t>。</w:t>
      </w:r>
    </w:p>
    <w:p w14:paraId="10554A23">
      <w:pPr>
        <w:pStyle w:val="69"/>
        <w:spacing w:before="0"/>
        <w:ind w:firstLine="480"/>
        <w:rPr>
          <w:rFonts w:hint="eastAsia"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3.</w:t>
      </w:r>
      <w:r>
        <w:rPr>
          <w:rFonts w:hint="eastAsia" w:asciiTheme="minorEastAsia" w:hAnsiTheme="minorEastAsia" w:eastAsiaTheme="minorEastAsia"/>
          <w:color w:val="auto"/>
          <w:sz w:val="22"/>
          <w:szCs w:val="18"/>
          <w:lang w:val="en-US" w:eastAsia="zh-CN"/>
        </w:rPr>
        <w:t>5</w:t>
      </w:r>
      <w:r>
        <w:rPr>
          <w:rFonts w:hint="eastAsia" w:asciiTheme="minorEastAsia" w:hAnsiTheme="minorEastAsia" w:eastAsiaTheme="minorEastAsia"/>
          <w:color w:val="auto"/>
          <w:sz w:val="22"/>
          <w:szCs w:val="18"/>
        </w:rPr>
        <w:t>.5</w:t>
      </w:r>
      <w:r>
        <w:rPr>
          <w:rFonts w:hint="eastAsia" w:asciiTheme="minorEastAsia" w:hAnsiTheme="minorEastAsia" w:eastAsiaTheme="minorEastAsia"/>
          <w:color w:val="auto"/>
          <w:sz w:val="22"/>
          <w:szCs w:val="18"/>
          <w:lang w:val="en-US" w:eastAsia="zh-CN"/>
        </w:rPr>
        <w:t xml:space="preserve"> </w:t>
      </w:r>
      <w:r>
        <w:rPr>
          <w:rFonts w:hint="eastAsia" w:cs="宋体"/>
          <w:color w:val="auto"/>
          <w:sz w:val="22"/>
          <w:szCs w:val="22"/>
          <w:lang w:val="en-US" w:eastAsia="zh-CN"/>
        </w:rPr>
        <w:t>本项目对小型和微型企业的投标报价给予</w:t>
      </w:r>
      <w:r>
        <w:rPr>
          <w:rFonts w:hint="eastAsia" w:cs="宋体"/>
          <w:b/>
          <w:bCs/>
          <w:color w:val="auto"/>
          <w:sz w:val="22"/>
          <w:szCs w:val="22"/>
          <w:lang w:val="en-US" w:eastAsia="zh-CN"/>
        </w:rPr>
        <w:t>10%</w:t>
      </w:r>
      <w:r>
        <w:rPr>
          <w:rFonts w:hint="eastAsia" w:cs="宋体"/>
          <w:color w:val="auto"/>
          <w:sz w:val="22"/>
          <w:szCs w:val="22"/>
          <w:lang w:val="en-US" w:eastAsia="zh-CN"/>
        </w:rPr>
        <w:t>的扣除，用扣除后的价格参与评审。大中型企业与小微企业组成联合体的参与本项目投标的，对于联合协议约定小微企业的合同份额占到合同总金额30%以上的，对联合体报价给予</w:t>
      </w:r>
      <w:r>
        <w:rPr>
          <w:rFonts w:hint="eastAsia" w:cs="宋体"/>
          <w:b/>
          <w:bCs/>
          <w:color w:val="auto"/>
          <w:sz w:val="22"/>
          <w:szCs w:val="22"/>
          <w:lang w:val="en-US" w:eastAsia="zh-CN"/>
        </w:rPr>
        <w:t>4%</w:t>
      </w:r>
      <w:r>
        <w:rPr>
          <w:rFonts w:hint="eastAsia" w:cs="宋体"/>
          <w:color w:val="auto"/>
          <w:sz w:val="22"/>
          <w:szCs w:val="22"/>
          <w:lang w:val="en-US" w:eastAsia="zh-CN"/>
        </w:rPr>
        <w:t>的扣除，用扣除后的价格参加评审。组成联合体内的企业存在直接控股、管理关系的，不享受价格扣除优惠政策</w:t>
      </w:r>
      <w:r>
        <w:rPr>
          <w:rFonts w:hint="eastAsia" w:asciiTheme="minorEastAsia" w:hAnsiTheme="minorEastAsia" w:eastAsiaTheme="minorEastAsia"/>
          <w:color w:val="auto"/>
          <w:sz w:val="22"/>
          <w:szCs w:val="18"/>
        </w:rPr>
        <w:t>。</w:t>
      </w:r>
    </w:p>
    <w:p w14:paraId="66FC3D3D">
      <w:pPr>
        <w:pStyle w:val="69"/>
        <w:spacing w:before="0"/>
        <w:ind w:firstLine="480"/>
        <w:rPr>
          <w:rFonts w:hint="eastAsia"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3.</w:t>
      </w:r>
      <w:r>
        <w:rPr>
          <w:rFonts w:hint="eastAsia" w:asciiTheme="minorEastAsia" w:hAnsiTheme="minorEastAsia" w:eastAsiaTheme="minorEastAsia"/>
          <w:color w:val="auto"/>
          <w:sz w:val="22"/>
          <w:szCs w:val="18"/>
          <w:lang w:val="en-US" w:eastAsia="zh-CN"/>
        </w:rPr>
        <w:t xml:space="preserve">6 </w:t>
      </w:r>
      <w:r>
        <w:rPr>
          <w:rFonts w:hint="eastAsia" w:asciiTheme="minorEastAsia" w:hAnsiTheme="minorEastAsia" w:eastAsiaTheme="minorEastAsia"/>
          <w:color w:val="auto"/>
          <w:sz w:val="22"/>
          <w:szCs w:val="18"/>
        </w:rPr>
        <w:t>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1AFC16C">
      <w:pPr>
        <w:pStyle w:val="69"/>
        <w:spacing w:before="0"/>
        <w:ind w:firstLine="480"/>
        <w:rPr>
          <w:rFonts w:asciiTheme="minorEastAsia" w:hAnsiTheme="minorEastAsia" w:eastAsiaTheme="minorEastAsia"/>
          <w:color w:val="auto"/>
          <w:sz w:val="22"/>
          <w:szCs w:val="18"/>
        </w:rPr>
      </w:pPr>
      <w:r>
        <w:rPr>
          <w:rFonts w:hint="eastAsia" w:asciiTheme="minorEastAsia" w:hAnsiTheme="minorEastAsia" w:eastAsiaTheme="minorEastAsia"/>
          <w:color w:val="auto"/>
          <w:sz w:val="22"/>
          <w:szCs w:val="18"/>
        </w:rPr>
        <w:t>3.</w:t>
      </w:r>
      <w:r>
        <w:rPr>
          <w:rFonts w:hint="eastAsia" w:asciiTheme="minorEastAsia" w:hAnsiTheme="minorEastAsia" w:eastAsiaTheme="minorEastAsia"/>
          <w:color w:val="auto"/>
          <w:sz w:val="22"/>
          <w:szCs w:val="18"/>
          <w:lang w:val="en-US" w:eastAsia="zh-CN"/>
        </w:rPr>
        <w:t xml:space="preserve">7 </w:t>
      </w:r>
      <w:r>
        <w:rPr>
          <w:rFonts w:hint="eastAsia" w:asciiTheme="minorEastAsia" w:hAnsiTheme="minorEastAsia" w:eastAsiaTheme="minorEastAsia"/>
          <w:color w:val="auto"/>
          <w:sz w:val="22"/>
          <w:szCs w:val="18"/>
        </w:rPr>
        <w:t>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6778B34">
      <w:pPr>
        <w:pStyle w:val="69"/>
        <w:spacing w:before="0"/>
        <w:ind w:firstLine="0" w:firstLineChars="0"/>
        <w:jc w:val="center"/>
        <w:rPr>
          <w:rFonts w:cs="仿宋_GB2312" w:asciiTheme="minorEastAsia" w:hAnsiTheme="minorEastAsia" w:eastAsiaTheme="minorEastAsia"/>
          <w:b/>
          <w:color w:val="auto"/>
          <w:sz w:val="28"/>
          <w:szCs w:val="18"/>
        </w:rPr>
      </w:pPr>
      <w:r>
        <w:rPr>
          <w:rFonts w:hint="eastAsia" w:cs="仿宋_GB2312" w:asciiTheme="minorEastAsia" w:hAnsiTheme="minorEastAsia" w:eastAsiaTheme="minorEastAsia"/>
          <w:b/>
          <w:color w:val="auto"/>
          <w:sz w:val="28"/>
          <w:szCs w:val="18"/>
        </w:rPr>
        <w:t>四、评标中的其他事项</w:t>
      </w:r>
    </w:p>
    <w:p w14:paraId="35538CC3">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4.1</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BDD0DD">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4.2</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投标无效。有下列情形之一的，投标无效：</w:t>
      </w:r>
    </w:p>
    <w:p w14:paraId="51350A75">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4.2.1</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投标人不具备招标文件中规定的资格要求的（投标人未提供有效的资格</w:t>
      </w:r>
      <w:r>
        <w:rPr>
          <w:rFonts w:hint="eastAsia" w:cs="仿宋_GB2312" w:asciiTheme="minorEastAsia" w:hAnsiTheme="minorEastAsia" w:eastAsiaTheme="minorEastAsia"/>
          <w:color w:val="auto"/>
          <w:sz w:val="22"/>
          <w:szCs w:val="21"/>
          <w:lang w:val="en-US" w:eastAsia="zh-CN"/>
        </w:rPr>
        <w:t>审查</w:t>
      </w:r>
      <w:r>
        <w:rPr>
          <w:rFonts w:hint="eastAsia" w:cs="仿宋_GB2312" w:asciiTheme="minorEastAsia" w:hAnsiTheme="minorEastAsia" w:eastAsiaTheme="minorEastAsia"/>
          <w:color w:val="auto"/>
          <w:sz w:val="22"/>
          <w:szCs w:val="21"/>
        </w:rPr>
        <w:t>文件的，视为投标人不具备招标文件中规定的资格要求）；</w:t>
      </w:r>
    </w:p>
    <w:p w14:paraId="672CB5A8">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4.2.2</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投标文件未按照招标文件要求签署、盖章的；</w:t>
      </w:r>
    </w:p>
    <w:p w14:paraId="3916D5F0">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4.2.3</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采购人拟采购的产品属于政府强制采购的节能产品品目清单范围的，投标人相应的投标产品未获得国家确定的认证机构出具的、处于有效期之内的节能产品认证证书的；</w:t>
      </w:r>
    </w:p>
    <w:p w14:paraId="0A16184B">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4.2.4</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投标文件含有采购人不能接受的附加条件的；</w:t>
      </w:r>
    </w:p>
    <w:p w14:paraId="77C4E825">
      <w:pPr>
        <w:numPr>
          <w:ilvl w:val="0"/>
          <w:numId w:val="0"/>
        </w:numPr>
        <w:spacing w:line="360" w:lineRule="auto"/>
        <w:ind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4.2.5</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投标文件中承诺的投标有效期少于招标文件中载明的投标有效期的；</w:t>
      </w:r>
    </w:p>
    <w:p w14:paraId="157C8B33">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lang w:eastAsia="zh-CN"/>
        </w:rPr>
      </w:pPr>
      <w:r>
        <w:rPr>
          <w:rFonts w:hint="eastAsia" w:cs="仿宋_GB2312" w:asciiTheme="minorEastAsia" w:hAnsiTheme="minorEastAsia" w:eastAsiaTheme="minorEastAsia"/>
          <w:color w:val="auto"/>
          <w:sz w:val="22"/>
          <w:szCs w:val="21"/>
        </w:rPr>
        <w:t>4.2.6</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投标文件出现不是唯一的、有选择性投标报价的</w:t>
      </w:r>
      <w:r>
        <w:rPr>
          <w:rFonts w:hint="eastAsia" w:cs="仿宋_GB2312" w:asciiTheme="minorEastAsia" w:hAnsiTheme="minorEastAsia" w:eastAsiaTheme="minorEastAsia"/>
          <w:color w:val="auto"/>
          <w:sz w:val="22"/>
          <w:szCs w:val="21"/>
          <w:lang w:eastAsia="zh-CN"/>
        </w:rPr>
        <w:t>；</w:t>
      </w:r>
    </w:p>
    <w:p w14:paraId="3C30E093">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lang w:eastAsia="zh-CN"/>
        </w:rPr>
      </w:pPr>
      <w:r>
        <w:rPr>
          <w:rFonts w:hint="eastAsia" w:cs="仿宋_GB2312" w:asciiTheme="minorEastAsia" w:hAnsiTheme="minorEastAsia" w:eastAsiaTheme="minorEastAsia"/>
          <w:color w:val="auto"/>
          <w:sz w:val="22"/>
          <w:szCs w:val="21"/>
        </w:rPr>
        <w:t>4.2.7</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投标报价超过招标文件中规定的预算金额或者最高限价的</w:t>
      </w:r>
      <w:r>
        <w:rPr>
          <w:rFonts w:hint="eastAsia" w:cs="仿宋_GB2312" w:asciiTheme="minorEastAsia" w:hAnsiTheme="minorEastAsia" w:eastAsiaTheme="minorEastAsia"/>
          <w:color w:val="auto"/>
          <w:sz w:val="22"/>
          <w:szCs w:val="21"/>
          <w:lang w:eastAsia="zh-CN"/>
        </w:rPr>
        <w:t>；</w:t>
      </w:r>
    </w:p>
    <w:p w14:paraId="702D6F24">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lang w:eastAsia="zh-CN"/>
        </w:rPr>
      </w:pPr>
      <w:r>
        <w:rPr>
          <w:rFonts w:hint="eastAsia" w:cs="仿宋_GB2312" w:asciiTheme="minorEastAsia" w:hAnsiTheme="minorEastAsia" w:eastAsiaTheme="minorEastAsia"/>
          <w:color w:val="auto"/>
          <w:sz w:val="22"/>
          <w:szCs w:val="21"/>
        </w:rPr>
        <w:t>4.2.8</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报价明显低于其他通过符合性审查投标人的报价，有可能影响产品质量或者不能诚信履约的，未能按要求提供书面说明或者提交相关证明材料，不能证明其报价合理性的</w:t>
      </w:r>
      <w:r>
        <w:rPr>
          <w:rFonts w:hint="eastAsia" w:cs="仿宋_GB2312" w:asciiTheme="minorEastAsia" w:hAnsiTheme="minorEastAsia" w:eastAsiaTheme="minorEastAsia"/>
          <w:color w:val="auto"/>
          <w:sz w:val="22"/>
          <w:szCs w:val="21"/>
          <w:lang w:eastAsia="zh-CN"/>
        </w:rPr>
        <w:t>；</w:t>
      </w:r>
    </w:p>
    <w:p w14:paraId="2F15ED32">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4.2.9</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投标人对根据修正原则修正后的报价不确认的；</w:t>
      </w:r>
    </w:p>
    <w:p w14:paraId="49760A4D">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4.2.10</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投标人提供虚假材料投标的；</w:t>
      </w:r>
    </w:p>
    <w:p w14:paraId="4100D275">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4.2.11</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投标人有恶意串通、妨碍其他投标人的竞争行为、损害采购人或者其他投标人的合法权益情形的；</w:t>
      </w:r>
    </w:p>
    <w:p w14:paraId="38490FCD">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4.2.12</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投标人仅提交备份投标文件，未在电子交易平台传输递交投标文件的，投标无效；</w:t>
      </w:r>
    </w:p>
    <w:p w14:paraId="1BF2CD5A">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4.2.13 投标文件不满足招标文件的其它实质性要求的；</w:t>
      </w:r>
    </w:p>
    <w:p w14:paraId="4D0082AB">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4.2.14</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法律、法规、规章（适用本市的）及省级以上规范性文件（适用本市的）规定的其他无效情形。</w:t>
      </w:r>
    </w:p>
    <w:p w14:paraId="576F53CA">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5.废标。根据《中华人民共和国政府采购法》第三十六条之规定，在采购中，出现下列情形之一的，应予废标：</w:t>
      </w:r>
    </w:p>
    <w:p w14:paraId="7B94004E">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5.1</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符合专业条件的供应商或者对招标文件作实质响应的供应商不足3家的；</w:t>
      </w:r>
    </w:p>
    <w:p w14:paraId="3099DB03">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5.2</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出现影响采购公正的违法、违规行为的；</w:t>
      </w:r>
    </w:p>
    <w:p w14:paraId="19EB8B03">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5.3</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投标人的报价均超过了采购预算，采购人不能支付的；</w:t>
      </w:r>
    </w:p>
    <w:p w14:paraId="640C72D6">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5.4</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因重大变故，采购任务取消的。</w:t>
      </w:r>
    </w:p>
    <w:p w14:paraId="65526460">
      <w:pPr>
        <w:numPr>
          <w:ilvl w:val="0"/>
          <w:numId w:val="0"/>
        </w:numPr>
        <w:spacing w:line="360" w:lineRule="auto"/>
        <w:ind w:left="0" w:leftChars="0" w:firstLine="0" w:firstLineChars="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废标后，采购代理机构应当将废标理由通知所有投标人。</w:t>
      </w:r>
    </w:p>
    <w:p w14:paraId="44F99FCB">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D77BAF">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7.重新开展采购。有政府采购法第七十一条、第七十二条规定的违法行为之一，影响或者可能影响中标结果的，依照下列规定处理：</w:t>
      </w:r>
    </w:p>
    <w:p w14:paraId="1D36ABEC">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7.1</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未确定中标供应商的，终止本次政府采购活动，重新开展政府采购活动。</w:t>
      </w:r>
    </w:p>
    <w:p w14:paraId="55E38CC8">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7.2</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已确定中标供应商但尚未签订政府采购合同的，中标结果无效，从合格的中标候选人中另行确定中标供应商；没有合格的中标候选人的，重新开展政府采购活动。</w:t>
      </w:r>
    </w:p>
    <w:p w14:paraId="4E1D92A2">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7.3</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政府采购合同已签订但尚未履行的，撤销合同，从合格的中标候选人中另行确定中标供应商；没有合格的中标候选人的，重新开展政府采购活动。</w:t>
      </w:r>
    </w:p>
    <w:p w14:paraId="29EC2461">
      <w:pPr>
        <w:numPr>
          <w:ilvl w:val="0"/>
          <w:numId w:val="0"/>
        </w:numPr>
        <w:spacing w:line="360" w:lineRule="auto"/>
        <w:ind w:left="0" w:leftChars="0" w:firstLine="440" w:firstLineChars="2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7.4</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政府采购合同已经履行，给采购人、供应商造成损失的，由责任人承担赔偿责任。</w:t>
      </w:r>
    </w:p>
    <w:p w14:paraId="0CFF7B57">
      <w:pPr>
        <w:numPr>
          <w:ilvl w:val="0"/>
          <w:numId w:val="0"/>
        </w:numPr>
        <w:spacing w:line="360" w:lineRule="auto"/>
        <w:ind w:left="0" w:leftChars="0" w:firstLine="440" w:firstLineChars="200"/>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7.5</w:t>
      </w:r>
      <w:r>
        <w:rPr>
          <w:rFonts w:hint="eastAsia" w:cs="仿宋_GB2312" w:asciiTheme="minorEastAsia" w:hAnsiTheme="minorEastAsia" w:eastAsiaTheme="minorEastAsia"/>
          <w:color w:val="auto"/>
          <w:sz w:val="22"/>
          <w:szCs w:val="21"/>
          <w:lang w:val="en-US" w:eastAsia="zh-CN"/>
        </w:rPr>
        <w:t xml:space="preserve"> </w:t>
      </w:r>
      <w:r>
        <w:rPr>
          <w:rFonts w:hint="eastAsia" w:cs="仿宋_GB2312" w:asciiTheme="minorEastAsia" w:hAnsiTheme="minorEastAsia" w:eastAsiaTheme="minorEastAsia"/>
          <w:color w:val="auto"/>
          <w:sz w:val="22"/>
          <w:szCs w:val="21"/>
        </w:rPr>
        <w:t>政府采购当事人有其他违反政府采购法或者政府采购法实施条例等法律法规规定的行为，经改正后仍然影响或者可能影响中标结果或者依法被认定为中标无效的，依照7.1-7.4规定处理。</w:t>
      </w:r>
    </w:p>
    <w:p w14:paraId="018FB345">
      <w:pPr>
        <w:adjustRightInd/>
        <w:spacing w:line="240" w:lineRule="auto"/>
        <w:rPr>
          <w:rFonts w:cs="Arial" w:asciiTheme="minorEastAsia" w:hAnsiTheme="minorEastAsia" w:eastAsiaTheme="minorEastAsia"/>
          <w:color w:val="auto"/>
          <w:kern w:val="0"/>
          <w:sz w:val="22"/>
          <w:szCs w:val="21"/>
        </w:rPr>
      </w:pPr>
    </w:p>
    <w:p w14:paraId="3D3B591C">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2DA5F6BC">
      <w:pPr>
        <w:spacing w:line="360" w:lineRule="auto"/>
        <w:jc w:val="center"/>
        <w:outlineLvl w:val="0"/>
        <w:rPr>
          <w:rFonts w:hint="eastAsia" w:cs="仿宋_GB2312" w:asciiTheme="minorEastAsia" w:hAnsiTheme="minorEastAsia" w:eastAsiaTheme="minorEastAsia"/>
          <w:b/>
          <w:color w:val="auto"/>
          <w:sz w:val="32"/>
          <w:szCs w:val="32"/>
        </w:rPr>
      </w:pPr>
    </w:p>
    <w:p w14:paraId="1235B9DB">
      <w:pPr>
        <w:spacing w:line="360" w:lineRule="auto"/>
        <w:jc w:val="center"/>
        <w:outlineLvl w:val="0"/>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第</w:t>
      </w:r>
      <w:r>
        <w:rPr>
          <w:rFonts w:hint="eastAsia" w:cs="仿宋_GB2312" w:asciiTheme="minorEastAsia" w:hAnsiTheme="minorEastAsia" w:eastAsiaTheme="minorEastAsia"/>
          <w:b/>
          <w:color w:val="auto"/>
          <w:sz w:val="32"/>
          <w:szCs w:val="32"/>
          <w:lang w:val="en-US" w:eastAsia="zh-CN"/>
        </w:rPr>
        <w:t>五</w:t>
      </w:r>
      <w:r>
        <w:rPr>
          <w:rFonts w:hint="eastAsia" w:cs="仿宋_GB2312" w:asciiTheme="minorEastAsia" w:hAnsiTheme="minorEastAsia" w:eastAsiaTheme="minorEastAsia"/>
          <w:b/>
          <w:color w:val="auto"/>
          <w:sz w:val="32"/>
          <w:szCs w:val="32"/>
        </w:rPr>
        <w:t>部分  拟签订的合同文本</w:t>
      </w:r>
    </w:p>
    <w:p w14:paraId="717FB9C3">
      <w:pPr>
        <w:spacing w:line="360" w:lineRule="auto"/>
        <w:rPr>
          <w:rFonts w:asciiTheme="minorEastAsia" w:hAnsiTheme="minorEastAsia" w:eastAsiaTheme="minorEastAsia"/>
          <w:color w:val="auto"/>
          <w:sz w:val="22"/>
          <w:szCs w:val="21"/>
        </w:rPr>
      </w:pPr>
    </w:p>
    <w:p w14:paraId="5AFB9C9E">
      <w:pPr>
        <w:spacing w:line="360" w:lineRule="auto"/>
        <w:rPr>
          <w:rFonts w:asciiTheme="minorEastAsia" w:hAnsiTheme="minorEastAsia" w:eastAsiaTheme="minorEastAsia"/>
          <w:color w:val="auto"/>
          <w:sz w:val="22"/>
          <w:szCs w:val="21"/>
          <w:u w:val="single"/>
        </w:rPr>
      </w:pPr>
      <w:r>
        <w:rPr>
          <w:rFonts w:hint="eastAsia" w:asciiTheme="minorEastAsia" w:hAnsiTheme="minorEastAsia" w:eastAsiaTheme="minorEastAsia"/>
          <w:color w:val="auto"/>
          <w:sz w:val="22"/>
          <w:szCs w:val="21"/>
        </w:rPr>
        <w:t>合同编号：</w:t>
      </w:r>
      <w:r>
        <w:rPr>
          <w:rFonts w:hint="eastAsia" w:asciiTheme="minorEastAsia" w:hAnsiTheme="minorEastAsia" w:eastAsiaTheme="minorEastAsia"/>
          <w:color w:val="auto"/>
          <w:sz w:val="22"/>
          <w:szCs w:val="21"/>
          <w:u w:val="single"/>
        </w:rPr>
        <w:t xml:space="preserve">           </w:t>
      </w:r>
    </w:p>
    <w:p w14:paraId="28E1297D">
      <w:pPr>
        <w:spacing w:line="360" w:lineRule="auto"/>
        <w:rPr>
          <w:rFonts w:asciiTheme="minorEastAsia" w:hAnsiTheme="minorEastAsia" w:eastAsiaTheme="minorEastAsia"/>
          <w:color w:val="auto"/>
          <w:sz w:val="22"/>
          <w:szCs w:val="21"/>
          <w:u w:val="single"/>
        </w:rPr>
      </w:pPr>
    </w:p>
    <w:p w14:paraId="7224AA4E">
      <w:pPr>
        <w:pStyle w:val="34"/>
        <w:ind w:left="0" w:leftChars="0" w:firstLine="0" w:firstLineChars="0"/>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政府采购合同书</w:t>
      </w:r>
    </w:p>
    <w:p w14:paraId="3537F02F">
      <w:pPr>
        <w:pStyle w:val="34"/>
        <w:ind w:left="0" w:leftChars="0" w:firstLine="0" w:firstLineChars="0"/>
        <w:jc w:val="center"/>
        <w:rPr>
          <w:rFonts w:hint="eastAsia" w:cs="仿宋_GB2312" w:asciiTheme="minorEastAsia" w:hAnsiTheme="minorEastAsia" w:eastAsiaTheme="minorEastAsia"/>
          <w:b/>
          <w:color w:val="auto"/>
          <w:sz w:val="32"/>
          <w:szCs w:val="32"/>
          <w:lang w:eastAsia="zh-CN"/>
        </w:rPr>
      </w:pPr>
      <w:r>
        <w:rPr>
          <w:rFonts w:hint="eastAsia" w:cs="仿宋_GB2312" w:asciiTheme="minorEastAsia" w:hAnsiTheme="minorEastAsia" w:eastAsiaTheme="minorEastAsia"/>
          <w:b/>
          <w:color w:val="auto"/>
          <w:sz w:val="32"/>
          <w:szCs w:val="32"/>
          <w:lang w:eastAsia="zh-CN"/>
        </w:rPr>
        <w:t>（</w:t>
      </w:r>
      <w:r>
        <w:rPr>
          <w:rFonts w:hint="eastAsia" w:cs="仿宋_GB2312" w:asciiTheme="minorEastAsia" w:hAnsiTheme="minorEastAsia" w:eastAsiaTheme="minorEastAsia"/>
          <w:b/>
          <w:color w:val="auto"/>
          <w:sz w:val="32"/>
          <w:szCs w:val="32"/>
          <w:lang w:val="en-US" w:eastAsia="zh-CN"/>
        </w:rPr>
        <w:t>服务类</w:t>
      </w:r>
      <w:r>
        <w:rPr>
          <w:rFonts w:hint="eastAsia" w:cs="仿宋_GB2312" w:asciiTheme="minorEastAsia" w:hAnsiTheme="minorEastAsia" w:eastAsiaTheme="minorEastAsia"/>
          <w:b/>
          <w:color w:val="auto"/>
          <w:sz w:val="32"/>
          <w:szCs w:val="32"/>
          <w:lang w:eastAsia="zh-CN"/>
        </w:rPr>
        <w:t>）</w:t>
      </w:r>
    </w:p>
    <w:p w14:paraId="6784B1A3">
      <w:pPr>
        <w:pStyle w:val="34"/>
        <w:ind w:left="0" w:leftChars="0" w:firstLine="0" w:firstLineChars="0"/>
        <w:rPr>
          <w:rFonts w:hint="eastAsia" w:asciiTheme="minorEastAsia" w:hAnsiTheme="minorEastAsia" w:eastAsiaTheme="minorEastAsia"/>
          <w:color w:val="auto"/>
          <w:sz w:val="22"/>
          <w:szCs w:val="22"/>
          <w:lang w:val="en-US" w:eastAsia="zh-CN"/>
        </w:rPr>
      </w:pPr>
    </w:p>
    <w:p w14:paraId="759B7822">
      <w:pPr>
        <w:pStyle w:val="34"/>
        <w:ind w:left="0" w:leftChars="0" w:firstLine="0" w:firstLineChars="0"/>
        <w:jc w:val="center"/>
        <w:rPr>
          <w:rFonts w:hint="default" w:asciiTheme="minorEastAsia" w:hAnsiTheme="minorEastAsia" w:eastAsiaTheme="minorEastAsia"/>
          <w:b/>
          <w:bCs/>
          <w:color w:val="auto"/>
          <w:sz w:val="24"/>
          <w:szCs w:val="24"/>
          <w:lang w:val="en-US" w:eastAsia="zh-CN"/>
        </w:rPr>
      </w:pPr>
      <w:r>
        <w:rPr>
          <w:rFonts w:hint="eastAsia" w:asciiTheme="minorEastAsia" w:hAnsiTheme="minorEastAsia" w:eastAsiaTheme="minorEastAsia"/>
          <w:b/>
          <w:bCs/>
          <w:color w:val="auto"/>
          <w:sz w:val="24"/>
          <w:szCs w:val="24"/>
          <w:lang w:val="en-US" w:eastAsia="zh-CN"/>
        </w:rPr>
        <w:t>第一部分  合同书</w:t>
      </w:r>
    </w:p>
    <w:p w14:paraId="763E3DB2">
      <w:pPr>
        <w:spacing w:before="120" w:line="360" w:lineRule="auto"/>
        <w:rPr>
          <w:rFonts w:asciiTheme="minorEastAsia" w:hAnsiTheme="minorEastAsia" w:eastAsiaTheme="minorEastAsia"/>
          <w:color w:val="auto"/>
          <w:sz w:val="22"/>
          <w:szCs w:val="21"/>
        </w:rPr>
      </w:pPr>
    </w:p>
    <w:p w14:paraId="195A2D17">
      <w:pPr>
        <w:spacing w:before="120" w:line="360" w:lineRule="auto"/>
        <w:ind w:firstLine="1540" w:firstLineChars="700"/>
        <w:rPr>
          <w:rFonts w:asciiTheme="minorEastAsia" w:hAnsiTheme="minorEastAsia" w:eastAsiaTheme="minorEastAsia"/>
          <w:color w:val="auto"/>
          <w:sz w:val="22"/>
          <w:szCs w:val="21"/>
          <w:u w:val="single"/>
        </w:rPr>
      </w:pPr>
      <w:r>
        <w:rPr>
          <w:rFonts w:hint="eastAsia" w:asciiTheme="minorEastAsia" w:hAnsiTheme="minorEastAsia" w:eastAsiaTheme="minorEastAsia"/>
          <w:color w:val="auto"/>
          <w:sz w:val="22"/>
          <w:szCs w:val="21"/>
        </w:rPr>
        <w:t>项目名称：</w:t>
      </w:r>
      <w:r>
        <w:rPr>
          <w:rFonts w:hint="eastAsia" w:asciiTheme="minorEastAsia" w:hAnsiTheme="minorEastAsia" w:eastAsiaTheme="minorEastAsia"/>
          <w:color w:val="auto"/>
          <w:sz w:val="22"/>
          <w:szCs w:val="21"/>
          <w:u w:val="single"/>
        </w:rPr>
        <w:t xml:space="preserve">                                   </w:t>
      </w:r>
    </w:p>
    <w:p w14:paraId="626B71A7">
      <w:pPr>
        <w:spacing w:line="360" w:lineRule="auto"/>
        <w:rPr>
          <w:rFonts w:asciiTheme="minorEastAsia" w:hAnsiTheme="minorEastAsia" w:eastAsiaTheme="minorEastAsia"/>
          <w:color w:val="auto"/>
          <w:sz w:val="22"/>
          <w:szCs w:val="21"/>
        </w:rPr>
      </w:pPr>
    </w:p>
    <w:p w14:paraId="4A0DE3A7">
      <w:pPr>
        <w:spacing w:before="120" w:line="360" w:lineRule="auto"/>
        <w:ind w:firstLine="1540" w:firstLineChars="700"/>
        <w:rPr>
          <w:rFonts w:asciiTheme="minorEastAsia" w:hAnsiTheme="minorEastAsia" w:eastAsiaTheme="minorEastAsia"/>
          <w:color w:val="auto"/>
          <w:sz w:val="22"/>
          <w:szCs w:val="21"/>
          <w:u w:val="single"/>
        </w:rPr>
      </w:pPr>
      <w:r>
        <w:rPr>
          <w:rFonts w:hint="eastAsia" w:asciiTheme="minorEastAsia" w:hAnsiTheme="minorEastAsia" w:eastAsiaTheme="minorEastAsia"/>
          <w:color w:val="auto"/>
          <w:sz w:val="22"/>
          <w:szCs w:val="21"/>
        </w:rPr>
        <w:t>甲方：</w:t>
      </w:r>
      <w:r>
        <w:rPr>
          <w:rFonts w:hint="eastAsia" w:asciiTheme="minorEastAsia" w:hAnsiTheme="minorEastAsia" w:eastAsiaTheme="minorEastAsia"/>
          <w:color w:val="auto"/>
          <w:sz w:val="22"/>
          <w:szCs w:val="21"/>
          <w:u w:val="single"/>
        </w:rPr>
        <w:t xml:space="preserve">                                       </w:t>
      </w:r>
    </w:p>
    <w:p w14:paraId="0D788341">
      <w:pPr>
        <w:spacing w:before="120" w:line="360" w:lineRule="auto"/>
        <w:rPr>
          <w:rFonts w:asciiTheme="minorEastAsia" w:hAnsiTheme="minorEastAsia" w:eastAsiaTheme="minorEastAsia"/>
          <w:color w:val="auto"/>
          <w:sz w:val="22"/>
          <w:szCs w:val="21"/>
        </w:rPr>
      </w:pPr>
    </w:p>
    <w:p w14:paraId="340318AC">
      <w:pPr>
        <w:spacing w:before="120" w:line="360" w:lineRule="auto"/>
        <w:ind w:firstLine="1540" w:firstLineChars="700"/>
        <w:rPr>
          <w:rFonts w:asciiTheme="minorEastAsia" w:hAnsiTheme="minorEastAsia" w:eastAsiaTheme="minorEastAsia"/>
          <w:color w:val="auto"/>
          <w:sz w:val="22"/>
          <w:szCs w:val="21"/>
          <w:u w:val="single"/>
        </w:rPr>
      </w:pPr>
      <w:r>
        <w:rPr>
          <w:rFonts w:hint="eastAsia" w:asciiTheme="minorEastAsia" w:hAnsiTheme="minorEastAsia" w:eastAsiaTheme="minorEastAsia"/>
          <w:color w:val="auto"/>
          <w:sz w:val="22"/>
          <w:szCs w:val="21"/>
        </w:rPr>
        <w:t>乙方：</w:t>
      </w:r>
      <w:r>
        <w:rPr>
          <w:rFonts w:hint="eastAsia" w:asciiTheme="minorEastAsia" w:hAnsiTheme="minorEastAsia" w:eastAsiaTheme="minorEastAsia"/>
          <w:color w:val="auto"/>
          <w:sz w:val="22"/>
          <w:szCs w:val="21"/>
          <w:u w:val="single"/>
        </w:rPr>
        <w:t xml:space="preserve">                                       </w:t>
      </w:r>
    </w:p>
    <w:p w14:paraId="66ED2BAE">
      <w:pPr>
        <w:spacing w:before="120" w:line="360" w:lineRule="auto"/>
        <w:rPr>
          <w:rFonts w:asciiTheme="minorEastAsia" w:hAnsiTheme="minorEastAsia" w:eastAsiaTheme="minorEastAsia"/>
          <w:color w:val="auto"/>
          <w:sz w:val="22"/>
          <w:szCs w:val="21"/>
        </w:rPr>
      </w:pPr>
    </w:p>
    <w:p w14:paraId="54FF7146">
      <w:pPr>
        <w:spacing w:before="120" w:line="360" w:lineRule="auto"/>
        <w:ind w:firstLine="1540" w:firstLineChars="700"/>
        <w:rPr>
          <w:rFonts w:asciiTheme="minorEastAsia" w:hAnsiTheme="minorEastAsia" w:eastAsiaTheme="minorEastAsia"/>
          <w:color w:val="auto"/>
          <w:sz w:val="22"/>
          <w:szCs w:val="21"/>
          <w:u w:val="single"/>
        </w:rPr>
      </w:pPr>
      <w:r>
        <w:rPr>
          <w:rFonts w:hint="eastAsia" w:asciiTheme="minorEastAsia" w:hAnsiTheme="minorEastAsia" w:eastAsiaTheme="minorEastAsia"/>
          <w:color w:val="auto"/>
          <w:sz w:val="22"/>
          <w:szCs w:val="21"/>
        </w:rPr>
        <w:t>签订地：</w:t>
      </w:r>
      <w:r>
        <w:rPr>
          <w:rFonts w:hint="eastAsia" w:asciiTheme="minorEastAsia" w:hAnsiTheme="minorEastAsia" w:eastAsiaTheme="minorEastAsia"/>
          <w:color w:val="auto"/>
          <w:sz w:val="22"/>
          <w:szCs w:val="21"/>
          <w:u w:val="single"/>
        </w:rPr>
        <w:t xml:space="preserve">                                     </w:t>
      </w:r>
    </w:p>
    <w:p w14:paraId="079AE71A">
      <w:pPr>
        <w:spacing w:before="120" w:line="360" w:lineRule="auto"/>
        <w:rPr>
          <w:rFonts w:asciiTheme="minorEastAsia" w:hAnsiTheme="minorEastAsia" w:eastAsiaTheme="minorEastAsia"/>
          <w:color w:val="auto"/>
          <w:sz w:val="22"/>
          <w:szCs w:val="21"/>
        </w:rPr>
      </w:pPr>
    </w:p>
    <w:p w14:paraId="47638B4A">
      <w:pPr>
        <w:spacing w:before="120" w:line="360" w:lineRule="auto"/>
        <w:ind w:firstLine="1540" w:firstLineChars="700"/>
        <w:rPr>
          <w:rFonts w:asciiTheme="minorEastAsia" w:hAnsiTheme="minorEastAsia" w:eastAsiaTheme="minorEastAsia"/>
          <w:color w:val="auto"/>
          <w:sz w:val="22"/>
          <w:szCs w:val="21"/>
          <w:u w:val="single"/>
        </w:rPr>
      </w:pPr>
      <w:r>
        <w:rPr>
          <w:rFonts w:hint="eastAsia" w:asciiTheme="minorEastAsia" w:hAnsiTheme="minorEastAsia" w:eastAsiaTheme="minorEastAsia"/>
          <w:color w:val="auto"/>
          <w:sz w:val="22"/>
          <w:szCs w:val="21"/>
        </w:rPr>
        <w:t>签订日期：</w:t>
      </w:r>
      <w:r>
        <w:rPr>
          <w:rFonts w:hint="eastAsia" w:asciiTheme="minorEastAsia" w:hAnsiTheme="minorEastAsia" w:eastAsiaTheme="minorEastAsia"/>
          <w:color w:val="auto"/>
          <w:sz w:val="22"/>
          <w:szCs w:val="21"/>
          <w:u w:val="single"/>
        </w:rPr>
        <w:t xml:space="preserve">               </w:t>
      </w:r>
      <w:r>
        <w:rPr>
          <w:rFonts w:hint="eastAsia" w:asciiTheme="minorEastAsia" w:hAnsiTheme="minorEastAsia" w:eastAsiaTheme="minorEastAsia"/>
          <w:color w:val="auto"/>
          <w:sz w:val="22"/>
          <w:szCs w:val="21"/>
        </w:rPr>
        <w:t>年</w:t>
      </w:r>
      <w:r>
        <w:rPr>
          <w:rFonts w:hint="eastAsia" w:asciiTheme="minorEastAsia" w:hAnsiTheme="minorEastAsia" w:eastAsiaTheme="minorEastAsia"/>
          <w:color w:val="auto"/>
          <w:sz w:val="22"/>
          <w:szCs w:val="21"/>
          <w:u w:val="single"/>
        </w:rPr>
        <w:t xml:space="preserve">       </w:t>
      </w:r>
      <w:r>
        <w:rPr>
          <w:rFonts w:hint="eastAsia" w:asciiTheme="minorEastAsia" w:hAnsiTheme="minorEastAsia" w:eastAsiaTheme="minorEastAsia"/>
          <w:color w:val="auto"/>
          <w:sz w:val="22"/>
          <w:szCs w:val="21"/>
        </w:rPr>
        <w:t>月</w:t>
      </w:r>
      <w:r>
        <w:rPr>
          <w:rFonts w:hint="eastAsia" w:asciiTheme="minorEastAsia" w:hAnsiTheme="minorEastAsia" w:eastAsiaTheme="minorEastAsia"/>
          <w:color w:val="auto"/>
          <w:sz w:val="22"/>
          <w:szCs w:val="21"/>
          <w:u w:val="single"/>
        </w:rPr>
        <w:t xml:space="preserve">       </w:t>
      </w:r>
      <w:r>
        <w:rPr>
          <w:rFonts w:hint="eastAsia" w:asciiTheme="minorEastAsia" w:hAnsiTheme="minorEastAsia" w:eastAsiaTheme="minorEastAsia"/>
          <w:color w:val="auto"/>
          <w:sz w:val="22"/>
          <w:szCs w:val="21"/>
        </w:rPr>
        <w:t>日</w:t>
      </w:r>
    </w:p>
    <w:p w14:paraId="4C63A14A">
      <w:pPr>
        <w:widowControl/>
        <w:adjustRightInd/>
        <w:jc w:val="left"/>
        <w:rPr>
          <w:rFonts w:cs="仿宋_GB2312" w:asciiTheme="minorEastAsia" w:hAnsiTheme="minorEastAsia" w:eastAsiaTheme="minorEastAsia"/>
          <w:b/>
          <w:color w:val="auto"/>
          <w:sz w:val="22"/>
          <w:szCs w:val="21"/>
        </w:rPr>
      </w:pPr>
      <w:r>
        <w:rPr>
          <w:rFonts w:hint="eastAsia" w:cs="仿宋_GB2312" w:asciiTheme="minorEastAsia" w:hAnsiTheme="minorEastAsia" w:eastAsiaTheme="minorEastAsia"/>
          <w:b/>
          <w:color w:val="auto"/>
          <w:sz w:val="22"/>
          <w:szCs w:val="21"/>
        </w:rPr>
        <w:br w:type="page"/>
      </w:r>
    </w:p>
    <w:p w14:paraId="53548D0D">
      <w:pPr>
        <w:rPr>
          <w:rFonts w:ascii="宋体" w:hAnsi="宋体" w:cs="宋体"/>
          <w:b/>
          <w:color w:val="auto"/>
          <w:sz w:val="22"/>
          <w:szCs w:val="21"/>
        </w:rPr>
      </w:pPr>
    </w:p>
    <w:p w14:paraId="0F27BB22">
      <w:pPr>
        <w:spacing w:line="360" w:lineRule="auto"/>
        <w:ind w:firstLine="440" w:firstLineChars="200"/>
        <w:rPr>
          <w:rFonts w:ascii="宋体" w:hAnsi="宋体"/>
          <w:color w:val="auto"/>
          <w:sz w:val="22"/>
          <w:szCs w:val="21"/>
        </w:rPr>
      </w:pPr>
      <w:r>
        <w:rPr>
          <w:rFonts w:ascii="宋体" w:hAnsi="宋体"/>
          <w:color w:val="auto"/>
          <w:sz w:val="22"/>
          <w:szCs w:val="21"/>
          <w:u w:val="single"/>
          <w:lang w:val="zh-CN"/>
        </w:rPr>
        <w:t xml:space="preserve"> </w:t>
      </w:r>
      <w:r>
        <w:rPr>
          <w:rFonts w:hint="eastAsia" w:ascii="宋体" w:hAnsi="宋体"/>
          <w:color w:val="auto"/>
          <w:sz w:val="22"/>
          <w:szCs w:val="21"/>
          <w:u w:val="single"/>
          <w:lang w:val="en-US" w:eastAsia="zh-CN"/>
        </w:rPr>
        <w:t>2024</w:t>
      </w:r>
      <w:r>
        <w:rPr>
          <w:rFonts w:ascii="宋体" w:hAnsi="宋体"/>
          <w:color w:val="auto"/>
          <w:sz w:val="22"/>
          <w:szCs w:val="21"/>
          <w:u w:val="single"/>
          <w:lang w:val="zh-CN"/>
        </w:rPr>
        <w:t xml:space="preserve"> </w:t>
      </w:r>
      <w:r>
        <w:rPr>
          <w:rFonts w:hint="eastAsia" w:ascii="宋体" w:hAnsi="宋体"/>
          <w:color w:val="auto"/>
          <w:sz w:val="22"/>
          <w:szCs w:val="21"/>
          <w:lang w:val="zh-CN"/>
        </w:rPr>
        <w:t>年</w:t>
      </w:r>
      <w:r>
        <w:rPr>
          <w:rFonts w:ascii="宋体" w:hAnsi="宋体"/>
          <w:color w:val="auto"/>
          <w:sz w:val="22"/>
          <w:szCs w:val="21"/>
          <w:u w:val="single"/>
          <w:lang w:val="zh-CN"/>
        </w:rPr>
        <w:t xml:space="preserve">    </w:t>
      </w:r>
      <w:r>
        <w:rPr>
          <w:rFonts w:hint="eastAsia" w:ascii="宋体" w:hAnsi="宋体"/>
          <w:color w:val="auto"/>
          <w:sz w:val="22"/>
          <w:szCs w:val="21"/>
          <w:lang w:val="zh-CN"/>
        </w:rPr>
        <w:t>月</w:t>
      </w:r>
      <w:r>
        <w:rPr>
          <w:rFonts w:ascii="宋体" w:hAnsi="宋体"/>
          <w:color w:val="auto"/>
          <w:sz w:val="22"/>
          <w:szCs w:val="21"/>
          <w:u w:val="single"/>
          <w:lang w:val="zh-CN"/>
        </w:rPr>
        <w:t xml:space="preserve">    </w:t>
      </w:r>
      <w:r>
        <w:rPr>
          <w:rFonts w:hint="eastAsia" w:ascii="宋体" w:hAnsi="宋体"/>
          <w:color w:val="auto"/>
          <w:sz w:val="22"/>
          <w:szCs w:val="21"/>
          <w:lang w:val="zh-CN"/>
        </w:rPr>
        <w:t>日</w:t>
      </w:r>
      <w:r>
        <w:rPr>
          <w:rFonts w:hint="eastAsia" w:ascii="宋体" w:hAnsi="宋体"/>
          <w:color w:val="auto"/>
          <w:sz w:val="22"/>
          <w:szCs w:val="21"/>
        </w:rPr>
        <w:t>，</w:t>
      </w:r>
      <w:r>
        <w:rPr>
          <w:rFonts w:ascii="宋体" w:hAnsi="宋体"/>
          <w:color w:val="auto"/>
          <w:sz w:val="22"/>
          <w:szCs w:val="21"/>
          <w:u w:val="single"/>
        </w:rPr>
        <w:t xml:space="preserve"> </w:t>
      </w:r>
      <w:r>
        <w:rPr>
          <w:rFonts w:hint="eastAsia" w:ascii="宋体" w:hAnsi="宋体"/>
          <w:color w:val="auto"/>
          <w:sz w:val="22"/>
          <w:szCs w:val="21"/>
          <w:u w:val="single"/>
          <w:lang w:val="en-US" w:eastAsia="zh-CN"/>
        </w:rPr>
        <w:t>苍南县民政局</w:t>
      </w:r>
      <w:r>
        <w:rPr>
          <w:rFonts w:ascii="宋体" w:hAnsi="宋体"/>
          <w:color w:val="auto"/>
          <w:sz w:val="22"/>
          <w:szCs w:val="21"/>
          <w:u w:val="single"/>
        </w:rPr>
        <w:t xml:space="preserve"> </w:t>
      </w:r>
      <w:r>
        <w:rPr>
          <w:rFonts w:hint="eastAsia" w:ascii="宋体" w:hAnsi="宋体"/>
          <w:color w:val="auto"/>
          <w:sz w:val="22"/>
          <w:szCs w:val="21"/>
        </w:rPr>
        <w:t>以</w:t>
      </w:r>
      <w:r>
        <w:rPr>
          <w:rFonts w:ascii="宋体" w:hAnsi="宋体"/>
          <w:color w:val="auto"/>
          <w:sz w:val="22"/>
          <w:szCs w:val="21"/>
          <w:u w:val="single"/>
        </w:rPr>
        <w:t xml:space="preserve"> </w:t>
      </w:r>
      <w:r>
        <w:rPr>
          <w:rFonts w:hint="eastAsia"/>
          <w:color w:val="auto"/>
          <w:sz w:val="22"/>
          <w:szCs w:val="21"/>
          <w:u w:val="single"/>
          <w:lang w:val="en-US" w:eastAsia="zh-CN"/>
        </w:rPr>
        <w:t>公开招标</w:t>
      </w:r>
      <w:r>
        <w:rPr>
          <w:rFonts w:ascii="宋体" w:hAnsi="宋体"/>
          <w:color w:val="auto"/>
          <w:sz w:val="22"/>
          <w:szCs w:val="21"/>
          <w:u w:val="single"/>
        </w:rPr>
        <w:t xml:space="preserve"> </w:t>
      </w:r>
      <w:r>
        <w:rPr>
          <w:rFonts w:hint="eastAsia" w:ascii="宋体" w:hAnsi="宋体"/>
          <w:color w:val="auto"/>
          <w:sz w:val="22"/>
          <w:szCs w:val="21"/>
        </w:rPr>
        <w:t>对</w:t>
      </w:r>
      <w:r>
        <w:rPr>
          <w:rFonts w:ascii="宋体" w:hAnsi="宋体"/>
          <w:color w:val="auto"/>
          <w:sz w:val="22"/>
          <w:szCs w:val="21"/>
          <w:u w:val="single"/>
        </w:rPr>
        <w:t xml:space="preserve"> </w:t>
      </w:r>
      <w:r>
        <w:rPr>
          <w:rFonts w:hint="eastAsia"/>
          <w:color w:val="auto"/>
          <w:sz w:val="22"/>
          <w:szCs w:val="21"/>
          <w:u w:val="single"/>
          <w:lang w:eastAsia="zh-CN"/>
        </w:rPr>
        <w:t>苍南县居家和社区基本养老服务提升行动项目</w:t>
      </w:r>
      <w:r>
        <w:rPr>
          <w:rFonts w:ascii="宋体" w:hAnsi="宋体"/>
          <w:color w:val="auto"/>
          <w:sz w:val="22"/>
          <w:szCs w:val="21"/>
          <w:u w:val="single"/>
        </w:rPr>
        <w:t xml:space="preserve"> </w:t>
      </w:r>
      <w:r>
        <w:rPr>
          <w:rFonts w:hint="eastAsia" w:ascii="宋体" w:hAnsi="宋体"/>
          <w:color w:val="auto"/>
          <w:sz w:val="22"/>
          <w:szCs w:val="21"/>
        </w:rPr>
        <w:t>项目进行了采购。经</w:t>
      </w:r>
      <w:r>
        <w:rPr>
          <w:rFonts w:ascii="宋体" w:hAnsi="宋体"/>
          <w:color w:val="auto"/>
          <w:sz w:val="22"/>
          <w:szCs w:val="21"/>
          <w:u w:val="single"/>
        </w:rPr>
        <w:t xml:space="preserve"> </w:t>
      </w:r>
      <w:r>
        <w:rPr>
          <w:rFonts w:hint="eastAsia" w:ascii="宋体" w:hAnsi="宋体"/>
          <w:color w:val="auto"/>
          <w:sz w:val="22"/>
          <w:szCs w:val="21"/>
          <w:u w:val="single"/>
        </w:rPr>
        <w:t>评标委员会</w:t>
      </w:r>
      <w:r>
        <w:rPr>
          <w:rFonts w:ascii="宋体" w:hAnsi="宋体"/>
          <w:color w:val="auto"/>
          <w:sz w:val="22"/>
          <w:szCs w:val="21"/>
          <w:u w:val="single"/>
        </w:rPr>
        <w:t xml:space="preserve"> </w:t>
      </w:r>
      <w:r>
        <w:rPr>
          <w:rFonts w:hint="eastAsia" w:ascii="宋体" w:hAnsi="宋体"/>
          <w:color w:val="auto"/>
          <w:sz w:val="22"/>
          <w:szCs w:val="21"/>
        </w:rPr>
        <w:t>评定，</w:t>
      </w:r>
      <w:r>
        <w:rPr>
          <w:rFonts w:ascii="宋体" w:hAnsi="宋体"/>
          <w:color w:val="auto"/>
          <w:sz w:val="22"/>
          <w:szCs w:val="21"/>
          <w:u w:val="single"/>
        </w:rPr>
        <w:t xml:space="preserve"> </w:t>
      </w:r>
      <w:r>
        <w:rPr>
          <w:rFonts w:ascii="宋体" w:hAnsi="宋体"/>
          <w:i/>
          <w:iCs/>
          <w:color w:val="auto"/>
          <w:sz w:val="22"/>
          <w:szCs w:val="21"/>
          <w:u w:val="single"/>
        </w:rPr>
        <w:t>（中标</w:t>
      </w:r>
      <w:r>
        <w:rPr>
          <w:rFonts w:hint="eastAsia" w:ascii="宋体" w:hAnsi="宋体"/>
          <w:i/>
          <w:iCs/>
          <w:color w:val="auto"/>
          <w:sz w:val="22"/>
          <w:szCs w:val="21"/>
          <w:u w:val="single"/>
        </w:rPr>
        <w:t>或者成交</w:t>
      </w:r>
      <w:r>
        <w:rPr>
          <w:rFonts w:ascii="宋体" w:hAnsi="宋体"/>
          <w:i/>
          <w:iCs/>
          <w:color w:val="auto"/>
          <w:sz w:val="22"/>
          <w:szCs w:val="21"/>
          <w:u w:val="single"/>
        </w:rPr>
        <w:t>供应商名称）</w:t>
      </w:r>
      <w:r>
        <w:rPr>
          <w:rFonts w:ascii="宋体" w:hAnsi="宋体"/>
          <w:color w:val="auto"/>
          <w:sz w:val="22"/>
          <w:szCs w:val="21"/>
          <w:u w:val="single"/>
        </w:rPr>
        <w:t xml:space="preserve"> </w:t>
      </w:r>
      <w:r>
        <w:rPr>
          <w:rFonts w:hint="eastAsia" w:ascii="宋体" w:hAnsi="宋体"/>
          <w:color w:val="auto"/>
          <w:sz w:val="22"/>
          <w:szCs w:val="21"/>
        </w:rPr>
        <w:t>为该项目</w:t>
      </w:r>
      <w:r>
        <w:rPr>
          <w:rFonts w:hint="eastAsia"/>
          <w:color w:val="auto"/>
          <w:sz w:val="22"/>
          <w:szCs w:val="21"/>
          <w:u w:val="single"/>
          <w:lang w:val="en-US" w:eastAsia="zh-CN"/>
        </w:rPr>
        <w:t xml:space="preserve"> 第一片区/第二片区 </w:t>
      </w:r>
      <w:r>
        <w:rPr>
          <w:rFonts w:hint="eastAsia" w:ascii="宋体" w:hAnsi="宋体" w:cs="宋体"/>
          <w:color w:val="auto"/>
          <w:sz w:val="22"/>
          <w:szCs w:val="21"/>
        </w:rPr>
        <w:t>中标或者成交供应商</w:t>
      </w:r>
      <w:r>
        <w:rPr>
          <w:rFonts w:hint="eastAsia" w:ascii="宋体" w:hAnsi="宋体"/>
          <w:color w:val="auto"/>
          <w:sz w:val="22"/>
          <w:szCs w:val="21"/>
        </w:rPr>
        <w:t>。现于</w:t>
      </w:r>
      <w:r>
        <w:rPr>
          <w:rFonts w:hint="eastAsia" w:ascii="宋体" w:hAnsi="宋体" w:cs="宋体"/>
          <w:color w:val="auto"/>
          <w:sz w:val="22"/>
          <w:szCs w:val="21"/>
        </w:rPr>
        <w:t>中标或者成交通知书</w:t>
      </w:r>
      <w:r>
        <w:rPr>
          <w:rFonts w:hint="eastAsia" w:ascii="宋体" w:hAnsi="宋体"/>
          <w:color w:val="auto"/>
          <w:sz w:val="22"/>
          <w:szCs w:val="21"/>
        </w:rPr>
        <w:t>发出之日起</w:t>
      </w:r>
      <w:r>
        <w:rPr>
          <w:rFonts w:hint="eastAsia" w:ascii="宋体" w:hAnsi="宋体"/>
          <w:color w:val="auto"/>
          <w:sz w:val="22"/>
          <w:szCs w:val="21"/>
          <w:lang w:val="en-US" w:eastAsia="zh-CN"/>
        </w:rPr>
        <w:t>20</w:t>
      </w:r>
      <w:r>
        <w:rPr>
          <w:rFonts w:hint="eastAsia" w:ascii="宋体" w:hAnsi="宋体"/>
          <w:color w:val="auto"/>
          <w:sz w:val="22"/>
          <w:szCs w:val="21"/>
        </w:rPr>
        <w:t>个工作日内，按照采购文件确定的事项签订本合同。</w:t>
      </w:r>
    </w:p>
    <w:p w14:paraId="07896881">
      <w:pPr>
        <w:spacing w:line="360" w:lineRule="auto"/>
        <w:ind w:firstLine="440" w:firstLineChars="200"/>
        <w:rPr>
          <w:rFonts w:ascii="宋体" w:hAnsi="宋体"/>
          <w:color w:val="auto"/>
          <w:sz w:val="22"/>
          <w:szCs w:val="21"/>
        </w:rPr>
      </w:pPr>
      <w:r>
        <w:rPr>
          <w:rFonts w:hint="eastAsia" w:ascii="宋体" w:hAnsi="宋体"/>
          <w:color w:val="auto"/>
          <w:sz w:val="22"/>
          <w:szCs w:val="21"/>
          <w:lang w:val="zh-CN"/>
        </w:rPr>
        <w:t>根据《中华人民共和国民法典》《中华人民共和国政府采购法》等相关法律法规之规定，按照平等、自愿、公平和诚实信用的原则，经</w:t>
      </w:r>
      <w:r>
        <w:rPr>
          <w:rFonts w:ascii="宋体" w:hAnsi="宋体"/>
          <w:color w:val="auto"/>
          <w:sz w:val="22"/>
          <w:szCs w:val="21"/>
          <w:u w:val="single"/>
        </w:rPr>
        <w:t xml:space="preserve"> </w:t>
      </w:r>
      <w:r>
        <w:rPr>
          <w:rFonts w:hint="eastAsia" w:ascii="宋体" w:hAnsi="宋体"/>
          <w:color w:val="auto"/>
          <w:sz w:val="22"/>
          <w:szCs w:val="21"/>
          <w:u w:val="single"/>
          <w:lang w:val="en-US" w:eastAsia="zh-CN"/>
        </w:rPr>
        <w:t>苍南县民政局</w:t>
      </w:r>
      <w:r>
        <w:rPr>
          <w:rFonts w:ascii="宋体" w:hAnsi="宋体"/>
          <w:color w:val="auto"/>
          <w:sz w:val="22"/>
          <w:szCs w:val="21"/>
          <w:u w:val="single"/>
        </w:rPr>
        <w:t xml:space="preserve"> </w:t>
      </w:r>
      <w:r>
        <w:rPr>
          <w:rFonts w:ascii="宋体" w:hAnsi="宋体"/>
          <w:color w:val="auto"/>
          <w:sz w:val="22"/>
          <w:szCs w:val="21"/>
          <w:lang w:val="zh-CN"/>
        </w:rPr>
        <w:t>(以下简称：甲方)和</w:t>
      </w:r>
      <w:r>
        <w:rPr>
          <w:rFonts w:ascii="宋体" w:hAnsi="宋体"/>
          <w:color w:val="auto"/>
          <w:sz w:val="22"/>
          <w:szCs w:val="21"/>
          <w:u w:val="single"/>
        </w:rPr>
        <w:t xml:space="preserve"> </w:t>
      </w:r>
      <w:r>
        <w:rPr>
          <w:rFonts w:ascii="宋体" w:hAnsi="宋体"/>
          <w:i/>
          <w:iCs/>
          <w:color w:val="auto"/>
          <w:sz w:val="22"/>
          <w:szCs w:val="21"/>
          <w:u w:val="single"/>
        </w:rPr>
        <w:t>（中</w:t>
      </w:r>
      <w:r>
        <w:rPr>
          <w:rFonts w:hint="eastAsia" w:ascii="宋体" w:hAnsi="宋体"/>
          <w:i/>
          <w:iCs/>
          <w:color w:val="auto"/>
          <w:sz w:val="22"/>
          <w:szCs w:val="21"/>
          <w:u w:val="single"/>
        </w:rPr>
        <w:t>或者成交</w:t>
      </w:r>
      <w:r>
        <w:rPr>
          <w:rFonts w:ascii="宋体" w:hAnsi="宋体"/>
          <w:i/>
          <w:iCs/>
          <w:color w:val="auto"/>
          <w:sz w:val="22"/>
          <w:szCs w:val="21"/>
          <w:u w:val="single"/>
        </w:rPr>
        <w:t>标供应商名称）</w:t>
      </w:r>
      <w:r>
        <w:rPr>
          <w:rFonts w:ascii="宋体" w:hAnsi="宋体"/>
          <w:color w:val="auto"/>
          <w:sz w:val="22"/>
          <w:szCs w:val="21"/>
          <w:u w:val="single"/>
        </w:rPr>
        <w:t xml:space="preserve"> </w:t>
      </w:r>
      <w:r>
        <w:rPr>
          <w:rFonts w:ascii="宋体" w:hAnsi="宋体"/>
          <w:color w:val="auto"/>
          <w:sz w:val="22"/>
          <w:szCs w:val="21"/>
          <w:lang w:val="zh-CN"/>
        </w:rPr>
        <w:t>(以下简称：乙方)协商一致，约定以下合同</w:t>
      </w:r>
      <w:r>
        <w:rPr>
          <w:rFonts w:hint="eastAsia" w:ascii="宋体" w:hAnsi="宋体"/>
          <w:color w:val="auto"/>
          <w:sz w:val="22"/>
          <w:szCs w:val="21"/>
        </w:rPr>
        <w:t>条款，以兹共同遵守、全面履行。</w:t>
      </w:r>
    </w:p>
    <w:p w14:paraId="31012037">
      <w:pPr>
        <w:spacing w:line="360" w:lineRule="auto"/>
        <w:ind w:firstLine="442" w:firstLineChars="200"/>
        <w:outlineLvl w:val="0"/>
        <w:rPr>
          <w:rFonts w:ascii="宋体" w:hAnsi="宋体"/>
          <w:color w:val="auto"/>
          <w:sz w:val="22"/>
          <w:szCs w:val="21"/>
        </w:rPr>
      </w:pPr>
      <w:bookmarkStart w:id="34" w:name="_Toc15367"/>
      <w:bookmarkStart w:id="35" w:name="_Toc20421"/>
      <w:bookmarkStart w:id="36" w:name="_Toc19273"/>
      <w:bookmarkStart w:id="37" w:name="_Toc28855"/>
      <w:bookmarkStart w:id="38" w:name="_Toc22967"/>
      <w:r>
        <w:rPr>
          <w:rFonts w:ascii="宋体" w:hAnsi="宋体"/>
          <w:b/>
          <w:color w:val="auto"/>
          <w:sz w:val="22"/>
          <w:szCs w:val="21"/>
        </w:rPr>
        <w:t xml:space="preserve">1.1 </w:t>
      </w:r>
      <w:r>
        <w:rPr>
          <w:rFonts w:hint="eastAsia" w:ascii="宋体" w:hAnsi="宋体"/>
          <w:b/>
          <w:color w:val="auto"/>
          <w:sz w:val="22"/>
          <w:szCs w:val="21"/>
        </w:rPr>
        <w:t>合同组成部分</w:t>
      </w:r>
      <w:bookmarkEnd w:id="34"/>
      <w:bookmarkEnd w:id="35"/>
      <w:bookmarkEnd w:id="36"/>
      <w:bookmarkEnd w:id="37"/>
      <w:bookmarkEnd w:id="38"/>
    </w:p>
    <w:p w14:paraId="472F3089">
      <w:pPr>
        <w:spacing w:line="360" w:lineRule="auto"/>
        <w:ind w:firstLine="440" w:firstLineChars="200"/>
        <w:rPr>
          <w:rFonts w:ascii="宋体" w:hAnsi="宋体"/>
          <w:color w:val="auto"/>
          <w:sz w:val="22"/>
          <w:szCs w:val="21"/>
        </w:rPr>
      </w:pPr>
      <w:r>
        <w:rPr>
          <w:rFonts w:hint="eastAsia" w:ascii="宋体" w:hAnsi="宋体"/>
          <w:color w:val="auto"/>
          <w:sz w:val="22"/>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9EDE37E">
      <w:pPr>
        <w:spacing w:line="360" w:lineRule="auto"/>
        <w:ind w:firstLine="440" w:firstLineChars="200"/>
        <w:rPr>
          <w:rFonts w:ascii="宋体" w:hAnsi="宋体"/>
          <w:color w:val="auto"/>
          <w:sz w:val="22"/>
          <w:szCs w:val="21"/>
        </w:rPr>
      </w:pPr>
      <w:r>
        <w:rPr>
          <w:rFonts w:ascii="宋体" w:hAnsi="宋体"/>
          <w:color w:val="auto"/>
          <w:sz w:val="22"/>
          <w:szCs w:val="21"/>
        </w:rPr>
        <w:t xml:space="preserve">1.1.1 </w:t>
      </w:r>
      <w:r>
        <w:rPr>
          <w:rFonts w:hint="eastAsia" w:ascii="宋体" w:hAnsi="宋体"/>
          <w:color w:val="auto"/>
          <w:sz w:val="22"/>
          <w:szCs w:val="21"/>
        </w:rPr>
        <w:t>本合同及其补充合同、变更协议；</w:t>
      </w:r>
    </w:p>
    <w:p w14:paraId="1DDC43D1">
      <w:pPr>
        <w:spacing w:line="360" w:lineRule="auto"/>
        <w:ind w:firstLine="440" w:firstLineChars="200"/>
        <w:rPr>
          <w:rFonts w:ascii="宋体" w:hAnsi="宋体"/>
          <w:color w:val="auto"/>
          <w:sz w:val="22"/>
          <w:szCs w:val="21"/>
        </w:rPr>
      </w:pPr>
      <w:r>
        <w:rPr>
          <w:rFonts w:ascii="宋体" w:hAnsi="宋体"/>
          <w:color w:val="auto"/>
          <w:sz w:val="22"/>
          <w:szCs w:val="21"/>
        </w:rPr>
        <w:t xml:space="preserve">1.1.2 </w:t>
      </w:r>
      <w:r>
        <w:rPr>
          <w:rFonts w:hint="eastAsia" w:ascii="宋体" w:hAnsi="宋体"/>
          <w:color w:val="auto"/>
          <w:sz w:val="22"/>
          <w:szCs w:val="21"/>
        </w:rPr>
        <w:t>中标或者成交通知书；</w:t>
      </w:r>
    </w:p>
    <w:p w14:paraId="56CAFEF1">
      <w:pPr>
        <w:spacing w:line="360" w:lineRule="auto"/>
        <w:ind w:firstLine="440" w:firstLineChars="200"/>
        <w:rPr>
          <w:rFonts w:ascii="宋体" w:hAnsi="宋体"/>
          <w:color w:val="auto"/>
          <w:sz w:val="22"/>
          <w:szCs w:val="21"/>
        </w:rPr>
      </w:pPr>
      <w:r>
        <w:rPr>
          <w:rFonts w:ascii="宋体" w:hAnsi="宋体"/>
          <w:color w:val="auto"/>
          <w:sz w:val="22"/>
          <w:szCs w:val="21"/>
        </w:rPr>
        <w:t xml:space="preserve">1.1.3 </w:t>
      </w:r>
      <w:r>
        <w:rPr>
          <w:rFonts w:hint="eastAsia" w:ascii="宋体" w:hAnsi="宋体"/>
          <w:color w:val="auto"/>
          <w:sz w:val="22"/>
          <w:szCs w:val="21"/>
        </w:rPr>
        <w:t>投标或者响应文件（含澄清或者说明文件）；</w:t>
      </w:r>
    </w:p>
    <w:p w14:paraId="4ED2846C">
      <w:pPr>
        <w:spacing w:line="360" w:lineRule="auto"/>
        <w:ind w:firstLine="440" w:firstLineChars="200"/>
        <w:rPr>
          <w:rFonts w:ascii="宋体" w:hAnsi="宋体"/>
          <w:color w:val="auto"/>
          <w:sz w:val="22"/>
          <w:szCs w:val="21"/>
        </w:rPr>
      </w:pPr>
      <w:r>
        <w:rPr>
          <w:rFonts w:ascii="宋体" w:hAnsi="宋体"/>
          <w:color w:val="auto"/>
          <w:sz w:val="22"/>
          <w:szCs w:val="21"/>
        </w:rPr>
        <w:t xml:space="preserve">1.1.4 </w:t>
      </w:r>
      <w:r>
        <w:rPr>
          <w:rFonts w:hint="eastAsia" w:ascii="宋体" w:hAnsi="宋体"/>
          <w:color w:val="auto"/>
          <w:sz w:val="22"/>
          <w:szCs w:val="21"/>
        </w:rPr>
        <w:t>采购文件（含澄清或者修改文件）；</w:t>
      </w:r>
    </w:p>
    <w:p w14:paraId="01198D99">
      <w:pPr>
        <w:spacing w:line="360" w:lineRule="auto"/>
        <w:ind w:firstLine="440" w:firstLineChars="200"/>
        <w:rPr>
          <w:rFonts w:ascii="宋体" w:hAnsi="宋体"/>
          <w:color w:val="auto"/>
          <w:sz w:val="22"/>
          <w:szCs w:val="21"/>
        </w:rPr>
      </w:pPr>
      <w:r>
        <w:rPr>
          <w:rFonts w:ascii="宋体" w:hAnsi="宋体"/>
          <w:color w:val="auto"/>
          <w:sz w:val="22"/>
          <w:szCs w:val="21"/>
        </w:rPr>
        <w:t xml:space="preserve">1.1.5 </w:t>
      </w:r>
      <w:r>
        <w:rPr>
          <w:rFonts w:hint="eastAsia" w:ascii="宋体" w:hAnsi="宋体"/>
          <w:color w:val="auto"/>
          <w:sz w:val="22"/>
          <w:szCs w:val="21"/>
        </w:rPr>
        <w:t>其他相关采购文件。</w:t>
      </w:r>
    </w:p>
    <w:p w14:paraId="623E4A2B">
      <w:pPr>
        <w:keepNext w:val="0"/>
        <w:keepLines w:val="0"/>
        <w:pageBreakBefore w:val="0"/>
        <w:kinsoku/>
        <w:wordWrap/>
        <w:overflowPunct/>
        <w:topLinePunct w:val="0"/>
        <w:autoSpaceDE w:val="0"/>
        <w:autoSpaceDN w:val="0"/>
        <w:bidi w:val="0"/>
        <w:adjustRightInd/>
        <w:snapToGrid/>
        <w:spacing w:line="360" w:lineRule="auto"/>
        <w:ind w:firstLine="442" w:firstLineChars="200"/>
        <w:textAlignment w:val="auto"/>
        <w:outlineLvl w:val="0"/>
        <w:rPr>
          <w:rFonts w:ascii="宋体" w:hAnsi="宋体"/>
          <w:b/>
          <w:color w:val="auto"/>
          <w:sz w:val="22"/>
          <w:szCs w:val="21"/>
        </w:rPr>
      </w:pPr>
      <w:bookmarkStart w:id="39" w:name="_Toc18585"/>
      <w:bookmarkStart w:id="40" w:name="_Toc6311"/>
      <w:bookmarkStart w:id="41" w:name="_Toc2918"/>
      <w:bookmarkStart w:id="42" w:name="_Toc6773"/>
      <w:bookmarkStart w:id="43" w:name="_Toc22185"/>
      <w:r>
        <w:rPr>
          <w:rFonts w:ascii="宋体" w:hAnsi="宋体"/>
          <w:b/>
          <w:color w:val="auto"/>
          <w:sz w:val="22"/>
          <w:szCs w:val="21"/>
        </w:rPr>
        <w:t xml:space="preserve">1.2 </w:t>
      </w:r>
      <w:r>
        <w:rPr>
          <w:rFonts w:hint="eastAsia" w:ascii="宋体" w:hAnsi="宋体"/>
          <w:b/>
          <w:color w:val="auto"/>
          <w:sz w:val="22"/>
          <w:szCs w:val="21"/>
        </w:rPr>
        <w:t>标的</w:t>
      </w:r>
      <w:bookmarkEnd w:id="39"/>
      <w:bookmarkEnd w:id="40"/>
      <w:bookmarkEnd w:id="41"/>
      <w:bookmarkEnd w:id="42"/>
      <w:bookmarkEnd w:id="43"/>
    </w:p>
    <w:p w14:paraId="748C2CEE">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olor w:val="auto"/>
          <w:sz w:val="22"/>
          <w:szCs w:val="21"/>
          <w:u w:val="single"/>
        </w:rPr>
      </w:pPr>
      <w:r>
        <w:rPr>
          <w:rFonts w:ascii="宋体" w:hAnsi="宋体"/>
          <w:color w:val="auto"/>
          <w:sz w:val="22"/>
          <w:szCs w:val="21"/>
        </w:rPr>
        <w:t xml:space="preserve">1.2.1 </w:t>
      </w:r>
      <w:r>
        <w:rPr>
          <w:rFonts w:hint="eastAsia" w:ascii="宋体" w:hAnsi="宋体"/>
          <w:color w:val="auto"/>
          <w:sz w:val="22"/>
          <w:szCs w:val="21"/>
        </w:rPr>
        <w:t>服务内容</w:t>
      </w:r>
      <w:r>
        <w:rPr>
          <w:rFonts w:ascii="宋体" w:hAnsi="宋体"/>
          <w:color w:val="auto"/>
          <w:sz w:val="22"/>
          <w:szCs w:val="21"/>
        </w:rPr>
        <w:t>：</w:t>
      </w:r>
      <w:r>
        <w:rPr>
          <w:rFonts w:ascii="宋体" w:hAnsi="宋体"/>
          <w:color w:val="auto"/>
          <w:sz w:val="22"/>
          <w:szCs w:val="21"/>
          <w:u w:val="single"/>
        </w:rPr>
        <w:t xml:space="preserve">                                        </w:t>
      </w:r>
      <w:r>
        <w:rPr>
          <w:rFonts w:hint="eastAsia" w:ascii="宋体" w:hAnsi="宋体"/>
          <w:color w:val="auto"/>
          <w:sz w:val="22"/>
          <w:szCs w:val="21"/>
        </w:rPr>
        <w:t>；</w:t>
      </w:r>
    </w:p>
    <w:p w14:paraId="6FDAB075">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olor w:val="auto"/>
          <w:sz w:val="22"/>
          <w:szCs w:val="21"/>
          <w:u w:val="single"/>
        </w:rPr>
      </w:pPr>
      <w:r>
        <w:rPr>
          <w:rFonts w:ascii="宋体" w:hAnsi="宋体"/>
          <w:color w:val="auto"/>
          <w:sz w:val="22"/>
          <w:szCs w:val="21"/>
        </w:rPr>
        <w:t xml:space="preserve">1.2.2 </w:t>
      </w:r>
      <w:r>
        <w:rPr>
          <w:rFonts w:hint="eastAsia" w:ascii="宋体" w:hAnsi="宋体"/>
          <w:color w:val="auto"/>
          <w:sz w:val="22"/>
          <w:szCs w:val="21"/>
        </w:rPr>
        <w:t>服务标准</w:t>
      </w:r>
      <w:r>
        <w:rPr>
          <w:rFonts w:ascii="宋体" w:hAnsi="宋体"/>
          <w:color w:val="auto"/>
          <w:sz w:val="22"/>
          <w:szCs w:val="21"/>
        </w:rPr>
        <w:t>：</w:t>
      </w:r>
      <w:r>
        <w:rPr>
          <w:rFonts w:ascii="宋体" w:hAnsi="宋体"/>
          <w:color w:val="auto"/>
          <w:sz w:val="22"/>
          <w:szCs w:val="21"/>
          <w:u w:val="single"/>
        </w:rPr>
        <w:t xml:space="preserve">                                                </w:t>
      </w:r>
      <w:r>
        <w:rPr>
          <w:rFonts w:hint="eastAsia" w:ascii="宋体" w:hAnsi="宋体"/>
          <w:color w:val="auto"/>
          <w:sz w:val="22"/>
          <w:szCs w:val="21"/>
        </w:rPr>
        <w:t>；</w:t>
      </w:r>
    </w:p>
    <w:p w14:paraId="33A5E937">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olor w:val="auto"/>
          <w:sz w:val="22"/>
          <w:szCs w:val="21"/>
          <w:u w:val="single"/>
        </w:rPr>
      </w:pPr>
      <w:r>
        <w:rPr>
          <w:rFonts w:ascii="宋体" w:hAnsi="宋体"/>
          <w:color w:val="auto"/>
          <w:sz w:val="22"/>
          <w:szCs w:val="21"/>
        </w:rPr>
        <w:t xml:space="preserve">1.2.3 </w:t>
      </w:r>
      <w:r>
        <w:rPr>
          <w:rFonts w:hint="eastAsia" w:ascii="宋体" w:hAnsi="宋体"/>
          <w:color w:val="auto"/>
          <w:sz w:val="22"/>
          <w:szCs w:val="21"/>
        </w:rPr>
        <w:t>技术保障：</w:t>
      </w:r>
      <w:r>
        <w:rPr>
          <w:rFonts w:ascii="宋体" w:hAnsi="宋体"/>
          <w:color w:val="auto"/>
          <w:sz w:val="22"/>
          <w:szCs w:val="21"/>
          <w:u w:val="single"/>
        </w:rPr>
        <w:t xml:space="preserve">　　　　　　　　　                      　      </w:t>
      </w:r>
      <w:r>
        <w:rPr>
          <w:rFonts w:hint="eastAsia" w:ascii="宋体" w:hAnsi="宋体"/>
          <w:color w:val="auto"/>
          <w:sz w:val="22"/>
          <w:szCs w:val="21"/>
          <w:u w:val="single"/>
        </w:rPr>
        <w:t>；</w:t>
      </w:r>
    </w:p>
    <w:p w14:paraId="5A691536">
      <w:pPr>
        <w:keepNext w:val="0"/>
        <w:keepLines w:val="0"/>
        <w:pageBreakBefore w:val="0"/>
        <w:kinsoku/>
        <w:wordWrap/>
        <w:overflowPunct/>
        <w:topLinePunct w:val="0"/>
        <w:autoSpaceDE w:val="0"/>
        <w:autoSpaceDN w:val="0"/>
        <w:bidi w:val="0"/>
        <w:adjustRightInd/>
        <w:snapToGrid/>
        <w:spacing w:line="360" w:lineRule="auto"/>
        <w:ind w:firstLine="440" w:firstLineChars="200"/>
        <w:jc w:val="left"/>
        <w:textAlignment w:val="auto"/>
        <w:rPr>
          <w:rFonts w:ascii="宋体" w:hAnsi="宋体"/>
          <w:color w:val="auto"/>
          <w:sz w:val="22"/>
          <w:szCs w:val="21"/>
        </w:rPr>
      </w:pPr>
      <w:r>
        <w:rPr>
          <w:rFonts w:hint="eastAsia" w:ascii="宋体" w:hAnsi="宋体"/>
          <w:color w:val="auto"/>
          <w:sz w:val="22"/>
          <w:szCs w:val="21"/>
        </w:rPr>
        <w:t>1.2.4 服务人员组成：</w:t>
      </w:r>
      <w:r>
        <w:rPr>
          <w:rFonts w:ascii="宋体" w:hAnsi="宋体"/>
          <w:color w:val="auto"/>
          <w:sz w:val="22"/>
          <w:szCs w:val="21"/>
          <w:u w:val="single"/>
        </w:rPr>
        <w:t xml:space="preserve">　　             　      </w:t>
      </w:r>
      <w:r>
        <w:rPr>
          <w:rFonts w:hint="eastAsia" w:ascii="宋体" w:hAnsi="宋体"/>
          <w:color w:val="auto"/>
          <w:sz w:val="22"/>
          <w:szCs w:val="21"/>
        </w:rPr>
        <w:t>；</w:t>
      </w:r>
    </w:p>
    <w:p w14:paraId="7C2E97B6">
      <w:pPr>
        <w:pStyle w:val="73"/>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firstLine="440" w:firstLineChars="200"/>
        <w:textAlignment w:val="auto"/>
        <w:rPr>
          <w:color w:val="auto"/>
          <w:sz w:val="22"/>
          <w:szCs w:val="21"/>
        </w:rPr>
      </w:pPr>
      <w:r>
        <w:rPr>
          <w:rFonts w:hint="eastAsia"/>
          <w:color w:val="auto"/>
          <w:sz w:val="22"/>
          <w:szCs w:val="21"/>
        </w:rPr>
        <w:t>1.2.5</w:t>
      </w:r>
      <w:r>
        <w:rPr>
          <w:rFonts w:hint="eastAsia"/>
          <w:color w:val="auto"/>
          <w:sz w:val="22"/>
          <w:szCs w:val="21"/>
          <w:lang w:val="en-US" w:eastAsia="zh-CN"/>
        </w:rPr>
        <w:t xml:space="preserve"> </w:t>
      </w:r>
      <w:r>
        <w:rPr>
          <w:rFonts w:hint="eastAsia"/>
          <w:color w:val="auto"/>
          <w:sz w:val="22"/>
          <w:szCs w:val="21"/>
        </w:rPr>
        <w:t>合同</w:t>
      </w:r>
      <w:r>
        <w:rPr>
          <w:rFonts w:hint="eastAsia"/>
          <w:color w:val="auto"/>
          <w:sz w:val="22"/>
          <w:szCs w:val="21"/>
          <w:u w:val="single"/>
        </w:rPr>
        <w:t xml:space="preserve"> </w:t>
      </w:r>
      <w:r>
        <w:rPr>
          <w:rFonts w:hint="eastAsia"/>
          <w:color w:val="auto"/>
          <w:sz w:val="22"/>
          <w:szCs w:val="21"/>
          <w:u w:val="single"/>
          <w:lang w:val="en-US" w:eastAsia="zh-CN"/>
        </w:rPr>
        <w:t>否</w:t>
      </w:r>
      <w:r>
        <w:rPr>
          <w:rFonts w:hint="eastAsia"/>
          <w:color w:val="auto"/>
          <w:sz w:val="22"/>
          <w:szCs w:val="21"/>
          <w:u w:val="single"/>
        </w:rPr>
        <w:t xml:space="preserve"> </w:t>
      </w:r>
      <w:r>
        <w:rPr>
          <w:rFonts w:hint="eastAsia"/>
          <w:color w:val="auto"/>
          <w:sz w:val="22"/>
          <w:szCs w:val="21"/>
        </w:rPr>
        <w:t>（是</w:t>
      </w:r>
      <w:r>
        <w:rPr>
          <w:rFonts w:hint="eastAsia" w:ascii="仿宋" w:hAnsi="仿宋" w:eastAsia="仿宋" w:cs="仿宋"/>
          <w:color w:val="auto"/>
          <w:sz w:val="22"/>
          <w:szCs w:val="21"/>
        </w:rPr>
        <w:t>/</w:t>
      </w:r>
      <w:r>
        <w:rPr>
          <w:rFonts w:hint="eastAsia"/>
          <w:color w:val="auto"/>
          <w:sz w:val="22"/>
          <w:szCs w:val="21"/>
        </w:rPr>
        <w:t>否）涉及货物。若涉及货物的，则：</w:t>
      </w:r>
    </w:p>
    <w:p w14:paraId="42375182">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s="宋体"/>
          <w:color w:val="auto"/>
          <w:sz w:val="22"/>
          <w:szCs w:val="21"/>
          <w:u w:val="single"/>
        </w:rPr>
      </w:pPr>
      <w:bookmarkStart w:id="44" w:name="_Toc13918"/>
      <w:bookmarkStart w:id="45" w:name="_Toc5635"/>
      <w:bookmarkStart w:id="46" w:name="_Toc1386"/>
      <w:bookmarkStart w:id="47" w:name="_Toc4929"/>
      <w:bookmarkStart w:id="48" w:name="_Toc21124"/>
      <w:r>
        <w:rPr>
          <w:rFonts w:hint="eastAsia" w:ascii="宋体" w:hAnsi="宋体" w:cs="宋体"/>
          <w:color w:val="auto"/>
          <w:sz w:val="22"/>
          <w:szCs w:val="21"/>
        </w:rPr>
        <w:t>1.2.5.1 货物名称、品牌、规格型号、花色：</w:t>
      </w:r>
      <w:r>
        <w:rPr>
          <w:rFonts w:hint="eastAsia" w:ascii="宋体" w:hAnsi="宋体" w:cs="宋体"/>
          <w:color w:val="auto"/>
          <w:sz w:val="22"/>
          <w:szCs w:val="21"/>
          <w:u w:val="single"/>
        </w:rPr>
        <w:t xml:space="preserve">                      </w:t>
      </w:r>
      <w:r>
        <w:rPr>
          <w:rFonts w:hint="eastAsia" w:ascii="宋体" w:hAnsi="宋体" w:cs="宋体"/>
          <w:color w:val="auto"/>
          <w:sz w:val="22"/>
          <w:szCs w:val="21"/>
        </w:rPr>
        <w:t>；</w:t>
      </w:r>
    </w:p>
    <w:p w14:paraId="59330C1D">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s="宋体"/>
          <w:color w:val="auto"/>
          <w:sz w:val="22"/>
          <w:szCs w:val="21"/>
          <w:u w:val="single"/>
        </w:rPr>
      </w:pPr>
      <w:r>
        <w:rPr>
          <w:rFonts w:hint="eastAsia" w:ascii="宋体" w:hAnsi="宋体" w:cs="宋体"/>
          <w:color w:val="auto"/>
          <w:sz w:val="22"/>
          <w:szCs w:val="21"/>
        </w:rPr>
        <w:t>1.2.5.2 货物数量：</w:t>
      </w:r>
      <w:r>
        <w:rPr>
          <w:rFonts w:hint="eastAsia" w:ascii="宋体" w:hAnsi="宋体" w:cs="宋体"/>
          <w:color w:val="auto"/>
          <w:sz w:val="22"/>
          <w:szCs w:val="21"/>
          <w:u w:val="single"/>
        </w:rPr>
        <w:t xml:space="preserve">                                       </w:t>
      </w:r>
      <w:r>
        <w:rPr>
          <w:rFonts w:hint="eastAsia" w:ascii="宋体" w:hAnsi="宋体" w:cs="宋体"/>
          <w:color w:val="auto"/>
          <w:sz w:val="22"/>
          <w:szCs w:val="21"/>
        </w:rPr>
        <w:t>；</w:t>
      </w:r>
    </w:p>
    <w:p w14:paraId="0E39DA56">
      <w:pPr>
        <w:spacing w:line="360" w:lineRule="auto"/>
        <w:ind w:firstLine="440" w:firstLineChars="200"/>
        <w:rPr>
          <w:rFonts w:ascii="宋体" w:hAnsi="宋体" w:cs="宋体"/>
          <w:color w:val="auto"/>
          <w:sz w:val="22"/>
          <w:szCs w:val="21"/>
          <w:u w:val="single"/>
        </w:rPr>
      </w:pPr>
      <w:r>
        <w:rPr>
          <w:rFonts w:hint="eastAsia" w:ascii="宋体" w:hAnsi="宋体" w:cs="宋体"/>
          <w:color w:val="auto"/>
          <w:sz w:val="22"/>
          <w:szCs w:val="21"/>
        </w:rPr>
        <w:t>1.2.5.3 货物质量：</w:t>
      </w:r>
      <w:r>
        <w:rPr>
          <w:rFonts w:hint="eastAsia" w:ascii="宋体" w:hAnsi="宋体" w:cs="宋体"/>
          <w:color w:val="auto"/>
          <w:sz w:val="22"/>
          <w:szCs w:val="21"/>
          <w:u w:val="single"/>
        </w:rPr>
        <w:t xml:space="preserve">　　　　　　　　　                      　 </w:t>
      </w:r>
      <w:r>
        <w:rPr>
          <w:rFonts w:hint="eastAsia" w:ascii="宋体" w:hAnsi="宋体" w:cs="宋体"/>
          <w:color w:val="auto"/>
          <w:sz w:val="22"/>
          <w:szCs w:val="21"/>
        </w:rPr>
        <w:t>；</w:t>
      </w:r>
    </w:p>
    <w:p w14:paraId="36F54E3C">
      <w:pPr>
        <w:spacing w:line="360" w:lineRule="auto"/>
        <w:ind w:firstLine="442" w:firstLineChars="200"/>
        <w:outlineLvl w:val="0"/>
        <w:rPr>
          <w:rFonts w:ascii="宋体" w:hAnsi="宋体"/>
          <w:b/>
          <w:color w:val="auto"/>
          <w:sz w:val="22"/>
          <w:szCs w:val="21"/>
        </w:rPr>
      </w:pPr>
      <w:r>
        <w:rPr>
          <w:rFonts w:ascii="宋体" w:hAnsi="宋体"/>
          <w:b/>
          <w:color w:val="auto"/>
          <w:sz w:val="22"/>
          <w:szCs w:val="21"/>
        </w:rPr>
        <w:t>1.3 价款</w:t>
      </w:r>
      <w:bookmarkEnd w:id="44"/>
      <w:bookmarkEnd w:id="45"/>
      <w:bookmarkEnd w:id="46"/>
      <w:bookmarkEnd w:id="47"/>
      <w:bookmarkEnd w:id="48"/>
    </w:p>
    <w:p w14:paraId="094D4E74">
      <w:pPr>
        <w:spacing w:line="360" w:lineRule="auto"/>
        <w:ind w:firstLine="440" w:firstLineChars="200"/>
        <w:rPr>
          <w:rFonts w:ascii="宋体" w:hAnsi="宋体"/>
          <w:color w:val="auto"/>
          <w:sz w:val="22"/>
          <w:szCs w:val="21"/>
        </w:rPr>
      </w:pPr>
      <w:r>
        <w:rPr>
          <w:rFonts w:hint="eastAsia" w:ascii="宋体" w:hAnsi="宋体" w:cs="宋体"/>
          <w:color w:val="auto"/>
          <w:sz w:val="22"/>
          <w:szCs w:val="21"/>
        </w:rPr>
        <w:t>本项目采用以下第</w:t>
      </w:r>
      <w:r>
        <w:rPr>
          <w:rFonts w:hint="eastAsia" w:ascii="宋体" w:hAnsi="宋体" w:cs="宋体"/>
          <w:color w:val="auto"/>
          <w:sz w:val="22"/>
          <w:szCs w:val="21"/>
          <w:u w:val="single"/>
        </w:rPr>
        <w:t xml:space="preserve">     </w:t>
      </w:r>
      <w:r>
        <w:rPr>
          <w:rFonts w:hint="eastAsia" w:ascii="宋体" w:hAnsi="宋体" w:cs="宋体"/>
          <w:color w:val="auto"/>
          <w:sz w:val="22"/>
          <w:szCs w:val="21"/>
        </w:rPr>
        <w:t>条款规定的计价方式计价。</w:t>
      </w:r>
    </w:p>
    <w:p w14:paraId="7C54CDFF">
      <w:pPr>
        <w:spacing w:line="360" w:lineRule="auto"/>
        <w:ind w:firstLine="440" w:firstLineChars="200"/>
        <w:rPr>
          <w:rFonts w:ascii="宋体" w:hAnsi="宋体"/>
          <w:color w:val="auto"/>
          <w:sz w:val="22"/>
          <w:szCs w:val="21"/>
        </w:rPr>
      </w:pPr>
      <w:r>
        <w:rPr>
          <w:rFonts w:hint="eastAsia" w:ascii="宋体" w:hAnsi="宋体"/>
          <w:color w:val="auto"/>
          <w:sz w:val="22"/>
          <w:szCs w:val="21"/>
        </w:rPr>
        <w:t>1.3.1</w:t>
      </w:r>
      <w:r>
        <w:rPr>
          <w:rFonts w:hint="eastAsia"/>
          <w:color w:val="auto"/>
          <w:sz w:val="22"/>
          <w:szCs w:val="21"/>
          <w:lang w:val="en-US" w:eastAsia="zh-CN"/>
        </w:rPr>
        <w:t xml:space="preserve"> </w:t>
      </w:r>
      <w:r>
        <w:rPr>
          <w:rFonts w:hint="eastAsia" w:ascii="宋体" w:hAnsi="宋体"/>
          <w:color w:val="auto"/>
          <w:sz w:val="22"/>
          <w:szCs w:val="21"/>
        </w:rPr>
        <w:t>总价合同，</w:t>
      </w:r>
      <w:r>
        <w:rPr>
          <w:rFonts w:ascii="宋体" w:hAnsi="宋体"/>
          <w:color w:val="auto"/>
          <w:sz w:val="22"/>
          <w:szCs w:val="21"/>
        </w:rPr>
        <w:t>本合同总价</w:t>
      </w:r>
      <w:r>
        <w:rPr>
          <w:rFonts w:hint="eastAsia" w:ascii="宋体" w:hAnsi="宋体"/>
          <w:color w:val="auto"/>
          <w:sz w:val="22"/>
          <w:szCs w:val="21"/>
        </w:rPr>
        <w:t>（含税）</w:t>
      </w:r>
      <w:r>
        <w:rPr>
          <w:rFonts w:ascii="宋体" w:hAnsi="宋体"/>
          <w:color w:val="auto"/>
          <w:sz w:val="22"/>
          <w:szCs w:val="21"/>
        </w:rPr>
        <w:t>为</w:t>
      </w:r>
      <w:r>
        <w:rPr>
          <w:rFonts w:hint="eastAsia" w:ascii="宋体" w:hAnsi="宋体"/>
          <w:color w:val="auto"/>
          <w:sz w:val="22"/>
          <w:szCs w:val="21"/>
        </w:rPr>
        <w:t>：￥</w:t>
      </w:r>
      <w:r>
        <w:rPr>
          <w:rFonts w:ascii="宋体" w:hAnsi="宋体"/>
          <w:color w:val="auto"/>
          <w:sz w:val="22"/>
          <w:szCs w:val="21"/>
          <w:u w:val="single"/>
        </w:rPr>
        <w:t xml:space="preserve">           </w:t>
      </w:r>
      <w:r>
        <w:rPr>
          <w:rFonts w:ascii="宋体" w:hAnsi="宋体"/>
          <w:color w:val="auto"/>
          <w:sz w:val="22"/>
          <w:szCs w:val="21"/>
        </w:rPr>
        <w:t>元</w:t>
      </w:r>
      <w:r>
        <w:rPr>
          <w:rFonts w:hint="eastAsia" w:ascii="宋体" w:hAnsi="宋体"/>
          <w:color w:val="auto"/>
          <w:sz w:val="22"/>
          <w:szCs w:val="21"/>
        </w:rPr>
        <w:t>（大写：</w:t>
      </w:r>
      <w:r>
        <w:rPr>
          <w:rFonts w:ascii="宋体" w:hAnsi="宋体"/>
          <w:color w:val="auto"/>
          <w:sz w:val="22"/>
          <w:szCs w:val="21"/>
          <w:u w:val="single"/>
        </w:rPr>
        <w:t xml:space="preserve">                 </w:t>
      </w:r>
      <w:r>
        <w:rPr>
          <w:rFonts w:hint="eastAsia" w:ascii="宋体" w:hAnsi="宋体"/>
          <w:color w:val="auto"/>
          <w:sz w:val="22"/>
          <w:szCs w:val="21"/>
        </w:rPr>
        <w:t>元人民币）</w:t>
      </w:r>
      <w:r>
        <w:rPr>
          <w:rFonts w:ascii="宋体" w:hAnsi="宋体"/>
          <w:color w:val="auto"/>
          <w:sz w:val="22"/>
          <w:szCs w:val="21"/>
        </w:rPr>
        <w:t>。</w:t>
      </w:r>
    </w:p>
    <w:p w14:paraId="1ABAE6BB">
      <w:pPr>
        <w:spacing w:line="360" w:lineRule="auto"/>
        <w:ind w:firstLine="440" w:firstLineChars="200"/>
        <w:rPr>
          <w:rFonts w:ascii="宋体" w:hAnsi="宋体"/>
          <w:color w:val="auto"/>
          <w:sz w:val="22"/>
          <w:szCs w:val="21"/>
          <w:u w:val="single"/>
        </w:rPr>
      </w:pPr>
      <w:r>
        <w:rPr>
          <w:rFonts w:ascii="宋体" w:hAnsi="宋体"/>
          <w:color w:val="auto"/>
          <w:sz w:val="22"/>
          <w:szCs w:val="21"/>
        </w:rPr>
        <w:t>分项价格：</w:t>
      </w:r>
    </w:p>
    <w:tbl>
      <w:tblPr>
        <w:tblStyle w:val="2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8AE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1" w:type="dxa"/>
            <w:vAlign w:val="center"/>
          </w:tcPr>
          <w:p w14:paraId="15B9052F">
            <w:pPr>
              <w:pStyle w:val="66"/>
              <w:spacing w:line="240" w:lineRule="auto"/>
              <w:ind w:left="0" w:leftChars="0" w:firstLine="0"/>
              <w:jc w:val="center"/>
              <w:rPr>
                <w:rFonts w:hAnsi="宋体"/>
                <w:color w:val="auto"/>
                <w:sz w:val="22"/>
                <w:szCs w:val="22"/>
              </w:rPr>
            </w:pPr>
            <w:r>
              <w:rPr>
                <w:rFonts w:hAnsi="宋体"/>
                <w:color w:val="auto"/>
                <w:sz w:val="22"/>
                <w:szCs w:val="22"/>
              </w:rPr>
              <w:t>序号</w:t>
            </w:r>
          </w:p>
        </w:tc>
        <w:tc>
          <w:tcPr>
            <w:tcW w:w="3402" w:type="dxa"/>
            <w:vAlign w:val="center"/>
          </w:tcPr>
          <w:p w14:paraId="391441AB">
            <w:pPr>
              <w:pStyle w:val="66"/>
              <w:spacing w:line="240" w:lineRule="auto"/>
              <w:ind w:left="0" w:leftChars="0" w:firstLine="0"/>
              <w:jc w:val="center"/>
              <w:rPr>
                <w:rFonts w:hAnsi="宋体"/>
                <w:color w:val="auto"/>
                <w:sz w:val="22"/>
                <w:szCs w:val="22"/>
              </w:rPr>
            </w:pPr>
            <w:r>
              <w:rPr>
                <w:rFonts w:hint="eastAsia" w:hAnsi="宋体"/>
                <w:color w:val="auto"/>
                <w:sz w:val="22"/>
                <w:szCs w:val="22"/>
              </w:rPr>
              <w:t>分项名称</w:t>
            </w:r>
          </w:p>
        </w:tc>
        <w:tc>
          <w:tcPr>
            <w:tcW w:w="2552" w:type="dxa"/>
            <w:vAlign w:val="center"/>
          </w:tcPr>
          <w:p w14:paraId="7BCD4A20">
            <w:pPr>
              <w:pStyle w:val="66"/>
              <w:spacing w:line="240" w:lineRule="auto"/>
              <w:ind w:left="0" w:leftChars="0" w:firstLine="0"/>
              <w:jc w:val="center"/>
              <w:rPr>
                <w:rFonts w:hAnsi="宋体"/>
                <w:color w:val="auto"/>
                <w:sz w:val="22"/>
                <w:szCs w:val="22"/>
              </w:rPr>
            </w:pPr>
            <w:r>
              <w:rPr>
                <w:rFonts w:hAnsi="宋体"/>
                <w:color w:val="auto"/>
                <w:sz w:val="22"/>
                <w:szCs w:val="22"/>
              </w:rPr>
              <w:t>分项价格</w:t>
            </w:r>
          </w:p>
        </w:tc>
      </w:tr>
      <w:tr w14:paraId="0886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1" w:type="dxa"/>
            <w:vAlign w:val="center"/>
          </w:tcPr>
          <w:p w14:paraId="1D8F6E3E">
            <w:pPr>
              <w:pStyle w:val="66"/>
              <w:spacing w:line="240" w:lineRule="auto"/>
              <w:ind w:left="0" w:leftChars="0" w:firstLine="0"/>
              <w:jc w:val="center"/>
              <w:rPr>
                <w:rFonts w:hAnsi="宋体"/>
                <w:color w:val="auto"/>
                <w:sz w:val="22"/>
                <w:szCs w:val="22"/>
              </w:rPr>
            </w:pPr>
          </w:p>
        </w:tc>
        <w:tc>
          <w:tcPr>
            <w:tcW w:w="3402" w:type="dxa"/>
            <w:vAlign w:val="center"/>
          </w:tcPr>
          <w:p w14:paraId="4ED91C41">
            <w:pPr>
              <w:pStyle w:val="66"/>
              <w:spacing w:line="240" w:lineRule="auto"/>
              <w:ind w:left="0" w:leftChars="0" w:firstLine="0"/>
              <w:jc w:val="center"/>
              <w:rPr>
                <w:rFonts w:hAnsi="宋体"/>
                <w:color w:val="auto"/>
                <w:sz w:val="22"/>
                <w:szCs w:val="22"/>
              </w:rPr>
            </w:pPr>
          </w:p>
        </w:tc>
        <w:tc>
          <w:tcPr>
            <w:tcW w:w="2552" w:type="dxa"/>
            <w:vAlign w:val="center"/>
          </w:tcPr>
          <w:p w14:paraId="4511A24C">
            <w:pPr>
              <w:pStyle w:val="66"/>
              <w:spacing w:line="240" w:lineRule="auto"/>
              <w:ind w:left="0" w:leftChars="0" w:firstLine="0"/>
              <w:jc w:val="center"/>
              <w:rPr>
                <w:rFonts w:hAnsi="宋体"/>
                <w:color w:val="auto"/>
                <w:sz w:val="22"/>
                <w:szCs w:val="22"/>
              </w:rPr>
            </w:pPr>
          </w:p>
        </w:tc>
      </w:tr>
      <w:tr w14:paraId="47EF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1" w:type="dxa"/>
            <w:vAlign w:val="center"/>
          </w:tcPr>
          <w:p w14:paraId="03A140FC">
            <w:pPr>
              <w:pStyle w:val="66"/>
              <w:spacing w:line="240" w:lineRule="auto"/>
              <w:ind w:left="0" w:leftChars="0" w:firstLine="0"/>
              <w:jc w:val="center"/>
              <w:rPr>
                <w:rFonts w:hAnsi="宋体"/>
                <w:color w:val="auto"/>
                <w:sz w:val="22"/>
                <w:szCs w:val="22"/>
              </w:rPr>
            </w:pPr>
          </w:p>
        </w:tc>
        <w:tc>
          <w:tcPr>
            <w:tcW w:w="3402" w:type="dxa"/>
            <w:vAlign w:val="center"/>
          </w:tcPr>
          <w:p w14:paraId="5F56626C">
            <w:pPr>
              <w:pStyle w:val="66"/>
              <w:spacing w:line="240" w:lineRule="auto"/>
              <w:ind w:left="0" w:leftChars="0" w:firstLine="0"/>
              <w:jc w:val="center"/>
              <w:rPr>
                <w:rFonts w:hAnsi="宋体"/>
                <w:color w:val="auto"/>
                <w:sz w:val="22"/>
                <w:szCs w:val="22"/>
              </w:rPr>
            </w:pPr>
          </w:p>
        </w:tc>
        <w:tc>
          <w:tcPr>
            <w:tcW w:w="2552" w:type="dxa"/>
            <w:vAlign w:val="center"/>
          </w:tcPr>
          <w:p w14:paraId="60B2F1B0">
            <w:pPr>
              <w:pStyle w:val="66"/>
              <w:spacing w:line="240" w:lineRule="auto"/>
              <w:ind w:left="0" w:leftChars="0" w:firstLine="0"/>
              <w:jc w:val="center"/>
              <w:rPr>
                <w:rFonts w:hAnsi="宋体"/>
                <w:color w:val="auto"/>
                <w:sz w:val="22"/>
                <w:szCs w:val="22"/>
              </w:rPr>
            </w:pPr>
          </w:p>
        </w:tc>
      </w:tr>
      <w:tr w14:paraId="64B9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1" w:type="dxa"/>
            <w:vAlign w:val="center"/>
          </w:tcPr>
          <w:p w14:paraId="23073842">
            <w:pPr>
              <w:pStyle w:val="66"/>
              <w:spacing w:line="240" w:lineRule="auto"/>
              <w:ind w:left="0" w:leftChars="0" w:firstLine="0"/>
              <w:jc w:val="center"/>
              <w:rPr>
                <w:rFonts w:hAnsi="宋体"/>
                <w:color w:val="auto"/>
                <w:sz w:val="22"/>
                <w:szCs w:val="22"/>
              </w:rPr>
            </w:pPr>
          </w:p>
        </w:tc>
        <w:tc>
          <w:tcPr>
            <w:tcW w:w="3402" w:type="dxa"/>
            <w:vAlign w:val="center"/>
          </w:tcPr>
          <w:p w14:paraId="5486A7A3">
            <w:pPr>
              <w:pStyle w:val="66"/>
              <w:spacing w:line="240" w:lineRule="auto"/>
              <w:ind w:left="0" w:leftChars="0" w:firstLine="0"/>
              <w:jc w:val="center"/>
              <w:rPr>
                <w:rFonts w:hAnsi="宋体"/>
                <w:color w:val="auto"/>
                <w:sz w:val="22"/>
                <w:szCs w:val="22"/>
              </w:rPr>
            </w:pPr>
          </w:p>
        </w:tc>
        <w:tc>
          <w:tcPr>
            <w:tcW w:w="2552" w:type="dxa"/>
            <w:vAlign w:val="center"/>
          </w:tcPr>
          <w:p w14:paraId="1CE48F61">
            <w:pPr>
              <w:pStyle w:val="66"/>
              <w:spacing w:line="240" w:lineRule="auto"/>
              <w:ind w:left="0" w:leftChars="0" w:firstLine="0"/>
              <w:jc w:val="center"/>
              <w:rPr>
                <w:rFonts w:hAnsi="宋体"/>
                <w:color w:val="auto"/>
                <w:sz w:val="22"/>
                <w:szCs w:val="22"/>
              </w:rPr>
            </w:pPr>
          </w:p>
        </w:tc>
      </w:tr>
      <w:tr w14:paraId="09F4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1" w:type="dxa"/>
            <w:vAlign w:val="center"/>
          </w:tcPr>
          <w:p w14:paraId="3BF4C501">
            <w:pPr>
              <w:pStyle w:val="66"/>
              <w:spacing w:line="240" w:lineRule="auto"/>
              <w:ind w:left="0" w:leftChars="0" w:firstLine="0"/>
              <w:jc w:val="center"/>
              <w:rPr>
                <w:rFonts w:hAnsi="宋体"/>
                <w:color w:val="auto"/>
                <w:sz w:val="22"/>
                <w:szCs w:val="22"/>
              </w:rPr>
            </w:pPr>
          </w:p>
        </w:tc>
        <w:tc>
          <w:tcPr>
            <w:tcW w:w="3402" w:type="dxa"/>
            <w:vAlign w:val="center"/>
          </w:tcPr>
          <w:p w14:paraId="034E62D2">
            <w:pPr>
              <w:pStyle w:val="66"/>
              <w:spacing w:line="240" w:lineRule="auto"/>
              <w:ind w:left="0" w:leftChars="0" w:firstLine="0"/>
              <w:jc w:val="center"/>
              <w:rPr>
                <w:rFonts w:hAnsi="宋体"/>
                <w:color w:val="auto"/>
                <w:sz w:val="22"/>
                <w:szCs w:val="22"/>
              </w:rPr>
            </w:pPr>
          </w:p>
        </w:tc>
        <w:tc>
          <w:tcPr>
            <w:tcW w:w="2552" w:type="dxa"/>
            <w:vAlign w:val="center"/>
          </w:tcPr>
          <w:p w14:paraId="2FE81967">
            <w:pPr>
              <w:pStyle w:val="66"/>
              <w:spacing w:line="240" w:lineRule="auto"/>
              <w:ind w:left="0" w:leftChars="0" w:firstLine="0"/>
              <w:jc w:val="center"/>
              <w:rPr>
                <w:rFonts w:hAnsi="宋体"/>
                <w:color w:val="auto"/>
                <w:sz w:val="22"/>
                <w:szCs w:val="22"/>
              </w:rPr>
            </w:pPr>
          </w:p>
        </w:tc>
      </w:tr>
      <w:tr w14:paraId="3318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3" w:type="dxa"/>
            <w:gridSpan w:val="2"/>
            <w:vAlign w:val="center"/>
          </w:tcPr>
          <w:p w14:paraId="0C3D50C9">
            <w:pPr>
              <w:pStyle w:val="66"/>
              <w:spacing w:line="240" w:lineRule="auto"/>
              <w:ind w:left="0" w:leftChars="0" w:firstLine="0"/>
              <w:jc w:val="center"/>
              <w:rPr>
                <w:rFonts w:hAnsi="宋体"/>
                <w:color w:val="auto"/>
                <w:sz w:val="22"/>
                <w:szCs w:val="22"/>
              </w:rPr>
            </w:pPr>
            <w:r>
              <w:rPr>
                <w:rFonts w:hint="eastAsia" w:hAnsi="宋体"/>
                <w:color w:val="auto"/>
                <w:sz w:val="22"/>
                <w:szCs w:val="22"/>
              </w:rPr>
              <w:t>总价</w:t>
            </w:r>
          </w:p>
        </w:tc>
        <w:tc>
          <w:tcPr>
            <w:tcW w:w="2552" w:type="dxa"/>
            <w:vAlign w:val="center"/>
          </w:tcPr>
          <w:p w14:paraId="51357437">
            <w:pPr>
              <w:pStyle w:val="66"/>
              <w:spacing w:line="240" w:lineRule="auto"/>
              <w:ind w:left="0" w:leftChars="0" w:firstLine="0"/>
              <w:jc w:val="center"/>
              <w:rPr>
                <w:rFonts w:hAnsi="宋体"/>
                <w:color w:val="auto"/>
                <w:sz w:val="22"/>
                <w:szCs w:val="22"/>
              </w:rPr>
            </w:pPr>
          </w:p>
        </w:tc>
      </w:tr>
    </w:tbl>
    <w:p w14:paraId="26F6E8F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bCs/>
          <w:color w:val="auto"/>
          <w:sz w:val="22"/>
          <w:szCs w:val="21"/>
        </w:rPr>
      </w:pPr>
      <w:bookmarkStart w:id="49" w:name="_Toc14993"/>
      <w:bookmarkStart w:id="50" w:name="_Toc3654"/>
      <w:bookmarkStart w:id="51" w:name="_Toc30158"/>
      <w:bookmarkStart w:id="52" w:name="_Toc26916"/>
      <w:bookmarkStart w:id="53" w:name="_Toc30506"/>
    </w:p>
    <w:p w14:paraId="3824BCE0">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ascii="宋体" w:hAnsi="宋体"/>
          <w:color w:val="auto"/>
          <w:sz w:val="22"/>
          <w:szCs w:val="21"/>
        </w:rPr>
      </w:pPr>
      <w:r>
        <w:rPr>
          <w:rFonts w:hint="eastAsia" w:ascii="宋体" w:hAnsi="宋体"/>
          <w:bCs/>
          <w:color w:val="auto"/>
          <w:sz w:val="22"/>
          <w:szCs w:val="21"/>
        </w:rPr>
        <w:t>1.3.2</w:t>
      </w:r>
      <w:r>
        <w:rPr>
          <w:rFonts w:hint="eastAsia"/>
          <w:bCs/>
          <w:color w:val="auto"/>
          <w:sz w:val="22"/>
          <w:szCs w:val="21"/>
          <w:lang w:val="en-US" w:eastAsia="zh-CN"/>
        </w:rPr>
        <w:t xml:space="preserve"> </w:t>
      </w:r>
      <w:r>
        <w:rPr>
          <w:rFonts w:hint="eastAsia" w:ascii="宋体" w:hAnsi="宋体"/>
          <w:bCs/>
          <w:color w:val="auto"/>
          <w:sz w:val="22"/>
          <w:szCs w:val="21"/>
        </w:rPr>
        <w:t>单价合同，本合同单价（含税）标准为：</w:t>
      </w:r>
      <w:r>
        <w:rPr>
          <w:rFonts w:hint="eastAsia" w:ascii="宋体" w:hAnsi="宋体"/>
          <w:bCs/>
          <w:color w:val="auto"/>
          <w:sz w:val="22"/>
          <w:szCs w:val="21"/>
          <w:u w:val="single"/>
        </w:rPr>
        <w:t xml:space="preserve">              </w:t>
      </w:r>
      <w:r>
        <w:rPr>
          <w:rFonts w:ascii="宋体" w:hAnsi="宋体"/>
          <w:color w:val="auto"/>
          <w:sz w:val="22"/>
          <w:szCs w:val="21"/>
        </w:rPr>
        <w:t>。</w:t>
      </w:r>
      <w:r>
        <w:rPr>
          <w:rFonts w:hint="eastAsia" w:ascii="宋体" w:hAnsi="宋体"/>
          <w:color w:val="auto"/>
          <w:sz w:val="22"/>
          <w:szCs w:val="21"/>
        </w:rPr>
        <w:t>服务工作量的计量方式为：</w:t>
      </w:r>
      <w:r>
        <w:rPr>
          <w:rFonts w:hint="eastAsia" w:ascii="宋体" w:hAnsi="宋体"/>
          <w:bCs/>
          <w:color w:val="auto"/>
          <w:sz w:val="22"/>
          <w:szCs w:val="21"/>
          <w:u w:val="single"/>
        </w:rPr>
        <w:t xml:space="preserve">  </w:t>
      </w:r>
      <w:r>
        <w:rPr>
          <w:rFonts w:hint="eastAsia" w:ascii="宋体" w:hAnsi="宋体" w:cs="宋体"/>
          <w:b/>
          <w:i/>
          <w:color w:val="auto"/>
          <w:sz w:val="22"/>
          <w:szCs w:val="21"/>
          <w:u w:val="single"/>
        </w:rPr>
        <w:t>合同专用条款</w:t>
      </w:r>
      <w:r>
        <w:rPr>
          <w:rFonts w:hint="eastAsia" w:ascii="宋体" w:hAnsi="宋体"/>
          <w:bCs/>
          <w:color w:val="auto"/>
          <w:sz w:val="22"/>
          <w:szCs w:val="21"/>
          <w:u w:val="single"/>
        </w:rPr>
        <w:t xml:space="preserve">  </w:t>
      </w:r>
      <w:r>
        <w:rPr>
          <w:rFonts w:ascii="宋体" w:hAnsi="宋体"/>
          <w:color w:val="auto"/>
          <w:sz w:val="22"/>
          <w:szCs w:val="21"/>
        </w:rPr>
        <w:t>。</w:t>
      </w:r>
      <w:r>
        <w:rPr>
          <w:rFonts w:hint="eastAsia" w:ascii="宋体" w:hAnsi="宋体"/>
          <w:color w:val="auto"/>
          <w:sz w:val="22"/>
          <w:szCs w:val="21"/>
        </w:rPr>
        <w:t>单价合同，在合同履行期间内，根据实际完成的工作量据实结算，但结算总价上限不得超过预算金额或者双方确定的金额￥</w:t>
      </w:r>
      <w:r>
        <w:rPr>
          <w:rFonts w:ascii="宋体" w:hAnsi="宋体"/>
          <w:color w:val="auto"/>
          <w:sz w:val="22"/>
          <w:szCs w:val="21"/>
          <w:u w:val="single"/>
        </w:rPr>
        <w:t xml:space="preserve">           </w:t>
      </w:r>
      <w:r>
        <w:rPr>
          <w:rFonts w:ascii="宋体" w:hAnsi="宋体"/>
          <w:color w:val="auto"/>
          <w:sz w:val="22"/>
          <w:szCs w:val="21"/>
        </w:rPr>
        <w:t>元</w:t>
      </w:r>
      <w:r>
        <w:rPr>
          <w:rFonts w:hint="eastAsia" w:ascii="宋体" w:hAnsi="宋体"/>
          <w:color w:val="auto"/>
          <w:sz w:val="22"/>
          <w:szCs w:val="21"/>
        </w:rPr>
        <w:t>（大写：</w:t>
      </w:r>
      <w:r>
        <w:rPr>
          <w:rFonts w:ascii="宋体" w:hAnsi="宋体"/>
          <w:color w:val="auto"/>
          <w:sz w:val="22"/>
          <w:szCs w:val="21"/>
          <w:u w:val="single"/>
        </w:rPr>
        <w:t xml:space="preserve">             </w:t>
      </w:r>
      <w:r>
        <w:rPr>
          <w:rFonts w:hint="eastAsia" w:ascii="宋体" w:hAnsi="宋体"/>
          <w:color w:val="auto"/>
          <w:sz w:val="22"/>
          <w:szCs w:val="21"/>
        </w:rPr>
        <w:t>元人民币）。</w:t>
      </w:r>
    </w:p>
    <w:p w14:paraId="74A157DC">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color w:val="auto"/>
          <w:sz w:val="28"/>
          <w:szCs w:val="28"/>
          <w:lang w:val="en-US"/>
        </w:rPr>
      </w:pPr>
      <w:r>
        <w:rPr>
          <w:rFonts w:hint="eastAsia" w:ascii="宋体" w:hAnsi="宋体" w:eastAsia="宋体" w:cs="宋体"/>
          <w:b w:val="0"/>
          <w:bCs w:val="0"/>
          <w:color w:val="auto"/>
          <w:sz w:val="22"/>
          <w:szCs w:val="28"/>
          <w:lang w:val="en-US"/>
        </w:rPr>
        <w:t>1.3.3</w:t>
      </w:r>
      <w:r>
        <w:rPr>
          <w:rFonts w:hint="eastAsia" w:cs="宋体"/>
          <w:b w:val="0"/>
          <w:bCs w:val="0"/>
          <w:color w:val="auto"/>
          <w:sz w:val="22"/>
          <w:szCs w:val="28"/>
          <w:lang w:val="en-US" w:eastAsia="zh-CN"/>
        </w:rPr>
        <w:t xml:space="preserve"> </w:t>
      </w:r>
      <w:r>
        <w:rPr>
          <w:rFonts w:hint="eastAsia" w:ascii="宋体" w:hAnsi="宋体" w:eastAsia="宋体" w:cs="宋体"/>
          <w:b w:val="0"/>
          <w:bCs w:val="0"/>
          <w:color w:val="auto"/>
          <w:sz w:val="22"/>
          <w:szCs w:val="28"/>
          <w:lang w:val="en-US"/>
        </w:rPr>
        <w:t>其他计价方式：</w:t>
      </w:r>
      <w:r>
        <w:rPr>
          <w:rFonts w:hint="eastAsia" w:ascii="宋体" w:hAnsi="宋体" w:eastAsia="宋体" w:cs="宋体"/>
          <w:b w:val="0"/>
          <w:bCs w:val="0"/>
          <w:color w:val="auto"/>
          <w:sz w:val="22"/>
          <w:szCs w:val="28"/>
          <w:u w:val="single"/>
          <w:lang w:val="en-US"/>
        </w:rPr>
        <w:t xml:space="preserve">                   </w:t>
      </w:r>
      <w:r>
        <w:rPr>
          <w:rFonts w:hint="eastAsia" w:ascii="宋体" w:hAnsi="宋体" w:eastAsia="宋体" w:cs="宋体"/>
          <w:b w:val="0"/>
          <w:bCs w:val="0"/>
          <w:color w:val="auto"/>
          <w:sz w:val="22"/>
          <w:szCs w:val="28"/>
        </w:rPr>
        <w:t>。</w:t>
      </w:r>
    </w:p>
    <w:bookmarkEnd w:id="49"/>
    <w:bookmarkEnd w:id="50"/>
    <w:bookmarkEnd w:id="51"/>
    <w:bookmarkEnd w:id="52"/>
    <w:bookmarkEnd w:id="53"/>
    <w:p w14:paraId="0780448F">
      <w:pPr>
        <w:pStyle w:val="73"/>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firstLine="480"/>
        <w:textAlignment w:val="auto"/>
        <w:rPr>
          <w:b/>
          <w:color w:val="auto"/>
          <w:sz w:val="22"/>
          <w:szCs w:val="21"/>
        </w:rPr>
      </w:pPr>
      <w:bookmarkStart w:id="54" w:name="_Toc22618"/>
      <w:bookmarkStart w:id="55" w:name="_Toc10340"/>
      <w:bookmarkStart w:id="56" w:name="_Toc1814"/>
      <w:bookmarkStart w:id="57" w:name="_Toc3625"/>
      <w:bookmarkStart w:id="58" w:name="_Toc4760"/>
      <w:bookmarkStart w:id="59" w:name="_Toc31421"/>
      <w:bookmarkStart w:id="60" w:name="_Toc11108"/>
      <w:bookmarkStart w:id="61" w:name="_Toc8772"/>
      <w:r>
        <w:rPr>
          <w:rFonts w:hint="eastAsia"/>
          <w:b/>
          <w:color w:val="auto"/>
          <w:sz w:val="22"/>
          <w:szCs w:val="21"/>
        </w:rPr>
        <w:t>1.4</w:t>
      </w:r>
      <w:r>
        <w:rPr>
          <w:rFonts w:hint="eastAsia"/>
          <w:b/>
          <w:color w:val="auto"/>
          <w:sz w:val="22"/>
          <w:szCs w:val="21"/>
          <w:lang w:val="en-US" w:eastAsia="zh-CN"/>
        </w:rPr>
        <w:t xml:space="preserve"> </w:t>
      </w:r>
      <w:r>
        <w:rPr>
          <w:rFonts w:hint="eastAsia"/>
          <w:b/>
          <w:color w:val="auto"/>
          <w:sz w:val="22"/>
          <w:szCs w:val="21"/>
        </w:rPr>
        <w:t>履约保证金</w:t>
      </w:r>
    </w:p>
    <w:p w14:paraId="0EF87B79">
      <w:pPr>
        <w:pStyle w:val="73"/>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firstLine="480"/>
        <w:textAlignment w:val="auto"/>
        <w:rPr>
          <w:color w:val="auto"/>
          <w:sz w:val="22"/>
          <w:szCs w:val="21"/>
        </w:rPr>
      </w:pPr>
      <w:r>
        <w:rPr>
          <w:rFonts w:hint="eastAsia"/>
          <w:color w:val="auto"/>
          <w:sz w:val="22"/>
          <w:szCs w:val="21"/>
        </w:rPr>
        <w:t>乙方</w:t>
      </w:r>
      <w:r>
        <w:rPr>
          <w:rFonts w:hint="eastAsia"/>
          <w:color w:val="auto"/>
          <w:sz w:val="22"/>
          <w:szCs w:val="21"/>
          <w:u w:val="single"/>
        </w:rPr>
        <w:t xml:space="preserve"> </w:t>
      </w:r>
      <w:r>
        <w:rPr>
          <w:rFonts w:hint="eastAsia"/>
          <w:color w:val="auto"/>
          <w:sz w:val="22"/>
          <w:szCs w:val="21"/>
          <w:u w:val="single"/>
          <w:lang w:val="en-US" w:eastAsia="zh-CN"/>
        </w:rPr>
        <w:t>否</w:t>
      </w:r>
      <w:r>
        <w:rPr>
          <w:rFonts w:hint="eastAsia"/>
          <w:color w:val="auto"/>
          <w:sz w:val="22"/>
          <w:szCs w:val="21"/>
          <w:u w:val="single"/>
        </w:rPr>
        <w:t xml:space="preserve"> </w:t>
      </w:r>
      <w:r>
        <w:rPr>
          <w:rFonts w:hint="eastAsia"/>
          <w:color w:val="auto"/>
          <w:sz w:val="22"/>
          <w:szCs w:val="21"/>
        </w:rPr>
        <w:t>（是</w:t>
      </w:r>
      <w:r>
        <w:rPr>
          <w:rFonts w:hint="eastAsia" w:ascii="仿宋" w:hAnsi="仿宋" w:eastAsia="仿宋" w:cs="仿宋"/>
          <w:color w:val="auto"/>
          <w:sz w:val="22"/>
          <w:szCs w:val="21"/>
        </w:rPr>
        <w:t>/</w:t>
      </w:r>
      <w:r>
        <w:rPr>
          <w:rFonts w:hint="eastAsia"/>
          <w:color w:val="auto"/>
          <w:sz w:val="22"/>
          <w:szCs w:val="21"/>
        </w:rPr>
        <w:t>否）需要支付履约保证金。若需要支付履约保证金的，则：</w:t>
      </w:r>
    </w:p>
    <w:p w14:paraId="14F0E042">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outlineLvl w:val="0"/>
        <w:rPr>
          <w:rFonts w:ascii="宋体" w:hAnsi="宋体" w:cs="宋体"/>
          <w:color w:val="auto"/>
          <w:kern w:val="0"/>
          <w:sz w:val="22"/>
          <w:szCs w:val="21"/>
        </w:rPr>
      </w:pPr>
      <w:r>
        <w:rPr>
          <w:rFonts w:hint="eastAsia" w:ascii="宋体" w:hAnsi="宋体" w:cs="宋体"/>
          <w:color w:val="auto"/>
          <w:kern w:val="0"/>
          <w:sz w:val="22"/>
          <w:szCs w:val="21"/>
        </w:rPr>
        <w:t>1.4.1</w:t>
      </w:r>
      <w:r>
        <w:rPr>
          <w:rFonts w:hint="eastAsia" w:cs="宋体"/>
          <w:color w:val="auto"/>
          <w:kern w:val="0"/>
          <w:sz w:val="22"/>
          <w:szCs w:val="21"/>
          <w:lang w:val="en-US" w:eastAsia="zh-CN"/>
        </w:rPr>
        <w:t xml:space="preserve"> </w:t>
      </w:r>
      <w:r>
        <w:rPr>
          <w:rFonts w:hint="eastAsia" w:ascii="宋体" w:hAnsi="宋体" w:cs="宋体"/>
          <w:color w:val="auto"/>
          <w:kern w:val="0"/>
          <w:sz w:val="22"/>
          <w:szCs w:val="21"/>
        </w:rPr>
        <w:t>履约保证金的比例为合同金额的</w:t>
      </w:r>
      <w:r>
        <w:rPr>
          <w:rFonts w:hint="eastAsia" w:ascii="宋体" w:hAnsi="宋体" w:cs="宋体"/>
          <w:color w:val="auto"/>
          <w:kern w:val="0"/>
          <w:sz w:val="22"/>
          <w:szCs w:val="21"/>
          <w:u w:val="single"/>
        </w:rPr>
        <w:t xml:space="preserve"> </w:t>
      </w:r>
      <w:r>
        <w:rPr>
          <w:rFonts w:hint="eastAsia" w:cs="宋体"/>
          <w:color w:val="auto"/>
          <w:kern w:val="0"/>
          <w:sz w:val="22"/>
          <w:szCs w:val="21"/>
          <w:u w:val="single"/>
          <w:lang w:val="en-US" w:eastAsia="zh-CN"/>
        </w:rPr>
        <w:t>/</w:t>
      </w:r>
      <w:r>
        <w:rPr>
          <w:rFonts w:hint="eastAsia" w:ascii="宋体" w:hAnsi="宋体" w:cs="宋体"/>
          <w:color w:val="auto"/>
          <w:kern w:val="0"/>
          <w:sz w:val="22"/>
          <w:szCs w:val="21"/>
          <w:u w:val="single"/>
        </w:rPr>
        <w:t xml:space="preserve"> </w:t>
      </w:r>
      <w:r>
        <w:rPr>
          <w:rFonts w:hint="eastAsia" w:ascii="宋体" w:hAnsi="宋体" w:cs="宋体"/>
          <w:color w:val="auto"/>
          <w:kern w:val="0"/>
          <w:sz w:val="22"/>
          <w:szCs w:val="21"/>
        </w:rPr>
        <w:t>%；</w:t>
      </w:r>
    </w:p>
    <w:p w14:paraId="71040A8F">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outlineLvl w:val="0"/>
        <w:rPr>
          <w:rFonts w:hint="eastAsia" w:ascii="宋体" w:hAnsi="宋体" w:cs="宋体"/>
          <w:color w:val="auto"/>
          <w:kern w:val="0"/>
          <w:sz w:val="22"/>
          <w:szCs w:val="21"/>
        </w:rPr>
      </w:pPr>
      <w:r>
        <w:rPr>
          <w:rFonts w:hint="eastAsia" w:ascii="宋体" w:hAnsi="宋体" w:cs="宋体"/>
          <w:color w:val="auto"/>
          <w:kern w:val="0"/>
          <w:sz w:val="22"/>
          <w:szCs w:val="21"/>
        </w:rPr>
        <w:t>1.4.2</w:t>
      </w:r>
      <w:r>
        <w:rPr>
          <w:rFonts w:hint="eastAsia" w:cs="宋体"/>
          <w:color w:val="auto"/>
          <w:kern w:val="0"/>
          <w:sz w:val="22"/>
          <w:szCs w:val="21"/>
          <w:lang w:val="en-US" w:eastAsia="zh-CN"/>
        </w:rPr>
        <w:t xml:space="preserve"> </w:t>
      </w:r>
      <w:r>
        <w:rPr>
          <w:rFonts w:hint="eastAsia" w:ascii="宋体" w:hAnsi="宋体" w:cs="宋体"/>
          <w:color w:val="auto"/>
          <w:kern w:val="0"/>
          <w:sz w:val="22"/>
          <w:szCs w:val="21"/>
        </w:rPr>
        <w:t>履约保证金支付方式详见</w:t>
      </w:r>
      <w:r>
        <w:rPr>
          <w:rFonts w:hint="eastAsia" w:ascii="宋体" w:hAnsi="宋体" w:cs="宋体"/>
          <w:color w:val="auto"/>
          <w:kern w:val="0"/>
          <w:sz w:val="22"/>
          <w:szCs w:val="21"/>
          <w:u w:val="single"/>
        </w:rPr>
        <w:t xml:space="preserve">    </w:t>
      </w:r>
      <w:r>
        <w:rPr>
          <w:rFonts w:hint="eastAsia" w:ascii="宋体" w:hAnsi="宋体" w:cs="宋体"/>
          <w:b/>
          <w:i/>
          <w:color w:val="auto"/>
          <w:sz w:val="22"/>
          <w:szCs w:val="21"/>
          <w:u w:val="single"/>
        </w:rPr>
        <w:t>合同专用条款</w:t>
      </w:r>
      <w:r>
        <w:rPr>
          <w:rFonts w:hint="eastAsia" w:ascii="宋体" w:hAnsi="宋体" w:cs="宋体"/>
          <w:color w:val="auto"/>
          <w:kern w:val="0"/>
          <w:sz w:val="22"/>
          <w:szCs w:val="21"/>
          <w:u w:val="single"/>
        </w:rPr>
        <w:t xml:space="preserve">           </w:t>
      </w:r>
      <w:r>
        <w:rPr>
          <w:rFonts w:hint="eastAsia" w:ascii="宋体" w:hAnsi="宋体" w:cs="宋体"/>
          <w:color w:val="auto"/>
          <w:kern w:val="0"/>
          <w:sz w:val="22"/>
          <w:szCs w:val="21"/>
        </w:rPr>
        <w:t>；</w:t>
      </w:r>
    </w:p>
    <w:p w14:paraId="537D0523">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outlineLvl w:val="0"/>
        <w:rPr>
          <w:color w:val="auto"/>
          <w:sz w:val="28"/>
          <w:szCs w:val="28"/>
          <w:lang w:val="en-US"/>
        </w:rPr>
      </w:pPr>
      <w:r>
        <w:rPr>
          <w:rFonts w:hint="eastAsia" w:ascii="宋体" w:hAnsi="宋体" w:eastAsia="宋体" w:cs="宋体"/>
          <w:b w:val="0"/>
          <w:bCs w:val="0"/>
          <w:color w:val="auto"/>
          <w:kern w:val="0"/>
          <w:sz w:val="22"/>
          <w:szCs w:val="22"/>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F51479B">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outlineLvl w:val="0"/>
        <w:rPr>
          <w:rFonts w:ascii="宋体" w:hAnsi="宋体" w:cs="宋体"/>
          <w:color w:val="auto"/>
          <w:kern w:val="0"/>
          <w:sz w:val="22"/>
          <w:szCs w:val="21"/>
        </w:rPr>
      </w:pPr>
      <w:r>
        <w:rPr>
          <w:rFonts w:hint="eastAsia" w:ascii="宋体" w:hAnsi="宋体" w:cs="宋体"/>
          <w:color w:val="auto"/>
          <w:kern w:val="0"/>
          <w:sz w:val="22"/>
          <w:szCs w:val="21"/>
        </w:rPr>
        <w:t>1.4.4</w:t>
      </w:r>
      <w:r>
        <w:rPr>
          <w:rFonts w:hint="eastAsia" w:cs="宋体"/>
          <w:color w:val="auto"/>
          <w:kern w:val="0"/>
          <w:sz w:val="22"/>
          <w:szCs w:val="21"/>
          <w:lang w:val="en-US" w:eastAsia="zh-CN"/>
        </w:rPr>
        <w:t xml:space="preserve"> </w:t>
      </w:r>
      <w:r>
        <w:rPr>
          <w:rFonts w:hint="eastAsia" w:ascii="宋体" w:hAnsi="宋体" w:cs="宋体"/>
          <w:color w:val="auto"/>
          <w:kern w:val="0"/>
          <w:sz w:val="22"/>
          <w:szCs w:val="21"/>
        </w:rPr>
        <w:t>甲方在项目验收结束后及时退还履约保证金。甲方在项目通过验收之日起</w:t>
      </w:r>
      <w:r>
        <w:rPr>
          <w:rFonts w:hint="eastAsia" w:ascii="宋体" w:hAnsi="宋体" w:cs="宋体"/>
          <w:color w:val="auto"/>
          <w:kern w:val="0"/>
          <w:sz w:val="22"/>
          <w:szCs w:val="21"/>
          <w:u w:val="single"/>
        </w:rPr>
        <w:t xml:space="preserve"> </w:t>
      </w:r>
      <w:r>
        <w:rPr>
          <w:rFonts w:hint="eastAsia" w:cs="宋体"/>
          <w:color w:val="auto"/>
          <w:kern w:val="0"/>
          <w:sz w:val="22"/>
          <w:szCs w:val="21"/>
          <w:u w:val="single"/>
          <w:lang w:val="en-US" w:eastAsia="zh-CN"/>
        </w:rPr>
        <w:t>/</w:t>
      </w:r>
      <w:r>
        <w:rPr>
          <w:rFonts w:hint="eastAsia" w:ascii="宋体" w:hAnsi="宋体" w:cs="宋体"/>
          <w:color w:val="auto"/>
          <w:kern w:val="0"/>
          <w:sz w:val="22"/>
          <w:szCs w:val="21"/>
          <w:u w:val="single"/>
        </w:rPr>
        <w:t xml:space="preserve"> </w:t>
      </w:r>
      <w:r>
        <w:rPr>
          <w:rFonts w:hint="eastAsia" w:ascii="宋体" w:hAnsi="宋体" w:cs="宋体"/>
          <w:color w:val="auto"/>
          <w:kern w:val="0"/>
          <w:sz w:val="22"/>
          <w:szCs w:val="21"/>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2"/>
          <w:szCs w:val="21"/>
          <w:u w:val="single"/>
        </w:rPr>
        <w:t xml:space="preserve"> </w:t>
      </w:r>
      <w:r>
        <w:rPr>
          <w:rFonts w:hint="eastAsia" w:cs="宋体"/>
          <w:color w:val="auto"/>
          <w:kern w:val="0"/>
          <w:sz w:val="22"/>
          <w:szCs w:val="21"/>
          <w:u w:val="single"/>
          <w:lang w:val="en-US" w:eastAsia="zh-CN"/>
        </w:rPr>
        <w:t>/</w:t>
      </w:r>
      <w:r>
        <w:rPr>
          <w:rFonts w:hint="eastAsia" w:ascii="宋体" w:hAnsi="宋体" w:cs="宋体"/>
          <w:color w:val="auto"/>
          <w:kern w:val="0"/>
          <w:sz w:val="22"/>
          <w:szCs w:val="21"/>
          <w:u w:val="single"/>
        </w:rPr>
        <w:t xml:space="preserve"> </w:t>
      </w:r>
      <w:r>
        <w:rPr>
          <w:rFonts w:hint="eastAsia" w:ascii="宋体" w:hAnsi="宋体" w:cs="宋体"/>
          <w:color w:val="auto"/>
          <w:kern w:val="0"/>
          <w:sz w:val="22"/>
          <w:szCs w:val="21"/>
        </w:rPr>
        <w:t>%计算，最高限额为本合同履约保证金的</w:t>
      </w:r>
      <w:r>
        <w:rPr>
          <w:rFonts w:hint="eastAsia" w:ascii="宋体" w:hAnsi="宋体" w:cs="宋体"/>
          <w:color w:val="auto"/>
          <w:kern w:val="0"/>
          <w:sz w:val="22"/>
          <w:szCs w:val="21"/>
          <w:u w:val="single"/>
        </w:rPr>
        <w:t xml:space="preserve"> </w:t>
      </w:r>
      <w:r>
        <w:rPr>
          <w:rFonts w:hint="eastAsia" w:cs="宋体"/>
          <w:color w:val="auto"/>
          <w:kern w:val="0"/>
          <w:sz w:val="22"/>
          <w:szCs w:val="21"/>
          <w:u w:val="single"/>
          <w:lang w:val="en-US" w:eastAsia="zh-CN"/>
        </w:rPr>
        <w:t>/</w:t>
      </w:r>
      <w:r>
        <w:rPr>
          <w:rFonts w:hint="eastAsia" w:ascii="宋体" w:hAnsi="宋体" w:cs="宋体"/>
          <w:color w:val="auto"/>
          <w:kern w:val="0"/>
          <w:sz w:val="22"/>
          <w:szCs w:val="21"/>
          <w:u w:val="single"/>
        </w:rPr>
        <w:t xml:space="preserve"> </w:t>
      </w:r>
      <w:r>
        <w:rPr>
          <w:rFonts w:hint="eastAsia" w:ascii="宋体" w:hAnsi="宋体" w:cs="宋体"/>
          <w:color w:val="auto"/>
          <w:kern w:val="0"/>
          <w:sz w:val="22"/>
          <w:szCs w:val="21"/>
        </w:rPr>
        <w:t>%。</w:t>
      </w:r>
    </w:p>
    <w:p w14:paraId="13A24043">
      <w:pPr>
        <w:keepNext w:val="0"/>
        <w:keepLines w:val="0"/>
        <w:pageBreakBefore w:val="0"/>
        <w:kinsoku/>
        <w:wordWrap/>
        <w:overflowPunct/>
        <w:topLinePunct w:val="0"/>
        <w:autoSpaceDE w:val="0"/>
        <w:autoSpaceDN w:val="0"/>
        <w:bidi w:val="0"/>
        <w:adjustRightInd/>
        <w:snapToGrid/>
        <w:spacing w:line="360" w:lineRule="auto"/>
        <w:ind w:firstLine="442" w:firstLineChars="200"/>
        <w:textAlignment w:val="auto"/>
        <w:outlineLvl w:val="0"/>
        <w:rPr>
          <w:rFonts w:ascii="宋体" w:hAnsi="宋体" w:cs="宋体"/>
          <w:b/>
          <w:color w:val="auto"/>
          <w:sz w:val="22"/>
          <w:szCs w:val="21"/>
        </w:rPr>
      </w:pPr>
      <w:r>
        <w:rPr>
          <w:rFonts w:hint="eastAsia" w:ascii="宋体" w:hAnsi="宋体" w:cs="宋体"/>
          <w:b/>
          <w:color w:val="auto"/>
          <w:sz w:val="22"/>
          <w:szCs w:val="21"/>
        </w:rPr>
        <w:t>1.5</w:t>
      </w:r>
      <w:bookmarkEnd w:id="54"/>
      <w:bookmarkEnd w:id="55"/>
      <w:bookmarkEnd w:id="56"/>
      <w:r>
        <w:rPr>
          <w:rFonts w:hint="eastAsia" w:cs="宋体"/>
          <w:b/>
          <w:color w:val="auto"/>
          <w:sz w:val="22"/>
          <w:szCs w:val="21"/>
          <w:lang w:val="en-US" w:eastAsia="zh-CN"/>
        </w:rPr>
        <w:t xml:space="preserve"> </w:t>
      </w:r>
      <w:r>
        <w:rPr>
          <w:rFonts w:hint="eastAsia" w:ascii="宋体" w:hAnsi="宋体" w:cs="宋体"/>
          <w:b/>
          <w:color w:val="auto"/>
          <w:sz w:val="22"/>
          <w:szCs w:val="21"/>
        </w:rPr>
        <w:t>预付款</w:t>
      </w:r>
    </w:p>
    <w:p w14:paraId="62F3B3C7">
      <w:pPr>
        <w:pStyle w:val="73"/>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firstLine="480"/>
        <w:textAlignment w:val="auto"/>
        <w:rPr>
          <w:color w:val="auto"/>
          <w:sz w:val="22"/>
          <w:szCs w:val="21"/>
        </w:rPr>
      </w:pPr>
      <w:r>
        <w:rPr>
          <w:rFonts w:hint="eastAsia"/>
          <w:color w:val="auto"/>
          <w:sz w:val="22"/>
          <w:szCs w:val="21"/>
        </w:rPr>
        <w:t>甲方</w:t>
      </w:r>
      <w:r>
        <w:rPr>
          <w:rFonts w:hint="eastAsia"/>
          <w:color w:val="auto"/>
          <w:sz w:val="22"/>
          <w:szCs w:val="21"/>
          <w:u w:val="single"/>
        </w:rPr>
        <w:t xml:space="preserve">  </w:t>
      </w:r>
      <w:r>
        <w:rPr>
          <w:rFonts w:hint="eastAsia"/>
          <w:color w:val="auto"/>
          <w:sz w:val="22"/>
          <w:szCs w:val="21"/>
          <w:u w:val="single"/>
          <w:lang w:val="en-US" w:eastAsia="zh-CN"/>
        </w:rPr>
        <w:t>是</w:t>
      </w:r>
      <w:r>
        <w:rPr>
          <w:rFonts w:hint="eastAsia"/>
          <w:color w:val="auto"/>
          <w:sz w:val="22"/>
          <w:szCs w:val="21"/>
          <w:u w:val="single"/>
        </w:rPr>
        <w:t xml:space="preserve">  </w:t>
      </w:r>
      <w:r>
        <w:rPr>
          <w:rFonts w:hint="eastAsia"/>
          <w:color w:val="auto"/>
          <w:sz w:val="22"/>
          <w:szCs w:val="21"/>
        </w:rPr>
        <w:t>（是</w:t>
      </w:r>
      <w:r>
        <w:rPr>
          <w:rFonts w:hint="eastAsia" w:ascii="仿宋" w:hAnsi="仿宋" w:eastAsia="仿宋" w:cs="仿宋"/>
          <w:color w:val="auto"/>
          <w:sz w:val="22"/>
          <w:szCs w:val="21"/>
        </w:rPr>
        <w:t>/</w:t>
      </w:r>
      <w:r>
        <w:rPr>
          <w:rFonts w:hint="eastAsia"/>
          <w:color w:val="auto"/>
          <w:sz w:val="22"/>
          <w:szCs w:val="21"/>
        </w:rPr>
        <w:t>否）需要支付预付款。若需要支付预付款的，则：</w:t>
      </w:r>
    </w:p>
    <w:p w14:paraId="1C21C7C7">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s="宋体"/>
          <w:color w:val="auto"/>
          <w:kern w:val="0"/>
          <w:sz w:val="22"/>
          <w:szCs w:val="21"/>
        </w:rPr>
      </w:pPr>
      <w:r>
        <w:rPr>
          <w:rFonts w:hint="eastAsia" w:ascii="宋体" w:hAnsi="宋体" w:cs="宋体"/>
          <w:color w:val="auto"/>
          <w:kern w:val="0"/>
          <w:sz w:val="22"/>
          <w:szCs w:val="21"/>
        </w:rPr>
        <w:t>1.5.1</w:t>
      </w:r>
      <w:r>
        <w:rPr>
          <w:rFonts w:hint="eastAsia" w:cs="宋体"/>
          <w:color w:val="auto"/>
          <w:kern w:val="0"/>
          <w:sz w:val="22"/>
          <w:szCs w:val="21"/>
          <w:lang w:val="en-US" w:eastAsia="zh-CN"/>
        </w:rPr>
        <w:t xml:space="preserve"> </w:t>
      </w:r>
      <w:r>
        <w:rPr>
          <w:rFonts w:hint="eastAsia" w:ascii="宋体" w:hAnsi="宋体" w:cs="宋体"/>
          <w:color w:val="auto"/>
          <w:kern w:val="0"/>
          <w:sz w:val="22"/>
          <w:szCs w:val="21"/>
        </w:rPr>
        <w:t>预付款比例、支付方式、时间详见</w:t>
      </w:r>
      <w:r>
        <w:rPr>
          <w:rFonts w:hint="eastAsia" w:ascii="宋体" w:hAnsi="宋体" w:cs="宋体"/>
          <w:color w:val="auto"/>
          <w:kern w:val="0"/>
          <w:sz w:val="22"/>
          <w:szCs w:val="21"/>
          <w:u w:val="single"/>
        </w:rPr>
        <w:t xml:space="preserve">    </w:t>
      </w:r>
      <w:r>
        <w:rPr>
          <w:rFonts w:hint="eastAsia" w:ascii="宋体" w:hAnsi="宋体" w:cs="宋体"/>
          <w:b/>
          <w:i/>
          <w:color w:val="auto"/>
          <w:sz w:val="22"/>
          <w:szCs w:val="21"/>
          <w:u w:val="single"/>
        </w:rPr>
        <w:t>合同专用条款</w:t>
      </w:r>
      <w:r>
        <w:rPr>
          <w:rFonts w:hint="eastAsia" w:ascii="宋体" w:hAnsi="宋体" w:cs="宋体"/>
          <w:color w:val="auto"/>
          <w:kern w:val="0"/>
          <w:sz w:val="22"/>
          <w:szCs w:val="21"/>
          <w:u w:val="single"/>
        </w:rPr>
        <w:t xml:space="preserve">           </w:t>
      </w:r>
      <w:r>
        <w:rPr>
          <w:rFonts w:hint="eastAsia" w:ascii="宋体" w:hAnsi="宋体" w:cs="宋体"/>
          <w:color w:val="auto"/>
          <w:kern w:val="0"/>
          <w:sz w:val="22"/>
          <w:szCs w:val="21"/>
        </w:rPr>
        <w:t>；</w:t>
      </w:r>
    </w:p>
    <w:p w14:paraId="2293DB77">
      <w:pPr>
        <w:pStyle w:val="73"/>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firstLine="480"/>
        <w:textAlignment w:val="auto"/>
        <w:rPr>
          <w:color w:val="auto"/>
          <w:sz w:val="22"/>
          <w:szCs w:val="21"/>
        </w:rPr>
      </w:pPr>
      <w:r>
        <w:rPr>
          <w:rFonts w:hint="eastAsia"/>
          <w:color w:val="auto"/>
          <w:sz w:val="22"/>
          <w:szCs w:val="21"/>
        </w:rPr>
        <w:t>1.5.2</w:t>
      </w:r>
      <w:r>
        <w:rPr>
          <w:rFonts w:hint="eastAsia"/>
          <w:color w:val="auto"/>
          <w:sz w:val="22"/>
          <w:szCs w:val="21"/>
          <w:lang w:val="en-US" w:eastAsia="zh-CN"/>
        </w:rPr>
        <w:t xml:space="preserve"> </w:t>
      </w:r>
      <w:r>
        <w:rPr>
          <w:rFonts w:hint="eastAsia"/>
          <w:color w:val="auto"/>
          <w:sz w:val="22"/>
          <w:szCs w:val="21"/>
        </w:rPr>
        <w:t>预付款的扣回方式详见</w:t>
      </w:r>
      <w:r>
        <w:rPr>
          <w:rFonts w:hint="eastAsia"/>
          <w:color w:val="auto"/>
          <w:sz w:val="22"/>
          <w:szCs w:val="21"/>
          <w:u w:val="single"/>
        </w:rPr>
        <w:t xml:space="preserve">    </w:t>
      </w:r>
      <w:r>
        <w:rPr>
          <w:rFonts w:hint="eastAsia"/>
          <w:b/>
          <w:i/>
          <w:color w:val="auto"/>
          <w:sz w:val="22"/>
          <w:szCs w:val="21"/>
          <w:u w:val="single"/>
        </w:rPr>
        <w:t>合同专用条款</w:t>
      </w:r>
      <w:r>
        <w:rPr>
          <w:rFonts w:hint="eastAsia"/>
          <w:color w:val="auto"/>
          <w:sz w:val="22"/>
          <w:szCs w:val="21"/>
          <w:u w:val="single"/>
        </w:rPr>
        <w:t xml:space="preserve">           </w:t>
      </w:r>
      <w:r>
        <w:rPr>
          <w:rFonts w:hint="eastAsia"/>
          <w:color w:val="auto"/>
          <w:sz w:val="22"/>
          <w:szCs w:val="21"/>
        </w:rPr>
        <w:t>；</w:t>
      </w:r>
    </w:p>
    <w:p w14:paraId="7BF69808">
      <w:pPr>
        <w:pStyle w:val="73"/>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firstLine="480"/>
        <w:textAlignment w:val="auto"/>
        <w:rPr>
          <w:color w:val="auto"/>
          <w:sz w:val="22"/>
          <w:szCs w:val="21"/>
          <w:u w:val="single"/>
        </w:rPr>
      </w:pPr>
      <w:r>
        <w:rPr>
          <w:rFonts w:hint="eastAsia"/>
          <w:color w:val="auto"/>
          <w:sz w:val="22"/>
          <w:szCs w:val="21"/>
        </w:rPr>
        <w:t>1.5.3</w:t>
      </w:r>
      <w:r>
        <w:rPr>
          <w:rFonts w:hint="eastAsia"/>
          <w:color w:val="auto"/>
          <w:sz w:val="22"/>
          <w:szCs w:val="21"/>
          <w:lang w:val="en-US" w:eastAsia="zh-CN"/>
        </w:rPr>
        <w:t xml:space="preserve"> </w:t>
      </w:r>
      <w:r>
        <w:rPr>
          <w:rFonts w:hint="eastAsia"/>
          <w:color w:val="auto"/>
          <w:sz w:val="22"/>
          <w:szCs w:val="21"/>
        </w:rPr>
        <w:t>预付款的担保措施详见</w:t>
      </w:r>
      <w:r>
        <w:rPr>
          <w:rFonts w:hint="eastAsia"/>
          <w:color w:val="auto"/>
          <w:sz w:val="22"/>
          <w:szCs w:val="21"/>
          <w:u w:val="single"/>
        </w:rPr>
        <w:t xml:space="preserve">    </w:t>
      </w:r>
      <w:r>
        <w:rPr>
          <w:rFonts w:hint="eastAsia"/>
          <w:b/>
          <w:i/>
          <w:color w:val="auto"/>
          <w:sz w:val="22"/>
          <w:szCs w:val="21"/>
          <w:u w:val="single"/>
        </w:rPr>
        <w:t>合同专用条款</w:t>
      </w:r>
      <w:r>
        <w:rPr>
          <w:rFonts w:hint="eastAsia"/>
          <w:color w:val="auto"/>
          <w:sz w:val="22"/>
          <w:szCs w:val="21"/>
          <w:u w:val="single"/>
        </w:rPr>
        <w:t xml:space="preserve">          </w:t>
      </w:r>
      <w:r>
        <w:rPr>
          <w:rFonts w:hint="eastAsia"/>
          <w:color w:val="auto"/>
          <w:sz w:val="22"/>
          <w:szCs w:val="21"/>
        </w:rPr>
        <w:t>。</w:t>
      </w:r>
    </w:p>
    <w:p w14:paraId="5BB614B5">
      <w:pPr>
        <w:pStyle w:val="73"/>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firstLine="480"/>
        <w:textAlignment w:val="auto"/>
        <w:rPr>
          <w:b/>
          <w:bCs/>
          <w:color w:val="auto"/>
          <w:sz w:val="22"/>
          <w:szCs w:val="21"/>
        </w:rPr>
      </w:pPr>
      <w:r>
        <w:rPr>
          <w:rFonts w:hint="eastAsia"/>
          <w:b/>
          <w:bCs/>
          <w:color w:val="auto"/>
          <w:sz w:val="22"/>
          <w:szCs w:val="21"/>
        </w:rPr>
        <w:t>1.6</w:t>
      </w:r>
      <w:r>
        <w:rPr>
          <w:rFonts w:hint="eastAsia"/>
          <w:b/>
          <w:bCs/>
          <w:color w:val="auto"/>
          <w:sz w:val="22"/>
          <w:szCs w:val="21"/>
          <w:lang w:val="en-US" w:eastAsia="zh-CN"/>
        </w:rPr>
        <w:t xml:space="preserve"> </w:t>
      </w:r>
      <w:r>
        <w:rPr>
          <w:rFonts w:hint="eastAsia"/>
          <w:b/>
          <w:bCs/>
          <w:color w:val="auto"/>
          <w:sz w:val="22"/>
          <w:szCs w:val="21"/>
        </w:rPr>
        <w:t>资金支付</w:t>
      </w:r>
    </w:p>
    <w:p w14:paraId="32AE354E">
      <w:pPr>
        <w:pStyle w:val="73"/>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firstLine="480"/>
        <w:textAlignment w:val="auto"/>
        <w:rPr>
          <w:color w:val="auto"/>
          <w:sz w:val="22"/>
          <w:szCs w:val="21"/>
        </w:rPr>
      </w:pPr>
      <w:r>
        <w:rPr>
          <w:rFonts w:hint="eastAsia"/>
          <w:color w:val="auto"/>
          <w:sz w:val="22"/>
          <w:szCs w:val="21"/>
        </w:rPr>
        <w:t>1.6.1</w:t>
      </w:r>
      <w:r>
        <w:rPr>
          <w:rFonts w:hint="eastAsia"/>
          <w:color w:val="auto"/>
          <w:sz w:val="22"/>
          <w:szCs w:val="21"/>
          <w:lang w:val="en-US" w:eastAsia="zh-CN"/>
        </w:rPr>
        <w:t xml:space="preserve"> </w:t>
      </w:r>
      <w:r>
        <w:rPr>
          <w:rFonts w:hint="eastAsia"/>
          <w:color w:val="auto"/>
          <w:sz w:val="22"/>
          <w:szCs w:val="21"/>
        </w:rPr>
        <w:t>甲方应严格履行合同，及时组织验收，验收合格后及时将合同款支付完毕。对于满足合同约定支付条件的，甲方自收到发票后</w:t>
      </w:r>
      <w:r>
        <w:rPr>
          <w:rFonts w:hint="eastAsia"/>
          <w:color w:val="auto"/>
          <w:sz w:val="22"/>
          <w:szCs w:val="21"/>
          <w:lang w:val="en-US" w:eastAsia="zh-CN"/>
        </w:rPr>
        <w:t>5</w:t>
      </w:r>
      <w:r>
        <w:rPr>
          <w:rFonts w:hint="eastAsia"/>
          <w:color w:val="auto"/>
          <w:sz w:val="22"/>
          <w:szCs w:val="21"/>
        </w:rPr>
        <w:t>个工作日内将资金支付到合同约定的乙方账户，有条件的甲方可以即时支付。甲方不得以机构变动、人员更替、政策调整、单位放假等为由延迟付款。</w:t>
      </w:r>
    </w:p>
    <w:p w14:paraId="0541617B">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outlineLvl w:val="0"/>
        <w:rPr>
          <w:rFonts w:ascii="宋体" w:hAnsi="宋体" w:cs="宋体"/>
          <w:color w:val="auto"/>
          <w:sz w:val="22"/>
          <w:szCs w:val="21"/>
        </w:rPr>
      </w:pPr>
      <w:r>
        <w:rPr>
          <w:rFonts w:hint="eastAsia" w:ascii="宋体" w:hAnsi="宋体" w:cs="宋体"/>
          <w:color w:val="auto"/>
          <w:sz w:val="22"/>
          <w:szCs w:val="21"/>
        </w:rPr>
        <w:t>1.6.2</w:t>
      </w:r>
      <w:r>
        <w:rPr>
          <w:rFonts w:hint="eastAsia" w:cs="宋体"/>
          <w:color w:val="auto"/>
          <w:sz w:val="22"/>
          <w:szCs w:val="21"/>
          <w:lang w:val="en-US" w:eastAsia="zh-CN"/>
        </w:rPr>
        <w:t xml:space="preserve"> </w:t>
      </w:r>
      <w:r>
        <w:rPr>
          <w:rFonts w:hint="eastAsia" w:ascii="宋体" w:hAnsi="宋体" w:cs="宋体"/>
          <w:color w:val="auto"/>
          <w:sz w:val="22"/>
          <w:szCs w:val="21"/>
        </w:rPr>
        <w:t>资金支付的方式、时间和条件详见</w:t>
      </w:r>
      <w:r>
        <w:rPr>
          <w:rFonts w:hint="eastAsia" w:ascii="宋体" w:hAnsi="宋体" w:cs="宋体"/>
          <w:b/>
          <w:i/>
          <w:color w:val="auto"/>
          <w:sz w:val="22"/>
          <w:szCs w:val="21"/>
          <w:u w:val="single"/>
        </w:rPr>
        <w:t>合同专用条款</w:t>
      </w:r>
      <w:r>
        <w:rPr>
          <w:rFonts w:hint="eastAsia" w:ascii="宋体" w:hAnsi="宋体" w:cs="宋体"/>
          <w:color w:val="auto"/>
          <w:sz w:val="22"/>
          <w:szCs w:val="21"/>
        </w:rPr>
        <w:t>。</w:t>
      </w:r>
    </w:p>
    <w:p w14:paraId="1A1931A8">
      <w:pPr>
        <w:keepNext w:val="0"/>
        <w:keepLines w:val="0"/>
        <w:pageBreakBefore w:val="0"/>
        <w:kinsoku/>
        <w:wordWrap/>
        <w:overflowPunct/>
        <w:topLinePunct w:val="0"/>
        <w:autoSpaceDE w:val="0"/>
        <w:autoSpaceDN w:val="0"/>
        <w:bidi w:val="0"/>
        <w:adjustRightInd/>
        <w:snapToGrid/>
        <w:spacing w:line="360" w:lineRule="auto"/>
        <w:ind w:firstLine="442" w:firstLineChars="200"/>
        <w:textAlignment w:val="auto"/>
        <w:outlineLvl w:val="0"/>
        <w:rPr>
          <w:rFonts w:ascii="宋体" w:hAnsi="宋体"/>
          <w:b/>
          <w:color w:val="auto"/>
          <w:sz w:val="22"/>
          <w:szCs w:val="21"/>
        </w:rPr>
      </w:pPr>
      <w:r>
        <w:rPr>
          <w:rFonts w:ascii="宋体" w:hAnsi="宋体"/>
          <w:b/>
          <w:color w:val="auto"/>
          <w:sz w:val="22"/>
          <w:szCs w:val="21"/>
        </w:rPr>
        <w:t>1.</w:t>
      </w:r>
      <w:r>
        <w:rPr>
          <w:rFonts w:hint="eastAsia" w:ascii="宋体" w:hAnsi="宋体"/>
          <w:b/>
          <w:color w:val="auto"/>
          <w:sz w:val="22"/>
          <w:szCs w:val="21"/>
        </w:rPr>
        <w:t>7</w:t>
      </w:r>
      <w:r>
        <w:rPr>
          <w:rFonts w:ascii="宋体" w:hAnsi="宋体"/>
          <w:b/>
          <w:color w:val="auto"/>
          <w:sz w:val="22"/>
          <w:szCs w:val="21"/>
        </w:rPr>
        <w:t xml:space="preserve"> 履行期限</w:t>
      </w:r>
      <w:r>
        <w:rPr>
          <w:rFonts w:hint="eastAsia" w:ascii="宋体" w:hAnsi="宋体"/>
          <w:b/>
          <w:color w:val="auto"/>
          <w:sz w:val="22"/>
          <w:szCs w:val="21"/>
        </w:rPr>
        <w:t>、地点和方式</w:t>
      </w:r>
      <w:bookmarkEnd w:id="57"/>
      <w:bookmarkEnd w:id="58"/>
      <w:bookmarkEnd w:id="59"/>
      <w:bookmarkEnd w:id="60"/>
      <w:bookmarkEnd w:id="61"/>
    </w:p>
    <w:p w14:paraId="5A6CCCA3">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olor w:val="auto"/>
          <w:sz w:val="22"/>
          <w:szCs w:val="21"/>
          <w:u w:val="single"/>
        </w:rPr>
      </w:pPr>
      <w:r>
        <w:rPr>
          <w:rFonts w:ascii="宋体" w:hAnsi="宋体"/>
          <w:color w:val="auto"/>
          <w:sz w:val="22"/>
          <w:szCs w:val="21"/>
        </w:rPr>
        <w:t>1.</w:t>
      </w:r>
      <w:r>
        <w:rPr>
          <w:rFonts w:hint="eastAsia" w:ascii="宋体" w:hAnsi="宋体"/>
          <w:color w:val="auto"/>
          <w:sz w:val="22"/>
          <w:szCs w:val="21"/>
        </w:rPr>
        <w:t>7</w:t>
      </w:r>
      <w:r>
        <w:rPr>
          <w:rFonts w:ascii="宋体" w:hAnsi="宋体"/>
          <w:color w:val="auto"/>
          <w:sz w:val="22"/>
          <w:szCs w:val="21"/>
        </w:rPr>
        <w:t xml:space="preserve">.1 </w:t>
      </w:r>
      <w:r>
        <w:rPr>
          <w:rFonts w:hint="eastAsia" w:ascii="宋体" w:hAnsi="宋体"/>
          <w:color w:val="auto"/>
          <w:sz w:val="22"/>
          <w:szCs w:val="21"/>
        </w:rPr>
        <w:t>服务交付（实施）的时间（期限）</w:t>
      </w:r>
      <w:r>
        <w:rPr>
          <w:rFonts w:ascii="宋体" w:hAnsi="宋体"/>
          <w:color w:val="auto"/>
          <w:sz w:val="22"/>
          <w:szCs w:val="21"/>
        </w:rPr>
        <w:t>：</w:t>
      </w:r>
      <w:r>
        <w:rPr>
          <w:rFonts w:hint="eastAsia" w:ascii="宋体" w:hAnsi="宋体"/>
          <w:b/>
          <w:i/>
          <w:color w:val="auto"/>
          <w:sz w:val="22"/>
          <w:szCs w:val="21"/>
          <w:u w:val="single"/>
        </w:rPr>
        <w:t>合同专用条款</w:t>
      </w:r>
      <w:r>
        <w:rPr>
          <w:rFonts w:hint="eastAsia" w:ascii="宋体" w:hAnsi="宋体"/>
          <w:color w:val="auto"/>
          <w:sz w:val="22"/>
          <w:szCs w:val="21"/>
        </w:rPr>
        <w:t>；</w:t>
      </w:r>
    </w:p>
    <w:p w14:paraId="591752BE">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olor w:val="auto"/>
          <w:sz w:val="22"/>
          <w:szCs w:val="21"/>
        </w:rPr>
      </w:pPr>
      <w:r>
        <w:rPr>
          <w:rFonts w:ascii="宋体" w:hAnsi="宋体"/>
          <w:color w:val="auto"/>
          <w:sz w:val="22"/>
          <w:szCs w:val="21"/>
        </w:rPr>
        <w:t>1.</w:t>
      </w:r>
      <w:r>
        <w:rPr>
          <w:rFonts w:hint="eastAsia" w:ascii="宋体" w:hAnsi="宋体"/>
          <w:color w:val="auto"/>
          <w:sz w:val="22"/>
          <w:szCs w:val="21"/>
        </w:rPr>
        <w:t>7</w:t>
      </w:r>
      <w:r>
        <w:rPr>
          <w:rFonts w:ascii="宋体" w:hAnsi="宋体"/>
          <w:color w:val="auto"/>
          <w:sz w:val="22"/>
          <w:szCs w:val="21"/>
        </w:rPr>
        <w:t xml:space="preserve">.2 </w:t>
      </w:r>
      <w:r>
        <w:rPr>
          <w:rFonts w:hint="eastAsia" w:ascii="宋体" w:hAnsi="宋体"/>
          <w:color w:val="auto"/>
          <w:sz w:val="22"/>
          <w:szCs w:val="21"/>
        </w:rPr>
        <w:t>服</w:t>
      </w:r>
      <w:r>
        <w:rPr>
          <w:rFonts w:hint="eastAsia" w:ascii="宋体" w:hAnsi="宋体" w:cs="宋体"/>
          <w:color w:val="auto"/>
          <w:sz w:val="22"/>
          <w:szCs w:val="21"/>
        </w:rPr>
        <w:t>务交付（实施）的地点（地域范围）：</w:t>
      </w:r>
      <w:r>
        <w:rPr>
          <w:rFonts w:hint="eastAsia" w:ascii="宋体" w:hAnsi="宋体"/>
          <w:b/>
          <w:i/>
          <w:color w:val="auto"/>
          <w:sz w:val="22"/>
          <w:szCs w:val="21"/>
          <w:u w:val="single"/>
        </w:rPr>
        <w:t>合同专用条款</w:t>
      </w:r>
      <w:r>
        <w:rPr>
          <w:rFonts w:hint="eastAsia" w:ascii="宋体" w:hAnsi="宋体"/>
          <w:color w:val="auto"/>
          <w:sz w:val="22"/>
          <w:szCs w:val="21"/>
        </w:rPr>
        <w:t>；</w:t>
      </w:r>
    </w:p>
    <w:p w14:paraId="217679F6">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olor w:val="auto"/>
          <w:sz w:val="22"/>
          <w:szCs w:val="21"/>
        </w:rPr>
      </w:pPr>
      <w:r>
        <w:rPr>
          <w:rFonts w:ascii="宋体" w:hAnsi="宋体"/>
          <w:color w:val="auto"/>
          <w:sz w:val="22"/>
          <w:szCs w:val="21"/>
        </w:rPr>
        <w:t>1.</w:t>
      </w:r>
      <w:r>
        <w:rPr>
          <w:rFonts w:hint="eastAsia" w:ascii="宋体" w:hAnsi="宋体"/>
          <w:color w:val="auto"/>
          <w:sz w:val="22"/>
          <w:szCs w:val="21"/>
        </w:rPr>
        <w:t>7</w:t>
      </w:r>
      <w:r>
        <w:rPr>
          <w:rFonts w:ascii="宋体" w:hAnsi="宋体"/>
          <w:color w:val="auto"/>
          <w:sz w:val="22"/>
          <w:szCs w:val="21"/>
        </w:rPr>
        <w:t xml:space="preserve">.3 </w:t>
      </w:r>
      <w:r>
        <w:rPr>
          <w:rFonts w:hint="eastAsia" w:ascii="宋体" w:hAnsi="宋体"/>
          <w:color w:val="auto"/>
          <w:sz w:val="22"/>
          <w:szCs w:val="21"/>
        </w:rPr>
        <w:t>服务交付（实施）的方式：</w:t>
      </w:r>
      <w:r>
        <w:rPr>
          <w:rFonts w:hint="eastAsia" w:ascii="宋体" w:hAnsi="宋体"/>
          <w:b/>
          <w:i/>
          <w:color w:val="auto"/>
          <w:sz w:val="22"/>
          <w:szCs w:val="21"/>
          <w:u w:val="single"/>
        </w:rPr>
        <w:t>合同专用条款</w:t>
      </w:r>
      <w:r>
        <w:rPr>
          <w:rFonts w:hint="eastAsia" w:ascii="宋体" w:hAnsi="宋体"/>
          <w:color w:val="auto"/>
          <w:sz w:val="22"/>
          <w:szCs w:val="21"/>
        </w:rPr>
        <w:t>。</w:t>
      </w:r>
    </w:p>
    <w:p w14:paraId="36705A92">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outlineLvl w:val="0"/>
        <w:rPr>
          <w:rFonts w:ascii="宋体" w:hAnsi="宋体"/>
          <w:bCs/>
          <w:color w:val="auto"/>
          <w:sz w:val="22"/>
          <w:szCs w:val="21"/>
        </w:rPr>
      </w:pPr>
      <w:bookmarkStart w:id="62" w:name="_Toc8586"/>
      <w:bookmarkStart w:id="63" w:name="_Toc24662"/>
      <w:bookmarkStart w:id="64" w:name="_Toc2375"/>
      <w:bookmarkStart w:id="65" w:name="_Toc3079"/>
      <w:bookmarkStart w:id="66" w:name="_Toc5698"/>
      <w:r>
        <w:rPr>
          <w:rFonts w:hint="eastAsia" w:ascii="宋体" w:hAnsi="宋体"/>
          <w:bCs/>
          <w:color w:val="auto"/>
          <w:sz w:val="22"/>
          <w:szCs w:val="21"/>
        </w:rPr>
        <w:t>1.7.4</w:t>
      </w:r>
      <w:r>
        <w:rPr>
          <w:rFonts w:hint="eastAsia"/>
          <w:bCs/>
          <w:color w:val="auto"/>
          <w:sz w:val="22"/>
          <w:szCs w:val="21"/>
          <w:lang w:val="en-US" w:eastAsia="zh-CN"/>
        </w:rPr>
        <w:t xml:space="preserve"> </w:t>
      </w:r>
      <w:r>
        <w:rPr>
          <w:rFonts w:hint="eastAsia" w:ascii="宋体" w:hAnsi="宋体"/>
          <w:bCs/>
          <w:color w:val="auto"/>
          <w:sz w:val="22"/>
          <w:szCs w:val="21"/>
        </w:rPr>
        <w:t>若服务</w:t>
      </w:r>
      <w:r>
        <w:rPr>
          <w:rFonts w:hint="eastAsia"/>
          <w:bCs/>
          <w:color w:val="auto"/>
          <w:sz w:val="22"/>
          <w:szCs w:val="21"/>
        </w:rPr>
        <w:t>涉及货物的，则货物的：</w:t>
      </w:r>
    </w:p>
    <w:p w14:paraId="543D3CB0">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s="宋体"/>
          <w:color w:val="auto"/>
          <w:sz w:val="22"/>
          <w:szCs w:val="21"/>
          <w:u w:val="single"/>
        </w:rPr>
      </w:pPr>
      <w:r>
        <w:rPr>
          <w:rFonts w:hint="eastAsia" w:ascii="宋体" w:hAnsi="宋体" w:cs="宋体"/>
          <w:color w:val="auto"/>
          <w:sz w:val="22"/>
          <w:szCs w:val="21"/>
        </w:rPr>
        <w:t>1.7.4.1 交付期限：详见</w:t>
      </w:r>
      <w:r>
        <w:rPr>
          <w:rFonts w:hint="eastAsia" w:ascii="宋体" w:hAnsi="宋体" w:cs="宋体"/>
          <w:b/>
          <w:i/>
          <w:color w:val="auto"/>
          <w:sz w:val="22"/>
          <w:szCs w:val="21"/>
          <w:u w:val="single"/>
        </w:rPr>
        <w:t>合同专用条款</w:t>
      </w:r>
      <w:r>
        <w:rPr>
          <w:rFonts w:hint="eastAsia" w:ascii="宋体" w:hAnsi="宋体" w:cs="宋体"/>
          <w:color w:val="auto"/>
          <w:sz w:val="22"/>
          <w:szCs w:val="21"/>
        </w:rPr>
        <w:t>；</w:t>
      </w:r>
    </w:p>
    <w:p w14:paraId="1CAF63A8">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s="宋体"/>
          <w:color w:val="auto"/>
          <w:sz w:val="22"/>
          <w:szCs w:val="21"/>
        </w:rPr>
      </w:pPr>
      <w:r>
        <w:rPr>
          <w:rFonts w:hint="eastAsia" w:ascii="宋体" w:hAnsi="宋体" w:cs="宋体"/>
          <w:color w:val="auto"/>
          <w:sz w:val="22"/>
          <w:szCs w:val="21"/>
        </w:rPr>
        <w:t>1.7.4.2 交付地点：</w:t>
      </w:r>
      <w:r>
        <w:rPr>
          <w:rFonts w:hint="eastAsia" w:ascii="宋体" w:hAnsi="宋体" w:cs="宋体"/>
          <w:b/>
          <w:i/>
          <w:color w:val="auto"/>
          <w:sz w:val="22"/>
          <w:szCs w:val="21"/>
          <w:u w:val="single"/>
        </w:rPr>
        <w:t>合同专用条款</w:t>
      </w:r>
      <w:r>
        <w:rPr>
          <w:rFonts w:hint="eastAsia" w:ascii="宋体" w:hAnsi="宋体" w:cs="宋体"/>
          <w:color w:val="auto"/>
          <w:sz w:val="22"/>
          <w:szCs w:val="21"/>
        </w:rPr>
        <w:t>；</w:t>
      </w:r>
    </w:p>
    <w:p w14:paraId="44D1E719">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s="宋体"/>
          <w:color w:val="auto"/>
          <w:sz w:val="22"/>
          <w:szCs w:val="21"/>
        </w:rPr>
      </w:pPr>
      <w:r>
        <w:rPr>
          <w:rFonts w:hint="eastAsia" w:ascii="宋体" w:hAnsi="宋体" w:cs="宋体"/>
          <w:color w:val="auto"/>
          <w:sz w:val="22"/>
          <w:szCs w:val="21"/>
        </w:rPr>
        <w:t>1.7.4.3 交付方式：</w:t>
      </w:r>
      <w:r>
        <w:rPr>
          <w:rFonts w:hint="eastAsia" w:ascii="宋体" w:hAnsi="宋体" w:cs="宋体"/>
          <w:b/>
          <w:i/>
          <w:color w:val="auto"/>
          <w:sz w:val="22"/>
          <w:szCs w:val="21"/>
          <w:u w:val="single"/>
        </w:rPr>
        <w:t>合同专用条款</w:t>
      </w:r>
      <w:r>
        <w:rPr>
          <w:rFonts w:hint="eastAsia" w:ascii="宋体" w:hAnsi="宋体" w:cs="宋体"/>
          <w:color w:val="auto"/>
          <w:sz w:val="22"/>
          <w:szCs w:val="21"/>
        </w:rPr>
        <w:t>。</w:t>
      </w:r>
    </w:p>
    <w:p w14:paraId="7522F1E0">
      <w:pPr>
        <w:keepNext w:val="0"/>
        <w:keepLines w:val="0"/>
        <w:pageBreakBefore w:val="0"/>
        <w:kinsoku/>
        <w:wordWrap/>
        <w:overflowPunct/>
        <w:topLinePunct w:val="0"/>
        <w:autoSpaceDE w:val="0"/>
        <w:autoSpaceDN w:val="0"/>
        <w:bidi w:val="0"/>
        <w:adjustRightInd/>
        <w:snapToGrid/>
        <w:spacing w:line="360" w:lineRule="auto"/>
        <w:ind w:firstLine="442" w:firstLineChars="200"/>
        <w:textAlignment w:val="auto"/>
        <w:outlineLvl w:val="0"/>
        <w:rPr>
          <w:rFonts w:ascii="宋体" w:hAnsi="宋体"/>
          <w:color w:val="auto"/>
          <w:sz w:val="22"/>
          <w:szCs w:val="21"/>
          <w:u w:val="single"/>
        </w:rPr>
      </w:pPr>
      <w:r>
        <w:rPr>
          <w:rFonts w:ascii="宋体" w:hAnsi="宋体"/>
          <w:b/>
          <w:color w:val="auto"/>
          <w:sz w:val="22"/>
          <w:szCs w:val="21"/>
        </w:rPr>
        <w:t>1.</w:t>
      </w:r>
      <w:r>
        <w:rPr>
          <w:rFonts w:hint="eastAsia" w:ascii="宋体" w:hAnsi="宋体"/>
          <w:b/>
          <w:color w:val="auto"/>
          <w:sz w:val="22"/>
          <w:szCs w:val="21"/>
        </w:rPr>
        <w:t>8违约责任</w:t>
      </w:r>
      <w:bookmarkEnd w:id="62"/>
      <w:bookmarkEnd w:id="63"/>
      <w:bookmarkEnd w:id="64"/>
      <w:bookmarkEnd w:id="65"/>
      <w:bookmarkEnd w:id="66"/>
    </w:p>
    <w:p w14:paraId="630D8767">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color w:val="auto"/>
          <w:sz w:val="22"/>
          <w:szCs w:val="21"/>
        </w:rPr>
      </w:pPr>
      <w:r>
        <w:rPr>
          <w:rFonts w:ascii="宋体" w:hAnsi="宋体"/>
          <w:color w:val="auto"/>
          <w:sz w:val="22"/>
          <w:szCs w:val="21"/>
        </w:rPr>
        <w:t>1.</w:t>
      </w:r>
      <w:r>
        <w:rPr>
          <w:rFonts w:hint="eastAsia" w:ascii="宋体" w:hAnsi="宋体"/>
          <w:color w:val="auto"/>
          <w:sz w:val="22"/>
          <w:szCs w:val="21"/>
        </w:rPr>
        <w:t>8</w:t>
      </w:r>
      <w:r>
        <w:rPr>
          <w:rFonts w:ascii="宋体" w:hAnsi="宋体"/>
          <w:color w:val="auto"/>
          <w:sz w:val="22"/>
          <w:szCs w:val="21"/>
        </w:rPr>
        <w:t>.1 除不可抗力外，如果乙方没有按照本合同约定的期限</w:t>
      </w:r>
      <w:r>
        <w:rPr>
          <w:rFonts w:hint="eastAsia" w:ascii="宋体" w:hAnsi="宋体"/>
          <w:color w:val="auto"/>
          <w:sz w:val="22"/>
          <w:szCs w:val="21"/>
        </w:rPr>
        <w:t>、</w:t>
      </w:r>
      <w:r>
        <w:rPr>
          <w:rFonts w:ascii="宋体" w:hAnsi="宋体"/>
          <w:color w:val="auto"/>
          <w:sz w:val="22"/>
          <w:szCs w:val="21"/>
        </w:rPr>
        <w:t>地点和方式</w:t>
      </w:r>
      <w:r>
        <w:rPr>
          <w:rFonts w:hint="eastAsia" w:ascii="宋体" w:hAnsi="宋体"/>
          <w:color w:val="auto"/>
          <w:sz w:val="22"/>
          <w:szCs w:val="21"/>
        </w:rPr>
        <w:t>交付服务成果或者实施服务</w:t>
      </w:r>
      <w:r>
        <w:rPr>
          <w:rFonts w:ascii="宋体" w:hAnsi="宋体"/>
          <w:color w:val="auto"/>
          <w:sz w:val="22"/>
          <w:szCs w:val="21"/>
        </w:rPr>
        <w:t>，那么甲方可要求乙方支付违约金</w:t>
      </w:r>
      <w:r>
        <w:rPr>
          <w:rFonts w:hint="eastAsia" w:ascii="宋体" w:hAnsi="宋体"/>
          <w:color w:val="auto"/>
          <w:sz w:val="22"/>
          <w:szCs w:val="21"/>
        </w:rPr>
        <w:t>，迟延履行</w:t>
      </w:r>
      <w:r>
        <w:rPr>
          <w:rFonts w:ascii="宋体" w:hAnsi="宋体"/>
          <w:color w:val="auto"/>
          <w:sz w:val="22"/>
          <w:szCs w:val="21"/>
        </w:rPr>
        <w:t>违约金按每迟延</w:t>
      </w:r>
      <w:r>
        <w:rPr>
          <w:rFonts w:hint="eastAsia" w:ascii="宋体" w:hAnsi="宋体"/>
          <w:color w:val="auto"/>
          <w:sz w:val="22"/>
          <w:szCs w:val="21"/>
        </w:rPr>
        <w:t>履行</w:t>
      </w:r>
      <w:r>
        <w:rPr>
          <w:rFonts w:ascii="宋体" w:hAnsi="宋体"/>
          <w:color w:val="auto"/>
          <w:sz w:val="22"/>
          <w:szCs w:val="21"/>
        </w:rPr>
        <w:t>一日的应提供而未</w:t>
      </w:r>
      <w:r>
        <w:rPr>
          <w:rFonts w:hint="eastAsia" w:ascii="宋体" w:hAnsi="宋体"/>
          <w:color w:val="auto"/>
          <w:sz w:val="22"/>
          <w:szCs w:val="21"/>
        </w:rPr>
        <w:t>提供</w:t>
      </w:r>
      <w:r>
        <w:rPr>
          <w:rFonts w:ascii="宋体" w:hAnsi="宋体"/>
          <w:color w:val="auto"/>
          <w:sz w:val="22"/>
          <w:szCs w:val="21"/>
        </w:rPr>
        <w:t>服务价格的</w:t>
      </w:r>
      <w:r>
        <w:rPr>
          <w:rFonts w:hint="eastAsia" w:ascii="宋体" w:hAnsi="宋体"/>
          <w:color w:val="auto"/>
          <w:sz w:val="22"/>
          <w:szCs w:val="21"/>
          <w:u w:val="single"/>
        </w:rPr>
        <w:t>0.05</w:t>
      </w:r>
      <w:r>
        <w:rPr>
          <w:rFonts w:ascii="宋体" w:hAnsi="宋体"/>
          <w:color w:val="auto"/>
          <w:sz w:val="22"/>
          <w:szCs w:val="21"/>
          <w:u w:val="single"/>
        </w:rPr>
        <w:t xml:space="preserve"> </w:t>
      </w:r>
      <w:r>
        <w:rPr>
          <w:rFonts w:ascii="宋体" w:hAnsi="宋体"/>
          <w:color w:val="auto"/>
          <w:sz w:val="22"/>
          <w:szCs w:val="21"/>
        </w:rPr>
        <w:t>%计算</w:t>
      </w:r>
      <w:r>
        <w:rPr>
          <w:rFonts w:hint="eastAsia" w:ascii="宋体" w:hAnsi="宋体"/>
          <w:color w:val="auto"/>
          <w:sz w:val="22"/>
          <w:szCs w:val="21"/>
        </w:rPr>
        <w:t>，</w:t>
      </w:r>
      <w:r>
        <w:rPr>
          <w:rFonts w:ascii="宋体" w:hAnsi="宋体"/>
          <w:color w:val="auto"/>
          <w:sz w:val="22"/>
          <w:szCs w:val="21"/>
        </w:rPr>
        <w:t>最高限额为</w:t>
      </w:r>
      <w:r>
        <w:rPr>
          <w:rFonts w:hint="eastAsia" w:ascii="宋体" w:hAnsi="宋体"/>
          <w:color w:val="auto"/>
          <w:sz w:val="22"/>
          <w:szCs w:val="21"/>
        </w:rPr>
        <w:t>本</w:t>
      </w:r>
      <w:r>
        <w:rPr>
          <w:rFonts w:ascii="宋体" w:hAnsi="宋体"/>
          <w:color w:val="auto"/>
          <w:sz w:val="22"/>
          <w:szCs w:val="21"/>
        </w:rPr>
        <w:t>合同总价的</w:t>
      </w:r>
      <w:r>
        <w:rPr>
          <w:rFonts w:ascii="宋体" w:hAnsi="宋体"/>
          <w:color w:val="auto"/>
          <w:sz w:val="22"/>
          <w:szCs w:val="21"/>
          <w:u w:val="single"/>
        </w:rPr>
        <w:t xml:space="preserve">  20  </w:t>
      </w:r>
      <w:r>
        <w:rPr>
          <w:rFonts w:ascii="宋体" w:hAnsi="宋体"/>
          <w:color w:val="auto"/>
          <w:sz w:val="22"/>
          <w:szCs w:val="21"/>
        </w:rPr>
        <w:t>%</w:t>
      </w:r>
      <w:r>
        <w:rPr>
          <w:rFonts w:hint="eastAsia" w:ascii="宋体" w:hAnsi="宋体"/>
          <w:color w:val="auto"/>
          <w:sz w:val="22"/>
          <w:szCs w:val="21"/>
        </w:rPr>
        <w:t>；</w:t>
      </w:r>
      <w:r>
        <w:rPr>
          <w:rFonts w:ascii="宋体" w:hAnsi="宋体"/>
          <w:color w:val="auto"/>
          <w:sz w:val="22"/>
          <w:szCs w:val="21"/>
        </w:rPr>
        <w:t>迟延</w:t>
      </w:r>
      <w:r>
        <w:rPr>
          <w:rFonts w:hint="eastAsia" w:ascii="宋体" w:hAnsi="宋体"/>
          <w:color w:val="auto"/>
          <w:sz w:val="22"/>
          <w:szCs w:val="21"/>
        </w:rPr>
        <w:t>履行</w:t>
      </w:r>
      <w:r>
        <w:rPr>
          <w:rFonts w:ascii="宋体" w:hAnsi="宋体"/>
          <w:color w:val="auto"/>
          <w:sz w:val="22"/>
          <w:szCs w:val="21"/>
        </w:rPr>
        <w:t>的违约金计算数额达到前述最高限额之日起</w:t>
      </w:r>
      <w:r>
        <w:rPr>
          <w:rFonts w:hint="eastAsia" w:ascii="宋体" w:hAnsi="宋体"/>
          <w:color w:val="auto"/>
          <w:sz w:val="22"/>
          <w:szCs w:val="21"/>
        </w:rPr>
        <w:t>，</w:t>
      </w:r>
      <w:r>
        <w:rPr>
          <w:rFonts w:ascii="宋体" w:hAnsi="宋体"/>
          <w:color w:val="auto"/>
          <w:sz w:val="22"/>
          <w:szCs w:val="21"/>
        </w:rPr>
        <w:t>甲方有权在要求乙方支付违约金的同时</w:t>
      </w:r>
      <w:r>
        <w:rPr>
          <w:rFonts w:hint="eastAsia" w:ascii="宋体" w:hAnsi="宋体"/>
          <w:color w:val="auto"/>
          <w:sz w:val="22"/>
          <w:szCs w:val="21"/>
        </w:rPr>
        <w:t>，书面通知乙方</w:t>
      </w:r>
      <w:r>
        <w:rPr>
          <w:rFonts w:ascii="宋体" w:hAnsi="宋体"/>
          <w:color w:val="auto"/>
          <w:sz w:val="22"/>
          <w:szCs w:val="21"/>
        </w:rPr>
        <w:t>解除本合同</w:t>
      </w:r>
      <w:r>
        <w:rPr>
          <w:rFonts w:hint="eastAsia" w:ascii="宋体" w:hAnsi="宋体"/>
          <w:color w:val="auto"/>
          <w:sz w:val="22"/>
          <w:szCs w:val="21"/>
        </w:rPr>
        <w:t>；</w:t>
      </w:r>
    </w:p>
    <w:p w14:paraId="66F119C9">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eastAsia="宋体" w:cs="宋体"/>
          <w:b w:val="0"/>
          <w:bCs w:val="0"/>
          <w:color w:val="auto"/>
          <w:sz w:val="22"/>
          <w:szCs w:val="22"/>
          <w:lang w:val="en-US"/>
        </w:rPr>
      </w:pPr>
      <w:r>
        <w:rPr>
          <w:rFonts w:hint="eastAsia" w:ascii="宋体" w:hAnsi="宋体" w:eastAsia="宋体" w:cs="宋体"/>
          <w:b w:val="0"/>
          <w:bCs w:val="0"/>
          <w:color w:val="auto"/>
          <w:sz w:val="22"/>
          <w:szCs w:val="22"/>
          <w:lang w:val="en-US"/>
        </w:rPr>
        <w:t>1.8.2</w:t>
      </w:r>
      <w:r>
        <w:rPr>
          <w:rFonts w:hint="eastAsia"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2"/>
          <w:szCs w:val="22"/>
          <w:u w:val="single"/>
          <w:lang w:val="en-US"/>
        </w:rPr>
        <w:t xml:space="preserve">0.05%（可根据情况修改） </w:t>
      </w:r>
      <w:r>
        <w:rPr>
          <w:rFonts w:hint="eastAsia" w:ascii="宋体" w:hAnsi="宋体" w:eastAsia="宋体" w:cs="宋体"/>
          <w:b w:val="0"/>
          <w:bCs w:val="0"/>
          <w:color w:val="auto"/>
          <w:sz w:val="22"/>
          <w:szCs w:val="22"/>
          <w:lang w:val="en-US"/>
        </w:rPr>
        <w:t>计算，最高限额为本合同总价的</w:t>
      </w:r>
      <w:r>
        <w:rPr>
          <w:rFonts w:hint="eastAsia" w:ascii="宋体" w:hAnsi="宋体" w:eastAsia="宋体" w:cs="宋体"/>
          <w:b w:val="0"/>
          <w:bCs w:val="0"/>
          <w:color w:val="auto"/>
          <w:sz w:val="22"/>
          <w:szCs w:val="22"/>
          <w:u w:val="single"/>
          <w:lang w:val="en-US"/>
        </w:rPr>
        <w:t xml:space="preserve"> 20 </w:t>
      </w:r>
      <w:r>
        <w:rPr>
          <w:rFonts w:hint="eastAsia" w:ascii="宋体" w:hAnsi="宋体" w:eastAsia="宋体" w:cs="宋体"/>
          <w:b w:val="0"/>
          <w:bCs w:val="0"/>
          <w:color w:val="auto"/>
          <w:sz w:val="22"/>
          <w:szCs w:val="22"/>
          <w:lang w:val="en-US"/>
        </w:rPr>
        <w:t>%；迟延交付货物的违约金计算数额达到前述最高限额之日起，甲方有权在要求乙方支付违约金的同时，书面通知乙方解除本合同；</w:t>
      </w:r>
    </w:p>
    <w:p w14:paraId="1D8918CF">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olor w:val="auto"/>
          <w:sz w:val="22"/>
          <w:szCs w:val="21"/>
        </w:rPr>
      </w:pPr>
      <w:r>
        <w:rPr>
          <w:rFonts w:ascii="宋体" w:hAnsi="宋体"/>
          <w:color w:val="auto"/>
          <w:sz w:val="22"/>
          <w:szCs w:val="21"/>
        </w:rPr>
        <w:t>1.</w:t>
      </w:r>
      <w:r>
        <w:rPr>
          <w:rFonts w:hint="eastAsia" w:ascii="宋体" w:hAnsi="宋体"/>
          <w:color w:val="auto"/>
          <w:sz w:val="22"/>
          <w:szCs w:val="21"/>
        </w:rPr>
        <w:t>8</w:t>
      </w:r>
      <w:r>
        <w:rPr>
          <w:rFonts w:ascii="宋体" w:hAnsi="宋体"/>
          <w:color w:val="auto"/>
          <w:sz w:val="22"/>
          <w:szCs w:val="21"/>
        </w:rPr>
        <w:t>.</w:t>
      </w:r>
      <w:r>
        <w:rPr>
          <w:rFonts w:hint="eastAsia" w:ascii="宋体" w:hAnsi="宋体"/>
          <w:color w:val="auto"/>
          <w:sz w:val="22"/>
          <w:szCs w:val="21"/>
        </w:rPr>
        <w:t>3</w:t>
      </w:r>
      <w:r>
        <w:rPr>
          <w:rFonts w:hint="eastAsia"/>
          <w:color w:val="auto"/>
          <w:sz w:val="22"/>
          <w:szCs w:val="21"/>
          <w:lang w:val="en-US" w:eastAsia="zh-CN"/>
        </w:rPr>
        <w:t xml:space="preserve"> </w:t>
      </w:r>
      <w:r>
        <w:rPr>
          <w:rFonts w:hint="eastAsia" w:ascii="宋体" w:hAnsi="宋体" w:cs="宋体"/>
          <w:color w:val="auto"/>
          <w:sz w:val="22"/>
          <w:szCs w:val="21"/>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2"/>
          <w:szCs w:val="21"/>
          <w:u w:val="single"/>
        </w:rPr>
        <w:t xml:space="preserve"> 0.05 </w:t>
      </w:r>
      <w:r>
        <w:rPr>
          <w:rFonts w:hint="eastAsia" w:ascii="宋体" w:hAnsi="宋体" w:cs="宋体"/>
          <w:color w:val="auto"/>
          <w:sz w:val="22"/>
          <w:szCs w:val="21"/>
        </w:rPr>
        <w:t>%计算，最高限额为本合同总价的</w:t>
      </w:r>
      <w:r>
        <w:rPr>
          <w:rFonts w:hint="eastAsia" w:ascii="宋体" w:hAnsi="宋体" w:cs="宋体"/>
          <w:color w:val="auto"/>
          <w:sz w:val="22"/>
          <w:szCs w:val="21"/>
          <w:u w:val="single"/>
        </w:rPr>
        <w:t xml:space="preserve"> 20</w:t>
      </w:r>
      <w:r>
        <w:rPr>
          <w:rFonts w:hint="eastAsia" w:ascii="宋体" w:hAnsi="宋体" w:cs="宋体"/>
          <w:color w:val="auto"/>
          <w:sz w:val="22"/>
          <w:szCs w:val="21"/>
        </w:rPr>
        <w:t>%</w:t>
      </w:r>
      <w:r>
        <w:rPr>
          <w:rFonts w:hint="eastAsia" w:ascii="宋体" w:hAnsi="宋体" w:cs="宋体"/>
          <w:color w:val="auto"/>
          <w:kern w:val="0"/>
          <w:sz w:val="22"/>
          <w:szCs w:val="21"/>
          <w:u w:val="single"/>
        </w:rPr>
        <w:t>（可根据情况修改）</w:t>
      </w:r>
      <w:r>
        <w:rPr>
          <w:rFonts w:hint="eastAsia" w:ascii="宋体" w:hAnsi="宋体" w:cs="宋体"/>
          <w:color w:val="auto"/>
          <w:sz w:val="22"/>
          <w:szCs w:val="21"/>
          <w:u w:val="single"/>
        </w:rPr>
        <w:t xml:space="preserve"> </w:t>
      </w:r>
      <w:r>
        <w:rPr>
          <w:rFonts w:hint="eastAsia" w:ascii="宋体" w:hAnsi="宋体" w:cs="宋体"/>
          <w:color w:val="auto"/>
          <w:sz w:val="22"/>
          <w:szCs w:val="21"/>
        </w:rPr>
        <w:t>；迟延付款的违约金计算数额达到前述最高限额之日起，乙方有权在要求甲方支付违约金的同时，书面通知甲方解除本合同</w:t>
      </w:r>
      <w:r>
        <w:rPr>
          <w:rFonts w:hint="eastAsia" w:ascii="宋体" w:hAnsi="宋体"/>
          <w:color w:val="auto"/>
          <w:sz w:val="22"/>
          <w:szCs w:val="21"/>
        </w:rPr>
        <w:t>；</w:t>
      </w:r>
    </w:p>
    <w:p w14:paraId="3475B691">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s="宋体"/>
          <w:color w:val="auto"/>
          <w:sz w:val="22"/>
          <w:szCs w:val="21"/>
        </w:rPr>
      </w:pPr>
      <w:bookmarkStart w:id="67" w:name="_Toc9497"/>
      <w:bookmarkStart w:id="68" w:name="_Toc30329"/>
      <w:bookmarkStart w:id="69" w:name="_Toc18683"/>
      <w:bookmarkStart w:id="70" w:name="_Toc26807"/>
      <w:bookmarkStart w:id="71" w:name="_Toc32454"/>
      <w:r>
        <w:rPr>
          <w:rFonts w:hint="eastAsia" w:ascii="宋体" w:hAnsi="宋体" w:cs="宋体"/>
          <w:color w:val="auto"/>
          <w:sz w:val="22"/>
          <w:szCs w:val="2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43BB9F">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s="宋体"/>
          <w:color w:val="auto"/>
          <w:sz w:val="22"/>
          <w:szCs w:val="21"/>
        </w:rPr>
      </w:pPr>
      <w:r>
        <w:rPr>
          <w:rFonts w:hint="eastAsia" w:ascii="宋体" w:hAnsi="宋体" w:cs="宋体"/>
          <w:color w:val="auto"/>
          <w:sz w:val="22"/>
          <w:szCs w:val="2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4750D0">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s="宋体"/>
          <w:color w:val="auto"/>
          <w:sz w:val="22"/>
          <w:szCs w:val="21"/>
        </w:rPr>
      </w:pPr>
      <w:r>
        <w:rPr>
          <w:rFonts w:hint="eastAsia" w:ascii="宋体" w:hAnsi="宋体" w:cs="宋体"/>
          <w:color w:val="auto"/>
          <w:sz w:val="22"/>
          <w:szCs w:val="21"/>
        </w:rPr>
        <w:t>1.8.6</w:t>
      </w:r>
      <w:r>
        <w:rPr>
          <w:rFonts w:hint="eastAsia" w:cs="宋体"/>
          <w:color w:val="auto"/>
          <w:sz w:val="22"/>
          <w:szCs w:val="21"/>
          <w:lang w:val="en-US" w:eastAsia="zh-CN"/>
        </w:rPr>
        <w:t xml:space="preserve"> </w:t>
      </w:r>
      <w:r>
        <w:rPr>
          <w:rFonts w:hint="eastAsia" w:ascii="宋体" w:hAnsi="宋体" w:cs="宋体"/>
          <w:color w:val="auto"/>
          <w:sz w:val="22"/>
          <w:szCs w:val="21"/>
        </w:rPr>
        <w:t>如果出现政府采购监督管理部门在处理投诉事项期间，书面通知甲方暂停采购活动的情形，或者询问或质疑事项可能影响中标或者成交结果的，导致甲方中止履行合同的情形，均不视为甲方违约。</w:t>
      </w:r>
    </w:p>
    <w:p w14:paraId="7AC4B8C7">
      <w:pPr>
        <w:keepNext w:val="0"/>
        <w:keepLines w:val="0"/>
        <w:pageBreakBefore w:val="0"/>
        <w:kinsoku/>
        <w:wordWrap/>
        <w:overflowPunct/>
        <w:topLinePunct w:val="0"/>
        <w:autoSpaceDE w:val="0"/>
        <w:autoSpaceDN w:val="0"/>
        <w:bidi w:val="0"/>
        <w:adjustRightInd/>
        <w:snapToGrid/>
        <w:spacing w:line="360" w:lineRule="auto"/>
        <w:ind w:right="-440" w:rightChars="-200" w:firstLine="440" w:firstLineChars="200"/>
        <w:textAlignment w:val="auto"/>
        <w:rPr>
          <w:rFonts w:ascii="宋体" w:hAnsi="宋体" w:cs="宋体"/>
          <w:color w:val="auto"/>
          <w:sz w:val="21"/>
          <w:szCs w:val="21"/>
        </w:rPr>
      </w:pPr>
      <w:r>
        <w:rPr>
          <w:rFonts w:hint="eastAsia" w:ascii="宋体" w:hAnsi="宋体" w:cs="宋体"/>
          <w:color w:val="auto"/>
          <w:sz w:val="22"/>
          <w:szCs w:val="21"/>
        </w:rPr>
        <w:t>1.8.7违约责任</w:t>
      </w:r>
      <w:r>
        <w:rPr>
          <w:rFonts w:hint="eastAsia" w:ascii="宋体" w:hAnsi="宋体" w:cs="宋体"/>
          <w:b/>
          <w:i/>
          <w:color w:val="auto"/>
          <w:sz w:val="22"/>
          <w:szCs w:val="21"/>
          <w:u w:val="single"/>
        </w:rPr>
        <w:t>合同专用条款</w:t>
      </w:r>
      <w:r>
        <w:rPr>
          <w:rFonts w:hint="eastAsia" w:ascii="宋体" w:hAnsi="宋体" w:cs="宋体"/>
          <w:color w:val="auto"/>
          <w:sz w:val="22"/>
          <w:szCs w:val="21"/>
        </w:rPr>
        <w:t>另有约定的，从其约定。</w:t>
      </w:r>
    </w:p>
    <w:bookmarkEnd w:id="67"/>
    <w:bookmarkEnd w:id="68"/>
    <w:bookmarkEnd w:id="69"/>
    <w:bookmarkEnd w:id="70"/>
    <w:bookmarkEnd w:id="71"/>
    <w:p w14:paraId="12CA7136">
      <w:pPr>
        <w:keepNext w:val="0"/>
        <w:keepLines w:val="0"/>
        <w:pageBreakBefore w:val="0"/>
        <w:kinsoku/>
        <w:wordWrap/>
        <w:overflowPunct/>
        <w:topLinePunct w:val="0"/>
        <w:autoSpaceDE w:val="0"/>
        <w:autoSpaceDN w:val="0"/>
        <w:bidi w:val="0"/>
        <w:adjustRightInd/>
        <w:snapToGrid/>
        <w:spacing w:line="360" w:lineRule="auto"/>
        <w:ind w:firstLine="442" w:firstLineChars="200"/>
        <w:textAlignment w:val="auto"/>
        <w:outlineLvl w:val="0"/>
        <w:rPr>
          <w:rFonts w:ascii="宋体" w:hAnsi="宋体" w:cs="宋体"/>
          <w:b/>
          <w:color w:val="auto"/>
          <w:sz w:val="22"/>
          <w:szCs w:val="21"/>
        </w:rPr>
      </w:pPr>
      <w:r>
        <w:rPr>
          <w:rFonts w:hint="eastAsia" w:ascii="宋体" w:hAnsi="宋体" w:cs="宋体"/>
          <w:b/>
          <w:color w:val="auto"/>
          <w:sz w:val="22"/>
          <w:szCs w:val="21"/>
        </w:rPr>
        <w:t>1.9合同争议的解决</w:t>
      </w:r>
    </w:p>
    <w:p w14:paraId="2AC1DE08">
      <w:pPr>
        <w:keepNext w:val="0"/>
        <w:keepLines w:val="0"/>
        <w:pageBreakBefore w:val="0"/>
        <w:kinsoku/>
        <w:wordWrap/>
        <w:overflowPunct/>
        <w:topLinePunct w:val="0"/>
        <w:autoSpaceDE w:val="0"/>
        <w:autoSpaceDN w:val="0"/>
        <w:bidi w:val="0"/>
        <w:adjustRightInd/>
        <w:snapToGrid/>
        <w:spacing w:line="360" w:lineRule="auto"/>
        <w:ind w:left="-64" w:leftChars="-29" w:right="-440" w:rightChars="-200" w:firstLine="220" w:firstLineChars="100"/>
        <w:textAlignment w:val="auto"/>
        <w:rPr>
          <w:rFonts w:ascii="宋体" w:hAnsi="宋体" w:cs="宋体"/>
          <w:color w:val="auto"/>
          <w:sz w:val="22"/>
          <w:szCs w:val="21"/>
        </w:rPr>
      </w:pPr>
      <w:r>
        <w:rPr>
          <w:rFonts w:hint="eastAsia" w:ascii="宋体" w:hAnsi="宋体" w:cs="宋体"/>
          <w:color w:val="auto"/>
          <w:sz w:val="22"/>
          <w:szCs w:val="21"/>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2"/>
          <w:szCs w:val="21"/>
          <w:u w:val="single"/>
        </w:rPr>
        <w:t xml:space="preserve">      </w:t>
      </w:r>
      <w:r>
        <w:rPr>
          <w:rFonts w:hint="eastAsia" w:ascii="宋体" w:hAnsi="宋体" w:cs="宋体"/>
          <w:color w:val="auto"/>
          <w:sz w:val="22"/>
          <w:szCs w:val="21"/>
        </w:rPr>
        <w:t>条款规定的方式解决：</w:t>
      </w:r>
    </w:p>
    <w:p w14:paraId="04C611A5">
      <w:pPr>
        <w:keepNext w:val="0"/>
        <w:keepLines w:val="0"/>
        <w:pageBreakBefore w:val="0"/>
        <w:kinsoku/>
        <w:wordWrap/>
        <w:overflowPunct/>
        <w:topLinePunct w:val="0"/>
        <w:autoSpaceDE w:val="0"/>
        <w:autoSpaceDN w:val="0"/>
        <w:bidi w:val="0"/>
        <w:adjustRightInd/>
        <w:snapToGrid/>
        <w:spacing w:line="360" w:lineRule="auto"/>
        <w:ind w:left="-440" w:leftChars="-200" w:right="-440" w:rightChars="-200" w:firstLine="550" w:firstLineChars="250"/>
        <w:textAlignment w:val="auto"/>
        <w:rPr>
          <w:rFonts w:ascii="宋体" w:hAnsi="宋体" w:cs="宋体"/>
          <w:color w:val="auto"/>
          <w:sz w:val="22"/>
          <w:szCs w:val="21"/>
        </w:rPr>
      </w:pPr>
      <w:r>
        <w:rPr>
          <w:rFonts w:hint="eastAsia" w:ascii="宋体" w:hAnsi="宋体" w:cs="宋体"/>
          <w:color w:val="auto"/>
          <w:sz w:val="22"/>
          <w:szCs w:val="21"/>
        </w:rPr>
        <w:t>1.9.1 将争议提交</w:t>
      </w:r>
      <w:r>
        <w:rPr>
          <w:rFonts w:hint="eastAsia" w:ascii="宋体" w:hAnsi="宋体" w:cs="宋体"/>
          <w:b/>
          <w:i/>
          <w:color w:val="auto"/>
          <w:sz w:val="22"/>
          <w:szCs w:val="21"/>
          <w:u w:val="single"/>
        </w:rPr>
        <w:t>合同专用条款</w:t>
      </w:r>
      <w:r>
        <w:rPr>
          <w:rFonts w:hint="eastAsia" w:ascii="宋体" w:hAnsi="宋体" w:cs="宋体"/>
          <w:color w:val="auto"/>
          <w:sz w:val="22"/>
          <w:szCs w:val="21"/>
        </w:rPr>
        <w:t>仲裁委员会依申请仲裁时其现行有效的仲裁规则裁决；</w:t>
      </w:r>
    </w:p>
    <w:p w14:paraId="7FC4DDCC">
      <w:pPr>
        <w:keepNext w:val="0"/>
        <w:keepLines w:val="0"/>
        <w:pageBreakBefore w:val="0"/>
        <w:kinsoku/>
        <w:wordWrap/>
        <w:overflowPunct/>
        <w:topLinePunct w:val="0"/>
        <w:autoSpaceDE w:val="0"/>
        <w:autoSpaceDN w:val="0"/>
        <w:bidi w:val="0"/>
        <w:adjustRightInd/>
        <w:snapToGrid/>
        <w:spacing w:line="360" w:lineRule="auto"/>
        <w:ind w:left="-440" w:leftChars="-200" w:right="-440" w:rightChars="-200" w:firstLine="550" w:firstLineChars="250"/>
        <w:textAlignment w:val="auto"/>
        <w:rPr>
          <w:rFonts w:ascii="宋体" w:hAnsi="宋体" w:cs="宋体"/>
          <w:color w:val="auto"/>
          <w:sz w:val="22"/>
          <w:szCs w:val="21"/>
        </w:rPr>
      </w:pPr>
      <w:r>
        <w:rPr>
          <w:rFonts w:hint="eastAsia" w:ascii="宋体" w:hAnsi="宋体" w:cs="宋体"/>
          <w:color w:val="auto"/>
          <w:sz w:val="22"/>
          <w:szCs w:val="21"/>
        </w:rPr>
        <w:t>1.9.2 向</w:t>
      </w:r>
      <w:r>
        <w:rPr>
          <w:rFonts w:hint="eastAsia" w:ascii="宋体" w:hAnsi="宋体" w:cs="宋体"/>
          <w:b/>
          <w:i/>
          <w:color w:val="auto"/>
          <w:sz w:val="22"/>
          <w:szCs w:val="21"/>
          <w:u w:val="single"/>
        </w:rPr>
        <w:t>合同专用条款</w:t>
      </w:r>
      <w:r>
        <w:rPr>
          <w:rFonts w:hint="eastAsia" w:ascii="宋体" w:hAnsi="宋体" w:cs="宋体"/>
          <w:color w:val="auto"/>
          <w:sz w:val="22"/>
          <w:szCs w:val="21"/>
        </w:rPr>
        <w:t>人民法院起诉。</w:t>
      </w:r>
    </w:p>
    <w:p w14:paraId="6B01BAD8">
      <w:pPr>
        <w:keepNext w:val="0"/>
        <w:keepLines w:val="0"/>
        <w:pageBreakBefore w:val="0"/>
        <w:kinsoku/>
        <w:wordWrap/>
        <w:overflowPunct/>
        <w:topLinePunct w:val="0"/>
        <w:autoSpaceDE w:val="0"/>
        <w:autoSpaceDN w:val="0"/>
        <w:bidi w:val="0"/>
        <w:adjustRightInd/>
        <w:snapToGrid/>
        <w:spacing w:line="360" w:lineRule="auto"/>
        <w:ind w:firstLine="442" w:firstLineChars="200"/>
        <w:textAlignment w:val="auto"/>
        <w:outlineLvl w:val="0"/>
        <w:rPr>
          <w:rFonts w:ascii="宋体" w:hAnsi="宋体" w:cs="宋体"/>
          <w:b/>
          <w:color w:val="auto"/>
          <w:sz w:val="22"/>
          <w:szCs w:val="21"/>
        </w:rPr>
      </w:pPr>
      <w:r>
        <w:rPr>
          <w:rFonts w:hint="eastAsia" w:ascii="宋体" w:hAnsi="宋体" w:cs="宋体"/>
          <w:b/>
          <w:color w:val="auto"/>
          <w:sz w:val="22"/>
          <w:szCs w:val="21"/>
        </w:rPr>
        <w:t>2.0 合同生效</w:t>
      </w:r>
    </w:p>
    <w:p w14:paraId="393A6C17">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ascii="宋体" w:hAnsi="宋体" w:cs="宋体"/>
          <w:b/>
          <w:color w:val="auto"/>
          <w:sz w:val="22"/>
          <w:szCs w:val="21"/>
        </w:rPr>
      </w:pPr>
      <w:r>
        <w:rPr>
          <w:rFonts w:hint="eastAsia" w:ascii="宋体" w:hAnsi="宋体" w:cs="宋体"/>
          <w:color w:val="auto"/>
          <w:sz w:val="22"/>
          <w:szCs w:val="21"/>
        </w:rPr>
        <w:t>本合同自双方当事人盖章签字时生效。</w:t>
      </w:r>
    </w:p>
    <w:p w14:paraId="266ADD38">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lang w:val="zh-CN"/>
        </w:rPr>
      </w:pPr>
    </w:p>
    <w:p w14:paraId="4774BC39">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lang w:val="zh-CN"/>
        </w:rPr>
      </w:pPr>
      <w:r>
        <w:rPr>
          <w:rFonts w:hint="eastAsia" w:ascii="宋体" w:hAnsi="宋体"/>
          <w:b/>
          <w:color w:val="auto"/>
          <w:sz w:val="22"/>
          <w:szCs w:val="21"/>
          <w:lang w:val="zh-CN"/>
        </w:rPr>
        <w:t>甲方</w:t>
      </w:r>
      <w:r>
        <w:rPr>
          <w:rFonts w:hint="eastAsia" w:ascii="宋体" w:hAnsi="宋体"/>
          <w:color w:val="auto"/>
          <w:sz w:val="22"/>
          <w:szCs w:val="21"/>
          <w:lang w:val="zh-CN"/>
        </w:rPr>
        <w:t>：</w:t>
      </w:r>
      <w:r>
        <w:rPr>
          <w:rFonts w:ascii="宋体" w:hAnsi="宋体"/>
          <w:color w:val="auto"/>
          <w:sz w:val="22"/>
          <w:szCs w:val="21"/>
          <w:lang w:val="zh-CN"/>
        </w:rPr>
        <w:t xml:space="preserve">                             </w:t>
      </w:r>
      <w:r>
        <w:rPr>
          <w:rFonts w:ascii="宋体" w:hAnsi="宋体"/>
          <w:b/>
          <w:color w:val="auto"/>
          <w:sz w:val="22"/>
          <w:szCs w:val="21"/>
          <w:lang w:val="zh-CN"/>
        </w:rPr>
        <w:t xml:space="preserve">      乙方</w:t>
      </w:r>
      <w:r>
        <w:rPr>
          <w:rFonts w:hint="eastAsia" w:ascii="宋体" w:hAnsi="宋体"/>
          <w:color w:val="auto"/>
          <w:sz w:val="22"/>
          <w:szCs w:val="21"/>
          <w:lang w:val="zh-CN"/>
        </w:rPr>
        <w:t>：</w:t>
      </w:r>
    </w:p>
    <w:p w14:paraId="5415C616">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lang w:val="zh-CN"/>
        </w:rPr>
      </w:pPr>
      <w:r>
        <w:rPr>
          <w:rFonts w:hint="eastAsia" w:ascii="宋体" w:hAnsi="宋体"/>
          <w:color w:val="auto"/>
          <w:sz w:val="22"/>
          <w:szCs w:val="21"/>
          <w:lang w:val="zh-CN"/>
        </w:rPr>
        <w:t>统一社会信用代码：</w:t>
      </w:r>
      <w:r>
        <w:rPr>
          <w:rFonts w:ascii="宋体" w:hAnsi="宋体"/>
          <w:color w:val="auto"/>
          <w:sz w:val="22"/>
          <w:szCs w:val="21"/>
          <w:lang w:val="zh-CN"/>
        </w:rPr>
        <w:t xml:space="preserve">                        </w:t>
      </w:r>
      <w:r>
        <w:rPr>
          <w:rFonts w:hint="eastAsia" w:ascii="宋体" w:hAnsi="宋体"/>
          <w:color w:val="auto"/>
          <w:sz w:val="22"/>
          <w:szCs w:val="21"/>
          <w:lang w:val="zh-CN"/>
        </w:rPr>
        <w:t>统一社会信用代码或身份证号码：</w:t>
      </w:r>
    </w:p>
    <w:p w14:paraId="4D7F2236">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lang w:val="zh-CN"/>
        </w:rPr>
      </w:pPr>
    </w:p>
    <w:p w14:paraId="05C1769D">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lang w:val="zh-CN"/>
        </w:rPr>
      </w:pPr>
      <w:r>
        <w:rPr>
          <w:rFonts w:hint="eastAsia" w:ascii="宋体" w:hAnsi="宋体"/>
          <w:color w:val="auto"/>
          <w:sz w:val="22"/>
          <w:szCs w:val="21"/>
          <w:lang w:val="zh-CN"/>
        </w:rPr>
        <w:t>住所：</w:t>
      </w:r>
      <w:r>
        <w:rPr>
          <w:rFonts w:ascii="宋体" w:hAnsi="宋体"/>
          <w:color w:val="auto"/>
          <w:sz w:val="22"/>
          <w:szCs w:val="21"/>
          <w:lang w:val="zh-CN"/>
        </w:rPr>
        <w:t xml:space="preserve">                                   </w:t>
      </w:r>
      <w:r>
        <w:rPr>
          <w:rFonts w:hint="eastAsia" w:ascii="宋体" w:hAnsi="宋体"/>
          <w:color w:val="auto"/>
          <w:sz w:val="22"/>
          <w:szCs w:val="21"/>
          <w:lang w:val="zh-CN"/>
        </w:rPr>
        <w:t>住所：</w:t>
      </w:r>
    </w:p>
    <w:p w14:paraId="429AEFA2">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lang w:val="zh-CN"/>
        </w:rPr>
      </w:pPr>
      <w:r>
        <w:rPr>
          <w:rFonts w:hint="eastAsia" w:ascii="宋体" w:hAnsi="宋体"/>
          <w:color w:val="auto"/>
          <w:sz w:val="22"/>
          <w:szCs w:val="21"/>
          <w:lang w:val="zh-CN"/>
        </w:rPr>
        <w:t>法定代表人或</w:t>
      </w:r>
      <w:r>
        <w:rPr>
          <w:rFonts w:ascii="宋体" w:hAnsi="宋体"/>
          <w:color w:val="auto"/>
          <w:sz w:val="22"/>
          <w:szCs w:val="21"/>
          <w:lang w:val="zh-CN"/>
        </w:rPr>
        <w:t xml:space="preserve">                             </w:t>
      </w:r>
      <w:r>
        <w:rPr>
          <w:rFonts w:hint="eastAsia" w:ascii="宋体" w:hAnsi="宋体"/>
          <w:color w:val="auto"/>
          <w:sz w:val="22"/>
          <w:szCs w:val="21"/>
          <w:lang w:val="zh-CN"/>
        </w:rPr>
        <w:t>法定代表人或</w:t>
      </w:r>
    </w:p>
    <w:p w14:paraId="0943C717">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lang w:val="zh-CN"/>
        </w:rPr>
      </w:pPr>
      <w:r>
        <w:rPr>
          <w:rFonts w:hint="eastAsia" w:ascii="宋体" w:hAnsi="宋体"/>
          <w:color w:val="auto"/>
          <w:sz w:val="22"/>
          <w:szCs w:val="21"/>
          <w:lang w:val="zh-CN"/>
        </w:rPr>
        <w:t>授权代表（签字）：</w:t>
      </w:r>
      <w:r>
        <w:rPr>
          <w:rFonts w:ascii="宋体" w:hAnsi="宋体"/>
          <w:color w:val="auto"/>
          <w:sz w:val="22"/>
          <w:szCs w:val="21"/>
          <w:lang w:val="zh-CN"/>
        </w:rPr>
        <w:t xml:space="preserve">                       授权代表（签字）: </w:t>
      </w:r>
    </w:p>
    <w:p w14:paraId="2AB9E70F">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lang w:val="zh-CN"/>
        </w:rPr>
      </w:pPr>
      <w:r>
        <w:rPr>
          <w:rFonts w:hint="eastAsia" w:ascii="宋体" w:hAnsi="宋体"/>
          <w:color w:val="auto"/>
          <w:sz w:val="22"/>
          <w:szCs w:val="21"/>
          <w:lang w:val="zh-CN"/>
        </w:rPr>
        <w:t>联系人：</w:t>
      </w:r>
      <w:r>
        <w:rPr>
          <w:rFonts w:ascii="宋体" w:hAnsi="宋体"/>
          <w:color w:val="auto"/>
          <w:sz w:val="22"/>
          <w:szCs w:val="21"/>
          <w:lang w:val="zh-CN"/>
        </w:rPr>
        <w:t xml:space="preserve">                                 </w:t>
      </w:r>
      <w:r>
        <w:rPr>
          <w:rFonts w:hint="eastAsia" w:ascii="宋体" w:hAnsi="宋体"/>
          <w:color w:val="auto"/>
          <w:sz w:val="22"/>
          <w:szCs w:val="21"/>
          <w:lang w:val="zh-CN"/>
        </w:rPr>
        <w:t>联系人：</w:t>
      </w:r>
    </w:p>
    <w:p w14:paraId="6C2F4DEF">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lang w:val="zh-CN"/>
        </w:rPr>
      </w:pPr>
      <w:r>
        <w:rPr>
          <w:rFonts w:hint="eastAsia" w:ascii="宋体" w:hAnsi="宋体"/>
          <w:color w:val="auto"/>
          <w:sz w:val="22"/>
          <w:szCs w:val="21"/>
          <w:lang w:val="zh-CN"/>
        </w:rPr>
        <w:t>约定送达地址：</w:t>
      </w:r>
      <w:r>
        <w:rPr>
          <w:rFonts w:ascii="宋体" w:hAnsi="宋体"/>
          <w:color w:val="auto"/>
          <w:sz w:val="22"/>
          <w:szCs w:val="21"/>
          <w:lang w:val="zh-CN"/>
        </w:rPr>
        <w:t xml:space="preserve">                           </w:t>
      </w:r>
      <w:r>
        <w:rPr>
          <w:rFonts w:hint="eastAsia" w:ascii="宋体" w:hAnsi="宋体"/>
          <w:color w:val="auto"/>
          <w:sz w:val="22"/>
          <w:szCs w:val="21"/>
          <w:lang w:val="zh-CN"/>
        </w:rPr>
        <w:t>约定送达地址：</w:t>
      </w:r>
    </w:p>
    <w:p w14:paraId="19E3A0AD">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lang w:val="zh-CN"/>
        </w:rPr>
      </w:pPr>
      <w:r>
        <w:rPr>
          <w:rFonts w:hint="eastAsia" w:ascii="宋体" w:hAnsi="宋体"/>
          <w:color w:val="auto"/>
          <w:sz w:val="22"/>
          <w:szCs w:val="21"/>
          <w:lang w:val="zh-CN"/>
        </w:rPr>
        <w:t>邮政编码：</w:t>
      </w:r>
      <w:r>
        <w:rPr>
          <w:rFonts w:ascii="宋体" w:hAnsi="宋体"/>
          <w:color w:val="auto"/>
          <w:sz w:val="22"/>
          <w:szCs w:val="21"/>
          <w:lang w:val="zh-CN"/>
        </w:rPr>
        <w:t xml:space="preserve">                               </w:t>
      </w:r>
      <w:r>
        <w:rPr>
          <w:rFonts w:hint="eastAsia" w:ascii="宋体" w:hAnsi="宋体"/>
          <w:color w:val="auto"/>
          <w:sz w:val="22"/>
          <w:szCs w:val="21"/>
          <w:lang w:val="zh-CN"/>
        </w:rPr>
        <w:t>邮政编码：</w:t>
      </w:r>
    </w:p>
    <w:p w14:paraId="604762B9">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lang w:val="zh-CN"/>
        </w:rPr>
      </w:pPr>
      <w:r>
        <w:rPr>
          <w:rFonts w:hint="eastAsia" w:ascii="宋体" w:hAnsi="宋体"/>
          <w:color w:val="auto"/>
          <w:sz w:val="22"/>
          <w:szCs w:val="21"/>
          <w:lang w:val="zh-CN"/>
        </w:rPr>
        <w:t>电话</w:t>
      </w:r>
      <w:r>
        <w:rPr>
          <w:rFonts w:ascii="宋体" w:hAnsi="宋体"/>
          <w:color w:val="auto"/>
          <w:sz w:val="22"/>
          <w:szCs w:val="21"/>
          <w:lang w:val="zh-CN"/>
        </w:rPr>
        <w:t>:                                    电话:</w:t>
      </w:r>
    </w:p>
    <w:p w14:paraId="191F5DD6">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lang w:val="zh-CN"/>
        </w:rPr>
      </w:pPr>
      <w:r>
        <w:rPr>
          <w:rFonts w:hint="eastAsia" w:ascii="宋体" w:hAnsi="宋体"/>
          <w:color w:val="auto"/>
          <w:sz w:val="22"/>
          <w:szCs w:val="21"/>
          <w:lang w:val="zh-CN"/>
        </w:rPr>
        <w:t>传真</w:t>
      </w:r>
      <w:r>
        <w:rPr>
          <w:rFonts w:ascii="宋体" w:hAnsi="宋体"/>
          <w:color w:val="auto"/>
          <w:sz w:val="22"/>
          <w:szCs w:val="21"/>
          <w:lang w:val="zh-CN"/>
        </w:rPr>
        <w:t xml:space="preserve">:                                    </w:t>
      </w:r>
      <w:r>
        <w:rPr>
          <w:rFonts w:hint="eastAsia" w:ascii="宋体" w:hAnsi="宋体"/>
          <w:color w:val="auto"/>
          <w:sz w:val="22"/>
          <w:szCs w:val="21"/>
          <w:lang w:val="zh-CN"/>
        </w:rPr>
        <w:t>传真</w:t>
      </w:r>
      <w:r>
        <w:rPr>
          <w:rFonts w:ascii="宋体" w:hAnsi="宋体"/>
          <w:color w:val="auto"/>
          <w:sz w:val="22"/>
          <w:szCs w:val="21"/>
          <w:lang w:val="zh-CN"/>
        </w:rPr>
        <w:t>:</w:t>
      </w:r>
    </w:p>
    <w:p w14:paraId="30262129">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rPr>
      </w:pPr>
      <w:r>
        <w:rPr>
          <w:rFonts w:hint="eastAsia" w:ascii="宋体" w:hAnsi="宋体"/>
          <w:color w:val="auto"/>
          <w:sz w:val="22"/>
          <w:szCs w:val="21"/>
          <w:lang w:val="zh-CN"/>
        </w:rPr>
        <w:t>电子邮箱：</w:t>
      </w:r>
      <w:r>
        <w:rPr>
          <w:rFonts w:ascii="宋体" w:hAnsi="宋体"/>
          <w:color w:val="auto"/>
          <w:sz w:val="22"/>
          <w:szCs w:val="21"/>
          <w:lang w:val="zh-CN"/>
        </w:rPr>
        <w:t xml:space="preserve">                               </w:t>
      </w:r>
      <w:r>
        <w:rPr>
          <w:rFonts w:hint="eastAsia" w:ascii="宋体" w:hAnsi="宋体"/>
          <w:color w:val="auto"/>
          <w:sz w:val="22"/>
          <w:szCs w:val="21"/>
          <w:lang w:val="zh-CN"/>
        </w:rPr>
        <w:t>电子邮箱：</w:t>
      </w:r>
    </w:p>
    <w:p w14:paraId="3A29A453">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rPr>
      </w:pPr>
      <w:r>
        <w:rPr>
          <w:rFonts w:hint="eastAsia" w:ascii="宋体" w:hAnsi="宋体"/>
          <w:color w:val="auto"/>
          <w:sz w:val="22"/>
          <w:szCs w:val="21"/>
        </w:rPr>
        <w:t>开户银行：</w:t>
      </w:r>
      <w:r>
        <w:rPr>
          <w:rFonts w:ascii="宋体" w:hAnsi="宋体"/>
          <w:color w:val="auto"/>
          <w:sz w:val="22"/>
          <w:szCs w:val="21"/>
        </w:rPr>
        <w:t xml:space="preserve">                               开户银行： </w:t>
      </w:r>
    </w:p>
    <w:p w14:paraId="0EDF3450">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rPr>
      </w:pPr>
      <w:r>
        <w:rPr>
          <w:rFonts w:hint="eastAsia" w:ascii="宋体" w:hAnsi="宋体"/>
          <w:color w:val="auto"/>
          <w:sz w:val="22"/>
          <w:szCs w:val="21"/>
        </w:rPr>
        <w:t>开户名称：</w:t>
      </w:r>
      <w:r>
        <w:rPr>
          <w:rFonts w:ascii="宋体" w:hAnsi="宋体"/>
          <w:color w:val="auto"/>
          <w:sz w:val="22"/>
          <w:szCs w:val="21"/>
        </w:rPr>
        <w:t xml:space="preserve">                               开户名称： </w:t>
      </w:r>
    </w:p>
    <w:p w14:paraId="096A4B92">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olor w:val="auto"/>
          <w:sz w:val="22"/>
          <w:szCs w:val="21"/>
        </w:rPr>
      </w:pPr>
      <w:r>
        <w:rPr>
          <w:rFonts w:hint="eastAsia" w:ascii="宋体" w:hAnsi="宋体"/>
          <w:color w:val="auto"/>
          <w:sz w:val="22"/>
          <w:szCs w:val="21"/>
        </w:rPr>
        <w:t>开户账号：</w:t>
      </w:r>
      <w:r>
        <w:rPr>
          <w:rFonts w:ascii="宋体" w:hAnsi="宋体"/>
          <w:color w:val="auto"/>
          <w:sz w:val="22"/>
          <w:szCs w:val="21"/>
          <w:lang w:val="zh-CN"/>
        </w:rPr>
        <w:t xml:space="preserve">                               </w:t>
      </w:r>
      <w:r>
        <w:rPr>
          <w:rFonts w:hint="eastAsia" w:ascii="宋体" w:hAnsi="宋体"/>
          <w:color w:val="auto"/>
          <w:sz w:val="22"/>
          <w:szCs w:val="21"/>
        </w:rPr>
        <w:t>开户账号：</w:t>
      </w:r>
    </w:p>
    <w:p w14:paraId="58FE7718">
      <w:pPr>
        <w:keepNext w:val="0"/>
        <w:keepLines w:val="0"/>
        <w:pageBreakBefore w:val="0"/>
        <w:widowControl/>
        <w:kinsoku/>
        <w:wordWrap/>
        <w:overflowPunct/>
        <w:topLinePunct w:val="0"/>
        <w:autoSpaceDE w:val="0"/>
        <w:autoSpaceDN w:val="0"/>
        <w:bidi w:val="0"/>
        <w:adjustRightInd/>
        <w:snapToGrid/>
        <w:spacing w:line="560" w:lineRule="exact"/>
        <w:jc w:val="left"/>
        <w:textAlignment w:val="auto"/>
        <w:rPr>
          <w:rFonts w:ascii="宋体" w:hAnsi="宋体"/>
          <w:b/>
          <w:color w:val="auto"/>
          <w:sz w:val="22"/>
          <w:szCs w:val="21"/>
        </w:rPr>
      </w:pPr>
    </w:p>
    <w:p w14:paraId="4A14E610">
      <w:pPr>
        <w:widowControl/>
        <w:adjustRightInd/>
        <w:jc w:val="left"/>
        <w:rPr>
          <w:rFonts w:ascii="宋体" w:hAnsi="宋体"/>
          <w:b/>
          <w:color w:val="auto"/>
          <w:sz w:val="22"/>
          <w:szCs w:val="21"/>
        </w:rPr>
      </w:pPr>
      <w:r>
        <w:rPr>
          <w:rFonts w:ascii="宋体" w:hAnsi="宋体"/>
          <w:b/>
          <w:color w:val="auto"/>
          <w:sz w:val="21"/>
          <w:szCs w:val="21"/>
        </w:rPr>
        <w:br w:type="page"/>
      </w:r>
    </w:p>
    <w:p w14:paraId="1F14435C">
      <w:pPr>
        <w:pStyle w:val="34"/>
        <w:spacing w:line="560" w:lineRule="exact"/>
        <w:ind w:left="0" w:leftChars="0" w:firstLine="0" w:firstLineChars="0"/>
        <w:jc w:val="center"/>
        <w:rPr>
          <w:rFonts w:ascii="宋体" w:hAnsi="宋体"/>
          <w:b/>
          <w:color w:val="auto"/>
          <w:sz w:val="22"/>
          <w:szCs w:val="22"/>
        </w:rPr>
      </w:pPr>
      <w:r>
        <w:rPr>
          <w:rFonts w:hint="eastAsia" w:ascii="宋体" w:hAnsi="宋体"/>
          <w:b/>
          <w:color w:val="auto"/>
          <w:sz w:val="22"/>
          <w:szCs w:val="22"/>
        </w:rPr>
        <w:t>第二部分</w:t>
      </w:r>
      <w:r>
        <w:rPr>
          <w:rFonts w:ascii="宋体" w:hAnsi="宋体"/>
          <w:b/>
          <w:color w:val="auto"/>
          <w:sz w:val="22"/>
          <w:szCs w:val="22"/>
        </w:rPr>
        <w:t xml:space="preserve"> </w:t>
      </w:r>
      <w:r>
        <w:rPr>
          <w:rFonts w:hint="eastAsia" w:ascii="宋体" w:hAnsi="宋体"/>
          <w:b/>
          <w:color w:val="auto"/>
          <w:sz w:val="22"/>
          <w:szCs w:val="22"/>
        </w:rPr>
        <w:t>合同一般条款</w:t>
      </w:r>
    </w:p>
    <w:p w14:paraId="3B2C53CE">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72" w:name="_Toc25079"/>
      <w:bookmarkStart w:id="73" w:name="_Toc5228"/>
      <w:bookmarkStart w:id="74" w:name="_Toc14021"/>
      <w:bookmarkStart w:id="75" w:name="_Toc31297"/>
      <w:bookmarkStart w:id="76" w:name="_Toc19680"/>
      <w:r>
        <w:rPr>
          <w:rFonts w:ascii="宋体" w:hAnsi="宋体"/>
          <w:b/>
          <w:color w:val="auto"/>
          <w:sz w:val="22"/>
          <w:szCs w:val="21"/>
        </w:rPr>
        <w:t>2.1 定义</w:t>
      </w:r>
      <w:bookmarkEnd w:id="72"/>
      <w:bookmarkEnd w:id="73"/>
      <w:bookmarkEnd w:id="74"/>
      <w:bookmarkEnd w:id="75"/>
      <w:bookmarkEnd w:id="76"/>
    </w:p>
    <w:p w14:paraId="7ABE88AA">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本合同中的下列</w:t>
      </w:r>
      <w:r>
        <w:rPr>
          <w:rFonts w:hint="eastAsia" w:ascii="宋体" w:hAnsi="宋体"/>
          <w:color w:val="auto"/>
          <w:sz w:val="22"/>
          <w:szCs w:val="21"/>
        </w:rPr>
        <w:t>词</w:t>
      </w:r>
      <w:r>
        <w:rPr>
          <w:rFonts w:ascii="宋体" w:hAnsi="宋体"/>
          <w:color w:val="auto"/>
          <w:sz w:val="22"/>
          <w:szCs w:val="21"/>
        </w:rPr>
        <w:t>语应</w:t>
      </w:r>
      <w:r>
        <w:rPr>
          <w:rFonts w:hint="eastAsia" w:ascii="宋体" w:hAnsi="宋体"/>
          <w:color w:val="auto"/>
          <w:sz w:val="22"/>
          <w:szCs w:val="21"/>
        </w:rPr>
        <w:t>按以下内容进行</w:t>
      </w:r>
      <w:r>
        <w:rPr>
          <w:rFonts w:ascii="宋体" w:hAnsi="宋体"/>
          <w:color w:val="auto"/>
          <w:sz w:val="22"/>
          <w:szCs w:val="21"/>
        </w:rPr>
        <w:t>解释：</w:t>
      </w:r>
    </w:p>
    <w:p w14:paraId="5D502EE7">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2.1.1 “合同”系指采购人和</w:t>
      </w:r>
      <w:r>
        <w:rPr>
          <w:rFonts w:hint="eastAsia" w:ascii="宋体" w:hAnsi="宋体" w:cs="宋体"/>
          <w:color w:val="auto"/>
          <w:sz w:val="22"/>
          <w:szCs w:val="21"/>
        </w:rPr>
        <w:t>中标或成交</w:t>
      </w:r>
      <w:r>
        <w:rPr>
          <w:rFonts w:ascii="宋体" w:hAnsi="宋体"/>
          <w:color w:val="auto"/>
          <w:sz w:val="22"/>
          <w:szCs w:val="21"/>
        </w:rPr>
        <w:t>供应商签订的载明双方当事人所达成的协议，并包括所有的附件、附录和构成合同的其他文件。</w:t>
      </w:r>
    </w:p>
    <w:p w14:paraId="4CAB46F3">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2.1.2 “合同价”系指根据合同约定，</w:t>
      </w:r>
      <w:r>
        <w:rPr>
          <w:rFonts w:hint="eastAsia" w:ascii="宋体" w:hAnsi="宋体" w:cs="宋体"/>
          <w:color w:val="auto"/>
          <w:sz w:val="22"/>
          <w:szCs w:val="21"/>
        </w:rPr>
        <w:t>中标或成交</w:t>
      </w:r>
      <w:r>
        <w:rPr>
          <w:rFonts w:ascii="宋体" w:hAnsi="宋体"/>
          <w:color w:val="auto"/>
          <w:sz w:val="22"/>
          <w:szCs w:val="21"/>
        </w:rPr>
        <w:t>供应商在完全履行合同义务后</w:t>
      </w:r>
      <w:r>
        <w:rPr>
          <w:rFonts w:hint="eastAsia" w:ascii="宋体" w:hAnsi="宋体"/>
          <w:color w:val="auto"/>
          <w:sz w:val="22"/>
          <w:szCs w:val="21"/>
        </w:rPr>
        <w:t>，</w:t>
      </w:r>
      <w:r>
        <w:rPr>
          <w:rFonts w:ascii="宋体" w:hAnsi="宋体"/>
          <w:color w:val="auto"/>
          <w:sz w:val="22"/>
          <w:szCs w:val="21"/>
        </w:rPr>
        <w:t>采购人应支付给</w:t>
      </w:r>
      <w:r>
        <w:rPr>
          <w:rFonts w:hint="eastAsia" w:ascii="宋体" w:hAnsi="宋体" w:cs="宋体"/>
          <w:color w:val="auto"/>
          <w:sz w:val="22"/>
          <w:szCs w:val="21"/>
        </w:rPr>
        <w:t>中标或成交</w:t>
      </w:r>
      <w:r>
        <w:rPr>
          <w:rFonts w:ascii="宋体" w:hAnsi="宋体"/>
          <w:color w:val="auto"/>
          <w:sz w:val="22"/>
          <w:szCs w:val="21"/>
        </w:rPr>
        <w:t>供应商的价格。</w:t>
      </w:r>
    </w:p>
    <w:p w14:paraId="3B6C5C83">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2.1.3 “</w:t>
      </w:r>
      <w:r>
        <w:rPr>
          <w:rFonts w:hint="eastAsia" w:ascii="宋体" w:hAnsi="宋体"/>
          <w:color w:val="auto"/>
          <w:sz w:val="22"/>
          <w:szCs w:val="21"/>
        </w:rPr>
        <w:t>服务</w:t>
      </w:r>
      <w:r>
        <w:rPr>
          <w:rFonts w:ascii="宋体" w:hAnsi="宋体"/>
          <w:color w:val="auto"/>
          <w:sz w:val="22"/>
          <w:szCs w:val="21"/>
        </w:rPr>
        <w:t>”系指</w:t>
      </w:r>
      <w:r>
        <w:rPr>
          <w:rFonts w:hint="eastAsia" w:ascii="宋体" w:hAnsi="宋体" w:cs="宋体"/>
          <w:color w:val="auto"/>
          <w:sz w:val="22"/>
          <w:szCs w:val="21"/>
        </w:rPr>
        <w:t>中标或成交</w:t>
      </w:r>
      <w:r>
        <w:rPr>
          <w:rFonts w:hint="eastAsia" w:ascii="宋体" w:hAnsi="宋体"/>
          <w:color w:val="auto"/>
          <w:sz w:val="22"/>
          <w:szCs w:val="21"/>
        </w:rPr>
        <w:t>供应商</w:t>
      </w:r>
      <w:r>
        <w:rPr>
          <w:rFonts w:ascii="宋体" w:hAnsi="宋体"/>
          <w:color w:val="auto"/>
          <w:sz w:val="22"/>
          <w:szCs w:val="21"/>
        </w:rPr>
        <w:t>根据合同约定应向采购人</w:t>
      </w:r>
      <w:r>
        <w:rPr>
          <w:rFonts w:hint="eastAsia" w:ascii="宋体" w:hAnsi="宋体"/>
          <w:color w:val="auto"/>
          <w:sz w:val="22"/>
          <w:szCs w:val="21"/>
        </w:rPr>
        <w:t>履行</w:t>
      </w:r>
      <w:r>
        <w:rPr>
          <w:rFonts w:ascii="宋体" w:hAnsi="宋体"/>
          <w:color w:val="auto"/>
          <w:sz w:val="22"/>
          <w:szCs w:val="21"/>
        </w:rPr>
        <w:t>的</w:t>
      </w:r>
      <w:r>
        <w:rPr>
          <w:rFonts w:hint="eastAsia" w:ascii="宋体" w:hAnsi="宋体"/>
          <w:color w:val="auto"/>
          <w:sz w:val="22"/>
          <w:szCs w:val="21"/>
        </w:rPr>
        <w:t>除货物和工程以外的其他政府采购对象，包括采购人自身需要的服务和向社会公众提供的公共服务。</w:t>
      </w:r>
    </w:p>
    <w:p w14:paraId="37EDB8B5">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2.1.4 “</w:t>
      </w:r>
      <w:r>
        <w:rPr>
          <w:rFonts w:hint="eastAsia" w:ascii="宋体" w:hAnsi="宋体"/>
          <w:color w:val="auto"/>
          <w:sz w:val="22"/>
          <w:szCs w:val="21"/>
        </w:rPr>
        <w:t>甲方</w:t>
      </w:r>
      <w:r>
        <w:rPr>
          <w:rFonts w:ascii="宋体" w:hAnsi="宋体"/>
          <w:color w:val="auto"/>
          <w:sz w:val="22"/>
          <w:szCs w:val="21"/>
        </w:rPr>
        <w:t>”系指与</w:t>
      </w:r>
      <w:r>
        <w:rPr>
          <w:rFonts w:hint="eastAsia" w:ascii="宋体" w:hAnsi="宋体" w:cs="宋体"/>
          <w:color w:val="auto"/>
          <w:sz w:val="22"/>
          <w:szCs w:val="21"/>
        </w:rPr>
        <w:t>中标或成交</w:t>
      </w:r>
      <w:r>
        <w:rPr>
          <w:rFonts w:hint="eastAsia" w:ascii="宋体" w:hAnsi="宋体"/>
          <w:color w:val="auto"/>
          <w:sz w:val="22"/>
          <w:szCs w:val="21"/>
        </w:rPr>
        <w:t>供应商</w:t>
      </w:r>
      <w:r>
        <w:rPr>
          <w:rFonts w:ascii="宋体" w:hAnsi="宋体"/>
          <w:color w:val="auto"/>
          <w:sz w:val="22"/>
          <w:szCs w:val="21"/>
        </w:rPr>
        <w:t>签署合同的采购人</w:t>
      </w:r>
      <w:r>
        <w:rPr>
          <w:rFonts w:hint="eastAsia" w:ascii="宋体" w:hAnsi="宋体"/>
          <w:color w:val="auto"/>
          <w:sz w:val="22"/>
          <w:szCs w:val="21"/>
        </w:rPr>
        <w:t>；采购人委托采购代理机构代表其与乙方签订合同的，采购人的授权委托书作为合同附件。</w:t>
      </w:r>
    </w:p>
    <w:p w14:paraId="693A90C6">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2.1.5 “乙方”系指根据合同约定提供服务的</w:t>
      </w:r>
      <w:r>
        <w:rPr>
          <w:rFonts w:hint="eastAsia" w:ascii="宋体" w:hAnsi="宋体" w:cs="宋体"/>
          <w:color w:val="auto"/>
          <w:sz w:val="22"/>
          <w:szCs w:val="21"/>
        </w:rPr>
        <w:t>中标或成交</w:t>
      </w:r>
      <w:r>
        <w:rPr>
          <w:rFonts w:ascii="宋体" w:hAnsi="宋体"/>
          <w:color w:val="auto"/>
          <w:sz w:val="22"/>
          <w:szCs w:val="21"/>
        </w:rPr>
        <w:t>供应商</w:t>
      </w:r>
      <w:r>
        <w:rPr>
          <w:rFonts w:hint="eastAsia" w:ascii="宋体" w:hAnsi="宋体"/>
          <w:color w:val="auto"/>
          <w:sz w:val="22"/>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8E328E9">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2.1.6 “现场”系指合同约定提供服务的地点。</w:t>
      </w:r>
    </w:p>
    <w:p w14:paraId="56363160">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77" w:name="_Toc31402"/>
      <w:bookmarkStart w:id="78" w:name="_Toc19539"/>
      <w:bookmarkStart w:id="79" w:name="_Toc23289"/>
      <w:bookmarkStart w:id="80" w:name="_Toc3769"/>
      <w:bookmarkStart w:id="81" w:name="_Toc16752"/>
      <w:r>
        <w:rPr>
          <w:rFonts w:ascii="宋体" w:hAnsi="宋体"/>
          <w:b/>
          <w:color w:val="auto"/>
          <w:sz w:val="22"/>
          <w:szCs w:val="21"/>
        </w:rPr>
        <w:t>2.2 技术规范</w:t>
      </w:r>
      <w:bookmarkEnd w:id="77"/>
      <w:bookmarkEnd w:id="78"/>
      <w:bookmarkEnd w:id="79"/>
      <w:bookmarkEnd w:id="80"/>
      <w:bookmarkEnd w:id="81"/>
    </w:p>
    <w:p w14:paraId="724AE588">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hint="eastAsia" w:ascii="宋体" w:hAnsi="宋体"/>
          <w:color w:val="auto"/>
          <w:sz w:val="22"/>
          <w:szCs w:val="21"/>
        </w:rPr>
        <w:t>服务</w:t>
      </w:r>
      <w:r>
        <w:rPr>
          <w:rFonts w:ascii="宋体" w:hAnsi="宋体"/>
          <w:color w:val="auto"/>
          <w:sz w:val="22"/>
          <w:szCs w:val="21"/>
        </w:rPr>
        <w:t>所应遵守的技术规范应与采购文件规定的技术规范和技术规范附件(如果有的话)及其技术规范偏差表(如果被甲方接受的话)相一致</w:t>
      </w:r>
      <w:r>
        <w:rPr>
          <w:rFonts w:hint="eastAsia" w:ascii="宋体" w:hAnsi="宋体"/>
          <w:color w:val="auto"/>
          <w:sz w:val="22"/>
          <w:szCs w:val="21"/>
        </w:rPr>
        <w:t>；</w:t>
      </w:r>
      <w:r>
        <w:rPr>
          <w:rFonts w:ascii="宋体" w:hAnsi="宋体"/>
          <w:color w:val="auto"/>
          <w:sz w:val="22"/>
          <w:szCs w:val="21"/>
        </w:rPr>
        <w:t>如果采购文件中没有技术规范的相应说明，那么应以国家有关部门最新颁布的相应标准</w:t>
      </w:r>
      <w:r>
        <w:rPr>
          <w:rFonts w:hint="eastAsia" w:ascii="宋体" w:hAnsi="宋体"/>
          <w:color w:val="auto"/>
          <w:sz w:val="22"/>
          <w:szCs w:val="21"/>
        </w:rPr>
        <w:t>和</w:t>
      </w:r>
      <w:r>
        <w:rPr>
          <w:rFonts w:ascii="宋体" w:hAnsi="宋体"/>
          <w:color w:val="auto"/>
          <w:sz w:val="22"/>
          <w:szCs w:val="21"/>
        </w:rPr>
        <w:t>规范为准。</w:t>
      </w:r>
    </w:p>
    <w:p w14:paraId="1A78FA5C">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82" w:name="_Toc27945"/>
      <w:bookmarkStart w:id="83" w:name="_Toc12412"/>
      <w:bookmarkStart w:id="84" w:name="_Toc4133"/>
      <w:bookmarkStart w:id="85" w:name="_Toc13673"/>
      <w:bookmarkStart w:id="86" w:name="_Toc9161"/>
      <w:r>
        <w:rPr>
          <w:rFonts w:ascii="宋体" w:hAnsi="宋体"/>
          <w:b/>
          <w:color w:val="auto"/>
          <w:sz w:val="22"/>
          <w:szCs w:val="21"/>
        </w:rPr>
        <w:t>2.3 知识产权</w:t>
      </w:r>
      <w:bookmarkEnd w:id="82"/>
      <w:bookmarkEnd w:id="83"/>
      <w:bookmarkEnd w:id="84"/>
      <w:bookmarkEnd w:id="85"/>
      <w:bookmarkEnd w:id="86"/>
    </w:p>
    <w:p w14:paraId="1EF8A4EB">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2.3.1 </w:t>
      </w:r>
      <w:r>
        <w:rPr>
          <w:rFonts w:hint="eastAsia" w:ascii="宋体" w:hAnsi="宋体"/>
          <w:color w:val="auto"/>
          <w:sz w:val="22"/>
          <w:szCs w:val="21"/>
        </w:rPr>
        <w:t>乙</w:t>
      </w:r>
      <w:r>
        <w:rPr>
          <w:rFonts w:ascii="宋体" w:hAnsi="宋体"/>
          <w:color w:val="auto"/>
          <w:sz w:val="22"/>
          <w:szCs w:val="21"/>
        </w:rPr>
        <w:t>方应保证</w:t>
      </w:r>
      <w:r>
        <w:rPr>
          <w:rFonts w:hint="eastAsia" w:ascii="宋体" w:hAnsi="宋体"/>
          <w:color w:val="auto"/>
          <w:sz w:val="22"/>
          <w:szCs w:val="21"/>
        </w:rPr>
        <w:t>其提供的服务</w:t>
      </w:r>
      <w:r>
        <w:rPr>
          <w:rFonts w:ascii="宋体" w:hAnsi="宋体"/>
          <w:color w:val="auto"/>
          <w:sz w:val="22"/>
          <w:szCs w:val="21"/>
        </w:rPr>
        <w:t>不受任何第三方提出的侵犯其著作权、商标权、专利权等知识产权方面的起诉</w:t>
      </w:r>
      <w:r>
        <w:rPr>
          <w:rFonts w:hint="eastAsia" w:ascii="宋体" w:hAnsi="宋体"/>
          <w:color w:val="auto"/>
          <w:sz w:val="22"/>
          <w:szCs w:val="21"/>
        </w:rPr>
        <w:t>；</w:t>
      </w:r>
      <w:r>
        <w:rPr>
          <w:rFonts w:ascii="宋体" w:hAnsi="宋体"/>
          <w:color w:val="auto"/>
          <w:sz w:val="22"/>
          <w:szCs w:val="21"/>
        </w:rPr>
        <w:t>如果任何第三方提出侵权</w:t>
      </w:r>
      <w:r>
        <w:rPr>
          <w:rFonts w:hint="eastAsia" w:ascii="宋体" w:hAnsi="宋体"/>
          <w:color w:val="auto"/>
          <w:sz w:val="22"/>
          <w:szCs w:val="21"/>
        </w:rPr>
        <w:t>指控</w:t>
      </w:r>
      <w:r>
        <w:rPr>
          <w:rFonts w:ascii="宋体" w:hAnsi="宋体"/>
          <w:color w:val="auto"/>
          <w:sz w:val="22"/>
          <w:szCs w:val="21"/>
        </w:rPr>
        <w:t>，那么乙方须与该第三方交涉并承担由此发生的一切责任、费用和赔偿</w:t>
      </w:r>
      <w:r>
        <w:rPr>
          <w:rFonts w:hint="eastAsia" w:ascii="宋体" w:hAnsi="宋体"/>
          <w:color w:val="auto"/>
          <w:sz w:val="22"/>
          <w:szCs w:val="21"/>
        </w:rPr>
        <w:t>，乙方还应及时澄清相关信息，使甲方声誉免受损害，甲方保留追责的权利。</w:t>
      </w:r>
    </w:p>
    <w:p w14:paraId="529C506E">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2.3.2 </w:t>
      </w:r>
      <w:r>
        <w:rPr>
          <w:rFonts w:hint="eastAsia" w:ascii="宋体" w:hAnsi="宋体"/>
          <w:color w:val="auto"/>
          <w:sz w:val="22"/>
          <w:szCs w:val="21"/>
        </w:rPr>
        <w:t>合同涉及技术成果的归属和收益的分成办法的，</w:t>
      </w:r>
      <w:r>
        <w:rPr>
          <w:rFonts w:ascii="宋体" w:hAnsi="宋体"/>
          <w:color w:val="auto"/>
          <w:sz w:val="22"/>
          <w:szCs w:val="21"/>
        </w:rPr>
        <w:t>详见</w:t>
      </w:r>
      <w:r>
        <w:rPr>
          <w:rFonts w:ascii="宋体" w:hAnsi="宋体"/>
          <w:b/>
          <w:i/>
          <w:color w:val="auto"/>
          <w:sz w:val="22"/>
          <w:szCs w:val="21"/>
          <w:u w:val="single"/>
        </w:rPr>
        <w:t>合同专用条款</w:t>
      </w:r>
      <w:r>
        <w:rPr>
          <w:rFonts w:ascii="宋体" w:hAnsi="宋体"/>
          <w:color w:val="auto"/>
          <w:sz w:val="22"/>
          <w:szCs w:val="21"/>
        </w:rPr>
        <w:t>。</w:t>
      </w:r>
    </w:p>
    <w:p w14:paraId="301C262F">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rPr>
          <w:rFonts w:ascii="宋体" w:hAnsi="宋体"/>
          <w:b/>
          <w:color w:val="auto"/>
          <w:sz w:val="22"/>
          <w:szCs w:val="21"/>
        </w:rPr>
      </w:pPr>
      <w:r>
        <w:rPr>
          <w:rFonts w:ascii="宋体" w:hAnsi="宋体"/>
          <w:b/>
          <w:color w:val="auto"/>
          <w:sz w:val="22"/>
          <w:szCs w:val="21"/>
        </w:rPr>
        <w:t xml:space="preserve">2.4 </w:t>
      </w:r>
      <w:r>
        <w:rPr>
          <w:rFonts w:hint="eastAsia" w:ascii="宋体" w:hAnsi="宋体"/>
          <w:b/>
          <w:color w:val="auto"/>
          <w:sz w:val="22"/>
          <w:szCs w:val="21"/>
        </w:rPr>
        <w:t>履约检查和问题反馈</w:t>
      </w:r>
    </w:p>
    <w:p w14:paraId="1E08543F">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2.4.1甲方</w:t>
      </w:r>
      <w:r>
        <w:rPr>
          <w:rFonts w:hint="eastAsia" w:ascii="宋体" w:hAnsi="宋体"/>
          <w:color w:val="auto"/>
          <w:sz w:val="22"/>
          <w:szCs w:val="21"/>
        </w:rPr>
        <w:t>有权</w:t>
      </w:r>
      <w:r>
        <w:rPr>
          <w:rFonts w:ascii="宋体" w:hAnsi="宋体"/>
          <w:color w:val="auto"/>
          <w:sz w:val="22"/>
          <w:szCs w:val="21"/>
        </w:rPr>
        <w:t>在其认为必要时</w:t>
      </w:r>
      <w:r>
        <w:rPr>
          <w:rFonts w:hint="eastAsia" w:ascii="宋体" w:hAnsi="宋体"/>
          <w:color w:val="auto"/>
          <w:sz w:val="22"/>
          <w:szCs w:val="21"/>
        </w:rPr>
        <w:t>，对乙方是否能够按照合同约定提供服务进行履约检查，以确保乙方所提供的服务能够依约满足甲方之项目需求，但不得因履约检查妨碍乙方的正常工作，乙方应予积极配合；</w:t>
      </w:r>
    </w:p>
    <w:p w14:paraId="19FB54A1">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2.4.2 </w:t>
      </w:r>
      <w:r>
        <w:rPr>
          <w:rFonts w:hint="eastAsia" w:ascii="宋体" w:hAnsi="宋体"/>
          <w:color w:val="auto"/>
          <w:sz w:val="22"/>
          <w:szCs w:val="21"/>
        </w:rPr>
        <w:t>合同履行期间，甲方有权将履行过程中出现的问题反馈给乙方，双方当事人应以书面形式约定需要完善和改进的内容。</w:t>
      </w:r>
    </w:p>
    <w:p w14:paraId="57C1D512">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87" w:name="_Toc15447"/>
      <w:bookmarkStart w:id="88" w:name="_Toc31233"/>
      <w:bookmarkStart w:id="89" w:name="_Toc26555"/>
      <w:bookmarkStart w:id="90" w:name="_Toc32670"/>
      <w:bookmarkStart w:id="91" w:name="_Toc22011"/>
      <w:r>
        <w:rPr>
          <w:rFonts w:ascii="宋体" w:hAnsi="宋体"/>
          <w:b/>
          <w:color w:val="auto"/>
          <w:sz w:val="22"/>
          <w:szCs w:val="21"/>
        </w:rPr>
        <w:t>2.5 结算方式和付款条件</w:t>
      </w:r>
      <w:bookmarkEnd w:id="87"/>
      <w:bookmarkEnd w:id="88"/>
      <w:bookmarkEnd w:id="89"/>
      <w:bookmarkEnd w:id="90"/>
      <w:bookmarkEnd w:id="91"/>
    </w:p>
    <w:p w14:paraId="155A9BA3">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详见</w:t>
      </w:r>
      <w:r>
        <w:rPr>
          <w:rFonts w:ascii="宋体" w:hAnsi="宋体"/>
          <w:b/>
          <w:i/>
          <w:color w:val="auto"/>
          <w:sz w:val="22"/>
          <w:szCs w:val="21"/>
          <w:u w:val="single"/>
        </w:rPr>
        <w:t>合同专用条款</w:t>
      </w:r>
      <w:r>
        <w:rPr>
          <w:rFonts w:ascii="宋体" w:hAnsi="宋体"/>
          <w:color w:val="auto"/>
          <w:sz w:val="22"/>
          <w:szCs w:val="21"/>
        </w:rPr>
        <w:t>。</w:t>
      </w:r>
    </w:p>
    <w:p w14:paraId="5AD35B47">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92" w:name="_Toc13154"/>
      <w:bookmarkStart w:id="93" w:name="_Toc16163"/>
      <w:bookmarkStart w:id="94" w:name="_Toc30507"/>
      <w:bookmarkStart w:id="95" w:name="_Toc13467"/>
      <w:bookmarkStart w:id="96" w:name="_Toc18990"/>
      <w:r>
        <w:rPr>
          <w:rFonts w:ascii="宋体" w:hAnsi="宋体"/>
          <w:b/>
          <w:color w:val="auto"/>
          <w:sz w:val="22"/>
          <w:szCs w:val="21"/>
        </w:rPr>
        <w:t>2.6 技术资料和保密义务</w:t>
      </w:r>
      <w:bookmarkEnd w:id="92"/>
      <w:bookmarkEnd w:id="93"/>
      <w:bookmarkEnd w:id="94"/>
      <w:bookmarkEnd w:id="95"/>
      <w:bookmarkEnd w:id="96"/>
    </w:p>
    <w:p w14:paraId="10E7FD40">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2.6.1 乙方有权依据合同约定和项目需要，向甲方了解有关情况，调阅有关资料等，甲方应予积极配合；</w:t>
      </w:r>
    </w:p>
    <w:p w14:paraId="1A29C2A5">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2.6.2 </w:t>
      </w:r>
      <w:r>
        <w:rPr>
          <w:rFonts w:hint="eastAsia" w:ascii="宋体" w:hAnsi="宋体"/>
          <w:color w:val="auto"/>
          <w:sz w:val="22"/>
          <w:szCs w:val="21"/>
        </w:rPr>
        <w:t>乙方有义务妥善保管和保护由甲方提供的前款信息和资料等；</w:t>
      </w:r>
    </w:p>
    <w:p w14:paraId="482D80B3">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2.6.3 </w:t>
      </w:r>
      <w:r>
        <w:rPr>
          <w:rFonts w:hint="eastAsia" w:ascii="宋体" w:hAnsi="宋体"/>
          <w:color w:val="auto"/>
          <w:sz w:val="22"/>
          <w:szCs w:val="21"/>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2"/>
          <w:szCs w:val="21"/>
        </w:rPr>
        <w:t>技术情报</w:t>
      </w:r>
      <w:r>
        <w:rPr>
          <w:rFonts w:hint="eastAsia" w:ascii="宋体" w:hAnsi="宋体"/>
          <w:color w:val="auto"/>
          <w:sz w:val="22"/>
          <w:szCs w:val="21"/>
        </w:rPr>
        <w:t>、</w:t>
      </w:r>
      <w:r>
        <w:rPr>
          <w:rFonts w:ascii="宋体" w:hAnsi="宋体"/>
          <w:color w:val="auto"/>
          <w:sz w:val="22"/>
          <w:szCs w:val="21"/>
        </w:rPr>
        <w:t>技术资料</w:t>
      </w:r>
      <w:r>
        <w:rPr>
          <w:rFonts w:hint="eastAsia" w:ascii="宋体" w:hAnsi="宋体"/>
          <w:color w:val="auto"/>
          <w:sz w:val="22"/>
          <w:szCs w:val="21"/>
        </w:rPr>
        <w:t>、商业秘密和商业信息等，并采取一切合理和必要措施和方式防止任何第三方接触到对方当事人的上述保密信息和资料。</w:t>
      </w:r>
    </w:p>
    <w:p w14:paraId="7E27C082">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97" w:name="_Toc19069"/>
      <w:r>
        <w:rPr>
          <w:rFonts w:ascii="宋体" w:hAnsi="宋体"/>
          <w:b/>
          <w:color w:val="auto"/>
          <w:sz w:val="22"/>
          <w:szCs w:val="21"/>
        </w:rPr>
        <w:t xml:space="preserve">2.7 </w:t>
      </w:r>
      <w:r>
        <w:rPr>
          <w:rFonts w:hint="eastAsia" w:ascii="宋体" w:hAnsi="宋体"/>
          <w:b/>
          <w:color w:val="auto"/>
          <w:sz w:val="22"/>
          <w:szCs w:val="21"/>
        </w:rPr>
        <w:t>质量保证</w:t>
      </w:r>
      <w:bookmarkEnd w:id="97"/>
    </w:p>
    <w:p w14:paraId="5684618F">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2.7.1 </w:t>
      </w:r>
      <w:r>
        <w:rPr>
          <w:rFonts w:hint="eastAsia" w:ascii="宋体" w:hAnsi="宋体"/>
          <w:color w:val="auto"/>
          <w:sz w:val="22"/>
          <w:szCs w:val="21"/>
        </w:rPr>
        <w:t>乙方应建立和完善履行合同的内部质量保证体系，并提供相关内部规章制度给甲方，以便甲方进行监督检查；</w:t>
      </w:r>
    </w:p>
    <w:p w14:paraId="0B1F5001">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2.7.2 </w:t>
      </w:r>
      <w:r>
        <w:rPr>
          <w:rFonts w:hint="eastAsia" w:ascii="宋体" w:hAnsi="宋体"/>
          <w:color w:val="auto"/>
          <w:sz w:val="22"/>
          <w:szCs w:val="21"/>
        </w:rPr>
        <w:t>乙方应保证履行合同的人员数量和素质、软件和硬件设备的配置、场地、环境和设施等满足全面履行合同的要求，并应接受甲方的监督检查。</w:t>
      </w:r>
    </w:p>
    <w:p w14:paraId="49FA2662">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98" w:name="_Toc22267"/>
      <w:r>
        <w:rPr>
          <w:rFonts w:ascii="宋体" w:hAnsi="宋体"/>
          <w:b/>
          <w:color w:val="auto"/>
          <w:sz w:val="22"/>
          <w:szCs w:val="21"/>
        </w:rPr>
        <w:t xml:space="preserve">2.8 </w:t>
      </w:r>
      <w:r>
        <w:rPr>
          <w:rFonts w:hint="eastAsia" w:ascii="宋体" w:hAnsi="宋体"/>
          <w:b/>
          <w:color w:val="auto"/>
          <w:sz w:val="22"/>
          <w:szCs w:val="21"/>
        </w:rPr>
        <w:t>延迟履行</w:t>
      </w:r>
      <w:bookmarkEnd w:id="98"/>
    </w:p>
    <w:p w14:paraId="72EDDF44">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hint="eastAsia" w:ascii="宋体" w:hAnsi="宋体"/>
          <w:color w:val="auto"/>
          <w:sz w:val="22"/>
          <w:szCs w:val="21"/>
        </w:rPr>
        <w:t>甲乙双方签订合同后，乙方应按照合同约定履行合同义务，除不可抗力外，乙方不得延迟履行。</w:t>
      </w:r>
      <w:r>
        <w:rPr>
          <w:rFonts w:ascii="宋体" w:hAnsi="宋体"/>
          <w:color w:val="auto"/>
          <w:sz w:val="22"/>
          <w:szCs w:val="21"/>
        </w:rPr>
        <w:t>在合同履行过程中，如果</w:t>
      </w:r>
      <w:r>
        <w:rPr>
          <w:rFonts w:hint="eastAsia" w:ascii="宋体" w:hAnsi="宋体"/>
          <w:color w:val="auto"/>
          <w:sz w:val="22"/>
          <w:szCs w:val="21"/>
        </w:rPr>
        <w:t>因不可抗力，</w:t>
      </w:r>
      <w:r>
        <w:rPr>
          <w:rFonts w:ascii="宋体" w:hAnsi="宋体"/>
          <w:color w:val="auto"/>
          <w:sz w:val="22"/>
          <w:szCs w:val="21"/>
        </w:rPr>
        <w:t>乙方遇到不能按时</w:t>
      </w:r>
      <w:r>
        <w:rPr>
          <w:rFonts w:hint="eastAsia" w:ascii="宋体" w:hAnsi="宋体"/>
          <w:color w:val="auto"/>
          <w:sz w:val="22"/>
          <w:szCs w:val="21"/>
        </w:rPr>
        <w:t>提供服务</w:t>
      </w:r>
      <w:r>
        <w:rPr>
          <w:rFonts w:ascii="宋体" w:hAnsi="宋体"/>
          <w:color w:val="auto"/>
          <w:sz w:val="22"/>
          <w:szCs w:val="21"/>
        </w:rPr>
        <w:t>的情况，应及时以书面形式将不能按时</w:t>
      </w:r>
      <w:r>
        <w:rPr>
          <w:rFonts w:hint="eastAsia" w:ascii="宋体" w:hAnsi="宋体"/>
          <w:color w:val="auto"/>
          <w:sz w:val="22"/>
          <w:szCs w:val="21"/>
        </w:rPr>
        <w:t>提供服务</w:t>
      </w:r>
      <w:r>
        <w:rPr>
          <w:rFonts w:ascii="宋体" w:hAnsi="宋体"/>
          <w:color w:val="auto"/>
          <w:sz w:val="22"/>
          <w:szCs w:val="21"/>
        </w:rPr>
        <w:t>的理由、预期延误时间通知甲方</w:t>
      </w:r>
      <w:r>
        <w:rPr>
          <w:rFonts w:hint="eastAsia" w:ascii="宋体" w:hAnsi="宋体"/>
          <w:color w:val="auto"/>
          <w:sz w:val="22"/>
          <w:szCs w:val="21"/>
        </w:rPr>
        <w:t>；甲</w:t>
      </w:r>
      <w:r>
        <w:rPr>
          <w:rFonts w:ascii="宋体" w:hAnsi="宋体"/>
          <w:color w:val="auto"/>
          <w:sz w:val="22"/>
          <w:szCs w:val="21"/>
        </w:rPr>
        <w:t>方收到乙方通知后，认为其理由正当的，可以书面形式酌情同意乙方可以延长</w:t>
      </w:r>
      <w:r>
        <w:rPr>
          <w:rFonts w:hint="eastAsia" w:ascii="宋体" w:hAnsi="宋体"/>
          <w:color w:val="auto"/>
          <w:sz w:val="22"/>
          <w:szCs w:val="21"/>
        </w:rPr>
        <w:t>履行</w:t>
      </w:r>
      <w:r>
        <w:rPr>
          <w:rFonts w:ascii="宋体" w:hAnsi="宋体"/>
          <w:color w:val="auto"/>
          <w:sz w:val="22"/>
          <w:szCs w:val="21"/>
        </w:rPr>
        <w:t>的具体时间。</w:t>
      </w:r>
    </w:p>
    <w:p w14:paraId="615CF0F3">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99" w:name="_Toc10611"/>
      <w:r>
        <w:rPr>
          <w:rFonts w:ascii="宋体" w:hAnsi="宋体"/>
          <w:b/>
          <w:color w:val="auto"/>
          <w:sz w:val="22"/>
          <w:szCs w:val="21"/>
        </w:rPr>
        <w:t xml:space="preserve">2.9 </w:t>
      </w:r>
      <w:r>
        <w:rPr>
          <w:rFonts w:hint="eastAsia" w:ascii="宋体" w:hAnsi="宋体"/>
          <w:b/>
          <w:color w:val="auto"/>
          <w:sz w:val="22"/>
          <w:szCs w:val="21"/>
        </w:rPr>
        <w:t>合同变更</w:t>
      </w:r>
      <w:bookmarkEnd w:id="99"/>
    </w:p>
    <w:p w14:paraId="3D7F386B">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hint="eastAsia" w:ascii="宋体" w:hAnsi="宋体"/>
          <w:color w:val="auto"/>
          <w:sz w:val="22"/>
          <w:szCs w:val="21"/>
        </w:rPr>
        <w:t>合同继续履行将损害国家利益和社会公共利益的，双方当事人应当以书面形式变更合同。有过错的一方应当承担赔偿责任，双方当事人都有过错的，各自承担相应的责任。</w:t>
      </w:r>
    </w:p>
    <w:p w14:paraId="3FA98228">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100" w:name="_Toc42"/>
      <w:bookmarkStart w:id="101" w:name="_Toc10663"/>
      <w:bookmarkStart w:id="102" w:name="_Toc21830"/>
      <w:bookmarkStart w:id="103" w:name="_Toc23368"/>
      <w:bookmarkStart w:id="104" w:name="_Toc26689"/>
      <w:r>
        <w:rPr>
          <w:rFonts w:ascii="宋体" w:hAnsi="宋体"/>
          <w:b/>
          <w:color w:val="auto"/>
          <w:sz w:val="22"/>
          <w:szCs w:val="21"/>
        </w:rPr>
        <w:t>2.10 合同转让和分包</w:t>
      </w:r>
      <w:bookmarkEnd w:id="100"/>
      <w:bookmarkEnd w:id="101"/>
      <w:bookmarkEnd w:id="102"/>
      <w:bookmarkEnd w:id="103"/>
      <w:bookmarkEnd w:id="104"/>
    </w:p>
    <w:p w14:paraId="591832DD">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hint="eastAsia"/>
          <w:color w:val="auto"/>
          <w:sz w:val="22"/>
          <w:szCs w:val="21"/>
          <w:lang w:val="en-US" w:eastAsia="zh-CN"/>
        </w:rPr>
        <w:t>本合同不允许转让和分包</w:t>
      </w:r>
      <w:r>
        <w:rPr>
          <w:rFonts w:hint="eastAsia" w:ascii="宋体" w:hAnsi="宋体"/>
          <w:color w:val="auto"/>
          <w:sz w:val="22"/>
          <w:szCs w:val="21"/>
        </w:rPr>
        <w:t>。</w:t>
      </w:r>
    </w:p>
    <w:p w14:paraId="1AE84FC9">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105" w:name="_Toc25571"/>
      <w:bookmarkStart w:id="106" w:name="_Toc32494"/>
      <w:bookmarkStart w:id="107" w:name="_Toc14371"/>
      <w:bookmarkStart w:id="108" w:name="_Toc4720"/>
      <w:bookmarkStart w:id="109" w:name="_Toc26633"/>
      <w:r>
        <w:rPr>
          <w:rFonts w:ascii="宋体" w:hAnsi="宋体"/>
          <w:b/>
          <w:color w:val="auto"/>
          <w:sz w:val="22"/>
          <w:szCs w:val="21"/>
        </w:rPr>
        <w:t>2.11 不可抗力</w:t>
      </w:r>
      <w:bookmarkEnd w:id="105"/>
      <w:bookmarkEnd w:id="106"/>
      <w:bookmarkEnd w:id="107"/>
      <w:bookmarkEnd w:id="108"/>
      <w:bookmarkEnd w:id="109"/>
    </w:p>
    <w:p w14:paraId="73ABE8E3">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2.11.1</w:t>
      </w:r>
      <w:r>
        <w:rPr>
          <w:rFonts w:hint="eastAsia"/>
          <w:color w:val="auto"/>
          <w:sz w:val="22"/>
          <w:szCs w:val="21"/>
          <w:lang w:val="en-US" w:eastAsia="zh-CN"/>
        </w:rPr>
        <w:t xml:space="preserve"> </w:t>
      </w:r>
      <w:r>
        <w:rPr>
          <w:rFonts w:ascii="宋体" w:hAnsi="宋体"/>
          <w:color w:val="auto"/>
          <w:sz w:val="22"/>
          <w:szCs w:val="21"/>
        </w:rPr>
        <w:t>如果任何一方遭遇法律规定的不可抗力，致使合同履行受阻时，履行合同的期限应予延长，延长的期限应相当于不可抗力所影响的时间</w:t>
      </w:r>
      <w:r>
        <w:rPr>
          <w:rFonts w:hint="eastAsia" w:ascii="宋体" w:hAnsi="宋体"/>
          <w:color w:val="auto"/>
          <w:sz w:val="22"/>
          <w:szCs w:val="21"/>
        </w:rPr>
        <w:t>；</w:t>
      </w:r>
    </w:p>
    <w:p w14:paraId="1BC8F142">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2.11.2 </w:t>
      </w:r>
      <w:r>
        <w:rPr>
          <w:rFonts w:hint="eastAsia" w:ascii="宋体" w:hAnsi="宋体"/>
          <w:color w:val="auto"/>
          <w:sz w:val="22"/>
          <w:szCs w:val="21"/>
        </w:rPr>
        <w:t>因不可抗力致使不能实现合同目的的，当事人可以解除合同；</w:t>
      </w:r>
    </w:p>
    <w:p w14:paraId="7E7C7B9C">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2.11.3 </w:t>
      </w:r>
      <w:r>
        <w:rPr>
          <w:rFonts w:hint="eastAsia" w:ascii="宋体" w:hAnsi="宋体"/>
          <w:color w:val="auto"/>
          <w:sz w:val="22"/>
          <w:szCs w:val="21"/>
        </w:rPr>
        <w:t>因</w:t>
      </w:r>
      <w:r>
        <w:rPr>
          <w:rFonts w:ascii="宋体" w:hAnsi="宋体"/>
          <w:color w:val="auto"/>
          <w:sz w:val="22"/>
          <w:szCs w:val="21"/>
        </w:rPr>
        <w:t>不可抗力致使合同有变更必要的，双方当事人应在</w:t>
      </w:r>
      <w:r>
        <w:rPr>
          <w:rFonts w:ascii="宋体" w:hAnsi="宋体"/>
          <w:b/>
          <w:i/>
          <w:color w:val="auto"/>
          <w:sz w:val="22"/>
          <w:szCs w:val="21"/>
          <w:u w:val="single"/>
        </w:rPr>
        <w:t>合同专用条款</w:t>
      </w:r>
      <w:r>
        <w:rPr>
          <w:rFonts w:ascii="宋体" w:hAnsi="宋体"/>
          <w:color w:val="auto"/>
          <w:sz w:val="22"/>
          <w:szCs w:val="21"/>
        </w:rPr>
        <w:t>约定时间内以书面形式变更合同</w:t>
      </w:r>
      <w:r>
        <w:rPr>
          <w:rFonts w:hint="eastAsia" w:ascii="宋体" w:hAnsi="宋体"/>
          <w:color w:val="auto"/>
          <w:sz w:val="22"/>
          <w:szCs w:val="21"/>
        </w:rPr>
        <w:t>；</w:t>
      </w:r>
    </w:p>
    <w:p w14:paraId="721167EF">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2.11.4</w:t>
      </w:r>
      <w:r>
        <w:rPr>
          <w:rFonts w:hint="eastAsia"/>
          <w:color w:val="auto"/>
          <w:sz w:val="22"/>
          <w:szCs w:val="21"/>
          <w:lang w:val="en-US" w:eastAsia="zh-CN"/>
        </w:rPr>
        <w:t xml:space="preserve"> </w:t>
      </w:r>
      <w:r>
        <w:rPr>
          <w:rFonts w:ascii="宋体" w:hAnsi="宋体"/>
          <w:color w:val="auto"/>
          <w:sz w:val="22"/>
          <w:szCs w:val="21"/>
        </w:rPr>
        <w:t>受</w:t>
      </w:r>
      <w:r>
        <w:rPr>
          <w:rFonts w:hint="eastAsia" w:ascii="宋体" w:hAnsi="宋体"/>
          <w:color w:val="auto"/>
          <w:sz w:val="22"/>
          <w:szCs w:val="21"/>
        </w:rPr>
        <w:t>不可抗力</w:t>
      </w:r>
      <w:r>
        <w:rPr>
          <w:rFonts w:ascii="宋体" w:hAnsi="宋体"/>
          <w:color w:val="auto"/>
          <w:sz w:val="22"/>
          <w:szCs w:val="21"/>
        </w:rPr>
        <w:t>影响的一方在不可抗力发生后</w:t>
      </w:r>
      <w:r>
        <w:rPr>
          <w:rFonts w:hint="eastAsia" w:ascii="宋体" w:hAnsi="宋体"/>
          <w:color w:val="auto"/>
          <w:sz w:val="22"/>
          <w:szCs w:val="21"/>
        </w:rPr>
        <w:t>，</w:t>
      </w:r>
      <w:r>
        <w:rPr>
          <w:rFonts w:ascii="宋体" w:hAnsi="宋体"/>
          <w:color w:val="auto"/>
          <w:sz w:val="22"/>
          <w:szCs w:val="21"/>
        </w:rPr>
        <w:t>应在</w:t>
      </w:r>
      <w:r>
        <w:rPr>
          <w:rFonts w:ascii="宋体" w:hAnsi="宋体"/>
          <w:b/>
          <w:i/>
          <w:color w:val="auto"/>
          <w:sz w:val="22"/>
          <w:szCs w:val="21"/>
          <w:u w:val="single"/>
        </w:rPr>
        <w:t>合同专用条款</w:t>
      </w:r>
      <w:r>
        <w:rPr>
          <w:rFonts w:ascii="宋体" w:hAnsi="宋体"/>
          <w:color w:val="auto"/>
          <w:sz w:val="22"/>
          <w:szCs w:val="21"/>
        </w:rPr>
        <w:t>约定时间内以书面形式通知</w:t>
      </w:r>
      <w:r>
        <w:rPr>
          <w:rFonts w:hint="eastAsia" w:ascii="宋体" w:hAnsi="宋体"/>
          <w:color w:val="auto"/>
          <w:sz w:val="22"/>
          <w:szCs w:val="21"/>
        </w:rPr>
        <w:t>对</w:t>
      </w:r>
      <w:r>
        <w:rPr>
          <w:rFonts w:ascii="宋体" w:hAnsi="宋体"/>
          <w:color w:val="auto"/>
          <w:sz w:val="22"/>
          <w:szCs w:val="21"/>
        </w:rPr>
        <w:t>方当事人，并在</w:t>
      </w:r>
      <w:r>
        <w:rPr>
          <w:rFonts w:ascii="宋体" w:hAnsi="宋体"/>
          <w:b/>
          <w:i/>
          <w:color w:val="auto"/>
          <w:sz w:val="22"/>
          <w:szCs w:val="21"/>
          <w:u w:val="single"/>
        </w:rPr>
        <w:t>合同专用条款</w:t>
      </w:r>
      <w:r>
        <w:rPr>
          <w:rFonts w:ascii="宋体" w:hAnsi="宋体"/>
          <w:color w:val="auto"/>
          <w:sz w:val="22"/>
          <w:szCs w:val="21"/>
        </w:rPr>
        <w:t>约定时间内，将有关部门出具的证明文件送达</w:t>
      </w:r>
      <w:r>
        <w:rPr>
          <w:rFonts w:hint="eastAsia" w:ascii="宋体" w:hAnsi="宋体"/>
          <w:color w:val="auto"/>
          <w:sz w:val="22"/>
          <w:szCs w:val="21"/>
        </w:rPr>
        <w:t>对方当事人</w:t>
      </w:r>
      <w:r>
        <w:rPr>
          <w:rFonts w:ascii="宋体" w:hAnsi="宋体"/>
          <w:color w:val="auto"/>
          <w:sz w:val="22"/>
          <w:szCs w:val="21"/>
        </w:rPr>
        <w:t>。</w:t>
      </w:r>
    </w:p>
    <w:p w14:paraId="416E1572">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110" w:name="_Toc14115"/>
      <w:bookmarkStart w:id="111" w:name="_Toc23854"/>
      <w:bookmarkStart w:id="112" w:name="_Toc24465"/>
      <w:bookmarkStart w:id="113" w:name="_Toc25783"/>
      <w:bookmarkStart w:id="114" w:name="_Toc3638"/>
      <w:r>
        <w:rPr>
          <w:rFonts w:ascii="宋体" w:hAnsi="宋体"/>
          <w:b/>
          <w:color w:val="auto"/>
          <w:sz w:val="22"/>
          <w:szCs w:val="21"/>
        </w:rPr>
        <w:t>2.12 税费</w:t>
      </w:r>
      <w:bookmarkEnd w:id="110"/>
      <w:bookmarkEnd w:id="111"/>
      <w:bookmarkEnd w:id="112"/>
      <w:bookmarkEnd w:id="113"/>
      <w:bookmarkEnd w:id="114"/>
    </w:p>
    <w:p w14:paraId="48EFA0B5">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与合同有关的一切税费</w:t>
      </w:r>
      <w:r>
        <w:rPr>
          <w:rFonts w:hint="eastAsia" w:ascii="宋体" w:hAnsi="宋体"/>
          <w:color w:val="auto"/>
          <w:sz w:val="22"/>
          <w:szCs w:val="21"/>
        </w:rPr>
        <w:t>，</w:t>
      </w:r>
      <w:r>
        <w:rPr>
          <w:rFonts w:ascii="宋体" w:hAnsi="宋体"/>
          <w:color w:val="auto"/>
          <w:sz w:val="22"/>
          <w:szCs w:val="21"/>
        </w:rPr>
        <w:t>均按照中华人民共和国法律的相关规定缴纳。</w:t>
      </w:r>
    </w:p>
    <w:p w14:paraId="36FA1D4F">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115" w:name="_Toc14814"/>
      <w:bookmarkStart w:id="116" w:name="_Toc26883"/>
      <w:bookmarkStart w:id="117" w:name="_Toc7315"/>
      <w:bookmarkStart w:id="118" w:name="_Toc25525"/>
      <w:bookmarkStart w:id="119" w:name="_Toc30105"/>
      <w:r>
        <w:rPr>
          <w:rFonts w:ascii="宋体" w:hAnsi="宋体"/>
          <w:b/>
          <w:color w:val="auto"/>
          <w:sz w:val="22"/>
          <w:szCs w:val="21"/>
        </w:rPr>
        <w:t>2.13 乙方破产</w:t>
      </w:r>
      <w:bookmarkEnd w:id="115"/>
      <w:bookmarkEnd w:id="116"/>
      <w:bookmarkEnd w:id="117"/>
      <w:bookmarkEnd w:id="118"/>
      <w:bookmarkEnd w:id="119"/>
    </w:p>
    <w:p w14:paraId="00BCEDB7">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如果乙方破产导致合同无法履行时，甲方可以书面形式通知乙方终止合同且不给予乙方任何补偿和赔偿</w:t>
      </w:r>
      <w:r>
        <w:rPr>
          <w:rFonts w:hint="eastAsia" w:ascii="宋体" w:hAnsi="宋体"/>
          <w:color w:val="auto"/>
          <w:sz w:val="22"/>
          <w:szCs w:val="21"/>
        </w:rPr>
        <w:t>，但合同的</w:t>
      </w:r>
      <w:r>
        <w:rPr>
          <w:rFonts w:ascii="宋体" w:hAnsi="宋体"/>
          <w:color w:val="auto"/>
          <w:sz w:val="22"/>
          <w:szCs w:val="21"/>
        </w:rPr>
        <w:t>终止不损害或不影响甲方已经采取或将要采取的任何要求乙方支付违约金</w:t>
      </w:r>
      <w:r>
        <w:rPr>
          <w:rFonts w:hint="eastAsia" w:ascii="宋体" w:hAnsi="宋体"/>
          <w:color w:val="auto"/>
          <w:sz w:val="22"/>
          <w:szCs w:val="21"/>
        </w:rPr>
        <w:t>、</w:t>
      </w:r>
      <w:r>
        <w:rPr>
          <w:rFonts w:ascii="宋体" w:hAnsi="宋体"/>
          <w:color w:val="auto"/>
          <w:sz w:val="22"/>
          <w:szCs w:val="21"/>
        </w:rPr>
        <w:t>赔偿损失等的行动或补救措施的权利</w:t>
      </w:r>
      <w:r>
        <w:rPr>
          <w:rFonts w:hint="eastAsia" w:ascii="宋体" w:hAnsi="宋体"/>
          <w:color w:val="auto"/>
          <w:sz w:val="22"/>
          <w:szCs w:val="21"/>
        </w:rPr>
        <w:t>。</w:t>
      </w:r>
    </w:p>
    <w:p w14:paraId="4332960B">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120" w:name="_Toc2016"/>
      <w:bookmarkStart w:id="121" w:name="_Toc1123"/>
      <w:bookmarkStart w:id="122" w:name="_Toc23323"/>
      <w:r>
        <w:rPr>
          <w:rFonts w:ascii="宋体" w:hAnsi="宋体"/>
          <w:b/>
          <w:color w:val="auto"/>
          <w:sz w:val="22"/>
          <w:szCs w:val="21"/>
        </w:rPr>
        <w:t>2.14 合同中止、终止</w:t>
      </w:r>
      <w:bookmarkEnd w:id="120"/>
      <w:bookmarkEnd w:id="121"/>
      <w:bookmarkEnd w:id="122"/>
    </w:p>
    <w:p w14:paraId="3DF0D2D2">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2.14.1 </w:t>
      </w:r>
      <w:r>
        <w:rPr>
          <w:rFonts w:hint="eastAsia" w:ascii="宋体" w:hAnsi="宋体"/>
          <w:color w:val="auto"/>
          <w:sz w:val="22"/>
          <w:szCs w:val="21"/>
        </w:rPr>
        <w:t>双方当事人不得擅自中止或者终止合同；</w:t>
      </w:r>
    </w:p>
    <w:p w14:paraId="783929EC">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2.14.2</w:t>
      </w:r>
      <w:r>
        <w:rPr>
          <w:rFonts w:hint="eastAsia"/>
          <w:color w:val="auto"/>
          <w:sz w:val="22"/>
          <w:szCs w:val="21"/>
          <w:lang w:val="en-US" w:eastAsia="zh-CN"/>
        </w:rPr>
        <w:t xml:space="preserve"> </w:t>
      </w:r>
      <w:r>
        <w:rPr>
          <w:rFonts w:ascii="宋体" w:hAnsi="宋体"/>
          <w:color w:val="auto"/>
          <w:sz w:val="22"/>
          <w:szCs w:val="21"/>
        </w:rPr>
        <w:t>合同继续履行将损害国家利益和社会公共利益的，双方当事人应当中止或者终止合同。有过错的一方应当承担赔偿责任，双方当事人都有过错的，各自承担相应的责任。</w:t>
      </w:r>
    </w:p>
    <w:p w14:paraId="08E4FE9A">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123" w:name="_Toc17363"/>
      <w:bookmarkStart w:id="124" w:name="_Toc14525"/>
      <w:bookmarkStart w:id="125" w:name="_Toc1969"/>
      <w:r>
        <w:rPr>
          <w:rFonts w:ascii="宋体" w:hAnsi="宋体"/>
          <w:b/>
          <w:color w:val="auto"/>
          <w:sz w:val="22"/>
          <w:szCs w:val="21"/>
        </w:rPr>
        <w:t>2.15 检验和验收</w:t>
      </w:r>
      <w:bookmarkEnd w:id="123"/>
      <w:bookmarkEnd w:id="124"/>
      <w:bookmarkEnd w:id="125"/>
    </w:p>
    <w:p w14:paraId="5FB53956">
      <w:pPr>
        <w:keepNext w:val="0"/>
        <w:keepLines w:val="0"/>
        <w:pageBreakBefore w:val="0"/>
        <w:widowControl w:val="0"/>
        <w:tabs>
          <w:tab w:val="left" w:pos="360"/>
          <w:tab w:val="left" w:pos="540"/>
          <w:tab w:val="left" w:pos="1080"/>
        </w:tabs>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2.15.1 </w:t>
      </w:r>
      <w:r>
        <w:rPr>
          <w:rFonts w:hint="eastAsia" w:ascii="宋体" w:hAnsi="宋体"/>
          <w:color w:val="auto"/>
          <w:sz w:val="22"/>
          <w:szCs w:val="21"/>
        </w:rPr>
        <w:t>乙方按照</w:t>
      </w:r>
      <w:r>
        <w:rPr>
          <w:rFonts w:ascii="宋体" w:hAnsi="宋体"/>
          <w:b/>
          <w:i/>
          <w:color w:val="auto"/>
          <w:sz w:val="22"/>
          <w:szCs w:val="21"/>
          <w:u w:val="single"/>
        </w:rPr>
        <w:t>合同专用条款</w:t>
      </w:r>
      <w:r>
        <w:rPr>
          <w:rFonts w:ascii="宋体" w:hAnsi="宋体"/>
          <w:color w:val="auto"/>
          <w:sz w:val="22"/>
          <w:szCs w:val="21"/>
        </w:rPr>
        <w:t>的约定</w:t>
      </w:r>
      <w:r>
        <w:rPr>
          <w:rFonts w:hint="eastAsia" w:ascii="宋体" w:hAnsi="宋体"/>
          <w:color w:val="auto"/>
          <w:sz w:val="22"/>
          <w:szCs w:val="21"/>
        </w:rPr>
        <w:t>，</w:t>
      </w:r>
      <w:r>
        <w:rPr>
          <w:rFonts w:ascii="宋体" w:hAnsi="宋体"/>
          <w:color w:val="auto"/>
          <w:sz w:val="22"/>
          <w:szCs w:val="21"/>
        </w:rPr>
        <w:t>定期提交服务报告</w:t>
      </w:r>
      <w:r>
        <w:rPr>
          <w:rFonts w:hint="eastAsia" w:ascii="宋体" w:hAnsi="宋体"/>
          <w:color w:val="auto"/>
          <w:sz w:val="22"/>
          <w:szCs w:val="21"/>
        </w:rPr>
        <w:t>，甲方按照</w:t>
      </w:r>
      <w:r>
        <w:rPr>
          <w:rFonts w:ascii="宋体" w:hAnsi="宋体"/>
          <w:b/>
          <w:i/>
          <w:color w:val="auto"/>
          <w:sz w:val="22"/>
          <w:szCs w:val="21"/>
          <w:u w:val="single"/>
        </w:rPr>
        <w:t>合同专用条款</w:t>
      </w:r>
      <w:r>
        <w:rPr>
          <w:rFonts w:ascii="宋体" w:hAnsi="宋体"/>
          <w:color w:val="auto"/>
          <w:sz w:val="22"/>
          <w:szCs w:val="21"/>
        </w:rPr>
        <w:t>的约定进行定期验收</w:t>
      </w:r>
      <w:r>
        <w:rPr>
          <w:rFonts w:hint="eastAsia" w:ascii="宋体" w:hAnsi="宋体"/>
          <w:color w:val="auto"/>
          <w:sz w:val="22"/>
          <w:szCs w:val="21"/>
        </w:rPr>
        <w:t>；</w:t>
      </w:r>
    </w:p>
    <w:p w14:paraId="4B6457B3">
      <w:pPr>
        <w:keepNext w:val="0"/>
        <w:keepLines w:val="0"/>
        <w:pageBreakBefore w:val="0"/>
        <w:widowControl w:val="0"/>
        <w:tabs>
          <w:tab w:val="left" w:pos="360"/>
          <w:tab w:val="left" w:pos="540"/>
          <w:tab w:val="left" w:pos="1080"/>
        </w:tabs>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2.15.2 </w:t>
      </w:r>
      <w:r>
        <w:rPr>
          <w:rFonts w:hint="eastAsia" w:ascii="宋体" w:hAnsi="宋体"/>
          <w:color w:val="auto"/>
          <w:sz w:val="22"/>
          <w:szCs w:val="21"/>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95C62A1">
      <w:pPr>
        <w:keepNext w:val="0"/>
        <w:keepLines w:val="0"/>
        <w:pageBreakBefore w:val="0"/>
        <w:widowControl w:val="0"/>
        <w:tabs>
          <w:tab w:val="left" w:pos="360"/>
          <w:tab w:val="left" w:pos="540"/>
          <w:tab w:val="left" w:pos="1080"/>
        </w:tabs>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2.15.3 </w:t>
      </w:r>
      <w:r>
        <w:rPr>
          <w:rFonts w:hint="eastAsia" w:ascii="宋体" w:hAnsi="宋体"/>
          <w:color w:val="auto"/>
          <w:sz w:val="22"/>
          <w:szCs w:val="21"/>
        </w:rPr>
        <w:t>检验和验收标准、程序等具体内容以及前述验收书的效力详见</w:t>
      </w:r>
      <w:r>
        <w:rPr>
          <w:rFonts w:ascii="宋体" w:hAnsi="宋体"/>
          <w:b/>
          <w:i/>
          <w:color w:val="auto"/>
          <w:sz w:val="22"/>
          <w:szCs w:val="21"/>
          <w:u w:val="single"/>
        </w:rPr>
        <w:t>合同专用条款</w:t>
      </w:r>
      <w:r>
        <w:rPr>
          <w:rFonts w:hint="eastAsia" w:ascii="宋体" w:hAnsi="宋体"/>
          <w:i/>
          <w:color w:val="auto"/>
          <w:sz w:val="22"/>
          <w:szCs w:val="21"/>
        </w:rPr>
        <w:t>。</w:t>
      </w:r>
    </w:p>
    <w:p w14:paraId="0D94BD6C">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126" w:name="_Toc9808"/>
      <w:bookmarkStart w:id="127" w:name="_Toc2308"/>
      <w:bookmarkStart w:id="128" w:name="_Toc12666"/>
      <w:bookmarkStart w:id="129" w:name="_Toc25198"/>
      <w:bookmarkStart w:id="130" w:name="_Toc31892"/>
      <w:r>
        <w:rPr>
          <w:rFonts w:ascii="宋体" w:hAnsi="宋体"/>
          <w:b/>
          <w:color w:val="auto"/>
          <w:sz w:val="22"/>
          <w:szCs w:val="21"/>
        </w:rPr>
        <w:t>2.16 通知和送达</w:t>
      </w:r>
      <w:bookmarkEnd w:id="126"/>
      <w:bookmarkEnd w:id="127"/>
      <w:bookmarkEnd w:id="128"/>
      <w:bookmarkEnd w:id="129"/>
      <w:bookmarkEnd w:id="130"/>
    </w:p>
    <w:p w14:paraId="1A5EE018">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bookmarkStart w:id="131" w:name="_Toc27674"/>
      <w:bookmarkStart w:id="132" w:name="_Toc18401"/>
      <w:r>
        <w:rPr>
          <w:rFonts w:ascii="宋体" w:hAnsi="宋体"/>
          <w:color w:val="auto"/>
          <w:sz w:val="22"/>
          <w:szCs w:val="21"/>
        </w:rPr>
        <w:t>2.17.1</w:t>
      </w:r>
      <w:r>
        <w:rPr>
          <w:rFonts w:hint="eastAsia" w:ascii="宋体" w:hAnsi="宋体"/>
          <w:color w:val="auto"/>
          <w:sz w:val="22"/>
          <w:szCs w:val="21"/>
        </w:rPr>
        <w:t>任何一方因履行合同而以合同第一部分尾部所列明的传真或电子邮件</w:t>
      </w:r>
      <w:r>
        <w:rPr>
          <w:rFonts w:ascii="宋体" w:hAnsi="宋体"/>
          <w:color w:val="auto"/>
          <w:sz w:val="22"/>
          <w:szCs w:val="21"/>
        </w:rPr>
        <w:t xml:space="preserve"> </w:t>
      </w:r>
      <w:r>
        <w:rPr>
          <w:rFonts w:ascii="宋体" w:hAnsi="宋体"/>
          <w:color w:val="auto"/>
          <w:sz w:val="22"/>
          <w:szCs w:val="21"/>
          <w:u w:val="single"/>
        </w:rPr>
        <w:t xml:space="preserve">       </w:t>
      </w:r>
      <w:r>
        <w:rPr>
          <w:rFonts w:hint="eastAsia" w:ascii="宋体" w:hAnsi="宋体"/>
          <w:color w:val="auto"/>
          <w:sz w:val="22"/>
          <w:szCs w:val="21"/>
        </w:rPr>
        <w:t>发出的所有通知、文件、材料，均视为已向对方当事人送达；任何一方变更上述送达方式或者地址的，应于</w:t>
      </w:r>
      <w:r>
        <w:rPr>
          <w:rFonts w:ascii="宋体" w:hAnsi="宋体"/>
          <w:color w:val="auto"/>
          <w:sz w:val="22"/>
          <w:szCs w:val="21"/>
          <w:u w:val="single"/>
        </w:rPr>
        <w:t>3</w:t>
      </w:r>
      <w:r>
        <w:rPr>
          <w:rFonts w:hint="eastAsia" w:ascii="宋体" w:hAnsi="宋体"/>
          <w:color w:val="auto"/>
          <w:sz w:val="22"/>
          <w:szCs w:val="21"/>
        </w:rPr>
        <w:t>个工作日内书面通知对方当事人，在对方当事人收到有关变更通知之前，变更前的约定送达方式或者地址仍视为有效。</w:t>
      </w:r>
    </w:p>
    <w:p w14:paraId="1B375FAF">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2.17.2</w:t>
      </w:r>
      <w:r>
        <w:rPr>
          <w:rFonts w:hint="eastAsia"/>
          <w:color w:val="auto"/>
          <w:sz w:val="22"/>
          <w:szCs w:val="21"/>
          <w:lang w:val="en-US" w:eastAsia="zh-CN"/>
        </w:rPr>
        <w:t xml:space="preserve"> </w:t>
      </w:r>
      <w:r>
        <w:rPr>
          <w:rFonts w:ascii="宋体" w:hAnsi="宋体"/>
          <w:color w:val="auto"/>
          <w:sz w:val="22"/>
          <w:szCs w:val="21"/>
        </w:rPr>
        <w:t>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2"/>
          <w:szCs w:val="21"/>
        </w:rPr>
        <w:t>的，邮件挂号寄出或者交邮之日之次日视为送达。</w:t>
      </w:r>
      <w:bookmarkEnd w:id="131"/>
      <w:bookmarkEnd w:id="132"/>
    </w:p>
    <w:p w14:paraId="268CD794">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b/>
          <w:color w:val="auto"/>
          <w:sz w:val="22"/>
          <w:szCs w:val="21"/>
        </w:rPr>
      </w:pPr>
      <w:bookmarkStart w:id="133" w:name="_Toc12254"/>
      <w:bookmarkStart w:id="134" w:name="_Toc28906"/>
      <w:bookmarkStart w:id="135" w:name="_Toc27644"/>
      <w:bookmarkStart w:id="136" w:name="_Toc20808"/>
      <w:bookmarkStart w:id="137" w:name="_Toc5063"/>
      <w:r>
        <w:rPr>
          <w:rFonts w:ascii="宋体" w:hAnsi="宋体"/>
          <w:b/>
          <w:color w:val="auto"/>
          <w:sz w:val="22"/>
          <w:szCs w:val="21"/>
        </w:rPr>
        <w:t xml:space="preserve">2.17 </w:t>
      </w:r>
      <w:r>
        <w:rPr>
          <w:rFonts w:hint="eastAsia" w:ascii="宋体" w:hAnsi="宋体"/>
          <w:b/>
          <w:color w:val="auto"/>
          <w:sz w:val="22"/>
          <w:szCs w:val="21"/>
        </w:rPr>
        <w:t>合同使用的文字和</w:t>
      </w:r>
      <w:r>
        <w:rPr>
          <w:rFonts w:ascii="宋体" w:hAnsi="宋体"/>
          <w:b/>
          <w:color w:val="auto"/>
          <w:sz w:val="22"/>
          <w:szCs w:val="21"/>
        </w:rPr>
        <w:t>适用的法律</w:t>
      </w:r>
      <w:bookmarkEnd w:id="133"/>
      <w:bookmarkEnd w:id="134"/>
      <w:bookmarkEnd w:id="135"/>
      <w:bookmarkEnd w:id="136"/>
      <w:bookmarkEnd w:id="137"/>
    </w:p>
    <w:p w14:paraId="6FA7D5D0">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2.17.1 合同使用汉语书就</w:t>
      </w:r>
      <w:r>
        <w:rPr>
          <w:rFonts w:hint="eastAsia" w:ascii="宋体" w:hAnsi="宋体"/>
          <w:color w:val="auto"/>
          <w:sz w:val="22"/>
          <w:szCs w:val="21"/>
        </w:rPr>
        <w:t>、</w:t>
      </w:r>
      <w:r>
        <w:rPr>
          <w:rFonts w:ascii="宋体" w:hAnsi="宋体"/>
          <w:color w:val="auto"/>
          <w:sz w:val="22"/>
          <w:szCs w:val="21"/>
        </w:rPr>
        <w:t>变更和解释</w:t>
      </w:r>
      <w:r>
        <w:rPr>
          <w:rFonts w:hint="eastAsia" w:ascii="宋体" w:hAnsi="宋体"/>
          <w:color w:val="auto"/>
          <w:sz w:val="22"/>
          <w:szCs w:val="21"/>
        </w:rPr>
        <w:t>；</w:t>
      </w:r>
    </w:p>
    <w:p w14:paraId="19C873EF">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 xml:space="preserve">2.17.2 </w:t>
      </w:r>
      <w:r>
        <w:rPr>
          <w:rFonts w:hint="eastAsia" w:ascii="宋体" w:hAnsi="宋体"/>
          <w:color w:val="auto"/>
          <w:sz w:val="22"/>
          <w:szCs w:val="21"/>
        </w:rPr>
        <w:t>合同适用</w:t>
      </w:r>
      <w:r>
        <w:rPr>
          <w:rFonts w:ascii="宋体" w:hAnsi="宋体"/>
          <w:color w:val="auto"/>
          <w:sz w:val="22"/>
          <w:szCs w:val="21"/>
        </w:rPr>
        <w:t>中华人民共和国法律。</w:t>
      </w:r>
    </w:p>
    <w:p w14:paraId="466C447B">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outlineLvl w:val="0"/>
        <w:rPr>
          <w:rFonts w:ascii="宋体" w:hAnsi="宋体" w:cs="宋体"/>
          <w:b/>
          <w:color w:val="auto"/>
          <w:sz w:val="22"/>
          <w:szCs w:val="21"/>
        </w:rPr>
      </w:pPr>
      <w:r>
        <w:rPr>
          <w:rFonts w:hint="eastAsia" w:ascii="宋体" w:hAnsi="宋体" w:cs="宋体"/>
          <w:b/>
          <w:color w:val="auto"/>
          <w:sz w:val="22"/>
          <w:szCs w:val="21"/>
        </w:rPr>
        <w:t>2.18 计量单位</w:t>
      </w:r>
    </w:p>
    <w:p w14:paraId="7FA26734">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s="宋体"/>
          <w:color w:val="auto"/>
          <w:sz w:val="22"/>
          <w:szCs w:val="21"/>
        </w:rPr>
      </w:pPr>
      <w:r>
        <w:rPr>
          <w:rFonts w:hint="eastAsia" w:ascii="宋体" w:hAnsi="宋体" w:cs="宋体"/>
          <w:color w:val="auto"/>
          <w:sz w:val="22"/>
          <w:szCs w:val="21"/>
        </w:rPr>
        <w:t>除技术规范中另有规定外,合同的计量单位均使用国家法定计量单位。</w:t>
      </w:r>
    </w:p>
    <w:p w14:paraId="2E806F90">
      <w:pPr>
        <w:keepNext w:val="0"/>
        <w:keepLines w:val="0"/>
        <w:pageBreakBefore w:val="0"/>
        <w:widowControl w:val="0"/>
        <w:kinsoku/>
        <w:wordWrap/>
        <w:overflowPunct/>
        <w:topLinePunct w:val="0"/>
        <w:autoSpaceDE w:val="0"/>
        <w:autoSpaceDN w:val="0"/>
        <w:bidi w:val="0"/>
        <w:adjustRightInd/>
        <w:snapToGrid/>
        <w:spacing w:line="384" w:lineRule="auto"/>
        <w:ind w:firstLine="442" w:firstLineChars="200"/>
        <w:textAlignment w:val="auto"/>
        <w:rPr>
          <w:rFonts w:ascii="宋体" w:hAnsi="宋体"/>
          <w:b/>
          <w:color w:val="auto"/>
          <w:sz w:val="22"/>
          <w:szCs w:val="21"/>
        </w:rPr>
      </w:pPr>
      <w:r>
        <w:rPr>
          <w:rFonts w:ascii="宋体" w:hAnsi="宋体"/>
          <w:b/>
          <w:color w:val="auto"/>
          <w:sz w:val="22"/>
          <w:szCs w:val="21"/>
        </w:rPr>
        <w:t>2.</w:t>
      </w:r>
      <w:r>
        <w:rPr>
          <w:rFonts w:hint="eastAsia" w:ascii="宋体" w:hAnsi="宋体"/>
          <w:b/>
          <w:color w:val="auto"/>
          <w:sz w:val="22"/>
          <w:szCs w:val="21"/>
        </w:rPr>
        <w:t>19</w:t>
      </w:r>
      <w:r>
        <w:rPr>
          <w:rFonts w:hint="eastAsia"/>
          <w:b/>
          <w:color w:val="auto"/>
          <w:sz w:val="22"/>
          <w:szCs w:val="21"/>
          <w:lang w:val="en-US" w:eastAsia="zh-CN"/>
        </w:rPr>
        <w:t xml:space="preserve"> </w:t>
      </w:r>
      <w:r>
        <w:rPr>
          <w:rFonts w:ascii="宋体" w:hAnsi="宋体"/>
          <w:b/>
          <w:color w:val="auto"/>
          <w:sz w:val="22"/>
          <w:szCs w:val="21"/>
        </w:rPr>
        <w:t>合同份数</w:t>
      </w:r>
    </w:p>
    <w:p w14:paraId="62E251D0">
      <w:pPr>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rFonts w:ascii="宋体" w:hAnsi="宋体"/>
          <w:color w:val="auto"/>
          <w:sz w:val="22"/>
          <w:szCs w:val="21"/>
        </w:rPr>
      </w:pPr>
      <w:r>
        <w:rPr>
          <w:rFonts w:ascii="宋体" w:hAnsi="宋体"/>
          <w:color w:val="auto"/>
          <w:sz w:val="22"/>
          <w:szCs w:val="21"/>
        </w:rPr>
        <w:t>合同份数按</w:t>
      </w:r>
      <w:r>
        <w:rPr>
          <w:rFonts w:ascii="宋体" w:hAnsi="宋体"/>
          <w:b/>
          <w:i/>
          <w:color w:val="auto"/>
          <w:sz w:val="22"/>
          <w:szCs w:val="21"/>
          <w:u w:val="single"/>
        </w:rPr>
        <w:t>合同专用条款</w:t>
      </w:r>
      <w:r>
        <w:rPr>
          <w:rFonts w:ascii="宋体" w:hAnsi="宋体"/>
          <w:color w:val="auto"/>
          <w:sz w:val="22"/>
          <w:szCs w:val="21"/>
        </w:rPr>
        <w:t>规定</w:t>
      </w:r>
      <w:r>
        <w:rPr>
          <w:rFonts w:hint="eastAsia" w:ascii="宋体" w:hAnsi="宋体"/>
          <w:color w:val="auto"/>
          <w:sz w:val="22"/>
          <w:szCs w:val="21"/>
        </w:rPr>
        <w:t>，</w:t>
      </w:r>
      <w:r>
        <w:rPr>
          <w:rFonts w:ascii="宋体" w:hAnsi="宋体"/>
          <w:color w:val="auto"/>
          <w:sz w:val="22"/>
          <w:szCs w:val="21"/>
        </w:rPr>
        <w:t>每份均具有同等法律效力</w:t>
      </w:r>
      <w:r>
        <w:rPr>
          <w:rFonts w:hint="eastAsia" w:ascii="宋体" w:hAnsi="宋体"/>
          <w:color w:val="auto"/>
          <w:sz w:val="22"/>
          <w:szCs w:val="21"/>
        </w:rPr>
        <w:t>。</w:t>
      </w:r>
    </w:p>
    <w:p w14:paraId="1BECFCF4">
      <w:pPr>
        <w:spacing w:line="360" w:lineRule="auto"/>
        <w:jc w:val="center"/>
        <w:outlineLvl w:val="0"/>
        <w:rPr>
          <w:rFonts w:ascii="宋体" w:hAnsi="宋体" w:cs="宋体"/>
          <w:b/>
          <w:color w:val="auto"/>
          <w:sz w:val="22"/>
          <w:szCs w:val="21"/>
        </w:rPr>
      </w:pPr>
      <w:r>
        <w:rPr>
          <w:rFonts w:hint="eastAsia" w:ascii="宋体" w:hAnsi="宋体" w:cs="宋体"/>
          <w:color w:val="auto"/>
          <w:kern w:val="0"/>
          <w:sz w:val="21"/>
          <w:szCs w:val="21"/>
        </w:rPr>
        <w:br w:type="page"/>
      </w:r>
      <w:r>
        <w:rPr>
          <w:rFonts w:hint="eastAsia" w:ascii="宋体" w:hAnsi="宋体" w:cs="宋体"/>
          <w:b/>
          <w:color w:val="auto"/>
          <w:sz w:val="22"/>
          <w:szCs w:val="21"/>
        </w:rPr>
        <w:t>第三部分  合同专用条款</w:t>
      </w:r>
    </w:p>
    <w:p w14:paraId="0C0683F6">
      <w:pPr>
        <w:spacing w:line="560" w:lineRule="exact"/>
        <w:ind w:left="-440" w:leftChars="-200" w:right="-440" w:rightChars="-200" w:firstLine="440" w:firstLineChars="200"/>
        <w:rPr>
          <w:rFonts w:ascii="宋体" w:hAnsi="宋体" w:cs="宋体"/>
          <w:color w:val="auto"/>
          <w:sz w:val="21"/>
          <w:szCs w:val="21"/>
        </w:rPr>
      </w:pPr>
      <w:r>
        <w:rPr>
          <w:rFonts w:hint="eastAsia" w:ascii="宋体" w:hAnsi="宋体" w:cs="宋体"/>
          <w:color w:val="auto"/>
          <w:sz w:val="22"/>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951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89"/>
        <w:gridCol w:w="8027"/>
      </w:tblGrid>
      <w:tr w14:paraId="1645C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 w:hRule="atLeast"/>
        </w:trPr>
        <w:tc>
          <w:tcPr>
            <w:tcW w:w="1489" w:type="dxa"/>
            <w:tcBorders>
              <w:left w:val="single" w:color="auto" w:sz="4" w:space="0"/>
            </w:tcBorders>
            <w:vAlign w:val="center"/>
          </w:tcPr>
          <w:p w14:paraId="64FDD943">
            <w:pPr>
              <w:spacing w:line="240" w:lineRule="auto"/>
              <w:jc w:val="center"/>
              <w:rPr>
                <w:rFonts w:ascii="宋体" w:hAnsi="宋体" w:cs="宋体"/>
                <w:b/>
                <w:color w:val="auto"/>
                <w:sz w:val="22"/>
                <w:szCs w:val="21"/>
              </w:rPr>
            </w:pPr>
            <w:r>
              <w:rPr>
                <w:rFonts w:hint="eastAsia" w:ascii="宋体" w:hAnsi="宋体" w:cs="宋体"/>
                <w:b/>
                <w:color w:val="auto"/>
                <w:sz w:val="22"/>
                <w:szCs w:val="21"/>
              </w:rPr>
              <w:t>条款号</w:t>
            </w:r>
          </w:p>
        </w:tc>
        <w:tc>
          <w:tcPr>
            <w:tcW w:w="8027" w:type="dxa"/>
            <w:vAlign w:val="center"/>
          </w:tcPr>
          <w:p w14:paraId="40198C85">
            <w:pPr>
              <w:spacing w:line="240" w:lineRule="auto"/>
              <w:jc w:val="center"/>
              <w:rPr>
                <w:rFonts w:ascii="宋体" w:hAnsi="宋体" w:cs="宋体"/>
                <w:b/>
                <w:color w:val="auto"/>
                <w:sz w:val="22"/>
                <w:szCs w:val="21"/>
              </w:rPr>
            </w:pPr>
            <w:r>
              <w:rPr>
                <w:rFonts w:hint="eastAsia" w:ascii="宋体" w:hAnsi="宋体" w:cs="宋体"/>
                <w:b/>
                <w:color w:val="auto"/>
                <w:sz w:val="22"/>
                <w:szCs w:val="21"/>
              </w:rPr>
              <w:t>约定内容</w:t>
            </w:r>
          </w:p>
        </w:tc>
      </w:tr>
      <w:tr w14:paraId="56121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4CFEF7A9">
            <w:pPr>
              <w:spacing w:line="240" w:lineRule="auto"/>
              <w:jc w:val="center"/>
              <w:rPr>
                <w:rFonts w:ascii="宋体" w:hAnsi="宋体" w:cs="宋体"/>
                <w:color w:val="auto"/>
                <w:sz w:val="22"/>
                <w:szCs w:val="21"/>
              </w:rPr>
            </w:pPr>
            <w:r>
              <w:rPr>
                <w:rFonts w:hint="eastAsia" w:ascii="宋体" w:hAnsi="宋体" w:cs="宋体"/>
                <w:color w:val="auto"/>
                <w:sz w:val="22"/>
                <w:szCs w:val="21"/>
              </w:rPr>
              <w:t>1.3.2</w:t>
            </w:r>
          </w:p>
        </w:tc>
        <w:tc>
          <w:tcPr>
            <w:tcW w:w="8027" w:type="dxa"/>
            <w:vAlign w:val="center"/>
          </w:tcPr>
          <w:p w14:paraId="0725C29B">
            <w:pPr>
              <w:spacing w:line="360" w:lineRule="auto"/>
              <w:jc w:val="both"/>
              <w:rPr>
                <w:rFonts w:ascii="宋体" w:hAnsi="宋体" w:cs="宋体"/>
                <w:color w:val="auto"/>
                <w:sz w:val="22"/>
                <w:szCs w:val="21"/>
              </w:rPr>
            </w:pPr>
          </w:p>
        </w:tc>
      </w:tr>
      <w:tr w14:paraId="15286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44A6F84E">
            <w:pPr>
              <w:spacing w:line="240" w:lineRule="auto"/>
              <w:jc w:val="center"/>
              <w:rPr>
                <w:rFonts w:ascii="宋体" w:hAnsi="宋体" w:cs="宋体"/>
                <w:color w:val="auto"/>
                <w:sz w:val="22"/>
                <w:szCs w:val="21"/>
              </w:rPr>
            </w:pPr>
            <w:r>
              <w:rPr>
                <w:rFonts w:hint="eastAsia" w:ascii="宋体" w:hAnsi="宋体" w:cs="宋体"/>
                <w:color w:val="auto"/>
                <w:sz w:val="22"/>
                <w:szCs w:val="21"/>
              </w:rPr>
              <w:t>1.4.2</w:t>
            </w:r>
          </w:p>
        </w:tc>
        <w:tc>
          <w:tcPr>
            <w:tcW w:w="8027" w:type="dxa"/>
            <w:vAlign w:val="center"/>
          </w:tcPr>
          <w:p w14:paraId="7D099073">
            <w:pPr>
              <w:spacing w:line="360" w:lineRule="auto"/>
              <w:jc w:val="both"/>
              <w:rPr>
                <w:rFonts w:ascii="宋体" w:hAnsi="宋体" w:cs="宋体"/>
                <w:color w:val="auto"/>
                <w:sz w:val="22"/>
                <w:szCs w:val="21"/>
              </w:rPr>
            </w:pPr>
          </w:p>
        </w:tc>
      </w:tr>
      <w:tr w14:paraId="7CB4A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64C0F431">
            <w:pPr>
              <w:spacing w:line="240" w:lineRule="auto"/>
              <w:jc w:val="center"/>
              <w:rPr>
                <w:rFonts w:ascii="宋体" w:hAnsi="宋体" w:cs="宋体"/>
                <w:color w:val="auto"/>
                <w:sz w:val="22"/>
                <w:szCs w:val="21"/>
              </w:rPr>
            </w:pPr>
            <w:r>
              <w:rPr>
                <w:rFonts w:hint="eastAsia" w:ascii="宋体" w:hAnsi="宋体" w:cs="宋体"/>
                <w:color w:val="auto"/>
                <w:sz w:val="22"/>
                <w:szCs w:val="21"/>
              </w:rPr>
              <w:t>1.5.1</w:t>
            </w:r>
          </w:p>
        </w:tc>
        <w:tc>
          <w:tcPr>
            <w:tcW w:w="8027" w:type="dxa"/>
            <w:vAlign w:val="center"/>
          </w:tcPr>
          <w:p w14:paraId="249DCD78">
            <w:pPr>
              <w:spacing w:line="360" w:lineRule="auto"/>
              <w:jc w:val="both"/>
              <w:rPr>
                <w:rFonts w:ascii="宋体" w:hAnsi="宋体" w:cs="宋体"/>
                <w:color w:val="auto"/>
                <w:sz w:val="22"/>
                <w:szCs w:val="21"/>
              </w:rPr>
            </w:pPr>
          </w:p>
        </w:tc>
      </w:tr>
      <w:tr w14:paraId="33196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27BE2881">
            <w:pPr>
              <w:spacing w:line="240" w:lineRule="auto"/>
              <w:jc w:val="center"/>
              <w:rPr>
                <w:rFonts w:ascii="宋体" w:hAnsi="宋体" w:cs="宋体"/>
                <w:color w:val="auto"/>
                <w:sz w:val="22"/>
                <w:szCs w:val="21"/>
              </w:rPr>
            </w:pPr>
            <w:r>
              <w:rPr>
                <w:rFonts w:hint="eastAsia" w:ascii="宋体" w:hAnsi="宋体" w:cs="宋体"/>
                <w:color w:val="auto"/>
                <w:sz w:val="22"/>
                <w:szCs w:val="21"/>
              </w:rPr>
              <w:t>1.5.2</w:t>
            </w:r>
          </w:p>
        </w:tc>
        <w:tc>
          <w:tcPr>
            <w:tcW w:w="8027" w:type="dxa"/>
            <w:vAlign w:val="center"/>
          </w:tcPr>
          <w:p w14:paraId="26D9B9AE">
            <w:pPr>
              <w:spacing w:line="360" w:lineRule="auto"/>
              <w:jc w:val="both"/>
              <w:rPr>
                <w:rFonts w:ascii="宋体" w:hAnsi="宋体" w:cs="宋体"/>
                <w:color w:val="auto"/>
                <w:sz w:val="22"/>
                <w:szCs w:val="21"/>
              </w:rPr>
            </w:pPr>
          </w:p>
        </w:tc>
      </w:tr>
      <w:tr w14:paraId="0F604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197238E3">
            <w:pPr>
              <w:spacing w:line="240" w:lineRule="auto"/>
              <w:jc w:val="center"/>
              <w:rPr>
                <w:rFonts w:ascii="宋体" w:hAnsi="宋体" w:cs="宋体"/>
                <w:color w:val="auto"/>
                <w:sz w:val="22"/>
                <w:szCs w:val="21"/>
              </w:rPr>
            </w:pPr>
            <w:r>
              <w:rPr>
                <w:rFonts w:hint="eastAsia" w:ascii="宋体" w:hAnsi="宋体" w:cs="宋体"/>
                <w:color w:val="auto"/>
                <w:sz w:val="22"/>
                <w:szCs w:val="21"/>
              </w:rPr>
              <w:t>1.5.3</w:t>
            </w:r>
          </w:p>
        </w:tc>
        <w:tc>
          <w:tcPr>
            <w:tcW w:w="8027" w:type="dxa"/>
            <w:vAlign w:val="center"/>
          </w:tcPr>
          <w:p w14:paraId="6B499875">
            <w:pPr>
              <w:spacing w:line="360" w:lineRule="auto"/>
              <w:jc w:val="both"/>
              <w:rPr>
                <w:rFonts w:ascii="宋体" w:hAnsi="宋体" w:cs="宋体"/>
                <w:color w:val="auto"/>
                <w:sz w:val="22"/>
                <w:szCs w:val="21"/>
              </w:rPr>
            </w:pPr>
          </w:p>
        </w:tc>
      </w:tr>
      <w:tr w14:paraId="7F5F8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7338192E">
            <w:pPr>
              <w:spacing w:line="240" w:lineRule="auto"/>
              <w:jc w:val="center"/>
              <w:rPr>
                <w:rFonts w:ascii="宋体" w:hAnsi="宋体" w:cs="宋体"/>
                <w:color w:val="auto"/>
                <w:sz w:val="22"/>
                <w:szCs w:val="21"/>
              </w:rPr>
            </w:pPr>
            <w:r>
              <w:rPr>
                <w:rFonts w:hint="eastAsia" w:ascii="宋体" w:hAnsi="宋体" w:cs="宋体"/>
                <w:color w:val="auto"/>
                <w:sz w:val="22"/>
                <w:szCs w:val="21"/>
              </w:rPr>
              <w:t>1.6.2</w:t>
            </w:r>
          </w:p>
        </w:tc>
        <w:tc>
          <w:tcPr>
            <w:tcW w:w="8027" w:type="dxa"/>
            <w:vAlign w:val="center"/>
          </w:tcPr>
          <w:p w14:paraId="2ACC9AA0">
            <w:pPr>
              <w:spacing w:line="360" w:lineRule="auto"/>
              <w:jc w:val="both"/>
              <w:rPr>
                <w:rFonts w:ascii="宋体" w:hAnsi="宋体" w:cs="宋体"/>
                <w:color w:val="auto"/>
                <w:sz w:val="22"/>
                <w:szCs w:val="21"/>
              </w:rPr>
            </w:pPr>
          </w:p>
        </w:tc>
      </w:tr>
      <w:tr w14:paraId="75AD9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7F773C0B">
            <w:pPr>
              <w:spacing w:line="240" w:lineRule="auto"/>
              <w:jc w:val="center"/>
              <w:rPr>
                <w:rFonts w:ascii="宋体" w:hAnsi="宋体" w:cs="宋体"/>
                <w:color w:val="auto"/>
                <w:sz w:val="22"/>
                <w:szCs w:val="21"/>
              </w:rPr>
            </w:pPr>
            <w:r>
              <w:rPr>
                <w:rFonts w:hint="eastAsia" w:ascii="宋体" w:hAnsi="宋体" w:cs="宋体"/>
                <w:color w:val="auto"/>
                <w:sz w:val="22"/>
                <w:szCs w:val="21"/>
              </w:rPr>
              <w:t>1.7.1</w:t>
            </w:r>
          </w:p>
        </w:tc>
        <w:tc>
          <w:tcPr>
            <w:tcW w:w="8027" w:type="dxa"/>
            <w:vAlign w:val="center"/>
          </w:tcPr>
          <w:p w14:paraId="6F674B23">
            <w:pPr>
              <w:spacing w:line="360" w:lineRule="auto"/>
              <w:jc w:val="both"/>
              <w:rPr>
                <w:rFonts w:ascii="宋体" w:hAnsi="宋体" w:cs="宋体"/>
                <w:color w:val="auto"/>
                <w:sz w:val="22"/>
                <w:szCs w:val="21"/>
              </w:rPr>
            </w:pPr>
          </w:p>
        </w:tc>
      </w:tr>
      <w:tr w14:paraId="4E859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057EEDAE">
            <w:pPr>
              <w:spacing w:line="240" w:lineRule="auto"/>
              <w:jc w:val="center"/>
              <w:rPr>
                <w:rFonts w:ascii="宋体" w:hAnsi="宋体" w:cs="宋体"/>
                <w:color w:val="auto"/>
                <w:sz w:val="22"/>
                <w:szCs w:val="21"/>
              </w:rPr>
            </w:pPr>
            <w:r>
              <w:rPr>
                <w:rFonts w:hint="eastAsia" w:ascii="宋体" w:hAnsi="宋体" w:cs="宋体"/>
                <w:color w:val="auto"/>
                <w:sz w:val="22"/>
                <w:szCs w:val="21"/>
              </w:rPr>
              <w:t>1.7.2</w:t>
            </w:r>
          </w:p>
        </w:tc>
        <w:tc>
          <w:tcPr>
            <w:tcW w:w="8027" w:type="dxa"/>
            <w:vAlign w:val="center"/>
          </w:tcPr>
          <w:p w14:paraId="65CF6E79">
            <w:pPr>
              <w:spacing w:line="360" w:lineRule="auto"/>
              <w:jc w:val="both"/>
              <w:rPr>
                <w:rFonts w:ascii="宋体" w:hAnsi="宋体" w:cs="宋体"/>
                <w:color w:val="auto"/>
                <w:sz w:val="22"/>
                <w:szCs w:val="21"/>
              </w:rPr>
            </w:pPr>
          </w:p>
        </w:tc>
      </w:tr>
      <w:tr w14:paraId="58F0C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0852FFAF">
            <w:pPr>
              <w:spacing w:line="240" w:lineRule="auto"/>
              <w:jc w:val="center"/>
              <w:rPr>
                <w:rFonts w:ascii="宋体" w:hAnsi="宋体" w:cs="宋体"/>
                <w:color w:val="auto"/>
                <w:sz w:val="22"/>
                <w:szCs w:val="21"/>
              </w:rPr>
            </w:pPr>
            <w:r>
              <w:rPr>
                <w:rFonts w:hint="eastAsia" w:ascii="宋体" w:hAnsi="宋体" w:cs="宋体"/>
                <w:color w:val="auto"/>
                <w:sz w:val="22"/>
                <w:szCs w:val="21"/>
              </w:rPr>
              <w:t>1.7.3</w:t>
            </w:r>
          </w:p>
        </w:tc>
        <w:tc>
          <w:tcPr>
            <w:tcW w:w="8027" w:type="dxa"/>
            <w:vAlign w:val="center"/>
          </w:tcPr>
          <w:p w14:paraId="1687F92D">
            <w:pPr>
              <w:spacing w:line="360" w:lineRule="auto"/>
              <w:jc w:val="both"/>
              <w:rPr>
                <w:rFonts w:ascii="宋体" w:hAnsi="宋体" w:cs="宋体"/>
                <w:color w:val="auto"/>
                <w:sz w:val="22"/>
                <w:szCs w:val="21"/>
              </w:rPr>
            </w:pPr>
          </w:p>
        </w:tc>
      </w:tr>
      <w:tr w14:paraId="0D427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340252E3">
            <w:pPr>
              <w:spacing w:line="240" w:lineRule="auto"/>
              <w:jc w:val="center"/>
              <w:rPr>
                <w:rFonts w:ascii="宋体" w:hAnsi="宋体" w:cs="宋体"/>
                <w:color w:val="auto"/>
                <w:sz w:val="22"/>
                <w:szCs w:val="21"/>
              </w:rPr>
            </w:pPr>
            <w:r>
              <w:rPr>
                <w:rFonts w:hint="eastAsia" w:ascii="宋体" w:hAnsi="宋体" w:cs="宋体"/>
                <w:color w:val="auto"/>
                <w:sz w:val="22"/>
                <w:szCs w:val="21"/>
              </w:rPr>
              <w:t>1.7.4.1</w:t>
            </w:r>
          </w:p>
        </w:tc>
        <w:tc>
          <w:tcPr>
            <w:tcW w:w="8027" w:type="dxa"/>
            <w:vAlign w:val="center"/>
          </w:tcPr>
          <w:p w14:paraId="41F7E6FC">
            <w:pPr>
              <w:spacing w:line="360" w:lineRule="auto"/>
              <w:jc w:val="both"/>
              <w:rPr>
                <w:rFonts w:ascii="宋体" w:hAnsi="宋体" w:cs="宋体"/>
                <w:color w:val="auto"/>
                <w:sz w:val="22"/>
                <w:szCs w:val="21"/>
              </w:rPr>
            </w:pPr>
          </w:p>
        </w:tc>
      </w:tr>
      <w:tr w14:paraId="2A4C0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523F2CDF">
            <w:pPr>
              <w:spacing w:line="240" w:lineRule="auto"/>
              <w:jc w:val="center"/>
              <w:rPr>
                <w:rFonts w:ascii="宋体" w:hAnsi="宋体" w:cs="宋体"/>
                <w:color w:val="auto"/>
                <w:sz w:val="22"/>
                <w:szCs w:val="21"/>
              </w:rPr>
            </w:pPr>
            <w:r>
              <w:rPr>
                <w:rFonts w:hint="eastAsia" w:ascii="宋体" w:hAnsi="宋体" w:cs="宋体"/>
                <w:color w:val="auto"/>
                <w:sz w:val="22"/>
                <w:szCs w:val="21"/>
              </w:rPr>
              <w:t>1.7.4.2</w:t>
            </w:r>
          </w:p>
        </w:tc>
        <w:tc>
          <w:tcPr>
            <w:tcW w:w="8027" w:type="dxa"/>
            <w:vAlign w:val="center"/>
          </w:tcPr>
          <w:p w14:paraId="56E80914">
            <w:pPr>
              <w:spacing w:line="360" w:lineRule="auto"/>
              <w:jc w:val="both"/>
              <w:rPr>
                <w:rFonts w:ascii="宋体" w:hAnsi="宋体" w:cs="宋体"/>
                <w:color w:val="auto"/>
                <w:sz w:val="22"/>
                <w:szCs w:val="21"/>
              </w:rPr>
            </w:pPr>
          </w:p>
        </w:tc>
      </w:tr>
      <w:tr w14:paraId="62C66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2BFADE97">
            <w:pPr>
              <w:spacing w:line="240" w:lineRule="auto"/>
              <w:jc w:val="center"/>
              <w:rPr>
                <w:rFonts w:ascii="宋体" w:hAnsi="宋体" w:cs="宋体"/>
                <w:color w:val="auto"/>
                <w:sz w:val="22"/>
                <w:szCs w:val="21"/>
              </w:rPr>
            </w:pPr>
            <w:r>
              <w:rPr>
                <w:rFonts w:hint="eastAsia" w:ascii="宋体" w:hAnsi="宋体" w:cs="宋体"/>
                <w:color w:val="auto"/>
                <w:sz w:val="22"/>
                <w:szCs w:val="21"/>
              </w:rPr>
              <w:t>1.7.4.3</w:t>
            </w:r>
          </w:p>
        </w:tc>
        <w:tc>
          <w:tcPr>
            <w:tcW w:w="8027" w:type="dxa"/>
            <w:vAlign w:val="center"/>
          </w:tcPr>
          <w:p w14:paraId="0753C16A">
            <w:pPr>
              <w:spacing w:line="360" w:lineRule="auto"/>
              <w:jc w:val="both"/>
              <w:rPr>
                <w:rFonts w:ascii="宋体" w:hAnsi="宋体" w:cs="宋体"/>
                <w:color w:val="auto"/>
                <w:sz w:val="22"/>
                <w:szCs w:val="21"/>
              </w:rPr>
            </w:pPr>
          </w:p>
        </w:tc>
      </w:tr>
      <w:tr w14:paraId="74FC6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0A8227D2">
            <w:pPr>
              <w:spacing w:line="240" w:lineRule="auto"/>
              <w:jc w:val="center"/>
              <w:rPr>
                <w:rFonts w:ascii="宋体" w:hAnsi="宋体" w:cs="宋体"/>
                <w:color w:val="auto"/>
                <w:sz w:val="22"/>
                <w:szCs w:val="21"/>
              </w:rPr>
            </w:pPr>
            <w:r>
              <w:rPr>
                <w:rFonts w:hint="eastAsia" w:ascii="宋体" w:hAnsi="宋体" w:cs="宋体"/>
                <w:color w:val="auto"/>
                <w:sz w:val="22"/>
                <w:szCs w:val="21"/>
              </w:rPr>
              <w:t>1.8.7</w:t>
            </w:r>
          </w:p>
        </w:tc>
        <w:tc>
          <w:tcPr>
            <w:tcW w:w="8027" w:type="dxa"/>
            <w:vAlign w:val="center"/>
          </w:tcPr>
          <w:p w14:paraId="68D9017E">
            <w:pPr>
              <w:spacing w:line="360" w:lineRule="auto"/>
              <w:jc w:val="both"/>
              <w:rPr>
                <w:rFonts w:ascii="宋体" w:hAnsi="宋体" w:cs="宋体"/>
                <w:color w:val="auto"/>
                <w:sz w:val="22"/>
                <w:szCs w:val="21"/>
              </w:rPr>
            </w:pPr>
          </w:p>
        </w:tc>
      </w:tr>
      <w:tr w14:paraId="4DB21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7ECED380">
            <w:pPr>
              <w:spacing w:line="240" w:lineRule="auto"/>
              <w:jc w:val="center"/>
              <w:rPr>
                <w:rFonts w:ascii="宋体" w:hAnsi="宋体" w:cs="宋体"/>
                <w:color w:val="auto"/>
                <w:sz w:val="22"/>
                <w:szCs w:val="21"/>
              </w:rPr>
            </w:pPr>
            <w:r>
              <w:rPr>
                <w:rFonts w:hint="eastAsia" w:ascii="宋体" w:hAnsi="宋体" w:cs="宋体"/>
                <w:color w:val="auto"/>
                <w:sz w:val="22"/>
                <w:szCs w:val="21"/>
              </w:rPr>
              <w:t>1.9.1</w:t>
            </w:r>
          </w:p>
        </w:tc>
        <w:tc>
          <w:tcPr>
            <w:tcW w:w="8027" w:type="dxa"/>
            <w:vAlign w:val="center"/>
          </w:tcPr>
          <w:p w14:paraId="4160BB36">
            <w:pPr>
              <w:spacing w:line="360" w:lineRule="auto"/>
              <w:jc w:val="both"/>
              <w:rPr>
                <w:rFonts w:ascii="宋体" w:hAnsi="宋体" w:cs="宋体"/>
                <w:color w:val="auto"/>
                <w:sz w:val="22"/>
                <w:szCs w:val="21"/>
              </w:rPr>
            </w:pPr>
          </w:p>
        </w:tc>
      </w:tr>
      <w:tr w14:paraId="62019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3C23C3E6">
            <w:pPr>
              <w:spacing w:line="240" w:lineRule="auto"/>
              <w:jc w:val="center"/>
              <w:rPr>
                <w:rFonts w:ascii="宋体" w:hAnsi="宋体" w:cs="宋体"/>
                <w:color w:val="auto"/>
                <w:sz w:val="22"/>
                <w:szCs w:val="21"/>
              </w:rPr>
            </w:pPr>
            <w:r>
              <w:rPr>
                <w:rFonts w:hint="eastAsia" w:ascii="宋体" w:hAnsi="宋体" w:cs="宋体"/>
                <w:color w:val="auto"/>
                <w:sz w:val="22"/>
                <w:szCs w:val="21"/>
              </w:rPr>
              <w:t>1.9.2</w:t>
            </w:r>
          </w:p>
        </w:tc>
        <w:tc>
          <w:tcPr>
            <w:tcW w:w="8027" w:type="dxa"/>
            <w:vAlign w:val="center"/>
          </w:tcPr>
          <w:p w14:paraId="7408F20C">
            <w:pPr>
              <w:spacing w:line="360" w:lineRule="auto"/>
              <w:jc w:val="both"/>
              <w:rPr>
                <w:rFonts w:ascii="宋体" w:hAnsi="宋体" w:cs="宋体"/>
                <w:color w:val="auto"/>
                <w:sz w:val="22"/>
                <w:szCs w:val="21"/>
              </w:rPr>
            </w:pPr>
          </w:p>
        </w:tc>
      </w:tr>
      <w:tr w14:paraId="222F3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3C009CE7">
            <w:pPr>
              <w:spacing w:line="240" w:lineRule="auto"/>
              <w:jc w:val="center"/>
              <w:rPr>
                <w:rFonts w:ascii="宋体" w:hAnsi="宋体" w:cs="宋体"/>
                <w:color w:val="auto"/>
                <w:sz w:val="22"/>
                <w:szCs w:val="21"/>
              </w:rPr>
            </w:pPr>
            <w:r>
              <w:rPr>
                <w:rFonts w:hint="eastAsia" w:ascii="宋体" w:hAnsi="宋体" w:cs="宋体"/>
                <w:color w:val="auto"/>
                <w:sz w:val="22"/>
                <w:szCs w:val="21"/>
              </w:rPr>
              <w:t>2.3.2</w:t>
            </w:r>
          </w:p>
        </w:tc>
        <w:tc>
          <w:tcPr>
            <w:tcW w:w="8027" w:type="dxa"/>
            <w:vAlign w:val="center"/>
          </w:tcPr>
          <w:p w14:paraId="2A64E916">
            <w:pPr>
              <w:spacing w:line="360" w:lineRule="auto"/>
              <w:ind w:left="-440" w:leftChars="-200" w:right="-440" w:rightChars="-200" w:firstLine="440" w:firstLineChars="200"/>
              <w:jc w:val="both"/>
              <w:rPr>
                <w:rFonts w:ascii="宋体" w:hAnsi="宋体" w:cs="宋体"/>
                <w:color w:val="auto"/>
                <w:sz w:val="22"/>
                <w:szCs w:val="21"/>
              </w:rPr>
            </w:pPr>
          </w:p>
        </w:tc>
      </w:tr>
      <w:tr w14:paraId="7F035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72BBBE2C">
            <w:pPr>
              <w:spacing w:line="240" w:lineRule="auto"/>
              <w:jc w:val="center"/>
              <w:rPr>
                <w:rFonts w:ascii="宋体" w:hAnsi="宋体" w:cs="宋体"/>
                <w:color w:val="auto"/>
                <w:sz w:val="22"/>
                <w:szCs w:val="21"/>
              </w:rPr>
            </w:pPr>
            <w:r>
              <w:rPr>
                <w:rFonts w:hint="eastAsia" w:ascii="宋体" w:hAnsi="宋体" w:cs="宋体"/>
                <w:color w:val="auto"/>
                <w:sz w:val="22"/>
                <w:szCs w:val="21"/>
              </w:rPr>
              <w:t>2.</w:t>
            </w:r>
            <w:r>
              <w:rPr>
                <w:rFonts w:ascii="宋体" w:hAnsi="宋体" w:cs="宋体"/>
                <w:color w:val="auto"/>
                <w:sz w:val="22"/>
                <w:szCs w:val="21"/>
              </w:rPr>
              <w:t>5</w:t>
            </w:r>
          </w:p>
        </w:tc>
        <w:tc>
          <w:tcPr>
            <w:tcW w:w="8027" w:type="dxa"/>
            <w:vAlign w:val="center"/>
          </w:tcPr>
          <w:p w14:paraId="157036B9">
            <w:pPr>
              <w:spacing w:line="360" w:lineRule="auto"/>
              <w:ind w:left="-440" w:leftChars="-200" w:right="-440" w:rightChars="-200" w:firstLine="440" w:firstLineChars="200"/>
              <w:jc w:val="both"/>
              <w:rPr>
                <w:rFonts w:ascii="宋体" w:hAnsi="宋体" w:cs="宋体"/>
                <w:color w:val="auto"/>
                <w:sz w:val="22"/>
                <w:szCs w:val="21"/>
              </w:rPr>
            </w:pPr>
          </w:p>
        </w:tc>
      </w:tr>
      <w:tr w14:paraId="53957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60374323">
            <w:pPr>
              <w:spacing w:line="240" w:lineRule="auto"/>
              <w:jc w:val="center"/>
              <w:rPr>
                <w:rFonts w:ascii="宋体" w:hAnsi="宋体" w:cs="宋体"/>
                <w:color w:val="auto"/>
                <w:sz w:val="22"/>
                <w:szCs w:val="21"/>
              </w:rPr>
            </w:pPr>
            <w:r>
              <w:rPr>
                <w:rFonts w:hint="eastAsia" w:ascii="宋体" w:hAnsi="宋体" w:cs="宋体"/>
                <w:color w:val="auto"/>
                <w:sz w:val="22"/>
                <w:szCs w:val="21"/>
              </w:rPr>
              <w:t>2.</w:t>
            </w:r>
            <w:r>
              <w:rPr>
                <w:rFonts w:ascii="宋体" w:hAnsi="宋体" w:cs="宋体"/>
                <w:color w:val="auto"/>
                <w:sz w:val="22"/>
                <w:szCs w:val="21"/>
              </w:rPr>
              <w:t>11</w:t>
            </w:r>
            <w:r>
              <w:rPr>
                <w:rFonts w:hint="eastAsia" w:ascii="宋体" w:hAnsi="宋体" w:cs="宋体"/>
                <w:color w:val="auto"/>
                <w:sz w:val="22"/>
                <w:szCs w:val="21"/>
              </w:rPr>
              <w:t>.</w:t>
            </w:r>
            <w:r>
              <w:rPr>
                <w:rFonts w:ascii="宋体" w:hAnsi="宋体" w:cs="宋体"/>
                <w:color w:val="auto"/>
                <w:sz w:val="22"/>
                <w:szCs w:val="21"/>
              </w:rPr>
              <w:t>3</w:t>
            </w:r>
          </w:p>
        </w:tc>
        <w:tc>
          <w:tcPr>
            <w:tcW w:w="8027" w:type="dxa"/>
            <w:vAlign w:val="center"/>
          </w:tcPr>
          <w:p w14:paraId="3108A4C3">
            <w:pPr>
              <w:spacing w:line="360" w:lineRule="auto"/>
              <w:jc w:val="both"/>
              <w:rPr>
                <w:rFonts w:ascii="宋体" w:hAnsi="宋体" w:cs="宋体"/>
                <w:color w:val="auto"/>
                <w:sz w:val="22"/>
                <w:szCs w:val="21"/>
              </w:rPr>
            </w:pPr>
          </w:p>
        </w:tc>
      </w:tr>
      <w:tr w14:paraId="1DFD1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0DB9DEAB">
            <w:pPr>
              <w:spacing w:line="240" w:lineRule="auto"/>
              <w:jc w:val="center"/>
              <w:rPr>
                <w:rFonts w:ascii="宋体" w:hAnsi="宋体" w:cs="宋体"/>
                <w:color w:val="auto"/>
                <w:sz w:val="22"/>
                <w:szCs w:val="21"/>
              </w:rPr>
            </w:pPr>
            <w:r>
              <w:rPr>
                <w:rFonts w:hint="eastAsia" w:ascii="宋体" w:hAnsi="宋体" w:cs="宋体"/>
                <w:color w:val="auto"/>
                <w:sz w:val="22"/>
                <w:szCs w:val="21"/>
              </w:rPr>
              <w:t>2.</w:t>
            </w:r>
            <w:r>
              <w:rPr>
                <w:rFonts w:ascii="宋体" w:hAnsi="宋体" w:cs="宋体"/>
                <w:color w:val="auto"/>
                <w:sz w:val="22"/>
                <w:szCs w:val="21"/>
              </w:rPr>
              <w:t>11.4</w:t>
            </w:r>
          </w:p>
        </w:tc>
        <w:tc>
          <w:tcPr>
            <w:tcW w:w="8027" w:type="dxa"/>
            <w:vAlign w:val="center"/>
          </w:tcPr>
          <w:p w14:paraId="0AD2D604">
            <w:pPr>
              <w:spacing w:line="360" w:lineRule="auto"/>
              <w:jc w:val="both"/>
              <w:rPr>
                <w:rFonts w:ascii="宋体" w:hAnsi="宋体" w:cs="宋体"/>
                <w:color w:val="auto"/>
                <w:sz w:val="22"/>
                <w:szCs w:val="21"/>
              </w:rPr>
            </w:pPr>
          </w:p>
        </w:tc>
      </w:tr>
      <w:tr w14:paraId="7AC22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20C3105F">
            <w:pPr>
              <w:spacing w:line="240" w:lineRule="auto"/>
              <w:jc w:val="center"/>
              <w:rPr>
                <w:rFonts w:ascii="宋体" w:hAnsi="宋体" w:cs="宋体"/>
                <w:color w:val="auto"/>
                <w:sz w:val="22"/>
                <w:szCs w:val="21"/>
              </w:rPr>
            </w:pPr>
            <w:r>
              <w:rPr>
                <w:rFonts w:hint="eastAsia" w:ascii="宋体" w:hAnsi="宋体" w:cs="宋体"/>
                <w:color w:val="auto"/>
                <w:sz w:val="22"/>
                <w:szCs w:val="21"/>
              </w:rPr>
              <w:t>2.</w:t>
            </w:r>
            <w:r>
              <w:rPr>
                <w:rFonts w:ascii="宋体" w:hAnsi="宋体" w:cs="宋体"/>
                <w:color w:val="auto"/>
                <w:sz w:val="22"/>
                <w:szCs w:val="21"/>
              </w:rPr>
              <w:t>15</w:t>
            </w:r>
            <w:r>
              <w:rPr>
                <w:rFonts w:hint="eastAsia" w:ascii="宋体" w:hAnsi="宋体" w:cs="宋体"/>
                <w:color w:val="auto"/>
                <w:sz w:val="22"/>
                <w:szCs w:val="21"/>
              </w:rPr>
              <w:t>.</w:t>
            </w:r>
            <w:r>
              <w:rPr>
                <w:rFonts w:ascii="宋体" w:hAnsi="宋体" w:cs="宋体"/>
                <w:color w:val="auto"/>
                <w:sz w:val="22"/>
                <w:szCs w:val="21"/>
              </w:rPr>
              <w:t>1</w:t>
            </w:r>
          </w:p>
        </w:tc>
        <w:tc>
          <w:tcPr>
            <w:tcW w:w="8027" w:type="dxa"/>
            <w:vAlign w:val="center"/>
          </w:tcPr>
          <w:p w14:paraId="14B0EFDD">
            <w:pPr>
              <w:spacing w:line="360" w:lineRule="auto"/>
              <w:jc w:val="both"/>
              <w:rPr>
                <w:rFonts w:ascii="宋体" w:hAnsi="宋体" w:cs="宋体"/>
                <w:color w:val="auto"/>
                <w:sz w:val="22"/>
                <w:szCs w:val="21"/>
              </w:rPr>
            </w:pPr>
          </w:p>
        </w:tc>
      </w:tr>
      <w:tr w14:paraId="2EE26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489" w:type="dxa"/>
            <w:tcBorders>
              <w:left w:val="single" w:color="auto" w:sz="4" w:space="0"/>
            </w:tcBorders>
            <w:vAlign w:val="center"/>
          </w:tcPr>
          <w:p w14:paraId="6B598E05">
            <w:pPr>
              <w:spacing w:line="240" w:lineRule="auto"/>
              <w:jc w:val="center"/>
              <w:rPr>
                <w:rFonts w:ascii="宋体" w:hAnsi="宋体" w:cs="宋体"/>
                <w:color w:val="auto"/>
                <w:sz w:val="22"/>
                <w:szCs w:val="21"/>
              </w:rPr>
            </w:pPr>
            <w:r>
              <w:rPr>
                <w:rFonts w:hint="eastAsia" w:ascii="宋体" w:hAnsi="宋体" w:cs="宋体"/>
                <w:color w:val="auto"/>
                <w:sz w:val="22"/>
                <w:szCs w:val="21"/>
              </w:rPr>
              <w:t>2.</w:t>
            </w:r>
            <w:r>
              <w:rPr>
                <w:rFonts w:ascii="宋体" w:hAnsi="宋体" w:cs="宋体"/>
                <w:color w:val="auto"/>
                <w:sz w:val="22"/>
                <w:szCs w:val="21"/>
              </w:rPr>
              <w:t>15</w:t>
            </w:r>
            <w:r>
              <w:rPr>
                <w:rFonts w:hint="eastAsia" w:ascii="宋体" w:hAnsi="宋体" w:cs="宋体"/>
                <w:color w:val="auto"/>
                <w:sz w:val="22"/>
                <w:szCs w:val="21"/>
              </w:rPr>
              <w:t>.</w:t>
            </w:r>
            <w:r>
              <w:rPr>
                <w:rFonts w:ascii="宋体" w:hAnsi="宋体" w:cs="宋体"/>
                <w:color w:val="auto"/>
                <w:sz w:val="22"/>
                <w:szCs w:val="21"/>
              </w:rPr>
              <w:t>3</w:t>
            </w:r>
          </w:p>
        </w:tc>
        <w:tc>
          <w:tcPr>
            <w:tcW w:w="8027" w:type="dxa"/>
            <w:vAlign w:val="center"/>
          </w:tcPr>
          <w:p w14:paraId="533FD065">
            <w:pPr>
              <w:spacing w:line="360" w:lineRule="auto"/>
              <w:jc w:val="both"/>
              <w:rPr>
                <w:rFonts w:ascii="宋体" w:hAnsi="宋体" w:cs="宋体"/>
                <w:color w:val="auto"/>
                <w:sz w:val="22"/>
                <w:szCs w:val="21"/>
              </w:rPr>
            </w:pPr>
          </w:p>
        </w:tc>
      </w:tr>
      <w:tr w14:paraId="72097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4" w:hRule="atLeast"/>
        </w:trPr>
        <w:tc>
          <w:tcPr>
            <w:tcW w:w="1489" w:type="dxa"/>
            <w:tcBorders>
              <w:left w:val="single" w:color="auto" w:sz="4" w:space="0"/>
            </w:tcBorders>
            <w:vAlign w:val="center"/>
          </w:tcPr>
          <w:p w14:paraId="4339183B">
            <w:pPr>
              <w:spacing w:line="240" w:lineRule="auto"/>
              <w:jc w:val="center"/>
              <w:rPr>
                <w:rFonts w:ascii="宋体" w:hAnsi="宋体" w:cs="宋体"/>
                <w:color w:val="auto"/>
                <w:sz w:val="22"/>
                <w:szCs w:val="21"/>
              </w:rPr>
            </w:pPr>
            <w:r>
              <w:rPr>
                <w:rFonts w:hint="eastAsia" w:ascii="宋体" w:hAnsi="宋体" w:cs="宋体"/>
                <w:color w:val="auto"/>
                <w:sz w:val="22"/>
                <w:szCs w:val="21"/>
              </w:rPr>
              <w:t>2.19</w:t>
            </w:r>
          </w:p>
        </w:tc>
        <w:tc>
          <w:tcPr>
            <w:tcW w:w="8027" w:type="dxa"/>
            <w:vAlign w:val="center"/>
          </w:tcPr>
          <w:p w14:paraId="24C48D01">
            <w:pPr>
              <w:spacing w:line="360" w:lineRule="auto"/>
              <w:jc w:val="both"/>
              <w:rPr>
                <w:rFonts w:ascii="宋体" w:hAnsi="宋体" w:cs="宋体"/>
                <w:color w:val="auto"/>
                <w:sz w:val="22"/>
                <w:szCs w:val="21"/>
              </w:rPr>
            </w:pPr>
          </w:p>
        </w:tc>
      </w:tr>
    </w:tbl>
    <w:p w14:paraId="6CA1361F">
      <w:pPr>
        <w:spacing w:line="360" w:lineRule="auto"/>
        <w:ind w:left="-440" w:leftChars="-200" w:right="-440" w:rightChars="-200" w:firstLine="440" w:firstLineChars="200"/>
        <w:rPr>
          <w:rFonts w:ascii="宋体" w:hAnsi="宋体" w:cs="宋体"/>
          <w:color w:val="auto"/>
          <w:sz w:val="22"/>
          <w:szCs w:val="21"/>
        </w:rPr>
      </w:pPr>
    </w:p>
    <w:p w14:paraId="46C944E7">
      <w:pPr>
        <w:rPr>
          <w:rFonts w:hint="eastAsia" w:ascii="宋体" w:hAnsi="宋体" w:eastAsia="宋体" w:cs="宋体"/>
          <w:color w:val="auto"/>
          <w:sz w:val="15"/>
          <w:szCs w:val="21"/>
        </w:rPr>
      </w:pPr>
      <w:r>
        <w:rPr>
          <w:rFonts w:hint="eastAsia" w:ascii="宋体" w:hAnsi="宋体" w:eastAsia="宋体" w:cs="宋体"/>
          <w:color w:val="auto"/>
          <w:sz w:val="15"/>
          <w:szCs w:val="21"/>
        </w:rPr>
        <w:br w:type="page"/>
      </w:r>
    </w:p>
    <w:p w14:paraId="446E3EF6">
      <w:pPr>
        <w:pStyle w:val="5"/>
        <w:spacing w:before="50"/>
        <w:ind w:left="1215"/>
        <w:rPr>
          <w:rFonts w:hint="eastAsia" w:ascii="宋体" w:hAnsi="宋体" w:eastAsia="宋体" w:cs="宋体"/>
          <w:color w:val="auto"/>
          <w:sz w:val="32"/>
          <w:szCs w:val="32"/>
        </w:rPr>
      </w:pPr>
      <w:bookmarkStart w:id="138" w:name="_Toc22235"/>
      <w:r>
        <w:rPr>
          <w:rFonts w:hint="eastAsia" w:ascii="宋体" w:hAnsi="宋体" w:eastAsia="宋体" w:cs="宋体"/>
          <w:color w:val="auto"/>
          <w:sz w:val="32"/>
          <w:szCs w:val="32"/>
        </w:rPr>
        <w:t>第六</w:t>
      </w:r>
      <w:r>
        <w:rPr>
          <w:rFonts w:hint="eastAsia" w:ascii="宋体" w:hAnsi="宋体" w:eastAsia="宋体" w:cs="宋体"/>
          <w:color w:val="auto"/>
          <w:sz w:val="32"/>
          <w:szCs w:val="32"/>
          <w:lang w:val="en-US" w:eastAsia="zh-CN"/>
        </w:rPr>
        <w:t>部分</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rPr>
        <w:t xml:space="preserve"> </w:t>
      </w:r>
      <w:bookmarkEnd w:id="138"/>
      <w:r>
        <w:rPr>
          <w:rFonts w:hint="eastAsia" w:ascii="宋体" w:hAnsi="宋体" w:eastAsia="宋体" w:cs="宋体"/>
          <w:color w:val="auto"/>
          <w:sz w:val="32"/>
          <w:szCs w:val="32"/>
          <w:lang w:val="en-US"/>
        </w:rPr>
        <w:t>应提交的有关格式范例</w:t>
      </w:r>
    </w:p>
    <w:p w14:paraId="053982FF">
      <w:pPr>
        <w:pStyle w:val="12"/>
        <w:spacing w:line="360" w:lineRule="auto"/>
        <w:ind w:firstLine="422" w:firstLineChars="200"/>
        <w:rPr>
          <w:rFonts w:hint="eastAsia" w:ascii="宋体" w:hAnsi="宋体" w:eastAsia="宋体" w:cs="宋体"/>
          <w:b/>
          <w:bCs/>
          <w:color w:val="auto"/>
          <w:sz w:val="21"/>
          <w:szCs w:val="21"/>
        </w:rPr>
      </w:pPr>
    </w:p>
    <w:p w14:paraId="4D7D0765">
      <w:pPr>
        <w:pStyle w:val="12"/>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bCs/>
          <w:color w:val="auto"/>
          <w:sz w:val="22"/>
          <w:szCs w:val="22"/>
        </w:rPr>
        <w:t>▲</w:t>
      </w:r>
      <w:r>
        <w:rPr>
          <w:rFonts w:hint="eastAsia" w:ascii="宋体" w:hAnsi="宋体" w:eastAsia="宋体" w:cs="宋体"/>
          <w:b/>
          <w:bCs/>
          <w:color w:val="auto"/>
          <w:sz w:val="22"/>
          <w:szCs w:val="22"/>
          <w:lang w:val="en-US"/>
        </w:rPr>
        <w:t>注：本《</w:t>
      </w:r>
      <w:r>
        <w:rPr>
          <w:rFonts w:hint="eastAsia" w:cs="宋体"/>
          <w:b/>
          <w:bCs/>
          <w:color w:val="auto"/>
          <w:sz w:val="22"/>
          <w:szCs w:val="22"/>
          <w:lang w:val="en-US" w:eastAsia="zh-CN"/>
        </w:rPr>
        <w:t>招标</w:t>
      </w:r>
      <w:r>
        <w:rPr>
          <w:rFonts w:hint="eastAsia" w:ascii="宋体" w:hAnsi="宋体" w:eastAsia="宋体" w:cs="宋体"/>
          <w:b/>
          <w:bCs/>
          <w:color w:val="auto"/>
          <w:sz w:val="22"/>
          <w:szCs w:val="22"/>
          <w:lang w:val="en-US"/>
        </w:rPr>
        <w:t>文件》中提供投标格式，各投标人应参照格式制作，未提供格式的，请各投标人自行拟定格式</w:t>
      </w:r>
      <w:r>
        <w:rPr>
          <w:rFonts w:hint="eastAsia" w:cs="宋体"/>
          <w:b/>
          <w:bCs/>
          <w:color w:val="auto"/>
          <w:sz w:val="22"/>
          <w:szCs w:val="22"/>
          <w:lang w:val="en-US" w:eastAsia="zh-CN"/>
        </w:rPr>
        <w:t>，</w:t>
      </w:r>
      <w:r>
        <w:rPr>
          <w:rFonts w:hint="eastAsia" w:ascii="宋体" w:hAnsi="宋体" w:eastAsia="宋体" w:cs="宋体"/>
          <w:b/>
          <w:bCs/>
          <w:color w:val="auto"/>
          <w:sz w:val="22"/>
          <w:szCs w:val="22"/>
          <w:lang w:val="en-US"/>
        </w:rPr>
        <w:t>加盖投标人电子公章。</w:t>
      </w:r>
    </w:p>
    <w:p w14:paraId="223D28E7">
      <w:pPr>
        <w:spacing w:line="360" w:lineRule="auto"/>
        <w:ind w:firstLine="420" w:firstLineChars="200"/>
        <w:rPr>
          <w:rFonts w:hint="eastAsia" w:ascii="宋体" w:hAnsi="宋体" w:eastAsia="宋体" w:cs="宋体"/>
          <w:color w:val="auto"/>
          <w:sz w:val="21"/>
          <w:szCs w:val="21"/>
        </w:rPr>
      </w:pPr>
      <w:bookmarkStart w:id="139" w:name="▲资格审查文件内容："/>
      <w:bookmarkEnd w:id="139"/>
    </w:p>
    <w:p w14:paraId="341499D5">
      <w:pPr>
        <w:keepNext w:val="0"/>
        <w:keepLines w:val="0"/>
        <w:pageBreakBefore w:val="0"/>
        <w:widowControl w:val="0"/>
        <w:kinsoku/>
        <w:wordWrap w:val="0"/>
        <w:overflowPunct/>
        <w:topLinePunct w:val="0"/>
        <w:autoSpaceDE w:val="0"/>
        <w:autoSpaceDN w:val="0"/>
        <w:bidi w:val="0"/>
        <w:adjustRightInd/>
        <w:snapToGrid/>
        <w:spacing w:line="5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▲资格审查文件内容：</w:t>
      </w:r>
      <w:bookmarkStart w:id="140" w:name="（1）法定代表人资格证明书（附身份证复印件）"/>
      <w:bookmarkEnd w:id="140"/>
    </w:p>
    <w:p w14:paraId="35CB0151">
      <w:pPr>
        <w:pStyle w:val="12"/>
        <w:keepNext w:val="0"/>
        <w:keepLines w:val="0"/>
        <w:pageBreakBefore w:val="0"/>
        <w:widowControl w:val="0"/>
        <w:kinsoku/>
        <w:wordWrap w:val="0"/>
        <w:overflowPunct/>
        <w:topLinePunct w:val="0"/>
        <w:autoSpaceDE w:val="0"/>
        <w:autoSpaceDN w:val="0"/>
        <w:bidi w:val="0"/>
        <w:adjustRightInd/>
        <w:snapToGrid/>
        <w:spacing w:line="500" w:lineRule="exact"/>
        <w:ind w:left="480" w:leftChars="218"/>
        <w:textAlignment w:val="auto"/>
        <w:rPr>
          <w:rFonts w:hint="eastAsia" w:ascii="宋体" w:hAnsi="宋体" w:eastAsia="宋体" w:cs="宋体"/>
          <w:b/>
          <w:bCs/>
          <w:color w:val="auto"/>
          <w:sz w:val="22"/>
          <w:szCs w:val="22"/>
          <w:lang w:val="en-US"/>
        </w:rPr>
      </w:pPr>
      <w:bookmarkStart w:id="141" w:name="（2）法定代表人授权委托书（附身份证复印件）"/>
      <w:bookmarkEnd w:id="141"/>
      <w:r>
        <w:rPr>
          <w:rFonts w:hint="eastAsia" w:ascii="宋体" w:hAnsi="宋体" w:eastAsia="宋体" w:cs="宋体"/>
          <w:b/>
          <w:bCs/>
          <w:color w:val="auto"/>
          <w:sz w:val="22"/>
          <w:szCs w:val="22"/>
          <w:u w:val="single"/>
          <w:lang w:val="en-US"/>
        </w:rPr>
        <w:t>（1）营业执照（或事业单位法人证书或执业许可证或自然人有效身份证明）</w:t>
      </w:r>
    </w:p>
    <w:p w14:paraId="69795EE8">
      <w:pPr>
        <w:pStyle w:val="12"/>
        <w:keepNext w:val="0"/>
        <w:keepLines w:val="0"/>
        <w:pageBreakBefore w:val="0"/>
        <w:widowControl w:val="0"/>
        <w:kinsoku/>
        <w:wordWrap w:val="0"/>
        <w:overflowPunct/>
        <w:topLinePunct w:val="0"/>
        <w:autoSpaceDE w:val="0"/>
        <w:autoSpaceDN w:val="0"/>
        <w:bidi w:val="0"/>
        <w:adjustRightInd/>
        <w:snapToGrid/>
        <w:spacing w:line="500" w:lineRule="exact"/>
        <w:ind w:firstLine="442" w:firstLineChars="200"/>
        <w:textAlignment w:val="auto"/>
        <w:rPr>
          <w:rFonts w:hint="eastAsia" w:ascii="宋体" w:hAnsi="宋体" w:eastAsia="宋体" w:cs="宋体"/>
          <w:color w:val="auto"/>
          <w:sz w:val="22"/>
          <w:szCs w:val="22"/>
          <w:lang w:val="en-US"/>
        </w:rPr>
      </w:pPr>
      <w:r>
        <w:rPr>
          <w:rFonts w:hint="eastAsia" w:ascii="宋体" w:hAnsi="宋体" w:eastAsia="宋体" w:cs="宋体"/>
          <w:b/>
          <w:bCs/>
          <w:color w:val="auto"/>
          <w:sz w:val="22"/>
          <w:szCs w:val="22"/>
          <w:lang w:val="en-US"/>
        </w:rPr>
        <w:t>提示和说明：</w:t>
      </w:r>
      <w:r>
        <w:rPr>
          <w:rFonts w:hint="eastAsia" w:ascii="宋体" w:hAnsi="宋体" w:eastAsia="宋体" w:cs="宋体"/>
          <w:color w:val="auto"/>
          <w:sz w:val="22"/>
          <w:szCs w:val="22"/>
          <w:lang w:val="en-US"/>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68FA4477">
      <w:pPr>
        <w:pStyle w:val="12"/>
        <w:keepNext w:val="0"/>
        <w:keepLines w:val="0"/>
        <w:pageBreakBefore w:val="0"/>
        <w:widowControl w:val="0"/>
        <w:kinsoku/>
        <w:wordWrap w:val="0"/>
        <w:overflowPunct/>
        <w:topLinePunct w:val="0"/>
        <w:autoSpaceDE w:val="0"/>
        <w:autoSpaceDN w:val="0"/>
        <w:bidi w:val="0"/>
        <w:adjustRightInd/>
        <w:snapToGrid/>
        <w:spacing w:line="500" w:lineRule="exact"/>
        <w:ind w:firstLine="440" w:firstLineChars="200"/>
        <w:textAlignment w:val="auto"/>
        <w:rPr>
          <w:rFonts w:hint="eastAsia" w:ascii="宋体" w:hAnsi="宋体" w:eastAsia="宋体" w:cs="宋体"/>
          <w:color w:val="auto"/>
          <w:sz w:val="22"/>
          <w:szCs w:val="22"/>
          <w:lang w:val="en-US"/>
        </w:rPr>
      </w:pPr>
      <w:r>
        <w:rPr>
          <w:rFonts w:hint="eastAsia" w:ascii="宋体" w:hAnsi="宋体" w:eastAsia="宋体" w:cs="宋体"/>
          <w:b w:val="0"/>
          <w:bCs w:val="0"/>
          <w:color w:val="auto"/>
          <w:sz w:val="22"/>
          <w:szCs w:val="22"/>
          <w:lang w:val="en-US"/>
        </w:rPr>
        <w:t>b.金融、保险、通讯等特定行业的全国性企业所设立的区域性分支机构，以及个体工商户、个人独资企业、合伙企业参加本项目投标的，除提供供应商自身的营业执照外，</w:t>
      </w:r>
      <w:r>
        <w:rPr>
          <w:rFonts w:hint="eastAsia" w:ascii="宋体" w:hAnsi="宋体" w:eastAsia="宋体" w:cs="宋体"/>
          <w:b w:val="0"/>
          <w:bCs w:val="0"/>
          <w:color w:val="auto"/>
          <w:sz w:val="22"/>
          <w:szCs w:val="22"/>
          <w:u w:val="none"/>
          <w:lang w:val="en-US"/>
        </w:rPr>
        <w:t>还须提供总公司（总机构）授权书</w:t>
      </w:r>
      <w:r>
        <w:rPr>
          <w:rFonts w:hint="eastAsia" w:ascii="宋体" w:hAnsi="宋体" w:eastAsia="宋体" w:cs="宋体"/>
          <w:b w:val="0"/>
          <w:bCs w:val="0"/>
          <w:color w:val="auto"/>
          <w:sz w:val="22"/>
          <w:szCs w:val="22"/>
          <w:lang w:val="en-US"/>
        </w:rPr>
        <w:t>或房产权证或其他有效财产证明材料（提供复印件加盖投标供应商公章），以证明其具备实际承担责任的能力和法定的缔结合同能力。</w:t>
      </w:r>
    </w:p>
    <w:p w14:paraId="69F70A9E">
      <w:pPr>
        <w:pStyle w:val="12"/>
        <w:keepNext w:val="0"/>
        <w:keepLines w:val="0"/>
        <w:pageBreakBefore w:val="0"/>
        <w:widowControl w:val="0"/>
        <w:kinsoku/>
        <w:wordWrap w:val="0"/>
        <w:overflowPunct/>
        <w:topLinePunct w:val="0"/>
        <w:autoSpaceDE w:val="0"/>
        <w:autoSpaceDN w:val="0"/>
        <w:bidi w:val="0"/>
        <w:adjustRightInd/>
        <w:snapToGrid/>
        <w:spacing w:line="500" w:lineRule="exact"/>
        <w:ind w:firstLine="440" w:firstLineChars="200"/>
        <w:textAlignment w:val="auto"/>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（2）符合参加政府采购活动应当具备的一般条件的承诺函；</w:t>
      </w:r>
    </w:p>
    <w:p w14:paraId="42A1C705">
      <w:pPr>
        <w:pStyle w:val="12"/>
        <w:keepNext w:val="0"/>
        <w:keepLines w:val="0"/>
        <w:pageBreakBefore w:val="0"/>
        <w:widowControl w:val="0"/>
        <w:kinsoku/>
        <w:wordWrap w:val="0"/>
        <w:overflowPunct/>
        <w:topLinePunct w:val="0"/>
        <w:autoSpaceDE w:val="0"/>
        <w:autoSpaceDN w:val="0"/>
        <w:bidi w:val="0"/>
        <w:adjustRightInd/>
        <w:snapToGrid/>
        <w:spacing w:line="500" w:lineRule="exact"/>
        <w:ind w:firstLine="440" w:firstLineChars="200"/>
        <w:textAlignment w:val="auto"/>
        <w:rPr>
          <w:rFonts w:hint="default" w:ascii="宋体" w:hAnsi="宋体" w:eastAsia="宋体" w:cs="宋体"/>
          <w:color w:val="auto"/>
          <w:sz w:val="22"/>
          <w:szCs w:val="22"/>
          <w:lang w:val="en-US" w:eastAsia="zh-CN"/>
        </w:rPr>
      </w:pPr>
      <w:r>
        <w:rPr>
          <w:rFonts w:hint="eastAsia" w:cs="宋体"/>
          <w:color w:val="auto"/>
          <w:sz w:val="22"/>
          <w:szCs w:val="22"/>
          <w:lang w:val="en-US" w:eastAsia="zh-CN"/>
        </w:rPr>
        <w:t>（3）联合协议。（如果有）</w:t>
      </w:r>
    </w:p>
    <w:p w14:paraId="50B6953B">
      <w:pPr>
        <w:keepNext w:val="0"/>
        <w:keepLines w:val="0"/>
        <w:pageBreakBefore w:val="0"/>
        <w:widowControl w:val="0"/>
        <w:kinsoku/>
        <w:overflowPunct/>
        <w:topLinePunct w:val="0"/>
        <w:autoSpaceDE w:val="0"/>
        <w:autoSpaceDN w:val="0"/>
        <w:bidi w:val="0"/>
        <w:adjustRightInd/>
        <w:snapToGrid/>
        <w:spacing w:line="500" w:lineRule="exact"/>
        <w:ind w:firstLine="440" w:firstLineChars="200"/>
        <w:textAlignment w:val="auto"/>
        <w:rPr>
          <w:rFonts w:hint="eastAsia" w:ascii="宋体" w:hAnsi="宋体" w:eastAsia="宋体" w:cs="宋体"/>
          <w:b w:val="0"/>
          <w:bCs w:val="0"/>
          <w:color w:val="auto"/>
          <w:sz w:val="22"/>
          <w:szCs w:val="22"/>
          <w:lang w:val="en-US" w:eastAsia="zh-CN"/>
        </w:rPr>
      </w:pPr>
    </w:p>
    <w:p w14:paraId="478939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223ADED0">
      <w:pPr>
        <w:spacing w:line="360" w:lineRule="auto"/>
        <w:ind w:right="17"/>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）符合参加政府采购活动应当具备的一般条件的承诺函</w:t>
      </w:r>
    </w:p>
    <w:p w14:paraId="1EFD1FB7">
      <w:pPr>
        <w:pStyle w:val="3"/>
        <w:spacing w:line="360" w:lineRule="auto"/>
        <w:rPr>
          <w:rFonts w:hint="eastAsia" w:ascii="宋体" w:hAnsi="宋体" w:eastAsia="宋体" w:cs="宋体"/>
          <w:bCs/>
          <w:color w:val="auto"/>
          <w:sz w:val="24"/>
          <w:szCs w:val="24"/>
        </w:rPr>
      </w:pPr>
    </w:p>
    <w:p w14:paraId="0DB5C26F">
      <w:pPr>
        <w:snapToGrid w:val="0"/>
        <w:spacing w:line="360" w:lineRule="auto"/>
        <w:rPr>
          <w:rFonts w:cs="宋体"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lang w:val="en-US" w:eastAsia="zh-CN"/>
        </w:rPr>
        <w:t>苍南县民政局</w:t>
      </w:r>
      <w:r>
        <w:rPr>
          <w:rFonts w:hint="eastAsia" w:cs="仿宋_GB2312" w:asciiTheme="minorEastAsia" w:hAnsiTheme="minorEastAsia" w:eastAsiaTheme="minorEastAsia"/>
          <w:color w:val="auto"/>
          <w:sz w:val="22"/>
          <w:szCs w:val="21"/>
        </w:rPr>
        <w:t>、</w:t>
      </w:r>
      <w:r>
        <w:rPr>
          <w:rFonts w:hint="eastAsia" w:cs="仿宋_GB2312" w:asciiTheme="minorEastAsia" w:hAnsiTheme="minorEastAsia" w:eastAsiaTheme="minorEastAsia"/>
          <w:color w:val="auto"/>
          <w:sz w:val="22"/>
          <w:szCs w:val="21"/>
          <w:lang w:val="en-US" w:eastAsia="zh-CN"/>
        </w:rPr>
        <w:t>浙江天平投资咨询有限公司</w:t>
      </w:r>
      <w:r>
        <w:rPr>
          <w:rFonts w:hint="eastAsia" w:cs="宋体" w:asciiTheme="minorEastAsia" w:hAnsiTheme="minorEastAsia" w:eastAsiaTheme="minorEastAsia"/>
          <w:color w:val="auto"/>
          <w:sz w:val="22"/>
          <w:szCs w:val="21"/>
        </w:rPr>
        <w:t>：</w:t>
      </w:r>
    </w:p>
    <w:p w14:paraId="268A4701">
      <w:pPr>
        <w:snapToGrid w:val="0"/>
        <w:spacing w:line="360" w:lineRule="auto"/>
        <w:ind w:firstLine="440" w:firstLineChars="2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我方参与</w:t>
      </w:r>
      <w:r>
        <w:rPr>
          <w:rFonts w:hint="eastAsia" w:cs="宋体" w:asciiTheme="minorEastAsia" w:hAnsiTheme="minorEastAsia" w:eastAsiaTheme="minorEastAsia"/>
          <w:color w:val="auto"/>
          <w:sz w:val="22"/>
          <w:szCs w:val="21"/>
          <w:u w:val="single"/>
          <w:lang w:eastAsia="zh-CN"/>
        </w:rPr>
        <w:t>苍南县居家和社区基本养老服务提升行动项目</w:t>
      </w:r>
      <w:r>
        <w:rPr>
          <w:rFonts w:hint="eastAsia" w:cs="仿宋_GB2312" w:asciiTheme="minorEastAsia" w:hAnsiTheme="minorEastAsia" w:eastAsiaTheme="minorEastAsia"/>
          <w:color w:val="auto"/>
          <w:kern w:val="0"/>
          <w:sz w:val="22"/>
          <w:szCs w:val="21"/>
          <w:lang w:val="zh-CN"/>
        </w:rPr>
        <w:t>【项目编号：</w:t>
      </w:r>
      <w:r>
        <w:rPr>
          <w:rFonts w:hint="eastAsia" w:cs="仿宋_GB2312" w:asciiTheme="minorEastAsia" w:hAnsiTheme="minorEastAsia" w:eastAsiaTheme="minorEastAsia"/>
          <w:color w:val="auto"/>
          <w:kern w:val="0"/>
          <w:sz w:val="22"/>
          <w:szCs w:val="21"/>
          <w:u w:val="single"/>
          <w:lang w:val="en-US" w:eastAsia="zh-CN"/>
        </w:rPr>
        <w:t>CNDL2024207</w:t>
      </w:r>
      <w:r>
        <w:rPr>
          <w:rFonts w:hint="eastAsia" w:cs="仿宋_GB2312" w:asciiTheme="minorEastAsia" w:hAnsiTheme="minorEastAsia" w:eastAsiaTheme="minorEastAsia"/>
          <w:color w:val="auto"/>
          <w:kern w:val="0"/>
          <w:sz w:val="22"/>
          <w:szCs w:val="21"/>
          <w:lang w:val="zh-CN"/>
        </w:rPr>
        <w:t>】</w:t>
      </w:r>
      <w:r>
        <w:rPr>
          <w:rFonts w:hint="eastAsia" w:cs="宋体" w:asciiTheme="minorEastAsia" w:hAnsiTheme="minorEastAsia" w:eastAsiaTheme="minorEastAsia"/>
          <w:color w:val="auto"/>
          <w:sz w:val="22"/>
          <w:szCs w:val="21"/>
        </w:rPr>
        <w:t>政府采购活动，郑重承诺：</w:t>
      </w:r>
    </w:p>
    <w:p w14:paraId="3CBE3D2B">
      <w:pPr>
        <w:snapToGrid w:val="0"/>
        <w:spacing w:line="360" w:lineRule="auto"/>
        <w:ind w:firstLine="330" w:firstLineChars="15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（一）具备《中华人民共和国政府采购法》第二十二条第一款规定的条件：</w:t>
      </w:r>
    </w:p>
    <w:p w14:paraId="2C4ABF63">
      <w:pPr>
        <w:snapToGrid w:val="0"/>
        <w:spacing w:line="360" w:lineRule="auto"/>
        <w:ind w:firstLine="440" w:firstLineChars="2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1、具有独立承担民事责任的能力；</w:t>
      </w:r>
    </w:p>
    <w:p w14:paraId="06624D95">
      <w:pPr>
        <w:snapToGrid w:val="0"/>
        <w:spacing w:line="360" w:lineRule="auto"/>
        <w:ind w:firstLine="440" w:firstLineChars="2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 xml:space="preserve">2、具有良好的商业信誉和健全的财务会计制度； </w:t>
      </w:r>
    </w:p>
    <w:p w14:paraId="1B06C582">
      <w:pPr>
        <w:snapToGrid w:val="0"/>
        <w:spacing w:line="360" w:lineRule="auto"/>
        <w:ind w:firstLine="440" w:firstLineChars="2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3、具有履行合同所必需的设备和专业技术能力；</w:t>
      </w:r>
    </w:p>
    <w:p w14:paraId="7E28EFDB">
      <w:pPr>
        <w:snapToGrid w:val="0"/>
        <w:spacing w:line="360" w:lineRule="auto"/>
        <w:ind w:firstLine="440" w:firstLineChars="2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4、有依法缴纳税收和社会保障资金的良好记录；</w:t>
      </w:r>
    </w:p>
    <w:p w14:paraId="351200D8">
      <w:pPr>
        <w:snapToGrid w:val="0"/>
        <w:spacing w:line="360" w:lineRule="auto"/>
        <w:ind w:firstLine="440" w:firstLineChars="2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5、参加政府采购活动前三年内，在经营活动中没有重大违法记录；</w:t>
      </w:r>
    </w:p>
    <w:p w14:paraId="7192329F">
      <w:pPr>
        <w:snapToGrid w:val="0"/>
        <w:spacing w:line="360" w:lineRule="auto"/>
        <w:ind w:firstLine="440" w:firstLineChars="2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6、具有法律、行政法规规定的其他条件。</w:t>
      </w:r>
    </w:p>
    <w:p w14:paraId="54B27766">
      <w:pPr>
        <w:snapToGrid w:val="0"/>
        <w:spacing w:line="360" w:lineRule="auto"/>
        <w:ind w:firstLine="440" w:firstLineChars="2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（二）未被信用中国（www.creditchina.gov.cn)、中国政府采购网（www.ccgp.gov.cn）列入失信被执行人、重大税收违法案件当事人名单、政府采购严重违法失信行为记录名单。</w:t>
      </w:r>
    </w:p>
    <w:p w14:paraId="2A4C07A2">
      <w:pPr>
        <w:snapToGrid w:val="0"/>
        <w:spacing w:line="360" w:lineRule="auto"/>
        <w:ind w:firstLine="440" w:firstLineChars="2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（三）不存在以下情况：</w:t>
      </w:r>
    </w:p>
    <w:p w14:paraId="3B331666">
      <w:pPr>
        <w:snapToGrid w:val="0"/>
        <w:spacing w:line="360" w:lineRule="auto"/>
        <w:ind w:firstLine="440" w:firstLineChars="2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1、单位负责人为同一人或者存在直接控股、管理关系的不同供应商参加同一合同项下的政府采购活动的；</w:t>
      </w:r>
    </w:p>
    <w:p w14:paraId="153DF8E6">
      <w:pPr>
        <w:snapToGrid w:val="0"/>
        <w:spacing w:line="360" w:lineRule="auto"/>
        <w:ind w:firstLine="440" w:firstLineChars="2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2、为采购项目提供整体设计、规范编制或者项目管理、监理、检测等服务后再参加该采购项目的其他采购活动的。</w:t>
      </w:r>
    </w:p>
    <w:p w14:paraId="20F8318A">
      <w:pPr>
        <w:snapToGrid w:val="0"/>
        <w:spacing w:line="360" w:lineRule="auto"/>
        <w:ind w:firstLine="5060" w:firstLineChars="2300"/>
        <w:rPr>
          <w:rFonts w:hint="eastAsia" w:cs="宋体" w:asciiTheme="minorEastAsia" w:hAnsiTheme="minorEastAsia" w:eastAsiaTheme="minorEastAsia"/>
          <w:color w:val="auto"/>
          <w:kern w:val="0"/>
          <w:sz w:val="22"/>
          <w:szCs w:val="21"/>
          <w:lang w:val="zh-CN"/>
        </w:rPr>
      </w:pPr>
    </w:p>
    <w:p w14:paraId="4C0F7ED4">
      <w:pPr>
        <w:snapToGrid w:val="0"/>
        <w:spacing w:line="360" w:lineRule="auto"/>
        <w:ind w:firstLine="5060" w:firstLineChars="2300"/>
        <w:rPr>
          <w:rFonts w:hint="eastAsia" w:cs="宋体" w:asciiTheme="minorEastAsia" w:hAnsiTheme="minorEastAsia" w:eastAsiaTheme="minorEastAsia"/>
          <w:color w:val="auto"/>
          <w:kern w:val="0"/>
          <w:sz w:val="22"/>
          <w:szCs w:val="21"/>
          <w:lang w:val="zh-CN"/>
        </w:rPr>
      </w:pPr>
      <w:r>
        <w:rPr>
          <w:rFonts w:hint="eastAsia" w:cs="宋体" w:asciiTheme="minorEastAsia" w:hAnsiTheme="minorEastAsia" w:eastAsiaTheme="minorEastAsia"/>
          <w:color w:val="auto"/>
          <w:kern w:val="0"/>
          <w:sz w:val="22"/>
          <w:szCs w:val="21"/>
          <w:lang w:val="zh-CN"/>
        </w:rPr>
        <w:t>投标人名称(电子签名</w:t>
      </w:r>
      <w:r>
        <w:rPr>
          <w:rFonts w:hint="eastAsia" w:ascii="宋体" w:hAnsi="宋体" w:eastAsia="宋体" w:cs="宋体"/>
          <w:color w:val="auto"/>
          <w:kern w:val="0"/>
          <w:sz w:val="22"/>
          <w:szCs w:val="22"/>
          <w:lang w:val="zh-CN"/>
        </w:rPr>
        <w:t>/公章</w:t>
      </w:r>
      <w:r>
        <w:rPr>
          <w:rFonts w:hint="eastAsia" w:cs="宋体" w:asciiTheme="minorEastAsia" w:hAnsiTheme="minorEastAsia" w:eastAsiaTheme="minorEastAsia"/>
          <w:color w:val="auto"/>
          <w:kern w:val="0"/>
          <w:sz w:val="22"/>
          <w:szCs w:val="21"/>
          <w:lang w:val="zh-CN"/>
        </w:rPr>
        <w:t>)：</w:t>
      </w:r>
    </w:p>
    <w:p w14:paraId="65D28888">
      <w:pPr>
        <w:snapToGrid w:val="0"/>
        <w:spacing w:line="360" w:lineRule="auto"/>
        <w:ind w:firstLine="5060" w:firstLineChars="2300"/>
        <w:rPr>
          <w:rFonts w:cs="宋体" w:asciiTheme="minorEastAsia" w:hAnsiTheme="minorEastAsia" w:eastAsiaTheme="minorEastAsia"/>
          <w:color w:val="auto"/>
          <w:kern w:val="0"/>
          <w:sz w:val="22"/>
          <w:szCs w:val="21"/>
        </w:rPr>
      </w:pPr>
      <w:r>
        <w:rPr>
          <w:rFonts w:hint="eastAsia" w:cs="宋体" w:asciiTheme="minorEastAsia" w:hAnsiTheme="minorEastAsia" w:eastAsiaTheme="minorEastAsia"/>
          <w:color w:val="auto"/>
          <w:kern w:val="0"/>
          <w:sz w:val="22"/>
          <w:szCs w:val="21"/>
          <w:lang w:val="zh-CN"/>
        </w:rPr>
        <w:t>日期</w:t>
      </w:r>
      <w:r>
        <w:rPr>
          <w:rFonts w:hint="eastAsia" w:cs="宋体" w:asciiTheme="minorEastAsia" w:hAnsiTheme="minorEastAsia" w:eastAsiaTheme="minorEastAsia"/>
          <w:color w:val="auto"/>
          <w:kern w:val="0"/>
          <w:sz w:val="22"/>
          <w:szCs w:val="21"/>
        </w:rPr>
        <w:t xml:space="preserve">：  年  </w:t>
      </w:r>
      <w:r>
        <w:rPr>
          <w:rFonts w:hint="eastAsia" w:cs="宋体" w:asciiTheme="minorEastAsia" w:hAnsiTheme="minorEastAsia" w:eastAsiaTheme="minorEastAsia"/>
          <w:color w:val="auto"/>
          <w:kern w:val="0"/>
          <w:sz w:val="22"/>
          <w:szCs w:val="21"/>
          <w:lang w:val="zh-CN"/>
        </w:rPr>
        <w:t>月</w:t>
      </w:r>
      <w:r>
        <w:rPr>
          <w:rFonts w:hint="eastAsia" w:cs="宋体" w:asciiTheme="minorEastAsia" w:hAnsiTheme="minorEastAsia" w:eastAsiaTheme="minorEastAsia"/>
          <w:color w:val="auto"/>
          <w:kern w:val="0"/>
          <w:sz w:val="22"/>
          <w:szCs w:val="21"/>
        </w:rPr>
        <w:t xml:space="preserve">   </w:t>
      </w:r>
      <w:r>
        <w:rPr>
          <w:rFonts w:hint="eastAsia" w:cs="宋体" w:asciiTheme="minorEastAsia" w:hAnsiTheme="minorEastAsia" w:eastAsiaTheme="minorEastAsia"/>
          <w:color w:val="auto"/>
          <w:kern w:val="0"/>
          <w:sz w:val="22"/>
          <w:szCs w:val="21"/>
          <w:lang w:val="zh-CN"/>
        </w:rPr>
        <w:t>日</w:t>
      </w:r>
    </w:p>
    <w:p w14:paraId="499BE00B">
      <w:pPr>
        <w:rPr>
          <w:rFonts w:hint="default" w:ascii="宋体" w:hAnsi="宋体" w:eastAsia="宋体" w:cs="宋体"/>
          <w:bCs/>
          <w:color w:val="auto"/>
          <w:sz w:val="24"/>
          <w:szCs w:val="24"/>
          <w:lang w:val="en-US" w:eastAsia="zh-CN"/>
        </w:rPr>
      </w:pPr>
    </w:p>
    <w:p w14:paraId="0D6940DE">
      <w:pPr>
        <w:ind w:firstLine="5880" w:firstLineChars="2100"/>
        <w:rPr>
          <w:rFonts w:hint="eastAsia" w:ascii="宋体" w:hAnsi="宋体" w:eastAsia="宋体" w:cs="宋体"/>
          <w:color w:val="auto"/>
          <w:sz w:val="28"/>
          <w:szCs w:val="28"/>
        </w:rPr>
      </w:pPr>
    </w:p>
    <w:p w14:paraId="3DC04575">
      <w:pPr>
        <w:spacing w:line="360" w:lineRule="auto"/>
        <w:ind w:right="17"/>
        <w:jc w:val="center"/>
        <w:rPr>
          <w:rFonts w:hint="eastAsia" w:ascii="宋体" w:hAnsi="宋体" w:eastAsia="宋体" w:cs="宋体"/>
          <w:b/>
          <w:bCs/>
          <w:color w:val="auto"/>
          <w:sz w:val="28"/>
          <w:szCs w:val="28"/>
        </w:rPr>
      </w:pPr>
    </w:p>
    <w:p w14:paraId="4E0BDCAD">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7A3E56D5">
      <w:pPr>
        <w:spacing w:line="360" w:lineRule="auto"/>
        <w:ind w:right="17"/>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rPr>
        <w:t>3</w:t>
      </w:r>
      <w:r>
        <w:rPr>
          <w:rFonts w:hint="eastAsia" w:ascii="宋体" w:hAnsi="宋体" w:eastAsia="宋体" w:cs="宋体"/>
          <w:b/>
          <w:bCs/>
          <w:color w:val="auto"/>
          <w:sz w:val="28"/>
          <w:szCs w:val="28"/>
        </w:rPr>
        <w:t>）</w:t>
      </w:r>
      <w:r>
        <w:rPr>
          <w:rFonts w:hint="eastAsia" w:cs="宋体"/>
          <w:b/>
          <w:bCs/>
          <w:color w:val="auto"/>
          <w:sz w:val="28"/>
          <w:szCs w:val="28"/>
          <w:lang w:val="en-US" w:eastAsia="zh-CN"/>
        </w:rPr>
        <w:t>联合协议</w:t>
      </w:r>
    </w:p>
    <w:p w14:paraId="20C750B5">
      <w:pPr>
        <w:widowControl/>
        <w:spacing w:line="360" w:lineRule="auto"/>
        <w:jc w:val="center"/>
        <w:rPr>
          <w:rFonts w:hint="eastAsia" w:ascii="宋体" w:hAnsi="宋体" w:eastAsia="宋体" w:cs="宋体"/>
          <w:b/>
          <w:color w:val="auto"/>
          <w:sz w:val="22"/>
          <w:szCs w:val="22"/>
        </w:rPr>
      </w:pPr>
      <w:r>
        <w:rPr>
          <w:rFonts w:hint="eastAsia" w:ascii="宋体" w:hAnsi="宋体" w:cs="宋体"/>
          <w:b/>
          <w:color w:val="auto"/>
          <w:sz w:val="24"/>
        </w:rPr>
        <w:t>（如果组成联合体参加投标，联合体组成单位不得超过3家。以联合体形式投标的，提供联合协议；本项目投标人不以联合体形式投标的，则不</w:t>
      </w:r>
      <w:r>
        <w:rPr>
          <w:rFonts w:hint="eastAsia" w:ascii="宋体" w:hAnsi="宋体" w:eastAsia="宋体" w:cs="宋体"/>
          <w:b/>
          <w:color w:val="auto"/>
          <w:sz w:val="24"/>
        </w:rPr>
        <w:t>需要提供）</w:t>
      </w:r>
    </w:p>
    <w:p w14:paraId="1F833CE5">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u w:val="single"/>
        </w:rPr>
        <w:t>（联合体所有成员名称）</w:t>
      </w:r>
      <w:r>
        <w:rPr>
          <w:rFonts w:hint="eastAsia" w:ascii="宋体" w:hAnsi="宋体" w:eastAsia="宋体" w:cs="宋体"/>
          <w:color w:val="auto"/>
          <w:kern w:val="0"/>
          <w:sz w:val="22"/>
          <w:szCs w:val="22"/>
        </w:rPr>
        <w:t>自愿</w:t>
      </w:r>
      <w:r>
        <w:rPr>
          <w:rFonts w:hint="eastAsia" w:ascii="宋体" w:hAnsi="宋体" w:eastAsia="宋体" w:cs="宋体"/>
          <w:color w:val="auto"/>
          <w:kern w:val="0"/>
          <w:sz w:val="22"/>
          <w:szCs w:val="22"/>
          <w:lang w:val="zh-CN"/>
        </w:rPr>
        <w:t>组成一个联合体，以一个投标人的身份</w:t>
      </w:r>
      <w:r>
        <w:rPr>
          <w:rFonts w:hint="eastAsia" w:ascii="宋体" w:hAnsi="宋体" w:eastAsia="宋体" w:cs="宋体"/>
          <w:color w:val="auto"/>
          <w:kern w:val="0"/>
          <w:sz w:val="22"/>
          <w:szCs w:val="22"/>
        </w:rPr>
        <w:t>参加</w:t>
      </w:r>
      <w:r>
        <w:rPr>
          <w:rFonts w:hint="eastAsia" w:ascii="宋体" w:hAnsi="宋体" w:eastAsia="宋体" w:cs="宋体"/>
          <w:color w:val="auto"/>
          <w:sz w:val="22"/>
          <w:szCs w:val="22"/>
          <w:u w:val="single"/>
          <w:lang w:eastAsia="zh-CN"/>
        </w:rPr>
        <w:t>苍南县居家和社区基本养老服务提升行动项目</w:t>
      </w:r>
      <w:r>
        <w:rPr>
          <w:rFonts w:hint="eastAsia" w:ascii="宋体" w:hAnsi="宋体" w:eastAsia="宋体" w:cs="宋体"/>
          <w:color w:val="auto"/>
          <w:sz w:val="22"/>
          <w:szCs w:val="22"/>
        </w:rPr>
        <w:t>【招标编号：</w:t>
      </w:r>
      <w:r>
        <w:rPr>
          <w:rFonts w:hint="eastAsia" w:cs="仿宋_GB2312" w:asciiTheme="minorEastAsia" w:hAnsiTheme="minorEastAsia" w:eastAsiaTheme="minorEastAsia"/>
          <w:color w:val="auto"/>
          <w:kern w:val="0"/>
          <w:sz w:val="22"/>
          <w:szCs w:val="21"/>
          <w:u w:val="single"/>
          <w:lang w:val="en-US" w:eastAsia="zh-CN"/>
        </w:rPr>
        <w:t>CNDL2024207</w:t>
      </w:r>
      <w:r>
        <w:rPr>
          <w:rFonts w:hint="eastAsia" w:ascii="宋体" w:hAnsi="宋体" w:eastAsia="宋体" w:cs="宋体"/>
          <w:color w:val="auto"/>
          <w:sz w:val="22"/>
          <w:szCs w:val="22"/>
        </w:rPr>
        <w:t>】</w:t>
      </w:r>
      <w:r>
        <w:rPr>
          <w:rFonts w:hint="eastAsia" w:ascii="宋体" w:hAnsi="宋体" w:eastAsia="宋体" w:cs="宋体"/>
          <w:color w:val="auto"/>
          <w:kern w:val="0"/>
          <w:sz w:val="22"/>
          <w:szCs w:val="22"/>
          <w:lang w:val="zh-CN"/>
        </w:rPr>
        <w:t>投标。</w:t>
      </w:r>
    </w:p>
    <w:p w14:paraId="7151152B">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一、各方一致决定，</w:t>
      </w:r>
      <w:r>
        <w:rPr>
          <w:rFonts w:hint="eastAsia" w:ascii="宋体" w:hAnsi="宋体" w:eastAsia="宋体" w:cs="宋体"/>
          <w:color w:val="auto"/>
          <w:kern w:val="0"/>
          <w:sz w:val="22"/>
          <w:szCs w:val="22"/>
          <w:u w:val="single"/>
        </w:rPr>
        <w:t>（某联合体成员名称）</w:t>
      </w:r>
      <w:r>
        <w:rPr>
          <w:rFonts w:hint="eastAsia" w:ascii="宋体" w:hAnsi="宋体" w:eastAsia="宋体" w:cs="宋体"/>
          <w:color w:val="auto"/>
          <w:kern w:val="0"/>
          <w:sz w:val="22"/>
          <w:szCs w:val="22"/>
        </w:rPr>
        <w:t>为联合体</w:t>
      </w:r>
      <w:r>
        <w:rPr>
          <w:rFonts w:hint="eastAsia" w:ascii="宋体" w:hAnsi="宋体" w:eastAsia="宋体" w:cs="宋体"/>
          <w:color w:val="auto"/>
          <w:kern w:val="0"/>
          <w:sz w:val="22"/>
          <w:szCs w:val="22"/>
          <w:lang w:val="zh-CN"/>
        </w:rPr>
        <w:t>牵头人</w:t>
      </w:r>
      <w:r>
        <w:rPr>
          <w:rFonts w:hint="eastAsia" w:ascii="宋体" w:hAnsi="宋体" w:eastAsia="宋体" w:cs="宋体"/>
          <w:color w:val="auto"/>
          <w:sz w:val="22"/>
          <w:szCs w:val="22"/>
        </w:rPr>
        <w:t>，代表所有联合体成员负责投标和合同实施阶段的主办、协调工作</w:t>
      </w:r>
      <w:r>
        <w:rPr>
          <w:rFonts w:hint="eastAsia" w:ascii="宋体" w:hAnsi="宋体" w:eastAsia="宋体" w:cs="宋体"/>
          <w:color w:val="auto"/>
          <w:kern w:val="0"/>
          <w:sz w:val="22"/>
          <w:szCs w:val="22"/>
          <w:lang w:val="zh-CN"/>
        </w:rPr>
        <w:t>。</w:t>
      </w:r>
    </w:p>
    <w:p w14:paraId="71E13651">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二、</w:t>
      </w:r>
      <w:r>
        <w:rPr>
          <w:rFonts w:hint="eastAsia" w:ascii="宋体" w:hAnsi="宋体" w:eastAsia="宋体" w:cs="宋体"/>
          <w:color w:val="auto"/>
          <w:sz w:val="22"/>
          <w:szCs w:val="22"/>
        </w:rPr>
        <w:t>所有联合体成员各方签署授权书，授权书载明的</w:t>
      </w:r>
      <w:r>
        <w:rPr>
          <w:rFonts w:hint="eastAsia" w:ascii="宋体" w:hAnsi="宋体" w:eastAsia="宋体" w:cs="宋体"/>
          <w:color w:val="auto"/>
          <w:kern w:val="0"/>
          <w:sz w:val="22"/>
          <w:szCs w:val="22"/>
          <w:lang w:val="zh-CN"/>
        </w:rPr>
        <w:t>授权代表根据招标文件规定及投标内容而对采购人、采购代理机构所作的任何合法承诺，包括书面澄清及相应等均对联合投标各方产生约束力。</w:t>
      </w:r>
    </w:p>
    <w:p w14:paraId="7562ED4E">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三、本次联合投标中，分工如下：</w:t>
      </w:r>
    </w:p>
    <w:p w14:paraId="5781E4BF">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u w:val="single"/>
        </w:rPr>
        <w:t>（联合体成员1）</w:t>
      </w:r>
      <w:r>
        <w:rPr>
          <w:rFonts w:hint="eastAsia" w:ascii="宋体" w:hAnsi="宋体" w:eastAsia="宋体" w:cs="宋体"/>
          <w:color w:val="auto"/>
          <w:kern w:val="0"/>
          <w:sz w:val="22"/>
          <w:szCs w:val="22"/>
          <w:lang w:val="zh-CN"/>
        </w:rPr>
        <w:t>承担的工作和义务为：</w:t>
      </w:r>
      <w:r>
        <w:rPr>
          <w:rFonts w:hint="eastAsia" w:ascii="宋体" w:hAnsi="宋体" w:eastAsia="宋体" w:cs="宋体"/>
          <w:color w:val="auto"/>
          <w:sz w:val="22"/>
          <w:szCs w:val="22"/>
          <w:u w:val="single"/>
        </w:rPr>
        <w:t xml:space="preserve">             </w:t>
      </w:r>
      <w:r>
        <w:rPr>
          <w:rFonts w:hint="eastAsia" w:ascii="宋体" w:hAnsi="宋体" w:eastAsia="宋体" w:cs="宋体"/>
          <w:color w:val="auto"/>
          <w:kern w:val="0"/>
          <w:sz w:val="22"/>
          <w:szCs w:val="22"/>
          <w:lang w:val="zh-CN"/>
        </w:rPr>
        <w:t>；</w:t>
      </w:r>
    </w:p>
    <w:p w14:paraId="584679AA">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u w:val="single"/>
        </w:rPr>
        <w:t>（联合体成员2）</w:t>
      </w:r>
      <w:r>
        <w:rPr>
          <w:rFonts w:hint="eastAsia" w:ascii="宋体" w:hAnsi="宋体" w:eastAsia="宋体" w:cs="宋体"/>
          <w:color w:val="auto"/>
          <w:kern w:val="0"/>
          <w:sz w:val="22"/>
          <w:szCs w:val="22"/>
          <w:lang w:val="zh-CN"/>
        </w:rPr>
        <w:t>承担的工作和义务为：</w:t>
      </w:r>
      <w:r>
        <w:rPr>
          <w:rFonts w:hint="eastAsia" w:ascii="宋体" w:hAnsi="宋体" w:eastAsia="宋体" w:cs="宋体"/>
          <w:color w:val="auto"/>
          <w:sz w:val="22"/>
          <w:szCs w:val="22"/>
          <w:u w:val="single"/>
        </w:rPr>
        <w:t xml:space="preserve">             </w:t>
      </w:r>
      <w:r>
        <w:rPr>
          <w:rFonts w:hint="eastAsia" w:ascii="宋体" w:hAnsi="宋体" w:eastAsia="宋体" w:cs="宋体"/>
          <w:color w:val="auto"/>
          <w:kern w:val="0"/>
          <w:sz w:val="22"/>
          <w:szCs w:val="22"/>
          <w:lang w:val="zh-CN"/>
        </w:rPr>
        <w:t>；</w:t>
      </w:r>
    </w:p>
    <w:p w14:paraId="261C9EC7">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w:t>
      </w:r>
    </w:p>
    <w:p w14:paraId="3255A652">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四、联合体成员中小企业合同份额。</w:t>
      </w:r>
    </w:p>
    <w:p w14:paraId="79D3C026">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b/>
          <w:color w:val="auto"/>
          <w:kern w:val="0"/>
          <w:sz w:val="22"/>
          <w:szCs w:val="22"/>
          <w:lang w:val="zh-CN"/>
        </w:rPr>
      </w:pPr>
      <w:r>
        <w:rPr>
          <w:rFonts w:hint="eastAsia" w:ascii="宋体" w:hAnsi="宋体" w:eastAsia="宋体" w:cs="宋体"/>
          <w:color w:val="auto"/>
          <w:kern w:val="0"/>
          <w:sz w:val="22"/>
          <w:szCs w:val="22"/>
          <w:lang w:val="zh-CN"/>
        </w:rPr>
        <w:t>1、</w:t>
      </w:r>
      <w:r>
        <w:rPr>
          <w:rFonts w:hint="eastAsia" w:ascii="宋体" w:hAnsi="宋体" w:eastAsia="宋体" w:cs="宋体"/>
          <w:color w:val="auto"/>
          <w:kern w:val="0"/>
          <w:sz w:val="22"/>
          <w:szCs w:val="22"/>
          <w:u w:val="single"/>
        </w:rPr>
        <w:t>（</w:t>
      </w:r>
      <w:bookmarkStart w:id="142" w:name="_Hlk101131882"/>
      <w:r>
        <w:rPr>
          <w:rFonts w:hint="eastAsia" w:ascii="宋体" w:hAnsi="宋体" w:eastAsia="宋体" w:cs="宋体"/>
          <w:color w:val="auto"/>
          <w:kern w:val="0"/>
          <w:sz w:val="22"/>
          <w:szCs w:val="22"/>
          <w:u w:val="single"/>
        </w:rPr>
        <w:t>联合体成员X,……</w:t>
      </w:r>
      <w:bookmarkEnd w:id="142"/>
      <w:r>
        <w:rPr>
          <w:rFonts w:hint="eastAsia" w:ascii="宋体" w:hAnsi="宋体" w:eastAsia="宋体" w:cs="宋体"/>
          <w:color w:val="auto"/>
          <w:kern w:val="0"/>
          <w:sz w:val="22"/>
          <w:szCs w:val="22"/>
          <w:u w:val="single"/>
        </w:rPr>
        <w:t>）</w:t>
      </w:r>
      <w:r>
        <w:rPr>
          <w:rFonts w:hint="eastAsia" w:ascii="宋体" w:hAnsi="宋体" w:eastAsia="宋体" w:cs="宋体"/>
          <w:color w:val="auto"/>
          <w:kern w:val="0"/>
          <w:sz w:val="22"/>
          <w:szCs w:val="22"/>
        </w:rPr>
        <w:t>提供的服务由小微企业承接，其合同份额占到合同总金额</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%以上</w:t>
      </w:r>
      <w:r>
        <w:rPr>
          <w:rFonts w:hint="eastAsia" w:ascii="宋体" w:hAnsi="宋体" w:eastAsia="宋体" w:cs="宋体"/>
          <w:color w:val="auto"/>
          <w:kern w:val="0"/>
          <w:sz w:val="22"/>
          <w:szCs w:val="22"/>
          <w:lang w:val="zh-CN"/>
        </w:rPr>
        <w:t>。</w:t>
      </w:r>
      <w:r>
        <w:rPr>
          <w:rFonts w:hint="eastAsia" w:ascii="宋体" w:hAnsi="宋体" w:eastAsia="宋体" w:cs="宋体"/>
          <w:b/>
          <w:color w:val="auto"/>
          <w:kern w:val="0"/>
          <w:sz w:val="22"/>
          <w:szCs w:val="22"/>
          <w:lang w:val="zh-CN"/>
        </w:rPr>
        <w:t>（</w:t>
      </w:r>
      <w:bookmarkStart w:id="143" w:name="_Hlk101133598"/>
      <w:r>
        <w:rPr>
          <w:rFonts w:hint="eastAsia" w:ascii="宋体" w:hAnsi="宋体" w:eastAsia="宋体" w:cs="宋体"/>
          <w:b/>
          <w:color w:val="auto"/>
          <w:kern w:val="0"/>
          <w:sz w:val="22"/>
          <w:szCs w:val="22"/>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2"/>
          <w:szCs w:val="22"/>
        </w:rPr>
        <w:t>拟享受以上价格扣除政策的，填写有关内容。</w:t>
      </w:r>
      <w:bookmarkEnd w:id="143"/>
      <w:r>
        <w:rPr>
          <w:rFonts w:hint="eastAsia" w:ascii="宋体" w:hAnsi="宋体" w:eastAsia="宋体" w:cs="宋体"/>
          <w:b/>
          <w:color w:val="auto"/>
          <w:kern w:val="0"/>
          <w:sz w:val="22"/>
          <w:szCs w:val="22"/>
          <w:lang w:val="zh-CN"/>
        </w:rPr>
        <w:t>）</w:t>
      </w:r>
    </w:p>
    <w:p w14:paraId="1AD82CA6">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五、如果中标，</w:t>
      </w:r>
      <w:r>
        <w:rPr>
          <w:rFonts w:hint="eastAsia" w:ascii="宋体" w:hAnsi="宋体" w:eastAsia="宋体" w:cs="宋体"/>
          <w:color w:val="auto"/>
          <w:sz w:val="22"/>
          <w:szCs w:val="22"/>
        </w:rPr>
        <w:t>联合体各成员方共同与采购人签订合同，并就采购合同约定的事项对采购人承担连带责任。</w:t>
      </w:r>
    </w:p>
    <w:p w14:paraId="5C58D57C">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六、有关本次联合投标的其他事宜：</w:t>
      </w:r>
    </w:p>
    <w:p w14:paraId="5B9476E4">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1、联合体各方不再单独参加或者与其他供应商另外组成联合体参加同一合同项下的政府采购活动。</w:t>
      </w:r>
    </w:p>
    <w:p w14:paraId="50ED6D04">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2、联合体中有同类资质的各方按照联合体分工承担相同工作的，按照资质等级较低的供应商确定资质等级。</w:t>
      </w:r>
    </w:p>
    <w:p w14:paraId="0D2EB1BE">
      <w:pPr>
        <w:keepNext w:val="0"/>
        <w:keepLines w:val="0"/>
        <w:pageBreakBefore w:val="0"/>
        <w:widowControl w:val="0"/>
        <w:kinsoku/>
        <w:wordWrap/>
        <w:overflowPunct/>
        <w:topLinePunct w:val="0"/>
        <w:autoSpaceDE w:val="0"/>
        <w:autoSpaceDN w:val="0"/>
        <w:bidi w:val="0"/>
        <w:adjustRightInd/>
        <w:snapToGrid w:val="0"/>
        <w:spacing w:line="400" w:lineRule="exact"/>
        <w:ind w:firstLine="576"/>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3、本协议提交采购人、采购代理机构后，联合体各方不得以任何形式对上述内容进行修改或撤销。</w:t>
      </w:r>
    </w:p>
    <w:p w14:paraId="1375719C">
      <w:pPr>
        <w:keepNext w:val="0"/>
        <w:keepLines w:val="0"/>
        <w:pageBreakBefore w:val="0"/>
        <w:widowControl w:val="0"/>
        <w:kinsoku/>
        <w:wordWrap/>
        <w:overflowPunct/>
        <w:topLinePunct w:val="0"/>
        <w:autoSpaceDE w:val="0"/>
        <w:autoSpaceDN w:val="0"/>
        <w:bidi w:val="0"/>
        <w:adjustRightInd/>
        <w:snapToGrid w:val="0"/>
        <w:spacing w:line="400" w:lineRule="exact"/>
        <w:ind w:firstLine="4620" w:firstLineChars="2100"/>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联合体成员名称(电子签名/公章)：</w:t>
      </w:r>
    </w:p>
    <w:p w14:paraId="4FE08817">
      <w:pPr>
        <w:keepNext w:val="0"/>
        <w:keepLines w:val="0"/>
        <w:pageBreakBefore w:val="0"/>
        <w:widowControl w:val="0"/>
        <w:kinsoku/>
        <w:wordWrap/>
        <w:overflowPunct/>
        <w:topLinePunct w:val="0"/>
        <w:autoSpaceDE w:val="0"/>
        <w:autoSpaceDN w:val="0"/>
        <w:bidi w:val="0"/>
        <w:adjustRightInd/>
        <w:snapToGrid w:val="0"/>
        <w:spacing w:line="400" w:lineRule="exact"/>
        <w:ind w:firstLine="4620" w:firstLineChars="2100"/>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联合体成员名称(电子签名/公章)：</w:t>
      </w:r>
    </w:p>
    <w:p w14:paraId="0AA8C6FC">
      <w:pPr>
        <w:keepNext w:val="0"/>
        <w:keepLines w:val="0"/>
        <w:pageBreakBefore w:val="0"/>
        <w:widowControl w:val="0"/>
        <w:kinsoku/>
        <w:wordWrap/>
        <w:overflowPunct/>
        <w:topLinePunct w:val="0"/>
        <w:autoSpaceDE w:val="0"/>
        <w:autoSpaceDN w:val="0"/>
        <w:bidi w:val="0"/>
        <w:adjustRightInd/>
        <w:snapToGrid w:val="0"/>
        <w:spacing w:line="400" w:lineRule="exact"/>
        <w:ind w:right="960"/>
        <w:jc w:val="center"/>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 xml:space="preserve">                   ……</w:t>
      </w:r>
    </w:p>
    <w:p w14:paraId="7A930E6E">
      <w:pPr>
        <w:keepNext w:val="0"/>
        <w:keepLines w:val="0"/>
        <w:pageBreakBefore w:val="0"/>
        <w:widowControl w:val="0"/>
        <w:kinsoku/>
        <w:wordWrap/>
        <w:overflowPunct/>
        <w:topLinePunct w:val="0"/>
        <w:autoSpaceDE w:val="0"/>
        <w:autoSpaceDN w:val="0"/>
        <w:bidi w:val="0"/>
        <w:adjustRightInd/>
        <w:snapToGrid w:val="0"/>
        <w:spacing w:line="400" w:lineRule="exact"/>
        <w:jc w:val="right"/>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日期：  年  月   日</w:t>
      </w:r>
    </w:p>
    <w:p w14:paraId="1F589C9F">
      <w:pPr>
        <w:keepNext w:val="0"/>
        <w:keepLines w:val="0"/>
        <w:pageBreakBefore w:val="0"/>
        <w:widowControl w:val="0"/>
        <w:kinsoku/>
        <w:wordWrap/>
        <w:overflowPunct/>
        <w:topLinePunct w:val="0"/>
        <w:autoSpaceDE w:val="0"/>
        <w:autoSpaceDN w:val="0"/>
        <w:bidi w:val="0"/>
        <w:adjustRightInd/>
        <w:spacing w:line="400" w:lineRule="exact"/>
        <w:ind w:right="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注：按本格式和要求提供。</w:t>
      </w:r>
    </w:p>
    <w:p w14:paraId="2364D526">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264BFA32">
      <w:pPr>
        <w:rPr>
          <w:rFonts w:hint="eastAsia" w:ascii="宋体" w:hAnsi="宋体" w:eastAsia="宋体" w:cs="宋体"/>
          <w:color w:val="auto"/>
          <w:sz w:val="24"/>
          <w:szCs w:val="24"/>
        </w:rPr>
      </w:pPr>
    </w:p>
    <w:p w14:paraId="3F1A6AC3">
      <w:pPr>
        <w:rPr>
          <w:rFonts w:hint="eastAsia" w:ascii="宋体" w:hAnsi="宋体" w:eastAsia="宋体" w:cs="宋体"/>
          <w:color w:val="auto"/>
          <w:sz w:val="21"/>
          <w:szCs w:val="21"/>
          <w:lang w:val="en-US"/>
        </w:rPr>
      </w:pPr>
    </w:p>
    <w:p w14:paraId="78FBB75B">
      <w:pPr>
        <w:rPr>
          <w:rFonts w:hint="eastAsia" w:ascii="宋体" w:hAnsi="宋体" w:eastAsia="宋体" w:cs="宋体"/>
          <w:color w:val="auto"/>
          <w:sz w:val="21"/>
          <w:szCs w:val="21"/>
        </w:rPr>
      </w:pPr>
      <w:r>
        <w:rPr>
          <w:rFonts w:hint="eastAsia" w:ascii="宋体" w:hAnsi="宋体" w:eastAsia="宋体" w:cs="宋体"/>
          <w:color w:val="auto"/>
          <w:sz w:val="24"/>
          <w:szCs w:val="24"/>
        </w:rPr>
        <w:t>封面格式（</w:t>
      </w:r>
      <w:r>
        <w:rPr>
          <w:rFonts w:hint="eastAsia" w:ascii="宋体" w:hAnsi="宋体" w:eastAsia="宋体" w:cs="宋体"/>
          <w:color w:val="auto"/>
          <w:sz w:val="24"/>
          <w:szCs w:val="24"/>
          <w:lang w:val="en-US"/>
        </w:rPr>
        <w:t>参考</w:t>
      </w:r>
      <w:r>
        <w:rPr>
          <w:rFonts w:hint="eastAsia" w:ascii="宋体" w:hAnsi="宋体" w:eastAsia="宋体" w:cs="宋体"/>
          <w:color w:val="auto"/>
          <w:sz w:val="24"/>
          <w:szCs w:val="24"/>
        </w:rPr>
        <w:t>）</w:t>
      </w:r>
    </w:p>
    <w:p w14:paraId="11CF26D9">
      <w:pPr>
        <w:pStyle w:val="12"/>
        <w:rPr>
          <w:rFonts w:hint="eastAsia" w:ascii="宋体" w:hAnsi="宋体" w:eastAsia="宋体" w:cs="宋体"/>
          <w:color w:val="auto"/>
          <w:sz w:val="18"/>
          <w:szCs w:val="22"/>
        </w:rPr>
      </w:pPr>
    </w:p>
    <w:p w14:paraId="076014B2">
      <w:pPr>
        <w:pStyle w:val="12"/>
        <w:rPr>
          <w:rFonts w:hint="eastAsia" w:ascii="宋体" w:hAnsi="宋体" w:eastAsia="宋体" w:cs="宋体"/>
          <w:color w:val="auto"/>
          <w:sz w:val="18"/>
          <w:szCs w:val="22"/>
        </w:rPr>
      </w:pPr>
    </w:p>
    <w:p w14:paraId="335D9A5E">
      <w:pPr>
        <w:pStyle w:val="12"/>
        <w:rPr>
          <w:rFonts w:hint="eastAsia" w:ascii="宋体" w:hAnsi="宋体" w:eastAsia="宋体" w:cs="宋体"/>
          <w:color w:val="auto"/>
          <w:sz w:val="13"/>
          <w:szCs w:val="22"/>
        </w:rPr>
      </w:pPr>
    </w:p>
    <w:p w14:paraId="78A6E233">
      <w:pPr>
        <w:jc w:val="center"/>
        <w:rPr>
          <w:rFonts w:hint="eastAsia" w:ascii="宋体" w:hAnsi="宋体" w:eastAsia="宋体" w:cs="宋体"/>
          <w:color w:val="auto"/>
          <w:sz w:val="44"/>
          <w:szCs w:val="20"/>
          <w:lang w:eastAsia="zh-CN"/>
        </w:rPr>
      </w:pPr>
      <w:r>
        <w:rPr>
          <w:rFonts w:hint="eastAsia" w:cs="宋体"/>
          <w:color w:val="auto"/>
          <w:sz w:val="40"/>
          <w:szCs w:val="18"/>
          <w:lang w:eastAsia="zh-CN"/>
        </w:rPr>
        <w:t>苍南县居家和社区基本养老服务提升行动项目</w:t>
      </w:r>
    </w:p>
    <w:p w14:paraId="53CB872E">
      <w:pPr>
        <w:pStyle w:val="12"/>
        <w:spacing w:before="3"/>
        <w:rPr>
          <w:rFonts w:hint="eastAsia" w:ascii="宋体" w:hAnsi="宋体" w:eastAsia="宋体" w:cs="宋体"/>
          <w:color w:val="auto"/>
          <w:sz w:val="40"/>
          <w:szCs w:val="22"/>
        </w:rPr>
      </w:pPr>
    </w:p>
    <w:p w14:paraId="29F01EC5">
      <w:pPr>
        <w:ind w:left="1222" w:right="1134"/>
        <w:jc w:val="center"/>
        <w:rPr>
          <w:rFonts w:hint="eastAsia" w:ascii="宋体" w:hAnsi="宋体" w:eastAsia="宋体" w:cs="宋体"/>
          <w:color w:val="auto"/>
          <w:sz w:val="32"/>
          <w:szCs w:val="21"/>
          <w:lang w:val="en-US" w:eastAsia="zh-CN"/>
        </w:rPr>
      </w:pPr>
      <w:r>
        <w:rPr>
          <w:rFonts w:hint="eastAsia" w:ascii="宋体" w:hAnsi="宋体" w:eastAsia="宋体" w:cs="宋体"/>
          <w:color w:val="auto"/>
          <w:sz w:val="32"/>
          <w:szCs w:val="21"/>
        </w:rPr>
        <w:t>项目编号：</w:t>
      </w:r>
      <w:r>
        <w:rPr>
          <w:rFonts w:hint="eastAsia" w:cs="宋体"/>
          <w:color w:val="auto"/>
          <w:sz w:val="32"/>
          <w:szCs w:val="21"/>
          <w:lang w:val="en-US" w:eastAsia="zh-CN"/>
        </w:rPr>
        <w:t>CNDL2024207</w:t>
      </w:r>
    </w:p>
    <w:p w14:paraId="20224621">
      <w:pPr>
        <w:pStyle w:val="12"/>
        <w:rPr>
          <w:rFonts w:hint="eastAsia" w:ascii="宋体" w:hAnsi="宋体" w:eastAsia="宋体" w:cs="宋体"/>
          <w:color w:val="auto"/>
          <w:sz w:val="32"/>
          <w:szCs w:val="22"/>
        </w:rPr>
      </w:pPr>
    </w:p>
    <w:p w14:paraId="2993011B">
      <w:pPr>
        <w:pStyle w:val="12"/>
        <w:spacing w:before="7"/>
        <w:rPr>
          <w:rFonts w:hint="eastAsia" w:ascii="宋体" w:hAnsi="宋体" w:eastAsia="宋体" w:cs="宋体"/>
          <w:color w:val="auto"/>
          <w:sz w:val="24"/>
          <w:szCs w:val="22"/>
        </w:rPr>
      </w:pPr>
    </w:p>
    <w:p w14:paraId="2ADB2757">
      <w:pPr>
        <w:spacing w:before="1" w:line="352" w:lineRule="auto"/>
        <w:ind w:left="4764" w:right="4758"/>
        <w:jc w:val="both"/>
        <w:rPr>
          <w:rFonts w:hint="eastAsia" w:ascii="宋体" w:hAnsi="宋体" w:eastAsia="宋体" w:cs="宋体"/>
          <w:b/>
          <w:color w:val="auto"/>
          <w:sz w:val="48"/>
          <w:szCs w:val="21"/>
        </w:rPr>
      </w:pPr>
      <w:r>
        <w:rPr>
          <w:rFonts w:hint="eastAsia" w:ascii="宋体" w:hAnsi="宋体" w:eastAsia="宋体" w:cs="宋体"/>
          <w:b/>
          <w:color w:val="auto"/>
          <w:sz w:val="48"/>
          <w:szCs w:val="21"/>
        </w:rPr>
        <w:t>技术商务文件</w:t>
      </w:r>
    </w:p>
    <w:p w14:paraId="6A99CF36">
      <w:pPr>
        <w:pStyle w:val="12"/>
        <w:rPr>
          <w:rFonts w:hint="eastAsia" w:ascii="宋体" w:hAnsi="宋体" w:eastAsia="宋体" w:cs="宋体"/>
          <w:b/>
          <w:color w:val="auto"/>
          <w:sz w:val="48"/>
          <w:szCs w:val="22"/>
        </w:rPr>
      </w:pPr>
    </w:p>
    <w:p w14:paraId="2C994C2F">
      <w:pPr>
        <w:pStyle w:val="12"/>
        <w:spacing w:before="3"/>
        <w:rPr>
          <w:rFonts w:hint="eastAsia" w:ascii="宋体" w:hAnsi="宋体" w:eastAsia="宋体" w:cs="宋体"/>
          <w:b/>
          <w:color w:val="auto"/>
          <w:sz w:val="44"/>
          <w:szCs w:val="22"/>
        </w:rPr>
      </w:pPr>
    </w:p>
    <w:p w14:paraId="30B6BA79">
      <w:pPr>
        <w:spacing w:line="360" w:lineRule="auto"/>
        <w:ind w:firstLine="1200" w:firstLineChars="500"/>
        <w:rPr>
          <w:rFonts w:hint="eastAsia" w:ascii="宋体" w:hAnsi="宋体" w:eastAsia="宋体" w:cs="宋体"/>
          <w:color w:val="auto"/>
          <w:sz w:val="24"/>
          <w:szCs w:val="18"/>
        </w:rPr>
      </w:pPr>
      <w:r>
        <w:rPr>
          <w:rFonts w:hint="eastAsia" w:ascii="宋体" w:hAnsi="宋体" w:eastAsia="宋体" w:cs="宋体"/>
          <w:color w:val="auto"/>
          <w:sz w:val="24"/>
          <w:szCs w:val="18"/>
        </w:rPr>
        <w:t>采购</w:t>
      </w:r>
      <w:r>
        <w:rPr>
          <w:rFonts w:hint="eastAsia" w:ascii="宋体" w:hAnsi="宋体" w:eastAsia="宋体" w:cs="宋体"/>
          <w:color w:val="auto"/>
          <w:sz w:val="24"/>
          <w:szCs w:val="18"/>
          <w:lang w:val="en-US" w:eastAsia="zh-CN"/>
        </w:rPr>
        <w:t>人名</w:t>
      </w:r>
      <w:r>
        <w:rPr>
          <w:rFonts w:hint="eastAsia" w:ascii="宋体" w:hAnsi="宋体" w:eastAsia="宋体" w:cs="宋体"/>
          <w:color w:val="auto"/>
          <w:sz w:val="24"/>
          <w:szCs w:val="18"/>
        </w:rPr>
        <w:t>称：</w:t>
      </w:r>
    </w:p>
    <w:p w14:paraId="16F6D5F1">
      <w:pPr>
        <w:tabs>
          <w:tab w:val="left" w:pos="2391"/>
        </w:tabs>
        <w:spacing w:line="360" w:lineRule="auto"/>
        <w:ind w:firstLine="1110" w:firstLineChars="500"/>
        <w:rPr>
          <w:rFonts w:hint="eastAsia" w:ascii="宋体" w:hAnsi="宋体" w:eastAsia="宋体" w:cs="宋体"/>
          <w:color w:val="auto"/>
          <w:spacing w:val="-9"/>
          <w:sz w:val="24"/>
          <w:szCs w:val="18"/>
        </w:rPr>
      </w:pPr>
      <w:r>
        <w:rPr>
          <w:rFonts w:hint="eastAsia" w:cs="宋体"/>
          <w:color w:val="auto"/>
          <w:spacing w:val="-9"/>
          <w:sz w:val="24"/>
          <w:szCs w:val="18"/>
          <w:lang w:eastAsia="zh-CN"/>
        </w:rPr>
        <w:t>投标人名称</w:t>
      </w:r>
      <w:r>
        <w:rPr>
          <w:rFonts w:hint="eastAsia" w:ascii="宋体" w:hAnsi="宋体" w:eastAsia="宋体" w:cs="宋体"/>
          <w:color w:val="auto"/>
          <w:spacing w:val="-9"/>
          <w:sz w:val="24"/>
          <w:szCs w:val="18"/>
        </w:rPr>
        <w:t>（电子签名）：</w:t>
      </w:r>
    </w:p>
    <w:p w14:paraId="438A5AC9">
      <w:pPr>
        <w:tabs>
          <w:tab w:val="left" w:pos="2391"/>
        </w:tabs>
        <w:spacing w:line="360" w:lineRule="auto"/>
        <w:ind w:firstLine="1200" w:firstLineChars="500"/>
        <w:rPr>
          <w:rFonts w:hint="eastAsia" w:ascii="宋体" w:hAnsi="宋体" w:eastAsia="宋体" w:cs="宋体"/>
          <w:color w:val="auto"/>
          <w:sz w:val="24"/>
          <w:szCs w:val="18"/>
        </w:rPr>
      </w:pPr>
      <w:r>
        <w:rPr>
          <w:rFonts w:hint="eastAsia" w:ascii="宋体" w:hAnsi="宋体" w:eastAsia="宋体" w:cs="宋体"/>
          <w:color w:val="auto"/>
          <w:sz w:val="24"/>
          <w:szCs w:val="18"/>
        </w:rPr>
        <w:t>地</w:t>
      </w:r>
      <w:r>
        <w:rPr>
          <w:rFonts w:hint="eastAsia" w:ascii="宋体" w:hAnsi="宋体" w:eastAsia="宋体" w:cs="宋体"/>
          <w:color w:val="auto"/>
          <w:sz w:val="24"/>
          <w:szCs w:val="18"/>
          <w:lang w:val="en-US"/>
        </w:rPr>
        <w:t xml:space="preserve">    </w:t>
      </w:r>
      <w:r>
        <w:rPr>
          <w:rFonts w:hint="eastAsia" w:ascii="宋体" w:hAnsi="宋体" w:eastAsia="宋体" w:cs="宋体"/>
          <w:color w:val="auto"/>
          <w:sz w:val="24"/>
          <w:szCs w:val="18"/>
        </w:rPr>
        <w:t>址：</w:t>
      </w:r>
    </w:p>
    <w:p w14:paraId="296C7EE0">
      <w:pPr>
        <w:tabs>
          <w:tab w:val="left" w:pos="2391"/>
        </w:tabs>
        <w:spacing w:line="360" w:lineRule="auto"/>
        <w:ind w:firstLine="1200" w:firstLineChars="500"/>
        <w:rPr>
          <w:rFonts w:hint="eastAsia" w:ascii="宋体" w:hAnsi="宋体" w:eastAsia="宋体" w:cs="宋体"/>
          <w:color w:val="auto"/>
          <w:sz w:val="32"/>
          <w:szCs w:val="21"/>
        </w:rPr>
      </w:pPr>
      <w:r>
        <w:rPr>
          <w:rFonts w:hint="eastAsia" w:ascii="宋体" w:hAnsi="宋体" w:eastAsia="宋体" w:cs="宋体"/>
          <w:color w:val="auto"/>
          <w:sz w:val="24"/>
          <w:szCs w:val="18"/>
        </w:rPr>
        <w:t>时</w:t>
      </w:r>
      <w:r>
        <w:rPr>
          <w:rFonts w:hint="eastAsia" w:ascii="宋体" w:hAnsi="宋体" w:eastAsia="宋体" w:cs="宋体"/>
          <w:color w:val="auto"/>
          <w:sz w:val="24"/>
          <w:szCs w:val="18"/>
          <w:lang w:val="en-US"/>
        </w:rPr>
        <w:t xml:space="preserve">    </w:t>
      </w:r>
      <w:r>
        <w:rPr>
          <w:rFonts w:hint="eastAsia" w:ascii="宋体" w:hAnsi="宋体" w:eastAsia="宋体" w:cs="宋体"/>
          <w:color w:val="auto"/>
          <w:sz w:val="24"/>
          <w:szCs w:val="18"/>
        </w:rPr>
        <w:t>间：</w:t>
      </w:r>
    </w:p>
    <w:p w14:paraId="5BAD39A0">
      <w:pPr>
        <w:rPr>
          <w:rFonts w:hint="eastAsia" w:ascii="宋体" w:hAnsi="宋体" w:eastAsia="宋体" w:cs="宋体"/>
          <w:color w:val="auto"/>
          <w:sz w:val="21"/>
          <w:szCs w:val="21"/>
        </w:rPr>
      </w:pPr>
      <w:bookmarkStart w:id="144" w:name="▲技术商务文件"/>
      <w:bookmarkEnd w:id="144"/>
      <w:r>
        <w:rPr>
          <w:rFonts w:hint="eastAsia" w:ascii="宋体" w:hAnsi="宋体" w:eastAsia="宋体" w:cs="宋体"/>
          <w:color w:val="auto"/>
          <w:sz w:val="21"/>
          <w:szCs w:val="21"/>
        </w:rPr>
        <w:br w:type="page"/>
      </w:r>
    </w:p>
    <w:p w14:paraId="1632A4B6">
      <w:pPr>
        <w:pStyle w:val="12"/>
        <w:rPr>
          <w:rFonts w:hint="eastAsia" w:ascii="宋体" w:hAnsi="宋体" w:eastAsia="宋体" w:cs="宋体"/>
          <w:color w:val="auto"/>
          <w:sz w:val="22"/>
          <w:szCs w:val="22"/>
        </w:rPr>
      </w:pPr>
    </w:p>
    <w:p w14:paraId="17B26725">
      <w:pPr>
        <w:pStyle w:val="12"/>
        <w:rPr>
          <w:rFonts w:hint="eastAsia" w:ascii="宋体" w:hAnsi="宋体" w:eastAsia="宋体" w:cs="宋体"/>
          <w:color w:val="auto"/>
          <w:sz w:val="22"/>
          <w:szCs w:val="22"/>
        </w:rPr>
      </w:pPr>
    </w:p>
    <w:p w14:paraId="7CA0F9FA">
      <w:pPr>
        <w:pStyle w:val="12"/>
        <w:spacing w:line="360" w:lineRule="auto"/>
        <w:ind w:firstLine="442" w:firstLineChars="200"/>
        <w:rPr>
          <w:rFonts w:hint="eastAsia" w:ascii="宋体" w:hAnsi="宋体" w:eastAsia="宋体" w:cs="宋体"/>
          <w:color w:val="auto"/>
          <w:sz w:val="22"/>
          <w:szCs w:val="22"/>
          <w:lang w:val="en-US"/>
        </w:rPr>
      </w:pPr>
      <w:r>
        <w:rPr>
          <w:rFonts w:hint="eastAsia" w:ascii="宋体" w:hAnsi="宋体" w:eastAsia="宋体" w:cs="宋体"/>
          <w:b/>
          <w:bCs/>
          <w:color w:val="auto"/>
          <w:sz w:val="22"/>
          <w:szCs w:val="22"/>
        </w:rPr>
        <w:t>▲技术商务文件</w:t>
      </w:r>
      <w:r>
        <w:rPr>
          <w:rFonts w:hint="eastAsia" w:ascii="宋体" w:hAnsi="宋体" w:eastAsia="宋体" w:cs="宋体"/>
          <w:b/>
          <w:bCs/>
          <w:color w:val="auto"/>
          <w:sz w:val="22"/>
          <w:szCs w:val="22"/>
          <w:lang w:val="en-US"/>
        </w:rPr>
        <w:t>组成内容：</w:t>
      </w:r>
    </w:p>
    <w:p w14:paraId="2665F076">
      <w:pPr>
        <w:pStyle w:val="12"/>
        <w:spacing w:line="360" w:lineRule="auto"/>
        <w:ind w:firstLine="440" w:firstLineChars="200"/>
        <w:rPr>
          <w:rFonts w:hint="eastAsia" w:ascii="宋体" w:hAnsi="宋体" w:eastAsia="宋体" w:cs="宋体"/>
          <w:color w:val="auto"/>
          <w:sz w:val="22"/>
          <w:szCs w:val="22"/>
          <w:lang w:val="zh-CN" w:eastAsia="zh-CN"/>
        </w:rPr>
      </w:pPr>
      <w:bookmarkStart w:id="145" w:name="（1）评分对应表（格式见附件，主要用于评委对应评分内容）"/>
      <w:bookmarkEnd w:id="145"/>
      <w:r>
        <w:rPr>
          <w:rFonts w:hint="eastAsia" w:ascii="宋体" w:hAnsi="宋体" w:eastAsia="宋体" w:cs="宋体"/>
          <w:color w:val="auto"/>
          <w:sz w:val="22"/>
          <w:szCs w:val="22"/>
          <w:lang w:val="zh-CN" w:eastAsia="zh-CN"/>
        </w:rPr>
        <w:t>（1）评分对应表（主要用于评委对应评分内容）；</w:t>
      </w:r>
    </w:p>
    <w:p w14:paraId="2E71E728">
      <w:pPr>
        <w:pStyle w:val="12"/>
        <w:spacing w:line="360" w:lineRule="auto"/>
        <w:ind w:firstLine="440" w:firstLineChars="20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（2）响应函；</w:t>
      </w:r>
    </w:p>
    <w:p w14:paraId="057765EF">
      <w:pPr>
        <w:pStyle w:val="12"/>
        <w:spacing w:line="360" w:lineRule="auto"/>
        <w:ind w:firstLine="440" w:firstLineChars="20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（3）授权委托书或法定代表人（单位负责人、自然人本人）身份证明；</w:t>
      </w:r>
    </w:p>
    <w:p w14:paraId="634D1CD0">
      <w:pPr>
        <w:pStyle w:val="12"/>
        <w:spacing w:line="360" w:lineRule="auto"/>
        <w:ind w:firstLine="440" w:firstLineChars="20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（4）投标人评审因素相关证书、认证；</w:t>
      </w:r>
    </w:p>
    <w:p w14:paraId="793C9C5D">
      <w:pPr>
        <w:pStyle w:val="12"/>
        <w:spacing w:line="360" w:lineRule="auto"/>
        <w:ind w:firstLine="440" w:firstLineChars="20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（5）技术、商务偏离说明表；</w:t>
      </w:r>
    </w:p>
    <w:p w14:paraId="0FD20FAC">
      <w:pPr>
        <w:pStyle w:val="12"/>
        <w:spacing w:line="360" w:lineRule="auto"/>
        <w:ind w:firstLine="440" w:firstLineChars="20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（6）投标人认为可以证明其能力或业绩的其他材料（提供项目实施情况一览表，并附合同等证明材料复印件或扫描件并加盖公章）；</w:t>
      </w:r>
    </w:p>
    <w:p w14:paraId="433D11D9">
      <w:pPr>
        <w:pStyle w:val="12"/>
        <w:spacing w:line="360" w:lineRule="auto"/>
        <w:ind w:firstLine="440" w:firstLineChars="200"/>
        <w:rPr>
          <w:rFonts w:hint="default" w:cs="宋体"/>
          <w:color w:val="auto"/>
          <w:sz w:val="22"/>
          <w:szCs w:val="22"/>
          <w:lang w:val="en-US" w:eastAsia="zh-CN"/>
        </w:rPr>
      </w:pPr>
      <w:r>
        <w:rPr>
          <w:rFonts w:hint="eastAsia" w:cs="宋体"/>
          <w:color w:val="auto"/>
          <w:sz w:val="22"/>
          <w:szCs w:val="22"/>
          <w:lang w:val="zh-CN" w:eastAsia="zh-CN"/>
        </w:rPr>
        <w:t>（</w:t>
      </w:r>
      <w:r>
        <w:rPr>
          <w:rFonts w:hint="eastAsia" w:cs="宋体"/>
          <w:color w:val="auto"/>
          <w:sz w:val="22"/>
          <w:szCs w:val="22"/>
          <w:lang w:val="en-US" w:eastAsia="zh-CN"/>
        </w:rPr>
        <w:t>7</w:t>
      </w:r>
      <w:r>
        <w:rPr>
          <w:rFonts w:hint="eastAsia" w:cs="宋体"/>
          <w:color w:val="auto"/>
          <w:sz w:val="22"/>
          <w:szCs w:val="22"/>
          <w:lang w:val="zh-CN" w:eastAsia="zh-CN"/>
        </w:rPr>
        <w:t>）投标产品清单、拟投入设备清单</w:t>
      </w:r>
      <w:r>
        <w:rPr>
          <w:rFonts w:hint="eastAsia" w:cs="宋体"/>
          <w:color w:val="auto"/>
          <w:sz w:val="22"/>
          <w:szCs w:val="22"/>
          <w:lang w:val="en-US" w:eastAsia="zh-CN"/>
        </w:rPr>
        <w:t>；</w:t>
      </w:r>
    </w:p>
    <w:p w14:paraId="3A9A4F39">
      <w:pPr>
        <w:pStyle w:val="12"/>
        <w:spacing w:line="360" w:lineRule="auto"/>
        <w:ind w:firstLine="440" w:firstLineChars="20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w:t>
      </w:r>
      <w:r>
        <w:rPr>
          <w:rFonts w:hint="eastAsia" w:cs="宋体"/>
          <w:color w:val="auto"/>
          <w:sz w:val="22"/>
          <w:szCs w:val="22"/>
          <w:lang w:val="en-US" w:eastAsia="zh-CN"/>
        </w:rPr>
        <w:t>8</w:t>
      </w:r>
      <w:r>
        <w:rPr>
          <w:rFonts w:hint="eastAsia" w:ascii="宋体" w:hAnsi="宋体" w:eastAsia="宋体" w:cs="宋体"/>
          <w:color w:val="auto"/>
          <w:sz w:val="22"/>
          <w:szCs w:val="22"/>
          <w:lang w:val="zh-CN" w:eastAsia="zh-CN"/>
        </w:rPr>
        <w:t>）关于对招标文件中有关条款的拒绝声明；（如果有）</w:t>
      </w:r>
    </w:p>
    <w:p w14:paraId="1C77D588">
      <w:pPr>
        <w:pStyle w:val="12"/>
        <w:spacing w:line="360" w:lineRule="auto"/>
        <w:ind w:firstLine="440" w:firstLineChars="20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w:t>
      </w:r>
      <w:r>
        <w:rPr>
          <w:rFonts w:hint="eastAsia" w:cs="宋体"/>
          <w:color w:val="auto"/>
          <w:sz w:val="22"/>
          <w:szCs w:val="22"/>
          <w:lang w:val="en-US" w:eastAsia="zh-CN"/>
        </w:rPr>
        <w:t>9</w:t>
      </w:r>
      <w:r>
        <w:rPr>
          <w:rFonts w:hint="eastAsia" w:ascii="宋体" w:hAnsi="宋体" w:eastAsia="宋体" w:cs="宋体"/>
          <w:color w:val="auto"/>
          <w:sz w:val="22"/>
          <w:szCs w:val="22"/>
          <w:lang w:val="zh-CN" w:eastAsia="zh-CN"/>
        </w:rPr>
        <w:t>）项目小组人员名单；</w:t>
      </w:r>
    </w:p>
    <w:p w14:paraId="623465EC">
      <w:pPr>
        <w:pStyle w:val="12"/>
        <w:spacing w:line="360" w:lineRule="auto"/>
        <w:ind w:firstLine="440" w:firstLineChars="20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w:t>
      </w:r>
      <w:r>
        <w:rPr>
          <w:rFonts w:hint="eastAsia" w:cs="宋体"/>
          <w:color w:val="auto"/>
          <w:sz w:val="22"/>
          <w:szCs w:val="22"/>
          <w:lang w:val="en-US" w:eastAsia="zh-CN"/>
        </w:rPr>
        <w:t>10</w:t>
      </w:r>
      <w:r>
        <w:rPr>
          <w:rFonts w:hint="eastAsia" w:ascii="宋体" w:hAnsi="宋体" w:eastAsia="宋体" w:cs="宋体"/>
          <w:color w:val="auto"/>
          <w:sz w:val="22"/>
          <w:szCs w:val="22"/>
          <w:lang w:val="zh-CN" w:eastAsia="zh-CN"/>
        </w:rPr>
        <w:t>）其他评标标准相应的商务技术资料；</w:t>
      </w:r>
    </w:p>
    <w:p w14:paraId="2B626870">
      <w:pPr>
        <w:pStyle w:val="12"/>
        <w:spacing w:line="360" w:lineRule="auto"/>
        <w:ind w:firstLine="440" w:firstLineChars="200"/>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w:t>
      </w:r>
      <w:r>
        <w:rPr>
          <w:rFonts w:hint="eastAsia" w:cs="宋体"/>
          <w:color w:val="auto"/>
          <w:sz w:val="22"/>
          <w:szCs w:val="22"/>
          <w:lang w:val="en-US" w:eastAsia="zh-CN"/>
        </w:rPr>
        <w:t>11</w:t>
      </w:r>
      <w:r>
        <w:rPr>
          <w:rFonts w:hint="eastAsia" w:ascii="宋体" w:hAnsi="宋体" w:eastAsia="宋体" w:cs="宋体"/>
          <w:color w:val="auto"/>
          <w:sz w:val="22"/>
          <w:szCs w:val="22"/>
          <w:lang w:val="zh-CN" w:eastAsia="zh-CN"/>
        </w:rPr>
        <w:t>）</w:t>
      </w:r>
      <w:r>
        <w:rPr>
          <w:rFonts w:hint="eastAsia" w:cs="宋体"/>
          <w:color w:val="auto"/>
          <w:sz w:val="22"/>
          <w:szCs w:val="22"/>
          <w:lang w:val="zh-CN" w:eastAsia="zh-CN"/>
        </w:rPr>
        <w:t>投标人</w:t>
      </w:r>
      <w:r>
        <w:rPr>
          <w:rFonts w:hint="eastAsia" w:ascii="宋体" w:hAnsi="宋体" w:eastAsia="宋体" w:cs="宋体"/>
          <w:color w:val="auto"/>
          <w:sz w:val="22"/>
          <w:szCs w:val="22"/>
          <w:lang w:val="zh-CN" w:eastAsia="zh-CN"/>
        </w:rPr>
        <w:t>认为需要的其他技术文件或说明；（如果有）</w:t>
      </w:r>
    </w:p>
    <w:p w14:paraId="60F685BB">
      <w:pPr>
        <w:pStyle w:val="12"/>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zh-CN" w:eastAsia="zh-CN"/>
        </w:rPr>
        <w:t>（</w:t>
      </w:r>
      <w:r>
        <w:rPr>
          <w:rFonts w:hint="eastAsia" w:cs="宋体"/>
          <w:color w:val="auto"/>
          <w:sz w:val="22"/>
          <w:szCs w:val="22"/>
          <w:lang w:val="en-US" w:eastAsia="zh-CN"/>
        </w:rPr>
        <w:t>12</w:t>
      </w:r>
      <w:r>
        <w:rPr>
          <w:rFonts w:hint="eastAsia" w:ascii="宋体" w:hAnsi="宋体" w:eastAsia="宋体" w:cs="宋体"/>
          <w:color w:val="auto"/>
          <w:sz w:val="22"/>
          <w:szCs w:val="22"/>
          <w:lang w:val="zh-CN" w:eastAsia="zh-CN"/>
        </w:rPr>
        <w:t>）政府采购供应商廉洁自律承诺书。</w:t>
      </w:r>
    </w:p>
    <w:p w14:paraId="0B3D684E">
      <w:pPr>
        <w:spacing w:line="360" w:lineRule="auto"/>
        <w:ind w:firstLine="161" w:firstLineChars="200"/>
        <w:rPr>
          <w:rFonts w:hint="eastAsia" w:ascii="宋体" w:hAnsi="宋体" w:eastAsia="宋体" w:cs="宋体"/>
          <w:b/>
          <w:color w:val="auto"/>
          <w:sz w:val="8"/>
          <w:szCs w:val="21"/>
        </w:rPr>
      </w:pPr>
      <w:r>
        <w:rPr>
          <w:rFonts w:hint="eastAsia" w:ascii="宋体" w:hAnsi="宋体" w:eastAsia="宋体" w:cs="宋体"/>
          <w:b/>
          <w:color w:val="auto"/>
          <w:sz w:val="8"/>
          <w:szCs w:val="21"/>
        </w:rPr>
        <w:br w:type="page"/>
      </w:r>
    </w:p>
    <w:p w14:paraId="111890BF">
      <w:pPr>
        <w:spacing w:before="67"/>
        <w:ind w:left="1217" w:right="1232"/>
        <w:jc w:val="center"/>
        <w:rPr>
          <w:rFonts w:hint="eastAsia" w:ascii="宋体" w:hAnsi="宋体" w:eastAsia="宋体" w:cs="宋体"/>
          <w:b/>
          <w:bCs/>
          <w:color w:val="auto"/>
          <w:sz w:val="21"/>
          <w:szCs w:val="21"/>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rPr>
        <w:t>1</w:t>
      </w:r>
      <w:r>
        <w:rPr>
          <w:rFonts w:hint="eastAsia" w:ascii="宋体" w:hAnsi="宋体" w:eastAsia="宋体" w:cs="宋体"/>
          <w:b/>
          <w:bCs/>
          <w:color w:val="auto"/>
          <w:sz w:val="28"/>
          <w:szCs w:val="28"/>
        </w:rPr>
        <w:t>）评分对应表</w:t>
      </w:r>
    </w:p>
    <w:p w14:paraId="269510FE">
      <w:pPr>
        <w:pStyle w:val="12"/>
        <w:rPr>
          <w:rFonts w:hint="eastAsia" w:ascii="宋体" w:hAnsi="宋体" w:eastAsia="宋体" w:cs="宋体"/>
          <w:b/>
          <w:color w:val="auto"/>
          <w:sz w:val="22"/>
          <w:szCs w:val="22"/>
        </w:rPr>
      </w:pPr>
    </w:p>
    <w:p w14:paraId="5DACA3AD">
      <w:pPr>
        <w:pStyle w:val="12"/>
        <w:spacing w:before="7"/>
        <w:rPr>
          <w:rFonts w:hint="eastAsia" w:ascii="宋体" w:hAnsi="宋体" w:eastAsia="宋体" w:cs="宋体"/>
          <w:b/>
          <w:color w:val="auto"/>
          <w:sz w:val="18"/>
          <w:szCs w:val="22"/>
        </w:rPr>
      </w:pPr>
    </w:p>
    <w:p w14:paraId="56239DDA">
      <w:pPr>
        <w:pStyle w:val="12"/>
        <w:tabs>
          <w:tab w:val="left" w:pos="6471"/>
        </w:tabs>
        <w:spacing w:after="20" w:line="360" w:lineRule="auto"/>
        <w:rPr>
          <w:rFonts w:hint="default" w:ascii="宋体" w:hAnsi="宋体" w:eastAsia="宋体" w:cs="宋体"/>
          <w:b/>
          <w:i/>
          <w:color w:val="auto"/>
          <w:sz w:val="22"/>
          <w:szCs w:val="22"/>
          <w:lang w:val="en-US" w:eastAsia="zh-CN"/>
        </w:rPr>
      </w:pPr>
      <w:r>
        <w:rPr>
          <w:rFonts w:hint="eastAsia" w:cs="宋体"/>
          <w:color w:val="auto"/>
          <w:sz w:val="22"/>
          <w:szCs w:val="22"/>
          <w:lang w:eastAsia="zh-CN"/>
        </w:rPr>
        <w:t>投标人名称</w:t>
      </w:r>
      <w:r>
        <w:rPr>
          <w:rFonts w:hint="eastAsia" w:ascii="宋体" w:hAnsi="宋体" w:eastAsia="宋体" w:cs="宋体"/>
          <w:color w:val="auto"/>
          <w:sz w:val="22"/>
          <w:szCs w:val="22"/>
        </w:rPr>
        <w:t>(电子签名)：</w:t>
      </w:r>
      <w:r>
        <w:rPr>
          <w:rFonts w:hint="eastAsia" w:ascii="宋体" w:hAnsi="宋体" w:eastAsia="宋体" w:cs="宋体"/>
          <w:color w:val="auto"/>
          <w:sz w:val="22"/>
          <w:szCs w:val="22"/>
          <w:lang w:val="en-US" w:eastAsia="zh-CN"/>
        </w:rPr>
        <w:t xml:space="preserve">                                    </w:t>
      </w:r>
      <w:r>
        <w:rPr>
          <w:rFonts w:hint="eastAsia" w:cs="宋体"/>
          <w:color w:val="auto"/>
          <w:sz w:val="22"/>
          <w:szCs w:val="22"/>
          <w:lang w:val="en-US" w:eastAsia="zh-CN"/>
        </w:rPr>
        <w:t>标项名称</w:t>
      </w:r>
      <w:r>
        <w:rPr>
          <w:rFonts w:hint="eastAsia" w:ascii="宋体" w:hAnsi="宋体" w:eastAsia="宋体" w:cs="宋体"/>
          <w:color w:val="auto"/>
          <w:sz w:val="22"/>
          <w:szCs w:val="22"/>
          <w:lang w:val="en-US"/>
        </w:rPr>
        <w:t>：</w:t>
      </w:r>
      <w:r>
        <w:rPr>
          <w:rFonts w:hint="eastAsia" w:cs="宋体"/>
          <w:b/>
          <w:bCs/>
          <w:color w:val="FF0000"/>
          <w:sz w:val="22"/>
          <w:szCs w:val="22"/>
          <w:lang w:val="en-US" w:eastAsia="zh-CN"/>
        </w:rPr>
        <w:t>例如：第一片区</w:t>
      </w:r>
    </w:p>
    <w:tbl>
      <w:tblPr>
        <w:tblStyle w:val="26"/>
        <w:tblW w:w="9096" w:type="dxa"/>
        <w:tblInd w:w="11"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9"/>
        <w:gridCol w:w="3165"/>
        <w:gridCol w:w="1832"/>
      </w:tblGrid>
      <w:tr w14:paraId="24ACA2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shd w:val="clear" w:color="auto" w:fill="B6DDE8" w:themeFill="accent5" w:themeFillTint="66"/>
            <w:vAlign w:val="center"/>
          </w:tcPr>
          <w:p w14:paraId="1A7612BB">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宋体" w:hAnsi="宋体" w:eastAsia="宋体" w:cs="宋体"/>
                <w:b/>
                <w:bCs/>
                <w:color w:val="auto"/>
                <w:sz w:val="22"/>
                <w:szCs w:val="21"/>
              </w:rPr>
            </w:pPr>
            <w:r>
              <w:rPr>
                <w:rFonts w:hint="eastAsia" w:ascii="宋体" w:hAnsi="宋体" w:eastAsia="宋体" w:cs="宋体"/>
                <w:b/>
                <w:bCs/>
                <w:color w:val="auto"/>
                <w:sz w:val="22"/>
                <w:szCs w:val="21"/>
              </w:rPr>
              <w:t>评分项目</w:t>
            </w:r>
          </w:p>
        </w:tc>
        <w:tc>
          <w:tcPr>
            <w:tcW w:w="3165" w:type="dxa"/>
            <w:tcBorders>
              <w:tl2br w:val="nil"/>
              <w:tr2bl w:val="nil"/>
            </w:tcBorders>
            <w:shd w:val="clear" w:color="auto" w:fill="B6DDE8" w:themeFill="accent5" w:themeFillTint="66"/>
            <w:vAlign w:val="center"/>
          </w:tcPr>
          <w:p w14:paraId="218613F2">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宋体" w:hAnsi="宋体" w:eastAsia="宋体" w:cs="宋体"/>
                <w:b/>
                <w:bCs/>
                <w:color w:val="auto"/>
                <w:sz w:val="22"/>
                <w:szCs w:val="21"/>
              </w:rPr>
            </w:pPr>
            <w:r>
              <w:rPr>
                <w:rFonts w:hint="eastAsia" w:ascii="宋体" w:hAnsi="宋体" w:eastAsia="宋体" w:cs="宋体"/>
                <w:b/>
                <w:bCs/>
                <w:color w:val="auto"/>
                <w:sz w:val="22"/>
                <w:szCs w:val="21"/>
                <w:lang w:val="en-US" w:eastAsia="zh-CN"/>
              </w:rPr>
              <w:t>响应</w:t>
            </w:r>
            <w:r>
              <w:rPr>
                <w:rFonts w:hint="eastAsia" w:ascii="宋体" w:hAnsi="宋体" w:eastAsia="宋体" w:cs="宋体"/>
                <w:b/>
                <w:bCs/>
                <w:color w:val="auto"/>
                <w:sz w:val="22"/>
                <w:szCs w:val="21"/>
              </w:rPr>
              <w:t>文件对应资料</w:t>
            </w:r>
          </w:p>
        </w:tc>
        <w:tc>
          <w:tcPr>
            <w:tcW w:w="1832" w:type="dxa"/>
            <w:tcBorders>
              <w:tl2br w:val="nil"/>
              <w:tr2bl w:val="nil"/>
            </w:tcBorders>
            <w:shd w:val="clear" w:color="auto" w:fill="B6DDE8" w:themeFill="accent5" w:themeFillTint="66"/>
            <w:vAlign w:val="center"/>
          </w:tcPr>
          <w:p w14:paraId="2AEB2FCB">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宋体" w:hAnsi="宋体" w:eastAsia="宋体" w:cs="宋体"/>
                <w:b/>
                <w:bCs/>
                <w:color w:val="auto"/>
                <w:sz w:val="22"/>
                <w:szCs w:val="21"/>
              </w:rPr>
            </w:pPr>
            <w:r>
              <w:rPr>
                <w:rFonts w:hint="eastAsia" w:ascii="宋体" w:hAnsi="宋体" w:eastAsia="宋体" w:cs="宋体"/>
                <w:b/>
                <w:bCs/>
                <w:color w:val="auto"/>
                <w:sz w:val="22"/>
                <w:szCs w:val="21"/>
                <w:lang w:val="en-US" w:eastAsia="zh-CN"/>
              </w:rPr>
              <w:t>响应</w:t>
            </w:r>
            <w:r>
              <w:rPr>
                <w:rFonts w:hint="eastAsia" w:ascii="宋体" w:hAnsi="宋体" w:eastAsia="宋体" w:cs="宋体"/>
                <w:b/>
                <w:bCs/>
                <w:color w:val="auto"/>
                <w:sz w:val="22"/>
                <w:szCs w:val="21"/>
              </w:rPr>
              <w:t>文件页码</w:t>
            </w:r>
          </w:p>
        </w:tc>
      </w:tr>
      <w:tr w14:paraId="440F8B1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43794723">
            <w:pPr>
              <w:pStyle w:val="39"/>
              <w:keepNext w:val="0"/>
              <w:keepLines w:val="0"/>
              <w:pageBreakBefore w:val="0"/>
              <w:widowControl w:val="0"/>
              <w:kinsoku/>
              <w:wordWrap/>
              <w:overflowPunct/>
              <w:topLinePunct w:val="0"/>
              <w:autoSpaceDE w:val="0"/>
              <w:autoSpaceDN w:val="0"/>
              <w:bidi w:val="0"/>
              <w:adjustRightInd/>
              <w:snapToGrid/>
              <w:spacing w:before="116" w:line="240" w:lineRule="auto"/>
              <w:ind w:left="0" w:right="0"/>
              <w:jc w:val="center"/>
              <w:textAlignment w:val="auto"/>
              <w:rPr>
                <w:rFonts w:hint="default" w:ascii="宋体" w:hAnsi="宋体" w:eastAsia="宋体" w:cs="宋体"/>
                <w:color w:val="auto"/>
                <w:sz w:val="22"/>
                <w:szCs w:val="21"/>
                <w:lang w:val="en-US" w:eastAsia="zh-CN"/>
              </w:rPr>
            </w:pPr>
            <w:r>
              <w:rPr>
                <w:rFonts w:hint="eastAsia" w:ascii="宋体" w:hAnsi="宋体" w:eastAsia="宋体" w:cs="宋体"/>
                <w:color w:val="auto"/>
                <w:sz w:val="22"/>
                <w:szCs w:val="21"/>
              </w:rPr>
              <w:t>对应第</w:t>
            </w:r>
            <w:r>
              <w:rPr>
                <w:rFonts w:hint="eastAsia" w:ascii="宋体" w:hAnsi="宋体" w:eastAsia="宋体" w:cs="宋体"/>
                <w:color w:val="auto"/>
                <w:sz w:val="22"/>
                <w:szCs w:val="21"/>
                <w:lang w:val="en-US" w:eastAsia="zh-CN"/>
              </w:rPr>
              <w:t xml:space="preserve">四部分 </w:t>
            </w:r>
            <w:r>
              <w:rPr>
                <w:rFonts w:hint="eastAsia" w:cs="宋体"/>
                <w:color w:val="auto"/>
                <w:sz w:val="22"/>
                <w:szCs w:val="21"/>
                <w:lang w:val="en-US" w:eastAsia="zh-CN"/>
              </w:rPr>
              <w:t>评标办法</w:t>
            </w:r>
          </w:p>
          <w:p w14:paraId="043D8B7A">
            <w:pPr>
              <w:pStyle w:val="39"/>
              <w:keepNext w:val="0"/>
              <w:keepLines w:val="0"/>
              <w:pageBreakBefore w:val="0"/>
              <w:widowControl w:val="0"/>
              <w:kinsoku/>
              <w:wordWrap/>
              <w:overflowPunct/>
              <w:topLinePunct w:val="0"/>
              <w:autoSpaceDE w:val="0"/>
              <w:autoSpaceDN w:val="0"/>
              <w:bidi w:val="0"/>
              <w:adjustRightInd/>
              <w:snapToGrid/>
              <w:spacing w:before="134" w:line="240" w:lineRule="auto"/>
              <w:ind w:left="0" w:right="0"/>
              <w:jc w:val="center"/>
              <w:textAlignment w:val="auto"/>
              <w:rPr>
                <w:rFonts w:hint="eastAsia" w:ascii="宋体" w:hAnsi="宋体" w:eastAsia="宋体" w:cs="宋体"/>
                <w:color w:val="auto"/>
                <w:sz w:val="22"/>
                <w:szCs w:val="21"/>
              </w:rPr>
            </w:pPr>
            <w:r>
              <w:rPr>
                <w:rFonts w:hint="eastAsia" w:ascii="宋体" w:hAnsi="宋体" w:eastAsia="宋体" w:cs="宋体"/>
                <w:color w:val="auto"/>
                <w:sz w:val="22"/>
                <w:szCs w:val="21"/>
              </w:rPr>
              <w:t>（报价除外）</w:t>
            </w:r>
          </w:p>
        </w:tc>
        <w:tc>
          <w:tcPr>
            <w:tcW w:w="3165" w:type="dxa"/>
            <w:tcBorders>
              <w:tl2br w:val="nil"/>
              <w:tr2bl w:val="nil"/>
            </w:tcBorders>
          </w:tcPr>
          <w:p w14:paraId="4765474B">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1832" w:type="dxa"/>
            <w:tcBorders>
              <w:tl2br w:val="nil"/>
              <w:tr2bl w:val="nil"/>
            </w:tcBorders>
          </w:tcPr>
          <w:p w14:paraId="1484ABD3">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r>
      <w:tr w14:paraId="01D0A8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0CF5A359">
            <w:pPr>
              <w:pStyle w:val="39"/>
              <w:keepNext w:val="0"/>
              <w:keepLines w:val="0"/>
              <w:pageBreakBefore w:val="0"/>
              <w:widowControl w:val="0"/>
              <w:kinsoku/>
              <w:wordWrap/>
              <w:overflowPunct/>
              <w:topLinePunct w:val="0"/>
              <w:autoSpaceDE w:val="0"/>
              <w:autoSpaceDN w:val="0"/>
              <w:bidi w:val="0"/>
              <w:adjustRightInd/>
              <w:snapToGrid/>
              <w:spacing w:before="207" w:line="240" w:lineRule="auto"/>
              <w:ind w:left="0" w:right="0"/>
              <w:jc w:val="center"/>
              <w:textAlignment w:val="auto"/>
              <w:rPr>
                <w:rFonts w:hint="eastAsia" w:ascii="宋体" w:hAnsi="宋体" w:eastAsia="宋体" w:cs="宋体"/>
                <w:color w:val="auto"/>
                <w:sz w:val="22"/>
                <w:szCs w:val="21"/>
              </w:rPr>
            </w:pPr>
            <w:r>
              <w:rPr>
                <w:rFonts w:hint="eastAsia" w:ascii="宋体" w:hAnsi="宋体" w:eastAsia="宋体" w:cs="宋体"/>
                <w:color w:val="auto"/>
                <w:sz w:val="22"/>
                <w:szCs w:val="21"/>
              </w:rPr>
              <w:t>……</w:t>
            </w:r>
          </w:p>
        </w:tc>
        <w:tc>
          <w:tcPr>
            <w:tcW w:w="3165" w:type="dxa"/>
            <w:tcBorders>
              <w:tl2br w:val="nil"/>
              <w:tr2bl w:val="nil"/>
            </w:tcBorders>
          </w:tcPr>
          <w:p w14:paraId="1BBF597A">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1832" w:type="dxa"/>
            <w:tcBorders>
              <w:tl2br w:val="nil"/>
              <w:tr2bl w:val="nil"/>
            </w:tcBorders>
          </w:tcPr>
          <w:p w14:paraId="309852DA">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r>
      <w:tr w14:paraId="4647B9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04A22708">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3165" w:type="dxa"/>
            <w:tcBorders>
              <w:tl2br w:val="nil"/>
              <w:tr2bl w:val="nil"/>
            </w:tcBorders>
          </w:tcPr>
          <w:p w14:paraId="7D724637">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1832" w:type="dxa"/>
            <w:tcBorders>
              <w:tl2br w:val="nil"/>
              <w:tr2bl w:val="nil"/>
            </w:tcBorders>
          </w:tcPr>
          <w:p w14:paraId="728CA897">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r>
      <w:tr w14:paraId="288791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1EC61458">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3165" w:type="dxa"/>
            <w:tcBorders>
              <w:tl2br w:val="nil"/>
              <w:tr2bl w:val="nil"/>
            </w:tcBorders>
          </w:tcPr>
          <w:p w14:paraId="16152CEC">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1832" w:type="dxa"/>
            <w:tcBorders>
              <w:tl2br w:val="nil"/>
              <w:tr2bl w:val="nil"/>
            </w:tcBorders>
          </w:tcPr>
          <w:p w14:paraId="3E2A5AF5">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r>
      <w:tr w14:paraId="583DDD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144A6A5F">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3165" w:type="dxa"/>
            <w:tcBorders>
              <w:tl2br w:val="nil"/>
              <w:tr2bl w:val="nil"/>
            </w:tcBorders>
          </w:tcPr>
          <w:p w14:paraId="5F32F356">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1832" w:type="dxa"/>
            <w:tcBorders>
              <w:tl2br w:val="nil"/>
              <w:tr2bl w:val="nil"/>
            </w:tcBorders>
          </w:tcPr>
          <w:p w14:paraId="67E86495">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r>
      <w:tr w14:paraId="4CD921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467E638A">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3165" w:type="dxa"/>
            <w:tcBorders>
              <w:tl2br w:val="nil"/>
              <w:tr2bl w:val="nil"/>
            </w:tcBorders>
          </w:tcPr>
          <w:p w14:paraId="69E11F67">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1832" w:type="dxa"/>
            <w:tcBorders>
              <w:tl2br w:val="nil"/>
              <w:tr2bl w:val="nil"/>
            </w:tcBorders>
          </w:tcPr>
          <w:p w14:paraId="2BF2ADB7">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r>
      <w:tr w14:paraId="758B4F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06865C62">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3165" w:type="dxa"/>
            <w:tcBorders>
              <w:tl2br w:val="nil"/>
              <w:tr2bl w:val="nil"/>
            </w:tcBorders>
          </w:tcPr>
          <w:p w14:paraId="4692A10D">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1832" w:type="dxa"/>
            <w:tcBorders>
              <w:tl2br w:val="nil"/>
              <w:tr2bl w:val="nil"/>
            </w:tcBorders>
          </w:tcPr>
          <w:p w14:paraId="76DEF07F">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r>
      <w:tr w14:paraId="61961F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01BE0050">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3165" w:type="dxa"/>
            <w:tcBorders>
              <w:tl2br w:val="nil"/>
              <w:tr2bl w:val="nil"/>
            </w:tcBorders>
          </w:tcPr>
          <w:p w14:paraId="236D1FF3">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c>
          <w:tcPr>
            <w:tcW w:w="1832" w:type="dxa"/>
            <w:tcBorders>
              <w:tl2br w:val="nil"/>
              <w:tr2bl w:val="nil"/>
            </w:tcBorders>
          </w:tcPr>
          <w:p w14:paraId="0857FE98">
            <w:pPr>
              <w:pStyle w:val="39"/>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color w:val="auto"/>
                <w:sz w:val="21"/>
                <w:szCs w:val="21"/>
              </w:rPr>
            </w:pPr>
          </w:p>
        </w:tc>
      </w:tr>
    </w:tbl>
    <w:p w14:paraId="7479FA67">
      <w:pPr>
        <w:pStyle w:val="12"/>
        <w:tabs>
          <w:tab w:val="left" w:pos="4071"/>
        </w:tabs>
        <w:spacing w:before="114"/>
        <w:rPr>
          <w:rFonts w:hint="eastAsia" w:ascii="宋体" w:hAnsi="宋体" w:eastAsia="宋体" w:cs="宋体"/>
          <w:color w:val="auto"/>
          <w:sz w:val="22"/>
          <w:szCs w:val="22"/>
        </w:rPr>
      </w:pPr>
    </w:p>
    <w:p w14:paraId="776CF4A1">
      <w:pPr>
        <w:pStyle w:val="12"/>
        <w:rPr>
          <w:rFonts w:hint="eastAsia" w:ascii="宋体" w:hAnsi="宋体" w:eastAsia="宋体" w:cs="宋体"/>
          <w:color w:val="auto"/>
          <w:sz w:val="18"/>
          <w:szCs w:val="22"/>
        </w:rPr>
      </w:pPr>
    </w:p>
    <w:p w14:paraId="1F398B5E">
      <w:pPr>
        <w:pStyle w:val="13"/>
        <w:ind w:firstLine="0"/>
        <w:rPr>
          <w:rFonts w:hint="eastAsia" w:ascii="宋体" w:hAnsi="宋体" w:eastAsia="宋体" w:cs="宋体"/>
          <w:color w:val="auto"/>
          <w:sz w:val="18"/>
          <w:szCs w:val="18"/>
        </w:rPr>
      </w:pPr>
    </w:p>
    <w:p w14:paraId="4BA675E1">
      <w:pPr>
        <w:pStyle w:val="14"/>
        <w:ind w:left="0"/>
        <w:rPr>
          <w:rFonts w:hint="eastAsia" w:ascii="宋体" w:hAnsi="宋体" w:eastAsia="宋体" w:cs="宋体"/>
          <w:color w:val="auto"/>
          <w:sz w:val="21"/>
          <w:szCs w:val="18"/>
        </w:rPr>
      </w:pPr>
    </w:p>
    <w:p w14:paraId="2E95CDD8">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55D9B5D0">
      <w:pPr>
        <w:spacing w:before="67"/>
        <w:ind w:left="1217" w:right="1232"/>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rPr>
        <w:t>2</w:t>
      </w:r>
      <w:r>
        <w:rPr>
          <w:rFonts w:hint="eastAsia" w:ascii="宋体" w:hAnsi="宋体" w:eastAsia="宋体" w:cs="宋体"/>
          <w:b/>
          <w:bCs/>
          <w:color w:val="auto"/>
          <w:sz w:val="28"/>
          <w:szCs w:val="28"/>
        </w:rPr>
        <w:t>）投标函</w:t>
      </w:r>
    </w:p>
    <w:p w14:paraId="635C46F2">
      <w:pPr>
        <w:spacing w:line="360" w:lineRule="auto"/>
        <w:rPr>
          <w:rFonts w:hint="eastAsia" w:ascii="宋体" w:hAnsi="宋体" w:eastAsia="宋体" w:cs="宋体"/>
          <w:color w:val="auto"/>
          <w:sz w:val="22"/>
          <w:szCs w:val="22"/>
        </w:rPr>
      </w:pPr>
    </w:p>
    <w:p w14:paraId="4D4D6DDB">
      <w:pPr>
        <w:keepNext w:val="0"/>
        <w:keepLines w:val="0"/>
        <w:pageBreakBefore w:val="0"/>
        <w:widowControl w:val="0"/>
        <w:kinsoku/>
        <w:wordWrap w:val="0"/>
        <w:overflowPunct/>
        <w:topLinePunct w:val="0"/>
        <w:autoSpaceDE w:val="0"/>
        <w:autoSpaceDN w:val="0"/>
        <w:bidi w:val="0"/>
        <w:adjustRightIn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苍南县民政局</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浙江天平投资咨询有限公司</w:t>
      </w:r>
      <w:r>
        <w:rPr>
          <w:rFonts w:hint="eastAsia" w:ascii="宋体" w:hAnsi="宋体" w:eastAsia="宋体" w:cs="宋体"/>
          <w:color w:val="auto"/>
          <w:sz w:val="22"/>
          <w:szCs w:val="22"/>
        </w:rPr>
        <w:t>：</w:t>
      </w:r>
    </w:p>
    <w:p w14:paraId="035896FF">
      <w:pPr>
        <w:keepNext w:val="0"/>
        <w:keepLines w:val="0"/>
        <w:pageBreakBefore w:val="0"/>
        <w:widowControl w:val="0"/>
        <w:kinsoku/>
        <w:wordWrap w:val="0"/>
        <w:overflowPunct/>
        <w:topLinePunct w:val="0"/>
        <w:autoSpaceDE w:val="0"/>
        <w:autoSpaceDN w:val="0"/>
        <w:bidi w:val="0"/>
        <w:adjustRightInd/>
        <w:snapToGrid w:val="0"/>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我方参加你方组织的苍南县居家和社区基本养老服务提升行动项目【招标编号：</w:t>
      </w:r>
      <w:r>
        <w:rPr>
          <w:rFonts w:hint="eastAsia" w:cs="宋体"/>
          <w:color w:val="auto"/>
          <w:sz w:val="22"/>
          <w:szCs w:val="22"/>
          <w:lang w:eastAsia="zh-CN"/>
        </w:rPr>
        <w:t>CNDL2024207</w:t>
      </w:r>
      <w:r>
        <w:rPr>
          <w:rFonts w:hint="eastAsia" w:ascii="宋体" w:hAnsi="宋体" w:eastAsia="宋体" w:cs="宋体"/>
          <w:color w:val="auto"/>
          <w:sz w:val="22"/>
          <w:szCs w:val="22"/>
        </w:rPr>
        <w:t>】招标的有关活动，并对此项目进行投标。为此：</w:t>
      </w:r>
    </w:p>
    <w:p w14:paraId="0AC0B9C6">
      <w:pPr>
        <w:keepNext w:val="0"/>
        <w:keepLines w:val="0"/>
        <w:pageBreakBefore w:val="0"/>
        <w:widowControl w:val="0"/>
        <w:kinsoku/>
        <w:wordWrap w:val="0"/>
        <w:overflowPunct/>
        <w:topLinePunct w:val="0"/>
        <w:autoSpaceDE w:val="0"/>
        <w:autoSpaceDN w:val="0"/>
        <w:bidi w:val="0"/>
        <w:adjustRightInd/>
        <w:snapToGrid w:val="0"/>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1、我方承诺投标有效期从提交投标文件的截止之日起</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天</w:t>
      </w:r>
      <w:r>
        <w:rPr>
          <w:rFonts w:hint="eastAsia" w:ascii="宋体" w:hAnsi="宋体" w:eastAsia="宋体" w:cs="宋体"/>
          <w:b/>
          <w:bCs/>
          <w:color w:val="FF0000"/>
          <w:sz w:val="22"/>
          <w:szCs w:val="22"/>
        </w:rPr>
        <w:t>（不少于90天）</w:t>
      </w:r>
      <w:r>
        <w:rPr>
          <w:rFonts w:hint="eastAsia" w:ascii="宋体" w:hAnsi="宋体" w:eastAsia="宋体" w:cs="宋体"/>
          <w:color w:val="auto"/>
          <w:sz w:val="22"/>
          <w:szCs w:val="22"/>
        </w:rPr>
        <w:t>，本投标文件在投标有效期满之前均具有约束力。</w:t>
      </w:r>
    </w:p>
    <w:p w14:paraId="32073EAF">
      <w:pPr>
        <w:keepNext w:val="0"/>
        <w:keepLines w:val="0"/>
        <w:pageBreakBefore w:val="0"/>
        <w:widowControl w:val="0"/>
        <w:kinsoku/>
        <w:wordWrap/>
        <w:overflowPunct/>
        <w:topLinePunct w:val="0"/>
        <w:autoSpaceDE w:val="0"/>
        <w:autoSpaceDN w:val="0"/>
        <w:bidi w:val="0"/>
        <w:adjustRightInd/>
        <w:snapToGrid w:val="0"/>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2、我方的投标文件包括以下内容：</w:t>
      </w:r>
    </w:p>
    <w:p w14:paraId="0FF87CE7">
      <w:pPr>
        <w:keepNext w:val="0"/>
        <w:keepLines w:val="0"/>
        <w:pageBreakBefore w:val="0"/>
        <w:widowControl w:val="0"/>
        <w:kinsoku/>
        <w:wordWrap/>
        <w:overflowPunct/>
        <w:topLinePunct w:val="0"/>
        <w:autoSpaceDE w:val="0"/>
        <w:autoSpaceDN w:val="0"/>
        <w:bidi w:val="0"/>
        <w:adjustRightInd/>
        <w:snapToGrid w:val="0"/>
        <w:spacing w:line="360" w:lineRule="auto"/>
        <w:ind w:left="220" w:leftChars="10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资格</w:t>
      </w:r>
      <w:r>
        <w:rPr>
          <w:rFonts w:hint="eastAsia" w:cs="宋体"/>
          <w:color w:val="auto"/>
          <w:sz w:val="22"/>
          <w:szCs w:val="22"/>
          <w:lang w:val="en-US" w:eastAsia="zh-CN"/>
        </w:rPr>
        <w:t>审查</w:t>
      </w:r>
      <w:r>
        <w:rPr>
          <w:rFonts w:hint="eastAsia" w:ascii="宋体" w:hAnsi="宋体" w:eastAsia="宋体" w:cs="宋体"/>
          <w:color w:val="auto"/>
          <w:sz w:val="22"/>
          <w:szCs w:val="22"/>
        </w:rPr>
        <w:t>文件：</w:t>
      </w:r>
    </w:p>
    <w:p w14:paraId="30D419B7">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default" w:ascii="宋体" w:hAnsi="宋体" w:eastAsia="宋体" w:cs="宋体"/>
          <w:color w:val="auto"/>
          <w:sz w:val="22"/>
          <w:szCs w:val="22"/>
          <w:lang w:val="en-US" w:eastAsia="zh-CN"/>
        </w:rPr>
      </w:pPr>
      <w:r>
        <w:rPr>
          <w:rFonts w:hint="eastAsia" w:cs="宋体"/>
          <w:color w:val="auto"/>
          <w:sz w:val="22"/>
          <w:szCs w:val="22"/>
          <w:lang w:val="en-US" w:eastAsia="zh-CN"/>
        </w:rPr>
        <w:t>2.1.1 营业执照；</w:t>
      </w:r>
    </w:p>
    <w:p w14:paraId="51A60F79">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w:t>
      </w:r>
      <w:r>
        <w:rPr>
          <w:rFonts w:hint="eastAsia" w:cs="宋体"/>
          <w:color w:val="auto"/>
          <w:sz w:val="22"/>
          <w:szCs w:val="22"/>
          <w:lang w:val="en-US" w:eastAsia="zh-CN"/>
        </w:rPr>
        <w:t>2</w:t>
      </w:r>
      <w:r>
        <w:rPr>
          <w:rFonts w:hint="eastAsia" w:ascii="宋体" w:hAnsi="宋体" w:eastAsia="宋体" w:cs="宋体"/>
          <w:color w:val="auto"/>
          <w:sz w:val="22"/>
          <w:szCs w:val="22"/>
          <w:lang w:val="en-US" w:eastAsia="zh-CN"/>
        </w:rPr>
        <w:t xml:space="preserve"> 符合参加政府采购活动应当具备的一般条件的承诺函</w:t>
      </w:r>
      <w:r>
        <w:rPr>
          <w:rFonts w:hint="eastAsia" w:ascii="宋体" w:hAnsi="宋体" w:eastAsia="宋体" w:cs="宋体"/>
          <w:color w:val="auto"/>
          <w:sz w:val="22"/>
          <w:szCs w:val="22"/>
        </w:rPr>
        <w:t>；</w:t>
      </w:r>
    </w:p>
    <w:p w14:paraId="68FE9D0D">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w:t>
      </w:r>
      <w:r>
        <w:rPr>
          <w:rFonts w:hint="eastAsia" w:cs="宋体"/>
          <w:color w:val="auto"/>
          <w:sz w:val="22"/>
          <w:szCs w:val="22"/>
          <w:lang w:val="en-US" w:eastAsia="zh-CN"/>
        </w:rPr>
        <w:t>3</w:t>
      </w:r>
      <w:r>
        <w:rPr>
          <w:rFonts w:hint="eastAsia" w:ascii="宋体" w:hAnsi="宋体" w:eastAsia="宋体" w:cs="宋体"/>
          <w:color w:val="auto"/>
          <w:sz w:val="22"/>
          <w:szCs w:val="22"/>
          <w:lang w:val="en-US" w:eastAsia="zh-CN"/>
        </w:rPr>
        <w:t xml:space="preserve"> </w:t>
      </w:r>
      <w:r>
        <w:rPr>
          <w:rFonts w:hint="eastAsia" w:ascii="宋体" w:hAnsi="宋体" w:eastAsia="宋体" w:cs="宋体"/>
          <w:snapToGrid w:val="0"/>
          <w:color w:val="auto"/>
          <w:kern w:val="28"/>
          <w:sz w:val="22"/>
          <w:szCs w:val="22"/>
        </w:rPr>
        <w:t>联合协议</w:t>
      </w:r>
      <w:bookmarkStart w:id="146" w:name="_Hlk101257010"/>
      <w:r>
        <w:rPr>
          <w:rFonts w:hint="eastAsia" w:ascii="宋体" w:hAnsi="宋体" w:eastAsia="宋体" w:cs="宋体"/>
          <w:color w:val="auto"/>
          <w:sz w:val="22"/>
          <w:szCs w:val="22"/>
        </w:rPr>
        <w:t>（如果有)</w:t>
      </w:r>
      <w:bookmarkEnd w:id="146"/>
      <w:r>
        <w:rPr>
          <w:rFonts w:hint="eastAsia" w:ascii="宋体" w:hAnsi="宋体" w:eastAsia="宋体" w:cs="宋体"/>
          <w:snapToGrid w:val="0"/>
          <w:color w:val="auto"/>
          <w:kern w:val="28"/>
          <w:sz w:val="22"/>
          <w:szCs w:val="22"/>
        </w:rPr>
        <w:t>；</w:t>
      </w:r>
    </w:p>
    <w:p w14:paraId="345CCAE3">
      <w:pPr>
        <w:keepNext w:val="0"/>
        <w:keepLines w:val="0"/>
        <w:pageBreakBefore w:val="0"/>
        <w:widowControl w:val="0"/>
        <w:kinsoku/>
        <w:wordWrap/>
        <w:overflowPunct/>
        <w:topLinePunct w:val="0"/>
        <w:autoSpaceDE w:val="0"/>
        <w:autoSpaceDN w:val="0"/>
        <w:bidi w:val="0"/>
        <w:adjustRightInd/>
        <w:snapToGrid w:val="0"/>
        <w:spacing w:line="360" w:lineRule="auto"/>
        <w:ind w:left="220" w:leftChars="100" w:firstLine="440" w:firstLineChars="20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rPr>
        <w:t>2</w:t>
      </w:r>
      <w:r>
        <w:rPr>
          <w:rFonts w:hint="eastAsia" w:ascii="宋体" w:hAnsi="宋体" w:eastAsia="宋体" w:cs="宋体"/>
          <w:color w:val="auto"/>
          <w:sz w:val="22"/>
          <w:szCs w:val="22"/>
          <w:lang w:val="zh-CN"/>
        </w:rPr>
        <w:t>.</w:t>
      </w:r>
      <w:r>
        <w:rPr>
          <w:rFonts w:hint="eastAsia" w:ascii="宋体" w:hAnsi="宋体" w:eastAsia="宋体" w:cs="宋体"/>
          <w:color w:val="auto"/>
          <w:sz w:val="22"/>
          <w:szCs w:val="22"/>
        </w:rPr>
        <w:t>2</w:t>
      </w:r>
      <w:r>
        <w:rPr>
          <w:rFonts w:hint="eastAsia" w:ascii="宋体" w:hAnsi="宋体" w:eastAsia="宋体" w:cs="宋体"/>
          <w:color w:val="auto"/>
          <w:sz w:val="22"/>
          <w:szCs w:val="22"/>
          <w:lang w:val="zh-CN"/>
        </w:rPr>
        <w:t xml:space="preserve"> </w:t>
      </w:r>
      <w:r>
        <w:rPr>
          <w:rFonts w:hint="eastAsia" w:ascii="宋体" w:hAnsi="宋体" w:eastAsia="宋体" w:cs="宋体"/>
          <w:color w:val="auto"/>
          <w:sz w:val="22"/>
          <w:szCs w:val="22"/>
        </w:rPr>
        <w:t>商务技术</w:t>
      </w:r>
      <w:r>
        <w:rPr>
          <w:rFonts w:hint="eastAsia" w:ascii="宋体" w:hAnsi="宋体" w:eastAsia="宋体" w:cs="宋体"/>
          <w:color w:val="auto"/>
          <w:sz w:val="22"/>
          <w:szCs w:val="22"/>
          <w:lang w:val="zh-CN"/>
        </w:rPr>
        <w:t>文件：</w:t>
      </w:r>
    </w:p>
    <w:p w14:paraId="5C40DF6C">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2.2.1</w:t>
      </w:r>
      <w:r>
        <w:rPr>
          <w:rFonts w:hint="eastAsia" w:ascii="宋体" w:hAnsi="宋体" w:eastAsia="宋体" w:cs="宋体"/>
          <w:color w:val="auto"/>
          <w:sz w:val="22"/>
          <w:szCs w:val="22"/>
          <w:lang w:val="en-US" w:eastAsia="zh-CN"/>
        </w:rPr>
        <w:t xml:space="preserve"> 评分对应表；</w:t>
      </w:r>
    </w:p>
    <w:p w14:paraId="31ABDF33">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2.2.</w:t>
      </w:r>
      <w:r>
        <w:rPr>
          <w:rFonts w:hint="eastAsia" w:ascii="宋体" w:hAnsi="宋体" w:eastAsia="宋体" w:cs="宋体"/>
          <w:color w:val="auto"/>
          <w:sz w:val="22"/>
          <w:szCs w:val="22"/>
          <w:lang w:val="en-US" w:eastAsia="zh-CN"/>
        </w:rPr>
        <w:t>2</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eastAsia="zh-CN"/>
        </w:rPr>
        <w:t>响应函；</w:t>
      </w:r>
    </w:p>
    <w:p w14:paraId="28BF0AFD">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2.2.</w:t>
      </w:r>
      <w:r>
        <w:rPr>
          <w:rFonts w:hint="eastAsia" w:ascii="宋体" w:hAnsi="宋体" w:eastAsia="宋体" w:cs="宋体"/>
          <w:color w:val="auto"/>
          <w:sz w:val="22"/>
          <w:szCs w:val="22"/>
          <w:lang w:val="en-US" w:eastAsia="zh-CN"/>
        </w:rPr>
        <w:t>3</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eastAsia="zh-CN"/>
        </w:rPr>
        <w:t>授权委托书或法定代表人（单位负责人、自然人本人）身份证明；</w:t>
      </w:r>
    </w:p>
    <w:p w14:paraId="419E69AB">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2.2.</w:t>
      </w:r>
      <w:r>
        <w:rPr>
          <w:rFonts w:hint="eastAsia" w:ascii="宋体" w:hAnsi="宋体" w:eastAsia="宋体" w:cs="宋体"/>
          <w:color w:val="auto"/>
          <w:sz w:val="22"/>
          <w:szCs w:val="22"/>
          <w:lang w:val="en-US" w:eastAsia="zh-CN"/>
        </w:rPr>
        <w:t>4 投标人评审因素相关证书、认证；</w:t>
      </w:r>
    </w:p>
    <w:p w14:paraId="6D074414">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2.2.</w:t>
      </w:r>
      <w:r>
        <w:rPr>
          <w:rFonts w:hint="eastAsia" w:ascii="宋体" w:hAnsi="宋体" w:eastAsia="宋体" w:cs="宋体"/>
          <w:color w:val="auto"/>
          <w:sz w:val="22"/>
          <w:szCs w:val="22"/>
          <w:lang w:val="en-US" w:eastAsia="zh-CN"/>
        </w:rPr>
        <w:t>5 技术、商务偏离说明表；</w:t>
      </w:r>
    </w:p>
    <w:p w14:paraId="27099218">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2.2.</w:t>
      </w:r>
      <w:r>
        <w:rPr>
          <w:rFonts w:hint="eastAsia" w:ascii="宋体" w:hAnsi="宋体" w:eastAsia="宋体" w:cs="宋体"/>
          <w:color w:val="auto"/>
          <w:sz w:val="22"/>
          <w:szCs w:val="22"/>
          <w:lang w:val="en-US" w:eastAsia="zh-CN"/>
        </w:rPr>
        <w:t>6 投标人认为可以证明其能力或业绩的其他材料（提供项目实施情况一览表，并附合同等证明材料复印件或扫描件并加盖公章）；</w:t>
      </w:r>
    </w:p>
    <w:p w14:paraId="64DC7E95">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2.2.</w:t>
      </w:r>
      <w:r>
        <w:rPr>
          <w:rFonts w:hint="eastAsia" w:ascii="宋体" w:hAnsi="宋体" w:eastAsia="宋体" w:cs="宋体"/>
          <w:color w:val="auto"/>
          <w:sz w:val="22"/>
          <w:szCs w:val="22"/>
          <w:lang w:val="en-US" w:eastAsia="zh-CN"/>
        </w:rPr>
        <w:t>7 关于对招标文件中有关条款的拒绝声明；</w:t>
      </w:r>
      <w:r>
        <w:rPr>
          <w:rFonts w:hint="eastAsia" w:ascii="宋体" w:hAnsi="宋体" w:eastAsia="宋体" w:cs="宋体"/>
          <w:color w:val="auto"/>
          <w:sz w:val="22"/>
          <w:szCs w:val="22"/>
          <w:lang w:val="zh-CN" w:eastAsia="zh-CN"/>
        </w:rPr>
        <w:t>（如果有）</w:t>
      </w:r>
    </w:p>
    <w:p w14:paraId="5134A315">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cs="宋体"/>
          <w:color w:val="auto"/>
          <w:sz w:val="22"/>
          <w:szCs w:val="22"/>
          <w:lang w:val="en-US" w:eastAsia="zh-CN"/>
        </w:rPr>
      </w:pPr>
      <w:r>
        <w:rPr>
          <w:rFonts w:hint="eastAsia" w:cs="宋体"/>
          <w:color w:val="auto"/>
          <w:sz w:val="22"/>
          <w:szCs w:val="22"/>
          <w:lang w:val="en-US" w:eastAsia="zh-CN"/>
        </w:rPr>
        <w:t>2.2.8 投标产品清单、拟投入设备清单；</w:t>
      </w:r>
    </w:p>
    <w:p w14:paraId="10F58075">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2.2.</w:t>
      </w:r>
      <w:r>
        <w:rPr>
          <w:rFonts w:hint="eastAsia" w:cs="宋体"/>
          <w:color w:val="auto"/>
          <w:sz w:val="22"/>
          <w:szCs w:val="22"/>
          <w:lang w:val="en-US" w:eastAsia="zh-CN"/>
        </w:rPr>
        <w:t>9</w:t>
      </w:r>
      <w:r>
        <w:rPr>
          <w:rFonts w:hint="eastAsia" w:ascii="宋体" w:hAnsi="宋体" w:eastAsia="宋体" w:cs="宋体"/>
          <w:color w:val="auto"/>
          <w:sz w:val="22"/>
          <w:szCs w:val="22"/>
          <w:lang w:val="en-US" w:eastAsia="zh-CN"/>
        </w:rPr>
        <w:t xml:space="preserve"> 项目小组人员名单；</w:t>
      </w:r>
    </w:p>
    <w:p w14:paraId="2B1760B3">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2.2.</w:t>
      </w:r>
      <w:r>
        <w:rPr>
          <w:rFonts w:hint="eastAsia" w:cs="宋体"/>
          <w:color w:val="auto"/>
          <w:sz w:val="22"/>
          <w:szCs w:val="22"/>
          <w:lang w:val="en-US" w:eastAsia="zh-CN"/>
        </w:rPr>
        <w:t>10</w:t>
      </w:r>
      <w:r>
        <w:rPr>
          <w:rFonts w:hint="eastAsia" w:ascii="宋体" w:hAnsi="宋体" w:eastAsia="宋体" w:cs="宋体"/>
          <w:color w:val="auto"/>
          <w:sz w:val="22"/>
          <w:szCs w:val="22"/>
          <w:lang w:val="en-US" w:eastAsia="zh-CN"/>
        </w:rPr>
        <w:t xml:space="preserve"> 其他评标标准相应的商务技术资料；</w:t>
      </w:r>
    </w:p>
    <w:p w14:paraId="73A5E54E">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2.2.</w:t>
      </w:r>
      <w:r>
        <w:rPr>
          <w:rFonts w:hint="eastAsia" w:cs="宋体"/>
          <w:color w:val="auto"/>
          <w:sz w:val="22"/>
          <w:szCs w:val="22"/>
          <w:lang w:val="en-US" w:eastAsia="zh-CN"/>
        </w:rPr>
        <w:t>11</w:t>
      </w:r>
      <w:r>
        <w:rPr>
          <w:rFonts w:hint="eastAsia" w:ascii="宋体" w:hAnsi="宋体" w:eastAsia="宋体" w:cs="宋体"/>
          <w:color w:val="auto"/>
          <w:sz w:val="22"/>
          <w:szCs w:val="22"/>
          <w:lang w:val="en-US" w:eastAsia="zh-CN"/>
        </w:rPr>
        <w:t xml:space="preserve"> </w:t>
      </w:r>
      <w:r>
        <w:rPr>
          <w:rFonts w:hint="eastAsia" w:cs="宋体"/>
          <w:color w:val="auto"/>
          <w:sz w:val="22"/>
          <w:szCs w:val="22"/>
          <w:lang w:val="en-US" w:eastAsia="zh-CN"/>
        </w:rPr>
        <w:t>投标人</w:t>
      </w:r>
      <w:r>
        <w:rPr>
          <w:rFonts w:hint="eastAsia" w:ascii="宋体" w:hAnsi="宋体" w:eastAsia="宋体" w:cs="宋体"/>
          <w:color w:val="auto"/>
          <w:sz w:val="22"/>
          <w:szCs w:val="22"/>
          <w:lang w:val="en-US" w:eastAsia="zh-CN"/>
        </w:rPr>
        <w:t>认为需要的其他技术文件或说明；（如果有）</w:t>
      </w:r>
    </w:p>
    <w:p w14:paraId="60127444">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rPr>
        <w:t>2.2.</w:t>
      </w:r>
      <w:r>
        <w:rPr>
          <w:rFonts w:hint="eastAsia" w:cs="宋体"/>
          <w:color w:val="auto"/>
          <w:sz w:val="22"/>
          <w:szCs w:val="22"/>
          <w:lang w:val="en-US" w:eastAsia="zh-CN"/>
        </w:rPr>
        <w:t>12</w:t>
      </w:r>
      <w:r>
        <w:rPr>
          <w:rFonts w:hint="eastAsia" w:ascii="宋体" w:hAnsi="宋体" w:eastAsia="宋体" w:cs="宋体"/>
          <w:color w:val="auto"/>
          <w:sz w:val="22"/>
          <w:szCs w:val="22"/>
          <w:lang w:val="en-US" w:eastAsia="zh-CN"/>
        </w:rPr>
        <w:t xml:space="preserve"> 政府采购供应商廉洁自律承诺书</w:t>
      </w:r>
      <w:r>
        <w:rPr>
          <w:rFonts w:hint="eastAsia" w:ascii="宋体" w:hAnsi="宋体" w:eastAsia="宋体" w:cs="宋体"/>
          <w:color w:val="auto"/>
          <w:sz w:val="22"/>
          <w:szCs w:val="22"/>
          <w:lang w:val="zh-CN"/>
        </w:rPr>
        <w:t>；</w:t>
      </w:r>
    </w:p>
    <w:p w14:paraId="0964FE6A">
      <w:pPr>
        <w:keepNext w:val="0"/>
        <w:keepLines w:val="0"/>
        <w:pageBreakBefore w:val="0"/>
        <w:widowControl w:val="0"/>
        <w:kinsoku/>
        <w:wordWrap/>
        <w:overflowPunct/>
        <w:topLinePunct w:val="0"/>
        <w:autoSpaceDE w:val="0"/>
        <w:autoSpaceDN w:val="0"/>
        <w:bidi w:val="0"/>
        <w:adjustRightInd/>
        <w:snapToGrid w:val="0"/>
        <w:spacing w:line="360" w:lineRule="auto"/>
        <w:ind w:left="220" w:leftChars="10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zh-CN"/>
        </w:rPr>
        <w:t>.</w:t>
      </w:r>
      <w:r>
        <w:rPr>
          <w:rFonts w:hint="eastAsia" w:ascii="宋体" w:hAnsi="宋体" w:eastAsia="宋体" w:cs="宋体"/>
          <w:color w:val="auto"/>
          <w:sz w:val="22"/>
          <w:szCs w:val="22"/>
        </w:rPr>
        <w:t>3</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报价文件</w:t>
      </w:r>
    </w:p>
    <w:p w14:paraId="720B3BA2">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2.3.1</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开标一览表（报价表）；</w:t>
      </w:r>
    </w:p>
    <w:p w14:paraId="5920AA13">
      <w:pPr>
        <w:keepNext w:val="0"/>
        <w:keepLines w:val="0"/>
        <w:pageBreakBefore w:val="0"/>
        <w:widowControl w:val="0"/>
        <w:kinsoku/>
        <w:wordWrap/>
        <w:overflowPunct/>
        <w:topLinePunct w:val="0"/>
        <w:autoSpaceDE w:val="0"/>
        <w:autoSpaceDN w:val="0"/>
        <w:bidi w:val="0"/>
        <w:adjustRightInd/>
        <w:snapToGrid w:val="0"/>
        <w:spacing w:line="360" w:lineRule="auto"/>
        <w:ind w:left="440" w:leftChars="20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2.3.2</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1"/>
        </w:rPr>
        <w:t>《中小企业声明函（工程、服务）》/监狱企业证明文件（如有）/《残疾人福利性单位声明函》</w:t>
      </w:r>
      <w:r>
        <w:rPr>
          <w:rFonts w:hint="eastAsia" w:ascii="宋体" w:hAnsi="宋体" w:eastAsia="宋体" w:cs="宋体"/>
          <w:color w:val="auto"/>
          <w:sz w:val="22"/>
          <w:szCs w:val="22"/>
        </w:rPr>
        <w:t>。（如果有）</w:t>
      </w:r>
    </w:p>
    <w:p w14:paraId="47B8C986">
      <w:pPr>
        <w:keepNext w:val="0"/>
        <w:keepLines w:val="0"/>
        <w:pageBreakBefore w:val="0"/>
        <w:widowControl w:val="0"/>
        <w:kinsoku/>
        <w:wordWrap/>
        <w:overflowPunct/>
        <w:topLinePunct w:val="0"/>
        <w:autoSpaceDE w:val="0"/>
        <w:autoSpaceDN w:val="0"/>
        <w:bidi w:val="0"/>
        <w:adjustRightInd/>
        <w:snapToGrid w:val="0"/>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3、我方承诺除商务技术偏离表列出的偏离外，我方响应招标文件的全部要求。</w:t>
      </w:r>
    </w:p>
    <w:p w14:paraId="7B8ACC1F">
      <w:pPr>
        <w:keepNext w:val="0"/>
        <w:keepLines w:val="0"/>
        <w:pageBreakBefore w:val="0"/>
        <w:widowControl w:val="0"/>
        <w:kinsoku/>
        <w:wordWrap/>
        <w:overflowPunct/>
        <w:topLinePunct w:val="0"/>
        <w:autoSpaceDE w:val="0"/>
        <w:autoSpaceDN w:val="0"/>
        <w:bidi w:val="0"/>
        <w:adjustRightInd/>
        <w:snapToGrid w:val="0"/>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4、如我方中标，我方承诺：</w:t>
      </w:r>
    </w:p>
    <w:p w14:paraId="1231CF0D">
      <w:pPr>
        <w:keepNext w:val="0"/>
        <w:keepLines w:val="0"/>
        <w:pageBreakBefore w:val="0"/>
        <w:widowControl w:val="0"/>
        <w:kinsoku/>
        <w:wordWrap/>
        <w:overflowPunct/>
        <w:topLinePunct w:val="0"/>
        <w:autoSpaceDE w:val="0"/>
        <w:autoSpaceDN w:val="0"/>
        <w:bidi w:val="0"/>
        <w:adjustRightInd/>
        <w:snapToGrid w:val="0"/>
        <w:spacing w:line="360" w:lineRule="auto"/>
        <w:ind w:left="220" w:leftChars="10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4.1</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在收到中标通知书后，在中标通知书规定的期限内与你方签订合同； </w:t>
      </w:r>
    </w:p>
    <w:p w14:paraId="3B23A11E">
      <w:pPr>
        <w:keepNext w:val="0"/>
        <w:keepLines w:val="0"/>
        <w:pageBreakBefore w:val="0"/>
        <w:widowControl w:val="0"/>
        <w:kinsoku/>
        <w:wordWrap/>
        <w:overflowPunct/>
        <w:topLinePunct w:val="0"/>
        <w:autoSpaceDE w:val="0"/>
        <w:autoSpaceDN w:val="0"/>
        <w:bidi w:val="0"/>
        <w:adjustRightInd/>
        <w:snapToGrid w:val="0"/>
        <w:spacing w:line="360" w:lineRule="auto"/>
        <w:ind w:left="220" w:leftChars="10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4.2</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在签订合同时不向你方提出附加条件； </w:t>
      </w:r>
    </w:p>
    <w:p w14:paraId="563A7024">
      <w:pPr>
        <w:keepNext w:val="0"/>
        <w:keepLines w:val="0"/>
        <w:pageBreakBefore w:val="0"/>
        <w:widowControl w:val="0"/>
        <w:kinsoku/>
        <w:wordWrap/>
        <w:overflowPunct/>
        <w:topLinePunct w:val="0"/>
        <w:autoSpaceDE w:val="0"/>
        <w:autoSpaceDN w:val="0"/>
        <w:bidi w:val="0"/>
        <w:adjustRightInd/>
        <w:snapToGrid w:val="0"/>
        <w:spacing w:line="360" w:lineRule="auto"/>
        <w:ind w:left="220" w:leftChars="10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4.3</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按照招标文件要求提交履约保证金； </w:t>
      </w:r>
    </w:p>
    <w:p w14:paraId="63AD2FC8">
      <w:pPr>
        <w:keepNext w:val="0"/>
        <w:keepLines w:val="0"/>
        <w:pageBreakBefore w:val="0"/>
        <w:widowControl w:val="0"/>
        <w:kinsoku/>
        <w:wordWrap/>
        <w:overflowPunct/>
        <w:topLinePunct w:val="0"/>
        <w:autoSpaceDE w:val="0"/>
        <w:autoSpaceDN w:val="0"/>
        <w:bidi w:val="0"/>
        <w:adjustRightInd/>
        <w:snapToGrid w:val="0"/>
        <w:spacing w:line="360" w:lineRule="auto"/>
        <w:ind w:left="220" w:leftChars="10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4.4</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在合同约定的期限内完成合同规定的全部义务。 </w:t>
      </w:r>
    </w:p>
    <w:p w14:paraId="5B8B199D">
      <w:pPr>
        <w:keepNext w:val="0"/>
        <w:keepLines w:val="0"/>
        <w:pageBreakBefore w:val="0"/>
        <w:widowControl w:val="0"/>
        <w:kinsoku/>
        <w:wordWrap/>
        <w:overflowPunct/>
        <w:topLinePunct w:val="0"/>
        <w:autoSpaceDE w:val="0"/>
        <w:autoSpaceDN w:val="0"/>
        <w:bidi w:val="0"/>
        <w:adjustRightInd/>
        <w:snapToGrid w:val="0"/>
        <w:spacing w:line="360" w:lineRule="auto"/>
        <w:ind w:left="220" w:leftChars="10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5、其他补充说明:</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14:paraId="2EA15A04">
      <w:pPr>
        <w:keepNext w:val="0"/>
        <w:keepLines w:val="0"/>
        <w:pageBreakBefore w:val="0"/>
        <w:widowControl w:val="0"/>
        <w:kinsoku/>
        <w:wordWrap/>
        <w:overflowPunct/>
        <w:topLinePunct w:val="0"/>
        <w:autoSpaceDE w:val="0"/>
        <w:autoSpaceDN w:val="0"/>
        <w:bidi w:val="0"/>
        <w:adjustRightInd/>
        <w:spacing w:line="360" w:lineRule="auto"/>
        <w:ind w:firstLine="5940" w:firstLineChars="2700"/>
        <w:textAlignment w:val="auto"/>
        <w:rPr>
          <w:rFonts w:hint="eastAsia" w:ascii="宋体" w:hAnsi="宋体" w:eastAsia="宋体" w:cs="宋体"/>
          <w:color w:val="auto"/>
          <w:sz w:val="22"/>
          <w:szCs w:val="22"/>
        </w:rPr>
      </w:pPr>
    </w:p>
    <w:p w14:paraId="2387E377">
      <w:pPr>
        <w:keepNext w:val="0"/>
        <w:keepLines w:val="0"/>
        <w:pageBreakBefore w:val="0"/>
        <w:widowControl w:val="0"/>
        <w:kinsoku/>
        <w:wordWrap/>
        <w:overflowPunct/>
        <w:topLinePunct w:val="0"/>
        <w:autoSpaceDE w:val="0"/>
        <w:autoSpaceDN w:val="0"/>
        <w:bidi w:val="0"/>
        <w:adjustRightInd/>
        <w:spacing w:line="360" w:lineRule="auto"/>
        <w:ind w:firstLine="4400" w:firstLineChars="20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投标人名称（电子签名</w:t>
      </w:r>
      <w:r>
        <w:rPr>
          <w:rFonts w:hint="eastAsia" w:ascii="宋体" w:hAnsi="宋体" w:eastAsia="宋体" w:cs="宋体"/>
          <w:color w:val="auto"/>
          <w:kern w:val="0"/>
          <w:sz w:val="22"/>
          <w:szCs w:val="22"/>
          <w:lang w:val="zh-CN"/>
        </w:rPr>
        <w:t>/公章</w:t>
      </w:r>
      <w:r>
        <w:rPr>
          <w:rFonts w:hint="eastAsia" w:ascii="宋体" w:hAnsi="宋体" w:eastAsia="宋体" w:cs="宋体"/>
          <w:color w:val="auto"/>
          <w:sz w:val="22"/>
          <w:szCs w:val="22"/>
        </w:rPr>
        <w:t>）：</w:t>
      </w:r>
    </w:p>
    <w:p w14:paraId="42697752">
      <w:pPr>
        <w:keepNext w:val="0"/>
        <w:keepLines w:val="0"/>
        <w:pageBreakBefore w:val="0"/>
        <w:widowControl w:val="0"/>
        <w:kinsoku/>
        <w:wordWrap/>
        <w:overflowPunct/>
        <w:topLinePunct w:val="0"/>
        <w:autoSpaceDE w:val="0"/>
        <w:autoSpaceDN w:val="0"/>
        <w:bidi w:val="0"/>
        <w:adjustRightInd/>
        <w:spacing w:line="360" w:lineRule="auto"/>
        <w:ind w:firstLine="4400" w:firstLineChars="20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14:paraId="074B8196">
      <w:pPr>
        <w:spacing w:line="360" w:lineRule="auto"/>
        <w:rPr>
          <w:rFonts w:hint="eastAsia" w:ascii="宋体" w:hAnsi="宋体" w:eastAsia="宋体" w:cs="宋体"/>
          <w:color w:val="auto"/>
          <w:sz w:val="22"/>
          <w:szCs w:val="21"/>
          <w:u w:val="single"/>
        </w:rPr>
      </w:pPr>
      <w:r>
        <w:rPr>
          <w:rFonts w:hint="eastAsia" w:ascii="宋体" w:hAnsi="宋体" w:eastAsia="宋体" w:cs="宋体"/>
          <w:color w:val="auto"/>
          <w:sz w:val="22"/>
          <w:szCs w:val="22"/>
        </w:rPr>
        <w:t>注：按本格式和要求提供。</w:t>
      </w:r>
      <w:r>
        <w:rPr>
          <w:rFonts w:hint="eastAsia" w:ascii="宋体" w:hAnsi="宋体" w:eastAsia="宋体" w:cs="宋体"/>
          <w:color w:val="auto"/>
          <w:sz w:val="22"/>
          <w:szCs w:val="21"/>
          <w:u w:val="single"/>
        </w:rPr>
        <w:br w:type="page"/>
      </w:r>
    </w:p>
    <w:p w14:paraId="77E8B4EB">
      <w:pPr>
        <w:pStyle w:val="33"/>
        <w:rPr>
          <w:rFonts w:hint="eastAsia" w:ascii="宋体" w:hAnsi="宋体" w:eastAsia="宋体" w:cs="宋体"/>
          <w:color w:val="auto"/>
          <w:sz w:val="16"/>
          <w:szCs w:val="21"/>
        </w:rPr>
      </w:pPr>
    </w:p>
    <w:p w14:paraId="258F16E6">
      <w:pPr>
        <w:jc w:val="center"/>
        <w:rPr>
          <w:rFonts w:hint="eastAsia"/>
          <w:b/>
          <w:bCs/>
          <w:color w:val="auto"/>
          <w:sz w:val="28"/>
          <w:szCs w:val="28"/>
          <w:lang w:val="en-US" w:eastAsia="zh-CN"/>
        </w:rPr>
      </w:pPr>
      <w:r>
        <w:rPr>
          <w:rFonts w:hint="eastAsia"/>
          <w:b/>
          <w:bCs/>
          <w:color w:val="auto"/>
          <w:sz w:val="28"/>
          <w:szCs w:val="28"/>
          <w:lang w:val="en-US" w:eastAsia="zh-CN"/>
        </w:rPr>
        <w:t>（3）授权委托书或法定代表人（单位负责人、自然人本人）身份证明</w:t>
      </w:r>
    </w:p>
    <w:p w14:paraId="4ABD887F">
      <w:pPr>
        <w:spacing w:before="67"/>
        <w:ind w:left="1217" w:right="1232"/>
        <w:jc w:val="center"/>
        <w:rPr>
          <w:rFonts w:hint="eastAsia" w:ascii="宋体" w:hAnsi="宋体" w:eastAsia="宋体" w:cs="宋体"/>
          <w:b/>
          <w:bCs/>
          <w:color w:val="auto"/>
          <w:sz w:val="28"/>
          <w:szCs w:val="28"/>
          <w:lang w:val="en-US" w:eastAsia="zh-CN"/>
        </w:rPr>
      </w:pPr>
    </w:p>
    <w:p w14:paraId="4ABEEA26">
      <w:pPr>
        <w:spacing w:before="67"/>
        <w:ind w:left="1217" w:right="1232"/>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授权委托书</w:t>
      </w:r>
      <w:r>
        <w:rPr>
          <w:rFonts w:hint="eastAsia" w:cs="宋体"/>
          <w:b/>
          <w:bCs/>
          <w:color w:val="auto"/>
          <w:sz w:val="28"/>
          <w:szCs w:val="28"/>
          <w:lang w:val="en-US" w:eastAsia="zh-CN"/>
        </w:rPr>
        <w:t>（适用于非联合体投标）</w:t>
      </w:r>
    </w:p>
    <w:p w14:paraId="7BE499D9">
      <w:pPr>
        <w:pStyle w:val="3"/>
        <w:adjustRightInd w:val="0"/>
        <w:snapToGrid w:val="0"/>
        <w:spacing w:line="340" w:lineRule="atLeast"/>
        <w:rPr>
          <w:rFonts w:hint="eastAsia" w:ascii="宋体" w:hAnsi="宋体" w:eastAsia="宋体" w:cs="宋体"/>
          <w:color w:val="auto"/>
          <w:kern w:val="2"/>
          <w:sz w:val="22"/>
          <w:szCs w:val="22"/>
          <w:u w:val="single"/>
        </w:rPr>
      </w:pPr>
    </w:p>
    <w:p w14:paraId="49EBBCF8">
      <w:pPr>
        <w:pStyle w:val="3"/>
        <w:adjustRightInd w:val="0"/>
        <w:snapToGrid w:val="0"/>
        <w:spacing w:line="360" w:lineRule="auto"/>
        <w:rPr>
          <w:rFonts w:hint="eastAsia" w:ascii="宋体" w:hAnsi="宋体" w:eastAsia="宋体" w:cs="宋体"/>
          <w:color w:val="auto"/>
          <w:kern w:val="2"/>
          <w:sz w:val="22"/>
          <w:szCs w:val="22"/>
          <w:u w:val="single"/>
        </w:rPr>
      </w:pPr>
      <w:r>
        <w:rPr>
          <w:rFonts w:hint="eastAsia" w:ascii="宋体" w:hAnsi="宋体" w:eastAsia="宋体" w:cs="宋体"/>
          <w:color w:val="auto"/>
          <w:kern w:val="2"/>
          <w:sz w:val="22"/>
          <w:szCs w:val="22"/>
          <w:u w:val="single"/>
          <w:lang w:eastAsia="zh-CN"/>
        </w:rPr>
        <w:t>苍南县民政局、</w:t>
      </w:r>
      <w:r>
        <w:rPr>
          <w:rFonts w:hint="eastAsia" w:ascii="宋体" w:hAnsi="宋体" w:eastAsia="宋体" w:cs="宋体"/>
          <w:color w:val="auto"/>
          <w:kern w:val="2"/>
          <w:sz w:val="22"/>
          <w:szCs w:val="22"/>
          <w:u w:val="single"/>
          <w:lang w:val="en-US" w:eastAsia="zh-CN"/>
        </w:rPr>
        <w:t>浙江天平投资咨询有限公司</w:t>
      </w:r>
      <w:r>
        <w:rPr>
          <w:rFonts w:hint="eastAsia" w:ascii="宋体" w:hAnsi="宋体" w:eastAsia="宋体" w:cs="宋体"/>
          <w:color w:val="auto"/>
          <w:kern w:val="2"/>
          <w:sz w:val="22"/>
          <w:szCs w:val="22"/>
          <w:u w:val="single"/>
        </w:rPr>
        <w:t>：</w:t>
      </w:r>
    </w:p>
    <w:p w14:paraId="5A96182A">
      <w:pPr>
        <w:snapToGrid w:val="0"/>
        <w:spacing w:line="360" w:lineRule="auto"/>
        <w:ind w:firstLine="576"/>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现</w:t>
      </w:r>
      <w:r>
        <w:rPr>
          <w:rFonts w:hint="eastAsia" w:ascii="宋体" w:hAnsi="宋体" w:eastAsia="宋体" w:cs="宋体"/>
          <w:color w:val="auto"/>
          <w:kern w:val="0"/>
          <w:sz w:val="22"/>
          <w:szCs w:val="22"/>
          <w:lang w:val="zh-CN"/>
        </w:rPr>
        <w:t>委托</w:t>
      </w:r>
      <w:r>
        <w:rPr>
          <w:rFonts w:hint="eastAsia" w:ascii="宋体" w:hAnsi="宋体" w:eastAsia="宋体" w:cs="宋体"/>
          <w:color w:val="auto"/>
          <w:kern w:val="0"/>
          <w:sz w:val="22"/>
          <w:szCs w:val="22"/>
          <w:u w:val="single"/>
          <w:lang w:val="zh-CN"/>
        </w:rPr>
        <w:t xml:space="preserve">          </w:t>
      </w:r>
      <w:r>
        <w:rPr>
          <w:rFonts w:hint="eastAsia" w:ascii="宋体" w:hAnsi="宋体" w:eastAsia="宋体" w:cs="宋体"/>
          <w:color w:val="auto"/>
          <w:kern w:val="0"/>
          <w:sz w:val="22"/>
          <w:szCs w:val="22"/>
          <w:lang w:val="zh-CN"/>
        </w:rPr>
        <w:t>（姓名）为我方代理人（身份证号码：</w:t>
      </w:r>
      <w:r>
        <w:rPr>
          <w:rFonts w:hint="eastAsia" w:ascii="宋体" w:hAnsi="宋体" w:eastAsia="宋体" w:cs="宋体"/>
          <w:color w:val="auto"/>
          <w:kern w:val="0"/>
          <w:sz w:val="22"/>
          <w:szCs w:val="22"/>
          <w:u w:val="single"/>
          <w:lang w:val="zh-CN"/>
        </w:rPr>
        <w:t xml:space="preserve">  </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u w:val="single"/>
          <w:lang w:val="zh-CN"/>
        </w:rPr>
        <w:t xml:space="preserve">        </w:t>
      </w:r>
      <w:r>
        <w:rPr>
          <w:rFonts w:hint="eastAsia" w:ascii="宋体" w:hAnsi="宋体" w:eastAsia="宋体" w:cs="宋体"/>
          <w:color w:val="auto"/>
          <w:kern w:val="0"/>
          <w:sz w:val="22"/>
          <w:szCs w:val="22"/>
          <w:lang w:val="zh-CN"/>
        </w:rPr>
        <w:t>，手机：</w:t>
      </w:r>
      <w:r>
        <w:rPr>
          <w:rFonts w:hint="eastAsia" w:ascii="宋体" w:hAnsi="宋体" w:eastAsia="宋体" w:cs="宋体"/>
          <w:color w:val="auto"/>
          <w:kern w:val="0"/>
          <w:sz w:val="22"/>
          <w:szCs w:val="22"/>
          <w:u w:val="single"/>
          <w:lang w:val="zh-CN"/>
        </w:rPr>
        <w:t xml:space="preserve">          </w:t>
      </w:r>
      <w:r>
        <w:rPr>
          <w:rFonts w:hint="eastAsia" w:ascii="宋体" w:hAnsi="宋体" w:eastAsia="宋体" w:cs="宋体"/>
          <w:color w:val="auto"/>
          <w:kern w:val="0"/>
          <w:sz w:val="22"/>
          <w:szCs w:val="22"/>
          <w:lang w:val="zh-CN"/>
        </w:rPr>
        <w:t>），以我方名义处理</w:t>
      </w:r>
      <w:r>
        <w:rPr>
          <w:rFonts w:hint="eastAsia" w:ascii="宋体" w:hAnsi="宋体" w:eastAsia="宋体" w:cs="宋体"/>
          <w:color w:val="auto"/>
          <w:sz w:val="22"/>
          <w:szCs w:val="22"/>
          <w:u w:val="single"/>
        </w:rPr>
        <w:t>苍南县居家和社区基本养老服务提升行动项目</w:t>
      </w:r>
      <w:r>
        <w:rPr>
          <w:rFonts w:hint="eastAsia" w:ascii="宋体" w:hAnsi="宋体" w:eastAsia="宋体" w:cs="宋体"/>
          <w:color w:val="auto"/>
          <w:sz w:val="22"/>
          <w:szCs w:val="22"/>
        </w:rPr>
        <w:t>【招标编号：</w:t>
      </w:r>
      <w:r>
        <w:rPr>
          <w:rFonts w:hint="eastAsia" w:cs="宋体"/>
          <w:color w:val="auto"/>
          <w:sz w:val="22"/>
          <w:szCs w:val="22"/>
          <w:u w:val="single"/>
          <w:lang w:eastAsia="zh-CN"/>
        </w:rPr>
        <w:t>CNDL2024207</w:t>
      </w:r>
      <w:r>
        <w:rPr>
          <w:rFonts w:hint="eastAsia" w:ascii="宋体" w:hAnsi="宋体" w:eastAsia="宋体" w:cs="宋体"/>
          <w:color w:val="auto"/>
          <w:sz w:val="22"/>
          <w:szCs w:val="22"/>
        </w:rPr>
        <w:t>】</w:t>
      </w:r>
      <w:r>
        <w:rPr>
          <w:rFonts w:hint="eastAsia" w:ascii="宋体" w:hAnsi="宋体" w:eastAsia="宋体" w:cs="宋体"/>
          <w:color w:val="auto"/>
          <w:kern w:val="0"/>
          <w:sz w:val="22"/>
          <w:szCs w:val="22"/>
          <w:lang w:val="zh-CN"/>
        </w:rPr>
        <w:t>政府采购投标的一切事项，其法律后果由我方承担。</w:t>
      </w:r>
    </w:p>
    <w:p w14:paraId="312A794C">
      <w:pPr>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zh-CN"/>
        </w:rPr>
        <w:t>委托期限</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zh-CN"/>
        </w:rPr>
        <w:t>自</w:t>
      </w:r>
      <w:r>
        <w:rPr>
          <w:rFonts w:hint="eastAsia" w:ascii="宋体" w:hAnsi="宋体" w:eastAsia="宋体" w:cs="宋体"/>
          <w:color w:val="auto"/>
          <w:kern w:val="0"/>
          <w:sz w:val="22"/>
          <w:szCs w:val="22"/>
        </w:rPr>
        <w:t xml:space="preserve">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rPr>
        <w:t xml:space="preserve"> </w:t>
      </w:r>
      <w:r>
        <w:rPr>
          <w:rFonts w:hint="eastAsia" w:ascii="宋体" w:hAnsi="宋体" w:eastAsia="宋体" w:cs="宋体"/>
          <w:color w:val="auto"/>
          <w:kern w:val="0"/>
          <w:sz w:val="22"/>
          <w:szCs w:val="22"/>
          <w:lang w:val="zh-CN"/>
        </w:rPr>
        <w:t>年</w:t>
      </w:r>
      <w:r>
        <w:rPr>
          <w:rFonts w:hint="eastAsia" w:ascii="宋体" w:hAnsi="宋体" w:eastAsia="宋体" w:cs="宋体"/>
          <w:color w:val="auto"/>
          <w:kern w:val="0"/>
          <w:sz w:val="22"/>
          <w:szCs w:val="22"/>
        </w:rPr>
        <w:t xml:space="preserve">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lang w:val="zh-CN"/>
        </w:rPr>
        <w:t>月</w:t>
      </w:r>
      <w:r>
        <w:rPr>
          <w:rFonts w:hint="eastAsia" w:ascii="宋体" w:hAnsi="宋体" w:eastAsia="宋体" w:cs="宋体"/>
          <w:color w:val="auto"/>
          <w:kern w:val="0"/>
          <w:sz w:val="22"/>
          <w:szCs w:val="22"/>
        </w:rPr>
        <w:t xml:space="preserve">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rPr>
        <w:t xml:space="preserve"> </w:t>
      </w:r>
      <w:r>
        <w:rPr>
          <w:rFonts w:hint="eastAsia" w:ascii="宋体" w:hAnsi="宋体" w:eastAsia="宋体" w:cs="宋体"/>
          <w:color w:val="auto"/>
          <w:kern w:val="0"/>
          <w:sz w:val="22"/>
          <w:szCs w:val="22"/>
          <w:lang w:val="zh-CN"/>
        </w:rPr>
        <w:t>日起至</w:t>
      </w:r>
      <w:r>
        <w:rPr>
          <w:rFonts w:hint="eastAsia" w:ascii="宋体" w:hAnsi="宋体" w:eastAsia="宋体" w:cs="宋体"/>
          <w:color w:val="auto"/>
          <w:kern w:val="0"/>
          <w:sz w:val="22"/>
          <w:szCs w:val="22"/>
        </w:rPr>
        <w:t xml:space="preserve">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lang w:val="zh-CN"/>
        </w:rPr>
        <w:t>年</w:t>
      </w:r>
      <w:r>
        <w:rPr>
          <w:rFonts w:hint="eastAsia" w:ascii="宋体" w:hAnsi="宋体" w:eastAsia="宋体" w:cs="宋体"/>
          <w:color w:val="auto"/>
          <w:kern w:val="0"/>
          <w:sz w:val="22"/>
          <w:szCs w:val="22"/>
        </w:rPr>
        <w:t xml:space="preserve">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rPr>
        <w:t xml:space="preserve"> </w:t>
      </w:r>
      <w:r>
        <w:rPr>
          <w:rFonts w:hint="eastAsia" w:ascii="宋体" w:hAnsi="宋体" w:eastAsia="宋体" w:cs="宋体"/>
          <w:color w:val="auto"/>
          <w:kern w:val="0"/>
          <w:sz w:val="22"/>
          <w:szCs w:val="22"/>
          <w:lang w:val="zh-CN"/>
        </w:rPr>
        <w:t>月</w:t>
      </w:r>
      <w:r>
        <w:rPr>
          <w:rFonts w:hint="eastAsia" w:ascii="宋体" w:hAnsi="宋体" w:eastAsia="宋体" w:cs="宋体"/>
          <w:color w:val="auto"/>
          <w:kern w:val="0"/>
          <w:sz w:val="22"/>
          <w:szCs w:val="22"/>
        </w:rPr>
        <w:t xml:space="preserve">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rPr>
        <w:t xml:space="preserve"> </w:t>
      </w:r>
      <w:r>
        <w:rPr>
          <w:rFonts w:hint="eastAsia" w:ascii="宋体" w:hAnsi="宋体" w:eastAsia="宋体" w:cs="宋体"/>
          <w:color w:val="auto"/>
          <w:kern w:val="0"/>
          <w:sz w:val="22"/>
          <w:szCs w:val="22"/>
          <w:lang w:val="zh-CN"/>
        </w:rPr>
        <w:t>日止。</w:t>
      </w:r>
    </w:p>
    <w:p w14:paraId="2310F6B8">
      <w:pPr>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zh-CN"/>
        </w:rPr>
        <w:t>特此告知。</w:t>
      </w:r>
    </w:p>
    <w:p w14:paraId="729DD7E8">
      <w:pPr>
        <w:jc w:val="center"/>
        <w:rPr>
          <w:rFonts w:hint="eastAsia" w:ascii="宋体" w:hAnsi="宋体" w:eastAsia="宋体" w:cs="宋体"/>
          <w:b/>
          <w:color w:val="auto"/>
          <w:kern w:val="0"/>
          <w:sz w:val="22"/>
          <w:szCs w:val="22"/>
        </w:rPr>
      </w:pPr>
    </w:p>
    <w:p w14:paraId="45E4F3E2">
      <w:pPr>
        <w:rPr>
          <w:rFonts w:hint="eastAsia" w:ascii="宋体" w:hAnsi="宋体" w:eastAsia="宋体" w:cs="宋体"/>
          <w:color w:val="auto"/>
          <w:sz w:val="22"/>
          <w:szCs w:val="22"/>
        </w:rPr>
      </w:pPr>
    </w:p>
    <w:p w14:paraId="66AF3461">
      <w:pPr>
        <w:snapToGrid w:val="0"/>
        <w:spacing w:line="360" w:lineRule="auto"/>
        <w:ind w:firstLine="4620" w:firstLineChars="21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投标人名称(电子签名)：</w:t>
      </w:r>
    </w:p>
    <w:p w14:paraId="06AED3A3">
      <w:pPr>
        <w:spacing w:line="360" w:lineRule="auto"/>
        <w:ind w:firstLine="4620" w:firstLineChars="2100"/>
        <w:rPr>
          <w:rFonts w:hint="eastAsia" w:ascii="宋体" w:hAnsi="宋体" w:eastAsia="宋体" w:cs="宋体"/>
          <w:color w:val="auto"/>
          <w:sz w:val="22"/>
          <w:szCs w:val="22"/>
        </w:rPr>
      </w:pPr>
      <w:r>
        <w:rPr>
          <w:rFonts w:hint="eastAsia" w:cs="宋体"/>
          <w:color w:val="auto"/>
          <w:kern w:val="0"/>
          <w:sz w:val="22"/>
          <w:szCs w:val="22"/>
          <w:lang w:val="en-US" w:eastAsia="zh-CN"/>
        </w:rPr>
        <w:t>签发</w:t>
      </w:r>
      <w:r>
        <w:rPr>
          <w:rFonts w:hint="eastAsia" w:ascii="宋体" w:hAnsi="宋体" w:eastAsia="宋体" w:cs="宋体"/>
          <w:color w:val="auto"/>
          <w:kern w:val="0"/>
          <w:sz w:val="22"/>
          <w:szCs w:val="22"/>
          <w:lang w:val="zh-CN"/>
        </w:rPr>
        <w:t xml:space="preserve">日期：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lang w:val="zh-CN"/>
        </w:rPr>
        <w:t>年  月   日</w:t>
      </w:r>
    </w:p>
    <w:p w14:paraId="72EE5906">
      <w:pPr>
        <w:spacing w:line="360" w:lineRule="auto"/>
        <w:ind w:firstLine="3300" w:firstLineChars="1500"/>
        <w:jc w:val="right"/>
        <w:rPr>
          <w:rFonts w:hint="eastAsia" w:ascii="宋体" w:hAnsi="宋体" w:eastAsia="宋体" w:cs="宋体"/>
          <w:color w:val="auto"/>
          <w:sz w:val="22"/>
          <w:szCs w:val="21"/>
        </w:rPr>
      </w:pPr>
    </w:p>
    <w:tbl>
      <w:tblPr>
        <w:tblStyle w:val="2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2FA2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2" w:hRule="exact"/>
          <w:jc w:val="center"/>
        </w:trPr>
        <w:tc>
          <w:tcPr>
            <w:tcW w:w="9061" w:type="dxa"/>
            <w:vAlign w:val="center"/>
          </w:tcPr>
          <w:p w14:paraId="2BE47629">
            <w:pPr>
              <w:pStyle w:val="3"/>
              <w:adjustRightInd w:val="0"/>
              <w:snapToGrid w:val="0"/>
              <w:spacing w:line="320" w:lineRule="atLeast"/>
              <w:jc w:val="center"/>
              <w:rPr>
                <w:rFonts w:hint="eastAsia" w:ascii="宋体" w:hAnsi="宋体" w:eastAsia="宋体" w:cs="宋体"/>
                <w:i/>
                <w:iCs/>
                <w:color w:val="auto"/>
                <w:sz w:val="22"/>
                <w:szCs w:val="22"/>
              </w:rPr>
            </w:pPr>
            <w:r>
              <w:rPr>
                <w:rFonts w:hint="eastAsia" w:ascii="宋体" w:hAnsi="宋体" w:eastAsia="宋体" w:cs="宋体"/>
                <w:i/>
                <w:iCs/>
                <w:color w:val="auto"/>
                <w:sz w:val="22"/>
                <w:szCs w:val="22"/>
              </w:rPr>
              <w:t>被授权人（授权代表）身份证扫描件或复印件（正反面均须提供）</w:t>
            </w:r>
          </w:p>
        </w:tc>
      </w:tr>
    </w:tbl>
    <w:p w14:paraId="765C304C">
      <w:pP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br w:type="page"/>
      </w:r>
    </w:p>
    <w:p w14:paraId="29915327">
      <w:pPr>
        <w:spacing w:before="67"/>
        <w:ind w:left="1217" w:right="1232"/>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授权委托书</w:t>
      </w:r>
      <w:r>
        <w:rPr>
          <w:rFonts w:hint="eastAsia" w:cs="宋体"/>
          <w:b/>
          <w:bCs/>
          <w:color w:val="auto"/>
          <w:sz w:val="28"/>
          <w:szCs w:val="28"/>
          <w:lang w:val="en-US" w:eastAsia="zh-CN"/>
        </w:rPr>
        <w:t>（适用于联合体投标）</w:t>
      </w:r>
    </w:p>
    <w:p w14:paraId="389E7171">
      <w:pPr>
        <w:pStyle w:val="3"/>
        <w:adjustRightInd w:val="0"/>
        <w:snapToGrid w:val="0"/>
        <w:spacing w:line="340" w:lineRule="atLeast"/>
        <w:rPr>
          <w:rFonts w:hint="eastAsia" w:ascii="宋体" w:hAnsi="宋体" w:eastAsia="宋体" w:cs="宋体"/>
          <w:color w:val="auto"/>
          <w:kern w:val="2"/>
          <w:sz w:val="22"/>
          <w:szCs w:val="22"/>
          <w:u w:val="single"/>
        </w:rPr>
      </w:pPr>
    </w:p>
    <w:p w14:paraId="32D889CA">
      <w:pPr>
        <w:pStyle w:val="3"/>
        <w:adjustRightInd w:val="0"/>
        <w:snapToGrid w:val="0"/>
        <w:spacing w:line="360" w:lineRule="auto"/>
        <w:rPr>
          <w:rFonts w:hint="eastAsia" w:ascii="宋体" w:hAnsi="宋体" w:eastAsia="宋体" w:cs="宋体"/>
          <w:color w:val="auto"/>
          <w:kern w:val="2"/>
          <w:sz w:val="22"/>
          <w:szCs w:val="22"/>
          <w:u w:val="single"/>
        </w:rPr>
      </w:pPr>
      <w:r>
        <w:rPr>
          <w:rFonts w:hint="eastAsia" w:ascii="宋体" w:hAnsi="宋体" w:eastAsia="宋体" w:cs="宋体"/>
          <w:color w:val="auto"/>
          <w:kern w:val="2"/>
          <w:sz w:val="22"/>
          <w:szCs w:val="22"/>
          <w:u w:val="single"/>
          <w:lang w:eastAsia="zh-CN"/>
        </w:rPr>
        <w:t>苍南县民政局、</w:t>
      </w:r>
      <w:r>
        <w:rPr>
          <w:rFonts w:hint="eastAsia" w:ascii="宋体" w:hAnsi="宋体" w:eastAsia="宋体" w:cs="宋体"/>
          <w:color w:val="auto"/>
          <w:kern w:val="2"/>
          <w:sz w:val="22"/>
          <w:szCs w:val="22"/>
          <w:u w:val="single"/>
          <w:lang w:val="en-US" w:eastAsia="zh-CN"/>
        </w:rPr>
        <w:t>浙江天平投资咨询有限公司</w:t>
      </w:r>
      <w:r>
        <w:rPr>
          <w:rFonts w:hint="eastAsia" w:ascii="宋体" w:hAnsi="宋体" w:eastAsia="宋体" w:cs="宋体"/>
          <w:color w:val="auto"/>
          <w:kern w:val="2"/>
          <w:sz w:val="22"/>
          <w:szCs w:val="22"/>
          <w:u w:val="single"/>
        </w:rPr>
        <w:t>：</w:t>
      </w:r>
    </w:p>
    <w:p w14:paraId="7F3FE596">
      <w:pPr>
        <w:snapToGrid w:val="0"/>
        <w:spacing w:line="360" w:lineRule="auto"/>
        <w:ind w:firstLine="576"/>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现</w:t>
      </w:r>
      <w:r>
        <w:rPr>
          <w:rFonts w:hint="eastAsia" w:ascii="宋体" w:hAnsi="宋体" w:eastAsia="宋体" w:cs="宋体"/>
          <w:color w:val="auto"/>
          <w:kern w:val="0"/>
          <w:sz w:val="22"/>
          <w:szCs w:val="22"/>
          <w:lang w:val="zh-CN"/>
        </w:rPr>
        <w:t>委托</w:t>
      </w:r>
      <w:r>
        <w:rPr>
          <w:rFonts w:hint="eastAsia" w:ascii="宋体" w:hAnsi="宋体" w:eastAsia="宋体" w:cs="宋体"/>
          <w:color w:val="auto"/>
          <w:kern w:val="0"/>
          <w:sz w:val="22"/>
          <w:szCs w:val="22"/>
          <w:u w:val="single"/>
          <w:lang w:val="zh-CN"/>
        </w:rPr>
        <w:t xml:space="preserve">          </w:t>
      </w:r>
      <w:r>
        <w:rPr>
          <w:rFonts w:hint="eastAsia" w:ascii="宋体" w:hAnsi="宋体" w:eastAsia="宋体" w:cs="宋体"/>
          <w:color w:val="auto"/>
          <w:kern w:val="0"/>
          <w:sz w:val="22"/>
          <w:szCs w:val="22"/>
          <w:lang w:val="zh-CN"/>
        </w:rPr>
        <w:t>（姓名）为我方代理人（身份证号码：</w:t>
      </w:r>
      <w:r>
        <w:rPr>
          <w:rFonts w:hint="eastAsia" w:ascii="宋体" w:hAnsi="宋体" w:eastAsia="宋体" w:cs="宋体"/>
          <w:color w:val="auto"/>
          <w:kern w:val="0"/>
          <w:sz w:val="22"/>
          <w:szCs w:val="22"/>
          <w:u w:val="single"/>
          <w:lang w:val="zh-CN"/>
        </w:rPr>
        <w:t xml:space="preserve">  </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u w:val="single"/>
          <w:lang w:val="zh-CN"/>
        </w:rPr>
        <w:t xml:space="preserve">        </w:t>
      </w:r>
      <w:r>
        <w:rPr>
          <w:rFonts w:hint="eastAsia" w:ascii="宋体" w:hAnsi="宋体" w:eastAsia="宋体" w:cs="宋体"/>
          <w:color w:val="auto"/>
          <w:kern w:val="0"/>
          <w:sz w:val="22"/>
          <w:szCs w:val="22"/>
          <w:lang w:val="zh-CN"/>
        </w:rPr>
        <w:t>，手机：</w:t>
      </w:r>
      <w:r>
        <w:rPr>
          <w:rFonts w:hint="eastAsia" w:ascii="宋体" w:hAnsi="宋体" w:eastAsia="宋体" w:cs="宋体"/>
          <w:color w:val="auto"/>
          <w:kern w:val="0"/>
          <w:sz w:val="22"/>
          <w:szCs w:val="22"/>
          <w:u w:val="single"/>
          <w:lang w:val="zh-CN"/>
        </w:rPr>
        <w:t xml:space="preserve">          </w:t>
      </w:r>
      <w:r>
        <w:rPr>
          <w:rFonts w:hint="eastAsia" w:ascii="宋体" w:hAnsi="宋体" w:eastAsia="宋体" w:cs="宋体"/>
          <w:color w:val="auto"/>
          <w:kern w:val="0"/>
          <w:sz w:val="22"/>
          <w:szCs w:val="22"/>
          <w:lang w:val="zh-CN"/>
        </w:rPr>
        <w:t>），以我方名义处理</w:t>
      </w:r>
      <w:r>
        <w:rPr>
          <w:rFonts w:hint="eastAsia" w:ascii="宋体" w:hAnsi="宋体" w:eastAsia="宋体" w:cs="宋体"/>
          <w:color w:val="auto"/>
          <w:sz w:val="22"/>
          <w:szCs w:val="22"/>
          <w:u w:val="single"/>
        </w:rPr>
        <w:t>苍南县居家和社区基本养老服务提升行动项目</w:t>
      </w:r>
      <w:r>
        <w:rPr>
          <w:rFonts w:hint="eastAsia" w:ascii="宋体" w:hAnsi="宋体" w:eastAsia="宋体" w:cs="宋体"/>
          <w:color w:val="auto"/>
          <w:sz w:val="22"/>
          <w:szCs w:val="22"/>
        </w:rPr>
        <w:t>【招标编号：</w:t>
      </w:r>
      <w:r>
        <w:rPr>
          <w:rFonts w:hint="eastAsia" w:cs="宋体"/>
          <w:color w:val="auto"/>
          <w:sz w:val="22"/>
          <w:szCs w:val="22"/>
          <w:u w:val="single"/>
          <w:lang w:eastAsia="zh-CN"/>
        </w:rPr>
        <w:t>CNDL2024207</w:t>
      </w:r>
      <w:r>
        <w:rPr>
          <w:rFonts w:hint="eastAsia" w:ascii="宋体" w:hAnsi="宋体" w:eastAsia="宋体" w:cs="宋体"/>
          <w:color w:val="auto"/>
          <w:sz w:val="22"/>
          <w:szCs w:val="22"/>
        </w:rPr>
        <w:t>】</w:t>
      </w:r>
      <w:r>
        <w:rPr>
          <w:rFonts w:hint="eastAsia" w:ascii="宋体" w:hAnsi="宋体" w:eastAsia="宋体" w:cs="宋体"/>
          <w:color w:val="auto"/>
          <w:kern w:val="0"/>
          <w:sz w:val="22"/>
          <w:szCs w:val="22"/>
          <w:lang w:val="zh-CN"/>
        </w:rPr>
        <w:t>政府采购投标的一切事项，其法律后果由我方承担。</w:t>
      </w:r>
    </w:p>
    <w:p w14:paraId="4224284C">
      <w:pPr>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zh-CN"/>
        </w:rPr>
        <w:t>委托期限</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zh-CN"/>
        </w:rPr>
        <w:t>自</w:t>
      </w:r>
      <w:r>
        <w:rPr>
          <w:rFonts w:hint="eastAsia" w:ascii="宋体" w:hAnsi="宋体" w:eastAsia="宋体" w:cs="宋体"/>
          <w:color w:val="auto"/>
          <w:kern w:val="0"/>
          <w:sz w:val="22"/>
          <w:szCs w:val="22"/>
        </w:rPr>
        <w:t xml:space="preserve">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lang w:val="zh-CN"/>
        </w:rPr>
        <w:t>年</w:t>
      </w:r>
      <w:r>
        <w:rPr>
          <w:rFonts w:hint="eastAsia" w:ascii="宋体" w:hAnsi="宋体" w:eastAsia="宋体" w:cs="宋体"/>
          <w:color w:val="auto"/>
          <w:kern w:val="0"/>
          <w:sz w:val="22"/>
          <w:szCs w:val="22"/>
        </w:rPr>
        <w:t xml:space="preserve">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lang w:val="zh-CN"/>
        </w:rPr>
        <w:t>月</w:t>
      </w:r>
      <w:r>
        <w:rPr>
          <w:rFonts w:hint="eastAsia" w:ascii="宋体" w:hAnsi="宋体" w:eastAsia="宋体" w:cs="宋体"/>
          <w:color w:val="auto"/>
          <w:kern w:val="0"/>
          <w:sz w:val="22"/>
          <w:szCs w:val="22"/>
        </w:rPr>
        <w:t xml:space="preserve">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rPr>
        <w:t xml:space="preserve"> </w:t>
      </w:r>
      <w:r>
        <w:rPr>
          <w:rFonts w:hint="eastAsia" w:ascii="宋体" w:hAnsi="宋体" w:eastAsia="宋体" w:cs="宋体"/>
          <w:color w:val="auto"/>
          <w:kern w:val="0"/>
          <w:sz w:val="22"/>
          <w:szCs w:val="22"/>
          <w:lang w:val="zh-CN"/>
        </w:rPr>
        <w:t>日起至</w:t>
      </w:r>
      <w:r>
        <w:rPr>
          <w:rFonts w:hint="eastAsia" w:ascii="宋体" w:hAnsi="宋体" w:eastAsia="宋体" w:cs="宋体"/>
          <w:color w:val="auto"/>
          <w:kern w:val="0"/>
          <w:sz w:val="22"/>
          <w:szCs w:val="22"/>
        </w:rPr>
        <w:t xml:space="preserve">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rPr>
        <w:t xml:space="preserve"> </w:t>
      </w:r>
      <w:r>
        <w:rPr>
          <w:rFonts w:hint="eastAsia" w:ascii="宋体" w:hAnsi="宋体" w:eastAsia="宋体" w:cs="宋体"/>
          <w:color w:val="auto"/>
          <w:kern w:val="0"/>
          <w:sz w:val="22"/>
          <w:szCs w:val="22"/>
          <w:lang w:val="zh-CN"/>
        </w:rPr>
        <w:t>年</w:t>
      </w:r>
      <w:r>
        <w:rPr>
          <w:rFonts w:hint="eastAsia" w:ascii="宋体" w:hAnsi="宋体" w:eastAsia="宋体" w:cs="宋体"/>
          <w:color w:val="auto"/>
          <w:kern w:val="0"/>
          <w:sz w:val="22"/>
          <w:szCs w:val="22"/>
        </w:rPr>
        <w:t xml:space="preserve">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rPr>
        <w:t xml:space="preserve"> </w:t>
      </w:r>
      <w:r>
        <w:rPr>
          <w:rFonts w:hint="eastAsia" w:ascii="宋体" w:hAnsi="宋体" w:eastAsia="宋体" w:cs="宋体"/>
          <w:color w:val="auto"/>
          <w:kern w:val="0"/>
          <w:sz w:val="22"/>
          <w:szCs w:val="22"/>
          <w:lang w:val="zh-CN"/>
        </w:rPr>
        <w:t>月</w:t>
      </w:r>
      <w:r>
        <w:rPr>
          <w:rFonts w:hint="eastAsia" w:ascii="宋体" w:hAnsi="宋体" w:eastAsia="宋体" w:cs="宋体"/>
          <w:color w:val="auto"/>
          <w:kern w:val="0"/>
          <w:sz w:val="22"/>
          <w:szCs w:val="22"/>
        </w:rPr>
        <w:t xml:space="preserve">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rPr>
        <w:t xml:space="preserve"> </w:t>
      </w:r>
      <w:r>
        <w:rPr>
          <w:rFonts w:hint="eastAsia" w:ascii="宋体" w:hAnsi="宋体" w:eastAsia="宋体" w:cs="宋体"/>
          <w:color w:val="auto"/>
          <w:kern w:val="0"/>
          <w:sz w:val="22"/>
          <w:szCs w:val="22"/>
          <w:lang w:val="zh-CN"/>
        </w:rPr>
        <w:t>日止。</w:t>
      </w:r>
    </w:p>
    <w:p w14:paraId="1D22271F">
      <w:pPr>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zh-CN"/>
        </w:rPr>
        <w:t>特此告知。</w:t>
      </w:r>
    </w:p>
    <w:p w14:paraId="7891AB84">
      <w:pPr>
        <w:jc w:val="center"/>
        <w:rPr>
          <w:rFonts w:hint="eastAsia" w:ascii="宋体" w:hAnsi="宋体" w:eastAsia="宋体" w:cs="宋体"/>
          <w:b/>
          <w:color w:val="auto"/>
          <w:kern w:val="0"/>
          <w:sz w:val="22"/>
          <w:szCs w:val="22"/>
        </w:rPr>
      </w:pPr>
    </w:p>
    <w:p w14:paraId="4A8FFD5E">
      <w:pPr>
        <w:rPr>
          <w:rFonts w:hint="eastAsia" w:ascii="宋体" w:hAnsi="宋体" w:eastAsia="宋体" w:cs="宋体"/>
          <w:color w:val="auto"/>
          <w:sz w:val="22"/>
          <w:szCs w:val="22"/>
        </w:rPr>
      </w:pPr>
    </w:p>
    <w:p w14:paraId="09B4BF98">
      <w:pPr>
        <w:snapToGrid w:val="0"/>
        <w:spacing w:line="360" w:lineRule="auto"/>
        <w:ind w:firstLine="4620" w:firstLineChars="21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联合体成员名称(电子签名/公章)：</w:t>
      </w:r>
    </w:p>
    <w:p w14:paraId="59881339">
      <w:pPr>
        <w:snapToGrid w:val="0"/>
        <w:spacing w:line="360" w:lineRule="auto"/>
        <w:ind w:firstLine="4620" w:firstLineChars="21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联合体成员名称(电子签名/公章)：</w:t>
      </w:r>
    </w:p>
    <w:p w14:paraId="4A456ABA">
      <w:pPr>
        <w:snapToGrid w:val="0"/>
        <w:spacing w:line="360" w:lineRule="auto"/>
        <w:ind w:firstLine="4620" w:firstLineChars="21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w:t>
      </w:r>
    </w:p>
    <w:p w14:paraId="7034D64E">
      <w:pPr>
        <w:spacing w:line="360" w:lineRule="auto"/>
        <w:ind w:firstLine="4620" w:firstLineChars="2100"/>
        <w:rPr>
          <w:rFonts w:hint="eastAsia" w:ascii="宋体" w:hAnsi="宋体" w:eastAsia="宋体" w:cs="宋体"/>
          <w:color w:val="auto"/>
          <w:sz w:val="22"/>
          <w:szCs w:val="22"/>
        </w:rPr>
      </w:pPr>
      <w:r>
        <w:rPr>
          <w:rFonts w:hint="eastAsia" w:cs="宋体"/>
          <w:color w:val="auto"/>
          <w:kern w:val="0"/>
          <w:sz w:val="22"/>
          <w:szCs w:val="22"/>
          <w:lang w:val="en-US" w:eastAsia="zh-CN"/>
        </w:rPr>
        <w:t>签发</w:t>
      </w:r>
      <w:r>
        <w:rPr>
          <w:rFonts w:hint="eastAsia" w:ascii="宋体" w:hAnsi="宋体" w:eastAsia="宋体" w:cs="宋体"/>
          <w:color w:val="auto"/>
          <w:kern w:val="0"/>
          <w:sz w:val="22"/>
          <w:szCs w:val="22"/>
          <w:lang w:val="zh-CN"/>
        </w:rPr>
        <w:t xml:space="preserve">日期：  </w:t>
      </w:r>
      <w:r>
        <w:rPr>
          <w:rFonts w:hint="eastAsia" w:cs="宋体"/>
          <w:color w:val="auto"/>
          <w:kern w:val="0"/>
          <w:sz w:val="22"/>
          <w:szCs w:val="22"/>
          <w:lang w:val="en-US" w:eastAsia="zh-CN"/>
        </w:rPr>
        <w:t xml:space="preserve">  </w:t>
      </w:r>
      <w:r>
        <w:rPr>
          <w:rFonts w:hint="eastAsia" w:ascii="宋体" w:hAnsi="宋体" w:eastAsia="宋体" w:cs="宋体"/>
          <w:color w:val="auto"/>
          <w:kern w:val="0"/>
          <w:sz w:val="22"/>
          <w:szCs w:val="22"/>
          <w:lang w:val="zh-CN"/>
        </w:rPr>
        <w:t>年  月   日</w:t>
      </w:r>
    </w:p>
    <w:p w14:paraId="21F3DAD7">
      <w:pPr>
        <w:spacing w:line="360" w:lineRule="auto"/>
        <w:ind w:firstLine="3300" w:firstLineChars="1500"/>
        <w:jc w:val="right"/>
        <w:rPr>
          <w:rFonts w:hint="eastAsia" w:ascii="宋体" w:hAnsi="宋体" w:eastAsia="宋体" w:cs="宋体"/>
          <w:color w:val="auto"/>
          <w:sz w:val="22"/>
          <w:szCs w:val="21"/>
        </w:rPr>
      </w:pPr>
    </w:p>
    <w:tbl>
      <w:tblPr>
        <w:tblStyle w:val="2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1FFA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2" w:hRule="exact"/>
          <w:jc w:val="center"/>
        </w:trPr>
        <w:tc>
          <w:tcPr>
            <w:tcW w:w="9061" w:type="dxa"/>
            <w:vAlign w:val="center"/>
          </w:tcPr>
          <w:p w14:paraId="4269AE2F">
            <w:pPr>
              <w:pStyle w:val="3"/>
              <w:adjustRightInd w:val="0"/>
              <w:snapToGrid w:val="0"/>
              <w:spacing w:line="320" w:lineRule="atLeast"/>
              <w:jc w:val="center"/>
              <w:rPr>
                <w:rFonts w:hint="eastAsia" w:ascii="宋体" w:hAnsi="宋体" w:eastAsia="宋体" w:cs="宋体"/>
                <w:i/>
                <w:iCs/>
                <w:color w:val="auto"/>
                <w:sz w:val="22"/>
                <w:szCs w:val="22"/>
              </w:rPr>
            </w:pPr>
            <w:r>
              <w:rPr>
                <w:rFonts w:hint="eastAsia" w:ascii="宋体" w:hAnsi="宋体" w:eastAsia="宋体" w:cs="宋体"/>
                <w:i/>
                <w:iCs/>
                <w:color w:val="auto"/>
                <w:sz w:val="22"/>
                <w:szCs w:val="22"/>
              </w:rPr>
              <w:t>被授权人（授权代表）身份证扫描件或复印件（正反面均须提供）</w:t>
            </w:r>
          </w:p>
        </w:tc>
      </w:tr>
    </w:tbl>
    <w:p w14:paraId="27660AC9">
      <w:pP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br w:type="page"/>
      </w:r>
    </w:p>
    <w:p w14:paraId="628B93D9">
      <w:pPr>
        <w:autoSpaceDE w:val="0"/>
        <w:autoSpaceDN w:val="0"/>
        <w:spacing w:line="360" w:lineRule="auto"/>
        <w:jc w:val="center"/>
        <w:rPr>
          <w:rFonts w:ascii="宋体" w:hAnsi="宋体" w:cs="宋体"/>
          <w:b/>
          <w:color w:val="auto"/>
          <w:sz w:val="28"/>
          <w:szCs w:val="28"/>
        </w:rPr>
      </w:pPr>
      <w:r>
        <w:rPr>
          <w:rFonts w:hint="eastAsia" w:ascii="宋体" w:hAnsi="宋体" w:cs="宋体"/>
          <w:b/>
          <w:color w:val="auto"/>
          <w:kern w:val="0"/>
          <w:sz w:val="28"/>
          <w:szCs w:val="28"/>
          <w:lang w:val="zh-CN"/>
        </w:rPr>
        <w:t>法定代表人、单位负责人或自然人本人</w:t>
      </w:r>
      <w:r>
        <w:rPr>
          <w:rFonts w:hint="eastAsia" w:ascii="宋体" w:hAnsi="宋体" w:cs="宋体"/>
          <w:b/>
          <w:color w:val="auto"/>
          <w:sz w:val="28"/>
          <w:szCs w:val="28"/>
        </w:rPr>
        <w:t>的身份证明（适用于法定代表人、单位负责人或者自然人本人代表投标人参加投标）</w:t>
      </w:r>
    </w:p>
    <w:p w14:paraId="70AB67DD">
      <w:pPr>
        <w:pStyle w:val="80"/>
        <w:spacing w:line="360" w:lineRule="auto"/>
        <w:rPr>
          <w:rFonts w:hAnsi="宋体" w:cs="宋体"/>
          <w:bCs/>
          <w:color w:val="auto"/>
          <w:sz w:val="24"/>
        </w:rPr>
      </w:pPr>
      <w:r>
        <w:rPr>
          <w:rFonts w:hint="eastAsia" w:hAnsi="宋体" w:cs="宋体"/>
          <w:bCs/>
          <w:color w:val="auto"/>
          <w:sz w:val="24"/>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E6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center"/>
          </w:tcPr>
          <w:p w14:paraId="64C8062C">
            <w:pPr>
              <w:pStyle w:val="80"/>
              <w:adjustRightInd w:val="0"/>
              <w:spacing w:line="360" w:lineRule="auto"/>
              <w:jc w:val="center"/>
              <w:rPr>
                <w:rFonts w:hAnsi="宋体" w:cs="宋体"/>
                <w:bCs/>
                <w:color w:val="auto"/>
                <w:sz w:val="24"/>
              </w:rPr>
            </w:pPr>
            <w:r>
              <w:rPr>
                <w:rFonts w:hint="eastAsia" w:ascii="宋体" w:hAnsi="宋体" w:eastAsia="宋体" w:cs="宋体"/>
                <w:i/>
                <w:iCs/>
                <w:color w:val="auto"/>
                <w:sz w:val="22"/>
                <w:szCs w:val="22"/>
              </w:rPr>
              <w:t>（正反面均须提供）</w:t>
            </w:r>
          </w:p>
        </w:tc>
      </w:tr>
    </w:tbl>
    <w:p w14:paraId="0CDC1AC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096A66D">
      <w:pPr>
        <w:spacing w:line="360" w:lineRule="auto"/>
        <w:ind w:firstLine="4620" w:firstLineChars="2100"/>
        <w:jc w:val="both"/>
        <w:rPr>
          <w:rFonts w:hint="eastAsia" w:ascii="宋体" w:hAnsi="宋体" w:cs="宋体"/>
          <w:color w:val="auto"/>
          <w:kern w:val="0"/>
          <w:sz w:val="22"/>
          <w:szCs w:val="21"/>
          <w:lang w:val="zh-CN"/>
        </w:rPr>
      </w:pPr>
      <w:r>
        <w:rPr>
          <w:rFonts w:hint="eastAsia" w:ascii="宋体" w:hAnsi="宋体" w:cs="宋体"/>
          <w:color w:val="auto"/>
          <w:kern w:val="0"/>
          <w:sz w:val="22"/>
          <w:szCs w:val="21"/>
          <w:lang w:val="zh-CN"/>
        </w:rPr>
        <w:t>投标人名称(电子签名)：</w:t>
      </w:r>
    </w:p>
    <w:p w14:paraId="1364B4B2">
      <w:pPr>
        <w:spacing w:line="360" w:lineRule="auto"/>
        <w:ind w:firstLine="4620" w:firstLineChars="2100"/>
        <w:jc w:val="both"/>
        <w:rPr>
          <w:rFonts w:ascii="宋体" w:hAnsi="宋体" w:cs="宋体"/>
          <w:color w:val="auto"/>
          <w:kern w:val="0"/>
          <w:sz w:val="22"/>
          <w:szCs w:val="21"/>
          <w:lang w:val="zh-CN"/>
        </w:rPr>
      </w:pPr>
      <w:r>
        <w:rPr>
          <w:rFonts w:hint="eastAsia" w:ascii="宋体" w:hAnsi="宋体" w:cs="宋体"/>
          <w:color w:val="auto"/>
          <w:kern w:val="0"/>
          <w:sz w:val="22"/>
          <w:szCs w:val="21"/>
          <w:lang w:val="zh-CN"/>
        </w:rPr>
        <w:t>日期：</w:t>
      </w:r>
      <w:r>
        <w:rPr>
          <w:rFonts w:hint="eastAsia" w:ascii="宋体" w:hAnsi="宋体" w:cs="宋体"/>
          <w:color w:val="auto"/>
          <w:kern w:val="0"/>
          <w:sz w:val="22"/>
          <w:szCs w:val="21"/>
          <w:lang w:val="en-US" w:eastAsia="zh-CN"/>
        </w:rPr>
        <w:t xml:space="preserve">   </w:t>
      </w:r>
      <w:r>
        <w:rPr>
          <w:rFonts w:hint="eastAsia" w:ascii="宋体" w:hAnsi="宋体" w:cs="宋体"/>
          <w:color w:val="auto"/>
          <w:kern w:val="0"/>
          <w:sz w:val="22"/>
          <w:szCs w:val="21"/>
          <w:lang w:val="zh-CN"/>
        </w:rPr>
        <w:t xml:space="preserve"> 年  月  日</w:t>
      </w:r>
    </w:p>
    <w:p w14:paraId="18E6AAA9">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4BC0DED2">
      <w:pPr>
        <w:spacing w:before="67"/>
        <w:ind w:left="1217" w:right="1232"/>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）技术、商务偏离说明表</w:t>
      </w:r>
    </w:p>
    <w:p w14:paraId="5C01D8FB">
      <w:pPr>
        <w:pStyle w:val="12"/>
        <w:rPr>
          <w:rFonts w:hint="eastAsia" w:ascii="宋体" w:hAnsi="宋体" w:eastAsia="宋体" w:cs="宋体"/>
          <w:b/>
          <w:color w:val="auto"/>
          <w:sz w:val="18"/>
          <w:szCs w:val="22"/>
        </w:rPr>
      </w:pPr>
    </w:p>
    <w:p w14:paraId="512B976F">
      <w:pPr>
        <w:spacing w:line="360" w:lineRule="auto"/>
        <w:rPr>
          <w:rFonts w:hint="eastAsia" w:ascii="宋体" w:hAnsi="宋体" w:eastAsia="宋体" w:cs="宋体"/>
          <w:color w:val="auto"/>
          <w:sz w:val="21"/>
          <w:szCs w:val="21"/>
          <w:lang w:val="en-US" w:eastAsia="zh-CN"/>
        </w:rPr>
      </w:pPr>
      <w:r>
        <w:rPr>
          <w:rFonts w:hint="eastAsia" w:cs="宋体"/>
          <w:color w:val="auto"/>
          <w:sz w:val="22"/>
          <w:szCs w:val="22"/>
          <w:lang w:val="en-US" w:eastAsia="zh-CN"/>
        </w:rPr>
        <w:t>标项</w:t>
      </w:r>
      <w:r>
        <w:rPr>
          <w:rFonts w:hint="eastAsia" w:ascii="宋体" w:hAnsi="宋体" w:eastAsia="宋体" w:cs="宋体"/>
          <w:color w:val="auto"/>
          <w:sz w:val="22"/>
          <w:szCs w:val="22"/>
          <w:lang w:val="en-US"/>
        </w:rPr>
        <w:t>名称：</w:t>
      </w:r>
      <w:r>
        <w:rPr>
          <w:rFonts w:hint="eastAsia" w:cs="宋体"/>
          <w:b/>
          <w:bCs/>
          <w:color w:val="FF0000"/>
          <w:sz w:val="22"/>
          <w:szCs w:val="22"/>
          <w:lang w:val="en-US" w:eastAsia="zh-CN"/>
        </w:rPr>
        <w:t>例如：第一片区</w:t>
      </w:r>
      <w:r>
        <w:rPr>
          <w:rFonts w:hint="eastAsia" w:ascii="宋体" w:hAnsi="宋体" w:eastAsia="宋体" w:cs="宋体"/>
          <w:color w:val="auto"/>
          <w:sz w:val="22"/>
          <w:szCs w:val="22"/>
          <w:lang w:val="en-US" w:eastAsia="zh-CN"/>
        </w:rPr>
        <w:t xml:space="preserve">         </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1"/>
          <w:szCs w:val="21"/>
          <w:lang w:val="en-US"/>
        </w:rPr>
        <w:t>项目编号：</w:t>
      </w:r>
      <w:r>
        <w:rPr>
          <w:rFonts w:hint="eastAsia" w:cs="宋体"/>
          <w:color w:val="auto"/>
          <w:sz w:val="21"/>
          <w:szCs w:val="21"/>
          <w:lang w:val="en-US" w:eastAsia="zh-CN"/>
        </w:rPr>
        <w:t>CNDL2024207</w:t>
      </w:r>
    </w:p>
    <w:tbl>
      <w:tblPr>
        <w:tblStyle w:val="26"/>
        <w:tblW w:w="94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365"/>
        <w:gridCol w:w="2100"/>
        <w:gridCol w:w="1995"/>
        <w:gridCol w:w="1869"/>
        <w:gridCol w:w="1027"/>
      </w:tblGrid>
      <w:tr w14:paraId="3E050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1" w:type="dxa"/>
            <w:tcBorders>
              <w:top w:val="single" w:color="auto" w:sz="12" w:space="0"/>
              <w:bottom w:val="single" w:color="auto" w:sz="12" w:space="0"/>
              <w:right w:val="single" w:color="auto" w:sz="12" w:space="0"/>
            </w:tcBorders>
          </w:tcPr>
          <w:p w14:paraId="32F9F0EA">
            <w:pPr>
              <w:spacing w:line="380" w:lineRule="exact"/>
              <w:jc w:val="center"/>
              <w:rPr>
                <w:rFonts w:hint="eastAsia" w:ascii="宋体" w:hAnsi="宋体" w:eastAsia="宋体" w:cs="宋体"/>
                <w:color w:val="auto"/>
                <w:sz w:val="22"/>
                <w:szCs w:val="22"/>
              </w:rPr>
            </w:pPr>
          </w:p>
        </w:tc>
        <w:tc>
          <w:tcPr>
            <w:tcW w:w="1365" w:type="dxa"/>
            <w:tcBorders>
              <w:top w:val="single" w:color="auto" w:sz="12" w:space="0"/>
              <w:left w:val="single" w:color="auto" w:sz="12" w:space="0"/>
              <w:bottom w:val="single" w:color="auto" w:sz="12" w:space="0"/>
            </w:tcBorders>
            <w:vAlign w:val="center"/>
          </w:tcPr>
          <w:p w14:paraId="715DCAB9">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2100" w:type="dxa"/>
            <w:tcBorders>
              <w:top w:val="single" w:color="auto" w:sz="12" w:space="0"/>
              <w:bottom w:val="single" w:color="auto" w:sz="12" w:space="0"/>
            </w:tcBorders>
            <w:vAlign w:val="center"/>
          </w:tcPr>
          <w:p w14:paraId="556DEF5A">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招标文件</w:t>
            </w:r>
          </w:p>
          <w:p w14:paraId="1A9DA816">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条目号</w:t>
            </w:r>
          </w:p>
        </w:tc>
        <w:tc>
          <w:tcPr>
            <w:tcW w:w="1995" w:type="dxa"/>
            <w:tcBorders>
              <w:top w:val="single" w:color="auto" w:sz="12" w:space="0"/>
              <w:bottom w:val="single" w:color="auto" w:sz="12" w:space="0"/>
            </w:tcBorders>
            <w:vAlign w:val="center"/>
          </w:tcPr>
          <w:p w14:paraId="61B1F41F">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招标文件</w:t>
            </w:r>
          </w:p>
          <w:p w14:paraId="495CEC26">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规范要求</w:t>
            </w:r>
          </w:p>
        </w:tc>
        <w:tc>
          <w:tcPr>
            <w:tcW w:w="1869" w:type="dxa"/>
            <w:tcBorders>
              <w:top w:val="single" w:color="auto" w:sz="12" w:space="0"/>
              <w:bottom w:val="single" w:color="auto" w:sz="12" w:space="0"/>
            </w:tcBorders>
            <w:vAlign w:val="center"/>
          </w:tcPr>
          <w:p w14:paraId="7F3D929A">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投标文件</w:t>
            </w:r>
          </w:p>
          <w:p w14:paraId="120F040F">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对应规范</w:t>
            </w:r>
          </w:p>
        </w:tc>
        <w:tc>
          <w:tcPr>
            <w:tcW w:w="1027" w:type="dxa"/>
            <w:tcBorders>
              <w:top w:val="single" w:color="auto" w:sz="12" w:space="0"/>
              <w:bottom w:val="single" w:color="auto" w:sz="12" w:space="0"/>
            </w:tcBorders>
            <w:vAlign w:val="center"/>
          </w:tcPr>
          <w:p w14:paraId="6DB5EC8B">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说明</w:t>
            </w:r>
          </w:p>
        </w:tc>
      </w:tr>
      <w:tr w14:paraId="1B6C67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51" w:type="dxa"/>
            <w:vMerge w:val="restart"/>
            <w:tcBorders>
              <w:top w:val="single" w:color="auto" w:sz="12" w:space="0"/>
              <w:bottom w:val="single" w:color="auto" w:sz="12" w:space="0"/>
              <w:right w:val="single" w:color="auto" w:sz="12" w:space="0"/>
            </w:tcBorders>
            <w:vAlign w:val="center"/>
          </w:tcPr>
          <w:p w14:paraId="6FBAA875">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商</w:t>
            </w:r>
          </w:p>
          <w:p w14:paraId="7F0FE4F5">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务</w:t>
            </w:r>
          </w:p>
          <w:p w14:paraId="5DF8C09A">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条</w:t>
            </w:r>
          </w:p>
          <w:p w14:paraId="029BE05F">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款</w:t>
            </w:r>
          </w:p>
        </w:tc>
        <w:tc>
          <w:tcPr>
            <w:tcW w:w="1365" w:type="dxa"/>
            <w:tcBorders>
              <w:top w:val="single" w:color="auto" w:sz="12" w:space="0"/>
              <w:left w:val="single" w:color="auto" w:sz="12" w:space="0"/>
              <w:bottom w:val="single" w:color="auto" w:sz="4" w:space="0"/>
            </w:tcBorders>
            <w:vAlign w:val="center"/>
          </w:tcPr>
          <w:p w14:paraId="3ED20E8A">
            <w:pPr>
              <w:spacing w:line="240" w:lineRule="auto"/>
              <w:ind w:firstLine="0" w:firstLineChars="0"/>
              <w:jc w:val="center"/>
              <w:rPr>
                <w:rFonts w:hint="eastAsia" w:ascii="宋体" w:hAnsi="宋体" w:eastAsia="宋体" w:cs="宋体"/>
                <w:color w:val="auto"/>
                <w:sz w:val="22"/>
                <w:szCs w:val="22"/>
              </w:rPr>
            </w:pPr>
          </w:p>
        </w:tc>
        <w:tc>
          <w:tcPr>
            <w:tcW w:w="2100" w:type="dxa"/>
            <w:tcBorders>
              <w:top w:val="single" w:color="auto" w:sz="12" w:space="0"/>
              <w:bottom w:val="single" w:color="auto" w:sz="4" w:space="0"/>
            </w:tcBorders>
            <w:vAlign w:val="center"/>
          </w:tcPr>
          <w:p w14:paraId="4193391D">
            <w:pPr>
              <w:spacing w:line="240" w:lineRule="auto"/>
              <w:ind w:firstLine="0" w:firstLineChars="0"/>
              <w:jc w:val="center"/>
              <w:rPr>
                <w:rFonts w:hint="eastAsia" w:ascii="宋体" w:hAnsi="宋体" w:eastAsia="宋体" w:cs="宋体"/>
                <w:color w:val="auto"/>
                <w:sz w:val="22"/>
                <w:szCs w:val="22"/>
              </w:rPr>
            </w:pPr>
          </w:p>
        </w:tc>
        <w:tc>
          <w:tcPr>
            <w:tcW w:w="1995" w:type="dxa"/>
            <w:tcBorders>
              <w:top w:val="single" w:color="auto" w:sz="12" w:space="0"/>
              <w:bottom w:val="single" w:color="auto" w:sz="4" w:space="0"/>
            </w:tcBorders>
            <w:vAlign w:val="center"/>
          </w:tcPr>
          <w:p w14:paraId="19BA248C">
            <w:pPr>
              <w:spacing w:line="240" w:lineRule="auto"/>
              <w:ind w:firstLine="0" w:firstLineChars="0"/>
              <w:jc w:val="center"/>
              <w:rPr>
                <w:rFonts w:hint="eastAsia" w:ascii="宋体" w:hAnsi="宋体" w:eastAsia="宋体" w:cs="宋体"/>
                <w:color w:val="auto"/>
                <w:sz w:val="22"/>
                <w:szCs w:val="22"/>
              </w:rPr>
            </w:pPr>
          </w:p>
        </w:tc>
        <w:tc>
          <w:tcPr>
            <w:tcW w:w="1869" w:type="dxa"/>
            <w:tcBorders>
              <w:top w:val="single" w:color="auto" w:sz="12" w:space="0"/>
              <w:bottom w:val="single" w:color="auto" w:sz="4" w:space="0"/>
            </w:tcBorders>
            <w:vAlign w:val="center"/>
          </w:tcPr>
          <w:p w14:paraId="1DE12707">
            <w:pPr>
              <w:spacing w:line="240" w:lineRule="auto"/>
              <w:ind w:firstLine="0" w:firstLineChars="0"/>
              <w:jc w:val="center"/>
              <w:rPr>
                <w:rFonts w:hint="eastAsia" w:ascii="宋体" w:hAnsi="宋体" w:eastAsia="宋体" w:cs="宋体"/>
                <w:color w:val="auto"/>
                <w:sz w:val="22"/>
                <w:szCs w:val="22"/>
              </w:rPr>
            </w:pPr>
          </w:p>
        </w:tc>
        <w:tc>
          <w:tcPr>
            <w:tcW w:w="1027" w:type="dxa"/>
            <w:tcBorders>
              <w:top w:val="single" w:color="auto" w:sz="12" w:space="0"/>
              <w:bottom w:val="single" w:color="auto" w:sz="4" w:space="0"/>
            </w:tcBorders>
            <w:vAlign w:val="center"/>
          </w:tcPr>
          <w:p w14:paraId="21F39004">
            <w:pPr>
              <w:spacing w:line="240" w:lineRule="auto"/>
              <w:ind w:firstLine="0" w:firstLineChars="0"/>
              <w:jc w:val="center"/>
              <w:rPr>
                <w:rFonts w:hint="eastAsia" w:ascii="宋体" w:hAnsi="宋体" w:eastAsia="宋体" w:cs="宋体"/>
                <w:color w:val="auto"/>
                <w:sz w:val="22"/>
                <w:szCs w:val="22"/>
              </w:rPr>
            </w:pPr>
          </w:p>
        </w:tc>
      </w:tr>
      <w:tr w14:paraId="223BD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51" w:type="dxa"/>
            <w:vMerge w:val="continue"/>
            <w:tcBorders>
              <w:top w:val="single" w:color="auto" w:sz="4" w:space="0"/>
              <w:bottom w:val="single" w:color="auto" w:sz="12" w:space="0"/>
              <w:right w:val="single" w:color="auto" w:sz="12" w:space="0"/>
            </w:tcBorders>
          </w:tcPr>
          <w:p w14:paraId="45D2BDA0">
            <w:pPr>
              <w:spacing w:line="380" w:lineRule="exact"/>
              <w:ind w:firstLine="220" w:firstLineChars="100"/>
              <w:rPr>
                <w:rFonts w:hint="eastAsia" w:ascii="宋体" w:hAnsi="宋体" w:eastAsia="宋体" w:cs="宋体"/>
                <w:color w:val="auto"/>
                <w:sz w:val="22"/>
                <w:szCs w:val="22"/>
              </w:rPr>
            </w:pPr>
          </w:p>
        </w:tc>
        <w:tc>
          <w:tcPr>
            <w:tcW w:w="1365" w:type="dxa"/>
            <w:tcBorders>
              <w:top w:val="single" w:color="auto" w:sz="4" w:space="0"/>
              <w:left w:val="single" w:color="auto" w:sz="12" w:space="0"/>
              <w:bottom w:val="single" w:color="auto" w:sz="4" w:space="0"/>
            </w:tcBorders>
            <w:vAlign w:val="center"/>
          </w:tcPr>
          <w:p w14:paraId="42A75DA8">
            <w:pPr>
              <w:spacing w:line="240" w:lineRule="auto"/>
              <w:ind w:firstLine="0" w:firstLineChars="0"/>
              <w:jc w:val="center"/>
              <w:rPr>
                <w:rFonts w:hint="eastAsia" w:ascii="宋体" w:hAnsi="宋体" w:eastAsia="宋体" w:cs="宋体"/>
                <w:color w:val="auto"/>
                <w:sz w:val="22"/>
                <w:szCs w:val="22"/>
              </w:rPr>
            </w:pPr>
          </w:p>
        </w:tc>
        <w:tc>
          <w:tcPr>
            <w:tcW w:w="2100" w:type="dxa"/>
            <w:tcBorders>
              <w:top w:val="single" w:color="auto" w:sz="4" w:space="0"/>
              <w:bottom w:val="single" w:color="auto" w:sz="4" w:space="0"/>
            </w:tcBorders>
            <w:vAlign w:val="center"/>
          </w:tcPr>
          <w:p w14:paraId="73002449">
            <w:pPr>
              <w:spacing w:line="240" w:lineRule="auto"/>
              <w:ind w:firstLine="0" w:firstLineChars="0"/>
              <w:jc w:val="center"/>
              <w:rPr>
                <w:rFonts w:hint="eastAsia" w:ascii="宋体" w:hAnsi="宋体" w:eastAsia="宋体" w:cs="宋体"/>
                <w:color w:val="auto"/>
                <w:sz w:val="22"/>
                <w:szCs w:val="22"/>
              </w:rPr>
            </w:pPr>
          </w:p>
        </w:tc>
        <w:tc>
          <w:tcPr>
            <w:tcW w:w="1995" w:type="dxa"/>
            <w:tcBorders>
              <w:top w:val="single" w:color="auto" w:sz="4" w:space="0"/>
              <w:bottom w:val="single" w:color="auto" w:sz="4" w:space="0"/>
            </w:tcBorders>
            <w:vAlign w:val="center"/>
          </w:tcPr>
          <w:p w14:paraId="064B9CD2">
            <w:pPr>
              <w:spacing w:line="240" w:lineRule="auto"/>
              <w:ind w:firstLine="0" w:firstLineChars="0"/>
              <w:jc w:val="center"/>
              <w:rPr>
                <w:rFonts w:hint="eastAsia" w:ascii="宋体" w:hAnsi="宋体" w:eastAsia="宋体" w:cs="宋体"/>
                <w:color w:val="auto"/>
                <w:sz w:val="22"/>
                <w:szCs w:val="22"/>
              </w:rPr>
            </w:pPr>
          </w:p>
        </w:tc>
        <w:tc>
          <w:tcPr>
            <w:tcW w:w="1869" w:type="dxa"/>
            <w:tcBorders>
              <w:top w:val="single" w:color="auto" w:sz="4" w:space="0"/>
              <w:bottom w:val="single" w:color="auto" w:sz="4" w:space="0"/>
            </w:tcBorders>
            <w:vAlign w:val="center"/>
          </w:tcPr>
          <w:p w14:paraId="45FA93C0">
            <w:pPr>
              <w:spacing w:line="240" w:lineRule="auto"/>
              <w:ind w:firstLine="0" w:firstLineChars="0"/>
              <w:jc w:val="center"/>
              <w:rPr>
                <w:rFonts w:hint="eastAsia" w:ascii="宋体" w:hAnsi="宋体" w:eastAsia="宋体" w:cs="宋体"/>
                <w:color w:val="auto"/>
                <w:sz w:val="22"/>
                <w:szCs w:val="22"/>
              </w:rPr>
            </w:pPr>
          </w:p>
        </w:tc>
        <w:tc>
          <w:tcPr>
            <w:tcW w:w="1027" w:type="dxa"/>
            <w:tcBorders>
              <w:top w:val="single" w:color="auto" w:sz="4" w:space="0"/>
              <w:bottom w:val="single" w:color="auto" w:sz="4" w:space="0"/>
            </w:tcBorders>
            <w:vAlign w:val="center"/>
          </w:tcPr>
          <w:p w14:paraId="18C28C7C">
            <w:pPr>
              <w:spacing w:line="240" w:lineRule="auto"/>
              <w:ind w:firstLine="0" w:firstLineChars="0"/>
              <w:jc w:val="center"/>
              <w:rPr>
                <w:rFonts w:hint="eastAsia" w:ascii="宋体" w:hAnsi="宋体" w:eastAsia="宋体" w:cs="宋体"/>
                <w:color w:val="auto"/>
                <w:sz w:val="22"/>
                <w:szCs w:val="22"/>
              </w:rPr>
            </w:pPr>
          </w:p>
        </w:tc>
      </w:tr>
      <w:tr w14:paraId="1E096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51" w:type="dxa"/>
            <w:vMerge w:val="continue"/>
            <w:tcBorders>
              <w:top w:val="single" w:color="auto" w:sz="4" w:space="0"/>
              <w:bottom w:val="single" w:color="auto" w:sz="12" w:space="0"/>
              <w:right w:val="single" w:color="auto" w:sz="12" w:space="0"/>
            </w:tcBorders>
          </w:tcPr>
          <w:p w14:paraId="08AD9499">
            <w:pPr>
              <w:spacing w:line="380" w:lineRule="exact"/>
              <w:jc w:val="center"/>
              <w:rPr>
                <w:rFonts w:hint="eastAsia" w:ascii="宋体" w:hAnsi="宋体" w:eastAsia="宋体" w:cs="宋体"/>
                <w:color w:val="auto"/>
                <w:sz w:val="22"/>
                <w:szCs w:val="22"/>
              </w:rPr>
            </w:pPr>
          </w:p>
        </w:tc>
        <w:tc>
          <w:tcPr>
            <w:tcW w:w="1365" w:type="dxa"/>
            <w:tcBorders>
              <w:top w:val="single" w:color="auto" w:sz="4" w:space="0"/>
              <w:left w:val="single" w:color="auto" w:sz="12" w:space="0"/>
              <w:bottom w:val="single" w:color="auto" w:sz="4" w:space="0"/>
            </w:tcBorders>
            <w:vAlign w:val="center"/>
          </w:tcPr>
          <w:p w14:paraId="4160E9BF">
            <w:pPr>
              <w:spacing w:line="240" w:lineRule="auto"/>
              <w:ind w:firstLine="0" w:firstLineChars="0"/>
              <w:jc w:val="center"/>
              <w:rPr>
                <w:rFonts w:hint="eastAsia" w:ascii="宋体" w:hAnsi="宋体" w:eastAsia="宋体" w:cs="宋体"/>
                <w:color w:val="auto"/>
                <w:sz w:val="22"/>
                <w:szCs w:val="22"/>
              </w:rPr>
            </w:pPr>
          </w:p>
        </w:tc>
        <w:tc>
          <w:tcPr>
            <w:tcW w:w="2100" w:type="dxa"/>
            <w:tcBorders>
              <w:top w:val="single" w:color="auto" w:sz="4" w:space="0"/>
              <w:bottom w:val="single" w:color="auto" w:sz="4" w:space="0"/>
            </w:tcBorders>
            <w:vAlign w:val="center"/>
          </w:tcPr>
          <w:p w14:paraId="01CA794F">
            <w:pPr>
              <w:spacing w:line="240" w:lineRule="auto"/>
              <w:ind w:firstLine="0" w:firstLineChars="0"/>
              <w:jc w:val="center"/>
              <w:rPr>
                <w:rFonts w:hint="eastAsia" w:ascii="宋体" w:hAnsi="宋体" w:eastAsia="宋体" w:cs="宋体"/>
                <w:color w:val="auto"/>
                <w:sz w:val="22"/>
                <w:szCs w:val="22"/>
              </w:rPr>
            </w:pPr>
          </w:p>
        </w:tc>
        <w:tc>
          <w:tcPr>
            <w:tcW w:w="1995" w:type="dxa"/>
            <w:tcBorders>
              <w:top w:val="single" w:color="auto" w:sz="4" w:space="0"/>
              <w:bottom w:val="single" w:color="auto" w:sz="4" w:space="0"/>
            </w:tcBorders>
            <w:vAlign w:val="center"/>
          </w:tcPr>
          <w:p w14:paraId="5333B66F">
            <w:pPr>
              <w:spacing w:line="240" w:lineRule="auto"/>
              <w:ind w:firstLine="0" w:firstLineChars="0"/>
              <w:jc w:val="center"/>
              <w:rPr>
                <w:rFonts w:hint="eastAsia" w:ascii="宋体" w:hAnsi="宋体" w:eastAsia="宋体" w:cs="宋体"/>
                <w:color w:val="auto"/>
                <w:sz w:val="22"/>
                <w:szCs w:val="22"/>
              </w:rPr>
            </w:pPr>
          </w:p>
        </w:tc>
        <w:tc>
          <w:tcPr>
            <w:tcW w:w="1869" w:type="dxa"/>
            <w:tcBorders>
              <w:top w:val="single" w:color="auto" w:sz="4" w:space="0"/>
              <w:bottom w:val="single" w:color="auto" w:sz="4" w:space="0"/>
            </w:tcBorders>
            <w:vAlign w:val="center"/>
          </w:tcPr>
          <w:p w14:paraId="6042D840">
            <w:pPr>
              <w:spacing w:line="240" w:lineRule="auto"/>
              <w:ind w:firstLine="0" w:firstLineChars="0"/>
              <w:jc w:val="center"/>
              <w:rPr>
                <w:rFonts w:hint="eastAsia" w:ascii="宋体" w:hAnsi="宋体" w:eastAsia="宋体" w:cs="宋体"/>
                <w:color w:val="auto"/>
                <w:sz w:val="22"/>
                <w:szCs w:val="22"/>
              </w:rPr>
            </w:pPr>
          </w:p>
        </w:tc>
        <w:tc>
          <w:tcPr>
            <w:tcW w:w="1027" w:type="dxa"/>
            <w:tcBorders>
              <w:top w:val="single" w:color="auto" w:sz="4" w:space="0"/>
              <w:bottom w:val="single" w:color="auto" w:sz="4" w:space="0"/>
            </w:tcBorders>
            <w:vAlign w:val="center"/>
          </w:tcPr>
          <w:p w14:paraId="03104528">
            <w:pPr>
              <w:spacing w:line="240" w:lineRule="auto"/>
              <w:ind w:firstLine="0" w:firstLineChars="0"/>
              <w:jc w:val="center"/>
              <w:rPr>
                <w:rFonts w:hint="eastAsia" w:ascii="宋体" w:hAnsi="宋体" w:eastAsia="宋体" w:cs="宋体"/>
                <w:color w:val="auto"/>
                <w:sz w:val="22"/>
                <w:szCs w:val="22"/>
              </w:rPr>
            </w:pPr>
          </w:p>
        </w:tc>
      </w:tr>
      <w:tr w14:paraId="6D9C4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51" w:type="dxa"/>
            <w:vMerge w:val="continue"/>
            <w:tcBorders>
              <w:top w:val="single" w:color="auto" w:sz="4" w:space="0"/>
              <w:bottom w:val="single" w:color="auto" w:sz="12" w:space="0"/>
              <w:right w:val="single" w:color="auto" w:sz="12" w:space="0"/>
            </w:tcBorders>
          </w:tcPr>
          <w:p w14:paraId="79B3FC30">
            <w:pPr>
              <w:spacing w:line="380" w:lineRule="exact"/>
              <w:jc w:val="center"/>
              <w:rPr>
                <w:rFonts w:hint="eastAsia" w:ascii="宋体" w:hAnsi="宋体" w:eastAsia="宋体" w:cs="宋体"/>
                <w:color w:val="auto"/>
                <w:sz w:val="22"/>
                <w:szCs w:val="22"/>
              </w:rPr>
            </w:pPr>
          </w:p>
        </w:tc>
        <w:tc>
          <w:tcPr>
            <w:tcW w:w="1365" w:type="dxa"/>
            <w:tcBorders>
              <w:top w:val="single" w:color="auto" w:sz="4" w:space="0"/>
              <w:left w:val="single" w:color="auto" w:sz="12" w:space="0"/>
              <w:bottom w:val="single" w:color="auto" w:sz="4" w:space="0"/>
            </w:tcBorders>
            <w:vAlign w:val="center"/>
          </w:tcPr>
          <w:p w14:paraId="7549552A">
            <w:pPr>
              <w:spacing w:line="240" w:lineRule="auto"/>
              <w:ind w:firstLine="0" w:firstLineChars="0"/>
              <w:jc w:val="center"/>
              <w:rPr>
                <w:rFonts w:hint="eastAsia" w:ascii="宋体" w:hAnsi="宋体" w:eastAsia="宋体" w:cs="宋体"/>
                <w:color w:val="auto"/>
                <w:sz w:val="22"/>
                <w:szCs w:val="22"/>
              </w:rPr>
            </w:pPr>
          </w:p>
        </w:tc>
        <w:tc>
          <w:tcPr>
            <w:tcW w:w="2100" w:type="dxa"/>
            <w:tcBorders>
              <w:top w:val="single" w:color="auto" w:sz="4" w:space="0"/>
              <w:bottom w:val="single" w:color="auto" w:sz="4" w:space="0"/>
            </w:tcBorders>
            <w:vAlign w:val="center"/>
          </w:tcPr>
          <w:p w14:paraId="3D4852F4">
            <w:pPr>
              <w:spacing w:line="240" w:lineRule="auto"/>
              <w:ind w:firstLine="0" w:firstLineChars="0"/>
              <w:jc w:val="center"/>
              <w:rPr>
                <w:rFonts w:hint="eastAsia" w:ascii="宋体" w:hAnsi="宋体" w:eastAsia="宋体" w:cs="宋体"/>
                <w:color w:val="auto"/>
                <w:sz w:val="22"/>
                <w:szCs w:val="22"/>
              </w:rPr>
            </w:pPr>
          </w:p>
        </w:tc>
        <w:tc>
          <w:tcPr>
            <w:tcW w:w="1995" w:type="dxa"/>
            <w:tcBorders>
              <w:top w:val="single" w:color="auto" w:sz="4" w:space="0"/>
              <w:bottom w:val="single" w:color="auto" w:sz="4" w:space="0"/>
            </w:tcBorders>
            <w:vAlign w:val="center"/>
          </w:tcPr>
          <w:p w14:paraId="629B3B66">
            <w:pPr>
              <w:spacing w:line="240" w:lineRule="auto"/>
              <w:ind w:firstLine="0" w:firstLineChars="0"/>
              <w:jc w:val="center"/>
              <w:rPr>
                <w:rFonts w:hint="eastAsia" w:ascii="宋体" w:hAnsi="宋体" w:eastAsia="宋体" w:cs="宋体"/>
                <w:color w:val="auto"/>
                <w:sz w:val="22"/>
                <w:szCs w:val="22"/>
              </w:rPr>
            </w:pPr>
          </w:p>
        </w:tc>
        <w:tc>
          <w:tcPr>
            <w:tcW w:w="1869" w:type="dxa"/>
            <w:tcBorders>
              <w:top w:val="single" w:color="auto" w:sz="4" w:space="0"/>
              <w:bottom w:val="single" w:color="auto" w:sz="4" w:space="0"/>
            </w:tcBorders>
            <w:vAlign w:val="center"/>
          </w:tcPr>
          <w:p w14:paraId="32342002">
            <w:pPr>
              <w:spacing w:line="240" w:lineRule="auto"/>
              <w:ind w:firstLine="0" w:firstLineChars="0"/>
              <w:jc w:val="center"/>
              <w:rPr>
                <w:rFonts w:hint="eastAsia" w:ascii="宋体" w:hAnsi="宋体" w:eastAsia="宋体" w:cs="宋体"/>
                <w:color w:val="auto"/>
                <w:sz w:val="22"/>
                <w:szCs w:val="22"/>
              </w:rPr>
            </w:pPr>
          </w:p>
        </w:tc>
        <w:tc>
          <w:tcPr>
            <w:tcW w:w="1027" w:type="dxa"/>
            <w:tcBorders>
              <w:top w:val="single" w:color="auto" w:sz="4" w:space="0"/>
              <w:bottom w:val="single" w:color="auto" w:sz="4" w:space="0"/>
            </w:tcBorders>
            <w:vAlign w:val="center"/>
          </w:tcPr>
          <w:p w14:paraId="0B3518AB">
            <w:pPr>
              <w:spacing w:line="240" w:lineRule="auto"/>
              <w:ind w:firstLine="0" w:firstLineChars="0"/>
              <w:jc w:val="center"/>
              <w:rPr>
                <w:rFonts w:hint="eastAsia" w:ascii="宋体" w:hAnsi="宋体" w:eastAsia="宋体" w:cs="宋体"/>
                <w:color w:val="auto"/>
                <w:sz w:val="22"/>
                <w:szCs w:val="22"/>
              </w:rPr>
            </w:pPr>
          </w:p>
        </w:tc>
      </w:tr>
      <w:tr w14:paraId="14DA6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51" w:type="dxa"/>
            <w:vMerge w:val="continue"/>
            <w:tcBorders>
              <w:top w:val="single" w:color="auto" w:sz="4" w:space="0"/>
              <w:bottom w:val="single" w:color="auto" w:sz="12" w:space="0"/>
              <w:right w:val="single" w:color="auto" w:sz="12" w:space="0"/>
            </w:tcBorders>
          </w:tcPr>
          <w:p w14:paraId="1ED8B514">
            <w:pPr>
              <w:spacing w:line="380" w:lineRule="exact"/>
              <w:jc w:val="center"/>
              <w:rPr>
                <w:rFonts w:hint="eastAsia" w:ascii="宋体" w:hAnsi="宋体" w:eastAsia="宋体" w:cs="宋体"/>
                <w:color w:val="auto"/>
                <w:sz w:val="22"/>
                <w:szCs w:val="22"/>
              </w:rPr>
            </w:pPr>
          </w:p>
        </w:tc>
        <w:tc>
          <w:tcPr>
            <w:tcW w:w="1365" w:type="dxa"/>
            <w:tcBorders>
              <w:top w:val="single" w:color="auto" w:sz="4" w:space="0"/>
              <w:left w:val="single" w:color="auto" w:sz="12" w:space="0"/>
              <w:bottom w:val="single" w:color="auto" w:sz="12" w:space="0"/>
            </w:tcBorders>
            <w:vAlign w:val="center"/>
          </w:tcPr>
          <w:p w14:paraId="5C61B609">
            <w:pPr>
              <w:spacing w:line="240" w:lineRule="auto"/>
              <w:ind w:firstLine="0" w:firstLineChars="0"/>
              <w:jc w:val="center"/>
              <w:rPr>
                <w:rFonts w:hint="eastAsia" w:ascii="宋体" w:hAnsi="宋体" w:eastAsia="宋体" w:cs="宋体"/>
                <w:color w:val="auto"/>
                <w:sz w:val="22"/>
                <w:szCs w:val="22"/>
              </w:rPr>
            </w:pPr>
          </w:p>
        </w:tc>
        <w:tc>
          <w:tcPr>
            <w:tcW w:w="2100" w:type="dxa"/>
            <w:tcBorders>
              <w:top w:val="single" w:color="auto" w:sz="4" w:space="0"/>
              <w:bottom w:val="single" w:color="auto" w:sz="12" w:space="0"/>
            </w:tcBorders>
            <w:vAlign w:val="center"/>
          </w:tcPr>
          <w:p w14:paraId="68F50076">
            <w:pPr>
              <w:spacing w:line="240" w:lineRule="auto"/>
              <w:ind w:firstLine="0" w:firstLineChars="0"/>
              <w:jc w:val="center"/>
              <w:rPr>
                <w:rFonts w:hint="eastAsia" w:ascii="宋体" w:hAnsi="宋体" w:eastAsia="宋体" w:cs="宋体"/>
                <w:color w:val="auto"/>
                <w:sz w:val="22"/>
                <w:szCs w:val="22"/>
              </w:rPr>
            </w:pPr>
          </w:p>
        </w:tc>
        <w:tc>
          <w:tcPr>
            <w:tcW w:w="1995" w:type="dxa"/>
            <w:tcBorders>
              <w:top w:val="single" w:color="auto" w:sz="4" w:space="0"/>
              <w:bottom w:val="single" w:color="auto" w:sz="12" w:space="0"/>
            </w:tcBorders>
            <w:vAlign w:val="center"/>
          </w:tcPr>
          <w:p w14:paraId="004FD5A8">
            <w:pPr>
              <w:spacing w:line="240" w:lineRule="auto"/>
              <w:ind w:firstLine="0" w:firstLineChars="0"/>
              <w:jc w:val="center"/>
              <w:rPr>
                <w:rFonts w:hint="eastAsia" w:ascii="宋体" w:hAnsi="宋体" w:eastAsia="宋体" w:cs="宋体"/>
                <w:color w:val="auto"/>
                <w:sz w:val="22"/>
                <w:szCs w:val="22"/>
              </w:rPr>
            </w:pPr>
          </w:p>
        </w:tc>
        <w:tc>
          <w:tcPr>
            <w:tcW w:w="1869" w:type="dxa"/>
            <w:tcBorders>
              <w:top w:val="single" w:color="auto" w:sz="4" w:space="0"/>
              <w:bottom w:val="single" w:color="auto" w:sz="12" w:space="0"/>
            </w:tcBorders>
            <w:vAlign w:val="center"/>
          </w:tcPr>
          <w:p w14:paraId="34649D6A">
            <w:pPr>
              <w:spacing w:line="240" w:lineRule="auto"/>
              <w:ind w:firstLine="0" w:firstLineChars="0"/>
              <w:jc w:val="center"/>
              <w:rPr>
                <w:rFonts w:hint="eastAsia" w:ascii="宋体" w:hAnsi="宋体" w:eastAsia="宋体" w:cs="宋体"/>
                <w:color w:val="auto"/>
                <w:sz w:val="22"/>
                <w:szCs w:val="22"/>
              </w:rPr>
            </w:pPr>
          </w:p>
        </w:tc>
        <w:tc>
          <w:tcPr>
            <w:tcW w:w="1027" w:type="dxa"/>
            <w:tcBorders>
              <w:top w:val="single" w:color="auto" w:sz="4" w:space="0"/>
              <w:bottom w:val="single" w:color="auto" w:sz="12" w:space="0"/>
            </w:tcBorders>
            <w:vAlign w:val="center"/>
          </w:tcPr>
          <w:p w14:paraId="7BBFB1F5">
            <w:pPr>
              <w:spacing w:line="240" w:lineRule="auto"/>
              <w:ind w:firstLine="0" w:firstLineChars="0"/>
              <w:jc w:val="center"/>
              <w:rPr>
                <w:rFonts w:hint="eastAsia" w:ascii="宋体" w:hAnsi="宋体" w:eastAsia="宋体" w:cs="宋体"/>
                <w:color w:val="auto"/>
                <w:sz w:val="22"/>
                <w:szCs w:val="22"/>
              </w:rPr>
            </w:pPr>
          </w:p>
        </w:tc>
      </w:tr>
      <w:tr w14:paraId="35EE3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51" w:type="dxa"/>
            <w:vMerge w:val="restart"/>
            <w:tcBorders>
              <w:top w:val="single" w:color="auto" w:sz="4" w:space="0"/>
              <w:bottom w:val="single" w:color="auto" w:sz="12" w:space="0"/>
              <w:right w:val="single" w:color="auto" w:sz="12" w:space="0"/>
            </w:tcBorders>
            <w:vAlign w:val="center"/>
          </w:tcPr>
          <w:p w14:paraId="5C1A5FEB">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技</w:t>
            </w:r>
          </w:p>
          <w:p w14:paraId="7C821498">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术</w:t>
            </w:r>
          </w:p>
          <w:p w14:paraId="3237F86E">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rPr>
              <w:t>条</w:t>
            </w:r>
          </w:p>
          <w:p w14:paraId="76C35B87">
            <w:pPr>
              <w:spacing w:line="38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rPr>
              <w:t>款</w:t>
            </w:r>
          </w:p>
        </w:tc>
        <w:tc>
          <w:tcPr>
            <w:tcW w:w="1365" w:type="dxa"/>
            <w:tcBorders>
              <w:top w:val="single" w:color="auto" w:sz="12" w:space="0"/>
              <w:left w:val="single" w:color="auto" w:sz="12" w:space="0"/>
            </w:tcBorders>
            <w:vAlign w:val="center"/>
          </w:tcPr>
          <w:p w14:paraId="4262C953">
            <w:pPr>
              <w:spacing w:line="240" w:lineRule="auto"/>
              <w:ind w:firstLine="0" w:firstLineChars="0"/>
              <w:jc w:val="center"/>
              <w:rPr>
                <w:rFonts w:hint="eastAsia" w:ascii="宋体" w:hAnsi="宋体" w:eastAsia="宋体" w:cs="宋体"/>
                <w:color w:val="auto"/>
                <w:sz w:val="22"/>
                <w:szCs w:val="22"/>
              </w:rPr>
            </w:pPr>
          </w:p>
          <w:p w14:paraId="12F517FA">
            <w:pPr>
              <w:spacing w:line="240" w:lineRule="auto"/>
              <w:ind w:firstLine="0" w:firstLineChars="0"/>
              <w:jc w:val="center"/>
              <w:rPr>
                <w:rFonts w:hint="eastAsia" w:ascii="宋体" w:hAnsi="宋体" w:eastAsia="宋体" w:cs="宋体"/>
                <w:color w:val="auto"/>
                <w:sz w:val="22"/>
                <w:szCs w:val="22"/>
              </w:rPr>
            </w:pPr>
          </w:p>
        </w:tc>
        <w:tc>
          <w:tcPr>
            <w:tcW w:w="2100" w:type="dxa"/>
            <w:tcBorders>
              <w:top w:val="single" w:color="auto" w:sz="12" w:space="0"/>
            </w:tcBorders>
            <w:vAlign w:val="center"/>
          </w:tcPr>
          <w:p w14:paraId="3E9ABEEE">
            <w:pPr>
              <w:spacing w:line="240" w:lineRule="auto"/>
              <w:ind w:firstLine="0" w:firstLineChars="0"/>
              <w:jc w:val="center"/>
              <w:rPr>
                <w:rFonts w:hint="eastAsia" w:ascii="宋体" w:hAnsi="宋体" w:eastAsia="宋体" w:cs="宋体"/>
                <w:color w:val="auto"/>
                <w:sz w:val="22"/>
                <w:szCs w:val="22"/>
              </w:rPr>
            </w:pPr>
          </w:p>
        </w:tc>
        <w:tc>
          <w:tcPr>
            <w:tcW w:w="1995" w:type="dxa"/>
            <w:tcBorders>
              <w:top w:val="single" w:color="auto" w:sz="12" w:space="0"/>
            </w:tcBorders>
            <w:vAlign w:val="center"/>
          </w:tcPr>
          <w:p w14:paraId="6769D74F">
            <w:pPr>
              <w:spacing w:line="240" w:lineRule="auto"/>
              <w:ind w:firstLine="0" w:firstLineChars="0"/>
              <w:jc w:val="center"/>
              <w:rPr>
                <w:rFonts w:hint="eastAsia" w:ascii="宋体" w:hAnsi="宋体" w:eastAsia="宋体" w:cs="宋体"/>
                <w:color w:val="auto"/>
                <w:sz w:val="22"/>
                <w:szCs w:val="22"/>
              </w:rPr>
            </w:pPr>
          </w:p>
        </w:tc>
        <w:tc>
          <w:tcPr>
            <w:tcW w:w="1869" w:type="dxa"/>
            <w:tcBorders>
              <w:top w:val="single" w:color="auto" w:sz="12" w:space="0"/>
            </w:tcBorders>
            <w:vAlign w:val="center"/>
          </w:tcPr>
          <w:p w14:paraId="10912F0E">
            <w:pPr>
              <w:spacing w:line="240" w:lineRule="auto"/>
              <w:ind w:firstLine="0" w:firstLineChars="0"/>
              <w:jc w:val="center"/>
              <w:rPr>
                <w:rFonts w:hint="eastAsia" w:ascii="宋体" w:hAnsi="宋体" w:eastAsia="宋体" w:cs="宋体"/>
                <w:color w:val="auto"/>
                <w:sz w:val="22"/>
                <w:szCs w:val="22"/>
              </w:rPr>
            </w:pPr>
          </w:p>
        </w:tc>
        <w:tc>
          <w:tcPr>
            <w:tcW w:w="1027" w:type="dxa"/>
            <w:tcBorders>
              <w:top w:val="single" w:color="auto" w:sz="12" w:space="0"/>
            </w:tcBorders>
            <w:vAlign w:val="center"/>
          </w:tcPr>
          <w:p w14:paraId="11897089">
            <w:pPr>
              <w:spacing w:line="240" w:lineRule="auto"/>
              <w:ind w:firstLine="0" w:firstLineChars="0"/>
              <w:jc w:val="center"/>
              <w:rPr>
                <w:rFonts w:hint="eastAsia" w:ascii="宋体" w:hAnsi="宋体" w:eastAsia="宋体" w:cs="宋体"/>
                <w:color w:val="auto"/>
                <w:sz w:val="22"/>
                <w:szCs w:val="22"/>
              </w:rPr>
            </w:pPr>
          </w:p>
        </w:tc>
      </w:tr>
      <w:tr w14:paraId="68DB2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51" w:type="dxa"/>
            <w:vMerge w:val="continue"/>
            <w:tcBorders>
              <w:top w:val="single" w:color="auto" w:sz="4" w:space="0"/>
              <w:bottom w:val="single" w:color="auto" w:sz="12" w:space="0"/>
              <w:right w:val="single" w:color="auto" w:sz="12" w:space="0"/>
            </w:tcBorders>
          </w:tcPr>
          <w:p w14:paraId="501F2D80">
            <w:pPr>
              <w:spacing w:line="380" w:lineRule="exact"/>
              <w:jc w:val="center"/>
              <w:rPr>
                <w:rFonts w:hint="eastAsia" w:ascii="宋体" w:hAnsi="宋体" w:eastAsia="宋体" w:cs="宋体"/>
                <w:color w:val="auto"/>
                <w:sz w:val="22"/>
                <w:szCs w:val="22"/>
              </w:rPr>
            </w:pPr>
          </w:p>
        </w:tc>
        <w:tc>
          <w:tcPr>
            <w:tcW w:w="1365" w:type="dxa"/>
            <w:tcBorders>
              <w:left w:val="single" w:color="auto" w:sz="12" w:space="0"/>
            </w:tcBorders>
            <w:vAlign w:val="center"/>
          </w:tcPr>
          <w:p w14:paraId="0E38B7FC">
            <w:pPr>
              <w:spacing w:line="240" w:lineRule="auto"/>
              <w:ind w:firstLine="0" w:firstLineChars="0"/>
              <w:jc w:val="center"/>
              <w:rPr>
                <w:rFonts w:hint="eastAsia" w:ascii="宋体" w:hAnsi="宋体" w:eastAsia="宋体" w:cs="宋体"/>
                <w:color w:val="auto"/>
                <w:sz w:val="22"/>
                <w:szCs w:val="22"/>
              </w:rPr>
            </w:pPr>
          </w:p>
        </w:tc>
        <w:tc>
          <w:tcPr>
            <w:tcW w:w="2100" w:type="dxa"/>
            <w:vAlign w:val="center"/>
          </w:tcPr>
          <w:p w14:paraId="4FEB6938">
            <w:pPr>
              <w:spacing w:line="240" w:lineRule="auto"/>
              <w:ind w:firstLine="0" w:firstLineChars="0"/>
              <w:jc w:val="center"/>
              <w:rPr>
                <w:rFonts w:hint="eastAsia" w:ascii="宋体" w:hAnsi="宋体" w:eastAsia="宋体" w:cs="宋体"/>
                <w:color w:val="auto"/>
                <w:sz w:val="22"/>
                <w:szCs w:val="22"/>
              </w:rPr>
            </w:pPr>
          </w:p>
        </w:tc>
        <w:tc>
          <w:tcPr>
            <w:tcW w:w="1995" w:type="dxa"/>
            <w:vAlign w:val="center"/>
          </w:tcPr>
          <w:p w14:paraId="4151B7B0">
            <w:pPr>
              <w:spacing w:line="240" w:lineRule="auto"/>
              <w:ind w:firstLine="0" w:firstLineChars="0"/>
              <w:jc w:val="center"/>
              <w:rPr>
                <w:rFonts w:hint="eastAsia" w:ascii="宋体" w:hAnsi="宋体" w:eastAsia="宋体" w:cs="宋体"/>
                <w:color w:val="auto"/>
                <w:sz w:val="22"/>
                <w:szCs w:val="22"/>
              </w:rPr>
            </w:pPr>
          </w:p>
        </w:tc>
        <w:tc>
          <w:tcPr>
            <w:tcW w:w="1869" w:type="dxa"/>
            <w:vAlign w:val="center"/>
          </w:tcPr>
          <w:p w14:paraId="2BE255ED">
            <w:pPr>
              <w:spacing w:line="240" w:lineRule="auto"/>
              <w:ind w:firstLine="0" w:firstLineChars="0"/>
              <w:jc w:val="center"/>
              <w:rPr>
                <w:rFonts w:hint="eastAsia" w:ascii="宋体" w:hAnsi="宋体" w:eastAsia="宋体" w:cs="宋体"/>
                <w:color w:val="auto"/>
                <w:sz w:val="22"/>
                <w:szCs w:val="22"/>
              </w:rPr>
            </w:pPr>
          </w:p>
        </w:tc>
        <w:tc>
          <w:tcPr>
            <w:tcW w:w="1027" w:type="dxa"/>
            <w:vAlign w:val="center"/>
          </w:tcPr>
          <w:p w14:paraId="31D26B82">
            <w:pPr>
              <w:spacing w:line="240" w:lineRule="auto"/>
              <w:ind w:firstLine="0" w:firstLineChars="0"/>
              <w:jc w:val="center"/>
              <w:rPr>
                <w:rFonts w:hint="eastAsia" w:ascii="宋体" w:hAnsi="宋体" w:eastAsia="宋体" w:cs="宋体"/>
                <w:color w:val="auto"/>
                <w:sz w:val="22"/>
                <w:szCs w:val="22"/>
              </w:rPr>
            </w:pPr>
          </w:p>
        </w:tc>
      </w:tr>
      <w:tr w14:paraId="49AAB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51" w:type="dxa"/>
            <w:vMerge w:val="continue"/>
            <w:tcBorders>
              <w:top w:val="single" w:color="auto" w:sz="4" w:space="0"/>
              <w:bottom w:val="single" w:color="auto" w:sz="12" w:space="0"/>
              <w:right w:val="single" w:color="auto" w:sz="12" w:space="0"/>
            </w:tcBorders>
          </w:tcPr>
          <w:p w14:paraId="30CCF86E">
            <w:pPr>
              <w:spacing w:line="380" w:lineRule="exact"/>
              <w:jc w:val="center"/>
              <w:rPr>
                <w:rFonts w:hint="eastAsia" w:ascii="宋体" w:hAnsi="宋体" w:eastAsia="宋体" w:cs="宋体"/>
                <w:color w:val="auto"/>
                <w:sz w:val="22"/>
                <w:szCs w:val="22"/>
              </w:rPr>
            </w:pPr>
          </w:p>
        </w:tc>
        <w:tc>
          <w:tcPr>
            <w:tcW w:w="1365" w:type="dxa"/>
            <w:tcBorders>
              <w:left w:val="single" w:color="auto" w:sz="12" w:space="0"/>
            </w:tcBorders>
            <w:vAlign w:val="center"/>
          </w:tcPr>
          <w:p w14:paraId="53D1C4C1">
            <w:pPr>
              <w:spacing w:line="240" w:lineRule="auto"/>
              <w:ind w:firstLine="0" w:firstLineChars="0"/>
              <w:jc w:val="center"/>
              <w:rPr>
                <w:rFonts w:hint="eastAsia" w:ascii="宋体" w:hAnsi="宋体" w:eastAsia="宋体" w:cs="宋体"/>
                <w:color w:val="auto"/>
                <w:sz w:val="22"/>
                <w:szCs w:val="22"/>
              </w:rPr>
            </w:pPr>
          </w:p>
        </w:tc>
        <w:tc>
          <w:tcPr>
            <w:tcW w:w="2100" w:type="dxa"/>
            <w:vAlign w:val="center"/>
          </w:tcPr>
          <w:p w14:paraId="2879F788">
            <w:pPr>
              <w:spacing w:line="240" w:lineRule="auto"/>
              <w:ind w:firstLine="0" w:firstLineChars="0"/>
              <w:jc w:val="center"/>
              <w:rPr>
                <w:rFonts w:hint="eastAsia" w:ascii="宋体" w:hAnsi="宋体" w:eastAsia="宋体" w:cs="宋体"/>
                <w:color w:val="auto"/>
                <w:sz w:val="22"/>
                <w:szCs w:val="22"/>
              </w:rPr>
            </w:pPr>
          </w:p>
        </w:tc>
        <w:tc>
          <w:tcPr>
            <w:tcW w:w="1995" w:type="dxa"/>
            <w:vAlign w:val="center"/>
          </w:tcPr>
          <w:p w14:paraId="6E73B3D3">
            <w:pPr>
              <w:spacing w:line="240" w:lineRule="auto"/>
              <w:ind w:firstLine="0" w:firstLineChars="0"/>
              <w:jc w:val="center"/>
              <w:rPr>
                <w:rFonts w:hint="eastAsia" w:ascii="宋体" w:hAnsi="宋体" w:eastAsia="宋体" w:cs="宋体"/>
                <w:color w:val="auto"/>
                <w:sz w:val="22"/>
                <w:szCs w:val="22"/>
              </w:rPr>
            </w:pPr>
          </w:p>
        </w:tc>
        <w:tc>
          <w:tcPr>
            <w:tcW w:w="1869" w:type="dxa"/>
            <w:vAlign w:val="center"/>
          </w:tcPr>
          <w:p w14:paraId="4B2269E5">
            <w:pPr>
              <w:spacing w:line="240" w:lineRule="auto"/>
              <w:ind w:firstLine="0" w:firstLineChars="0"/>
              <w:jc w:val="center"/>
              <w:rPr>
                <w:rFonts w:hint="eastAsia" w:ascii="宋体" w:hAnsi="宋体" w:eastAsia="宋体" w:cs="宋体"/>
                <w:color w:val="auto"/>
                <w:sz w:val="22"/>
                <w:szCs w:val="22"/>
              </w:rPr>
            </w:pPr>
          </w:p>
        </w:tc>
        <w:tc>
          <w:tcPr>
            <w:tcW w:w="1027" w:type="dxa"/>
            <w:vAlign w:val="center"/>
          </w:tcPr>
          <w:p w14:paraId="5140FDAF">
            <w:pPr>
              <w:spacing w:line="240" w:lineRule="auto"/>
              <w:ind w:firstLine="0" w:firstLineChars="0"/>
              <w:jc w:val="center"/>
              <w:rPr>
                <w:rFonts w:hint="eastAsia" w:ascii="宋体" w:hAnsi="宋体" w:eastAsia="宋体" w:cs="宋体"/>
                <w:color w:val="auto"/>
                <w:sz w:val="22"/>
                <w:szCs w:val="22"/>
              </w:rPr>
            </w:pPr>
          </w:p>
        </w:tc>
      </w:tr>
      <w:tr w14:paraId="6E46F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51" w:type="dxa"/>
            <w:vMerge w:val="continue"/>
            <w:tcBorders>
              <w:top w:val="single" w:color="auto" w:sz="4" w:space="0"/>
              <w:bottom w:val="single" w:color="auto" w:sz="12" w:space="0"/>
              <w:right w:val="single" w:color="auto" w:sz="12" w:space="0"/>
            </w:tcBorders>
          </w:tcPr>
          <w:p w14:paraId="5F5A9BD9">
            <w:pPr>
              <w:spacing w:line="380" w:lineRule="exact"/>
              <w:jc w:val="center"/>
              <w:rPr>
                <w:rFonts w:hint="eastAsia" w:ascii="宋体" w:hAnsi="宋体" w:eastAsia="宋体" w:cs="宋体"/>
                <w:color w:val="auto"/>
                <w:sz w:val="22"/>
                <w:szCs w:val="22"/>
              </w:rPr>
            </w:pPr>
          </w:p>
        </w:tc>
        <w:tc>
          <w:tcPr>
            <w:tcW w:w="1365" w:type="dxa"/>
            <w:tcBorders>
              <w:left w:val="single" w:color="auto" w:sz="12" w:space="0"/>
            </w:tcBorders>
            <w:vAlign w:val="center"/>
          </w:tcPr>
          <w:p w14:paraId="17BBB753">
            <w:pPr>
              <w:spacing w:line="240" w:lineRule="auto"/>
              <w:ind w:firstLine="0" w:firstLineChars="0"/>
              <w:jc w:val="center"/>
              <w:rPr>
                <w:rFonts w:hint="eastAsia" w:ascii="宋体" w:hAnsi="宋体" w:eastAsia="宋体" w:cs="宋体"/>
                <w:color w:val="auto"/>
                <w:sz w:val="22"/>
                <w:szCs w:val="22"/>
              </w:rPr>
            </w:pPr>
          </w:p>
        </w:tc>
        <w:tc>
          <w:tcPr>
            <w:tcW w:w="2100" w:type="dxa"/>
            <w:vAlign w:val="center"/>
          </w:tcPr>
          <w:p w14:paraId="3CB9CB52">
            <w:pPr>
              <w:spacing w:line="240" w:lineRule="auto"/>
              <w:ind w:firstLine="0" w:firstLineChars="0"/>
              <w:jc w:val="center"/>
              <w:rPr>
                <w:rFonts w:hint="eastAsia" w:ascii="宋体" w:hAnsi="宋体" w:eastAsia="宋体" w:cs="宋体"/>
                <w:color w:val="auto"/>
                <w:sz w:val="22"/>
                <w:szCs w:val="22"/>
              </w:rPr>
            </w:pPr>
          </w:p>
        </w:tc>
        <w:tc>
          <w:tcPr>
            <w:tcW w:w="1995" w:type="dxa"/>
            <w:vAlign w:val="center"/>
          </w:tcPr>
          <w:p w14:paraId="3CD1E3EC">
            <w:pPr>
              <w:spacing w:line="240" w:lineRule="auto"/>
              <w:ind w:firstLine="0" w:firstLineChars="0"/>
              <w:jc w:val="center"/>
              <w:rPr>
                <w:rFonts w:hint="eastAsia" w:ascii="宋体" w:hAnsi="宋体" w:eastAsia="宋体" w:cs="宋体"/>
                <w:color w:val="auto"/>
                <w:sz w:val="22"/>
                <w:szCs w:val="22"/>
              </w:rPr>
            </w:pPr>
          </w:p>
        </w:tc>
        <w:tc>
          <w:tcPr>
            <w:tcW w:w="1869" w:type="dxa"/>
            <w:vAlign w:val="center"/>
          </w:tcPr>
          <w:p w14:paraId="6C066F77">
            <w:pPr>
              <w:spacing w:line="240" w:lineRule="auto"/>
              <w:ind w:firstLine="0" w:firstLineChars="0"/>
              <w:jc w:val="center"/>
              <w:rPr>
                <w:rFonts w:hint="eastAsia" w:ascii="宋体" w:hAnsi="宋体" w:eastAsia="宋体" w:cs="宋体"/>
                <w:color w:val="auto"/>
                <w:sz w:val="22"/>
                <w:szCs w:val="22"/>
              </w:rPr>
            </w:pPr>
          </w:p>
        </w:tc>
        <w:tc>
          <w:tcPr>
            <w:tcW w:w="1027" w:type="dxa"/>
            <w:vAlign w:val="center"/>
          </w:tcPr>
          <w:p w14:paraId="7B1A7F47">
            <w:pPr>
              <w:spacing w:line="240" w:lineRule="auto"/>
              <w:ind w:firstLine="0" w:firstLineChars="0"/>
              <w:jc w:val="center"/>
              <w:rPr>
                <w:rFonts w:hint="eastAsia" w:ascii="宋体" w:hAnsi="宋体" w:eastAsia="宋体" w:cs="宋体"/>
                <w:color w:val="auto"/>
                <w:sz w:val="22"/>
                <w:szCs w:val="22"/>
              </w:rPr>
            </w:pPr>
          </w:p>
        </w:tc>
      </w:tr>
      <w:tr w14:paraId="72B10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51" w:type="dxa"/>
            <w:vMerge w:val="continue"/>
            <w:tcBorders>
              <w:top w:val="single" w:color="auto" w:sz="4" w:space="0"/>
              <w:bottom w:val="single" w:color="auto" w:sz="12" w:space="0"/>
              <w:right w:val="single" w:color="auto" w:sz="12" w:space="0"/>
            </w:tcBorders>
          </w:tcPr>
          <w:p w14:paraId="181626FD">
            <w:pPr>
              <w:spacing w:line="380" w:lineRule="exact"/>
              <w:jc w:val="center"/>
              <w:rPr>
                <w:rFonts w:hint="eastAsia" w:ascii="宋体" w:hAnsi="宋体" w:eastAsia="宋体" w:cs="宋体"/>
                <w:color w:val="auto"/>
                <w:sz w:val="22"/>
                <w:szCs w:val="22"/>
              </w:rPr>
            </w:pPr>
          </w:p>
        </w:tc>
        <w:tc>
          <w:tcPr>
            <w:tcW w:w="1365" w:type="dxa"/>
            <w:tcBorders>
              <w:left w:val="single" w:color="auto" w:sz="12" w:space="0"/>
            </w:tcBorders>
            <w:vAlign w:val="center"/>
          </w:tcPr>
          <w:p w14:paraId="4B28B988">
            <w:pPr>
              <w:spacing w:line="240" w:lineRule="auto"/>
              <w:ind w:firstLine="0" w:firstLineChars="0"/>
              <w:jc w:val="center"/>
              <w:rPr>
                <w:rFonts w:hint="eastAsia" w:ascii="宋体" w:hAnsi="宋体" w:eastAsia="宋体" w:cs="宋体"/>
                <w:color w:val="auto"/>
                <w:sz w:val="22"/>
                <w:szCs w:val="22"/>
              </w:rPr>
            </w:pPr>
          </w:p>
        </w:tc>
        <w:tc>
          <w:tcPr>
            <w:tcW w:w="2100" w:type="dxa"/>
            <w:vAlign w:val="center"/>
          </w:tcPr>
          <w:p w14:paraId="640F15CE">
            <w:pPr>
              <w:spacing w:line="240" w:lineRule="auto"/>
              <w:ind w:firstLine="0" w:firstLineChars="0"/>
              <w:jc w:val="center"/>
              <w:rPr>
                <w:rFonts w:hint="eastAsia" w:ascii="宋体" w:hAnsi="宋体" w:eastAsia="宋体" w:cs="宋体"/>
                <w:color w:val="auto"/>
                <w:sz w:val="22"/>
                <w:szCs w:val="22"/>
              </w:rPr>
            </w:pPr>
          </w:p>
        </w:tc>
        <w:tc>
          <w:tcPr>
            <w:tcW w:w="1995" w:type="dxa"/>
            <w:vAlign w:val="center"/>
          </w:tcPr>
          <w:p w14:paraId="70795408">
            <w:pPr>
              <w:spacing w:line="240" w:lineRule="auto"/>
              <w:ind w:firstLine="0" w:firstLineChars="0"/>
              <w:jc w:val="center"/>
              <w:rPr>
                <w:rFonts w:hint="eastAsia" w:ascii="宋体" w:hAnsi="宋体" w:eastAsia="宋体" w:cs="宋体"/>
                <w:color w:val="auto"/>
                <w:sz w:val="22"/>
                <w:szCs w:val="22"/>
              </w:rPr>
            </w:pPr>
          </w:p>
        </w:tc>
        <w:tc>
          <w:tcPr>
            <w:tcW w:w="1869" w:type="dxa"/>
            <w:vAlign w:val="center"/>
          </w:tcPr>
          <w:p w14:paraId="24D6CAB8">
            <w:pPr>
              <w:spacing w:line="240" w:lineRule="auto"/>
              <w:ind w:firstLine="0" w:firstLineChars="0"/>
              <w:jc w:val="center"/>
              <w:rPr>
                <w:rFonts w:hint="eastAsia" w:ascii="宋体" w:hAnsi="宋体" w:eastAsia="宋体" w:cs="宋体"/>
                <w:color w:val="auto"/>
                <w:sz w:val="22"/>
                <w:szCs w:val="22"/>
              </w:rPr>
            </w:pPr>
          </w:p>
        </w:tc>
        <w:tc>
          <w:tcPr>
            <w:tcW w:w="1027" w:type="dxa"/>
            <w:vAlign w:val="center"/>
          </w:tcPr>
          <w:p w14:paraId="0C7DBB23">
            <w:pPr>
              <w:spacing w:line="240" w:lineRule="auto"/>
              <w:ind w:firstLine="0" w:firstLineChars="0"/>
              <w:jc w:val="center"/>
              <w:rPr>
                <w:rFonts w:hint="eastAsia" w:ascii="宋体" w:hAnsi="宋体" w:eastAsia="宋体" w:cs="宋体"/>
                <w:color w:val="auto"/>
                <w:sz w:val="22"/>
                <w:szCs w:val="22"/>
              </w:rPr>
            </w:pPr>
          </w:p>
        </w:tc>
      </w:tr>
    </w:tbl>
    <w:p w14:paraId="46F7117D">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注：</w:t>
      </w:r>
      <w:r>
        <w:rPr>
          <w:rFonts w:hint="eastAsia" w:ascii="宋体" w:hAnsi="宋体" w:eastAsia="宋体" w:cs="宋体"/>
          <w:color w:val="auto"/>
          <w:sz w:val="22"/>
          <w:szCs w:val="22"/>
          <w:lang w:val="en-US"/>
        </w:rPr>
        <w:t>1、</w:t>
      </w:r>
      <w:r>
        <w:rPr>
          <w:rFonts w:hint="eastAsia" w:ascii="宋体" w:hAnsi="宋体" w:eastAsia="宋体" w:cs="宋体"/>
          <w:color w:val="auto"/>
          <w:sz w:val="22"/>
          <w:szCs w:val="22"/>
        </w:rPr>
        <w:t>投标人应根据所投产品（服务）的技术、商务情况，对照采购文件要求在“偏离情况”栏注明“正偏离”、“负偏离”或“无偏离”</w:t>
      </w:r>
      <w:r>
        <w:rPr>
          <w:rFonts w:hint="eastAsia" w:cs="宋体"/>
          <w:color w:val="auto"/>
          <w:sz w:val="22"/>
          <w:szCs w:val="22"/>
          <w:lang w:eastAsia="zh-CN"/>
        </w:rPr>
        <w:t>，</w:t>
      </w:r>
      <w:r>
        <w:rPr>
          <w:rFonts w:hint="eastAsia" w:cs="宋体"/>
          <w:color w:val="auto"/>
          <w:sz w:val="22"/>
          <w:szCs w:val="22"/>
          <w:lang w:val="en-US" w:eastAsia="zh-CN"/>
        </w:rPr>
        <w:t>未填写视为全部响应招标文件要求</w:t>
      </w:r>
      <w:r>
        <w:rPr>
          <w:rFonts w:hint="eastAsia" w:ascii="宋体" w:hAnsi="宋体" w:eastAsia="宋体" w:cs="宋体"/>
          <w:color w:val="auto"/>
          <w:sz w:val="22"/>
          <w:szCs w:val="22"/>
        </w:rPr>
        <w:t>。</w:t>
      </w:r>
    </w:p>
    <w:p w14:paraId="3347A88E">
      <w:pPr>
        <w:spacing w:line="360" w:lineRule="auto"/>
        <w:ind w:left="440" w:leftChars="200"/>
        <w:rPr>
          <w:rFonts w:hint="eastAsia" w:ascii="宋体" w:hAnsi="宋体" w:eastAsia="宋体" w:cs="宋体"/>
          <w:color w:val="auto"/>
          <w:sz w:val="22"/>
          <w:szCs w:val="22"/>
          <w:lang w:val="en-US"/>
        </w:rPr>
      </w:pPr>
      <w:r>
        <w:rPr>
          <w:rFonts w:hint="eastAsia" w:ascii="宋体" w:hAnsi="宋体" w:eastAsia="宋体" w:cs="宋体"/>
          <w:b w:val="0"/>
          <w:bCs w:val="0"/>
          <w:color w:val="auto"/>
          <w:sz w:val="22"/>
          <w:szCs w:val="22"/>
          <w:lang w:val="en-US"/>
        </w:rPr>
        <w:t>2、</w:t>
      </w:r>
      <w:r>
        <w:rPr>
          <w:rFonts w:hint="eastAsia" w:ascii="宋体" w:hAnsi="宋体" w:eastAsia="宋体" w:cs="宋体"/>
          <w:color w:val="auto"/>
          <w:sz w:val="22"/>
          <w:szCs w:val="22"/>
          <w:lang w:val="en-US"/>
        </w:rPr>
        <w:t>表格可自行延展。</w:t>
      </w:r>
    </w:p>
    <w:p w14:paraId="0005A46C">
      <w:pPr>
        <w:pStyle w:val="12"/>
        <w:rPr>
          <w:rFonts w:hint="eastAsia" w:ascii="宋体" w:hAnsi="宋体" w:eastAsia="宋体" w:cs="宋体"/>
          <w:color w:val="auto"/>
          <w:sz w:val="22"/>
          <w:szCs w:val="22"/>
        </w:rPr>
      </w:pPr>
    </w:p>
    <w:p w14:paraId="6BDE1107">
      <w:pPr>
        <w:pStyle w:val="12"/>
        <w:rPr>
          <w:rFonts w:hint="eastAsia" w:ascii="宋体" w:hAnsi="宋体" w:eastAsia="宋体" w:cs="宋体"/>
          <w:color w:val="auto"/>
          <w:sz w:val="22"/>
          <w:szCs w:val="22"/>
        </w:rPr>
      </w:pPr>
    </w:p>
    <w:p w14:paraId="3B2E1461">
      <w:pPr>
        <w:spacing w:line="360" w:lineRule="auto"/>
        <w:ind w:firstLine="4620" w:firstLineChars="21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lang w:eastAsia="zh-CN"/>
        </w:rPr>
        <w:t>投标人名称</w:t>
      </w:r>
      <w:r>
        <w:rPr>
          <w:rFonts w:hint="eastAsia" w:cs="仿宋_GB2312" w:asciiTheme="minorEastAsia" w:hAnsiTheme="minorEastAsia" w:eastAsiaTheme="minorEastAsia"/>
          <w:color w:val="auto"/>
          <w:sz w:val="22"/>
          <w:szCs w:val="21"/>
        </w:rPr>
        <w:t>（电子签名）：</w:t>
      </w:r>
    </w:p>
    <w:p w14:paraId="5486D96D">
      <w:pPr>
        <w:spacing w:line="360" w:lineRule="auto"/>
        <w:ind w:firstLine="4620" w:firstLineChars="2100"/>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日期：  年   月   日</w:t>
      </w:r>
    </w:p>
    <w:p w14:paraId="6BED61FC">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7544C2A4">
      <w:pPr>
        <w:ind w:right="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投</w:t>
      </w:r>
      <w:r>
        <w:rPr>
          <w:rFonts w:hint="eastAsia" w:ascii="宋体" w:hAnsi="宋体" w:eastAsia="宋体" w:cs="宋体"/>
          <w:b/>
          <w:bCs/>
          <w:color w:val="auto"/>
          <w:sz w:val="28"/>
          <w:szCs w:val="28"/>
        </w:rPr>
        <w:t>标人认为可以证明其能力或业绩的其他材料</w:t>
      </w:r>
    </w:p>
    <w:p w14:paraId="1ADB913E">
      <w:pPr>
        <w:spacing w:before="142" w:after="19"/>
        <w:ind w:right="5732"/>
        <w:jc w:val="center"/>
        <w:rPr>
          <w:rFonts w:hint="eastAsia" w:ascii="宋体" w:hAnsi="宋体" w:eastAsia="宋体" w:cs="宋体"/>
          <w:color w:val="auto"/>
          <w:sz w:val="22"/>
          <w:szCs w:val="22"/>
        </w:rPr>
      </w:pPr>
      <w:r>
        <w:rPr>
          <w:rFonts w:hint="eastAsia" w:ascii="宋体" w:hAnsi="宋体" w:eastAsia="宋体" w:cs="宋体"/>
          <w:color w:val="auto"/>
          <w:sz w:val="22"/>
          <w:szCs w:val="22"/>
        </w:rPr>
        <w:t>附表：项目实施情况一览表</w:t>
      </w:r>
    </w:p>
    <w:tbl>
      <w:tblPr>
        <w:tblStyle w:val="26"/>
        <w:tblW w:w="9093" w:type="dxa"/>
        <w:tblInd w:w="89"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1692"/>
        <w:gridCol w:w="1981"/>
        <w:gridCol w:w="1545"/>
        <w:gridCol w:w="1127"/>
        <w:gridCol w:w="1020"/>
      </w:tblGrid>
      <w:tr w14:paraId="26CF4A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1728" w:type="dxa"/>
            <w:tcBorders>
              <w:tl2br w:val="nil"/>
              <w:tr2bl w:val="nil"/>
            </w:tcBorders>
            <w:shd w:val="clear" w:color="auto" w:fill="B6DDE8" w:themeFill="accent5" w:themeFillTint="66"/>
            <w:vAlign w:val="center"/>
          </w:tcPr>
          <w:p w14:paraId="656A2E4E">
            <w:pPr>
              <w:pStyle w:val="39"/>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项目名称</w:t>
            </w:r>
          </w:p>
        </w:tc>
        <w:tc>
          <w:tcPr>
            <w:tcW w:w="1692" w:type="dxa"/>
            <w:tcBorders>
              <w:tl2br w:val="nil"/>
              <w:tr2bl w:val="nil"/>
            </w:tcBorders>
            <w:shd w:val="clear" w:color="auto" w:fill="B6DDE8" w:themeFill="accent5" w:themeFillTint="66"/>
            <w:vAlign w:val="center"/>
          </w:tcPr>
          <w:p w14:paraId="23E86FB7">
            <w:pPr>
              <w:pStyle w:val="39"/>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项目类型</w:t>
            </w:r>
          </w:p>
        </w:tc>
        <w:tc>
          <w:tcPr>
            <w:tcW w:w="1981" w:type="dxa"/>
            <w:tcBorders>
              <w:tl2br w:val="nil"/>
              <w:tr2bl w:val="nil"/>
            </w:tcBorders>
            <w:shd w:val="clear" w:color="auto" w:fill="B6DDE8" w:themeFill="accent5" w:themeFillTint="66"/>
            <w:vAlign w:val="center"/>
          </w:tcPr>
          <w:p w14:paraId="628F7682">
            <w:pPr>
              <w:pStyle w:val="39"/>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项目投资（万元）</w:t>
            </w:r>
          </w:p>
        </w:tc>
        <w:tc>
          <w:tcPr>
            <w:tcW w:w="1545" w:type="dxa"/>
            <w:tcBorders>
              <w:tl2br w:val="nil"/>
              <w:tr2bl w:val="nil"/>
            </w:tcBorders>
            <w:shd w:val="clear" w:color="auto" w:fill="B6DDE8" w:themeFill="accent5" w:themeFillTint="66"/>
            <w:vAlign w:val="center"/>
          </w:tcPr>
          <w:p w14:paraId="4DD045E7">
            <w:pPr>
              <w:pStyle w:val="39"/>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起止日期</w:t>
            </w:r>
          </w:p>
        </w:tc>
        <w:tc>
          <w:tcPr>
            <w:tcW w:w="1127" w:type="dxa"/>
            <w:tcBorders>
              <w:tl2br w:val="nil"/>
              <w:tr2bl w:val="nil"/>
            </w:tcBorders>
            <w:shd w:val="clear" w:color="auto" w:fill="B6DDE8" w:themeFill="accent5" w:themeFillTint="66"/>
            <w:vAlign w:val="center"/>
          </w:tcPr>
          <w:p w14:paraId="00E754B2">
            <w:pPr>
              <w:pStyle w:val="39"/>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rPr>
              <w:t>用户</w:t>
            </w:r>
            <w:r>
              <w:rPr>
                <w:rFonts w:hint="eastAsia" w:ascii="宋体" w:hAnsi="宋体" w:eastAsia="宋体" w:cs="宋体"/>
                <w:b/>
                <w:bCs/>
                <w:color w:val="auto"/>
                <w:sz w:val="22"/>
                <w:szCs w:val="22"/>
              </w:rPr>
              <w:t>联系</w:t>
            </w:r>
            <w:r>
              <w:rPr>
                <w:rFonts w:hint="eastAsia" w:ascii="宋体" w:hAnsi="宋体" w:eastAsia="宋体" w:cs="宋体"/>
                <w:b/>
                <w:bCs/>
                <w:color w:val="auto"/>
                <w:sz w:val="22"/>
                <w:szCs w:val="22"/>
                <w:lang w:val="en-US"/>
              </w:rPr>
              <w:t>人</w:t>
            </w:r>
            <w:r>
              <w:rPr>
                <w:rFonts w:hint="eastAsia" w:ascii="宋体" w:hAnsi="宋体" w:eastAsia="宋体" w:cs="宋体"/>
                <w:b/>
                <w:bCs/>
                <w:color w:val="auto"/>
                <w:sz w:val="22"/>
                <w:szCs w:val="22"/>
              </w:rPr>
              <w:t>电话</w:t>
            </w:r>
          </w:p>
        </w:tc>
        <w:tc>
          <w:tcPr>
            <w:tcW w:w="1020" w:type="dxa"/>
            <w:tcBorders>
              <w:tl2br w:val="nil"/>
              <w:tr2bl w:val="nil"/>
            </w:tcBorders>
            <w:shd w:val="clear" w:color="auto" w:fill="B6DDE8" w:themeFill="accent5" w:themeFillTint="66"/>
            <w:vAlign w:val="center"/>
          </w:tcPr>
          <w:p w14:paraId="1BBCE6C3">
            <w:pPr>
              <w:pStyle w:val="39"/>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所在页码</w:t>
            </w:r>
          </w:p>
        </w:tc>
      </w:tr>
      <w:tr w14:paraId="37CF07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728" w:type="dxa"/>
            <w:tcBorders>
              <w:tl2br w:val="nil"/>
              <w:tr2bl w:val="nil"/>
            </w:tcBorders>
            <w:vAlign w:val="center"/>
          </w:tcPr>
          <w:p w14:paraId="7D7431CF">
            <w:pPr>
              <w:pStyle w:val="39"/>
              <w:jc w:val="center"/>
              <w:rPr>
                <w:rFonts w:hint="eastAsia" w:ascii="宋体" w:hAnsi="宋体" w:eastAsia="宋体" w:cs="宋体"/>
                <w:color w:val="auto"/>
                <w:sz w:val="22"/>
                <w:szCs w:val="22"/>
              </w:rPr>
            </w:pPr>
          </w:p>
        </w:tc>
        <w:tc>
          <w:tcPr>
            <w:tcW w:w="1692" w:type="dxa"/>
            <w:tcBorders>
              <w:tl2br w:val="nil"/>
              <w:tr2bl w:val="nil"/>
            </w:tcBorders>
            <w:vAlign w:val="center"/>
          </w:tcPr>
          <w:p w14:paraId="6C3959AF">
            <w:pPr>
              <w:pStyle w:val="39"/>
              <w:jc w:val="center"/>
              <w:rPr>
                <w:rFonts w:hint="eastAsia" w:ascii="宋体" w:hAnsi="宋体" w:eastAsia="宋体" w:cs="宋体"/>
                <w:color w:val="auto"/>
                <w:sz w:val="22"/>
                <w:szCs w:val="22"/>
              </w:rPr>
            </w:pPr>
          </w:p>
        </w:tc>
        <w:tc>
          <w:tcPr>
            <w:tcW w:w="1981" w:type="dxa"/>
            <w:tcBorders>
              <w:tl2br w:val="nil"/>
              <w:tr2bl w:val="nil"/>
            </w:tcBorders>
            <w:vAlign w:val="center"/>
          </w:tcPr>
          <w:p w14:paraId="2E528D99">
            <w:pPr>
              <w:pStyle w:val="39"/>
              <w:jc w:val="center"/>
              <w:rPr>
                <w:rFonts w:hint="eastAsia" w:ascii="宋体" w:hAnsi="宋体" w:eastAsia="宋体" w:cs="宋体"/>
                <w:color w:val="auto"/>
                <w:sz w:val="22"/>
                <w:szCs w:val="22"/>
              </w:rPr>
            </w:pPr>
          </w:p>
        </w:tc>
        <w:tc>
          <w:tcPr>
            <w:tcW w:w="1545" w:type="dxa"/>
            <w:tcBorders>
              <w:tl2br w:val="nil"/>
              <w:tr2bl w:val="nil"/>
            </w:tcBorders>
            <w:vAlign w:val="center"/>
          </w:tcPr>
          <w:p w14:paraId="7FCA1B58">
            <w:pPr>
              <w:pStyle w:val="39"/>
              <w:jc w:val="center"/>
              <w:rPr>
                <w:rFonts w:hint="eastAsia" w:ascii="宋体" w:hAnsi="宋体" w:eastAsia="宋体" w:cs="宋体"/>
                <w:color w:val="auto"/>
                <w:sz w:val="22"/>
                <w:szCs w:val="22"/>
              </w:rPr>
            </w:pPr>
          </w:p>
        </w:tc>
        <w:tc>
          <w:tcPr>
            <w:tcW w:w="1127" w:type="dxa"/>
            <w:tcBorders>
              <w:tl2br w:val="nil"/>
              <w:tr2bl w:val="nil"/>
            </w:tcBorders>
            <w:vAlign w:val="center"/>
          </w:tcPr>
          <w:p w14:paraId="2FFA81EE">
            <w:pPr>
              <w:pStyle w:val="39"/>
              <w:jc w:val="center"/>
              <w:rPr>
                <w:rFonts w:hint="eastAsia" w:ascii="宋体" w:hAnsi="宋体" w:eastAsia="宋体" w:cs="宋体"/>
                <w:color w:val="auto"/>
                <w:sz w:val="22"/>
                <w:szCs w:val="22"/>
              </w:rPr>
            </w:pPr>
          </w:p>
        </w:tc>
        <w:tc>
          <w:tcPr>
            <w:tcW w:w="1020" w:type="dxa"/>
            <w:tcBorders>
              <w:tl2br w:val="nil"/>
              <w:tr2bl w:val="nil"/>
            </w:tcBorders>
            <w:vAlign w:val="center"/>
          </w:tcPr>
          <w:p w14:paraId="5B09CD65">
            <w:pPr>
              <w:pStyle w:val="39"/>
              <w:jc w:val="center"/>
              <w:rPr>
                <w:rFonts w:hint="eastAsia" w:ascii="宋体" w:hAnsi="宋体" w:eastAsia="宋体" w:cs="宋体"/>
                <w:color w:val="auto"/>
                <w:sz w:val="22"/>
                <w:szCs w:val="22"/>
              </w:rPr>
            </w:pPr>
          </w:p>
        </w:tc>
      </w:tr>
      <w:tr w14:paraId="615C78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28" w:type="dxa"/>
            <w:tcBorders>
              <w:tl2br w:val="nil"/>
              <w:tr2bl w:val="nil"/>
            </w:tcBorders>
            <w:vAlign w:val="center"/>
          </w:tcPr>
          <w:p w14:paraId="7ADAC6A6">
            <w:pPr>
              <w:pStyle w:val="39"/>
              <w:jc w:val="center"/>
              <w:rPr>
                <w:rFonts w:hint="eastAsia" w:ascii="宋体" w:hAnsi="宋体" w:eastAsia="宋体" w:cs="宋体"/>
                <w:color w:val="auto"/>
                <w:sz w:val="22"/>
                <w:szCs w:val="22"/>
              </w:rPr>
            </w:pPr>
          </w:p>
        </w:tc>
        <w:tc>
          <w:tcPr>
            <w:tcW w:w="1692" w:type="dxa"/>
            <w:tcBorders>
              <w:tl2br w:val="nil"/>
              <w:tr2bl w:val="nil"/>
            </w:tcBorders>
            <w:vAlign w:val="center"/>
          </w:tcPr>
          <w:p w14:paraId="45DBCB08">
            <w:pPr>
              <w:pStyle w:val="39"/>
              <w:jc w:val="center"/>
              <w:rPr>
                <w:rFonts w:hint="eastAsia" w:ascii="宋体" w:hAnsi="宋体" w:eastAsia="宋体" w:cs="宋体"/>
                <w:color w:val="auto"/>
                <w:sz w:val="22"/>
                <w:szCs w:val="22"/>
              </w:rPr>
            </w:pPr>
          </w:p>
        </w:tc>
        <w:tc>
          <w:tcPr>
            <w:tcW w:w="1981" w:type="dxa"/>
            <w:tcBorders>
              <w:tl2br w:val="nil"/>
              <w:tr2bl w:val="nil"/>
            </w:tcBorders>
            <w:vAlign w:val="center"/>
          </w:tcPr>
          <w:p w14:paraId="2C6368F9">
            <w:pPr>
              <w:pStyle w:val="39"/>
              <w:jc w:val="center"/>
              <w:rPr>
                <w:rFonts w:hint="eastAsia" w:ascii="宋体" w:hAnsi="宋体" w:eastAsia="宋体" w:cs="宋体"/>
                <w:color w:val="auto"/>
                <w:sz w:val="22"/>
                <w:szCs w:val="22"/>
              </w:rPr>
            </w:pPr>
          </w:p>
        </w:tc>
        <w:tc>
          <w:tcPr>
            <w:tcW w:w="1545" w:type="dxa"/>
            <w:tcBorders>
              <w:tl2br w:val="nil"/>
              <w:tr2bl w:val="nil"/>
            </w:tcBorders>
            <w:vAlign w:val="center"/>
          </w:tcPr>
          <w:p w14:paraId="66F492FC">
            <w:pPr>
              <w:pStyle w:val="39"/>
              <w:jc w:val="center"/>
              <w:rPr>
                <w:rFonts w:hint="eastAsia" w:ascii="宋体" w:hAnsi="宋体" w:eastAsia="宋体" w:cs="宋体"/>
                <w:color w:val="auto"/>
                <w:sz w:val="22"/>
                <w:szCs w:val="22"/>
              </w:rPr>
            </w:pPr>
          </w:p>
        </w:tc>
        <w:tc>
          <w:tcPr>
            <w:tcW w:w="1127" w:type="dxa"/>
            <w:tcBorders>
              <w:tl2br w:val="nil"/>
              <w:tr2bl w:val="nil"/>
            </w:tcBorders>
            <w:vAlign w:val="center"/>
          </w:tcPr>
          <w:p w14:paraId="2EAA81DF">
            <w:pPr>
              <w:pStyle w:val="39"/>
              <w:jc w:val="center"/>
              <w:rPr>
                <w:rFonts w:hint="eastAsia" w:ascii="宋体" w:hAnsi="宋体" w:eastAsia="宋体" w:cs="宋体"/>
                <w:color w:val="auto"/>
                <w:sz w:val="22"/>
                <w:szCs w:val="22"/>
              </w:rPr>
            </w:pPr>
          </w:p>
        </w:tc>
        <w:tc>
          <w:tcPr>
            <w:tcW w:w="1020" w:type="dxa"/>
            <w:tcBorders>
              <w:tl2br w:val="nil"/>
              <w:tr2bl w:val="nil"/>
            </w:tcBorders>
            <w:vAlign w:val="center"/>
          </w:tcPr>
          <w:p w14:paraId="532D4725">
            <w:pPr>
              <w:pStyle w:val="39"/>
              <w:jc w:val="center"/>
              <w:rPr>
                <w:rFonts w:hint="eastAsia" w:ascii="宋体" w:hAnsi="宋体" w:eastAsia="宋体" w:cs="宋体"/>
                <w:color w:val="auto"/>
                <w:sz w:val="22"/>
                <w:szCs w:val="22"/>
              </w:rPr>
            </w:pPr>
          </w:p>
        </w:tc>
      </w:tr>
      <w:tr w14:paraId="780C95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28" w:type="dxa"/>
            <w:tcBorders>
              <w:tl2br w:val="nil"/>
              <w:tr2bl w:val="nil"/>
            </w:tcBorders>
            <w:vAlign w:val="center"/>
          </w:tcPr>
          <w:p w14:paraId="4864750D">
            <w:pPr>
              <w:pStyle w:val="39"/>
              <w:jc w:val="center"/>
              <w:rPr>
                <w:rFonts w:hint="eastAsia" w:ascii="宋体" w:hAnsi="宋体" w:eastAsia="宋体" w:cs="宋体"/>
                <w:color w:val="auto"/>
                <w:sz w:val="22"/>
                <w:szCs w:val="22"/>
              </w:rPr>
            </w:pPr>
          </w:p>
        </w:tc>
        <w:tc>
          <w:tcPr>
            <w:tcW w:w="1692" w:type="dxa"/>
            <w:tcBorders>
              <w:tl2br w:val="nil"/>
              <w:tr2bl w:val="nil"/>
            </w:tcBorders>
            <w:vAlign w:val="center"/>
          </w:tcPr>
          <w:p w14:paraId="443BC8A0">
            <w:pPr>
              <w:pStyle w:val="39"/>
              <w:jc w:val="center"/>
              <w:rPr>
                <w:rFonts w:hint="eastAsia" w:ascii="宋体" w:hAnsi="宋体" w:eastAsia="宋体" w:cs="宋体"/>
                <w:color w:val="auto"/>
                <w:sz w:val="22"/>
                <w:szCs w:val="22"/>
              </w:rPr>
            </w:pPr>
          </w:p>
        </w:tc>
        <w:tc>
          <w:tcPr>
            <w:tcW w:w="1981" w:type="dxa"/>
            <w:tcBorders>
              <w:tl2br w:val="nil"/>
              <w:tr2bl w:val="nil"/>
            </w:tcBorders>
            <w:vAlign w:val="center"/>
          </w:tcPr>
          <w:p w14:paraId="51952B63">
            <w:pPr>
              <w:pStyle w:val="39"/>
              <w:jc w:val="center"/>
              <w:rPr>
                <w:rFonts w:hint="eastAsia" w:ascii="宋体" w:hAnsi="宋体" w:eastAsia="宋体" w:cs="宋体"/>
                <w:color w:val="auto"/>
                <w:sz w:val="22"/>
                <w:szCs w:val="22"/>
              </w:rPr>
            </w:pPr>
          </w:p>
        </w:tc>
        <w:tc>
          <w:tcPr>
            <w:tcW w:w="1545" w:type="dxa"/>
            <w:tcBorders>
              <w:tl2br w:val="nil"/>
              <w:tr2bl w:val="nil"/>
            </w:tcBorders>
            <w:vAlign w:val="center"/>
          </w:tcPr>
          <w:p w14:paraId="4459EC55">
            <w:pPr>
              <w:pStyle w:val="39"/>
              <w:jc w:val="center"/>
              <w:rPr>
                <w:rFonts w:hint="eastAsia" w:ascii="宋体" w:hAnsi="宋体" w:eastAsia="宋体" w:cs="宋体"/>
                <w:color w:val="auto"/>
                <w:sz w:val="22"/>
                <w:szCs w:val="22"/>
              </w:rPr>
            </w:pPr>
          </w:p>
        </w:tc>
        <w:tc>
          <w:tcPr>
            <w:tcW w:w="1127" w:type="dxa"/>
            <w:tcBorders>
              <w:tl2br w:val="nil"/>
              <w:tr2bl w:val="nil"/>
            </w:tcBorders>
            <w:vAlign w:val="center"/>
          </w:tcPr>
          <w:p w14:paraId="7AF2A073">
            <w:pPr>
              <w:pStyle w:val="39"/>
              <w:jc w:val="center"/>
              <w:rPr>
                <w:rFonts w:hint="eastAsia" w:ascii="宋体" w:hAnsi="宋体" w:eastAsia="宋体" w:cs="宋体"/>
                <w:color w:val="auto"/>
                <w:sz w:val="22"/>
                <w:szCs w:val="22"/>
              </w:rPr>
            </w:pPr>
          </w:p>
        </w:tc>
        <w:tc>
          <w:tcPr>
            <w:tcW w:w="1020" w:type="dxa"/>
            <w:tcBorders>
              <w:tl2br w:val="nil"/>
              <w:tr2bl w:val="nil"/>
            </w:tcBorders>
            <w:vAlign w:val="center"/>
          </w:tcPr>
          <w:p w14:paraId="0AC6832A">
            <w:pPr>
              <w:pStyle w:val="39"/>
              <w:jc w:val="center"/>
              <w:rPr>
                <w:rFonts w:hint="eastAsia" w:ascii="宋体" w:hAnsi="宋体" w:eastAsia="宋体" w:cs="宋体"/>
                <w:color w:val="auto"/>
                <w:sz w:val="22"/>
                <w:szCs w:val="22"/>
              </w:rPr>
            </w:pPr>
          </w:p>
        </w:tc>
      </w:tr>
      <w:tr w14:paraId="10E3F7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28" w:type="dxa"/>
            <w:tcBorders>
              <w:tl2br w:val="nil"/>
              <w:tr2bl w:val="nil"/>
            </w:tcBorders>
            <w:vAlign w:val="center"/>
          </w:tcPr>
          <w:p w14:paraId="5CCC90BC">
            <w:pPr>
              <w:pStyle w:val="39"/>
              <w:jc w:val="center"/>
              <w:rPr>
                <w:rFonts w:hint="eastAsia" w:ascii="宋体" w:hAnsi="宋体" w:eastAsia="宋体" w:cs="宋体"/>
                <w:color w:val="auto"/>
                <w:sz w:val="22"/>
                <w:szCs w:val="22"/>
              </w:rPr>
            </w:pPr>
          </w:p>
        </w:tc>
        <w:tc>
          <w:tcPr>
            <w:tcW w:w="1692" w:type="dxa"/>
            <w:tcBorders>
              <w:tl2br w:val="nil"/>
              <w:tr2bl w:val="nil"/>
            </w:tcBorders>
            <w:vAlign w:val="center"/>
          </w:tcPr>
          <w:p w14:paraId="66673D5E">
            <w:pPr>
              <w:pStyle w:val="39"/>
              <w:jc w:val="center"/>
              <w:rPr>
                <w:rFonts w:hint="eastAsia" w:ascii="宋体" w:hAnsi="宋体" w:eastAsia="宋体" w:cs="宋体"/>
                <w:color w:val="auto"/>
                <w:sz w:val="22"/>
                <w:szCs w:val="22"/>
              </w:rPr>
            </w:pPr>
          </w:p>
        </w:tc>
        <w:tc>
          <w:tcPr>
            <w:tcW w:w="1981" w:type="dxa"/>
            <w:tcBorders>
              <w:tl2br w:val="nil"/>
              <w:tr2bl w:val="nil"/>
            </w:tcBorders>
            <w:vAlign w:val="center"/>
          </w:tcPr>
          <w:p w14:paraId="59F803D0">
            <w:pPr>
              <w:pStyle w:val="39"/>
              <w:jc w:val="center"/>
              <w:rPr>
                <w:rFonts w:hint="eastAsia" w:ascii="宋体" w:hAnsi="宋体" w:eastAsia="宋体" w:cs="宋体"/>
                <w:color w:val="auto"/>
                <w:sz w:val="22"/>
                <w:szCs w:val="22"/>
              </w:rPr>
            </w:pPr>
          </w:p>
        </w:tc>
        <w:tc>
          <w:tcPr>
            <w:tcW w:w="1545" w:type="dxa"/>
            <w:tcBorders>
              <w:tl2br w:val="nil"/>
              <w:tr2bl w:val="nil"/>
            </w:tcBorders>
            <w:vAlign w:val="center"/>
          </w:tcPr>
          <w:p w14:paraId="286012B3">
            <w:pPr>
              <w:pStyle w:val="39"/>
              <w:jc w:val="center"/>
              <w:rPr>
                <w:rFonts w:hint="eastAsia" w:ascii="宋体" w:hAnsi="宋体" w:eastAsia="宋体" w:cs="宋体"/>
                <w:color w:val="auto"/>
                <w:sz w:val="22"/>
                <w:szCs w:val="22"/>
              </w:rPr>
            </w:pPr>
          </w:p>
        </w:tc>
        <w:tc>
          <w:tcPr>
            <w:tcW w:w="1127" w:type="dxa"/>
            <w:tcBorders>
              <w:tl2br w:val="nil"/>
              <w:tr2bl w:val="nil"/>
            </w:tcBorders>
            <w:vAlign w:val="center"/>
          </w:tcPr>
          <w:p w14:paraId="726BAAD8">
            <w:pPr>
              <w:pStyle w:val="39"/>
              <w:jc w:val="center"/>
              <w:rPr>
                <w:rFonts w:hint="eastAsia" w:ascii="宋体" w:hAnsi="宋体" w:eastAsia="宋体" w:cs="宋体"/>
                <w:color w:val="auto"/>
                <w:sz w:val="22"/>
                <w:szCs w:val="22"/>
              </w:rPr>
            </w:pPr>
          </w:p>
        </w:tc>
        <w:tc>
          <w:tcPr>
            <w:tcW w:w="1020" w:type="dxa"/>
            <w:tcBorders>
              <w:tl2br w:val="nil"/>
              <w:tr2bl w:val="nil"/>
            </w:tcBorders>
            <w:vAlign w:val="center"/>
          </w:tcPr>
          <w:p w14:paraId="47AE6701">
            <w:pPr>
              <w:pStyle w:val="39"/>
              <w:jc w:val="center"/>
              <w:rPr>
                <w:rFonts w:hint="eastAsia" w:ascii="宋体" w:hAnsi="宋体" w:eastAsia="宋体" w:cs="宋体"/>
                <w:color w:val="auto"/>
                <w:sz w:val="22"/>
                <w:szCs w:val="22"/>
              </w:rPr>
            </w:pPr>
          </w:p>
        </w:tc>
      </w:tr>
      <w:tr w14:paraId="3913EF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28" w:type="dxa"/>
            <w:tcBorders>
              <w:tl2br w:val="nil"/>
              <w:tr2bl w:val="nil"/>
            </w:tcBorders>
            <w:vAlign w:val="center"/>
          </w:tcPr>
          <w:p w14:paraId="4DFE3384">
            <w:pPr>
              <w:pStyle w:val="39"/>
              <w:jc w:val="center"/>
              <w:rPr>
                <w:rFonts w:hint="eastAsia" w:ascii="宋体" w:hAnsi="宋体" w:eastAsia="宋体" w:cs="宋体"/>
                <w:color w:val="auto"/>
                <w:sz w:val="22"/>
                <w:szCs w:val="22"/>
              </w:rPr>
            </w:pPr>
          </w:p>
        </w:tc>
        <w:tc>
          <w:tcPr>
            <w:tcW w:w="1692" w:type="dxa"/>
            <w:tcBorders>
              <w:tl2br w:val="nil"/>
              <w:tr2bl w:val="nil"/>
            </w:tcBorders>
            <w:vAlign w:val="center"/>
          </w:tcPr>
          <w:p w14:paraId="19CC1324">
            <w:pPr>
              <w:pStyle w:val="39"/>
              <w:jc w:val="center"/>
              <w:rPr>
                <w:rFonts w:hint="eastAsia" w:ascii="宋体" w:hAnsi="宋体" w:eastAsia="宋体" w:cs="宋体"/>
                <w:color w:val="auto"/>
                <w:sz w:val="22"/>
                <w:szCs w:val="22"/>
              </w:rPr>
            </w:pPr>
          </w:p>
        </w:tc>
        <w:tc>
          <w:tcPr>
            <w:tcW w:w="1981" w:type="dxa"/>
            <w:tcBorders>
              <w:tl2br w:val="nil"/>
              <w:tr2bl w:val="nil"/>
            </w:tcBorders>
            <w:vAlign w:val="center"/>
          </w:tcPr>
          <w:p w14:paraId="0A448C2A">
            <w:pPr>
              <w:pStyle w:val="39"/>
              <w:jc w:val="center"/>
              <w:rPr>
                <w:rFonts w:hint="eastAsia" w:ascii="宋体" w:hAnsi="宋体" w:eastAsia="宋体" w:cs="宋体"/>
                <w:color w:val="auto"/>
                <w:sz w:val="22"/>
                <w:szCs w:val="22"/>
              </w:rPr>
            </w:pPr>
          </w:p>
        </w:tc>
        <w:tc>
          <w:tcPr>
            <w:tcW w:w="1545" w:type="dxa"/>
            <w:tcBorders>
              <w:tl2br w:val="nil"/>
              <w:tr2bl w:val="nil"/>
            </w:tcBorders>
            <w:vAlign w:val="center"/>
          </w:tcPr>
          <w:p w14:paraId="00DC49B2">
            <w:pPr>
              <w:pStyle w:val="39"/>
              <w:jc w:val="center"/>
              <w:rPr>
                <w:rFonts w:hint="eastAsia" w:ascii="宋体" w:hAnsi="宋体" w:eastAsia="宋体" w:cs="宋体"/>
                <w:color w:val="auto"/>
                <w:sz w:val="22"/>
                <w:szCs w:val="22"/>
              </w:rPr>
            </w:pPr>
          </w:p>
        </w:tc>
        <w:tc>
          <w:tcPr>
            <w:tcW w:w="1127" w:type="dxa"/>
            <w:tcBorders>
              <w:tl2br w:val="nil"/>
              <w:tr2bl w:val="nil"/>
            </w:tcBorders>
            <w:vAlign w:val="center"/>
          </w:tcPr>
          <w:p w14:paraId="063B5CD7">
            <w:pPr>
              <w:pStyle w:val="39"/>
              <w:jc w:val="center"/>
              <w:rPr>
                <w:rFonts w:hint="eastAsia" w:ascii="宋体" w:hAnsi="宋体" w:eastAsia="宋体" w:cs="宋体"/>
                <w:color w:val="auto"/>
                <w:sz w:val="22"/>
                <w:szCs w:val="22"/>
              </w:rPr>
            </w:pPr>
          </w:p>
        </w:tc>
        <w:tc>
          <w:tcPr>
            <w:tcW w:w="1020" w:type="dxa"/>
            <w:tcBorders>
              <w:tl2br w:val="nil"/>
              <w:tr2bl w:val="nil"/>
            </w:tcBorders>
            <w:vAlign w:val="center"/>
          </w:tcPr>
          <w:p w14:paraId="059CDE23">
            <w:pPr>
              <w:pStyle w:val="39"/>
              <w:jc w:val="center"/>
              <w:rPr>
                <w:rFonts w:hint="eastAsia" w:ascii="宋体" w:hAnsi="宋体" w:eastAsia="宋体" w:cs="宋体"/>
                <w:color w:val="auto"/>
                <w:sz w:val="22"/>
                <w:szCs w:val="22"/>
              </w:rPr>
            </w:pPr>
          </w:p>
        </w:tc>
      </w:tr>
      <w:tr w14:paraId="581D3F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28" w:type="dxa"/>
            <w:tcBorders>
              <w:tl2br w:val="nil"/>
              <w:tr2bl w:val="nil"/>
            </w:tcBorders>
            <w:vAlign w:val="center"/>
          </w:tcPr>
          <w:p w14:paraId="0A276F63">
            <w:pPr>
              <w:pStyle w:val="39"/>
              <w:jc w:val="center"/>
              <w:rPr>
                <w:rFonts w:hint="eastAsia" w:ascii="宋体" w:hAnsi="宋体" w:eastAsia="宋体" w:cs="宋体"/>
                <w:color w:val="auto"/>
                <w:sz w:val="22"/>
                <w:szCs w:val="22"/>
              </w:rPr>
            </w:pPr>
          </w:p>
        </w:tc>
        <w:tc>
          <w:tcPr>
            <w:tcW w:w="1692" w:type="dxa"/>
            <w:tcBorders>
              <w:tl2br w:val="nil"/>
              <w:tr2bl w:val="nil"/>
            </w:tcBorders>
            <w:vAlign w:val="center"/>
          </w:tcPr>
          <w:p w14:paraId="3660223E">
            <w:pPr>
              <w:pStyle w:val="39"/>
              <w:jc w:val="center"/>
              <w:rPr>
                <w:rFonts w:hint="eastAsia" w:ascii="宋体" w:hAnsi="宋体" w:eastAsia="宋体" w:cs="宋体"/>
                <w:color w:val="auto"/>
                <w:sz w:val="22"/>
                <w:szCs w:val="22"/>
              </w:rPr>
            </w:pPr>
          </w:p>
        </w:tc>
        <w:tc>
          <w:tcPr>
            <w:tcW w:w="1981" w:type="dxa"/>
            <w:tcBorders>
              <w:tl2br w:val="nil"/>
              <w:tr2bl w:val="nil"/>
            </w:tcBorders>
            <w:vAlign w:val="center"/>
          </w:tcPr>
          <w:p w14:paraId="027E96CA">
            <w:pPr>
              <w:pStyle w:val="39"/>
              <w:jc w:val="center"/>
              <w:rPr>
                <w:rFonts w:hint="eastAsia" w:ascii="宋体" w:hAnsi="宋体" w:eastAsia="宋体" w:cs="宋体"/>
                <w:color w:val="auto"/>
                <w:sz w:val="22"/>
                <w:szCs w:val="22"/>
              </w:rPr>
            </w:pPr>
          </w:p>
        </w:tc>
        <w:tc>
          <w:tcPr>
            <w:tcW w:w="1545" w:type="dxa"/>
            <w:tcBorders>
              <w:tl2br w:val="nil"/>
              <w:tr2bl w:val="nil"/>
            </w:tcBorders>
            <w:vAlign w:val="center"/>
          </w:tcPr>
          <w:p w14:paraId="497C09DF">
            <w:pPr>
              <w:pStyle w:val="39"/>
              <w:jc w:val="center"/>
              <w:rPr>
                <w:rFonts w:hint="eastAsia" w:ascii="宋体" w:hAnsi="宋体" w:eastAsia="宋体" w:cs="宋体"/>
                <w:color w:val="auto"/>
                <w:sz w:val="22"/>
                <w:szCs w:val="22"/>
              </w:rPr>
            </w:pPr>
          </w:p>
        </w:tc>
        <w:tc>
          <w:tcPr>
            <w:tcW w:w="1127" w:type="dxa"/>
            <w:tcBorders>
              <w:tl2br w:val="nil"/>
              <w:tr2bl w:val="nil"/>
            </w:tcBorders>
            <w:vAlign w:val="center"/>
          </w:tcPr>
          <w:p w14:paraId="4109C50D">
            <w:pPr>
              <w:pStyle w:val="39"/>
              <w:jc w:val="center"/>
              <w:rPr>
                <w:rFonts w:hint="eastAsia" w:ascii="宋体" w:hAnsi="宋体" w:eastAsia="宋体" w:cs="宋体"/>
                <w:color w:val="auto"/>
                <w:sz w:val="22"/>
                <w:szCs w:val="22"/>
              </w:rPr>
            </w:pPr>
          </w:p>
        </w:tc>
        <w:tc>
          <w:tcPr>
            <w:tcW w:w="1020" w:type="dxa"/>
            <w:tcBorders>
              <w:tl2br w:val="nil"/>
              <w:tr2bl w:val="nil"/>
            </w:tcBorders>
            <w:vAlign w:val="center"/>
          </w:tcPr>
          <w:p w14:paraId="58B8C043">
            <w:pPr>
              <w:pStyle w:val="39"/>
              <w:jc w:val="center"/>
              <w:rPr>
                <w:rFonts w:hint="eastAsia" w:ascii="宋体" w:hAnsi="宋体" w:eastAsia="宋体" w:cs="宋体"/>
                <w:color w:val="auto"/>
                <w:sz w:val="22"/>
                <w:szCs w:val="22"/>
              </w:rPr>
            </w:pPr>
          </w:p>
        </w:tc>
      </w:tr>
      <w:tr w14:paraId="7DCB4A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28" w:type="dxa"/>
            <w:tcBorders>
              <w:tl2br w:val="nil"/>
              <w:tr2bl w:val="nil"/>
            </w:tcBorders>
            <w:vAlign w:val="center"/>
          </w:tcPr>
          <w:p w14:paraId="3A1B3172">
            <w:pPr>
              <w:pStyle w:val="39"/>
              <w:jc w:val="center"/>
              <w:rPr>
                <w:rFonts w:hint="eastAsia" w:ascii="宋体" w:hAnsi="宋体" w:eastAsia="宋体" w:cs="宋体"/>
                <w:color w:val="auto"/>
                <w:sz w:val="22"/>
                <w:szCs w:val="22"/>
              </w:rPr>
            </w:pPr>
          </w:p>
        </w:tc>
        <w:tc>
          <w:tcPr>
            <w:tcW w:w="1692" w:type="dxa"/>
            <w:tcBorders>
              <w:tl2br w:val="nil"/>
              <w:tr2bl w:val="nil"/>
            </w:tcBorders>
            <w:vAlign w:val="center"/>
          </w:tcPr>
          <w:p w14:paraId="1711D8C1">
            <w:pPr>
              <w:pStyle w:val="39"/>
              <w:jc w:val="center"/>
              <w:rPr>
                <w:rFonts w:hint="eastAsia" w:ascii="宋体" w:hAnsi="宋体" w:eastAsia="宋体" w:cs="宋体"/>
                <w:color w:val="auto"/>
                <w:sz w:val="22"/>
                <w:szCs w:val="22"/>
              </w:rPr>
            </w:pPr>
          </w:p>
        </w:tc>
        <w:tc>
          <w:tcPr>
            <w:tcW w:w="1981" w:type="dxa"/>
            <w:tcBorders>
              <w:tl2br w:val="nil"/>
              <w:tr2bl w:val="nil"/>
            </w:tcBorders>
            <w:vAlign w:val="center"/>
          </w:tcPr>
          <w:p w14:paraId="2F827306">
            <w:pPr>
              <w:pStyle w:val="39"/>
              <w:jc w:val="center"/>
              <w:rPr>
                <w:rFonts w:hint="eastAsia" w:ascii="宋体" w:hAnsi="宋体" w:eastAsia="宋体" w:cs="宋体"/>
                <w:color w:val="auto"/>
                <w:sz w:val="22"/>
                <w:szCs w:val="22"/>
              </w:rPr>
            </w:pPr>
          </w:p>
        </w:tc>
        <w:tc>
          <w:tcPr>
            <w:tcW w:w="1545" w:type="dxa"/>
            <w:tcBorders>
              <w:tl2br w:val="nil"/>
              <w:tr2bl w:val="nil"/>
            </w:tcBorders>
            <w:vAlign w:val="center"/>
          </w:tcPr>
          <w:p w14:paraId="0D96CEF7">
            <w:pPr>
              <w:pStyle w:val="39"/>
              <w:jc w:val="center"/>
              <w:rPr>
                <w:rFonts w:hint="eastAsia" w:ascii="宋体" w:hAnsi="宋体" w:eastAsia="宋体" w:cs="宋体"/>
                <w:color w:val="auto"/>
                <w:sz w:val="22"/>
                <w:szCs w:val="22"/>
              </w:rPr>
            </w:pPr>
          </w:p>
        </w:tc>
        <w:tc>
          <w:tcPr>
            <w:tcW w:w="1127" w:type="dxa"/>
            <w:tcBorders>
              <w:tl2br w:val="nil"/>
              <w:tr2bl w:val="nil"/>
            </w:tcBorders>
            <w:vAlign w:val="center"/>
          </w:tcPr>
          <w:p w14:paraId="02732BD4">
            <w:pPr>
              <w:pStyle w:val="39"/>
              <w:jc w:val="center"/>
              <w:rPr>
                <w:rFonts w:hint="eastAsia" w:ascii="宋体" w:hAnsi="宋体" w:eastAsia="宋体" w:cs="宋体"/>
                <w:color w:val="auto"/>
                <w:sz w:val="22"/>
                <w:szCs w:val="22"/>
              </w:rPr>
            </w:pPr>
          </w:p>
        </w:tc>
        <w:tc>
          <w:tcPr>
            <w:tcW w:w="1020" w:type="dxa"/>
            <w:tcBorders>
              <w:tl2br w:val="nil"/>
              <w:tr2bl w:val="nil"/>
            </w:tcBorders>
            <w:vAlign w:val="center"/>
          </w:tcPr>
          <w:p w14:paraId="7BD5D2CB">
            <w:pPr>
              <w:pStyle w:val="39"/>
              <w:jc w:val="center"/>
              <w:rPr>
                <w:rFonts w:hint="eastAsia" w:ascii="宋体" w:hAnsi="宋体" w:eastAsia="宋体" w:cs="宋体"/>
                <w:color w:val="auto"/>
                <w:sz w:val="22"/>
                <w:szCs w:val="22"/>
              </w:rPr>
            </w:pPr>
          </w:p>
        </w:tc>
      </w:tr>
      <w:tr w14:paraId="2BA37B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28" w:type="dxa"/>
            <w:tcBorders>
              <w:tl2br w:val="nil"/>
              <w:tr2bl w:val="nil"/>
            </w:tcBorders>
            <w:vAlign w:val="center"/>
          </w:tcPr>
          <w:p w14:paraId="69862AED">
            <w:pPr>
              <w:pStyle w:val="39"/>
              <w:jc w:val="center"/>
              <w:rPr>
                <w:rFonts w:hint="eastAsia" w:ascii="宋体" w:hAnsi="宋体" w:eastAsia="宋体" w:cs="宋体"/>
                <w:color w:val="auto"/>
                <w:sz w:val="22"/>
                <w:szCs w:val="22"/>
              </w:rPr>
            </w:pPr>
          </w:p>
        </w:tc>
        <w:tc>
          <w:tcPr>
            <w:tcW w:w="1692" w:type="dxa"/>
            <w:tcBorders>
              <w:tl2br w:val="nil"/>
              <w:tr2bl w:val="nil"/>
            </w:tcBorders>
            <w:vAlign w:val="center"/>
          </w:tcPr>
          <w:p w14:paraId="44370FCD">
            <w:pPr>
              <w:pStyle w:val="39"/>
              <w:jc w:val="center"/>
              <w:rPr>
                <w:rFonts w:hint="eastAsia" w:ascii="宋体" w:hAnsi="宋体" w:eastAsia="宋体" w:cs="宋体"/>
                <w:color w:val="auto"/>
                <w:sz w:val="22"/>
                <w:szCs w:val="22"/>
              </w:rPr>
            </w:pPr>
          </w:p>
        </w:tc>
        <w:tc>
          <w:tcPr>
            <w:tcW w:w="1981" w:type="dxa"/>
            <w:tcBorders>
              <w:tl2br w:val="nil"/>
              <w:tr2bl w:val="nil"/>
            </w:tcBorders>
            <w:vAlign w:val="center"/>
          </w:tcPr>
          <w:p w14:paraId="216D046F">
            <w:pPr>
              <w:pStyle w:val="39"/>
              <w:jc w:val="center"/>
              <w:rPr>
                <w:rFonts w:hint="eastAsia" w:ascii="宋体" w:hAnsi="宋体" w:eastAsia="宋体" w:cs="宋体"/>
                <w:color w:val="auto"/>
                <w:sz w:val="22"/>
                <w:szCs w:val="22"/>
              </w:rPr>
            </w:pPr>
          </w:p>
        </w:tc>
        <w:tc>
          <w:tcPr>
            <w:tcW w:w="1545" w:type="dxa"/>
            <w:tcBorders>
              <w:tl2br w:val="nil"/>
              <w:tr2bl w:val="nil"/>
            </w:tcBorders>
            <w:vAlign w:val="center"/>
          </w:tcPr>
          <w:p w14:paraId="23EEF411">
            <w:pPr>
              <w:pStyle w:val="39"/>
              <w:jc w:val="center"/>
              <w:rPr>
                <w:rFonts w:hint="eastAsia" w:ascii="宋体" w:hAnsi="宋体" w:eastAsia="宋体" w:cs="宋体"/>
                <w:color w:val="auto"/>
                <w:sz w:val="22"/>
                <w:szCs w:val="22"/>
              </w:rPr>
            </w:pPr>
          </w:p>
        </w:tc>
        <w:tc>
          <w:tcPr>
            <w:tcW w:w="1127" w:type="dxa"/>
            <w:tcBorders>
              <w:tl2br w:val="nil"/>
              <w:tr2bl w:val="nil"/>
            </w:tcBorders>
            <w:vAlign w:val="center"/>
          </w:tcPr>
          <w:p w14:paraId="4C9CD47D">
            <w:pPr>
              <w:pStyle w:val="39"/>
              <w:jc w:val="center"/>
              <w:rPr>
                <w:rFonts w:hint="eastAsia" w:ascii="宋体" w:hAnsi="宋体" w:eastAsia="宋体" w:cs="宋体"/>
                <w:color w:val="auto"/>
                <w:sz w:val="22"/>
                <w:szCs w:val="22"/>
              </w:rPr>
            </w:pPr>
          </w:p>
        </w:tc>
        <w:tc>
          <w:tcPr>
            <w:tcW w:w="1020" w:type="dxa"/>
            <w:tcBorders>
              <w:tl2br w:val="nil"/>
              <w:tr2bl w:val="nil"/>
            </w:tcBorders>
            <w:vAlign w:val="center"/>
          </w:tcPr>
          <w:p w14:paraId="066B02D2">
            <w:pPr>
              <w:pStyle w:val="39"/>
              <w:jc w:val="center"/>
              <w:rPr>
                <w:rFonts w:hint="eastAsia" w:ascii="宋体" w:hAnsi="宋体" w:eastAsia="宋体" w:cs="宋体"/>
                <w:color w:val="auto"/>
                <w:sz w:val="22"/>
                <w:szCs w:val="22"/>
              </w:rPr>
            </w:pPr>
          </w:p>
        </w:tc>
      </w:tr>
      <w:tr w14:paraId="6B06E9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28" w:type="dxa"/>
            <w:tcBorders>
              <w:tl2br w:val="nil"/>
              <w:tr2bl w:val="nil"/>
            </w:tcBorders>
            <w:vAlign w:val="center"/>
          </w:tcPr>
          <w:p w14:paraId="7205FDB7">
            <w:pPr>
              <w:pStyle w:val="39"/>
              <w:jc w:val="center"/>
              <w:rPr>
                <w:rFonts w:hint="eastAsia" w:ascii="宋体" w:hAnsi="宋体" w:eastAsia="宋体" w:cs="宋体"/>
                <w:color w:val="auto"/>
                <w:sz w:val="22"/>
                <w:szCs w:val="22"/>
              </w:rPr>
            </w:pPr>
          </w:p>
        </w:tc>
        <w:tc>
          <w:tcPr>
            <w:tcW w:w="1692" w:type="dxa"/>
            <w:tcBorders>
              <w:tl2br w:val="nil"/>
              <w:tr2bl w:val="nil"/>
            </w:tcBorders>
            <w:vAlign w:val="center"/>
          </w:tcPr>
          <w:p w14:paraId="28ED2C76">
            <w:pPr>
              <w:pStyle w:val="39"/>
              <w:jc w:val="center"/>
              <w:rPr>
                <w:rFonts w:hint="eastAsia" w:ascii="宋体" w:hAnsi="宋体" w:eastAsia="宋体" w:cs="宋体"/>
                <w:color w:val="auto"/>
                <w:sz w:val="22"/>
                <w:szCs w:val="22"/>
              </w:rPr>
            </w:pPr>
          </w:p>
        </w:tc>
        <w:tc>
          <w:tcPr>
            <w:tcW w:w="1981" w:type="dxa"/>
            <w:tcBorders>
              <w:tl2br w:val="nil"/>
              <w:tr2bl w:val="nil"/>
            </w:tcBorders>
            <w:vAlign w:val="center"/>
          </w:tcPr>
          <w:p w14:paraId="725D90C1">
            <w:pPr>
              <w:pStyle w:val="39"/>
              <w:jc w:val="center"/>
              <w:rPr>
                <w:rFonts w:hint="eastAsia" w:ascii="宋体" w:hAnsi="宋体" w:eastAsia="宋体" w:cs="宋体"/>
                <w:color w:val="auto"/>
                <w:sz w:val="22"/>
                <w:szCs w:val="22"/>
              </w:rPr>
            </w:pPr>
          </w:p>
        </w:tc>
        <w:tc>
          <w:tcPr>
            <w:tcW w:w="1545" w:type="dxa"/>
            <w:tcBorders>
              <w:tl2br w:val="nil"/>
              <w:tr2bl w:val="nil"/>
            </w:tcBorders>
            <w:vAlign w:val="center"/>
          </w:tcPr>
          <w:p w14:paraId="14362C9E">
            <w:pPr>
              <w:pStyle w:val="39"/>
              <w:jc w:val="center"/>
              <w:rPr>
                <w:rFonts w:hint="eastAsia" w:ascii="宋体" w:hAnsi="宋体" w:eastAsia="宋体" w:cs="宋体"/>
                <w:color w:val="auto"/>
                <w:sz w:val="22"/>
                <w:szCs w:val="22"/>
              </w:rPr>
            </w:pPr>
          </w:p>
        </w:tc>
        <w:tc>
          <w:tcPr>
            <w:tcW w:w="1127" w:type="dxa"/>
            <w:tcBorders>
              <w:tl2br w:val="nil"/>
              <w:tr2bl w:val="nil"/>
            </w:tcBorders>
            <w:vAlign w:val="center"/>
          </w:tcPr>
          <w:p w14:paraId="35730050">
            <w:pPr>
              <w:pStyle w:val="39"/>
              <w:jc w:val="center"/>
              <w:rPr>
                <w:rFonts w:hint="eastAsia" w:ascii="宋体" w:hAnsi="宋体" w:eastAsia="宋体" w:cs="宋体"/>
                <w:color w:val="auto"/>
                <w:sz w:val="22"/>
                <w:szCs w:val="22"/>
              </w:rPr>
            </w:pPr>
          </w:p>
        </w:tc>
        <w:tc>
          <w:tcPr>
            <w:tcW w:w="1020" w:type="dxa"/>
            <w:tcBorders>
              <w:tl2br w:val="nil"/>
              <w:tr2bl w:val="nil"/>
            </w:tcBorders>
            <w:vAlign w:val="center"/>
          </w:tcPr>
          <w:p w14:paraId="72EA1E7A">
            <w:pPr>
              <w:pStyle w:val="39"/>
              <w:jc w:val="center"/>
              <w:rPr>
                <w:rFonts w:hint="eastAsia" w:ascii="宋体" w:hAnsi="宋体" w:eastAsia="宋体" w:cs="宋体"/>
                <w:color w:val="auto"/>
                <w:sz w:val="22"/>
                <w:szCs w:val="22"/>
              </w:rPr>
            </w:pPr>
          </w:p>
        </w:tc>
      </w:tr>
      <w:tr w14:paraId="1A51D1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28" w:type="dxa"/>
            <w:tcBorders>
              <w:tl2br w:val="nil"/>
              <w:tr2bl w:val="nil"/>
            </w:tcBorders>
            <w:vAlign w:val="center"/>
          </w:tcPr>
          <w:p w14:paraId="04267E8C">
            <w:pPr>
              <w:pStyle w:val="39"/>
              <w:jc w:val="center"/>
              <w:rPr>
                <w:rFonts w:hint="eastAsia" w:ascii="宋体" w:hAnsi="宋体" w:eastAsia="宋体" w:cs="宋体"/>
                <w:color w:val="auto"/>
                <w:sz w:val="22"/>
                <w:szCs w:val="22"/>
              </w:rPr>
            </w:pPr>
          </w:p>
        </w:tc>
        <w:tc>
          <w:tcPr>
            <w:tcW w:w="1692" w:type="dxa"/>
            <w:tcBorders>
              <w:tl2br w:val="nil"/>
              <w:tr2bl w:val="nil"/>
            </w:tcBorders>
            <w:vAlign w:val="center"/>
          </w:tcPr>
          <w:p w14:paraId="03782060">
            <w:pPr>
              <w:pStyle w:val="39"/>
              <w:jc w:val="center"/>
              <w:rPr>
                <w:rFonts w:hint="eastAsia" w:ascii="宋体" w:hAnsi="宋体" w:eastAsia="宋体" w:cs="宋体"/>
                <w:color w:val="auto"/>
                <w:sz w:val="22"/>
                <w:szCs w:val="22"/>
              </w:rPr>
            </w:pPr>
          </w:p>
        </w:tc>
        <w:tc>
          <w:tcPr>
            <w:tcW w:w="1981" w:type="dxa"/>
            <w:tcBorders>
              <w:tl2br w:val="nil"/>
              <w:tr2bl w:val="nil"/>
            </w:tcBorders>
            <w:vAlign w:val="center"/>
          </w:tcPr>
          <w:p w14:paraId="3CAF2526">
            <w:pPr>
              <w:pStyle w:val="39"/>
              <w:jc w:val="center"/>
              <w:rPr>
                <w:rFonts w:hint="eastAsia" w:ascii="宋体" w:hAnsi="宋体" w:eastAsia="宋体" w:cs="宋体"/>
                <w:color w:val="auto"/>
                <w:sz w:val="22"/>
                <w:szCs w:val="22"/>
              </w:rPr>
            </w:pPr>
          </w:p>
        </w:tc>
        <w:tc>
          <w:tcPr>
            <w:tcW w:w="1545" w:type="dxa"/>
            <w:tcBorders>
              <w:tl2br w:val="nil"/>
              <w:tr2bl w:val="nil"/>
            </w:tcBorders>
            <w:vAlign w:val="center"/>
          </w:tcPr>
          <w:p w14:paraId="27B8D4BD">
            <w:pPr>
              <w:pStyle w:val="39"/>
              <w:jc w:val="center"/>
              <w:rPr>
                <w:rFonts w:hint="eastAsia" w:ascii="宋体" w:hAnsi="宋体" w:eastAsia="宋体" w:cs="宋体"/>
                <w:color w:val="auto"/>
                <w:sz w:val="22"/>
                <w:szCs w:val="22"/>
              </w:rPr>
            </w:pPr>
          </w:p>
        </w:tc>
        <w:tc>
          <w:tcPr>
            <w:tcW w:w="1127" w:type="dxa"/>
            <w:tcBorders>
              <w:tl2br w:val="nil"/>
              <w:tr2bl w:val="nil"/>
            </w:tcBorders>
            <w:vAlign w:val="center"/>
          </w:tcPr>
          <w:p w14:paraId="5C94C6C0">
            <w:pPr>
              <w:pStyle w:val="39"/>
              <w:jc w:val="center"/>
              <w:rPr>
                <w:rFonts w:hint="eastAsia" w:ascii="宋体" w:hAnsi="宋体" w:eastAsia="宋体" w:cs="宋体"/>
                <w:color w:val="auto"/>
                <w:sz w:val="22"/>
                <w:szCs w:val="22"/>
              </w:rPr>
            </w:pPr>
          </w:p>
        </w:tc>
        <w:tc>
          <w:tcPr>
            <w:tcW w:w="1020" w:type="dxa"/>
            <w:tcBorders>
              <w:tl2br w:val="nil"/>
              <w:tr2bl w:val="nil"/>
            </w:tcBorders>
            <w:vAlign w:val="center"/>
          </w:tcPr>
          <w:p w14:paraId="321D728C">
            <w:pPr>
              <w:pStyle w:val="39"/>
              <w:jc w:val="center"/>
              <w:rPr>
                <w:rFonts w:hint="eastAsia" w:ascii="宋体" w:hAnsi="宋体" w:eastAsia="宋体" w:cs="宋体"/>
                <w:color w:val="auto"/>
                <w:sz w:val="22"/>
                <w:szCs w:val="22"/>
              </w:rPr>
            </w:pPr>
          </w:p>
        </w:tc>
      </w:tr>
      <w:tr w14:paraId="45C39C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28" w:type="dxa"/>
            <w:tcBorders>
              <w:tl2br w:val="nil"/>
              <w:tr2bl w:val="nil"/>
            </w:tcBorders>
            <w:vAlign w:val="center"/>
          </w:tcPr>
          <w:p w14:paraId="7D6732F1">
            <w:pPr>
              <w:pStyle w:val="39"/>
              <w:jc w:val="center"/>
              <w:rPr>
                <w:rFonts w:hint="eastAsia" w:ascii="宋体" w:hAnsi="宋体" w:eastAsia="宋体" w:cs="宋体"/>
                <w:color w:val="auto"/>
                <w:sz w:val="22"/>
                <w:szCs w:val="22"/>
              </w:rPr>
            </w:pPr>
          </w:p>
        </w:tc>
        <w:tc>
          <w:tcPr>
            <w:tcW w:w="1692" w:type="dxa"/>
            <w:tcBorders>
              <w:tl2br w:val="nil"/>
              <w:tr2bl w:val="nil"/>
            </w:tcBorders>
            <w:vAlign w:val="center"/>
          </w:tcPr>
          <w:p w14:paraId="09618AF1">
            <w:pPr>
              <w:pStyle w:val="39"/>
              <w:jc w:val="center"/>
              <w:rPr>
                <w:rFonts w:hint="eastAsia" w:ascii="宋体" w:hAnsi="宋体" w:eastAsia="宋体" w:cs="宋体"/>
                <w:color w:val="auto"/>
                <w:sz w:val="22"/>
                <w:szCs w:val="22"/>
              </w:rPr>
            </w:pPr>
          </w:p>
        </w:tc>
        <w:tc>
          <w:tcPr>
            <w:tcW w:w="1981" w:type="dxa"/>
            <w:tcBorders>
              <w:tl2br w:val="nil"/>
              <w:tr2bl w:val="nil"/>
            </w:tcBorders>
            <w:vAlign w:val="center"/>
          </w:tcPr>
          <w:p w14:paraId="68B60E2F">
            <w:pPr>
              <w:pStyle w:val="39"/>
              <w:jc w:val="center"/>
              <w:rPr>
                <w:rFonts w:hint="eastAsia" w:ascii="宋体" w:hAnsi="宋体" w:eastAsia="宋体" w:cs="宋体"/>
                <w:color w:val="auto"/>
                <w:sz w:val="22"/>
                <w:szCs w:val="22"/>
              </w:rPr>
            </w:pPr>
          </w:p>
        </w:tc>
        <w:tc>
          <w:tcPr>
            <w:tcW w:w="1545" w:type="dxa"/>
            <w:tcBorders>
              <w:tl2br w:val="nil"/>
              <w:tr2bl w:val="nil"/>
            </w:tcBorders>
            <w:vAlign w:val="center"/>
          </w:tcPr>
          <w:p w14:paraId="180F935C">
            <w:pPr>
              <w:pStyle w:val="39"/>
              <w:jc w:val="center"/>
              <w:rPr>
                <w:rFonts w:hint="eastAsia" w:ascii="宋体" w:hAnsi="宋体" w:eastAsia="宋体" w:cs="宋体"/>
                <w:color w:val="auto"/>
                <w:sz w:val="22"/>
                <w:szCs w:val="22"/>
              </w:rPr>
            </w:pPr>
          </w:p>
        </w:tc>
        <w:tc>
          <w:tcPr>
            <w:tcW w:w="1127" w:type="dxa"/>
            <w:tcBorders>
              <w:tl2br w:val="nil"/>
              <w:tr2bl w:val="nil"/>
            </w:tcBorders>
            <w:vAlign w:val="center"/>
          </w:tcPr>
          <w:p w14:paraId="4B4DEA28">
            <w:pPr>
              <w:pStyle w:val="39"/>
              <w:jc w:val="center"/>
              <w:rPr>
                <w:rFonts w:hint="eastAsia" w:ascii="宋体" w:hAnsi="宋体" w:eastAsia="宋体" w:cs="宋体"/>
                <w:color w:val="auto"/>
                <w:sz w:val="22"/>
                <w:szCs w:val="22"/>
              </w:rPr>
            </w:pPr>
          </w:p>
        </w:tc>
        <w:tc>
          <w:tcPr>
            <w:tcW w:w="1020" w:type="dxa"/>
            <w:tcBorders>
              <w:tl2br w:val="nil"/>
              <w:tr2bl w:val="nil"/>
            </w:tcBorders>
            <w:vAlign w:val="center"/>
          </w:tcPr>
          <w:p w14:paraId="0AD1C4F4">
            <w:pPr>
              <w:pStyle w:val="39"/>
              <w:jc w:val="center"/>
              <w:rPr>
                <w:rFonts w:hint="eastAsia" w:ascii="宋体" w:hAnsi="宋体" w:eastAsia="宋体" w:cs="宋体"/>
                <w:color w:val="auto"/>
                <w:sz w:val="22"/>
                <w:szCs w:val="22"/>
              </w:rPr>
            </w:pPr>
          </w:p>
        </w:tc>
      </w:tr>
    </w:tbl>
    <w:p w14:paraId="680E6CFA">
      <w:pPr>
        <w:spacing w:before="114" w:line="343" w:lineRule="auto"/>
        <w:ind w:right="575" w:firstLine="388" w:firstLineChars="200"/>
        <w:rPr>
          <w:rFonts w:hint="eastAsia" w:ascii="宋体" w:hAnsi="宋体" w:eastAsia="宋体" w:cs="宋体"/>
          <w:color w:val="auto"/>
          <w:sz w:val="21"/>
          <w:szCs w:val="21"/>
        </w:rPr>
      </w:pPr>
      <w:r>
        <w:rPr>
          <w:rFonts w:hint="eastAsia" w:ascii="宋体" w:hAnsi="宋体" w:eastAsia="宋体" w:cs="宋体"/>
          <w:color w:val="auto"/>
          <w:spacing w:val="-8"/>
          <w:sz w:val="21"/>
          <w:szCs w:val="21"/>
        </w:rPr>
        <w:t>注：投标人可按上述的格式自行编制，须随表提交相应的合同等证明材料复印件。</w:t>
      </w:r>
    </w:p>
    <w:p w14:paraId="4B10890F">
      <w:pPr>
        <w:pStyle w:val="12"/>
        <w:spacing w:before="7"/>
        <w:rPr>
          <w:rFonts w:hint="eastAsia" w:ascii="宋体" w:hAnsi="宋体" w:eastAsia="宋体" w:cs="宋体"/>
          <w:b/>
          <w:color w:val="auto"/>
          <w:sz w:val="28"/>
          <w:szCs w:val="22"/>
        </w:rPr>
      </w:pPr>
    </w:p>
    <w:p w14:paraId="59C9C691">
      <w:pPr>
        <w:spacing w:line="360" w:lineRule="auto"/>
        <w:ind w:firstLine="4620" w:firstLineChars="21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lang w:eastAsia="zh-CN"/>
        </w:rPr>
        <w:t>投标人名称</w:t>
      </w:r>
      <w:r>
        <w:rPr>
          <w:rFonts w:hint="eastAsia" w:cs="仿宋_GB2312" w:asciiTheme="minorEastAsia" w:hAnsiTheme="minorEastAsia" w:eastAsiaTheme="minorEastAsia"/>
          <w:color w:val="auto"/>
          <w:sz w:val="22"/>
          <w:szCs w:val="21"/>
        </w:rPr>
        <w:t>（电子签名）：</w:t>
      </w:r>
    </w:p>
    <w:p w14:paraId="792097F5">
      <w:pPr>
        <w:spacing w:line="360" w:lineRule="auto"/>
        <w:ind w:firstLine="4620" w:firstLineChars="2100"/>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日期：  年   月   日</w:t>
      </w:r>
    </w:p>
    <w:p w14:paraId="382AAC1C">
      <w:pPr>
        <w:spacing w:line="364" w:lineRule="auto"/>
        <w:rPr>
          <w:rFonts w:hint="eastAsia" w:ascii="宋体" w:hAnsi="宋体" w:eastAsia="宋体" w:cs="宋体"/>
          <w:color w:val="auto"/>
          <w:sz w:val="21"/>
          <w:szCs w:val="21"/>
        </w:rPr>
      </w:pPr>
    </w:p>
    <w:p w14:paraId="68BEC3E4">
      <w:pPr>
        <w:rPr>
          <w:rFonts w:hint="eastAsia" w:ascii="宋体" w:hAnsi="宋体" w:eastAsia="宋体" w:cs="宋体"/>
          <w:color w:val="auto"/>
          <w:sz w:val="18"/>
          <w:szCs w:val="21"/>
        </w:rPr>
      </w:pPr>
      <w:r>
        <w:rPr>
          <w:rFonts w:hint="eastAsia" w:ascii="宋体" w:hAnsi="宋体" w:eastAsia="宋体" w:cs="宋体"/>
          <w:color w:val="auto"/>
          <w:sz w:val="18"/>
          <w:szCs w:val="21"/>
        </w:rPr>
        <w:br w:type="page"/>
      </w:r>
    </w:p>
    <w:p w14:paraId="5FBA4832">
      <w:pPr>
        <w:spacing w:before="67"/>
        <w:ind w:left="1217" w:right="1232"/>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w:t>
      </w:r>
      <w:r>
        <w:rPr>
          <w:rFonts w:hint="eastAsia" w:cs="宋体"/>
          <w:b/>
          <w:bCs/>
          <w:color w:val="auto"/>
          <w:sz w:val="28"/>
          <w:szCs w:val="28"/>
          <w:lang w:val="en-US" w:eastAsia="zh-CN"/>
        </w:rPr>
        <w:t>8</w:t>
      </w:r>
      <w:r>
        <w:rPr>
          <w:rFonts w:hint="eastAsia" w:ascii="宋体" w:hAnsi="宋体" w:eastAsia="宋体" w:cs="宋体"/>
          <w:b/>
          <w:bCs/>
          <w:color w:val="auto"/>
          <w:sz w:val="28"/>
          <w:szCs w:val="28"/>
        </w:rPr>
        <w:t>）投标产品清单、拟投入</w:t>
      </w:r>
      <w:r>
        <w:rPr>
          <w:rFonts w:hint="eastAsia" w:cs="宋体"/>
          <w:b/>
          <w:bCs/>
          <w:color w:val="auto"/>
          <w:sz w:val="28"/>
          <w:szCs w:val="28"/>
          <w:lang w:val="en-US" w:eastAsia="zh-CN"/>
        </w:rPr>
        <w:t>设备</w:t>
      </w:r>
      <w:r>
        <w:rPr>
          <w:rFonts w:hint="eastAsia" w:ascii="宋体" w:hAnsi="宋体" w:eastAsia="宋体" w:cs="宋体"/>
          <w:b/>
          <w:bCs/>
          <w:color w:val="auto"/>
          <w:sz w:val="28"/>
          <w:szCs w:val="28"/>
        </w:rPr>
        <w:t>清单</w:t>
      </w:r>
    </w:p>
    <w:p w14:paraId="42C84794">
      <w:pPr>
        <w:spacing w:line="360" w:lineRule="auto"/>
        <w:rPr>
          <w:rFonts w:hint="eastAsia" w:ascii="宋体" w:hAnsi="宋体" w:eastAsia="宋体" w:cs="宋体"/>
          <w:color w:val="auto"/>
          <w:sz w:val="22"/>
          <w:szCs w:val="22"/>
          <w:lang w:val="en-US"/>
        </w:rPr>
      </w:pPr>
    </w:p>
    <w:p w14:paraId="262C420C">
      <w:pPr>
        <w:spacing w:line="360" w:lineRule="auto"/>
        <w:rPr>
          <w:rFonts w:hint="eastAsia" w:ascii="宋体" w:hAnsi="宋体" w:eastAsia="宋体" w:cs="宋体"/>
          <w:color w:val="auto"/>
          <w:sz w:val="22"/>
          <w:szCs w:val="22"/>
          <w:lang w:val="en-US" w:eastAsia="zh-CN"/>
        </w:rPr>
      </w:pPr>
      <w:r>
        <w:rPr>
          <w:rFonts w:hint="eastAsia" w:cs="宋体"/>
          <w:color w:val="auto"/>
          <w:sz w:val="22"/>
          <w:szCs w:val="22"/>
          <w:lang w:val="en-US" w:eastAsia="zh-CN"/>
        </w:rPr>
        <w:t>标项</w:t>
      </w:r>
      <w:r>
        <w:rPr>
          <w:rFonts w:hint="eastAsia" w:ascii="宋体" w:hAnsi="宋体" w:eastAsia="宋体" w:cs="宋体"/>
          <w:color w:val="auto"/>
          <w:sz w:val="22"/>
          <w:szCs w:val="22"/>
          <w:lang w:val="en-US"/>
        </w:rPr>
        <w:t>名称：</w:t>
      </w:r>
      <w:r>
        <w:rPr>
          <w:rFonts w:hint="eastAsia" w:cs="宋体"/>
          <w:b/>
          <w:bCs/>
          <w:color w:val="FF0000"/>
          <w:sz w:val="22"/>
          <w:szCs w:val="22"/>
          <w:lang w:val="en-US" w:eastAsia="zh-CN"/>
        </w:rPr>
        <w:t>例如：第一片区</w:t>
      </w:r>
      <w:r>
        <w:rPr>
          <w:rFonts w:hint="eastAsia" w:ascii="宋体" w:hAnsi="宋体" w:eastAsia="宋体" w:cs="宋体"/>
          <w:color w:val="auto"/>
          <w:sz w:val="22"/>
          <w:szCs w:val="22"/>
          <w:lang w:val="en-US" w:eastAsia="zh-CN"/>
        </w:rPr>
        <w:t xml:space="preserve">   </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val="en-US"/>
        </w:rPr>
        <w:t>项目编号</w:t>
      </w:r>
      <w:r>
        <w:rPr>
          <w:rFonts w:hint="eastAsia" w:ascii="宋体" w:hAnsi="宋体" w:eastAsia="宋体" w:cs="宋体"/>
          <w:color w:val="auto"/>
          <w:sz w:val="22"/>
          <w:szCs w:val="22"/>
          <w:lang w:val="en-US" w:eastAsia="zh-CN"/>
        </w:rPr>
        <w:t>：</w:t>
      </w:r>
      <w:r>
        <w:rPr>
          <w:rFonts w:hint="eastAsia" w:cs="宋体"/>
          <w:color w:val="auto"/>
          <w:sz w:val="22"/>
          <w:szCs w:val="22"/>
          <w:lang w:val="en-US" w:eastAsia="zh-CN"/>
        </w:rPr>
        <w:t>CNDL2024207</w:t>
      </w:r>
    </w:p>
    <w:tbl>
      <w:tblPr>
        <w:tblStyle w:val="26"/>
        <w:tblW w:w="9326" w:type="dxa"/>
        <w:tblInd w:w="-14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867"/>
        <w:gridCol w:w="1317"/>
        <w:gridCol w:w="1385"/>
        <w:gridCol w:w="1065"/>
        <w:gridCol w:w="3795"/>
      </w:tblGrid>
      <w:tr w14:paraId="291BE4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97" w:type="dxa"/>
            <w:tcBorders>
              <w:tl2br w:val="nil"/>
              <w:tr2bl w:val="nil"/>
            </w:tcBorders>
            <w:shd w:val="clear" w:color="auto" w:fill="B6DDE8" w:themeFill="accent5" w:themeFillTint="66"/>
            <w:noWrap w:val="0"/>
            <w:vAlign w:val="center"/>
          </w:tcPr>
          <w:p w14:paraId="7AB7E555">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宋体" w:hAnsi="宋体" w:eastAsia="宋体"/>
                <w:b/>
                <w:bCs/>
                <w:color w:val="auto"/>
                <w:sz w:val="22"/>
                <w:szCs w:val="18"/>
                <w:lang w:val="en-US" w:eastAsia="zh-CN"/>
              </w:rPr>
            </w:pPr>
            <w:r>
              <w:rPr>
                <w:rFonts w:hint="eastAsia"/>
                <w:b/>
                <w:bCs/>
                <w:color w:val="auto"/>
                <w:sz w:val="22"/>
                <w:szCs w:val="18"/>
                <w:lang w:val="en-US" w:eastAsia="zh-CN"/>
              </w:rPr>
              <w:t>分类</w:t>
            </w:r>
          </w:p>
        </w:tc>
        <w:tc>
          <w:tcPr>
            <w:tcW w:w="867" w:type="dxa"/>
            <w:tcBorders>
              <w:tl2br w:val="nil"/>
              <w:tr2bl w:val="nil"/>
            </w:tcBorders>
            <w:shd w:val="clear" w:color="auto" w:fill="B6DDE8" w:themeFill="accent5" w:themeFillTint="66"/>
            <w:noWrap w:val="0"/>
            <w:vAlign w:val="center"/>
          </w:tcPr>
          <w:p w14:paraId="70781416">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宋体" w:hAnsi="宋体" w:eastAsia="宋体"/>
                <w:b/>
                <w:bCs/>
                <w:color w:val="auto"/>
                <w:sz w:val="22"/>
                <w:szCs w:val="18"/>
                <w:lang w:val="en-US" w:eastAsia="zh-CN"/>
              </w:rPr>
            </w:pPr>
            <w:r>
              <w:rPr>
                <w:rFonts w:hint="eastAsia"/>
                <w:b/>
                <w:bCs/>
                <w:color w:val="auto"/>
                <w:sz w:val="22"/>
                <w:szCs w:val="18"/>
                <w:lang w:val="en-US" w:eastAsia="zh-CN"/>
              </w:rPr>
              <w:t>序号</w:t>
            </w:r>
          </w:p>
        </w:tc>
        <w:tc>
          <w:tcPr>
            <w:tcW w:w="1317" w:type="dxa"/>
            <w:tcBorders>
              <w:tl2br w:val="nil"/>
              <w:tr2bl w:val="nil"/>
            </w:tcBorders>
            <w:shd w:val="clear" w:color="auto" w:fill="B6DDE8" w:themeFill="accent5" w:themeFillTint="66"/>
            <w:noWrap w:val="0"/>
            <w:vAlign w:val="center"/>
          </w:tcPr>
          <w:p w14:paraId="1FA8333C">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宋体" w:hAnsi="宋体" w:eastAsia="宋体" w:cs="宋体"/>
                <w:b/>
                <w:bCs/>
                <w:color w:val="auto"/>
                <w:sz w:val="22"/>
                <w:szCs w:val="18"/>
                <w:lang w:val="en-US" w:eastAsia="zh-CN" w:bidi="zh-CN"/>
              </w:rPr>
            </w:pPr>
            <w:r>
              <w:rPr>
                <w:rFonts w:hint="eastAsia"/>
                <w:b/>
                <w:bCs/>
                <w:color w:val="auto"/>
                <w:sz w:val="22"/>
                <w:szCs w:val="21"/>
                <w:lang w:val="en-US" w:eastAsia="zh-CN"/>
              </w:rPr>
              <w:t>产品名称</w:t>
            </w:r>
          </w:p>
        </w:tc>
        <w:tc>
          <w:tcPr>
            <w:tcW w:w="1385" w:type="dxa"/>
            <w:tcBorders>
              <w:tl2br w:val="nil"/>
              <w:tr2bl w:val="nil"/>
            </w:tcBorders>
            <w:shd w:val="clear" w:color="auto" w:fill="B6DDE8" w:themeFill="accent5" w:themeFillTint="66"/>
            <w:noWrap w:val="0"/>
            <w:vAlign w:val="center"/>
          </w:tcPr>
          <w:p w14:paraId="18AC8B42">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宋体" w:hAnsi="宋体" w:eastAsia="宋体" w:cs="宋体"/>
                <w:b/>
                <w:bCs/>
                <w:color w:val="auto"/>
                <w:sz w:val="22"/>
                <w:szCs w:val="21"/>
                <w:lang w:val="en-US" w:eastAsia="zh-CN" w:bidi="zh-CN"/>
              </w:rPr>
            </w:pPr>
            <w:r>
              <w:rPr>
                <w:rFonts w:hint="eastAsia"/>
                <w:b/>
                <w:bCs/>
                <w:color w:val="auto"/>
                <w:sz w:val="22"/>
                <w:szCs w:val="21"/>
                <w:lang w:val="en-US" w:eastAsia="zh-CN"/>
              </w:rPr>
              <w:t>品牌、型号</w:t>
            </w:r>
          </w:p>
        </w:tc>
        <w:tc>
          <w:tcPr>
            <w:tcW w:w="1065" w:type="dxa"/>
            <w:tcBorders>
              <w:tl2br w:val="nil"/>
              <w:tr2bl w:val="nil"/>
            </w:tcBorders>
            <w:shd w:val="clear" w:color="auto" w:fill="B6DDE8" w:themeFill="accent5" w:themeFillTint="66"/>
            <w:noWrap w:val="0"/>
            <w:vAlign w:val="center"/>
          </w:tcPr>
          <w:p w14:paraId="2A8C6331">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宋体" w:hAnsi="宋体" w:eastAsia="宋体" w:cs="宋体"/>
                <w:b/>
                <w:bCs/>
                <w:color w:val="auto"/>
                <w:sz w:val="22"/>
                <w:szCs w:val="18"/>
                <w:lang w:val="en-US" w:eastAsia="zh-CN" w:bidi="zh-CN"/>
              </w:rPr>
            </w:pPr>
            <w:r>
              <w:rPr>
                <w:rFonts w:hint="eastAsia"/>
                <w:b/>
                <w:bCs/>
                <w:color w:val="auto"/>
                <w:sz w:val="22"/>
                <w:szCs w:val="21"/>
                <w:lang w:val="en-US" w:eastAsia="zh-CN"/>
              </w:rPr>
              <w:t>产地</w:t>
            </w:r>
          </w:p>
        </w:tc>
        <w:tc>
          <w:tcPr>
            <w:tcW w:w="3795" w:type="dxa"/>
            <w:tcBorders>
              <w:tl2br w:val="nil"/>
              <w:tr2bl w:val="nil"/>
            </w:tcBorders>
            <w:shd w:val="clear" w:color="auto" w:fill="B6DDE8" w:themeFill="accent5" w:themeFillTint="66"/>
            <w:noWrap w:val="0"/>
            <w:vAlign w:val="center"/>
          </w:tcPr>
          <w:p w14:paraId="244903D6">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宋体" w:hAnsi="宋体" w:eastAsia="宋体" w:cs="宋体"/>
                <w:b/>
                <w:bCs/>
                <w:color w:val="auto"/>
                <w:sz w:val="22"/>
                <w:szCs w:val="18"/>
                <w:lang w:val="en-US" w:eastAsia="zh-CN" w:bidi="zh-CN"/>
              </w:rPr>
            </w:pPr>
            <w:r>
              <w:rPr>
                <w:rFonts w:hint="eastAsia" w:cs="宋体"/>
                <w:b/>
                <w:bCs/>
                <w:color w:val="auto"/>
                <w:sz w:val="22"/>
                <w:szCs w:val="18"/>
                <w:lang w:val="en-US" w:eastAsia="zh-CN" w:bidi="zh-CN"/>
              </w:rPr>
              <w:t>产品参数</w:t>
            </w:r>
          </w:p>
        </w:tc>
      </w:tr>
      <w:tr w14:paraId="786714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vMerge w:val="restart"/>
            <w:tcBorders>
              <w:tl2br w:val="nil"/>
              <w:tr2bl w:val="nil"/>
            </w:tcBorders>
            <w:noWrap w:val="0"/>
            <w:textDirection w:val="tbLrV"/>
            <w:vAlign w:val="center"/>
          </w:tcPr>
          <w:p w14:paraId="197E33F2">
            <w:pPr>
              <w:snapToGrid w:val="0"/>
              <w:spacing w:line="240" w:lineRule="auto"/>
              <w:ind w:left="113" w:right="113"/>
              <w:jc w:val="center"/>
              <w:rPr>
                <w:rFonts w:hint="default" w:ascii="宋体" w:hAnsi="宋体" w:eastAsia="宋体"/>
                <w:color w:val="auto"/>
                <w:sz w:val="22"/>
                <w:szCs w:val="18"/>
                <w:lang w:val="en-US" w:eastAsia="zh-CN"/>
              </w:rPr>
            </w:pPr>
            <w:r>
              <w:rPr>
                <w:rFonts w:hint="eastAsia"/>
                <w:b/>
                <w:bCs/>
                <w:color w:val="auto"/>
                <w:sz w:val="22"/>
                <w:szCs w:val="18"/>
                <w:lang w:val="en-US" w:eastAsia="zh-CN"/>
              </w:rPr>
              <w:t>投标产品</w:t>
            </w:r>
          </w:p>
        </w:tc>
        <w:tc>
          <w:tcPr>
            <w:tcW w:w="867" w:type="dxa"/>
            <w:tcBorders>
              <w:tl2br w:val="nil"/>
              <w:tr2bl w:val="nil"/>
            </w:tcBorders>
            <w:noWrap w:val="0"/>
            <w:vAlign w:val="center"/>
          </w:tcPr>
          <w:p w14:paraId="18486A1A">
            <w:pPr>
              <w:snapToGrid w:val="0"/>
              <w:spacing w:line="240" w:lineRule="auto"/>
              <w:jc w:val="center"/>
              <w:rPr>
                <w:rFonts w:hint="eastAsia" w:ascii="宋体" w:hAnsi="宋体" w:eastAsia="宋体"/>
                <w:color w:val="auto"/>
                <w:sz w:val="22"/>
                <w:szCs w:val="18"/>
                <w:lang w:val="en-US" w:eastAsia="zh-CN"/>
              </w:rPr>
            </w:pPr>
            <w:r>
              <w:rPr>
                <w:rFonts w:hint="eastAsia"/>
                <w:color w:val="auto"/>
                <w:sz w:val="22"/>
                <w:szCs w:val="18"/>
                <w:lang w:val="en-US" w:eastAsia="zh-CN"/>
              </w:rPr>
              <w:t>1</w:t>
            </w:r>
          </w:p>
        </w:tc>
        <w:tc>
          <w:tcPr>
            <w:tcW w:w="1317" w:type="dxa"/>
            <w:tcBorders>
              <w:tl2br w:val="nil"/>
              <w:tr2bl w:val="nil"/>
            </w:tcBorders>
            <w:noWrap w:val="0"/>
            <w:vAlign w:val="center"/>
          </w:tcPr>
          <w:p w14:paraId="01B84937">
            <w:pPr>
              <w:snapToGrid w:val="0"/>
              <w:spacing w:line="240" w:lineRule="auto"/>
              <w:jc w:val="center"/>
              <w:rPr>
                <w:rFonts w:ascii="宋体" w:hAnsi="宋体"/>
                <w:color w:val="auto"/>
                <w:sz w:val="22"/>
                <w:szCs w:val="18"/>
              </w:rPr>
            </w:pPr>
          </w:p>
        </w:tc>
        <w:tc>
          <w:tcPr>
            <w:tcW w:w="1385" w:type="dxa"/>
            <w:tcBorders>
              <w:tl2br w:val="nil"/>
              <w:tr2bl w:val="nil"/>
            </w:tcBorders>
            <w:noWrap w:val="0"/>
            <w:vAlign w:val="center"/>
          </w:tcPr>
          <w:p w14:paraId="047EC0B8">
            <w:pPr>
              <w:snapToGrid w:val="0"/>
              <w:spacing w:line="240" w:lineRule="auto"/>
              <w:jc w:val="center"/>
              <w:rPr>
                <w:rFonts w:ascii="宋体" w:hAnsi="宋体"/>
                <w:color w:val="auto"/>
                <w:sz w:val="22"/>
                <w:szCs w:val="18"/>
              </w:rPr>
            </w:pPr>
          </w:p>
        </w:tc>
        <w:tc>
          <w:tcPr>
            <w:tcW w:w="1065" w:type="dxa"/>
            <w:tcBorders>
              <w:tl2br w:val="nil"/>
              <w:tr2bl w:val="nil"/>
            </w:tcBorders>
            <w:noWrap w:val="0"/>
            <w:vAlign w:val="center"/>
          </w:tcPr>
          <w:p w14:paraId="6EB71174">
            <w:pPr>
              <w:snapToGrid w:val="0"/>
              <w:spacing w:line="240" w:lineRule="auto"/>
              <w:jc w:val="center"/>
              <w:rPr>
                <w:rFonts w:ascii="宋体" w:hAnsi="宋体"/>
                <w:color w:val="auto"/>
                <w:sz w:val="22"/>
                <w:szCs w:val="18"/>
              </w:rPr>
            </w:pPr>
          </w:p>
        </w:tc>
        <w:tc>
          <w:tcPr>
            <w:tcW w:w="3795" w:type="dxa"/>
            <w:tcBorders>
              <w:tl2br w:val="nil"/>
              <w:tr2bl w:val="nil"/>
            </w:tcBorders>
            <w:noWrap w:val="0"/>
            <w:vAlign w:val="center"/>
          </w:tcPr>
          <w:p w14:paraId="08C6B4EC">
            <w:pPr>
              <w:snapToGrid w:val="0"/>
              <w:spacing w:line="240" w:lineRule="auto"/>
              <w:jc w:val="center"/>
              <w:rPr>
                <w:rFonts w:ascii="宋体" w:hAnsi="宋体"/>
                <w:color w:val="auto"/>
                <w:sz w:val="22"/>
                <w:szCs w:val="18"/>
              </w:rPr>
            </w:pPr>
          </w:p>
        </w:tc>
      </w:tr>
      <w:tr w14:paraId="5C16E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vMerge w:val="continue"/>
            <w:tcBorders>
              <w:tl2br w:val="nil"/>
              <w:tr2bl w:val="nil"/>
            </w:tcBorders>
            <w:noWrap w:val="0"/>
            <w:vAlign w:val="center"/>
          </w:tcPr>
          <w:p w14:paraId="1FE17753">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3CBC4C81">
            <w:pPr>
              <w:snapToGrid w:val="0"/>
              <w:spacing w:line="240" w:lineRule="auto"/>
              <w:jc w:val="center"/>
              <w:rPr>
                <w:rFonts w:hint="eastAsia" w:ascii="宋体" w:hAnsi="宋体" w:eastAsia="宋体"/>
                <w:color w:val="auto"/>
                <w:sz w:val="22"/>
                <w:szCs w:val="18"/>
                <w:lang w:val="en-US" w:eastAsia="zh-CN"/>
              </w:rPr>
            </w:pPr>
            <w:r>
              <w:rPr>
                <w:rFonts w:hint="eastAsia"/>
                <w:color w:val="auto"/>
                <w:sz w:val="22"/>
                <w:szCs w:val="18"/>
                <w:lang w:val="en-US" w:eastAsia="zh-CN"/>
              </w:rPr>
              <w:t>2</w:t>
            </w:r>
          </w:p>
        </w:tc>
        <w:tc>
          <w:tcPr>
            <w:tcW w:w="1317" w:type="dxa"/>
            <w:tcBorders>
              <w:tl2br w:val="nil"/>
              <w:tr2bl w:val="nil"/>
            </w:tcBorders>
            <w:noWrap w:val="0"/>
            <w:vAlign w:val="center"/>
          </w:tcPr>
          <w:p w14:paraId="1EB81112">
            <w:pPr>
              <w:snapToGrid w:val="0"/>
              <w:spacing w:line="240" w:lineRule="auto"/>
              <w:jc w:val="center"/>
              <w:rPr>
                <w:rFonts w:ascii="宋体" w:hAnsi="宋体"/>
                <w:color w:val="auto"/>
                <w:sz w:val="22"/>
                <w:szCs w:val="18"/>
              </w:rPr>
            </w:pPr>
          </w:p>
        </w:tc>
        <w:tc>
          <w:tcPr>
            <w:tcW w:w="1385" w:type="dxa"/>
            <w:tcBorders>
              <w:tl2br w:val="nil"/>
              <w:tr2bl w:val="nil"/>
            </w:tcBorders>
            <w:noWrap w:val="0"/>
            <w:vAlign w:val="center"/>
          </w:tcPr>
          <w:p w14:paraId="173EF3FF">
            <w:pPr>
              <w:snapToGrid w:val="0"/>
              <w:spacing w:line="240" w:lineRule="auto"/>
              <w:jc w:val="center"/>
              <w:rPr>
                <w:rFonts w:ascii="宋体" w:hAnsi="宋体"/>
                <w:color w:val="auto"/>
                <w:sz w:val="22"/>
                <w:szCs w:val="18"/>
              </w:rPr>
            </w:pPr>
          </w:p>
        </w:tc>
        <w:tc>
          <w:tcPr>
            <w:tcW w:w="1065" w:type="dxa"/>
            <w:tcBorders>
              <w:tl2br w:val="nil"/>
              <w:tr2bl w:val="nil"/>
            </w:tcBorders>
            <w:noWrap w:val="0"/>
            <w:vAlign w:val="center"/>
          </w:tcPr>
          <w:p w14:paraId="68565832">
            <w:pPr>
              <w:snapToGrid w:val="0"/>
              <w:spacing w:line="240" w:lineRule="auto"/>
              <w:jc w:val="center"/>
              <w:rPr>
                <w:rFonts w:ascii="宋体" w:hAnsi="宋体"/>
                <w:color w:val="auto"/>
                <w:sz w:val="22"/>
                <w:szCs w:val="18"/>
              </w:rPr>
            </w:pPr>
          </w:p>
        </w:tc>
        <w:tc>
          <w:tcPr>
            <w:tcW w:w="3795" w:type="dxa"/>
            <w:tcBorders>
              <w:tl2br w:val="nil"/>
              <w:tr2bl w:val="nil"/>
            </w:tcBorders>
            <w:noWrap w:val="0"/>
            <w:vAlign w:val="center"/>
          </w:tcPr>
          <w:p w14:paraId="3188CCFE">
            <w:pPr>
              <w:snapToGrid w:val="0"/>
              <w:spacing w:line="240" w:lineRule="auto"/>
              <w:jc w:val="center"/>
              <w:rPr>
                <w:rFonts w:ascii="宋体" w:hAnsi="宋体"/>
                <w:color w:val="auto"/>
                <w:sz w:val="22"/>
                <w:szCs w:val="18"/>
              </w:rPr>
            </w:pPr>
          </w:p>
        </w:tc>
      </w:tr>
      <w:tr w14:paraId="59AE2C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vMerge w:val="continue"/>
            <w:tcBorders>
              <w:tl2br w:val="nil"/>
              <w:tr2bl w:val="nil"/>
            </w:tcBorders>
            <w:noWrap w:val="0"/>
            <w:vAlign w:val="center"/>
          </w:tcPr>
          <w:p w14:paraId="5B7F58C0">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1B9E5EC7">
            <w:pPr>
              <w:snapToGrid w:val="0"/>
              <w:spacing w:line="240" w:lineRule="auto"/>
              <w:jc w:val="center"/>
              <w:rPr>
                <w:rFonts w:hint="eastAsia" w:ascii="宋体" w:hAnsi="宋体" w:eastAsia="宋体"/>
                <w:color w:val="auto"/>
                <w:sz w:val="22"/>
                <w:szCs w:val="18"/>
                <w:lang w:val="en-US" w:eastAsia="zh-CN"/>
              </w:rPr>
            </w:pPr>
            <w:r>
              <w:rPr>
                <w:rFonts w:hint="eastAsia"/>
                <w:color w:val="auto"/>
                <w:sz w:val="22"/>
                <w:szCs w:val="18"/>
                <w:lang w:val="en-US" w:eastAsia="zh-CN"/>
              </w:rPr>
              <w:t>3</w:t>
            </w:r>
          </w:p>
        </w:tc>
        <w:tc>
          <w:tcPr>
            <w:tcW w:w="1317" w:type="dxa"/>
            <w:tcBorders>
              <w:tl2br w:val="nil"/>
              <w:tr2bl w:val="nil"/>
            </w:tcBorders>
            <w:noWrap w:val="0"/>
            <w:vAlign w:val="center"/>
          </w:tcPr>
          <w:p w14:paraId="67D143C2">
            <w:pPr>
              <w:numPr>
                <w:ilvl w:val="0"/>
                <w:numId w:val="4"/>
              </w:numPr>
              <w:tabs>
                <w:tab w:val="clear" w:pos="1200"/>
              </w:tabs>
              <w:snapToGrid w:val="0"/>
              <w:spacing w:line="240" w:lineRule="auto"/>
              <w:ind w:left="5500" w:leftChars="2500" w:firstLine="0"/>
              <w:jc w:val="center"/>
              <w:rPr>
                <w:rFonts w:ascii="宋体" w:hAnsi="宋体"/>
                <w:color w:val="auto"/>
                <w:sz w:val="22"/>
                <w:szCs w:val="21"/>
              </w:rPr>
            </w:pPr>
          </w:p>
        </w:tc>
        <w:tc>
          <w:tcPr>
            <w:tcW w:w="1385" w:type="dxa"/>
            <w:tcBorders>
              <w:tl2br w:val="nil"/>
              <w:tr2bl w:val="nil"/>
            </w:tcBorders>
            <w:noWrap w:val="0"/>
            <w:vAlign w:val="center"/>
          </w:tcPr>
          <w:p w14:paraId="32D361A1">
            <w:pPr>
              <w:numPr>
                <w:ilvl w:val="0"/>
                <w:numId w:val="4"/>
              </w:numPr>
              <w:tabs>
                <w:tab w:val="clear" w:pos="1200"/>
              </w:tabs>
              <w:snapToGrid w:val="0"/>
              <w:spacing w:line="240" w:lineRule="auto"/>
              <w:ind w:left="5500" w:leftChars="2500" w:firstLine="0"/>
              <w:jc w:val="center"/>
              <w:rPr>
                <w:rFonts w:ascii="宋体" w:hAnsi="宋体"/>
                <w:color w:val="auto"/>
                <w:sz w:val="22"/>
                <w:szCs w:val="21"/>
              </w:rPr>
            </w:pPr>
          </w:p>
        </w:tc>
        <w:tc>
          <w:tcPr>
            <w:tcW w:w="1065" w:type="dxa"/>
            <w:tcBorders>
              <w:tl2br w:val="nil"/>
              <w:tr2bl w:val="nil"/>
            </w:tcBorders>
            <w:noWrap w:val="0"/>
            <w:vAlign w:val="center"/>
          </w:tcPr>
          <w:p w14:paraId="44E45876">
            <w:pPr>
              <w:snapToGrid w:val="0"/>
              <w:spacing w:line="240" w:lineRule="auto"/>
              <w:jc w:val="center"/>
              <w:rPr>
                <w:rFonts w:ascii="宋体" w:hAnsi="宋体"/>
                <w:color w:val="auto"/>
                <w:sz w:val="22"/>
                <w:szCs w:val="18"/>
              </w:rPr>
            </w:pPr>
          </w:p>
        </w:tc>
        <w:tc>
          <w:tcPr>
            <w:tcW w:w="3795" w:type="dxa"/>
            <w:tcBorders>
              <w:tl2br w:val="nil"/>
              <w:tr2bl w:val="nil"/>
            </w:tcBorders>
            <w:noWrap w:val="0"/>
            <w:vAlign w:val="center"/>
          </w:tcPr>
          <w:p w14:paraId="1B59D2B2">
            <w:pPr>
              <w:snapToGrid w:val="0"/>
              <w:spacing w:line="240" w:lineRule="auto"/>
              <w:jc w:val="center"/>
              <w:rPr>
                <w:rFonts w:ascii="宋体" w:hAnsi="宋体"/>
                <w:color w:val="auto"/>
                <w:sz w:val="22"/>
                <w:szCs w:val="18"/>
              </w:rPr>
            </w:pPr>
          </w:p>
        </w:tc>
      </w:tr>
      <w:tr w14:paraId="3BECBB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vMerge w:val="continue"/>
            <w:tcBorders>
              <w:tl2br w:val="nil"/>
              <w:tr2bl w:val="nil"/>
            </w:tcBorders>
            <w:noWrap w:val="0"/>
            <w:vAlign w:val="center"/>
          </w:tcPr>
          <w:p w14:paraId="2C403BCB">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1C1AD4F6">
            <w:pPr>
              <w:snapToGrid w:val="0"/>
              <w:spacing w:line="240" w:lineRule="auto"/>
              <w:jc w:val="center"/>
              <w:rPr>
                <w:rFonts w:hint="eastAsia" w:ascii="宋体" w:hAnsi="宋体" w:eastAsia="宋体"/>
                <w:color w:val="auto"/>
                <w:sz w:val="22"/>
                <w:szCs w:val="18"/>
                <w:lang w:val="en-US" w:eastAsia="zh-CN"/>
              </w:rPr>
            </w:pPr>
            <w:r>
              <w:rPr>
                <w:rFonts w:hint="eastAsia"/>
                <w:color w:val="auto"/>
                <w:sz w:val="22"/>
                <w:szCs w:val="18"/>
                <w:lang w:val="en-US" w:eastAsia="zh-CN"/>
              </w:rPr>
              <w:t>4</w:t>
            </w:r>
          </w:p>
        </w:tc>
        <w:tc>
          <w:tcPr>
            <w:tcW w:w="1317" w:type="dxa"/>
            <w:tcBorders>
              <w:tl2br w:val="nil"/>
              <w:tr2bl w:val="nil"/>
            </w:tcBorders>
            <w:noWrap w:val="0"/>
            <w:vAlign w:val="center"/>
          </w:tcPr>
          <w:p w14:paraId="508D47F1">
            <w:pPr>
              <w:snapToGrid w:val="0"/>
              <w:spacing w:line="240" w:lineRule="auto"/>
              <w:jc w:val="center"/>
              <w:rPr>
                <w:rFonts w:ascii="宋体" w:hAnsi="宋体"/>
                <w:color w:val="auto"/>
                <w:sz w:val="22"/>
                <w:szCs w:val="18"/>
              </w:rPr>
            </w:pPr>
          </w:p>
        </w:tc>
        <w:tc>
          <w:tcPr>
            <w:tcW w:w="1385" w:type="dxa"/>
            <w:tcBorders>
              <w:tl2br w:val="nil"/>
              <w:tr2bl w:val="nil"/>
            </w:tcBorders>
            <w:noWrap w:val="0"/>
            <w:vAlign w:val="center"/>
          </w:tcPr>
          <w:p w14:paraId="284CB1F7">
            <w:pPr>
              <w:snapToGrid w:val="0"/>
              <w:spacing w:line="240" w:lineRule="auto"/>
              <w:jc w:val="center"/>
              <w:rPr>
                <w:rFonts w:ascii="宋体" w:hAnsi="宋体"/>
                <w:color w:val="auto"/>
                <w:sz w:val="22"/>
                <w:szCs w:val="18"/>
              </w:rPr>
            </w:pPr>
          </w:p>
        </w:tc>
        <w:tc>
          <w:tcPr>
            <w:tcW w:w="1065" w:type="dxa"/>
            <w:tcBorders>
              <w:tl2br w:val="nil"/>
              <w:tr2bl w:val="nil"/>
            </w:tcBorders>
            <w:noWrap w:val="0"/>
            <w:vAlign w:val="center"/>
          </w:tcPr>
          <w:p w14:paraId="0C04BC6A">
            <w:pPr>
              <w:snapToGrid w:val="0"/>
              <w:spacing w:line="240" w:lineRule="auto"/>
              <w:jc w:val="center"/>
              <w:rPr>
                <w:rFonts w:ascii="宋体" w:hAnsi="宋体"/>
                <w:color w:val="auto"/>
                <w:sz w:val="22"/>
                <w:szCs w:val="18"/>
              </w:rPr>
            </w:pPr>
          </w:p>
        </w:tc>
        <w:tc>
          <w:tcPr>
            <w:tcW w:w="3795" w:type="dxa"/>
            <w:tcBorders>
              <w:tl2br w:val="nil"/>
              <w:tr2bl w:val="nil"/>
            </w:tcBorders>
            <w:noWrap w:val="0"/>
            <w:vAlign w:val="center"/>
          </w:tcPr>
          <w:p w14:paraId="29E4CA66">
            <w:pPr>
              <w:snapToGrid w:val="0"/>
              <w:spacing w:line="240" w:lineRule="auto"/>
              <w:jc w:val="center"/>
              <w:rPr>
                <w:rFonts w:ascii="宋体" w:hAnsi="宋体"/>
                <w:color w:val="auto"/>
                <w:sz w:val="22"/>
                <w:szCs w:val="18"/>
              </w:rPr>
            </w:pPr>
          </w:p>
        </w:tc>
      </w:tr>
      <w:tr w14:paraId="0A530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vMerge w:val="continue"/>
            <w:tcBorders>
              <w:tl2br w:val="nil"/>
              <w:tr2bl w:val="nil"/>
            </w:tcBorders>
            <w:noWrap w:val="0"/>
            <w:vAlign w:val="center"/>
          </w:tcPr>
          <w:p w14:paraId="2CC512F8">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008F9D79">
            <w:pPr>
              <w:snapToGrid w:val="0"/>
              <w:spacing w:line="240" w:lineRule="auto"/>
              <w:jc w:val="center"/>
              <w:rPr>
                <w:rFonts w:hint="eastAsia" w:ascii="宋体" w:hAnsi="宋体" w:eastAsia="宋体"/>
                <w:color w:val="auto"/>
                <w:sz w:val="22"/>
                <w:szCs w:val="18"/>
                <w:lang w:val="en-US" w:eastAsia="zh-CN"/>
              </w:rPr>
            </w:pPr>
            <w:r>
              <w:rPr>
                <w:rFonts w:hint="eastAsia"/>
                <w:color w:val="auto"/>
                <w:sz w:val="22"/>
                <w:szCs w:val="18"/>
                <w:lang w:val="en-US" w:eastAsia="zh-CN"/>
              </w:rPr>
              <w:t>5</w:t>
            </w:r>
          </w:p>
        </w:tc>
        <w:tc>
          <w:tcPr>
            <w:tcW w:w="1317" w:type="dxa"/>
            <w:tcBorders>
              <w:tl2br w:val="nil"/>
              <w:tr2bl w:val="nil"/>
            </w:tcBorders>
            <w:noWrap w:val="0"/>
            <w:vAlign w:val="center"/>
          </w:tcPr>
          <w:p w14:paraId="6FBEB29D">
            <w:pPr>
              <w:snapToGrid w:val="0"/>
              <w:spacing w:line="240" w:lineRule="auto"/>
              <w:jc w:val="center"/>
              <w:rPr>
                <w:rFonts w:ascii="宋体" w:hAnsi="宋体"/>
                <w:color w:val="auto"/>
                <w:sz w:val="22"/>
                <w:szCs w:val="18"/>
              </w:rPr>
            </w:pPr>
          </w:p>
        </w:tc>
        <w:tc>
          <w:tcPr>
            <w:tcW w:w="1385" w:type="dxa"/>
            <w:tcBorders>
              <w:tl2br w:val="nil"/>
              <w:tr2bl w:val="nil"/>
            </w:tcBorders>
            <w:noWrap w:val="0"/>
            <w:vAlign w:val="center"/>
          </w:tcPr>
          <w:p w14:paraId="13364578">
            <w:pPr>
              <w:snapToGrid w:val="0"/>
              <w:spacing w:line="240" w:lineRule="auto"/>
              <w:jc w:val="center"/>
              <w:rPr>
                <w:rFonts w:ascii="宋体" w:hAnsi="宋体"/>
                <w:color w:val="auto"/>
                <w:sz w:val="22"/>
                <w:szCs w:val="18"/>
              </w:rPr>
            </w:pPr>
          </w:p>
        </w:tc>
        <w:tc>
          <w:tcPr>
            <w:tcW w:w="1065" w:type="dxa"/>
            <w:tcBorders>
              <w:tl2br w:val="nil"/>
              <w:tr2bl w:val="nil"/>
            </w:tcBorders>
            <w:noWrap w:val="0"/>
            <w:vAlign w:val="center"/>
          </w:tcPr>
          <w:p w14:paraId="3881CCE0">
            <w:pPr>
              <w:snapToGrid w:val="0"/>
              <w:spacing w:line="240" w:lineRule="auto"/>
              <w:jc w:val="center"/>
              <w:rPr>
                <w:rFonts w:ascii="宋体" w:hAnsi="宋体"/>
                <w:color w:val="auto"/>
                <w:sz w:val="22"/>
                <w:szCs w:val="18"/>
              </w:rPr>
            </w:pPr>
          </w:p>
        </w:tc>
        <w:tc>
          <w:tcPr>
            <w:tcW w:w="3795" w:type="dxa"/>
            <w:tcBorders>
              <w:tl2br w:val="nil"/>
              <w:tr2bl w:val="nil"/>
            </w:tcBorders>
            <w:noWrap w:val="0"/>
            <w:vAlign w:val="center"/>
          </w:tcPr>
          <w:p w14:paraId="1BB1794E">
            <w:pPr>
              <w:snapToGrid w:val="0"/>
              <w:spacing w:line="240" w:lineRule="auto"/>
              <w:jc w:val="center"/>
              <w:rPr>
                <w:rFonts w:ascii="宋体" w:hAnsi="宋体"/>
                <w:color w:val="auto"/>
                <w:sz w:val="22"/>
                <w:szCs w:val="18"/>
              </w:rPr>
            </w:pPr>
          </w:p>
        </w:tc>
      </w:tr>
      <w:tr w14:paraId="288C71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vMerge w:val="continue"/>
            <w:tcBorders>
              <w:tl2br w:val="nil"/>
              <w:tr2bl w:val="nil"/>
            </w:tcBorders>
            <w:noWrap w:val="0"/>
            <w:vAlign w:val="center"/>
          </w:tcPr>
          <w:p w14:paraId="4007CED9">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04FE45D2">
            <w:pPr>
              <w:snapToGrid w:val="0"/>
              <w:spacing w:line="240" w:lineRule="auto"/>
              <w:jc w:val="center"/>
              <w:rPr>
                <w:rFonts w:ascii="宋体" w:hAnsi="宋体"/>
                <w:color w:val="auto"/>
                <w:sz w:val="22"/>
                <w:szCs w:val="18"/>
              </w:rPr>
            </w:pPr>
            <w:r>
              <w:rPr>
                <w:rFonts w:hint="eastAsia" w:ascii="宋体" w:hAnsi="宋体"/>
                <w:color w:val="auto"/>
                <w:sz w:val="22"/>
                <w:szCs w:val="18"/>
              </w:rPr>
              <w:t>…</w:t>
            </w:r>
          </w:p>
        </w:tc>
        <w:tc>
          <w:tcPr>
            <w:tcW w:w="1317" w:type="dxa"/>
            <w:tcBorders>
              <w:tl2br w:val="nil"/>
              <w:tr2bl w:val="nil"/>
            </w:tcBorders>
            <w:noWrap w:val="0"/>
            <w:vAlign w:val="center"/>
          </w:tcPr>
          <w:p w14:paraId="56718FCE">
            <w:pPr>
              <w:snapToGrid w:val="0"/>
              <w:spacing w:line="240" w:lineRule="auto"/>
              <w:jc w:val="center"/>
              <w:rPr>
                <w:rFonts w:ascii="宋体" w:hAnsi="宋体"/>
                <w:color w:val="auto"/>
                <w:sz w:val="22"/>
                <w:szCs w:val="18"/>
              </w:rPr>
            </w:pPr>
            <w:r>
              <w:rPr>
                <w:rFonts w:hint="eastAsia" w:ascii="宋体" w:hAnsi="宋体"/>
                <w:color w:val="auto"/>
                <w:sz w:val="22"/>
                <w:szCs w:val="18"/>
              </w:rPr>
              <w:t>…</w:t>
            </w:r>
          </w:p>
        </w:tc>
        <w:tc>
          <w:tcPr>
            <w:tcW w:w="1385" w:type="dxa"/>
            <w:tcBorders>
              <w:tl2br w:val="nil"/>
              <w:tr2bl w:val="nil"/>
            </w:tcBorders>
            <w:noWrap w:val="0"/>
            <w:vAlign w:val="center"/>
          </w:tcPr>
          <w:p w14:paraId="3736F666">
            <w:pPr>
              <w:snapToGrid w:val="0"/>
              <w:spacing w:line="240" w:lineRule="auto"/>
              <w:jc w:val="center"/>
              <w:rPr>
                <w:rFonts w:ascii="宋体" w:hAnsi="宋体"/>
                <w:color w:val="auto"/>
                <w:sz w:val="22"/>
                <w:szCs w:val="18"/>
              </w:rPr>
            </w:pPr>
            <w:r>
              <w:rPr>
                <w:rFonts w:hint="eastAsia" w:ascii="宋体" w:hAnsi="宋体"/>
                <w:color w:val="auto"/>
                <w:sz w:val="22"/>
                <w:szCs w:val="18"/>
              </w:rPr>
              <w:t>…</w:t>
            </w:r>
          </w:p>
        </w:tc>
        <w:tc>
          <w:tcPr>
            <w:tcW w:w="1065" w:type="dxa"/>
            <w:tcBorders>
              <w:tl2br w:val="nil"/>
              <w:tr2bl w:val="nil"/>
            </w:tcBorders>
            <w:noWrap w:val="0"/>
            <w:vAlign w:val="center"/>
          </w:tcPr>
          <w:p w14:paraId="0C79FDE2">
            <w:pPr>
              <w:snapToGrid w:val="0"/>
              <w:spacing w:line="240" w:lineRule="auto"/>
              <w:jc w:val="center"/>
              <w:rPr>
                <w:rFonts w:ascii="宋体" w:hAnsi="宋体"/>
                <w:color w:val="auto"/>
                <w:sz w:val="22"/>
                <w:szCs w:val="18"/>
              </w:rPr>
            </w:pPr>
            <w:r>
              <w:rPr>
                <w:rFonts w:hint="eastAsia" w:ascii="宋体" w:hAnsi="宋体"/>
                <w:color w:val="auto"/>
                <w:sz w:val="22"/>
                <w:szCs w:val="18"/>
              </w:rPr>
              <w:t>…</w:t>
            </w:r>
          </w:p>
        </w:tc>
        <w:tc>
          <w:tcPr>
            <w:tcW w:w="3795" w:type="dxa"/>
            <w:tcBorders>
              <w:tl2br w:val="nil"/>
              <w:tr2bl w:val="nil"/>
            </w:tcBorders>
            <w:noWrap w:val="0"/>
            <w:vAlign w:val="center"/>
          </w:tcPr>
          <w:p w14:paraId="30D934DC">
            <w:pPr>
              <w:snapToGrid w:val="0"/>
              <w:spacing w:line="240" w:lineRule="auto"/>
              <w:jc w:val="center"/>
              <w:rPr>
                <w:rFonts w:ascii="宋体" w:hAnsi="宋体"/>
                <w:color w:val="auto"/>
                <w:sz w:val="22"/>
                <w:szCs w:val="18"/>
              </w:rPr>
            </w:pPr>
            <w:r>
              <w:rPr>
                <w:rFonts w:hint="eastAsia" w:ascii="宋体" w:hAnsi="宋体"/>
                <w:color w:val="auto"/>
                <w:sz w:val="22"/>
                <w:szCs w:val="18"/>
              </w:rPr>
              <w:t>…</w:t>
            </w:r>
          </w:p>
        </w:tc>
      </w:tr>
      <w:tr w14:paraId="558800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vMerge w:val="restart"/>
            <w:tcBorders>
              <w:tl2br w:val="nil"/>
              <w:tr2bl w:val="nil"/>
            </w:tcBorders>
            <w:noWrap w:val="0"/>
            <w:textDirection w:val="tbRlV"/>
            <w:vAlign w:val="center"/>
          </w:tcPr>
          <w:p w14:paraId="315A2D32">
            <w:pPr>
              <w:snapToGrid w:val="0"/>
              <w:spacing w:line="240" w:lineRule="auto"/>
              <w:ind w:left="113" w:right="113"/>
              <w:jc w:val="center"/>
              <w:rPr>
                <w:rFonts w:hint="default" w:ascii="宋体" w:hAnsi="宋体" w:eastAsia="宋体"/>
                <w:color w:val="auto"/>
                <w:sz w:val="22"/>
                <w:szCs w:val="18"/>
                <w:lang w:val="en-US" w:eastAsia="zh-CN"/>
              </w:rPr>
            </w:pPr>
            <w:r>
              <w:rPr>
                <w:rFonts w:hint="eastAsia"/>
                <w:b/>
                <w:bCs/>
                <w:color w:val="auto"/>
                <w:sz w:val="22"/>
                <w:szCs w:val="18"/>
                <w:lang w:val="en-US" w:eastAsia="zh-CN"/>
              </w:rPr>
              <w:t>拟投入设备</w:t>
            </w:r>
          </w:p>
        </w:tc>
        <w:tc>
          <w:tcPr>
            <w:tcW w:w="867" w:type="dxa"/>
            <w:tcBorders>
              <w:tl2br w:val="nil"/>
              <w:tr2bl w:val="nil"/>
            </w:tcBorders>
            <w:noWrap w:val="0"/>
            <w:vAlign w:val="center"/>
          </w:tcPr>
          <w:p w14:paraId="566F187E">
            <w:pPr>
              <w:snapToGrid w:val="0"/>
              <w:spacing w:line="240" w:lineRule="auto"/>
              <w:jc w:val="center"/>
              <w:rPr>
                <w:rFonts w:ascii="宋体" w:hAnsi="宋体"/>
                <w:color w:val="auto"/>
                <w:sz w:val="22"/>
                <w:szCs w:val="18"/>
              </w:rPr>
            </w:pPr>
            <w:r>
              <w:rPr>
                <w:rFonts w:hint="eastAsia"/>
                <w:color w:val="auto"/>
                <w:sz w:val="22"/>
                <w:szCs w:val="18"/>
                <w:lang w:val="en-US" w:eastAsia="zh-CN"/>
              </w:rPr>
              <w:t>1</w:t>
            </w:r>
          </w:p>
        </w:tc>
        <w:tc>
          <w:tcPr>
            <w:tcW w:w="1317" w:type="dxa"/>
            <w:tcBorders>
              <w:tl2br w:val="nil"/>
              <w:tr2bl w:val="nil"/>
            </w:tcBorders>
            <w:noWrap w:val="0"/>
            <w:vAlign w:val="center"/>
          </w:tcPr>
          <w:p w14:paraId="672170AB">
            <w:pPr>
              <w:snapToGrid w:val="0"/>
              <w:spacing w:line="240" w:lineRule="auto"/>
              <w:jc w:val="center"/>
              <w:rPr>
                <w:rFonts w:ascii="宋体" w:hAnsi="宋体"/>
                <w:color w:val="auto"/>
                <w:sz w:val="22"/>
                <w:szCs w:val="18"/>
              </w:rPr>
            </w:pPr>
          </w:p>
        </w:tc>
        <w:tc>
          <w:tcPr>
            <w:tcW w:w="1385" w:type="dxa"/>
            <w:tcBorders>
              <w:tl2br w:val="nil"/>
              <w:tr2bl w:val="nil"/>
            </w:tcBorders>
            <w:noWrap w:val="0"/>
            <w:vAlign w:val="center"/>
          </w:tcPr>
          <w:p w14:paraId="28E5A169">
            <w:pPr>
              <w:snapToGrid w:val="0"/>
              <w:spacing w:line="240" w:lineRule="auto"/>
              <w:jc w:val="center"/>
              <w:rPr>
                <w:rFonts w:ascii="宋体" w:hAnsi="宋体"/>
                <w:color w:val="auto"/>
                <w:sz w:val="22"/>
                <w:szCs w:val="18"/>
              </w:rPr>
            </w:pPr>
          </w:p>
        </w:tc>
        <w:tc>
          <w:tcPr>
            <w:tcW w:w="1065" w:type="dxa"/>
            <w:tcBorders>
              <w:tl2br w:val="nil"/>
              <w:tr2bl w:val="nil"/>
            </w:tcBorders>
            <w:noWrap w:val="0"/>
            <w:vAlign w:val="center"/>
          </w:tcPr>
          <w:p w14:paraId="10CBDA0F">
            <w:pPr>
              <w:snapToGrid w:val="0"/>
              <w:spacing w:line="240" w:lineRule="auto"/>
              <w:jc w:val="center"/>
              <w:rPr>
                <w:rFonts w:ascii="宋体" w:hAnsi="宋体"/>
                <w:color w:val="auto"/>
                <w:sz w:val="22"/>
                <w:szCs w:val="18"/>
              </w:rPr>
            </w:pPr>
          </w:p>
        </w:tc>
        <w:tc>
          <w:tcPr>
            <w:tcW w:w="3795" w:type="dxa"/>
            <w:tcBorders>
              <w:tl2br w:val="nil"/>
              <w:tr2bl w:val="nil"/>
            </w:tcBorders>
            <w:noWrap w:val="0"/>
            <w:vAlign w:val="center"/>
          </w:tcPr>
          <w:p w14:paraId="23EDE816">
            <w:pPr>
              <w:snapToGrid w:val="0"/>
              <w:spacing w:line="240" w:lineRule="auto"/>
              <w:jc w:val="center"/>
              <w:rPr>
                <w:rFonts w:ascii="宋体" w:hAnsi="宋体"/>
                <w:color w:val="auto"/>
                <w:sz w:val="22"/>
                <w:szCs w:val="18"/>
              </w:rPr>
            </w:pPr>
          </w:p>
        </w:tc>
      </w:tr>
      <w:tr w14:paraId="5C77C5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vMerge w:val="continue"/>
            <w:tcBorders>
              <w:tl2br w:val="nil"/>
              <w:tr2bl w:val="nil"/>
            </w:tcBorders>
            <w:noWrap w:val="0"/>
            <w:vAlign w:val="center"/>
          </w:tcPr>
          <w:p w14:paraId="588337C1">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5C1073F2">
            <w:pPr>
              <w:snapToGrid w:val="0"/>
              <w:spacing w:line="240" w:lineRule="auto"/>
              <w:jc w:val="center"/>
              <w:rPr>
                <w:rFonts w:ascii="宋体" w:hAnsi="宋体"/>
                <w:color w:val="auto"/>
                <w:sz w:val="22"/>
                <w:szCs w:val="18"/>
              </w:rPr>
            </w:pPr>
            <w:r>
              <w:rPr>
                <w:rFonts w:hint="eastAsia"/>
                <w:color w:val="auto"/>
                <w:sz w:val="22"/>
                <w:szCs w:val="18"/>
                <w:lang w:val="en-US" w:eastAsia="zh-CN"/>
              </w:rPr>
              <w:t>2</w:t>
            </w:r>
          </w:p>
        </w:tc>
        <w:tc>
          <w:tcPr>
            <w:tcW w:w="1317" w:type="dxa"/>
            <w:tcBorders>
              <w:tl2br w:val="nil"/>
              <w:tr2bl w:val="nil"/>
            </w:tcBorders>
            <w:noWrap w:val="0"/>
            <w:vAlign w:val="center"/>
          </w:tcPr>
          <w:p w14:paraId="0F2F9B0F">
            <w:pPr>
              <w:snapToGrid w:val="0"/>
              <w:spacing w:line="240" w:lineRule="auto"/>
              <w:jc w:val="center"/>
              <w:rPr>
                <w:rFonts w:ascii="宋体" w:hAnsi="宋体"/>
                <w:color w:val="auto"/>
                <w:sz w:val="22"/>
                <w:szCs w:val="18"/>
              </w:rPr>
            </w:pPr>
          </w:p>
        </w:tc>
        <w:tc>
          <w:tcPr>
            <w:tcW w:w="1385" w:type="dxa"/>
            <w:tcBorders>
              <w:tl2br w:val="nil"/>
              <w:tr2bl w:val="nil"/>
            </w:tcBorders>
            <w:noWrap w:val="0"/>
            <w:vAlign w:val="center"/>
          </w:tcPr>
          <w:p w14:paraId="7480C7C1">
            <w:pPr>
              <w:snapToGrid w:val="0"/>
              <w:spacing w:line="240" w:lineRule="auto"/>
              <w:jc w:val="center"/>
              <w:rPr>
                <w:rFonts w:ascii="宋体" w:hAnsi="宋体"/>
                <w:color w:val="auto"/>
                <w:sz w:val="22"/>
                <w:szCs w:val="18"/>
              </w:rPr>
            </w:pPr>
          </w:p>
        </w:tc>
        <w:tc>
          <w:tcPr>
            <w:tcW w:w="1065" w:type="dxa"/>
            <w:tcBorders>
              <w:tl2br w:val="nil"/>
              <w:tr2bl w:val="nil"/>
            </w:tcBorders>
            <w:noWrap w:val="0"/>
            <w:vAlign w:val="center"/>
          </w:tcPr>
          <w:p w14:paraId="320D65F3">
            <w:pPr>
              <w:snapToGrid w:val="0"/>
              <w:spacing w:line="240" w:lineRule="auto"/>
              <w:jc w:val="center"/>
              <w:rPr>
                <w:rFonts w:ascii="宋体" w:hAnsi="宋体"/>
                <w:color w:val="auto"/>
                <w:sz w:val="22"/>
                <w:szCs w:val="18"/>
              </w:rPr>
            </w:pPr>
          </w:p>
        </w:tc>
        <w:tc>
          <w:tcPr>
            <w:tcW w:w="3795" w:type="dxa"/>
            <w:tcBorders>
              <w:tl2br w:val="nil"/>
              <w:tr2bl w:val="nil"/>
            </w:tcBorders>
            <w:noWrap w:val="0"/>
            <w:vAlign w:val="center"/>
          </w:tcPr>
          <w:p w14:paraId="2C74A891">
            <w:pPr>
              <w:snapToGrid w:val="0"/>
              <w:spacing w:line="240" w:lineRule="auto"/>
              <w:jc w:val="center"/>
              <w:rPr>
                <w:rFonts w:ascii="宋体" w:hAnsi="宋体"/>
                <w:color w:val="auto"/>
                <w:sz w:val="22"/>
                <w:szCs w:val="18"/>
              </w:rPr>
            </w:pPr>
          </w:p>
        </w:tc>
      </w:tr>
      <w:tr w14:paraId="231F8C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7" w:type="dxa"/>
            <w:vMerge w:val="continue"/>
            <w:tcBorders>
              <w:tl2br w:val="nil"/>
              <w:tr2bl w:val="nil"/>
            </w:tcBorders>
            <w:noWrap w:val="0"/>
            <w:vAlign w:val="center"/>
          </w:tcPr>
          <w:p w14:paraId="23FA71F9">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1E6D411E">
            <w:pPr>
              <w:snapToGrid w:val="0"/>
              <w:spacing w:line="240" w:lineRule="auto"/>
              <w:jc w:val="center"/>
              <w:rPr>
                <w:rFonts w:ascii="宋体" w:hAnsi="宋体"/>
                <w:color w:val="auto"/>
                <w:sz w:val="22"/>
                <w:szCs w:val="18"/>
              </w:rPr>
            </w:pPr>
            <w:r>
              <w:rPr>
                <w:rFonts w:hint="eastAsia"/>
                <w:color w:val="auto"/>
                <w:sz w:val="22"/>
                <w:szCs w:val="18"/>
                <w:lang w:val="en-US" w:eastAsia="zh-CN"/>
              </w:rPr>
              <w:t>3</w:t>
            </w:r>
          </w:p>
        </w:tc>
        <w:tc>
          <w:tcPr>
            <w:tcW w:w="1317" w:type="dxa"/>
            <w:tcBorders>
              <w:tl2br w:val="nil"/>
              <w:tr2bl w:val="nil"/>
            </w:tcBorders>
            <w:noWrap w:val="0"/>
            <w:vAlign w:val="center"/>
          </w:tcPr>
          <w:p w14:paraId="15B3F4D7">
            <w:pPr>
              <w:snapToGrid w:val="0"/>
              <w:spacing w:line="240" w:lineRule="auto"/>
              <w:jc w:val="center"/>
              <w:rPr>
                <w:rFonts w:ascii="宋体" w:hAnsi="宋体"/>
                <w:color w:val="auto"/>
                <w:sz w:val="22"/>
                <w:szCs w:val="18"/>
              </w:rPr>
            </w:pPr>
          </w:p>
        </w:tc>
        <w:tc>
          <w:tcPr>
            <w:tcW w:w="1385" w:type="dxa"/>
            <w:tcBorders>
              <w:tl2br w:val="nil"/>
              <w:tr2bl w:val="nil"/>
            </w:tcBorders>
            <w:noWrap w:val="0"/>
            <w:vAlign w:val="center"/>
          </w:tcPr>
          <w:p w14:paraId="13320F9E">
            <w:pPr>
              <w:snapToGrid w:val="0"/>
              <w:spacing w:line="240" w:lineRule="auto"/>
              <w:jc w:val="center"/>
              <w:rPr>
                <w:rFonts w:ascii="宋体" w:hAnsi="宋体"/>
                <w:color w:val="auto"/>
                <w:sz w:val="22"/>
                <w:szCs w:val="18"/>
              </w:rPr>
            </w:pPr>
          </w:p>
        </w:tc>
        <w:tc>
          <w:tcPr>
            <w:tcW w:w="1065" w:type="dxa"/>
            <w:tcBorders>
              <w:tl2br w:val="nil"/>
              <w:tr2bl w:val="nil"/>
            </w:tcBorders>
            <w:noWrap w:val="0"/>
            <w:vAlign w:val="center"/>
          </w:tcPr>
          <w:p w14:paraId="1E93A211">
            <w:pPr>
              <w:snapToGrid w:val="0"/>
              <w:spacing w:line="240" w:lineRule="auto"/>
              <w:jc w:val="center"/>
              <w:rPr>
                <w:rFonts w:ascii="宋体" w:hAnsi="宋体"/>
                <w:color w:val="auto"/>
                <w:sz w:val="22"/>
                <w:szCs w:val="18"/>
              </w:rPr>
            </w:pPr>
          </w:p>
        </w:tc>
        <w:tc>
          <w:tcPr>
            <w:tcW w:w="3795" w:type="dxa"/>
            <w:tcBorders>
              <w:tl2br w:val="nil"/>
              <w:tr2bl w:val="nil"/>
            </w:tcBorders>
            <w:noWrap w:val="0"/>
            <w:vAlign w:val="center"/>
          </w:tcPr>
          <w:p w14:paraId="32D4F1C3">
            <w:pPr>
              <w:snapToGrid w:val="0"/>
              <w:spacing w:line="240" w:lineRule="auto"/>
              <w:jc w:val="center"/>
              <w:rPr>
                <w:rFonts w:ascii="宋体" w:hAnsi="宋体"/>
                <w:color w:val="auto"/>
                <w:sz w:val="22"/>
                <w:szCs w:val="18"/>
              </w:rPr>
            </w:pPr>
          </w:p>
        </w:tc>
      </w:tr>
      <w:tr w14:paraId="3DF87C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7" w:type="dxa"/>
            <w:vMerge w:val="continue"/>
            <w:tcBorders>
              <w:tl2br w:val="nil"/>
              <w:tr2bl w:val="nil"/>
            </w:tcBorders>
            <w:noWrap w:val="0"/>
            <w:vAlign w:val="center"/>
          </w:tcPr>
          <w:p w14:paraId="5C2A8EBC">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578504C4">
            <w:pPr>
              <w:snapToGrid w:val="0"/>
              <w:spacing w:line="240" w:lineRule="auto"/>
              <w:jc w:val="center"/>
              <w:rPr>
                <w:rFonts w:ascii="宋体" w:hAnsi="宋体"/>
                <w:color w:val="auto"/>
                <w:sz w:val="22"/>
                <w:szCs w:val="18"/>
              </w:rPr>
            </w:pPr>
            <w:r>
              <w:rPr>
                <w:rFonts w:hint="eastAsia"/>
                <w:color w:val="auto"/>
                <w:sz w:val="22"/>
                <w:szCs w:val="18"/>
                <w:lang w:val="en-US" w:eastAsia="zh-CN"/>
              </w:rPr>
              <w:t>4</w:t>
            </w:r>
          </w:p>
        </w:tc>
        <w:tc>
          <w:tcPr>
            <w:tcW w:w="1317" w:type="dxa"/>
            <w:tcBorders>
              <w:tl2br w:val="nil"/>
              <w:tr2bl w:val="nil"/>
            </w:tcBorders>
            <w:noWrap w:val="0"/>
            <w:vAlign w:val="center"/>
          </w:tcPr>
          <w:p w14:paraId="6F96D29D">
            <w:pPr>
              <w:snapToGrid w:val="0"/>
              <w:spacing w:line="240" w:lineRule="auto"/>
              <w:jc w:val="center"/>
              <w:rPr>
                <w:rFonts w:ascii="宋体" w:hAnsi="宋体"/>
                <w:color w:val="auto"/>
                <w:sz w:val="22"/>
                <w:szCs w:val="18"/>
              </w:rPr>
            </w:pPr>
          </w:p>
        </w:tc>
        <w:tc>
          <w:tcPr>
            <w:tcW w:w="1385" w:type="dxa"/>
            <w:tcBorders>
              <w:tl2br w:val="nil"/>
              <w:tr2bl w:val="nil"/>
            </w:tcBorders>
            <w:noWrap w:val="0"/>
            <w:vAlign w:val="center"/>
          </w:tcPr>
          <w:p w14:paraId="184B0D80">
            <w:pPr>
              <w:snapToGrid w:val="0"/>
              <w:spacing w:line="240" w:lineRule="auto"/>
              <w:jc w:val="center"/>
              <w:rPr>
                <w:rFonts w:ascii="宋体" w:hAnsi="宋体"/>
                <w:color w:val="auto"/>
                <w:sz w:val="22"/>
                <w:szCs w:val="18"/>
              </w:rPr>
            </w:pPr>
          </w:p>
        </w:tc>
        <w:tc>
          <w:tcPr>
            <w:tcW w:w="1065" w:type="dxa"/>
            <w:tcBorders>
              <w:tl2br w:val="nil"/>
              <w:tr2bl w:val="nil"/>
            </w:tcBorders>
            <w:noWrap w:val="0"/>
            <w:vAlign w:val="center"/>
          </w:tcPr>
          <w:p w14:paraId="1B10EEEC">
            <w:pPr>
              <w:snapToGrid w:val="0"/>
              <w:spacing w:line="240" w:lineRule="auto"/>
              <w:jc w:val="center"/>
              <w:rPr>
                <w:rFonts w:ascii="宋体" w:hAnsi="宋体"/>
                <w:color w:val="auto"/>
                <w:sz w:val="22"/>
                <w:szCs w:val="18"/>
              </w:rPr>
            </w:pPr>
          </w:p>
        </w:tc>
        <w:tc>
          <w:tcPr>
            <w:tcW w:w="3795" w:type="dxa"/>
            <w:tcBorders>
              <w:tl2br w:val="nil"/>
              <w:tr2bl w:val="nil"/>
            </w:tcBorders>
            <w:noWrap w:val="0"/>
            <w:vAlign w:val="center"/>
          </w:tcPr>
          <w:p w14:paraId="7B9B4C5A">
            <w:pPr>
              <w:snapToGrid w:val="0"/>
              <w:spacing w:line="240" w:lineRule="auto"/>
              <w:jc w:val="center"/>
              <w:rPr>
                <w:rFonts w:ascii="宋体" w:hAnsi="宋体"/>
                <w:color w:val="auto"/>
                <w:sz w:val="22"/>
                <w:szCs w:val="18"/>
              </w:rPr>
            </w:pPr>
          </w:p>
        </w:tc>
      </w:tr>
      <w:tr w14:paraId="098017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7" w:type="dxa"/>
            <w:vMerge w:val="continue"/>
            <w:tcBorders>
              <w:tl2br w:val="nil"/>
              <w:tr2bl w:val="nil"/>
            </w:tcBorders>
            <w:noWrap w:val="0"/>
            <w:vAlign w:val="center"/>
          </w:tcPr>
          <w:p w14:paraId="5C46BBFB">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4097E579">
            <w:pPr>
              <w:snapToGrid w:val="0"/>
              <w:spacing w:line="240" w:lineRule="auto"/>
              <w:jc w:val="center"/>
              <w:rPr>
                <w:rFonts w:ascii="宋体" w:hAnsi="宋体"/>
                <w:color w:val="auto"/>
                <w:sz w:val="22"/>
                <w:szCs w:val="18"/>
              </w:rPr>
            </w:pPr>
            <w:r>
              <w:rPr>
                <w:rFonts w:hint="eastAsia"/>
                <w:color w:val="auto"/>
                <w:sz w:val="22"/>
                <w:szCs w:val="18"/>
                <w:lang w:val="en-US" w:eastAsia="zh-CN"/>
              </w:rPr>
              <w:t>5</w:t>
            </w:r>
          </w:p>
        </w:tc>
        <w:tc>
          <w:tcPr>
            <w:tcW w:w="1317" w:type="dxa"/>
            <w:tcBorders>
              <w:tl2br w:val="nil"/>
              <w:tr2bl w:val="nil"/>
            </w:tcBorders>
            <w:noWrap w:val="0"/>
            <w:vAlign w:val="center"/>
          </w:tcPr>
          <w:p w14:paraId="46B1BE5E">
            <w:pPr>
              <w:snapToGrid w:val="0"/>
              <w:spacing w:line="240" w:lineRule="auto"/>
              <w:jc w:val="center"/>
              <w:rPr>
                <w:rFonts w:ascii="宋体" w:hAnsi="宋体"/>
                <w:color w:val="auto"/>
                <w:sz w:val="22"/>
                <w:szCs w:val="18"/>
              </w:rPr>
            </w:pPr>
          </w:p>
        </w:tc>
        <w:tc>
          <w:tcPr>
            <w:tcW w:w="1385" w:type="dxa"/>
            <w:tcBorders>
              <w:tl2br w:val="nil"/>
              <w:tr2bl w:val="nil"/>
            </w:tcBorders>
            <w:noWrap w:val="0"/>
            <w:vAlign w:val="center"/>
          </w:tcPr>
          <w:p w14:paraId="5CF8D69A">
            <w:pPr>
              <w:snapToGrid w:val="0"/>
              <w:spacing w:line="240" w:lineRule="auto"/>
              <w:jc w:val="center"/>
              <w:rPr>
                <w:rFonts w:ascii="宋体" w:hAnsi="宋体"/>
                <w:color w:val="auto"/>
                <w:sz w:val="22"/>
                <w:szCs w:val="18"/>
              </w:rPr>
            </w:pPr>
          </w:p>
        </w:tc>
        <w:tc>
          <w:tcPr>
            <w:tcW w:w="1065" w:type="dxa"/>
            <w:tcBorders>
              <w:tl2br w:val="nil"/>
              <w:tr2bl w:val="nil"/>
            </w:tcBorders>
            <w:noWrap w:val="0"/>
            <w:vAlign w:val="center"/>
          </w:tcPr>
          <w:p w14:paraId="0234F249">
            <w:pPr>
              <w:snapToGrid w:val="0"/>
              <w:spacing w:line="240" w:lineRule="auto"/>
              <w:jc w:val="center"/>
              <w:rPr>
                <w:rFonts w:ascii="宋体" w:hAnsi="宋体"/>
                <w:color w:val="auto"/>
                <w:sz w:val="22"/>
                <w:szCs w:val="18"/>
              </w:rPr>
            </w:pPr>
          </w:p>
        </w:tc>
        <w:tc>
          <w:tcPr>
            <w:tcW w:w="3795" w:type="dxa"/>
            <w:tcBorders>
              <w:tl2br w:val="nil"/>
              <w:tr2bl w:val="nil"/>
            </w:tcBorders>
            <w:noWrap w:val="0"/>
            <w:vAlign w:val="center"/>
          </w:tcPr>
          <w:p w14:paraId="6EFEA68F">
            <w:pPr>
              <w:snapToGrid w:val="0"/>
              <w:spacing w:line="240" w:lineRule="auto"/>
              <w:jc w:val="center"/>
              <w:rPr>
                <w:rFonts w:ascii="宋体" w:hAnsi="宋体"/>
                <w:color w:val="auto"/>
                <w:sz w:val="22"/>
                <w:szCs w:val="18"/>
              </w:rPr>
            </w:pPr>
          </w:p>
        </w:tc>
      </w:tr>
      <w:tr w14:paraId="5BF91B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7" w:type="dxa"/>
            <w:vMerge w:val="continue"/>
            <w:tcBorders>
              <w:tl2br w:val="nil"/>
              <w:tr2bl w:val="nil"/>
            </w:tcBorders>
            <w:noWrap w:val="0"/>
            <w:vAlign w:val="center"/>
          </w:tcPr>
          <w:p w14:paraId="0F1C0170">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4291E94F">
            <w:pPr>
              <w:snapToGrid w:val="0"/>
              <w:spacing w:line="240" w:lineRule="auto"/>
              <w:jc w:val="center"/>
              <w:rPr>
                <w:rFonts w:ascii="宋体" w:hAnsi="宋体"/>
                <w:color w:val="auto"/>
                <w:sz w:val="22"/>
                <w:szCs w:val="18"/>
              </w:rPr>
            </w:pPr>
            <w:r>
              <w:rPr>
                <w:rFonts w:hint="eastAsia" w:ascii="宋体" w:hAnsi="宋体"/>
                <w:color w:val="auto"/>
                <w:sz w:val="22"/>
                <w:szCs w:val="18"/>
              </w:rPr>
              <w:t>…</w:t>
            </w:r>
          </w:p>
        </w:tc>
        <w:tc>
          <w:tcPr>
            <w:tcW w:w="1317" w:type="dxa"/>
            <w:tcBorders>
              <w:tl2br w:val="nil"/>
              <w:tr2bl w:val="nil"/>
            </w:tcBorders>
            <w:noWrap w:val="0"/>
            <w:vAlign w:val="center"/>
          </w:tcPr>
          <w:p w14:paraId="742B9E81">
            <w:pPr>
              <w:snapToGrid w:val="0"/>
              <w:spacing w:line="240" w:lineRule="auto"/>
              <w:jc w:val="center"/>
              <w:rPr>
                <w:rFonts w:ascii="宋体" w:hAnsi="宋体"/>
                <w:color w:val="auto"/>
                <w:sz w:val="22"/>
                <w:szCs w:val="18"/>
              </w:rPr>
            </w:pPr>
            <w:r>
              <w:rPr>
                <w:rFonts w:hint="eastAsia" w:ascii="宋体" w:hAnsi="宋体"/>
                <w:color w:val="auto"/>
                <w:sz w:val="22"/>
                <w:szCs w:val="18"/>
              </w:rPr>
              <w:t>…</w:t>
            </w:r>
          </w:p>
        </w:tc>
        <w:tc>
          <w:tcPr>
            <w:tcW w:w="1385" w:type="dxa"/>
            <w:tcBorders>
              <w:tl2br w:val="nil"/>
              <w:tr2bl w:val="nil"/>
            </w:tcBorders>
            <w:noWrap w:val="0"/>
            <w:vAlign w:val="center"/>
          </w:tcPr>
          <w:p w14:paraId="5C225945">
            <w:pPr>
              <w:snapToGrid w:val="0"/>
              <w:spacing w:line="240" w:lineRule="auto"/>
              <w:jc w:val="center"/>
              <w:rPr>
                <w:rFonts w:ascii="宋体" w:hAnsi="宋体"/>
                <w:color w:val="auto"/>
                <w:sz w:val="22"/>
                <w:szCs w:val="18"/>
              </w:rPr>
            </w:pPr>
            <w:r>
              <w:rPr>
                <w:rFonts w:hint="eastAsia" w:ascii="宋体" w:hAnsi="宋体"/>
                <w:color w:val="auto"/>
                <w:sz w:val="22"/>
                <w:szCs w:val="18"/>
              </w:rPr>
              <w:t>…</w:t>
            </w:r>
          </w:p>
        </w:tc>
        <w:tc>
          <w:tcPr>
            <w:tcW w:w="1065" w:type="dxa"/>
            <w:tcBorders>
              <w:tl2br w:val="nil"/>
              <w:tr2bl w:val="nil"/>
            </w:tcBorders>
            <w:noWrap w:val="0"/>
            <w:vAlign w:val="center"/>
          </w:tcPr>
          <w:p w14:paraId="484969E9">
            <w:pPr>
              <w:snapToGrid w:val="0"/>
              <w:spacing w:line="240" w:lineRule="auto"/>
              <w:jc w:val="center"/>
              <w:rPr>
                <w:rFonts w:ascii="宋体" w:hAnsi="宋体"/>
                <w:color w:val="auto"/>
                <w:sz w:val="22"/>
                <w:szCs w:val="18"/>
              </w:rPr>
            </w:pPr>
            <w:r>
              <w:rPr>
                <w:rFonts w:hint="eastAsia" w:ascii="宋体" w:hAnsi="宋体"/>
                <w:color w:val="auto"/>
                <w:sz w:val="22"/>
                <w:szCs w:val="18"/>
              </w:rPr>
              <w:t>…</w:t>
            </w:r>
          </w:p>
        </w:tc>
        <w:tc>
          <w:tcPr>
            <w:tcW w:w="3795" w:type="dxa"/>
            <w:tcBorders>
              <w:tl2br w:val="nil"/>
              <w:tr2bl w:val="nil"/>
            </w:tcBorders>
            <w:noWrap w:val="0"/>
            <w:vAlign w:val="center"/>
          </w:tcPr>
          <w:p w14:paraId="502A9011">
            <w:pPr>
              <w:snapToGrid w:val="0"/>
              <w:spacing w:line="240" w:lineRule="auto"/>
              <w:jc w:val="center"/>
              <w:rPr>
                <w:rFonts w:ascii="宋体" w:hAnsi="宋体"/>
                <w:color w:val="auto"/>
                <w:sz w:val="22"/>
                <w:szCs w:val="18"/>
              </w:rPr>
            </w:pPr>
            <w:r>
              <w:rPr>
                <w:rFonts w:hint="eastAsia" w:ascii="宋体" w:hAnsi="宋体"/>
                <w:color w:val="auto"/>
                <w:sz w:val="22"/>
                <w:szCs w:val="18"/>
              </w:rPr>
              <w:t>…</w:t>
            </w:r>
          </w:p>
        </w:tc>
      </w:tr>
    </w:tbl>
    <w:p w14:paraId="6B823158">
      <w:pPr>
        <w:spacing w:line="360" w:lineRule="auto"/>
        <w:ind w:right="0"/>
        <w:rPr>
          <w:rFonts w:hint="eastAsia" w:ascii="宋体" w:hAnsi="宋体" w:eastAsia="宋体" w:cs="宋体"/>
          <w:color w:val="auto"/>
          <w:spacing w:val="-8"/>
          <w:sz w:val="11"/>
          <w:szCs w:val="11"/>
        </w:rPr>
      </w:pPr>
    </w:p>
    <w:p w14:paraId="22F8B8ED">
      <w:pPr>
        <w:spacing w:line="360" w:lineRule="auto"/>
        <w:ind w:right="0"/>
        <w:rPr>
          <w:rFonts w:hint="eastAsia" w:ascii="宋体" w:hAnsi="宋体" w:eastAsia="宋体" w:cs="宋体"/>
          <w:color w:val="auto"/>
          <w:spacing w:val="-8"/>
          <w:sz w:val="22"/>
          <w:szCs w:val="22"/>
        </w:rPr>
      </w:pPr>
      <w:r>
        <w:rPr>
          <w:rFonts w:hint="eastAsia" w:ascii="宋体" w:hAnsi="宋体" w:eastAsia="宋体" w:cs="宋体"/>
          <w:color w:val="auto"/>
          <w:spacing w:val="-8"/>
          <w:sz w:val="22"/>
          <w:szCs w:val="22"/>
        </w:rPr>
        <w:t>注：</w:t>
      </w:r>
      <w:r>
        <w:rPr>
          <w:rFonts w:hint="eastAsia" w:ascii="宋体" w:hAnsi="宋体" w:eastAsia="宋体" w:cs="宋体"/>
          <w:color w:val="auto"/>
          <w:spacing w:val="-8"/>
          <w:sz w:val="22"/>
          <w:szCs w:val="22"/>
          <w:lang w:val="en-US" w:eastAsia="zh-CN"/>
        </w:rPr>
        <w:t>1、</w:t>
      </w:r>
      <w:r>
        <w:rPr>
          <w:rFonts w:hint="eastAsia" w:cs="宋体"/>
          <w:color w:val="auto"/>
          <w:spacing w:val="-8"/>
          <w:sz w:val="22"/>
          <w:szCs w:val="22"/>
          <w:lang w:val="en-US" w:eastAsia="zh-CN"/>
        </w:rPr>
        <w:t>表格可延展，</w:t>
      </w:r>
      <w:r>
        <w:rPr>
          <w:rFonts w:hint="eastAsia" w:cs="宋体"/>
          <w:color w:val="auto"/>
          <w:spacing w:val="-8"/>
          <w:sz w:val="22"/>
          <w:szCs w:val="22"/>
          <w:lang w:eastAsia="zh-CN"/>
        </w:rPr>
        <w:t>投标人</w:t>
      </w:r>
      <w:r>
        <w:rPr>
          <w:rFonts w:hint="eastAsia" w:ascii="宋体" w:hAnsi="宋体" w:eastAsia="宋体" w:cs="宋体"/>
          <w:color w:val="auto"/>
          <w:spacing w:val="-8"/>
          <w:sz w:val="22"/>
          <w:szCs w:val="22"/>
        </w:rPr>
        <w:t>可按上述的格式自行编制，须随表</w:t>
      </w:r>
      <w:r>
        <w:rPr>
          <w:rFonts w:hint="eastAsia" w:cs="宋体"/>
          <w:color w:val="auto"/>
          <w:spacing w:val="-8"/>
          <w:sz w:val="22"/>
          <w:szCs w:val="22"/>
          <w:lang w:val="en-US" w:eastAsia="zh-CN"/>
        </w:rPr>
        <w:t>提供评审因素相关证明</w:t>
      </w:r>
      <w:r>
        <w:rPr>
          <w:rFonts w:hint="eastAsia" w:ascii="宋体" w:hAnsi="宋体" w:eastAsia="宋体" w:cs="宋体"/>
          <w:color w:val="auto"/>
          <w:spacing w:val="-8"/>
          <w:sz w:val="22"/>
          <w:szCs w:val="22"/>
        </w:rPr>
        <w:t>。</w:t>
      </w:r>
    </w:p>
    <w:p w14:paraId="7B8171AC">
      <w:pPr>
        <w:spacing w:line="360" w:lineRule="auto"/>
        <w:ind w:right="0" w:firstLine="408" w:firstLineChars="200"/>
        <w:rPr>
          <w:rFonts w:hint="eastAsia" w:ascii="宋体" w:hAnsi="宋体" w:eastAsia="宋体" w:cs="宋体"/>
          <w:color w:val="auto"/>
          <w:spacing w:val="-8"/>
          <w:sz w:val="22"/>
          <w:szCs w:val="22"/>
          <w:lang w:val="en-US" w:eastAsia="zh-CN"/>
        </w:rPr>
      </w:pPr>
    </w:p>
    <w:p w14:paraId="6DF43D4E">
      <w:pPr>
        <w:pStyle w:val="12"/>
        <w:tabs>
          <w:tab w:val="left" w:pos="6231"/>
          <w:tab w:val="left" w:pos="6711"/>
          <w:tab w:val="left" w:pos="7311"/>
        </w:tabs>
        <w:spacing w:line="360" w:lineRule="auto"/>
        <w:ind w:firstLine="4400" w:firstLineChars="2000"/>
        <w:rPr>
          <w:rFonts w:hint="eastAsia" w:ascii="仿宋" w:hAnsi="仿宋" w:eastAsia="仿宋" w:cs="仿宋"/>
          <w:color w:val="auto"/>
          <w:sz w:val="22"/>
          <w:szCs w:val="22"/>
        </w:rPr>
      </w:pPr>
    </w:p>
    <w:p w14:paraId="63C4DE85">
      <w:pPr>
        <w:spacing w:line="360" w:lineRule="auto"/>
        <w:ind w:firstLine="4620" w:firstLineChars="21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lang w:eastAsia="zh-CN"/>
        </w:rPr>
        <w:t>投标人名称</w:t>
      </w:r>
      <w:r>
        <w:rPr>
          <w:rFonts w:hint="eastAsia" w:cs="仿宋_GB2312" w:asciiTheme="minorEastAsia" w:hAnsiTheme="minorEastAsia" w:eastAsiaTheme="minorEastAsia"/>
          <w:color w:val="auto"/>
          <w:sz w:val="22"/>
          <w:szCs w:val="21"/>
        </w:rPr>
        <w:t>（电子签名）：</w:t>
      </w:r>
    </w:p>
    <w:p w14:paraId="09AE08DF">
      <w:pPr>
        <w:spacing w:line="360" w:lineRule="auto"/>
        <w:ind w:firstLine="4620" w:firstLineChars="2100"/>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日期：  年   月   日</w:t>
      </w:r>
    </w:p>
    <w:p w14:paraId="7EA97C7E">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1D61F9FA">
      <w:pPr>
        <w:spacing w:before="67"/>
        <w:ind w:left="1217" w:right="1232"/>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w:t>
      </w:r>
      <w:r>
        <w:rPr>
          <w:rFonts w:hint="eastAsia" w:cs="宋体"/>
          <w:b/>
          <w:bCs/>
          <w:color w:val="auto"/>
          <w:sz w:val="28"/>
          <w:szCs w:val="28"/>
          <w:lang w:val="en-US" w:eastAsia="zh-CN"/>
        </w:rPr>
        <w:t>9</w:t>
      </w:r>
      <w:r>
        <w:rPr>
          <w:rFonts w:hint="eastAsia" w:ascii="宋体" w:hAnsi="宋体" w:eastAsia="宋体" w:cs="宋体"/>
          <w:b/>
          <w:bCs/>
          <w:color w:val="auto"/>
          <w:sz w:val="28"/>
          <w:szCs w:val="28"/>
        </w:rPr>
        <w:t>）项目小组人员名单</w:t>
      </w:r>
    </w:p>
    <w:p w14:paraId="03455EEE">
      <w:pPr>
        <w:spacing w:line="360" w:lineRule="auto"/>
        <w:rPr>
          <w:rFonts w:hint="eastAsia" w:ascii="宋体" w:hAnsi="宋体" w:eastAsia="宋体" w:cs="宋体"/>
          <w:color w:val="auto"/>
          <w:sz w:val="22"/>
          <w:szCs w:val="22"/>
          <w:lang w:val="en-US"/>
        </w:rPr>
      </w:pPr>
    </w:p>
    <w:p w14:paraId="12C27319">
      <w:pPr>
        <w:spacing w:line="360" w:lineRule="auto"/>
        <w:rPr>
          <w:rFonts w:hint="eastAsia" w:ascii="宋体" w:hAnsi="宋体" w:eastAsia="宋体" w:cs="宋体"/>
          <w:color w:val="auto"/>
          <w:sz w:val="22"/>
          <w:szCs w:val="22"/>
          <w:lang w:val="en-US" w:eastAsia="zh-CN"/>
        </w:rPr>
      </w:pPr>
      <w:r>
        <w:rPr>
          <w:rFonts w:hint="eastAsia" w:cs="宋体"/>
          <w:color w:val="auto"/>
          <w:sz w:val="22"/>
          <w:szCs w:val="22"/>
          <w:lang w:val="en-US" w:eastAsia="zh-CN"/>
        </w:rPr>
        <w:t>标项</w:t>
      </w:r>
      <w:r>
        <w:rPr>
          <w:rFonts w:hint="eastAsia" w:ascii="宋体" w:hAnsi="宋体" w:eastAsia="宋体" w:cs="宋体"/>
          <w:color w:val="auto"/>
          <w:sz w:val="22"/>
          <w:szCs w:val="22"/>
          <w:lang w:val="en-US"/>
        </w:rPr>
        <w:t>名称：</w:t>
      </w:r>
      <w:r>
        <w:rPr>
          <w:rFonts w:hint="eastAsia" w:cs="宋体"/>
          <w:b/>
          <w:bCs/>
          <w:color w:val="FF0000"/>
          <w:sz w:val="22"/>
          <w:szCs w:val="22"/>
          <w:lang w:val="en-US" w:eastAsia="zh-CN"/>
        </w:rPr>
        <w:t>例如：第一片区</w:t>
      </w:r>
      <w:r>
        <w:rPr>
          <w:rFonts w:hint="eastAsia" w:ascii="宋体" w:hAnsi="宋体" w:eastAsia="宋体" w:cs="宋体"/>
          <w:color w:val="auto"/>
          <w:sz w:val="22"/>
          <w:szCs w:val="22"/>
          <w:lang w:val="en-US" w:eastAsia="zh-CN"/>
        </w:rPr>
        <w:t xml:space="preserve">    </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val="en-US"/>
        </w:rPr>
        <w:t>项目编号</w:t>
      </w:r>
      <w:r>
        <w:rPr>
          <w:rFonts w:hint="eastAsia" w:ascii="宋体" w:hAnsi="宋体" w:eastAsia="宋体" w:cs="宋体"/>
          <w:color w:val="auto"/>
          <w:sz w:val="22"/>
          <w:szCs w:val="22"/>
          <w:lang w:val="en-US" w:eastAsia="zh-CN"/>
        </w:rPr>
        <w:t>：</w:t>
      </w:r>
      <w:r>
        <w:rPr>
          <w:rFonts w:hint="eastAsia" w:cs="宋体"/>
          <w:color w:val="auto"/>
          <w:sz w:val="22"/>
          <w:szCs w:val="22"/>
          <w:lang w:val="en-US" w:eastAsia="zh-CN"/>
        </w:rPr>
        <w:t>CNDL2024207</w:t>
      </w:r>
    </w:p>
    <w:tbl>
      <w:tblPr>
        <w:tblStyle w:val="26"/>
        <w:tblW w:w="9331" w:type="dxa"/>
        <w:tblInd w:w="-14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867"/>
        <w:gridCol w:w="1317"/>
        <w:gridCol w:w="1033"/>
        <w:gridCol w:w="1967"/>
        <w:gridCol w:w="1499"/>
        <w:gridCol w:w="1751"/>
      </w:tblGrid>
      <w:tr w14:paraId="666842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97" w:type="dxa"/>
            <w:tcBorders>
              <w:tl2br w:val="nil"/>
              <w:tr2bl w:val="nil"/>
            </w:tcBorders>
            <w:shd w:val="clear" w:color="auto" w:fill="B6DDE8" w:themeFill="accent5" w:themeFillTint="66"/>
            <w:noWrap w:val="0"/>
            <w:vAlign w:val="center"/>
          </w:tcPr>
          <w:p w14:paraId="1581DDFD">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ascii="宋体" w:hAnsi="宋体"/>
                <w:b/>
                <w:bCs/>
                <w:color w:val="auto"/>
                <w:sz w:val="22"/>
                <w:szCs w:val="18"/>
              </w:rPr>
            </w:pPr>
            <w:r>
              <w:rPr>
                <w:rFonts w:hint="eastAsia" w:ascii="宋体" w:hAnsi="宋体"/>
                <w:b/>
                <w:bCs/>
                <w:color w:val="auto"/>
                <w:sz w:val="22"/>
                <w:szCs w:val="21"/>
              </w:rPr>
              <w:t>姓名</w:t>
            </w:r>
          </w:p>
        </w:tc>
        <w:tc>
          <w:tcPr>
            <w:tcW w:w="867" w:type="dxa"/>
            <w:tcBorders>
              <w:tl2br w:val="nil"/>
              <w:tr2bl w:val="nil"/>
            </w:tcBorders>
            <w:shd w:val="clear" w:color="auto" w:fill="B6DDE8" w:themeFill="accent5" w:themeFillTint="66"/>
            <w:noWrap w:val="0"/>
            <w:vAlign w:val="center"/>
          </w:tcPr>
          <w:p w14:paraId="27FFBE93">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宋体" w:hAnsi="宋体" w:eastAsia="宋体"/>
                <w:b/>
                <w:bCs/>
                <w:color w:val="auto"/>
                <w:sz w:val="22"/>
                <w:szCs w:val="18"/>
                <w:lang w:val="en-US" w:eastAsia="zh-CN"/>
              </w:rPr>
            </w:pPr>
            <w:r>
              <w:rPr>
                <w:rFonts w:hint="eastAsia" w:ascii="宋体" w:hAnsi="宋体"/>
                <w:b/>
                <w:bCs/>
                <w:color w:val="auto"/>
                <w:sz w:val="22"/>
                <w:szCs w:val="18"/>
                <w:lang w:val="en-US" w:eastAsia="zh-CN"/>
              </w:rPr>
              <w:t>性别</w:t>
            </w:r>
          </w:p>
        </w:tc>
        <w:tc>
          <w:tcPr>
            <w:tcW w:w="1317" w:type="dxa"/>
            <w:tcBorders>
              <w:tl2br w:val="nil"/>
              <w:tr2bl w:val="nil"/>
            </w:tcBorders>
            <w:shd w:val="clear" w:color="auto" w:fill="B6DDE8" w:themeFill="accent5" w:themeFillTint="66"/>
            <w:noWrap w:val="0"/>
            <w:vAlign w:val="center"/>
          </w:tcPr>
          <w:p w14:paraId="2DB175E8">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宋体" w:hAnsi="宋体" w:eastAsia="宋体" w:cs="宋体"/>
                <w:b/>
                <w:bCs/>
                <w:color w:val="auto"/>
                <w:sz w:val="22"/>
                <w:szCs w:val="18"/>
                <w:lang w:val="en-US" w:eastAsia="zh-CN" w:bidi="zh-CN"/>
              </w:rPr>
            </w:pPr>
            <w:r>
              <w:rPr>
                <w:rFonts w:hint="eastAsia" w:ascii="宋体" w:hAnsi="宋体"/>
                <w:b/>
                <w:bCs/>
                <w:color w:val="auto"/>
                <w:sz w:val="22"/>
                <w:szCs w:val="21"/>
                <w:lang w:val="en-US" w:eastAsia="zh-CN"/>
              </w:rPr>
              <w:t>技术</w:t>
            </w:r>
            <w:r>
              <w:rPr>
                <w:rFonts w:hint="eastAsia" w:ascii="宋体" w:hAnsi="宋体"/>
                <w:b/>
                <w:bCs/>
                <w:color w:val="auto"/>
                <w:sz w:val="22"/>
                <w:szCs w:val="21"/>
              </w:rPr>
              <w:t>职务</w:t>
            </w:r>
          </w:p>
        </w:tc>
        <w:tc>
          <w:tcPr>
            <w:tcW w:w="1033" w:type="dxa"/>
            <w:tcBorders>
              <w:tl2br w:val="nil"/>
              <w:tr2bl w:val="nil"/>
            </w:tcBorders>
            <w:shd w:val="clear" w:color="auto" w:fill="B6DDE8" w:themeFill="accent5" w:themeFillTint="66"/>
            <w:noWrap w:val="0"/>
            <w:vAlign w:val="center"/>
          </w:tcPr>
          <w:p w14:paraId="4529EA36">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宋体" w:hAnsi="宋体" w:eastAsia="宋体" w:cs="宋体"/>
                <w:b/>
                <w:bCs/>
                <w:color w:val="auto"/>
                <w:sz w:val="22"/>
                <w:szCs w:val="21"/>
                <w:lang w:val="en-US" w:eastAsia="zh-CN" w:bidi="zh-CN"/>
              </w:rPr>
            </w:pPr>
            <w:r>
              <w:rPr>
                <w:rFonts w:hint="eastAsia" w:ascii="宋体" w:hAnsi="宋体"/>
                <w:b/>
                <w:bCs/>
                <w:color w:val="auto"/>
                <w:sz w:val="22"/>
                <w:szCs w:val="21"/>
                <w:lang w:val="en-US" w:eastAsia="zh-CN"/>
              </w:rPr>
              <w:t>学历</w:t>
            </w:r>
          </w:p>
        </w:tc>
        <w:tc>
          <w:tcPr>
            <w:tcW w:w="1967" w:type="dxa"/>
            <w:tcBorders>
              <w:tl2br w:val="nil"/>
              <w:tr2bl w:val="nil"/>
            </w:tcBorders>
            <w:shd w:val="clear" w:color="auto" w:fill="B6DDE8" w:themeFill="accent5" w:themeFillTint="66"/>
            <w:noWrap w:val="0"/>
            <w:vAlign w:val="center"/>
          </w:tcPr>
          <w:p w14:paraId="6DCCC33C">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宋体" w:hAnsi="宋体" w:eastAsia="宋体" w:cs="宋体"/>
                <w:b/>
                <w:bCs/>
                <w:color w:val="auto"/>
                <w:sz w:val="22"/>
                <w:szCs w:val="18"/>
                <w:lang w:val="en-US" w:eastAsia="zh-CN" w:bidi="zh-CN"/>
              </w:rPr>
            </w:pPr>
            <w:r>
              <w:rPr>
                <w:rFonts w:hint="eastAsia" w:ascii="宋体" w:hAnsi="宋体"/>
                <w:b/>
                <w:bCs/>
                <w:color w:val="auto"/>
                <w:sz w:val="22"/>
                <w:szCs w:val="21"/>
                <w:lang w:val="en-US" w:eastAsia="zh-CN"/>
              </w:rPr>
              <w:t>经验与业绩</w:t>
            </w:r>
          </w:p>
        </w:tc>
        <w:tc>
          <w:tcPr>
            <w:tcW w:w="1499" w:type="dxa"/>
            <w:tcBorders>
              <w:tl2br w:val="nil"/>
              <w:tr2bl w:val="nil"/>
            </w:tcBorders>
            <w:shd w:val="clear" w:color="auto" w:fill="B6DDE8" w:themeFill="accent5" w:themeFillTint="66"/>
            <w:noWrap w:val="0"/>
            <w:vAlign w:val="center"/>
          </w:tcPr>
          <w:p w14:paraId="4C115621">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宋体" w:hAnsi="宋体" w:eastAsia="宋体" w:cs="宋体"/>
                <w:b/>
                <w:bCs/>
                <w:color w:val="auto"/>
                <w:sz w:val="22"/>
                <w:szCs w:val="18"/>
                <w:lang w:val="en-US" w:eastAsia="zh-CN" w:bidi="zh-CN"/>
              </w:rPr>
            </w:pPr>
            <w:r>
              <w:rPr>
                <w:rFonts w:hint="eastAsia"/>
                <w:b/>
                <w:bCs/>
                <w:color w:val="auto"/>
                <w:sz w:val="22"/>
                <w:szCs w:val="18"/>
                <w:lang w:val="en-US" w:eastAsia="zh-CN"/>
              </w:rPr>
              <w:t>本项目拟负责工作内容</w:t>
            </w:r>
          </w:p>
        </w:tc>
        <w:tc>
          <w:tcPr>
            <w:tcW w:w="1751" w:type="dxa"/>
            <w:tcBorders>
              <w:tl2br w:val="nil"/>
              <w:tr2bl w:val="nil"/>
            </w:tcBorders>
            <w:shd w:val="clear" w:color="auto" w:fill="B6DDE8" w:themeFill="accent5" w:themeFillTint="66"/>
            <w:noWrap w:val="0"/>
            <w:vAlign w:val="center"/>
          </w:tcPr>
          <w:p w14:paraId="0A9BEFA9">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宋体" w:hAnsi="宋体" w:eastAsia="宋体" w:cs="宋体"/>
                <w:b/>
                <w:bCs/>
                <w:color w:val="auto"/>
                <w:sz w:val="22"/>
                <w:szCs w:val="18"/>
                <w:lang w:val="en-US" w:eastAsia="zh-CN" w:bidi="zh-CN"/>
              </w:rPr>
            </w:pPr>
            <w:r>
              <w:rPr>
                <w:rFonts w:hint="eastAsia"/>
                <w:b/>
                <w:bCs/>
                <w:color w:val="auto"/>
                <w:sz w:val="22"/>
                <w:szCs w:val="18"/>
                <w:lang w:val="en-US" w:eastAsia="zh-CN"/>
              </w:rPr>
              <w:t>本项目拟安排上岗起止时间</w:t>
            </w:r>
          </w:p>
        </w:tc>
      </w:tr>
      <w:tr w14:paraId="2B32FB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tcBorders>
              <w:tl2br w:val="nil"/>
              <w:tr2bl w:val="nil"/>
            </w:tcBorders>
            <w:noWrap w:val="0"/>
            <w:vAlign w:val="center"/>
          </w:tcPr>
          <w:p w14:paraId="055E78FF">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67792DDF">
            <w:pPr>
              <w:snapToGrid w:val="0"/>
              <w:spacing w:line="240" w:lineRule="auto"/>
              <w:jc w:val="center"/>
              <w:rPr>
                <w:rFonts w:ascii="宋体" w:hAnsi="宋体"/>
                <w:color w:val="auto"/>
                <w:sz w:val="22"/>
                <w:szCs w:val="18"/>
              </w:rPr>
            </w:pPr>
          </w:p>
        </w:tc>
        <w:tc>
          <w:tcPr>
            <w:tcW w:w="1317" w:type="dxa"/>
            <w:tcBorders>
              <w:tl2br w:val="nil"/>
              <w:tr2bl w:val="nil"/>
            </w:tcBorders>
            <w:noWrap w:val="0"/>
            <w:vAlign w:val="center"/>
          </w:tcPr>
          <w:p w14:paraId="20C6F4BA">
            <w:pPr>
              <w:snapToGrid w:val="0"/>
              <w:spacing w:line="240" w:lineRule="auto"/>
              <w:jc w:val="center"/>
              <w:rPr>
                <w:rFonts w:ascii="宋体" w:hAnsi="宋体"/>
                <w:color w:val="auto"/>
                <w:sz w:val="22"/>
                <w:szCs w:val="18"/>
              </w:rPr>
            </w:pPr>
          </w:p>
        </w:tc>
        <w:tc>
          <w:tcPr>
            <w:tcW w:w="1033" w:type="dxa"/>
            <w:tcBorders>
              <w:tl2br w:val="nil"/>
              <w:tr2bl w:val="nil"/>
            </w:tcBorders>
            <w:noWrap w:val="0"/>
            <w:vAlign w:val="center"/>
          </w:tcPr>
          <w:p w14:paraId="77399BFF">
            <w:pPr>
              <w:snapToGrid w:val="0"/>
              <w:spacing w:line="240" w:lineRule="auto"/>
              <w:jc w:val="center"/>
              <w:rPr>
                <w:rFonts w:ascii="宋体" w:hAnsi="宋体"/>
                <w:color w:val="auto"/>
                <w:sz w:val="22"/>
                <w:szCs w:val="18"/>
              </w:rPr>
            </w:pPr>
          </w:p>
        </w:tc>
        <w:tc>
          <w:tcPr>
            <w:tcW w:w="1967" w:type="dxa"/>
            <w:tcBorders>
              <w:tl2br w:val="nil"/>
              <w:tr2bl w:val="nil"/>
            </w:tcBorders>
            <w:noWrap w:val="0"/>
            <w:vAlign w:val="center"/>
          </w:tcPr>
          <w:p w14:paraId="452D6E49">
            <w:pPr>
              <w:snapToGrid w:val="0"/>
              <w:spacing w:line="240" w:lineRule="auto"/>
              <w:jc w:val="center"/>
              <w:rPr>
                <w:rFonts w:ascii="宋体" w:hAnsi="宋体"/>
                <w:color w:val="auto"/>
                <w:sz w:val="22"/>
                <w:szCs w:val="18"/>
              </w:rPr>
            </w:pPr>
          </w:p>
        </w:tc>
        <w:tc>
          <w:tcPr>
            <w:tcW w:w="1499" w:type="dxa"/>
            <w:tcBorders>
              <w:tl2br w:val="nil"/>
              <w:tr2bl w:val="nil"/>
            </w:tcBorders>
            <w:noWrap w:val="0"/>
            <w:vAlign w:val="center"/>
          </w:tcPr>
          <w:p w14:paraId="4B3FA060">
            <w:pPr>
              <w:snapToGrid w:val="0"/>
              <w:spacing w:line="240" w:lineRule="auto"/>
              <w:jc w:val="center"/>
              <w:rPr>
                <w:rFonts w:ascii="宋体" w:hAnsi="宋体"/>
                <w:color w:val="auto"/>
                <w:sz w:val="22"/>
                <w:szCs w:val="18"/>
              </w:rPr>
            </w:pPr>
          </w:p>
        </w:tc>
        <w:tc>
          <w:tcPr>
            <w:tcW w:w="1751" w:type="dxa"/>
            <w:tcBorders>
              <w:tl2br w:val="nil"/>
              <w:tr2bl w:val="nil"/>
            </w:tcBorders>
            <w:noWrap w:val="0"/>
            <w:vAlign w:val="center"/>
          </w:tcPr>
          <w:p w14:paraId="5B60EE98">
            <w:pPr>
              <w:snapToGrid w:val="0"/>
              <w:spacing w:line="240" w:lineRule="auto"/>
              <w:jc w:val="center"/>
              <w:rPr>
                <w:rFonts w:ascii="宋体" w:hAnsi="宋体"/>
                <w:color w:val="auto"/>
                <w:sz w:val="22"/>
                <w:szCs w:val="18"/>
              </w:rPr>
            </w:pPr>
          </w:p>
        </w:tc>
      </w:tr>
      <w:tr w14:paraId="18006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tcBorders>
              <w:tl2br w:val="nil"/>
              <w:tr2bl w:val="nil"/>
            </w:tcBorders>
            <w:noWrap w:val="0"/>
            <w:vAlign w:val="center"/>
          </w:tcPr>
          <w:p w14:paraId="3066E0A4">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2C203380">
            <w:pPr>
              <w:snapToGrid w:val="0"/>
              <w:spacing w:line="240" w:lineRule="auto"/>
              <w:jc w:val="center"/>
              <w:rPr>
                <w:rFonts w:ascii="宋体" w:hAnsi="宋体"/>
                <w:color w:val="auto"/>
                <w:sz w:val="22"/>
                <w:szCs w:val="18"/>
              </w:rPr>
            </w:pPr>
          </w:p>
        </w:tc>
        <w:tc>
          <w:tcPr>
            <w:tcW w:w="1317" w:type="dxa"/>
            <w:tcBorders>
              <w:tl2br w:val="nil"/>
              <w:tr2bl w:val="nil"/>
            </w:tcBorders>
            <w:noWrap w:val="0"/>
            <w:vAlign w:val="center"/>
          </w:tcPr>
          <w:p w14:paraId="5489E31B">
            <w:pPr>
              <w:snapToGrid w:val="0"/>
              <w:spacing w:line="240" w:lineRule="auto"/>
              <w:jc w:val="center"/>
              <w:rPr>
                <w:rFonts w:ascii="宋体" w:hAnsi="宋体"/>
                <w:color w:val="auto"/>
                <w:sz w:val="22"/>
                <w:szCs w:val="18"/>
              </w:rPr>
            </w:pPr>
          </w:p>
        </w:tc>
        <w:tc>
          <w:tcPr>
            <w:tcW w:w="1033" w:type="dxa"/>
            <w:tcBorders>
              <w:tl2br w:val="nil"/>
              <w:tr2bl w:val="nil"/>
            </w:tcBorders>
            <w:noWrap w:val="0"/>
            <w:vAlign w:val="center"/>
          </w:tcPr>
          <w:p w14:paraId="21F36257">
            <w:pPr>
              <w:snapToGrid w:val="0"/>
              <w:spacing w:line="240" w:lineRule="auto"/>
              <w:jc w:val="center"/>
              <w:rPr>
                <w:rFonts w:ascii="宋体" w:hAnsi="宋体"/>
                <w:color w:val="auto"/>
                <w:sz w:val="22"/>
                <w:szCs w:val="18"/>
              </w:rPr>
            </w:pPr>
          </w:p>
        </w:tc>
        <w:tc>
          <w:tcPr>
            <w:tcW w:w="1967" w:type="dxa"/>
            <w:tcBorders>
              <w:tl2br w:val="nil"/>
              <w:tr2bl w:val="nil"/>
            </w:tcBorders>
            <w:noWrap w:val="0"/>
            <w:vAlign w:val="center"/>
          </w:tcPr>
          <w:p w14:paraId="55FBB391">
            <w:pPr>
              <w:snapToGrid w:val="0"/>
              <w:spacing w:line="240" w:lineRule="auto"/>
              <w:jc w:val="center"/>
              <w:rPr>
                <w:rFonts w:ascii="宋体" w:hAnsi="宋体"/>
                <w:color w:val="auto"/>
                <w:sz w:val="22"/>
                <w:szCs w:val="18"/>
              </w:rPr>
            </w:pPr>
          </w:p>
        </w:tc>
        <w:tc>
          <w:tcPr>
            <w:tcW w:w="1499" w:type="dxa"/>
            <w:tcBorders>
              <w:tl2br w:val="nil"/>
              <w:tr2bl w:val="nil"/>
            </w:tcBorders>
            <w:noWrap w:val="0"/>
            <w:vAlign w:val="center"/>
          </w:tcPr>
          <w:p w14:paraId="54E4A125">
            <w:pPr>
              <w:snapToGrid w:val="0"/>
              <w:spacing w:line="240" w:lineRule="auto"/>
              <w:jc w:val="center"/>
              <w:rPr>
                <w:rFonts w:ascii="宋体" w:hAnsi="宋体"/>
                <w:color w:val="auto"/>
                <w:sz w:val="22"/>
                <w:szCs w:val="18"/>
              </w:rPr>
            </w:pPr>
          </w:p>
        </w:tc>
        <w:tc>
          <w:tcPr>
            <w:tcW w:w="1751" w:type="dxa"/>
            <w:tcBorders>
              <w:tl2br w:val="nil"/>
              <w:tr2bl w:val="nil"/>
            </w:tcBorders>
            <w:noWrap w:val="0"/>
            <w:vAlign w:val="center"/>
          </w:tcPr>
          <w:p w14:paraId="44B99EA6">
            <w:pPr>
              <w:snapToGrid w:val="0"/>
              <w:spacing w:line="240" w:lineRule="auto"/>
              <w:jc w:val="center"/>
              <w:rPr>
                <w:rFonts w:ascii="宋体" w:hAnsi="宋体"/>
                <w:color w:val="auto"/>
                <w:sz w:val="22"/>
                <w:szCs w:val="18"/>
              </w:rPr>
            </w:pPr>
          </w:p>
        </w:tc>
      </w:tr>
      <w:tr w14:paraId="638C36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tcBorders>
              <w:tl2br w:val="nil"/>
              <w:tr2bl w:val="nil"/>
            </w:tcBorders>
            <w:noWrap w:val="0"/>
            <w:vAlign w:val="center"/>
          </w:tcPr>
          <w:p w14:paraId="5E080EBD">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2EFFAAE9">
            <w:pPr>
              <w:snapToGrid w:val="0"/>
              <w:spacing w:line="240" w:lineRule="auto"/>
              <w:jc w:val="center"/>
              <w:rPr>
                <w:rFonts w:ascii="宋体" w:hAnsi="宋体"/>
                <w:color w:val="auto"/>
                <w:sz w:val="22"/>
                <w:szCs w:val="18"/>
              </w:rPr>
            </w:pPr>
          </w:p>
        </w:tc>
        <w:tc>
          <w:tcPr>
            <w:tcW w:w="1317" w:type="dxa"/>
            <w:tcBorders>
              <w:tl2br w:val="nil"/>
              <w:tr2bl w:val="nil"/>
            </w:tcBorders>
            <w:noWrap w:val="0"/>
            <w:vAlign w:val="center"/>
          </w:tcPr>
          <w:p w14:paraId="012A8F64">
            <w:pPr>
              <w:numPr>
                <w:ilvl w:val="0"/>
                <w:numId w:val="4"/>
              </w:numPr>
              <w:tabs>
                <w:tab w:val="clear" w:pos="1200"/>
              </w:tabs>
              <w:snapToGrid w:val="0"/>
              <w:spacing w:line="240" w:lineRule="auto"/>
              <w:ind w:left="5500" w:leftChars="2500" w:firstLine="0"/>
              <w:jc w:val="center"/>
              <w:rPr>
                <w:rFonts w:ascii="宋体" w:hAnsi="宋体"/>
                <w:color w:val="auto"/>
                <w:sz w:val="22"/>
                <w:szCs w:val="21"/>
              </w:rPr>
            </w:pPr>
          </w:p>
        </w:tc>
        <w:tc>
          <w:tcPr>
            <w:tcW w:w="1033" w:type="dxa"/>
            <w:tcBorders>
              <w:tl2br w:val="nil"/>
              <w:tr2bl w:val="nil"/>
            </w:tcBorders>
            <w:noWrap w:val="0"/>
            <w:vAlign w:val="center"/>
          </w:tcPr>
          <w:p w14:paraId="4DE1B963">
            <w:pPr>
              <w:numPr>
                <w:ilvl w:val="0"/>
                <w:numId w:val="4"/>
              </w:numPr>
              <w:tabs>
                <w:tab w:val="clear" w:pos="1200"/>
              </w:tabs>
              <w:snapToGrid w:val="0"/>
              <w:spacing w:line="240" w:lineRule="auto"/>
              <w:ind w:left="5500" w:leftChars="2500" w:firstLine="0"/>
              <w:jc w:val="center"/>
              <w:rPr>
                <w:rFonts w:ascii="宋体" w:hAnsi="宋体"/>
                <w:color w:val="auto"/>
                <w:sz w:val="22"/>
                <w:szCs w:val="21"/>
              </w:rPr>
            </w:pPr>
          </w:p>
        </w:tc>
        <w:tc>
          <w:tcPr>
            <w:tcW w:w="1967" w:type="dxa"/>
            <w:tcBorders>
              <w:tl2br w:val="nil"/>
              <w:tr2bl w:val="nil"/>
            </w:tcBorders>
            <w:noWrap w:val="0"/>
            <w:vAlign w:val="center"/>
          </w:tcPr>
          <w:p w14:paraId="75304E3B">
            <w:pPr>
              <w:snapToGrid w:val="0"/>
              <w:spacing w:line="240" w:lineRule="auto"/>
              <w:jc w:val="center"/>
              <w:rPr>
                <w:rFonts w:ascii="宋体" w:hAnsi="宋体"/>
                <w:color w:val="auto"/>
                <w:sz w:val="22"/>
                <w:szCs w:val="18"/>
              </w:rPr>
            </w:pPr>
          </w:p>
        </w:tc>
        <w:tc>
          <w:tcPr>
            <w:tcW w:w="1499" w:type="dxa"/>
            <w:tcBorders>
              <w:tl2br w:val="nil"/>
              <w:tr2bl w:val="nil"/>
            </w:tcBorders>
            <w:noWrap w:val="0"/>
            <w:vAlign w:val="center"/>
          </w:tcPr>
          <w:p w14:paraId="47D8E9E6">
            <w:pPr>
              <w:snapToGrid w:val="0"/>
              <w:spacing w:line="240" w:lineRule="auto"/>
              <w:jc w:val="center"/>
              <w:rPr>
                <w:rFonts w:ascii="宋体" w:hAnsi="宋体"/>
                <w:color w:val="auto"/>
                <w:sz w:val="22"/>
                <w:szCs w:val="18"/>
              </w:rPr>
            </w:pPr>
          </w:p>
        </w:tc>
        <w:tc>
          <w:tcPr>
            <w:tcW w:w="1751" w:type="dxa"/>
            <w:tcBorders>
              <w:tl2br w:val="nil"/>
              <w:tr2bl w:val="nil"/>
            </w:tcBorders>
            <w:noWrap w:val="0"/>
            <w:vAlign w:val="center"/>
          </w:tcPr>
          <w:p w14:paraId="49EEEE33">
            <w:pPr>
              <w:snapToGrid w:val="0"/>
              <w:spacing w:line="240" w:lineRule="auto"/>
              <w:jc w:val="center"/>
              <w:rPr>
                <w:rFonts w:ascii="宋体" w:hAnsi="宋体"/>
                <w:color w:val="auto"/>
                <w:sz w:val="22"/>
                <w:szCs w:val="18"/>
              </w:rPr>
            </w:pPr>
          </w:p>
        </w:tc>
      </w:tr>
      <w:tr w14:paraId="6A8F32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tcBorders>
              <w:tl2br w:val="nil"/>
              <w:tr2bl w:val="nil"/>
            </w:tcBorders>
            <w:noWrap w:val="0"/>
            <w:vAlign w:val="center"/>
          </w:tcPr>
          <w:p w14:paraId="26FFAE75">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7529FD1A">
            <w:pPr>
              <w:snapToGrid w:val="0"/>
              <w:spacing w:line="240" w:lineRule="auto"/>
              <w:jc w:val="center"/>
              <w:rPr>
                <w:rFonts w:ascii="宋体" w:hAnsi="宋体"/>
                <w:color w:val="auto"/>
                <w:sz w:val="22"/>
                <w:szCs w:val="18"/>
              </w:rPr>
            </w:pPr>
          </w:p>
        </w:tc>
        <w:tc>
          <w:tcPr>
            <w:tcW w:w="1317" w:type="dxa"/>
            <w:tcBorders>
              <w:tl2br w:val="nil"/>
              <w:tr2bl w:val="nil"/>
            </w:tcBorders>
            <w:noWrap w:val="0"/>
            <w:vAlign w:val="center"/>
          </w:tcPr>
          <w:p w14:paraId="253CA176">
            <w:pPr>
              <w:snapToGrid w:val="0"/>
              <w:spacing w:line="240" w:lineRule="auto"/>
              <w:jc w:val="center"/>
              <w:rPr>
                <w:rFonts w:ascii="宋体" w:hAnsi="宋体"/>
                <w:color w:val="auto"/>
                <w:sz w:val="22"/>
                <w:szCs w:val="18"/>
              </w:rPr>
            </w:pPr>
          </w:p>
        </w:tc>
        <w:tc>
          <w:tcPr>
            <w:tcW w:w="1033" w:type="dxa"/>
            <w:tcBorders>
              <w:tl2br w:val="nil"/>
              <w:tr2bl w:val="nil"/>
            </w:tcBorders>
            <w:noWrap w:val="0"/>
            <w:vAlign w:val="center"/>
          </w:tcPr>
          <w:p w14:paraId="729D2B0D">
            <w:pPr>
              <w:snapToGrid w:val="0"/>
              <w:spacing w:line="240" w:lineRule="auto"/>
              <w:jc w:val="center"/>
              <w:rPr>
                <w:rFonts w:ascii="宋体" w:hAnsi="宋体"/>
                <w:color w:val="auto"/>
                <w:sz w:val="22"/>
                <w:szCs w:val="18"/>
              </w:rPr>
            </w:pPr>
          </w:p>
        </w:tc>
        <w:tc>
          <w:tcPr>
            <w:tcW w:w="1967" w:type="dxa"/>
            <w:tcBorders>
              <w:tl2br w:val="nil"/>
              <w:tr2bl w:val="nil"/>
            </w:tcBorders>
            <w:noWrap w:val="0"/>
            <w:vAlign w:val="center"/>
          </w:tcPr>
          <w:p w14:paraId="1B268766">
            <w:pPr>
              <w:snapToGrid w:val="0"/>
              <w:spacing w:line="240" w:lineRule="auto"/>
              <w:jc w:val="center"/>
              <w:rPr>
                <w:rFonts w:ascii="宋体" w:hAnsi="宋体"/>
                <w:color w:val="auto"/>
                <w:sz w:val="22"/>
                <w:szCs w:val="18"/>
              </w:rPr>
            </w:pPr>
          </w:p>
        </w:tc>
        <w:tc>
          <w:tcPr>
            <w:tcW w:w="1499" w:type="dxa"/>
            <w:tcBorders>
              <w:tl2br w:val="nil"/>
              <w:tr2bl w:val="nil"/>
            </w:tcBorders>
            <w:noWrap w:val="0"/>
            <w:vAlign w:val="center"/>
          </w:tcPr>
          <w:p w14:paraId="5254E8F1">
            <w:pPr>
              <w:snapToGrid w:val="0"/>
              <w:spacing w:line="240" w:lineRule="auto"/>
              <w:jc w:val="center"/>
              <w:rPr>
                <w:rFonts w:ascii="宋体" w:hAnsi="宋体"/>
                <w:color w:val="auto"/>
                <w:sz w:val="22"/>
                <w:szCs w:val="18"/>
              </w:rPr>
            </w:pPr>
          </w:p>
        </w:tc>
        <w:tc>
          <w:tcPr>
            <w:tcW w:w="1751" w:type="dxa"/>
            <w:tcBorders>
              <w:tl2br w:val="nil"/>
              <w:tr2bl w:val="nil"/>
            </w:tcBorders>
            <w:noWrap w:val="0"/>
            <w:vAlign w:val="center"/>
          </w:tcPr>
          <w:p w14:paraId="7B8ABC63">
            <w:pPr>
              <w:snapToGrid w:val="0"/>
              <w:spacing w:line="240" w:lineRule="auto"/>
              <w:jc w:val="center"/>
              <w:rPr>
                <w:rFonts w:ascii="宋体" w:hAnsi="宋体"/>
                <w:color w:val="auto"/>
                <w:sz w:val="22"/>
                <w:szCs w:val="18"/>
              </w:rPr>
            </w:pPr>
          </w:p>
        </w:tc>
      </w:tr>
      <w:tr w14:paraId="598A62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tcBorders>
              <w:tl2br w:val="nil"/>
              <w:tr2bl w:val="nil"/>
            </w:tcBorders>
            <w:noWrap w:val="0"/>
            <w:vAlign w:val="center"/>
          </w:tcPr>
          <w:p w14:paraId="2177B6BD">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59AF1D73">
            <w:pPr>
              <w:snapToGrid w:val="0"/>
              <w:spacing w:line="240" w:lineRule="auto"/>
              <w:jc w:val="center"/>
              <w:rPr>
                <w:rFonts w:ascii="宋体" w:hAnsi="宋体"/>
                <w:color w:val="auto"/>
                <w:sz w:val="22"/>
                <w:szCs w:val="18"/>
              </w:rPr>
            </w:pPr>
          </w:p>
        </w:tc>
        <w:tc>
          <w:tcPr>
            <w:tcW w:w="1317" w:type="dxa"/>
            <w:tcBorders>
              <w:tl2br w:val="nil"/>
              <w:tr2bl w:val="nil"/>
            </w:tcBorders>
            <w:noWrap w:val="0"/>
            <w:vAlign w:val="center"/>
          </w:tcPr>
          <w:p w14:paraId="4725E5DC">
            <w:pPr>
              <w:snapToGrid w:val="0"/>
              <w:spacing w:line="240" w:lineRule="auto"/>
              <w:jc w:val="center"/>
              <w:rPr>
                <w:rFonts w:ascii="宋体" w:hAnsi="宋体"/>
                <w:color w:val="auto"/>
                <w:sz w:val="22"/>
                <w:szCs w:val="18"/>
              </w:rPr>
            </w:pPr>
          </w:p>
        </w:tc>
        <w:tc>
          <w:tcPr>
            <w:tcW w:w="1033" w:type="dxa"/>
            <w:tcBorders>
              <w:tl2br w:val="nil"/>
              <w:tr2bl w:val="nil"/>
            </w:tcBorders>
            <w:noWrap w:val="0"/>
            <w:vAlign w:val="center"/>
          </w:tcPr>
          <w:p w14:paraId="423EAD6C">
            <w:pPr>
              <w:snapToGrid w:val="0"/>
              <w:spacing w:line="240" w:lineRule="auto"/>
              <w:jc w:val="center"/>
              <w:rPr>
                <w:rFonts w:ascii="宋体" w:hAnsi="宋体"/>
                <w:color w:val="auto"/>
                <w:sz w:val="22"/>
                <w:szCs w:val="18"/>
              </w:rPr>
            </w:pPr>
          </w:p>
        </w:tc>
        <w:tc>
          <w:tcPr>
            <w:tcW w:w="1967" w:type="dxa"/>
            <w:tcBorders>
              <w:tl2br w:val="nil"/>
              <w:tr2bl w:val="nil"/>
            </w:tcBorders>
            <w:noWrap w:val="0"/>
            <w:vAlign w:val="center"/>
          </w:tcPr>
          <w:p w14:paraId="72FE542B">
            <w:pPr>
              <w:snapToGrid w:val="0"/>
              <w:spacing w:line="240" w:lineRule="auto"/>
              <w:jc w:val="center"/>
              <w:rPr>
                <w:rFonts w:ascii="宋体" w:hAnsi="宋体"/>
                <w:color w:val="auto"/>
                <w:sz w:val="22"/>
                <w:szCs w:val="18"/>
              </w:rPr>
            </w:pPr>
          </w:p>
        </w:tc>
        <w:tc>
          <w:tcPr>
            <w:tcW w:w="1499" w:type="dxa"/>
            <w:tcBorders>
              <w:tl2br w:val="nil"/>
              <w:tr2bl w:val="nil"/>
            </w:tcBorders>
            <w:noWrap w:val="0"/>
            <w:vAlign w:val="center"/>
          </w:tcPr>
          <w:p w14:paraId="5E45CF33">
            <w:pPr>
              <w:snapToGrid w:val="0"/>
              <w:spacing w:line="240" w:lineRule="auto"/>
              <w:jc w:val="center"/>
              <w:rPr>
                <w:rFonts w:ascii="宋体" w:hAnsi="宋体"/>
                <w:color w:val="auto"/>
                <w:sz w:val="22"/>
                <w:szCs w:val="18"/>
              </w:rPr>
            </w:pPr>
          </w:p>
        </w:tc>
        <w:tc>
          <w:tcPr>
            <w:tcW w:w="1751" w:type="dxa"/>
            <w:tcBorders>
              <w:tl2br w:val="nil"/>
              <w:tr2bl w:val="nil"/>
            </w:tcBorders>
            <w:noWrap w:val="0"/>
            <w:vAlign w:val="center"/>
          </w:tcPr>
          <w:p w14:paraId="09A3D63A">
            <w:pPr>
              <w:snapToGrid w:val="0"/>
              <w:spacing w:line="240" w:lineRule="auto"/>
              <w:jc w:val="center"/>
              <w:rPr>
                <w:rFonts w:ascii="宋体" w:hAnsi="宋体"/>
                <w:color w:val="auto"/>
                <w:sz w:val="22"/>
                <w:szCs w:val="18"/>
              </w:rPr>
            </w:pPr>
          </w:p>
        </w:tc>
      </w:tr>
      <w:tr w14:paraId="635CAF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tcBorders>
              <w:tl2br w:val="nil"/>
              <w:tr2bl w:val="nil"/>
            </w:tcBorders>
            <w:noWrap w:val="0"/>
            <w:vAlign w:val="center"/>
          </w:tcPr>
          <w:p w14:paraId="62CB8EE3">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03FA5780">
            <w:pPr>
              <w:snapToGrid w:val="0"/>
              <w:spacing w:line="240" w:lineRule="auto"/>
              <w:jc w:val="center"/>
              <w:rPr>
                <w:rFonts w:ascii="宋体" w:hAnsi="宋体"/>
                <w:color w:val="auto"/>
                <w:sz w:val="22"/>
                <w:szCs w:val="18"/>
              </w:rPr>
            </w:pPr>
          </w:p>
        </w:tc>
        <w:tc>
          <w:tcPr>
            <w:tcW w:w="1317" w:type="dxa"/>
            <w:tcBorders>
              <w:tl2br w:val="nil"/>
              <w:tr2bl w:val="nil"/>
            </w:tcBorders>
            <w:noWrap w:val="0"/>
            <w:vAlign w:val="center"/>
          </w:tcPr>
          <w:p w14:paraId="50E41C40">
            <w:pPr>
              <w:snapToGrid w:val="0"/>
              <w:spacing w:line="240" w:lineRule="auto"/>
              <w:jc w:val="center"/>
              <w:rPr>
                <w:rFonts w:ascii="宋体" w:hAnsi="宋体"/>
                <w:color w:val="auto"/>
                <w:sz w:val="22"/>
                <w:szCs w:val="18"/>
              </w:rPr>
            </w:pPr>
          </w:p>
        </w:tc>
        <w:tc>
          <w:tcPr>
            <w:tcW w:w="1033" w:type="dxa"/>
            <w:tcBorders>
              <w:tl2br w:val="nil"/>
              <w:tr2bl w:val="nil"/>
            </w:tcBorders>
            <w:noWrap w:val="0"/>
            <w:vAlign w:val="center"/>
          </w:tcPr>
          <w:p w14:paraId="6D4C5A94">
            <w:pPr>
              <w:snapToGrid w:val="0"/>
              <w:spacing w:line="240" w:lineRule="auto"/>
              <w:jc w:val="center"/>
              <w:rPr>
                <w:rFonts w:ascii="宋体" w:hAnsi="宋体"/>
                <w:color w:val="auto"/>
                <w:sz w:val="22"/>
                <w:szCs w:val="18"/>
              </w:rPr>
            </w:pPr>
          </w:p>
        </w:tc>
        <w:tc>
          <w:tcPr>
            <w:tcW w:w="1967" w:type="dxa"/>
            <w:tcBorders>
              <w:tl2br w:val="nil"/>
              <w:tr2bl w:val="nil"/>
            </w:tcBorders>
            <w:noWrap w:val="0"/>
            <w:vAlign w:val="center"/>
          </w:tcPr>
          <w:p w14:paraId="0F1FDF7C">
            <w:pPr>
              <w:snapToGrid w:val="0"/>
              <w:spacing w:line="240" w:lineRule="auto"/>
              <w:jc w:val="center"/>
              <w:rPr>
                <w:rFonts w:ascii="宋体" w:hAnsi="宋体"/>
                <w:color w:val="auto"/>
                <w:sz w:val="22"/>
                <w:szCs w:val="18"/>
              </w:rPr>
            </w:pPr>
          </w:p>
        </w:tc>
        <w:tc>
          <w:tcPr>
            <w:tcW w:w="1499" w:type="dxa"/>
            <w:tcBorders>
              <w:tl2br w:val="nil"/>
              <w:tr2bl w:val="nil"/>
            </w:tcBorders>
            <w:noWrap w:val="0"/>
            <w:vAlign w:val="center"/>
          </w:tcPr>
          <w:p w14:paraId="52680B79">
            <w:pPr>
              <w:snapToGrid w:val="0"/>
              <w:spacing w:line="240" w:lineRule="auto"/>
              <w:jc w:val="center"/>
              <w:rPr>
                <w:rFonts w:ascii="宋体" w:hAnsi="宋体"/>
                <w:color w:val="auto"/>
                <w:sz w:val="22"/>
                <w:szCs w:val="18"/>
              </w:rPr>
            </w:pPr>
          </w:p>
        </w:tc>
        <w:tc>
          <w:tcPr>
            <w:tcW w:w="1751" w:type="dxa"/>
            <w:tcBorders>
              <w:tl2br w:val="nil"/>
              <w:tr2bl w:val="nil"/>
            </w:tcBorders>
            <w:noWrap w:val="0"/>
            <w:vAlign w:val="center"/>
          </w:tcPr>
          <w:p w14:paraId="7C4C4FC5">
            <w:pPr>
              <w:snapToGrid w:val="0"/>
              <w:spacing w:line="240" w:lineRule="auto"/>
              <w:jc w:val="center"/>
              <w:rPr>
                <w:rFonts w:ascii="宋体" w:hAnsi="宋体"/>
                <w:color w:val="auto"/>
                <w:sz w:val="22"/>
                <w:szCs w:val="18"/>
              </w:rPr>
            </w:pPr>
          </w:p>
        </w:tc>
      </w:tr>
      <w:tr w14:paraId="3CF35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tcBorders>
              <w:tl2br w:val="nil"/>
              <w:tr2bl w:val="nil"/>
            </w:tcBorders>
            <w:noWrap w:val="0"/>
            <w:vAlign w:val="center"/>
          </w:tcPr>
          <w:p w14:paraId="6728A9BF">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047B42D6">
            <w:pPr>
              <w:snapToGrid w:val="0"/>
              <w:spacing w:line="240" w:lineRule="auto"/>
              <w:jc w:val="center"/>
              <w:rPr>
                <w:rFonts w:ascii="宋体" w:hAnsi="宋体"/>
                <w:color w:val="auto"/>
                <w:sz w:val="22"/>
                <w:szCs w:val="18"/>
              </w:rPr>
            </w:pPr>
          </w:p>
        </w:tc>
        <w:tc>
          <w:tcPr>
            <w:tcW w:w="1317" w:type="dxa"/>
            <w:tcBorders>
              <w:tl2br w:val="nil"/>
              <w:tr2bl w:val="nil"/>
            </w:tcBorders>
            <w:noWrap w:val="0"/>
            <w:vAlign w:val="center"/>
          </w:tcPr>
          <w:p w14:paraId="278FB731">
            <w:pPr>
              <w:snapToGrid w:val="0"/>
              <w:spacing w:line="240" w:lineRule="auto"/>
              <w:jc w:val="center"/>
              <w:rPr>
                <w:rFonts w:ascii="宋体" w:hAnsi="宋体"/>
                <w:color w:val="auto"/>
                <w:sz w:val="22"/>
                <w:szCs w:val="18"/>
              </w:rPr>
            </w:pPr>
          </w:p>
        </w:tc>
        <w:tc>
          <w:tcPr>
            <w:tcW w:w="1033" w:type="dxa"/>
            <w:tcBorders>
              <w:tl2br w:val="nil"/>
              <w:tr2bl w:val="nil"/>
            </w:tcBorders>
            <w:noWrap w:val="0"/>
            <w:vAlign w:val="center"/>
          </w:tcPr>
          <w:p w14:paraId="47E31B39">
            <w:pPr>
              <w:snapToGrid w:val="0"/>
              <w:spacing w:line="240" w:lineRule="auto"/>
              <w:jc w:val="center"/>
              <w:rPr>
                <w:rFonts w:ascii="宋体" w:hAnsi="宋体"/>
                <w:color w:val="auto"/>
                <w:sz w:val="22"/>
                <w:szCs w:val="18"/>
              </w:rPr>
            </w:pPr>
          </w:p>
        </w:tc>
        <w:tc>
          <w:tcPr>
            <w:tcW w:w="1967" w:type="dxa"/>
            <w:tcBorders>
              <w:tl2br w:val="nil"/>
              <w:tr2bl w:val="nil"/>
            </w:tcBorders>
            <w:noWrap w:val="0"/>
            <w:vAlign w:val="center"/>
          </w:tcPr>
          <w:p w14:paraId="73CB4078">
            <w:pPr>
              <w:snapToGrid w:val="0"/>
              <w:spacing w:line="240" w:lineRule="auto"/>
              <w:jc w:val="center"/>
              <w:rPr>
                <w:rFonts w:ascii="宋体" w:hAnsi="宋体"/>
                <w:color w:val="auto"/>
                <w:sz w:val="22"/>
                <w:szCs w:val="18"/>
              </w:rPr>
            </w:pPr>
          </w:p>
        </w:tc>
        <w:tc>
          <w:tcPr>
            <w:tcW w:w="1499" w:type="dxa"/>
            <w:tcBorders>
              <w:tl2br w:val="nil"/>
              <w:tr2bl w:val="nil"/>
            </w:tcBorders>
            <w:noWrap w:val="0"/>
            <w:vAlign w:val="center"/>
          </w:tcPr>
          <w:p w14:paraId="4FAAF165">
            <w:pPr>
              <w:snapToGrid w:val="0"/>
              <w:spacing w:line="240" w:lineRule="auto"/>
              <w:jc w:val="center"/>
              <w:rPr>
                <w:rFonts w:ascii="宋体" w:hAnsi="宋体"/>
                <w:color w:val="auto"/>
                <w:sz w:val="22"/>
                <w:szCs w:val="18"/>
              </w:rPr>
            </w:pPr>
          </w:p>
        </w:tc>
        <w:tc>
          <w:tcPr>
            <w:tcW w:w="1751" w:type="dxa"/>
            <w:tcBorders>
              <w:tl2br w:val="nil"/>
              <w:tr2bl w:val="nil"/>
            </w:tcBorders>
            <w:noWrap w:val="0"/>
            <w:vAlign w:val="center"/>
          </w:tcPr>
          <w:p w14:paraId="05DF08BA">
            <w:pPr>
              <w:snapToGrid w:val="0"/>
              <w:spacing w:line="240" w:lineRule="auto"/>
              <w:jc w:val="center"/>
              <w:rPr>
                <w:rFonts w:ascii="宋体" w:hAnsi="宋体"/>
                <w:color w:val="auto"/>
                <w:sz w:val="22"/>
                <w:szCs w:val="18"/>
              </w:rPr>
            </w:pPr>
          </w:p>
        </w:tc>
      </w:tr>
      <w:tr w14:paraId="58F0DC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7" w:type="dxa"/>
            <w:tcBorders>
              <w:tl2br w:val="nil"/>
              <w:tr2bl w:val="nil"/>
            </w:tcBorders>
            <w:noWrap w:val="0"/>
            <w:vAlign w:val="center"/>
          </w:tcPr>
          <w:p w14:paraId="32E92DED">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279C760A">
            <w:pPr>
              <w:snapToGrid w:val="0"/>
              <w:spacing w:line="240" w:lineRule="auto"/>
              <w:jc w:val="center"/>
              <w:rPr>
                <w:rFonts w:ascii="宋体" w:hAnsi="宋体"/>
                <w:color w:val="auto"/>
                <w:sz w:val="22"/>
                <w:szCs w:val="18"/>
              </w:rPr>
            </w:pPr>
          </w:p>
        </w:tc>
        <w:tc>
          <w:tcPr>
            <w:tcW w:w="1317" w:type="dxa"/>
            <w:tcBorders>
              <w:tl2br w:val="nil"/>
              <w:tr2bl w:val="nil"/>
            </w:tcBorders>
            <w:noWrap w:val="0"/>
            <w:vAlign w:val="center"/>
          </w:tcPr>
          <w:p w14:paraId="74660E3A">
            <w:pPr>
              <w:snapToGrid w:val="0"/>
              <w:spacing w:line="240" w:lineRule="auto"/>
              <w:jc w:val="center"/>
              <w:rPr>
                <w:rFonts w:ascii="宋体" w:hAnsi="宋体"/>
                <w:color w:val="auto"/>
                <w:sz w:val="22"/>
                <w:szCs w:val="18"/>
              </w:rPr>
            </w:pPr>
          </w:p>
        </w:tc>
        <w:tc>
          <w:tcPr>
            <w:tcW w:w="1033" w:type="dxa"/>
            <w:tcBorders>
              <w:tl2br w:val="nil"/>
              <w:tr2bl w:val="nil"/>
            </w:tcBorders>
            <w:noWrap w:val="0"/>
            <w:vAlign w:val="center"/>
          </w:tcPr>
          <w:p w14:paraId="10A08E6B">
            <w:pPr>
              <w:snapToGrid w:val="0"/>
              <w:spacing w:line="240" w:lineRule="auto"/>
              <w:jc w:val="center"/>
              <w:rPr>
                <w:rFonts w:ascii="宋体" w:hAnsi="宋体"/>
                <w:color w:val="auto"/>
                <w:sz w:val="22"/>
                <w:szCs w:val="18"/>
              </w:rPr>
            </w:pPr>
          </w:p>
        </w:tc>
        <w:tc>
          <w:tcPr>
            <w:tcW w:w="1967" w:type="dxa"/>
            <w:tcBorders>
              <w:tl2br w:val="nil"/>
              <w:tr2bl w:val="nil"/>
            </w:tcBorders>
            <w:noWrap w:val="0"/>
            <w:vAlign w:val="center"/>
          </w:tcPr>
          <w:p w14:paraId="3F829E35">
            <w:pPr>
              <w:snapToGrid w:val="0"/>
              <w:spacing w:line="240" w:lineRule="auto"/>
              <w:jc w:val="center"/>
              <w:rPr>
                <w:rFonts w:ascii="宋体" w:hAnsi="宋体"/>
                <w:color w:val="auto"/>
                <w:sz w:val="22"/>
                <w:szCs w:val="18"/>
              </w:rPr>
            </w:pPr>
          </w:p>
        </w:tc>
        <w:tc>
          <w:tcPr>
            <w:tcW w:w="1499" w:type="dxa"/>
            <w:tcBorders>
              <w:tl2br w:val="nil"/>
              <w:tr2bl w:val="nil"/>
            </w:tcBorders>
            <w:noWrap w:val="0"/>
            <w:vAlign w:val="center"/>
          </w:tcPr>
          <w:p w14:paraId="78F4D10F">
            <w:pPr>
              <w:snapToGrid w:val="0"/>
              <w:spacing w:line="240" w:lineRule="auto"/>
              <w:jc w:val="center"/>
              <w:rPr>
                <w:rFonts w:ascii="宋体" w:hAnsi="宋体"/>
                <w:color w:val="auto"/>
                <w:sz w:val="22"/>
                <w:szCs w:val="18"/>
              </w:rPr>
            </w:pPr>
          </w:p>
        </w:tc>
        <w:tc>
          <w:tcPr>
            <w:tcW w:w="1751" w:type="dxa"/>
            <w:tcBorders>
              <w:tl2br w:val="nil"/>
              <w:tr2bl w:val="nil"/>
            </w:tcBorders>
            <w:noWrap w:val="0"/>
            <w:vAlign w:val="center"/>
          </w:tcPr>
          <w:p w14:paraId="778BECC8">
            <w:pPr>
              <w:snapToGrid w:val="0"/>
              <w:spacing w:line="240" w:lineRule="auto"/>
              <w:jc w:val="center"/>
              <w:rPr>
                <w:rFonts w:ascii="宋体" w:hAnsi="宋体"/>
                <w:color w:val="auto"/>
                <w:sz w:val="22"/>
                <w:szCs w:val="18"/>
              </w:rPr>
            </w:pPr>
          </w:p>
        </w:tc>
      </w:tr>
      <w:tr w14:paraId="2DC343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7" w:type="dxa"/>
            <w:tcBorders>
              <w:tl2br w:val="nil"/>
              <w:tr2bl w:val="nil"/>
            </w:tcBorders>
            <w:noWrap w:val="0"/>
            <w:vAlign w:val="center"/>
          </w:tcPr>
          <w:p w14:paraId="335349C8">
            <w:pPr>
              <w:snapToGrid w:val="0"/>
              <w:spacing w:line="240" w:lineRule="auto"/>
              <w:jc w:val="center"/>
              <w:rPr>
                <w:rFonts w:ascii="宋体" w:hAnsi="宋体"/>
                <w:color w:val="auto"/>
                <w:sz w:val="22"/>
                <w:szCs w:val="18"/>
              </w:rPr>
            </w:pPr>
          </w:p>
        </w:tc>
        <w:tc>
          <w:tcPr>
            <w:tcW w:w="867" w:type="dxa"/>
            <w:tcBorders>
              <w:tl2br w:val="nil"/>
              <w:tr2bl w:val="nil"/>
            </w:tcBorders>
            <w:noWrap w:val="0"/>
            <w:vAlign w:val="center"/>
          </w:tcPr>
          <w:p w14:paraId="24E68943">
            <w:pPr>
              <w:snapToGrid w:val="0"/>
              <w:spacing w:line="240" w:lineRule="auto"/>
              <w:jc w:val="center"/>
              <w:rPr>
                <w:rFonts w:ascii="宋体" w:hAnsi="宋体"/>
                <w:color w:val="auto"/>
                <w:sz w:val="22"/>
                <w:szCs w:val="18"/>
              </w:rPr>
            </w:pPr>
          </w:p>
        </w:tc>
        <w:tc>
          <w:tcPr>
            <w:tcW w:w="1317" w:type="dxa"/>
            <w:tcBorders>
              <w:tl2br w:val="nil"/>
              <w:tr2bl w:val="nil"/>
            </w:tcBorders>
            <w:noWrap w:val="0"/>
            <w:vAlign w:val="center"/>
          </w:tcPr>
          <w:p w14:paraId="33C0FB3D">
            <w:pPr>
              <w:snapToGrid w:val="0"/>
              <w:spacing w:line="240" w:lineRule="auto"/>
              <w:jc w:val="center"/>
              <w:rPr>
                <w:rFonts w:ascii="宋体" w:hAnsi="宋体"/>
                <w:color w:val="auto"/>
                <w:sz w:val="22"/>
                <w:szCs w:val="18"/>
              </w:rPr>
            </w:pPr>
          </w:p>
        </w:tc>
        <w:tc>
          <w:tcPr>
            <w:tcW w:w="1033" w:type="dxa"/>
            <w:tcBorders>
              <w:tl2br w:val="nil"/>
              <w:tr2bl w:val="nil"/>
            </w:tcBorders>
            <w:noWrap w:val="0"/>
            <w:vAlign w:val="center"/>
          </w:tcPr>
          <w:p w14:paraId="00878895">
            <w:pPr>
              <w:snapToGrid w:val="0"/>
              <w:spacing w:line="240" w:lineRule="auto"/>
              <w:jc w:val="center"/>
              <w:rPr>
                <w:rFonts w:ascii="宋体" w:hAnsi="宋体"/>
                <w:color w:val="auto"/>
                <w:sz w:val="22"/>
                <w:szCs w:val="18"/>
              </w:rPr>
            </w:pPr>
          </w:p>
        </w:tc>
        <w:tc>
          <w:tcPr>
            <w:tcW w:w="1967" w:type="dxa"/>
            <w:tcBorders>
              <w:tl2br w:val="nil"/>
              <w:tr2bl w:val="nil"/>
            </w:tcBorders>
            <w:noWrap w:val="0"/>
            <w:vAlign w:val="center"/>
          </w:tcPr>
          <w:p w14:paraId="59ECB6F5">
            <w:pPr>
              <w:snapToGrid w:val="0"/>
              <w:spacing w:line="240" w:lineRule="auto"/>
              <w:jc w:val="center"/>
              <w:rPr>
                <w:rFonts w:ascii="宋体" w:hAnsi="宋体"/>
                <w:color w:val="auto"/>
                <w:sz w:val="22"/>
                <w:szCs w:val="18"/>
              </w:rPr>
            </w:pPr>
          </w:p>
        </w:tc>
        <w:tc>
          <w:tcPr>
            <w:tcW w:w="1499" w:type="dxa"/>
            <w:tcBorders>
              <w:tl2br w:val="nil"/>
              <w:tr2bl w:val="nil"/>
            </w:tcBorders>
            <w:noWrap w:val="0"/>
            <w:vAlign w:val="center"/>
          </w:tcPr>
          <w:p w14:paraId="3C29A339">
            <w:pPr>
              <w:snapToGrid w:val="0"/>
              <w:spacing w:line="240" w:lineRule="auto"/>
              <w:jc w:val="center"/>
              <w:rPr>
                <w:rFonts w:ascii="宋体" w:hAnsi="宋体"/>
                <w:color w:val="auto"/>
                <w:sz w:val="22"/>
                <w:szCs w:val="18"/>
              </w:rPr>
            </w:pPr>
          </w:p>
        </w:tc>
        <w:tc>
          <w:tcPr>
            <w:tcW w:w="1751" w:type="dxa"/>
            <w:tcBorders>
              <w:tl2br w:val="nil"/>
              <w:tr2bl w:val="nil"/>
            </w:tcBorders>
            <w:noWrap w:val="0"/>
            <w:vAlign w:val="center"/>
          </w:tcPr>
          <w:p w14:paraId="599DB06D">
            <w:pPr>
              <w:snapToGrid w:val="0"/>
              <w:spacing w:line="240" w:lineRule="auto"/>
              <w:jc w:val="center"/>
              <w:rPr>
                <w:rFonts w:ascii="宋体" w:hAnsi="宋体"/>
                <w:color w:val="auto"/>
                <w:sz w:val="22"/>
                <w:szCs w:val="18"/>
              </w:rPr>
            </w:pPr>
          </w:p>
        </w:tc>
      </w:tr>
    </w:tbl>
    <w:p w14:paraId="69F15402">
      <w:pPr>
        <w:spacing w:line="360" w:lineRule="auto"/>
        <w:ind w:right="0"/>
        <w:rPr>
          <w:rFonts w:hint="eastAsia" w:ascii="宋体" w:hAnsi="宋体" w:eastAsia="宋体" w:cs="宋体"/>
          <w:color w:val="auto"/>
          <w:spacing w:val="-8"/>
          <w:sz w:val="11"/>
          <w:szCs w:val="11"/>
        </w:rPr>
      </w:pPr>
    </w:p>
    <w:p w14:paraId="3BE7C534">
      <w:pPr>
        <w:spacing w:line="360" w:lineRule="auto"/>
        <w:ind w:right="0"/>
        <w:rPr>
          <w:rFonts w:hint="eastAsia" w:ascii="宋体" w:hAnsi="宋体" w:eastAsia="宋体" w:cs="宋体"/>
          <w:color w:val="auto"/>
          <w:spacing w:val="-8"/>
          <w:sz w:val="22"/>
          <w:szCs w:val="22"/>
        </w:rPr>
      </w:pPr>
      <w:r>
        <w:rPr>
          <w:rFonts w:hint="eastAsia" w:ascii="宋体" w:hAnsi="宋体" w:eastAsia="宋体" w:cs="宋体"/>
          <w:color w:val="auto"/>
          <w:spacing w:val="-8"/>
          <w:sz w:val="22"/>
          <w:szCs w:val="22"/>
        </w:rPr>
        <w:t>注：</w:t>
      </w:r>
      <w:r>
        <w:rPr>
          <w:rFonts w:hint="eastAsia" w:ascii="宋体" w:hAnsi="宋体" w:eastAsia="宋体" w:cs="宋体"/>
          <w:color w:val="auto"/>
          <w:spacing w:val="-8"/>
          <w:sz w:val="22"/>
          <w:szCs w:val="22"/>
          <w:lang w:val="en-US" w:eastAsia="zh-CN"/>
        </w:rPr>
        <w:t>1、</w:t>
      </w:r>
      <w:r>
        <w:rPr>
          <w:rFonts w:hint="eastAsia" w:cs="宋体"/>
          <w:color w:val="auto"/>
          <w:spacing w:val="-8"/>
          <w:sz w:val="22"/>
          <w:szCs w:val="22"/>
          <w:lang w:eastAsia="zh-CN"/>
        </w:rPr>
        <w:t>投标人</w:t>
      </w:r>
      <w:r>
        <w:rPr>
          <w:rFonts w:hint="eastAsia" w:ascii="宋体" w:hAnsi="宋体" w:eastAsia="宋体" w:cs="宋体"/>
          <w:color w:val="auto"/>
          <w:spacing w:val="-8"/>
          <w:sz w:val="22"/>
          <w:szCs w:val="22"/>
        </w:rPr>
        <w:t>可按上述的格式自行编制，须随表提交相应的证书复印件。</w:t>
      </w:r>
    </w:p>
    <w:p w14:paraId="09253409">
      <w:pPr>
        <w:spacing w:line="360" w:lineRule="auto"/>
        <w:ind w:right="0" w:firstLine="408" w:firstLineChars="200"/>
        <w:rPr>
          <w:rFonts w:hint="eastAsia" w:ascii="宋体" w:hAnsi="宋体" w:eastAsia="宋体" w:cs="宋体"/>
          <w:color w:val="auto"/>
          <w:spacing w:val="-8"/>
          <w:sz w:val="22"/>
          <w:szCs w:val="22"/>
          <w:lang w:val="en-US" w:eastAsia="zh-CN"/>
        </w:rPr>
      </w:pPr>
      <w:r>
        <w:rPr>
          <w:rFonts w:hint="eastAsia" w:ascii="宋体" w:hAnsi="宋体" w:eastAsia="宋体" w:cs="宋体"/>
          <w:color w:val="auto"/>
          <w:spacing w:val="-8"/>
          <w:sz w:val="22"/>
          <w:szCs w:val="22"/>
          <w:lang w:val="en-US" w:eastAsia="zh-CN"/>
        </w:rPr>
        <w:t>2、本项目的小组人员交纳社保记录情况表（以社保局缴纳凭证作附件）。</w:t>
      </w:r>
    </w:p>
    <w:p w14:paraId="57BC4F27">
      <w:pPr>
        <w:pStyle w:val="12"/>
        <w:tabs>
          <w:tab w:val="left" w:pos="6231"/>
          <w:tab w:val="left" w:pos="6711"/>
          <w:tab w:val="left" w:pos="7311"/>
        </w:tabs>
        <w:spacing w:line="360" w:lineRule="auto"/>
        <w:ind w:firstLine="4400" w:firstLineChars="2000"/>
        <w:rPr>
          <w:rFonts w:hint="eastAsia" w:ascii="仿宋" w:hAnsi="仿宋" w:eastAsia="仿宋" w:cs="仿宋"/>
          <w:color w:val="auto"/>
          <w:sz w:val="22"/>
          <w:szCs w:val="22"/>
        </w:rPr>
      </w:pPr>
    </w:p>
    <w:p w14:paraId="7E75154E">
      <w:pPr>
        <w:spacing w:line="360" w:lineRule="auto"/>
        <w:ind w:firstLine="4620" w:firstLineChars="21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lang w:eastAsia="zh-CN"/>
        </w:rPr>
        <w:t>投标人名称</w:t>
      </w:r>
      <w:r>
        <w:rPr>
          <w:rFonts w:hint="eastAsia" w:cs="仿宋_GB2312" w:asciiTheme="minorEastAsia" w:hAnsiTheme="minorEastAsia" w:eastAsiaTheme="minorEastAsia"/>
          <w:color w:val="auto"/>
          <w:sz w:val="22"/>
          <w:szCs w:val="21"/>
        </w:rPr>
        <w:t>（电子签名）：</w:t>
      </w:r>
    </w:p>
    <w:p w14:paraId="75EF3A6A">
      <w:pPr>
        <w:spacing w:line="360" w:lineRule="auto"/>
        <w:ind w:firstLine="4620" w:firstLineChars="2100"/>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日期：  年   月   日</w:t>
      </w:r>
    </w:p>
    <w:p w14:paraId="7E9A4CAF">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0309B038">
      <w:pPr>
        <w:spacing w:line="360" w:lineRule="auto"/>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w:t>
      </w:r>
      <w:r>
        <w:rPr>
          <w:rFonts w:hint="eastAsia" w:cs="宋体"/>
          <w:b/>
          <w:bCs/>
          <w:color w:val="auto"/>
          <w:sz w:val="28"/>
          <w:szCs w:val="28"/>
          <w:lang w:val="en-US" w:eastAsia="zh-CN"/>
        </w:rPr>
        <w:t>12</w:t>
      </w:r>
      <w:r>
        <w:rPr>
          <w:rFonts w:hint="eastAsia" w:ascii="宋体" w:hAnsi="宋体" w:eastAsia="宋体" w:cs="宋体"/>
          <w:b/>
          <w:bCs/>
          <w:color w:val="auto"/>
          <w:sz w:val="28"/>
          <w:szCs w:val="28"/>
          <w:lang w:val="en-US"/>
        </w:rPr>
        <w:t>）政府采购供应商廉洁自律承诺书</w:t>
      </w:r>
    </w:p>
    <w:p w14:paraId="0AEF3506">
      <w:pPr>
        <w:autoSpaceDE w:val="0"/>
        <w:autoSpaceDN w:val="0"/>
        <w:spacing w:line="360" w:lineRule="auto"/>
        <w:jc w:val="left"/>
        <w:rPr>
          <w:rFonts w:cs="仿宋_GB2312" w:asciiTheme="minorEastAsia" w:hAnsiTheme="minorEastAsia" w:eastAsiaTheme="minorEastAsia"/>
          <w:color w:val="auto"/>
          <w:kern w:val="0"/>
          <w:sz w:val="22"/>
          <w:szCs w:val="21"/>
          <w:lang w:val="zh-CN"/>
        </w:rPr>
      </w:pPr>
      <w:r>
        <w:rPr>
          <w:rFonts w:hint="eastAsia" w:cs="仿宋_GB2312" w:asciiTheme="minorEastAsia" w:hAnsiTheme="minorEastAsia" w:eastAsiaTheme="minorEastAsia"/>
          <w:color w:val="auto"/>
          <w:sz w:val="22"/>
          <w:szCs w:val="21"/>
          <w:lang w:val="en-US" w:eastAsia="zh-CN"/>
        </w:rPr>
        <w:t>苍南县民政局</w:t>
      </w:r>
      <w:r>
        <w:rPr>
          <w:rFonts w:hint="eastAsia" w:cs="仿宋_GB2312" w:asciiTheme="minorEastAsia" w:hAnsiTheme="minorEastAsia" w:eastAsiaTheme="minorEastAsia"/>
          <w:color w:val="auto"/>
          <w:kern w:val="0"/>
          <w:sz w:val="22"/>
          <w:szCs w:val="21"/>
          <w:lang w:val="zh-CN"/>
        </w:rPr>
        <w:t>：</w:t>
      </w:r>
    </w:p>
    <w:p w14:paraId="255FD895">
      <w:pPr>
        <w:autoSpaceDE w:val="0"/>
        <w:autoSpaceDN w:val="0"/>
        <w:spacing w:line="360" w:lineRule="auto"/>
        <w:ind w:left="2" w:leftChars="1" w:firstLine="440" w:firstLineChars="200"/>
        <w:jc w:val="left"/>
        <w:rPr>
          <w:rFonts w:cs="仿宋_GB2312" w:asciiTheme="minorEastAsia" w:hAnsiTheme="minorEastAsia" w:eastAsiaTheme="minorEastAsia"/>
          <w:color w:val="auto"/>
          <w:kern w:val="0"/>
          <w:sz w:val="22"/>
          <w:szCs w:val="21"/>
          <w:lang w:val="zh-CN"/>
        </w:rPr>
      </w:pPr>
      <w:r>
        <w:rPr>
          <w:rFonts w:hint="eastAsia" w:cs="仿宋_GB2312" w:asciiTheme="minorEastAsia" w:hAnsiTheme="minorEastAsia" w:eastAsiaTheme="minorEastAsia"/>
          <w:color w:val="auto"/>
          <w:kern w:val="0"/>
          <w:sz w:val="22"/>
          <w:szCs w:val="21"/>
          <w:lang w:val="zh-CN"/>
        </w:rPr>
        <w:t>我单位响应你</w:t>
      </w:r>
      <w:r>
        <w:rPr>
          <w:rFonts w:hint="eastAsia" w:cs="仿宋_GB2312" w:asciiTheme="minorEastAsia" w:hAnsiTheme="minorEastAsia" w:eastAsiaTheme="minorEastAsia"/>
          <w:color w:val="auto"/>
          <w:sz w:val="22"/>
          <w:szCs w:val="21"/>
        </w:rPr>
        <w:t>单位</w:t>
      </w:r>
      <w:r>
        <w:rPr>
          <w:rFonts w:hint="eastAsia" w:cs="仿宋_GB2312" w:asciiTheme="minorEastAsia" w:hAnsiTheme="minorEastAsia" w:eastAsiaTheme="minorEastAsia"/>
          <w:color w:val="auto"/>
          <w:kern w:val="0"/>
          <w:sz w:val="22"/>
          <w:szCs w:val="21"/>
          <w:lang w:val="zh-CN"/>
        </w:rPr>
        <w:t>项目采购要求参加响应。在这次响应过程中和成交后，我们将严格遵守国家法律法规要求，并郑重承诺：</w:t>
      </w:r>
    </w:p>
    <w:p w14:paraId="43BA7399">
      <w:pPr>
        <w:autoSpaceDE w:val="0"/>
        <w:autoSpaceDN w:val="0"/>
        <w:spacing w:line="360" w:lineRule="auto"/>
        <w:ind w:left="2" w:leftChars="1" w:firstLine="440" w:firstLineChars="200"/>
        <w:jc w:val="left"/>
        <w:rPr>
          <w:rFonts w:cs="仿宋_GB2312" w:asciiTheme="minorEastAsia" w:hAnsiTheme="minorEastAsia" w:eastAsiaTheme="minorEastAsia"/>
          <w:color w:val="auto"/>
          <w:kern w:val="0"/>
          <w:sz w:val="22"/>
          <w:szCs w:val="21"/>
          <w:lang w:val="zh-CN"/>
        </w:rPr>
      </w:pPr>
      <w:r>
        <w:rPr>
          <w:rFonts w:hint="eastAsia" w:cs="仿宋_GB2312" w:asciiTheme="minorEastAsia" w:hAnsiTheme="minorEastAsia" w:eastAsiaTheme="minorEastAsia"/>
          <w:color w:val="auto"/>
          <w:kern w:val="0"/>
          <w:sz w:val="22"/>
          <w:szCs w:val="21"/>
          <w:lang w:val="zh-CN"/>
        </w:rPr>
        <w:t xml:space="preserve">一、不向项目有关人员及部门赠送礼金礼物、有价证券、回扣以及中介费、介绍费、咨询费等好处费； </w:t>
      </w:r>
    </w:p>
    <w:p w14:paraId="2AC14265">
      <w:pPr>
        <w:autoSpaceDE w:val="0"/>
        <w:autoSpaceDN w:val="0"/>
        <w:spacing w:line="360" w:lineRule="auto"/>
        <w:ind w:left="2" w:leftChars="1" w:firstLine="440" w:firstLineChars="200"/>
        <w:jc w:val="left"/>
        <w:rPr>
          <w:rFonts w:cs="仿宋_GB2312" w:asciiTheme="minorEastAsia" w:hAnsiTheme="minorEastAsia" w:eastAsiaTheme="minorEastAsia"/>
          <w:color w:val="auto"/>
          <w:kern w:val="0"/>
          <w:sz w:val="22"/>
          <w:szCs w:val="21"/>
          <w:lang w:val="zh-CN"/>
        </w:rPr>
      </w:pPr>
      <w:r>
        <w:rPr>
          <w:rFonts w:hint="eastAsia" w:cs="仿宋_GB2312" w:asciiTheme="minorEastAsia" w:hAnsiTheme="minorEastAsia" w:eastAsiaTheme="minorEastAsia"/>
          <w:color w:val="auto"/>
          <w:kern w:val="0"/>
          <w:sz w:val="22"/>
          <w:szCs w:val="21"/>
          <w:lang w:val="zh-CN"/>
        </w:rPr>
        <w:t xml:space="preserve">二、不为项目有关人员及部门报销应由你方单位或个人支付的费用； </w:t>
      </w:r>
    </w:p>
    <w:p w14:paraId="39D3A820">
      <w:pPr>
        <w:autoSpaceDE w:val="0"/>
        <w:autoSpaceDN w:val="0"/>
        <w:spacing w:line="360" w:lineRule="auto"/>
        <w:ind w:left="2" w:leftChars="1" w:firstLine="440" w:firstLineChars="200"/>
        <w:jc w:val="left"/>
        <w:rPr>
          <w:rFonts w:cs="仿宋_GB2312" w:asciiTheme="minorEastAsia" w:hAnsiTheme="minorEastAsia" w:eastAsiaTheme="minorEastAsia"/>
          <w:color w:val="auto"/>
          <w:kern w:val="0"/>
          <w:sz w:val="22"/>
          <w:szCs w:val="21"/>
          <w:lang w:val="zh-CN"/>
        </w:rPr>
      </w:pPr>
      <w:r>
        <w:rPr>
          <w:rFonts w:hint="eastAsia" w:cs="仿宋_GB2312" w:asciiTheme="minorEastAsia" w:hAnsiTheme="minorEastAsia" w:eastAsiaTheme="minorEastAsia"/>
          <w:color w:val="auto"/>
          <w:kern w:val="0"/>
          <w:sz w:val="22"/>
          <w:szCs w:val="21"/>
          <w:lang w:val="zh-CN"/>
        </w:rPr>
        <w:t xml:space="preserve">三、不向项目有关人员及部门提供有可能影响公正的宴请和健身娱乐等活动； </w:t>
      </w:r>
    </w:p>
    <w:p w14:paraId="2C1A5317">
      <w:pPr>
        <w:autoSpaceDE w:val="0"/>
        <w:autoSpaceDN w:val="0"/>
        <w:spacing w:line="360" w:lineRule="auto"/>
        <w:ind w:left="2" w:leftChars="1" w:firstLine="440" w:firstLineChars="200"/>
        <w:jc w:val="left"/>
        <w:rPr>
          <w:rFonts w:cs="仿宋_GB2312" w:asciiTheme="minorEastAsia" w:hAnsiTheme="minorEastAsia" w:eastAsiaTheme="minorEastAsia"/>
          <w:color w:val="auto"/>
          <w:kern w:val="0"/>
          <w:sz w:val="22"/>
          <w:szCs w:val="21"/>
          <w:lang w:val="zh-CN"/>
        </w:rPr>
      </w:pPr>
      <w:r>
        <w:rPr>
          <w:rFonts w:hint="eastAsia" w:cs="仿宋_GB2312" w:asciiTheme="minorEastAsia" w:hAnsiTheme="minorEastAsia" w:eastAsiaTheme="minorEastAsia"/>
          <w:color w:val="auto"/>
          <w:kern w:val="0"/>
          <w:sz w:val="22"/>
          <w:szCs w:val="21"/>
          <w:lang w:val="zh-CN"/>
        </w:rPr>
        <w:t>四、不为项目有关人员及部门出国（境）、旅游等提供方便；</w:t>
      </w:r>
    </w:p>
    <w:p w14:paraId="5BFC5BDF">
      <w:pPr>
        <w:autoSpaceDE w:val="0"/>
        <w:autoSpaceDN w:val="0"/>
        <w:spacing w:line="360" w:lineRule="auto"/>
        <w:ind w:left="504" w:leftChars="229"/>
        <w:jc w:val="left"/>
        <w:rPr>
          <w:rFonts w:cs="仿宋_GB2312" w:asciiTheme="minorEastAsia" w:hAnsiTheme="minorEastAsia" w:eastAsiaTheme="minorEastAsia"/>
          <w:color w:val="auto"/>
          <w:kern w:val="0"/>
          <w:sz w:val="22"/>
          <w:szCs w:val="21"/>
          <w:lang w:val="zh-CN"/>
        </w:rPr>
      </w:pPr>
      <w:r>
        <w:rPr>
          <w:rFonts w:hint="eastAsia" w:cs="仿宋_GB2312" w:asciiTheme="minorEastAsia" w:hAnsiTheme="minorEastAsia" w:eastAsiaTheme="minorEastAsia"/>
          <w:color w:val="auto"/>
          <w:kern w:val="0"/>
          <w:sz w:val="22"/>
          <w:szCs w:val="21"/>
          <w:lang w:val="zh-CN"/>
        </w:rPr>
        <w:t>五、不为项目有关人员个人装修住房、婚丧嫁娶、配偶子女工作安排等提供</w:t>
      </w:r>
    </w:p>
    <w:p w14:paraId="56CFA7BD">
      <w:pPr>
        <w:autoSpaceDE w:val="0"/>
        <w:autoSpaceDN w:val="0"/>
        <w:spacing w:line="360" w:lineRule="auto"/>
        <w:jc w:val="left"/>
        <w:rPr>
          <w:rFonts w:cs="仿宋_GB2312" w:asciiTheme="minorEastAsia" w:hAnsiTheme="minorEastAsia" w:eastAsiaTheme="minorEastAsia"/>
          <w:color w:val="auto"/>
          <w:kern w:val="0"/>
          <w:sz w:val="22"/>
          <w:szCs w:val="21"/>
          <w:lang w:val="zh-CN"/>
        </w:rPr>
      </w:pPr>
      <w:r>
        <w:rPr>
          <w:rFonts w:hint="eastAsia" w:cs="仿宋_GB2312" w:asciiTheme="minorEastAsia" w:hAnsiTheme="minorEastAsia" w:eastAsiaTheme="minorEastAsia"/>
          <w:color w:val="auto"/>
          <w:kern w:val="0"/>
          <w:sz w:val="22"/>
          <w:szCs w:val="21"/>
          <w:lang w:val="zh-CN"/>
        </w:rPr>
        <w:t>好处；</w:t>
      </w:r>
    </w:p>
    <w:p w14:paraId="0D6E681D">
      <w:pPr>
        <w:autoSpaceDE w:val="0"/>
        <w:autoSpaceDN w:val="0"/>
        <w:spacing w:line="360" w:lineRule="auto"/>
        <w:ind w:left="2" w:leftChars="1" w:firstLine="440" w:firstLineChars="200"/>
        <w:jc w:val="left"/>
        <w:rPr>
          <w:rFonts w:cs="仿宋_GB2312" w:asciiTheme="minorEastAsia" w:hAnsiTheme="minorEastAsia" w:eastAsiaTheme="minorEastAsia"/>
          <w:color w:val="auto"/>
          <w:kern w:val="0"/>
          <w:sz w:val="22"/>
          <w:szCs w:val="21"/>
          <w:lang w:val="zh-CN"/>
        </w:rPr>
      </w:pPr>
      <w:r>
        <w:rPr>
          <w:rFonts w:hint="eastAsia" w:cs="仿宋_GB2312" w:asciiTheme="minorEastAsia" w:hAnsiTheme="minorEastAsia" w:eastAsiaTheme="minorEastAsia"/>
          <w:color w:val="auto"/>
          <w:kern w:val="0"/>
          <w:sz w:val="22"/>
          <w:szCs w:val="21"/>
          <w:lang w:val="zh-CN"/>
        </w:rPr>
        <w:t>六、严格遵守《中华人民共和国政府采购法》《中华人民共和国招标投标法》《中华人民共和国民法典》等法律法规，诚实守信，合法经营，坚决抵制各种违法违纪行为。</w:t>
      </w:r>
    </w:p>
    <w:p w14:paraId="4600B56F">
      <w:pPr>
        <w:autoSpaceDE w:val="0"/>
        <w:autoSpaceDN w:val="0"/>
        <w:spacing w:line="360" w:lineRule="auto"/>
        <w:ind w:firstLine="440" w:firstLineChars="200"/>
        <w:jc w:val="left"/>
        <w:rPr>
          <w:rFonts w:cs="仿宋_GB2312" w:asciiTheme="minorEastAsia" w:hAnsiTheme="minorEastAsia" w:eastAsiaTheme="minorEastAsia"/>
          <w:color w:val="auto"/>
          <w:kern w:val="0"/>
          <w:sz w:val="22"/>
          <w:szCs w:val="21"/>
          <w:lang w:val="zh-CN"/>
        </w:rPr>
      </w:pPr>
      <w:r>
        <w:rPr>
          <w:rFonts w:hint="eastAsia" w:cs="仿宋_GB2312" w:asciiTheme="minorEastAsia" w:hAnsiTheme="minorEastAsia" w:eastAsiaTheme="minorEastAsia"/>
          <w:color w:val="auto"/>
          <w:kern w:val="0"/>
          <w:sz w:val="22"/>
          <w:szCs w:val="21"/>
          <w:lang w:val="zh-CN"/>
        </w:rPr>
        <w:t>如违反上述承诺，你</w:t>
      </w:r>
      <w:r>
        <w:rPr>
          <w:rFonts w:hint="eastAsia" w:cs="仿宋_GB2312" w:asciiTheme="minorEastAsia" w:hAnsiTheme="minorEastAsia" w:eastAsiaTheme="minorEastAsia"/>
          <w:color w:val="auto"/>
          <w:sz w:val="22"/>
          <w:szCs w:val="21"/>
        </w:rPr>
        <w:t>单位</w:t>
      </w:r>
      <w:r>
        <w:rPr>
          <w:rFonts w:hint="eastAsia" w:cs="仿宋_GB2312" w:asciiTheme="minorEastAsia" w:hAnsiTheme="minorEastAsia" w:eastAsiaTheme="minorEastAsia"/>
          <w:color w:val="auto"/>
          <w:kern w:val="0"/>
          <w:sz w:val="22"/>
          <w:szCs w:val="21"/>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2"/>
          <w:szCs w:val="21"/>
        </w:rPr>
        <w:t>单位</w:t>
      </w:r>
      <w:r>
        <w:rPr>
          <w:rFonts w:hint="eastAsia" w:cs="仿宋_GB2312" w:asciiTheme="minorEastAsia" w:hAnsiTheme="minorEastAsia" w:eastAsiaTheme="minorEastAsia"/>
          <w:color w:val="auto"/>
          <w:kern w:val="0"/>
          <w:sz w:val="22"/>
          <w:szCs w:val="21"/>
          <w:lang w:val="zh-CN"/>
        </w:rPr>
        <w:t>进行项目建设或其他经营活动，并通报</w:t>
      </w:r>
      <w:r>
        <w:rPr>
          <w:rFonts w:hint="eastAsia" w:cs="仿宋_GB2312" w:asciiTheme="minorEastAsia" w:hAnsiTheme="minorEastAsia" w:eastAsiaTheme="minorEastAsia"/>
          <w:color w:val="auto"/>
          <w:kern w:val="0"/>
          <w:sz w:val="22"/>
          <w:szCs w:val="21"/>
          <w:lang w:val="en-US" w:eastAsia="zh-CN"/>
        </w:rPr>
        <w:t>县</w:t>
      </w:r>
      <w:r>
        <w:rPr>
          <w:rFonts w:hint="eastAsia" w:cs="仿宋_GB2312" w:asciiTheme="minorEastAsia" w:hAnsiTheme="minorEastAsia" w:eastAsiaTheme="minorEastAsia"/>
          <w:color w:val="auto"/>
          <w:kern w:val="0"/>
          <w:sz w:val="22"/>
          <w:szCs w:val="21"/>
          <w:lang w:val="zh-CN"/>
        </w:rPr>
        <w:t>财政局。由此引起的相应损失均由我单位承担。</w:t>
      </w:r>
    </w:p>
    <w:p w14:paraId="3E39C311">
      <w:pPr>
        <w:autoSpaceDE w:val="0"/>
        <w:autoSpaceDN w:val="0"/>
        <w:spacing w:line="360" w:lineRule="auto"/>
        <w:ind w:left="2"/>
        <w:jc w:val="left"/>
        <w:rPr>
          <w:rFonts w:cs="仿宋_GB2312" w:asciiTheme="minorEastAsia" w:hAnsiTheme="minorEastAsia" w:eastAsiaTheme="minorEastAsia"/>
          <w:color w:val="auto"/>
          <w:kern w:val="0"/>
          <w:sz w:val="22"/>
          <w:szCs w:val="21"/>
          <w:lang w:val="zh-CN"/>
        </w:rPr>
      </w:pPr>
    </w:p>
    <w:p w14:paraId="5B3E9426">
      <w:pPr>
        <w:autoSpaceDE w:val="0"/>
        <w:autoSpaceDN w:val="0"/>
        <w:spacing w:line="360" w:lineRule="auto"/>
        <w:ind w:left="2"/>
        <w:jc w:val="left"/>
        <w:rPr>
          <w:rFonts w:cs="仿宋_GB2312" w:asciiTheme="minorEastAsia" w:hAnsiTheme="minorEastAsia" w:eastAsiaTheme="minorEastAsia"/>
          <w:color w:val="auto"/>
          <w:kern w:val="0"/>
          <w:sz w:val="22"/>
          <w:szCs w:val="21"/>
          <w:lang w:val="zh-CN"/>
        </w:rPr>
      </w:pPr>
    </w:p>
    <w:p w14:paraId="27CB5D14">
      <w:pPr>
        <w:pStyle w:val="12"/>
        <w:tabs>
          <w:tab w:val="left" w:pos="6231"/>
          <w:tab w:val="left" w:pos="6711"/>
          <w:tab w:val="left" w:pos="7311"/>
        </w:tabs>
        <w:spacing w:line="360" w:lineRule="auto"/>
        <w:ind w:firstLine="4400" w:firstLineChars="2000"/>
        <w:rPr>
          <w:rFonts w:hint="eastAsia" w:ascii="仿宋" w:hAnsi="仿宋" w:eastAsia="仿宋" w:cs="仿宋"/>
          <w:color w:val="auto"/>
          <w:sz w:val="22"/>
          <w:szCs w:val="22"/>
        </w:rPr>
      </w:pPr>
    </w:p>
    <w:p w14:paraId="55BF3A4C">
      <w:pPr>
        <w:spacing w:line="360" w:lineRule="auto"/>
        <w:ind w:firstLine="4620" w:firstLineChars="21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lang w:eastAsia="zh-CN"/>
        </w:rPr>
        <w:t>投标人名称</w:t>
      </w:r>
      <w:r>
        <w:rPr>
          <w:rFonts w:hint="eastAsia" w:cs="仿宋_GB2312" w:asciiTheme="minorEastAsia" w:hAnsiTheme="minorEastAsia" w:eastAsiaTheme="minorEastAsia"/>
          <w:color w:val="auto"/>
          <w:sz w:val="22"/>
          <w:szCs w:val="21"/>
        </w:rPr>
        <w:t>（电子签名）：</w:t>
      </w:r>
    </w:p>
    <w:p w14:paraId="709CEC93">
      <w:pPr>
        <w:spacing w:line="360" w:lineRule="auto"/>
        <w:ind w:firstLine="4620" w:firstLineChars="2100"/>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日期：  年   月   日</w:t>
      </w:r>
    </w:p>
    <w:p w14:paraId="0FF07E4A">
      <w:pPr>
        <w:rPr>
          <w:rFonts w:hint="eastAsia" w:ascii="宋体" w:hAnsi="宋体" w:eastAsia="宋体" w:cs="宋体"/>
          <w:color w:val="auto"/>
          <w:sz w:val="18"/>
          <w:szCs w:val="21"/>
        </w:rPr>
      </w:pPr>
      <w:r>
        <w:rPr>
          <w:rFonts w:hint="eastAsia" w:ascii="宋体" w:hAnsi="宋体" w:eastAsia="宋体" w:cs="宋体"/>
          <w:color w:val="auto"/>
          <w:sz w:val="18"/>
          <w:szCs w:val="21"/>
        </w:rPr>
        <w:br w:type="page"/>
      </w:r>
    </w:p>
    <w:p w14:paraId="79B8F964">
      <w:pPr>
        <w:rPr>
          <w:rFonts w:hint="eastAsia" w:ascii="宋体" w:hAnsi="宋体" w:eastAsia="宋体" w:cs="宋体"/>
          <w:color w:val="auto"/>
          <w:sz w:val="21"/>
          <w:szCs w:val="21"/>
        </w:rPr>
      </w:pPr>
      <w:r>
        <w:rPr>
          <w:rFonts w:hint="eastAsia" w:ascii="宋体" w:hAnsi="宋体" w:eastAsia="宋体" w:cs="宋体"/>
          <w:color w:val="auto"/>
          <w:sz w:val="24"/>
          <w:szCs w:val="24"/>
        </w:rPr>
        <w:t>封面格式（</w:t>
      </w:r>
      <w:r>
        <w:rPr>
          <w:rFonts w:hint="eastAsia" w:ascii="宋体" w:hAnsi="宋体" w:eastAsia="宋体" w:cs="宋体"/>
          <w:color w:val="auto"/>
          <w:sz w:val="24"/>
          <w:szCs w:val="24"/>
          <w:lang w:val="en-US"/>
        </w:rPr>
        <w:t>参考</w:t>
      </w:r>
      <w:r>
        <w:rPr>
          <w:rFonts w:hint="eastAsia" w:ascii="宋体" w:hAnsi="宋体" w:eastAsia="宋体" w:cs="宋体"/>
          <w:color w:val="auto"/>
          <w:sz w:val="24"/>
          <w:szCs w:val="24"/>
        </w:rPr>
        <w:t>）</w:t>
      </w:r>
    </w:p>
    <w:p w14:paraId="6246A38F">
      <w:pPr>
        <w:pStyle w:val="12"/>
        <w:rPr>
          <w:rFonts w:hint="eastAsia" w:ascii="宋体" w:hAnsi="宋体" w:eastAsia="宋体" w:cs="宋体"/>
          <w:color w:val="auto"/>
          <w:sz w:val="18"/>
          <w:szCs w:val="22"/>
        </w:rPr>
      </w:pPr>
    </w:p>
    <w:p w14:paraId="4C8C6055">
      <w:pPr>
        <w:pStyle w:val="12"/>
        <w:rPr>
          <w:rFonts w:hint="eastAsia" w:ascii="宋体" w:hAnsi="宋体" w:eastAsia="宋体" w:cs="宋体"/>
          <w:color w:val="auto"/>
          <w:sz w:val="18"/>
          <w:szCs w:val="22"/>
        </w:rPr>
      </w:pPr>
    </w:p>
    <w:p w14:paraId="1F9088B5">
      <w:pPr>
        <w:pStyle w:val="12"/>
        <w:rPr>
          <w:rFonts w:hint="eastAsia" w:ascii="宋体" w:hAnsi="宋体" w:eastAsia="宋体" w:cs="宋体"/>
          <w:color w:val="auto"/>
          <w:sz w:val="18"/>
          <w:szCs w:val="22"/>
        </w:rPr>
      </w:pPr>
    </w:p>
    <w:p w14:paraId="17BB300A">
      <w:pPr>
        <w:jc w:val="center"/>
        <w:rPr>
          <w:rFonts w:hint="eastAsia" w:ascii="宋体" w:hAnsi="宋体" w:eastAsia="宋体" w:cs="宋体"/>
          <w:color w:val="auto"/>
          <w:sz w:val="40"/>
          <w:szCs w:val="18"/>
          <w:lang w:eastAsia="zh-CN"/>
        </w:rPr>
      </w:pPr>
      <w:r>
        <w:rPr>
          <w:rFonts w:hint="eastAsia" w:cs="宋体"/>
          <w:color w:val="auto"/>
          <w:sz w:val="40"/>
          <w:szCs w:val="18"/>
          <w:lang w:eastAsia="zh-CN"/>
        </w:rPr>
        <w:t>苍南县居家和社区基本养老服务提升行动项目</w:t>
      </w:r>
    </w:p>
    <w:p w14:paraId="027E0A4F">
      <w:pPr>
        <w:pStyle w:val="12"/>
        <w:spacing w:before="3"/>
        <w:rPr>
          <w:rFonts w:hint="eastAsia" w:ascii="宋体" w:hAnsi="宋体" w:eastAsia="宋体" w:cs="宋体"/>
          <w:color w:val="auto"/>
          <w:sz w:val="40"/>
          <w:szCs w:val="22"/>
        </w:rPr>
      </w:pPr>
    </w:p>
    <w:p w14:paraId="66D2DBAD">
      <w:pPr>
        <w:ind w:left="1222" w:right="1134"/>
        <w:jc w:val="center"/>
        <w:rPr>
          <w:rFonts w:hint="eastAsia" w:ascii="宋体" w:hAnsi="宋体" w:eastAsia="宋体" w:cs="宋体"/>
          <w:color w:val="auto"/>
          <w:sz w:val="32"/>
          <w:szCs w:val="21"/>
          <w:lang w:val="en-US" w:eastAsia="zh-CN"/>
        </w:rPr>
      </w:pPr>
      <w:r>
        <w:rPr>
          <w:rFonts w:hint="eastAsia" w:ascii="宋体" w:hAnsi="宋体" w:eastAsia="宋体" w:cs="宋体"/>
          <w:color w:val="auto"/>
          <w:sz w:val="32"/>
          <w:szCs w:val="21"/>
        </w:rPr>
        <w:t>项目编号：</w:t>
      </w:r>
      <w:r>
        <w:rPr>
          <w:rFonts w:hint="eastAsia" w:cs="宋体"/>
          <w:color w:val="auto"/>
          <w:sz w:val="32"/>
          <w:szCs w:val="21"/>
          <w:lang w:val="en-US" w:eastAsia="zh-CN"/>
        </w:rPr>
        <w:t>CNDL2024207</w:t>
      </w:r>
    </w:p>
    <w:p w14:paraId="4788BEF6">
      <w:pPr>
        <w:pStyle w:val="12"/>
        <w:rPr>
          <w:rFonts w:hint="eastAsia" w:ascii="宋体" w:hAnsi="宋体" w:eastAsia="宋体" w:cs="宋体"/>
          <w:color w:val="auto"/>
          <w:sz w:val="32"/>
          <w:szCs w:val="22"/>
        </w:rPr>
      </w:pPr>
    </w:p>
    <w:p w14:paraId="6626ABBC">
      <w:pPr>
        <w:pStyle w:val="12"/>
        <w:rPr>
          <w:rFonts w:hint="eastAsia" w:ascii="宋体" w:hAnsi="宋体" w:eastAsia="宋体" w:cs="宋体"/>
          <w:color w:val="auto"/>
          <w:sz w:val="32"/>
          <w:szCs w:val="22"/>
        </w:rPr>
      </w:pPr>
    </w:p>
    <w:p w14:paraId="4EDB18C8">
      <w:pPr>
        <w:pStyle w:val="12"/>
        <w:rPr>
          <w:rFonts w:hint="eastAsia" w:ascii="宋体" w:hAnsi="宋体" w:eastAsia="宋体" w:cs="宋体"/>
          <w:color w:val="auto"/>
          <w:sz w:val="32"/>
          <w:szCs w:val="22"/>
        </w:rPr>
      </w:pPr>
    </w:p>
    <w:p w14:paraId="3CF0FBE4">
      <w:pPr>
        <w:pStyle w:val="12"/>
        <w:spacing w:before="4"/>
        <w:rPr>
          <w:rFonts w:hint="eastAsia" w:ascii="宋体" w:hAnsi="宋体" w:eastAsia="宋体" w:cs="宋体"/>
          <w:color w:val="auto"/>
          <w:sz w:val="24"/>
          <w:szCs w:val="22"/>
        </w:rPr>
      </w:pPr>
    </w:p>
    <w:p w14:paraId="7D497A39">
      <w:pPr>
        <w:spacing w:line="460" w:lineRule="auto"/>
        <w:ind w:left="4764" w:right="4758"/>
        <w:jc w:val="both"/>
        <w:rPr>
          <w:rFonts w:hint="eastAsia" w:ascii="宋体" w:hAnsi="宋体" w:eastAsia="宋体" w:cs="宋体"/>
          <w:b/>
          <w:color w:val="auto"/>
          <w:sz w:val="48"/>
          <w:szCs w:val="21"/>
        </w:rPr>
      </w:pPr>
      <w:r>
        <w:rPr>
          <w:rFonts w:hint="eastAsia" w:ascii="宋体" w:hAnsi="宋体" w:eastAsia="宋体" w:cs="宋体"/>
          <w:b/>
          <w:color w:val="auto"/>
          <w:sz w:val="48"/>
          <w:szCs w:val="21"/>
        </w:rPr>
        <w:t>报价文件</w:t>
      </w:r>
    </w:p>
    <w:p w14:paraId="3E1B82D4">
      <w:pPr>
        <w:pStyle w:val="12"/>
        <w:spacing w:before="11"/>
        <w:rPr>
          <w:rFonts w:hint="eastAsia" w:ascii="宋体" w:hAnsi="宋体" w:eastAsia="宋体" w:cs="宋体"/>
          <w:b/>
          <w:color w:val="auto"/>
          <w:sz w:val="56"/>
          <w:szCs w:val="22"/>
        </w:rPr>
      </w:pPr>
    </w:p>
    <w:p w14:paraId="6D864A36">
      <w:pPr>
        <w:spacing w:line="360" w:lineRule="auto"/>
        <w:ind w:firstLine="1200" w:firstLineChars="500"/>
        <w:rPr>
          <w:rFonts w:hint="eastAsia" w:ascii="宋体" w:hAnsi="宋体" w:eastAsia="宋体" w:cs="宋体"/>
          <w:color w:val="auto"/>
          <w:sz w:val="24"/>
          <w:szCs w:val="18"/>
        </w:rPr>
      </w:pPr>
      <w:r>
        <w:rPr>
          <w:rFonts w:hint="eastAsia" w:ascii="宋体" w:hAnsi="宋体" w:eastAsia="宋体" w:cs="宋体"/>
          <w:color w:val="auto"/>
          <w:sz w:val="24"/>
          <w:szCs w:val="18"/>
        </w:rPr>
        <w:t>采购</w:t>
      </w:r>
      <w:r>
        <w:rPr>
          <w:rFonts w:hint="eastAsia" w:ascii="宋体" w:hAnsi="宋体" w:eastAsia="宋体" w:cs="宋体"/>
          <w:color w:val="auto"/>
          <w:sz w:val="24"/>
          <w:szCs w:val="18"/>
          <w:lang w:val="en-US" w:eastAsia="zh-CN"/>
        </w:rPr>
        <w:t>人名</w:t>
      </w:r>
      <w:r>
        <w:rPr>
          <w:rFonts w:hint="eastAsia" w:ascii="宋体" w:hAnsi="宋体" w:eastAsia="宋体" w:cs="宋体"/>
          <w:color w:val="auto"/>
          <w:sz w:val="24"/>
          <w:szCs w:val="18"/>
        </w:rPr>
        <w:t>称：</w:t>
      </w:r>
    </w:p>
    <w:p w14:paraId="64EB8E7B">
      <w:pPr>
        <w:tabs>
          <w:tab w:val="left" w:pos="2391"/>
        </w:tabs>
        <w:spacing w:line="360" w:lineRule="auto"/>
        <w:ind w:firstLine="1110" w:firstLineChars="500"/>
        <w:rPr>
          <w:rFonts w:hint="eastAsia" w:ascii="宋体" w:hAnsi="宋体" w:eastAsia="宋体" w:cs="宋体"/>
          <w:color w:val="auto"/>
          <w:spacing w:val="-9"/>
          <w:sz w:val="24"/>
          <w:szCs w:val="18"/>
        </w:rPr>
      </w:pPr>
      <w:r>
        <w:rPr>
          <w:rFonts w:hint="eastAsia" w:cs="宋体"/>
          <w:color w:val="auto"/>
          <w:spacing w:val="-9"/>
          <w:sz w:val="24"/>
          <w:szCs w:val="18"/>
          <w:lang w:eastAsia="zh-CN"/>
        </w:rPr>
        <w:t>投标人名称</w:t>
      </w:r>
      <w:r>
        <w:rPr>
          <w:rFonts w:hint="eastAsia" w:ascii="宋体" w:hAnsi="宋体" w:eastAsia="宋体" w:cs="宋体"/>
          <w:color w:val="auto"/>
          <w:spacing w:val="-9"/>
          <w:sz w:val="24"/>
          <w:szCs w:val="18"/>
        </w:rPr>
        <w:t>（电子签名）：</w:t>
      </w:r>
    </w:p>
    <w:p w14:paraId="28A600FE">
      <w:pPr>
        <w:tabs>
          <w:tab w:val="left" w:pos="2391"/>
        </w:tabs>
        <w:spacing w:line="360" w:lineRule="auto"/>
        <w:ind w:firstLine="1200" w:firstLineChars="500"/>
        <w:rPr>
          <w:rFonts w:hint="eastAsia" w:ascii="宋体" w:hAnsi="宋体" w:eastAsia="宋体" w:cs="宋体"/>
          <w:color w:val="auto"/>
          <w:sz w:val="24"/>
          <w:szCs w:val="18"/>
        </w:rPr>
      </w:pPr>
      <w:r>
        <w:rPr>
          <w:rFonts w:hint="eastAsia" w:ascii="宋体" w:hAnsi="宋体" w:eastAsia="宋体" w:cs="宋体"/>
          <w:color w:val="auto"/>
          <w:sz w:val="24"/>
          <w:szCs w:val="18"/>
        </w:rPr>
        <w:t>地</w:t>
      </w:r>
      <w:r>
        <w:rPr>
          <w:rFonts w:hint="eastAsia" w:ascii="宋体" w:hAnsi="宋体" w:eastAsia="宋体" w:cs="宋体"/>
          <w:color w:val="auto"/>
          <w:sz w:val="24"/>
          <w:szCs w:val="18"/>
          <w:lang w:val="en-US"/>
        </w:rPr>
        <w:t xml:space="preserve">    </w:t>
      </w:r>
      <w:r>
        <w:rPr>
          <w:rFonts w:hint="eastAsia" w:ascii="宋体" w:hAnsi="宋体" w:eastAsia="宋体" w:cs="宋体"/>
          <w:color w:val="auto"/>
          <w:sz w:val="24"/>
          <w:szCs w:val="18"/>
        </w:rPr>
        <w:t>址：</w:t>
      </w:r>
    </w:p>
    <w:p w14:paraId="3F5CF64A">
      <w:pPr>
        <w:tabs>
          <w:tab w:val="left" w:pos="2391"/>
        </w:tabs>
        <w:spacing w:line="360" w:lineRule="auto"/>
        <w:ind w:firstLine="1200" w:firstLineChars="500"/>
        <w:rPr>
          <w:rFonts w:hint="eastAsia" w:ascii="宋体" w:hAnsi="宋体" w:eastAsia="宋体" w:cs="宋体"/>
          <w:color w:val="auto"/>
          <w:sz w:val="24"/>
          <w:szCs w:val="18"/>
        </w:rPr>
      </w:pPr>
      <w:r>
        <w:rPr>
          <w:rFonts w:hint="eastAsia" w:ascii="宋体" w:hAnsi="宋体" w:eastAsia="宋体" w:cs="宋体"/>
          <w:color w:val="auto"/>
          <w:sz w:val="24"/>
          <w:szCs w:val="18"/>
        </w:rPr>
        <w:t>时</w:t>
      </w:r>
      <w:r>
        <w:rPr>
          <w:rFonts w:hint="eastAsia" w:ascii="宋体" w:hAnsi="宋体" w:eastAsia="宋体" w:cs="宋体"/>
          <w:color w:val="auto"/>
          <w:sz w:val="24"/>
          <w:szCs w:val="18"/>
          <w:lang w:val="en-US"/>
        </w:rPr>
        <w:t xml:space="preserve">    </w:t>
      </w:r>
      <w:r>
        <w:rPr>
          <w:rFonts w:hint="eastAsia" w:ascii="宋体" w:hAnsi="宋体" w:eastAsia="宋体" w:cs="宋体"/>
          <w:color w:val="auto"/>
          <w:sz w:val="24"/>
          <w:szCs w:val="18"/>
        </w:rPr>
        <w:t>间：</w:t>
      </w:r>
    </w:p>
    <w:p w14:paraId="72D78230">
      <w:pPr>
        <w:rPr>
          <w:rFonts w:hint="eastAsia" w:ascii="宋体" w:hAnsi="宋体" w:eastAsia="宋体" w:cs="宋体"/>
          <w:color w:val="auto"/>
          <w:sz w:val="24"/>
          <w:szCs w:val="18"/>
        </w:rPr>
      </w:pPr>
      <w:r>
        <w:rPr>
          <w:rFonts w:hint="eastAsia" w:ascii="宋体" w:hAnsi="宋体" w:eastAsia="宋体" w:cs="宋体"/>
          <w:color w:val="auto"/>
          <w:sz w:val="24"/>
          <w:szCs w:val="18"/>
        </w:rPr>
        <w:br w:type="page"/>
      </w:r>
    </w:p>
    <w:p w14:paraId="47739A6C">
      <w:pPr>
        <w:pStyle w:val="12"/>
        <w:spacing w:line="360" w:lineRule="auto"/>
        <w:ind w:firstLine="440" w:firstLineChars="200"/>
        <w:rPr>
          <w:rFonts w:hint="eastAsia" w:ascii="宋体" w:hAnsi="宋体" w:eastAsia="宋体" w:cs="宋体"/>
          <w:color w:val="auto"/>
          <w:sz w:val="22"/>
          <w:szCs w:val="22"/>
        </w:rPr>
      </w:pPr>
    </w:p>
    <w:p w14:paraId="61976317">
      <w:pPr>
        <w:pStyle w:val="12"/>
        <w:spacing w:line="360" w:lineRule="auto"/>
        <w:ind w:firstLine="440" w:firstLineChars="200"/>
        <w:rPr>
          <w:rFonts w:hint="eastAsia" w:ascii="宋体" w:hAnsi="宋体" w:eastAsia="宋体" w:cs="宋体"/>
          <w:color w:val="auto"/>
          <w:sz w:val="22"/>
          <w:szCs w:val="22"/>
        </w:rPr>
      </w:pPr>
    </w:p>
    <w:p w14:paraId="3B9AB376">
      <w:pPr>
        <w:pStyle w:val="12"/>
        <w:spacing w:line="360" w:lineRule="auto"/>
        <w:ind w:firstLine="440" w:firstLineChars="200"/>
        <w:rPr>
          <w:rFonts w:hint="eastAsia" w:ascii="宋体" w:hAnsi="宋体" w:eastAsia="宋体" w:cs="宋体"/>
          <w:color w:val="auto"/>
          <w:sz w:val="22"/>
          <w:szCs w:val="22"/>
        </w:rPr>
      </w:pPr>
    </w:p>
    <w:p w14:paraId="7B30EC4B">
      <w:pPr>
        <w:pStyle w:val="12"/>
        <w:spacing w:line="360" w:lineRule="auto"/>
        <w:ind w:firstLine="482" w:firstLineChars="200"/>
        <w:rPr>
          <w:rFonts w:hint="eastAsia" w:ascii="宋体" w:hAnsi="宋体" w:eastAsia="宋体" w:cs="宋体"/>
          <w:color w:val="auto"/>
          <w:sz w:val="22"/>
          <w:szCs w:val="22"/>
          <w:lang w:val="en-US"/>
        </w:rPr>
      </w:pPr>
      <w:r>
        <w:rPr>
          <w:rFonts w:hint="eastAsia" w:ascii="宋体" w:hAnsi="宋体" w:eastAsia="宋体" w:cs="宋体"/>
          <w:b/>
          <w:bCs/>
          <w:color w:val="auto"/>
          <w:sz w:val="24"/>
          <w:szCs w:val="24"/>
        </w:rPr>
        <w:t>▲报价文件</w:t>
      </w:r>
      <w:r>
        <w:rPr>
          <w:rFonts w:hint="eastAsia" w:ascii="宋体" w:hAnsi="宋体" w:eastAsia="宋体" w:cs="宋体"/>
          <w:b/>
          <w:bCs/>
          <w:color w:val="auto"/>
          <w:sz w:val="24"/>
          <w:szCs w:val="24"/>
          <w:lang w:val="en-US"/>
        </w:rPr>
        <w:t>组成内容：</w:t>
      </w:r>
    </w:p>
    <w:p w14:paraId="61B273A2">
      <w:pPr>
        <w:pStyle w:val="38"/>
        <w:tabs>
          <w:tab w:val="left" w:pos="1673"/>
        </w:tabs>
        <w:spacing w:line="360" w:lineRule="auto"/>
        <w:ind w:left="0" w:firstLineChars="200"/>
        <w:rPr>
          <w:rFonts w:hint="eastAsia" w:ascii="宋体" w:hAnsi="宋体" w:eastAsia="宋体" w:cs="宋体"/>
          <w:color w:val="auto"/>
          <w:sz w:val="22"/>
          <w:szCs w:val="21"/>
        </w:rPr>
      </w:pPr>
      <w:r>
        <w:rPr>
          <w:rFonts w:hint="eastAsia" w:ascii="宋体" w:hAnsi="宋体" w:eastAsia="宋体" w:cs="宋体"/>
          <w:color w:val="auto"/>
          <w:sz w:val="22"/>
          <w:szCs w:val="21"/>
          <w:lang w:eastAsia="zh-CN"/>
        </w:rPr>
        <w:t>（</w:t>
      </w:r>
      <w:r>
        <w:rPr>
          <w:rFonts w:hint="eastAsia" w:ascii="宋体" w:hAnsi="宋体" w:eastAsia="宋体" w:cs="宋体"/>
          <w:color w:val="auto"/>
          <w:sz w:val="22"/>
          <w:szCs w:val="21"/>
          <w:lang w:val="en-US" w:eastAsia="zh-CN"/>
        </w:rPr>
        <w:t>1</w:t>
      </w:r>
      <w:r>
        <w:rPr>
          <w:rFonts w:hint="eastAsia" w:ascii="宋体" w:hAnsi="宋体" w:eastAsia="宋体" w:cs="宋体"/>
          <w:color w:val="auto"/>
          <w:sz w:val="22"/>
          <w:szCs w:val="21"/>
          <w:lang w:eastAsia="zh-CN"/>
        </w:rPr>
        <w:t>）</w:t>
      </w:r>
      <w:r>
        <w:rPr>
          <w:rFonts w:hint="eastAsia" w:cs="宋体"/>
          <w:color w:val="auto"/>
          <w:sz w:val="22"/>
          <w:szCs w:val="21"/>
          <w:lang w:val="en-US" w:eastAsia="zh-CN"/>
        </w:rPr>
        <w:t>开标</w:t>
      </w:r>
      <w:r>
        <w:rPr>
          <w:rFonts w:hint="eastAsia" w:ascii="宋体" w:hAnsi="宋体" w:eastAsia="宋体" w:cs="宋体"/>
          <w:color w:val="auto"/>
          <w:sz w:val="22"/>
          <w:szCs w:val="21"/>
        </w:rPr>
        <w:t>一览表；</w:t>
      </w:r>
    </w:p>
    <w:p w14:paraId="3EAC512C">
      <w:pPr>
        <w:pStyle w:val="38"/>
        <w:tabs>
          <w:tab w:val="left" w:pos="1673"/>
        </w:tabs>
        <w:spacing w:line="360" w:lineRule="auto"/>
        <w:ind w:left="0" w:firstLineChars="200"/>
        <w:rPr>
          <w:rFonts w:hint="eastAsia" w:ascii="宋体" w:hAnsi="宋体" w:eastAsia="宋体" w:cs="宋体"/>
          <w:color w:val="auto"/>
          <w:sz w:val="22"/>
          <w:szCs w:val="21"/>
        </w:rPr>
      </w:pPr>
      <w:r>
        <w:rPr>
          <w:rFonts w:hint="eastAsia" w:ascii="宋体" w:hAnsi="宋体" w:eastAsia="宋体" w:cs="宋体"/>
          <w:color w:val="auto"/>
          <w:sz w:val="22"/>
          <w:szCs w:val="21"/>
          <w:lang w:eastAsia="zh-CN"/>
        </w:rPr>
        <w:t>（</w:t>
      </w:r>
      <w:r>
        <w:rPr>
          <w:rFonts w:hint="eastAsia" w:ascii="宋体" w:hAnsi="宋体" w:eastAsia="宋体" w:cs="宋体"/>
          <w:color w:val="auto"/>
          <w:sz w:val="22"/>
          <w:szCs w:val="21"/>
          <w:lang w:val="en-US" w:eastAsia="zh-CN"/>
        </w:rPr>
        <w:t>2</w:t>
      </w:r>
      <w:r>
        <w:rPr>
          <w:rFonts w:hint="eastAsia" w:ascii="宋体" w:hAnsi="宋体" w:eastAsia="宋体" w:cs="宋体"/>
          <w:color w:val="auto"/>
          <w:sz w:val="22"/>
          <w:szCs w:val="21"/>
          <w:lang w:eastAsia="zh-CN"/>
        </w:rPr>
        <w:t>）</w:t>
      </w:r>
      <w:r>
        <w:rPr>
          <w:rFonts w:hint="eastAsia" w:ascii="宋体" w:hAnsi="宋体" w:eastAsia="宋体" w:cs="宋体"/>
          <w:color w:val="auto"/>
          <w:sz w:val="22"/>
          <w:szCs w:val="21"/>
        </w:rPr>
        <w:t>《中小企业声明函（工程、服务）》/监狱企业证明文件（如有）/《残疾人福利性单位声明函》；</w:t>
      </w:r>
      <w:r>
        <w:rPr>
          <w:rFonts w:hint="eastAsia" w:cs="宋体"/>
          <w:color w:val="auto"/>
          <w:sz w:val="22"/>
          <w:szCs w:val="21"/>
          <w:lang w:eastAsia="zh-CN"/>
        </w:rPr>
        <w:t>（</w:t>
      </w:r>
      <w:r>
        <w:rPr>
          <w:rFonts w:hint="eastAsia" w:cs="宋体"/>
          <w:color w:val="auto"/>
          <w:sz w:val="22"/>
          <w:szCs w:val="21"/>
          <w:lang w:val="en-US" w:eastAsia="zh-CN"/>
        </w:rPr>
        <w:t>如果有</w:t>
      </w:r>
      <w:r>
        <w:rPr>
          <w:rFonts w:hint="eastAsia" w:cs="宋体"/>
          <w:color w:val="auto"/>
          <w:sz w:val="22"/>
          <w:szCs w:val="21"/>
          <w:lang w:eastAsia="zh-CN"/>
        </w:rPr>
        <w:t>）</w:t>
      </w:r>
    </w:p>
    <w:p w14:paraId="69D8B662">
      <w:pPr>
        <w:pStyle w:val="38"/>
        <w:tabs>
          <w:tab w:val="left" w:pos="1673"/>
        </w:tabs>
        <w:spacing w:line="360" w:lineRule="auto"/>
        <w:ind w:left="0" w:firstLineChars="200"/>
        <w:rPr>
          <w:rFonts w:hint="eastAsia" w:ascii="宋体" w:hAnsi="宋体" w:eastAsia="宋体" w:cs="宋体"/>
          <w:color w:val="auto"/>
          <w:sz w:val="22"/>
          <w:szCs w:val="21"/>
        </w:rPr>
      </w:pPr>
      <w:r>
        <w:rPr>
          <w:rFonts w:hint="eastAsia" w:ascii="宋体" w:hAnsi="宋体" w:eastAsia="宋体" w:cs="宋体"/>
          <w:color w:val="auto"/>
          <w:sz w:val="22"/>
          <w:szCs w:val="21"/>
        </w:rPr>
        <w:t>提示和说明：a.依据《财政部、司法部关于政府采购支持监狱企业发展有关问题的通知》（财库[2014]68 号）规定，在政府采购活动中，监狱企业视同小型、微型企业；依据《财政部、民政部、中国残疾人联合会关于促进残疾人就业政府采购政策的通知》（财库[2017]141 号）规定，在政府采购活动中，残疾⼈福利性单位视同小型、微型企业。</w:t>
      </w:r>
    </w:p>
    <w:p w14:paraId="1E3D07EB">
      <w:pPr>
        <w:pStyle w:val="38"/>
        <w:tabs>
          <w:tab w:val="left" w:pos="1673"/>
        </w:tabs>
        <w:spacing w:line="360" w:lineRule="auto"/>
        <w:ind w:left="0" w:firstLineChars="200"/>
        <w:rPr>
          <w:rFonts w:hint="eastAsia" w:ascii="宋体" w:hAnsi="宋体" w:eastAsia="宋体" w:cs="宋体"/>
          <w:color w:val="auto"/>
          <w:sz w:val="22"/>
          <w:szCs w:val="21"/>
        </w:rPr>
      </w:pPr>
      <w:r>
        <w:rPr>
          <w:rFonts w:hint="eastAsia" w:ascii="宋体" w:hAnsi="宋体" w:eastAsia="宋体" w:cs="宋体"/>
          <w:color w:val="auto"/>
          <w:sz w:val="22"/>
          <w:szCs w:val="21"/>
        </w:rPr>
        <w:t>b.若投标人为监狱企业的，须提供省级或以上监狱管理局、戒毒管理局（含新疆生产建设兵团）出具的属于监狱企业的证明文件。</w:t>
      </w:r>
    </w:p>
    <w:p w14:paraId="729C15D6">
      <w:pPr>
        <w:pStyle w:val="38"/>
        <w:tabs>
          <w:tab w:val="left" w:pos="1673"/>
        </w:tabs>
        <w:spacing w:line="360" w:lineRule="auto"/>
        <w:ind w:left="0" w:firstLineChars="200"/>
        <w:rPr>
          <w:rFonts w:hint="eastAsia" w:ascii="宋体" w:hAnsi="宋体" w:eastAsia="宋体" w:cs="宋体"/>
          <w:color w:val="auto"/>
          <w:sz w:val="22"/>
          <w:szCs w:val="21"/>
        </w:rPr>
      </w:pPr>
      <w:r>
        <w:rPr>
          <w:rFonts w:hint="eastAsia" w:ascii="宋体" w:hAnsi="宋体" w:eastAsia="宋体" w:cs="宋体"/>
          <w:color w:val="auto"/>
          <w:sz w:val="22"/>
          <w:szCs w:val="21"/>
        </w:rPr>
        <w:t>c.若投标人为残疾人福利性单位的，须提供《残疾人福利性单位声明函》，并对声明的真实性负责。</w:t>
      </w:r>
    </w:p>
    <w:p w14:paraId="7B0677E8">
      <w:pPr>
        <w:pStyle w:val="38"/>
        <w:tabs>
          <w:tab w:val="left" w:pos="1673"/>
        </w:tabs>
        <w:spacing w:line="360" w:lineRule="auto"/>
        <w:ind w:left="0" w:firstLineChars="200"/>
        <w:rPr>
          <w:rFonts w:hint="eastAsia" w:ascii="宋体" w:hAnsi="宋体" w:eastAsia="宋体" w:cs="宋体"/>
          <w:color w:val="auto"/>
          <w:sz w:val="22"/>
          <w:szCs w:val="21"/>
        </w:rPr>
      </w:pPr>
      <w:r>
        <w:rPr>
          <w:rFonts w:hint="eastAsia" w:ascii="宋体" w:hAnsi="宋体" w:eastAsia="宋体" w:cs="宋体"/>
          <w:color w:val="auto"/>
          <w:sz w:val="22"/>
          <w:szCs w:val="21"/>
          <w:lang w:eastAsia="zh-CN"/>
        </w:rPr>
        <w:t>（</w:t>
      </w:r>
      <w:r>
        <w:rPr>
          <w:rFonts w:hint="eastAsia" w:ascii="宋体" w:hAnsi="宋体" w:eastAsia="宋体" w:cs="宋体"/>
          <w:color w:val="auto"/>
          <w:sz w:val="22"/>
          <w:szCs w:val="21"/>
          <w:lang w:val="en-US" w:eastAsia="zh-CN"/>
        </w:rPr>
        <w:t>3</w:t>
      </w:r>
      <w:r>
        <w:rPr>
          <w:rFonts w:hint="eastAsia" w:ascii="宋体" w:hAnsi="宋体" w:eastAsia="宋体" w:cs="宋体"/>
          <w:color w:val="auto"/>
          <w:sz w:val="22"/>
          <w:szCs w:val="21"/>
          <w:lang w:eastAsia="zh-CN"/>
        </w:rPr>
        <w:t>）</w:t>
      </w:r>
      <w:r>
        <w:rPr>
          <w:rFonts w:hint="eastAsia" w:ascii="宋体" w:hAnsi="宋体" w:eastAsia="宋体" w:cs="宋体"/>
          <w:color w:val="auto"/>
          <w:sz w:val="22"/>
          <w:szCs w:val="21"/>
        </w:rPr>
        <w:t>报价文件要求的或投标人认为需要的其它资料。</w:t>
      </w:r>
    </w:p>
    <w:p w14:paraId="00A0070B">
      <w:pPr>
        <w:pStyle w:val="38"/>
        <w:tabs>
          <w:tab w:val="left" w:pos="1673"/>
        </w:tabs>
        <w:spacing w:line="360" w:lineRule="auto"/>
        <w:ind w:left="0" w:firstLineChars="200"/>
        <w:rPr>
          <w:rFonts w:hint="eastAsia" w:ascii="宋体" w:hAnsi="宋体" w:eastAsia="宋体" w:cs="宋体"/>
          <w:color w:val="auto"/>
          <w:sz w:val="22"/>
          <w:szCs w:val="21"/>
          <w:lang w:val="en-US"/>
        </w:rPr>
      </w:pPr>
    </w:p>
    <w:p w14:paraId="0F0648DA">
      <w:pPr>
        <w:pStyle w:val="12"/>
        <w:rPr>
          <w:rFonts w:hint="eastAsia" w:ascii="宋体" w:hAnsi="宋体" w:eastAsia="宋体" w:cs="宋体"/>
          <w:color w:val="auto"/>
          <w:sz w:val="22"/>
          <w:szCs w:val="22"/>
        </w:rPr>
      </w:pPr>
    </w:p>
    <w:p w14:paraId="330ACDB3">
      <w:pPr>
        <w:pStyle w:val="12"/>
        <w:rPr>
          <w:rFonts w:hint="eastAsia" w:ascii="宋体" w:hAnsi="宋体" w:eastAsia="宋体" w:cs="宋体"/>
          <w:color w:val="auto"/>
          <w:sz w:val="22"/>
          <w:szCs w:val="22"/>
        </w:rPr>
      </w:pPr>
    </w:p>
    <w:p w14:paraId="34F6C3BB">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0B7E3BC7">
      <w:pPr>
        <w:pStyle w:val="13"/>
        <w:rPr>
          <w:rFonts w:hint="eastAsia" w:ascii="宋体" w:hAnsi="宋体" w:eastAsia="宋体" w:cs="宋体"/>
          <w:color w:val="auto"/>
          <w:sz w:val="22"/>
          <w:szCs w:val="18"/>
        </w:rPr>
      </w:pPr>
    </w:p>
    <w:p w14:paraId="452D398F">
      <w:pPr>
        <w:pStyle w:val="12"/>
        <w:rPr>
          <w:rFonts w:hint="eastAsia" w:ascii="宋体" w:hAnsi="宋体" w:eastAsia="宋体" w:cs="宋体"/>
          <w:color w:val="auto"/>
          <w:sz w:val="20"/>
          <w:szCs w:val="22"/>
        </w:rPr>
      </w:pPr>
    </w:p>
    <w:p w14:paraId="30B2D8D4">
      <w:pPr>
        <w:spacing w:before="67"/>
        <w:ind w:left="1217" w:right="1232"/>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（1）</w:t>
      </w:r>
      <w:r>
        <w:rPr>
          <w:rFonts w:hint="eastAsia" w:cs="宋体"/>
          <w:b/>
          <w:bCs/>
          <w:color w:val="auto"/>
          <w:sz w:val="28"/>
          <w:szCs w:val="28"/>
          <w:lang w:val="en-US" w:eastAsia="zh-CN"/>
        </w:rPr>
        <w:t>开标</w:t>
      </w:r>
      <w:r>
        <w:rPr>
          <w:rFonts w:hint="eastAsia" w:ascii="宋体" w:hAnsi="宋体" w:eastAsia="宋体" w:cs="宋体"/>
          <w:b/>
          <w:bCs/>
          <w:color w:val="auto"/>
          <w:sz w:val="28"/>
          <w:szCs w:val="28"/>
          <w:lang w:eastAsia="zh-CN"/>
        </w:rPr>
        <w:t>一览表</w:t>
      </w:r>
    </w:p>
    <w:p w14:paraId="49F44E53">
      <w:pPr>
        <w:pStyle w:val="12"/>
        <w:spacing w:before="130" w:line="360" w:lineRule="auto"/>
        <w:rPr>
          <w:rFonts w:hint="eastAsia" w:ascii="宋体" w:hAnsi="宋体" w:eastAsia="宋体" w:cs="宋体"/>
          <w:color w:val="auto"/>
          <w:sz w:val="22"/>
          <w:szCs w:val="22"/>
          <w:lang w:val="en-US" w:eastAsia="zh-CN"/>
        </w:rPr>
      </w:pPr>
      <w:r>
        <w:rPr>
          <w:rFonts w:hint="eastAsia" w:cs="宋体"/>
          <w:color w:val="auto"/>
          <w:sz w:val="22"/>
          <w:szCs w:val="22"/>
          <w:lang w:val="en-US" w:eastAsia="zh-CN"/>
        </w:rPr>
        <w:t>标项</w:t>
      </w:r>
      <w:r>
        <w:rPr>
          <w:rFonts w:hint="eastAsia" w:ascii="宋体" w:hAnsi="宋体" w:eastAsia="宋体" w:cs="宋体"/>
          <w:color w:val="auto"/>
          <w:sz w:val="22"/>
          <w:szCs w:val="22"/>
          <w:lang w:val="en-US"/>
        </w:rPr>
        <w:t>名称：</w:t>
      </w:r>
      <w:r>
        <w:rPr>
          <w:rFonts w:hint="eastAsia" w:cs="宋体"/>
          <w:b/>
          <w:bCs/>
          <w:color w:val="FF0000"/>
          <w:sz w:val="22"/>
          <w:szCs w:val="22"/>
          <w:lang w:val="en-US" w:eastAsia="zh-CN"/>
        </w:rPr>
        <w:t>例如：第一片区</w:t>
      </w:r>
      <w:r>
        <w:rPr>
          <w:rFonts w:hint="eastAsia" w:ascii="宋体" w:hAnsi="宋体" w:eastAsia="宋体" w:cs="宋体"/>
          <w:color w:val="auto"/>
          <w:sz w:val="22"/>
          <w:szCs w:val="22"/>
          <w:lang w:val="en-US" w:eastAsia="zh-CN"/>
        </w:rPr>
        <w:t xml:space="preserve">      </w:t>
      </w:r>
      <w:r>
        <w:rPr>
          <w:rFonts w:hint="eastAsia" w:cs="宋体"/>
          <w:color w:val="auto"/>
          <w:sz w:val="22"/>
          <w:szCs w:val="22"/>
          <w:lang w:val="en-US" w:eastAsia="zh-CN"/>
        </w:rPr>
        <w:t xml:space="preserve">                              </w:t>
      </w:r>
      <w:r>
        <w:rPr>
          <w:rFonts w:hint="eastAsia" w:ascii="宋体" w:hAnsi="宋体" w:eastAsia="宋体" w:cs="宋体"/>
          <w:color w:val="auto"/>
          <w:sz w:val="22"/>
          <w:szCs w:val="22"/>
          <w:lang w:val="en-US"/>
        </w:rPr>
        <w:t>项目编号：</w:t>
      </w:r>
      <w:r>
        <w:rPr>
          <w:rFonts w:hint="eastAsia" w:cs="宋体"/>
          <w:color w:val="auto"/>
          <w:sz w:val="22"/>
          <w:szCs w:val="22"/>
          <w:lang w:val="en-US" w:eastAsia="zh-CN"/>
        </w:rPr>
        <w:t>CNDL2024207</w:t>
      </w:r>
    </w:p>
    <w:tbl>
      <w:tblPr>
        <w:tblStyle w:val="27"/>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6983"/>
      </w:tblGrid>
      <w:tr w14:paraId="38C5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9" w:type="dxa"/>
            <w:shd w:val="clear" w:color="auto" w:fill="B6DDE8" w:themeFill="accent5" w:themeFillTint="66"/>
            <w:vAlign w:val="center"/>
          </w:tcPr>
          <w:p w14:paraId="0E5BAB92">
            <w:pPr>
              <w:pStyle w:val="14"/>
              <w:spacing w:line="240" w:lineRule="auto"/>
              <w:ind w:left="0"/>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报价内容</w:t>
            </w:r>
          </w:p>
        </w:tc>
        <w:tc>
          <w:tcPr>
            <w:tcW w:w="6983" w:type="dxa"/>
            <w:shd w:val="clear" w:color="auto" w:fill="B6DDE8" w:themeFill="accent5" w:themeFillTint="66"/>
            <w:vAlign w:val="center"/>
          </w:tcPr>
          <w:p w14:paraId="4BEA3DDC">
            <w:pPr>
              <w:pStyle w:val="14"/>
              <w:spacing w:line="240" w:lineRule="auto"/>
              <w:ind w:left="0"/>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投标报价</w:t>
            </w:r>
          </w:p>
        </w:tc>
      </w:tr>
      <w:tr w14:paraId="1E7F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9" w:type="dxa"/>
            <w:vMerge w:val="restart"/>
            <w:vAlign w:val="center"/>
          </w:tcPr>
          <w:p w14:paraId="147D42EB">
            <w:pPr>
              <w:pStyle w:val="14"/>
              <w:spacing w:line="240" w:lineRule="auto"/>
              <w:ind w:left="0"/>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投标报价</w:t>
            </w:r>
          </w:p>
          <w:p w14:paraId="2A6300E1">
            <w:pPr>
              <w:pStyle w:val="14"/>
              <w:spacing w:line="240" w:lineRule="auto"/>
              <w:ind w:left="0"/>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（折扣率，%）</w:t>
            </w:r>
          </w:p>
        </w:tc>
        <w:tc>
          <w:tcPr>
            <w:tcW w:w="6983" w:type="dxa"/>
            <w:vAlign w:val="center"/>
          </w:tcPr>
          <w:p w14:paraId="755C51AA">
            <w:pPr>
              <w:pStyle w:val="14"/>
              <w:spacing w:line="240" w:lineRule="auto"/>
              <w:ind w:left="0"/>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rPr>
              <w:t>（小写）：</w:t>
            </w:r>
            <w:r>
              <w:rPr>
                <w:rFonts w:hint="eastAsia" w:ascii="宋体" w:hAnsi="宋体" w:cs="宋体"/>
                <w:color w:val="auto"/>
                <w:sz w:val="22"/>
                <w:szCs w:val="22"/>
                <w:lang w:val="en-US" w:eastAsia="zh-CN"/>
              </w:rPr>
              <w:t xml:space="preserve">   %</w:t>
            </w:r>
          </w:p>
        </w:tc>
      </w:tr>
      <w:tr w14:paraId="0518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9" w:type="dxa"/>
            <w:vMerge w:val="continue"/>
            <w:vAlign w:val="center"/>
          </w:tcPr>
          <w:p w14:paraId="52B40925">
            <w:pPr>
              <w:pStyle w:val="14"/>
              <w:spacing w:line="240" w:lineRule="auto"/>
              <w:ind w:left="0"/>
              <w:jc w:val="center"/>
              <w:rPr>
                <w:rFonts w:hint="eastAsia" w:ascii="宋体" w:hAnsi="宋体" w:eastAsia="宋体" w:cs="宋体"/>
                <w:color w:val="auto"/>
                <w:sz w:val="22"/>
                <w:szCs w:val="22"/>
                <w:lang w:val="en-US"/>
              </w:rPr>
            </w:pPr>
          </w:p>
        </w:tc>
        <w:tc>
          <w:tcPr>
            <w:tcW w:w="6983" w:type="dxa"/>
            <w:vAlign w:val="center"/>
          </w:tcPr>
          <w:p w14:paraId="040F7FB5">
            <w:pPr>
              <w:pStyle w:val="14"/>
              <w:spacing w:line="240" w:lineRule="auto"/>
              <w:ind w:left="0"/>
              <w:jc w:val="both"/>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（大写）：</w:t>
            </w:r>
            <w:r>
              <w:rPr>
                <w:rFonts w:hint="eastAsia" w:ascii="宋体" w:hAnsi="宋体" w:cs="宋体"/>
                <w:color w:val="auto"/>
                <w:sz w:val="22"/>
                <w:szCs w:val="22"/>
                <w:lang w:val="en-US" w:eastAsia="zh-CN"/>
              </w:rPr>
              <w:t>百分之</w:t>
            </w:r>
          </w:p>
        </w:tc>
      </w:tr>
      <w:tr w14:paraId="01DA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9" w:type="dxa"/>
            <w:vAlign w:val="center"/>
          </w:tcPr>
          <w:p w14:paraId="70D1C3AA">
            <w:pPr>
              <w:pStyle w:val="14"/>
              <w:spacing w:line="240" w:lineRule="auto"/>
              <w:ind w:left="0"/>
              <w:jc w:val="center"/>
              <w:rPr>
                <w:rFonts w:hint="default" w:ascii="宋体" w:hAnsi="宋体" w:eastAsia="宋体" w:cs="宋体"/>
                <w:color w:val="auto"/>
                <w:sz w:val="22"/>
                <w:szCs w:val="22"/>
                <w:lang w:val="en-US"/>
              </w:rPr>
            </w:pPr>
            <w:r>
              <w:rPr>
                <w:rFonts w:hint="eastAsia" w:ascii="宋体" w:hAnsi="宋体" w:eastAsia="宋体" w:cs="宋体"/>
                <w:color w:val="auto"/>
                <w:lang w:val="en-US" w:eastAsia="zh-CN"/>
              </w:rPr>
              <w:t>备注</w:t>
            </w:r>
          </w:p>
        </w:tc>
        <w:tc>
          <w:tcPr>
            <w:tcW w:w="6983" w:type="dxa"/>
            <w:vAlign w:val="center"/>
          </w:tcPr>
          <w:p w14:paraId="7525BE5F">
            <w:pPr>
              <w:pStyle w:val="14"/>
              <w:spacing w:line="240" w:lineRule="auto"/>
              <w:ind w:left="0"/>
              <w:jc w:val="both"/>
              <w:rPr>
                <w:rFonts w:hint="eastAsia" w:ascii="宋体" w:hAnsi="宋体" w:eastAsia="宋体" w:cs="宋体"/>
                <w:color w:val="auto"/>
                <w:lang w:val="en-US" w:eastAsia="zh-CN"/>
              </w:rPr>
            </w:pPr>
          </w:p>
        </w:tc>
      </w:tr>
    </w:tbl>
    <w:p w14:paraId="35C16FDD">
      <w:pPr>
        <w:pStyle w:val="12"/>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注：1</w:t>
      </w:r>
      <w:r>
        <w:rPr>
          <w:rFonts w:hint="eastAsia" w:ascii="宋体" w:hAnsi="宋体" w:eastAsia="宋体" w:cs="宋体"/>
          <w:color w:val="auto"/>
          <w:sz w:val="22"/>
          <w:szCs w:val="22"/>
          <w:lang w:val="en-US" w:eastAsia="zh-CN"/>
        </w:rPr>
        <w:t>.折扣率报价不得超过100%，否则采购人不予以接受，投标无效；</w:t>
      </w:r>
    </w:p>
    <w:p w14:paraId="32818C08">
      <w:pPr>
        <w:pStyle w:val="12"/>
        <w:spacing w:line="360" w:lineRule="auto"/>
        <w:ind w:firstLine="440" w:firstLineChars="200"/>
        <w:rPr>
          <w:rFonts w:hint="eastAsia" w:ascii="宋体" w:hAnsi="宋体" w:eastAsia="宋体" w:cs="宋体"/>
          <w:color w:val="auto"/>
          <w:spacing w:val="-6"/>
          <w:sz w:val="22"/>
          <w:szCs w:val="22"/>
        </w:rPr>
      </w:pPr>
      <w:r>
        <w:rPr>
          <w:rFonts w:hint="eastAsia" w:cs="宋体"/>
          <w:color w:val="auto"/>
          <w:sz w:val="22"/>
          <w:szCs w:val="22"/>
          <w:lang w:val="en-US" w:eastAsia="zh-CN"/>
        </w:rPr>
        <w:t>2</w:t>
      </w:r>
      <w:r>
        <w:rPr>
          <w:rFonts w:hint="eastAsia" w:ascii="宋体" w:hAnsi="宋体" w:eastAsia="宋体" w:cs="宋体"/>
          <w:color w:val="auto"/>
          <w:spacing w:val="-6"/>
          <w:sz w:val="22"/>
          <w:szCs w:val="22"/>
          <w:lang w:val="en-US" w:eastAsia="zh-CN"/>
        </w:rPr>
        <w:t>.</w:t>
      </w:r>
      <w:r>
        <w:rPr>
          <w:rFonts w:hint="eastAsia" w:ascii="宋体" w:hAnsi="宋体" w:eastAsia="宋体" w:cs="宋体"/>
          <w:color w:val="auto"/>
          <w:spacing w:val="-6"/>
          <w:sz w:val="22"/>
          <w:szCs w:val="22"/>
        </w:rPr>
        <w:t>开标一览表中投标价为符合招标文件要求的服务总价</w:t>
      </w:r>
      <w:r>
        <w:rPr>
          <w:rFonts w:hint="eastAsia" w:ascii="宋体" w:hAnsi="宋体" w:eastAsia="宋体" w:cs="宋体"/>
          <w:color w:val="auto"/>
          <w:spacing w:val="-6"/>
          <w:sz w:val="22"/>
          <w:szCs w:val="22"/>
          <w:lang w:eastAsia="zh-CN"/>
        </w:rPr>
        <w:t>，</w:t>
      </w:r>
      <w:r>
        <w:rPr>
          <w:rFonts w:hint="eastAsia" w:ascii="宋体" w:hAnsi="宋体" w:eastAsia="宋体" w:cs="宋体"/>
          <w:color w:val="auto"/>
          <w:spacing w:val="-6"/>
          <w:sz w:val="22"/>
          <w:szCs w:val="22"/>
          <w:lang w:val="en-US" w:eastAsia="zh-CN"/>
        </w:rPr>
        <w:t>包括自接受采购人委托至递交满足采购人要求的报告全过程所需的全部费用，即</w:t>
      </w:r>
      <w:r>
        <w:rPr>
          <w:rFonts w:hint="eastAsia" w:cs="宋体"/>
          <w:color w:val="auto"/>
          <w:spacing w:val="-6"/>
          <w:sz w:val="22"/>
          <w:szCs w:val="22"/>
          <w:lang w:val="en-US" w:eastAsia="zh-CN"/>
        </w:rPr>
        <w:t>材料费、</w:t>
      </w:r>
      <w:r>
        <w:rPr>
          <w:rFonts w:hint="eastAsia" w:ascii="宋体" w:hAnsi="宋体" w:eastAsia="宋体" w:cs="宋体"/>
          <w:color w:val="auto"/>
          <w:spacing w:val="-6"/>
          <w:sz w:val="22"/>
          <w:szCs w:val="22"/>
          <w:lang w:val="en-US" w:eastAsia="zh-CN"/>
        </w:rPr>
        <w:t>人员费（包括工资、加班费、奖金、房补、劳保福利、社保、意外保险、工伤费、及处理一切伤亡事故等费用）</w:t>
      </w:r>
      <w:r>
        <w:rPr>
          <w:rFonts w:hint="eastAsia" w:cs="宋体"/>
          <w:color w:val="auto"/>
          <w:spacing w:val="-6"/>
          <w:sz w:val="22"/>
          <w:szCs w:val="22"/>
          <w:lang w:val="en-US" w:eastAsia="zh-CN"/>
        </w:rPr>
        <w:t>、产品费用</w:t>
      </w:r>
      <w:r>
        <w:rPr>
          <w:rFonts w:hint="eastAsia" w:ascii="宋体" w:hAnsi="宋体" w:eastAsia="宋体" w:cs="宋体"/>
          <w:color w:val="auto"/>
          <w:spacing w:val="-6"/>
          <w:sz w:val="22"/>
          <w:szCs w:val="22"/>
          <w:lang w:val="en-US" w:eastAsia="zh-CN"/>
        </w:rPr>
        <w:t>、管理费、</w:t>
      </w:r>
      <w:r>
        <w:rPr>
          <w:rFonts w:hint="eastAsia" w:cs="宋体"/>
          <w:color w:val="auto"/>
          <w:spacing w:val="-6"/>
          <w:sz w:val="22"/>
          <w:szCs w:val="22"/>
          <w:lang w:val="en-US" w:eastAsia="zh-CN"/>
        </w:rPr>
        <w:t>履约验收费、</w:t>
      </w:r>
      <w:r>
        <w:rPr>
          <w:rFonts w:hint="eastAsia" w:ascii="宋体" w:hAnsi="宋体" w:eastAsia="宋体" w:cs="宋体"/>
          <w:color w:val="auto"/>
          <w:spacing w:val="-6"/>
          <w:sz w:val="22"/>
          <w:szCs w:val="22"/>
          <w:lang w:val="en-US" w:eastAsia="zh-CN"/>
        </w:rPr>
        <w:t>合理利润、税金和采购代理费等一切成本及费用等完成合同所需的一切本身和不可或缺的所有工作开支、政策性文件规定及合同包含的所有风险、责任等各项全部费用</w:t>
      </w:r>
      <w:r>
        <w:rPr>
          <w:rFonts w:hint="eastAsia" w:ascii="宋体" w:hAnsi="宋体" w:eastAsia="宋体" w:cs="宋体"/>
          <w:color w:val="auto"/>
          <w:spacing w:val="-6"/>
          <w:sz w:val="22"/>
          <w:szCs w:val="22"/>
        </w:rPr>
        <w:t>。</w:t>
      </w:r>
    </w:p>
    <w:p w14:paraId="7C0D85FC">
      <w:pPr>
        <w:pStyle w:val="12"/>
        <w:spacing w:line="360" w:lineRule="auto"/>
        <w:ind w:firstLine="416" w:firstLineChars="200"/>
        <w:rPr>
          <w:rFonts w:hint="eastAsia" w:ascii="宋体" w:hAnsi="宋体" w:eastAsia="宋体" w:cs="宋体"/>
          <w:color w:val="auto"/>
          <w:spacing w:val="-6"/>
          <w:sz w:val="22"/>
          <w:szCs w:val="22"/>
          <w:lang w:val="en-US"/>
        </w:rPr>
      </w:pPr>
      <w:r>
        <w:rPr>
          <w:rFonts w:hint="eastAsia"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w:t>
      </w:r>
      <w:r>
        <w:rPr>
          <w:rFonts w:hint="eastAsia" w:ascii="宋体" w:hAnsi="宋体" w:eastAsia="宋体" w:cs="宋体"/>
          <w:color w:val="auto"/>
          <w:spacing w:val="-6"/>
          <w:sz w:val="22"/>
          <w:szCs w:val="22"/>
          <w:lang w:val="en-US"/>
        </w:rPr>
        <w:t>▲未提供本表的投标视为未实质性响应招标要求，投标无效。</w:t>
      </w:r>
    </w:p>
    <w:p w14:paraId="3EF5AD1E">
      <w:pPr>
        <w:pStyle w:val="12"/>
        <w:rPr>
          <w:rFonts w:hint="eastAsia" w:ascii="宋体" w:hAnsi="宋体" w:eastAsia="宋体" w:cs="宋体"/>
          <w:color w:val="auto"/>
          <w:sz w:val="22"/>
          <w:szCs w:val="22"/>
        </w:rPr>
      </w:pPr>
    </w:p>
    <w:p w14:paraId="7F7E67D8">
      <w:pPr>
        <w:pStyle w:val="12"/>
        <w:rPr>
          <w:rFonts w:hint="eastAsia" w:ascii="宋体" w:hAnsi="宋体" w:eastAsia="宋体" w:cs="宋体"/>
          <w:color w:val="auto"/>
          <w:sz w:val="22"/>
          <w:szCs w:val="22"/>
        </w:rPr>
      </w:pPr>
    </w:p>
    <w:p w14:paraId="50A9B144">
      <w:pPr>
        <w:pStyle w:val="12"/>
        <w:rPr>
          <w:rFonts w:hint="eastAsia" w:ascii="宋体" w:hAnsi="宋体" w:eastAsia="宋体" w:cs="宋体"/>
          <w:color w:val="auto"/>
          <w:sz w:val="22"/>
          <w:szCs w:val="22"/>
        </w:rPr>
      </w:pPr>
    </w:p>
    <w:p w14:paraId="5664B12B">
      <w:pPr>
        <w:pStyle w:val="12"/>
        <w:spacing w:before="1"/>
        <w:rPr>
          <w:rFonts w:hint="eastAsia" w:ascii="宋体" w:hAnsi="宋体" w:eastAsia="宋体" w:cs="宋体"/>
          <w:color w:val="auto"/>
          <w:sz w:val="16"/>
          <w:szCs w:val="22"/>
        </w:rPr>
      </w:pPr>
    </w:p>
    <w:p w14:paraId="266B7F3F">
      <w:pPr>
        <w:spacing w:line="360" w:lineRule="auto"/>
        <w:ind w:firstLine="4620" w:firstLineChars="2100"/>
        <w:rPr>
          <w:rFonts w:hint="eastAsia"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lang w:eastAsia="zh-CN"/>
        </w:rPr>
        <w:t>投标人名称</w:t>
      </w:r>
      <w:r>
        <w:rPr>
          <w:rFonts w:hint="eastAsia" w:cs="仿宋_GB2312" w:asciiTheme="minorEastAsia" w:hAnsiTheme="minorEastAsia" w:eastAsiaTheme="minorEastAsia"/>
          <w:color w:val="auto"/>
          <w:sz w:val="22"/>
          <w:szCs w:val="21"/>
        </w:rPr>
        <w:t>（电子签名）：</w:t>
      </w:r>
    </w:p>
    <w:p w14:paraId="64D613FE">
      <w:pPr>
        <w:spacing w:line="360" w:lineRule="auto"/>
        <w:ind w:firstLine="4620" w:firstLineChars="2100"/>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日期：  年   月   日</w:t>
      </w:r>
    </w:p>
    <w:p w14:paraId="11A892FF">
      <w:pPr>
        <w:rPr>
          <w:rFonts w:hint="eastAsia" w:ascii="宋体" w:hAnsi="宋体" w:eastAsia="宋体" w:cs="宋体"/>
          <w:color w:val="auto"/>
          <w:sz w:val="21"/>
          <w:szCs w:val="21"/>
          <w:lang w:val="en-US"/>
        </w:rPr>
      </w:pPr>
    </w:p>
    <w:p w14:paraId="30F0D994">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37CA224F">
      <w:pPr>
        <w:spacing w:before="49" w:line="360" w:lineRule="auto"/>
        <w:ind w:left="1217" w:right="1232"/>
        <w:jc w:val="center"/>
        <w:rPr>
          <w:rFonts w:hint="eastAsia" w:ascii="宋体" w:hAnsi="宋体" w:eastAsia="宋体" w:cs="宋体"/>
          <w:b/>
          <w:color w:val="auto"/>
          <w:sz w:val="32"/>
          <w:szCs w:val="21"/>
        </w:rPr>
      </w:pPr>
      <w:r>
        <w:rPr>
          <w:rFonts w:hint="eastAsia" w:ascii="宋体" w:hAnsi="宋体" w:eastAsia="宋体" w:cs="宋体"/>
          <w:b/>
          <w:color w:val="auto"/>
          <w:sz w:val="28"/>
          <w:szCs w:val="20"/>
        </w:rPr>
        <w:t>（</w:t>
      </w:r>
      <w:r>
        <w:rPr>
          <w:rFonts w:hint="eastAsia" w:ascii="宋体" w:hAnsi="宋体" w:eastAsia="宋体" w:cs="宋体"/>
          <w:b/>
          <w:color w:val="auto"/>
          <w:sz w:val="28"/>
          <w:szCs w:val="20"/>
          <w:lang w:val="en-US" w:eastAsia="zh-CN"/>
        </w:rPr>
        <w:t>2</w:t>
      </w:r>
      <w:r>
        <w:rPr>
          <w:rFonts w:hint="eastAsia" w:ascii="宋体" w:hAnsi="宋体" w:eastAsia="宋体" w:cs="宋体"/>
          <w:b/>
          <w:color w:val="auto"/>
          <w:sz w:val="28"/>
          <w:szCs w:val="20"/>
        </w:rPr>
        <w:t>）</w:t>
      </w:r>
      <w:r>
        <w:rPr>
          <w:rFonts w:hint="eastAsia" w:ascii="宋体" w:hAnsi="宋体" w:eastAsia="宋体" w:cs="宋体"/>
          <w:b/>
          <w:color w:val="auto"/>
          <w:sz w:val="28"/>
          <w:szCs w:val="20"/>
          <w:lang w:val="en-US" w:eastAsia="zh-CN"/>
        </w:rPr>
        <w:t>中小</w:t>
      </w:r>
      <w:r>
        <w:rPr>
          <w:rFonts w:hint="eastAsia" w:ascii="宋体" w:hAnsi="宋体" w:eastAsia="宋体" w:cs="宋体"/>
          <w:b/>
          <w:color w:val="auto"/>
          <w:sz w:val="28"/>
          <w:szCs w:val="20"/>
        </w:rPr>
        <w:t>企业声明函（服务）</w:t>
      </w:r>
    </w:p>
    <w:p w14:paraId="0BD33527">
      <w:pPr>
        <w:adjustRightIn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本公司（联合体）郑重声明，根据《政府采购促进中小企业发展管理办法》（财库﹝2020﹞46 号）的规定，本公司（联合体）参加</w:t>
      </w:r>
      <w:r>
        <w:rPr>
          <w:rFonts w:hint="eastAsia" w:ascii="宋体" w:hAnsi="宋体" w:eastAsia="宋体" w:cs="宋体"/>
          <w:color w:val="auto"/>
          <w:sz w:val="22"/>
          <w:szCs w:val="21"/>
          <w:u w:val="single"/>
          <w:lang w:val="en-US" w:eastAsia="zh-CN"/>
        </w:rPr>
        <w:t>苍南县民政局</w:t>
      </w:r>
      <w:r>
        <w:rPr>
          <w:rFonts w:hint="eastAsia" w:ascii="宋体" w:hAnsi="宋体" w:eastAsia="宋体" w:cs="宋体"/>
          <w:color w:val="auto"/>
          <w:sz w:val="22"/>
          <w:szCs w:val="21"/>
        </w:rPr>
        <w:t>的</w:t>
      </w:r>
      <w:r>
        <w:rPr>
          <w:rFonts w:hint="eastAsia" w:cs="宋体"/>
          <w:color w:val="auto"/>
          <w:sz w:val="22"/>
          <w:szCs w:val="21"/>
          <w:u w:val="single"/>
          <w:lang w:eastAsia="zh-CN"/>
        </w:rPr>
        <w:t>苍南县居家和社区基本养老服务提升行动项目</w:t>
      </w:r>
      <w:r>
        <w:rPr>
          <w:rFonts w:hint="eastAsia" w:ascii="宋体" w:hAnsi="宋体" w:eastAsia="宋体" w:cs="宋体"/>
          <w:color w:val="auto"/>
          <w:sz w:val="22"/>
          <w:szCs w:val="21"/>
        </w:rPr>
        <w:t>采购活动，工程的施工单位全部为符合政策要求的中小企业（或者：</w:t>
      </w:r>
      <w:r>
        <w:rPr>
          <w:rFonts w:hint="eastAsia" w:ascii="宋体" w:hAnsi="宋体" w:eastAsia="宋体" w:cs="宋体"/>
          <w:b w:val="0"/>
          <w:bCs/>
          <w:color w:val="auto"/>
          <w:sz w:val="22"/>
          <w:szCs w:val="21"/>
        </w:rPr>
        <w:t>服务全部由符合政策要求的中小企业承接</w:t>
      </w:r>
      <w:r>
        <w:rPr>
          <w:rFonts w:hint="eastAsia" w:ascii="宋体" w:hAnsi="宋体" w:eastAsia="宋体" w:cs="宋体"/>
          <w:color w:val="auto"/>
          <w:sz w:val="22"/>
          <w:szCs w:val="21"/>
        </w:rPr>
        <w:t>）。相关企业（含联合体中的中小企业、签订分包意向协议的中小企业）的具体情况如下：</w:t>
      </w:r>
    </w:p>
    <w:p w14:paraId="675D62B6">
      <w:pPr>
        <w:adjustRightIn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1.</w:t>
      </w:r>
      <w:r>
        <w:rPr>
          <w:rFonts w:hint="eastAsia" w:ascii="宋体" w:hAnsi="宋体" w:eastAsia="宋体" w:cs="宋体"/>
          <w:color w:val="auto"/>
          <w:sz w:val="22"/>
          <w:szCs w:val="21"/>
          <w:u w:val="single"/>
        </w:rPr>
        <w:t>（标的名称）</w:t>
      </w:r>
      <w:r>
        <w:rPr>
          <w:rFonts w:hint="eastAsia" w:ascii="宋体" w:hAnsi="宋体" w:eastAsia="宋体" w:cs="宋体"/>
          <w:color w:val="auto"/>
          <w:sz w:val="22"/>
          <w:szCs w:val="21"/>
        </w:rPr>
        <w:t>，属于</w:t>
      </w:r>
      <w:r>
        <w:rPr>
          <w:rFonts w:hint="eastAsia" w:ascii="宋体" w:hAnsi="宋体" w:eastAsia="宋体" w:cs="宋体"/>
          <w:color w:val="auto"/>
          <w:sz w:val="22"/>
          <w:szCs w:val="21"/>
          <w:u w:val="single"/>
          <w:lang w:val="en-US" w:eastAsia="zh-CN"/>
        </w:rPr>
        <w:t>其他未列明行业</w:t>
      </w:r>
      <w:r>
        <w:rPr>
          <w:rFonts w:hint="eastAsia" w:ascii="宋体" w:hAnsi="宋体" w:eastAsia="宋体" w:cs="宋体"/>
          <w:color w:val="auto"/>
          <w:sz w:val="22"/>
          <w:szCs w:val="21"/>
        </w:rPr>
        <w:t>；承建（承接）企业为</w:t>
      </w:r>
      <w:r>
        <w:rPr>
          <w:rFonts w:hint="eastAsia" w:ascii="宋体" w:hAnsi="宋体" w:eastAsia="宋体" w:cs="宋体"/>
          <w:color w:val="auto"/>
          <w:sz w:val="22"/>
          <w:szCs w:val="21"/>
          <w:u w:val="single"/>
        </w:rPr>
        <w:t>（企业名称）</w:t>
      </w:r>
      <w:r>
        <w:rPr>
          <w:rFonts w:hint="eastAsia" w:ascii="宋体" w:hAnsi="宋体" w:eastAsia="宋体" w:cs="宋体"/>
          <w:color w:val="auto"/>
          <w:sz w:val="22"/>
          <w:szCs w:val="21"/>
        </w:rPr>
        <w:t>，从业人员</w:t>
      </w:r>
      <w:r>
        <w:rPr>
          <w:rFonts w:hint="eastAsia" w:ascii="宋体" w:hAnsi="宋体" w:eastAsia="宋体" w:cs="宋体"/>
          <w:color w:val="auto"/>
          <w:sz w:val="22"/>
          <w:szCs w:val="21"/>
          <w:u w:val="single"/>
        </w:rPr>
        <w:t xml:space="preserve">    </w:t>
      </w:r>
      <w:r>
        <w:rPr>
          <w:rFonts w:hint="eastAsia" w:ascii="宋体" w:hAnsi="宋体" w:eastAsia="宋体" w:cs="宋体"/>
          <w:color w:val="auto"/>
          <w:sz w:val="22"/>
          <w:szCs w:val="21"/>
        </w:rPr>
        <w:t>人，营业收入为</w:t>
      </w:r>
      <w:r>
        <w:rPr>
          <w:rFonts w:hint="eastAsia" w:ascii="宋体" w:hAnsi="宋体" w:eastAsia="宋体" w:cs="宋体"/>
          <w:color w:val="auto"/>
          <w:sz w:val="22"/>
          <w:szCs w:val="21"/>
          <w:u w:val="single"/>
        </w:rPr>
        <w:t xml:space="preserve">      </w:t>
      </w:r>
      <w:r>
        <w:rPr>
          <w:rFonts w:hint="eastAsia" w:ascii="宋体" w:hAnsi="宋体" w:eastAsia="宋体" w:cs="宋体"/>
          <w:color w:val="auto"/>
          <w:sz w:val="22"/>
          <w:szCs w:val="21"/>
        </w:rPr>
        <w:t>万元，资产总额为</w:t>
      </w:r>
      <w:r>
        <w:rPr>
          <w:rFonts w:hint="eastAsia" w:ascii="宋体" w:hAnsi="宋体" w:eastAsia="宋体" w:cs="宋体"/>
          <w:color w:val="auto"/>
          <w:sz w:val="22"/>
          <w:szCs w:val="21"/>
          <w:u w:val="single"/>
        </w:rPr>
        <w:t xml:space="preserve">   </w:t>
      </w:r>
      <w:r>
        <w:rPr>
          <w:rFonts w:hint="eastAsia" w:ascii="宋体" w:hAnsi="宋体" w:eastAsia="宋体" w:cs="宋体"/>
          <w:color w:val="auto"/>
          <w:sz w:val="22"/>
          <w:szCs w:val="21"/>
        </w:rPr>
        <w:t>万元</w:t>
      </w:r>
      <w:r>
        <w:rPr>
          <w:rFonts w:hint="eastAsia" w:ascii="宋体" w:hAnsi="宋体" w:eastAsia="宋体" w:cs="宋体"/>
          <w:color w:val="auto"/>
          <w:sz w:val="28"/>
          <w:szCs w:val="24"/>
          <w:vertAlign w:val="superscript"/>
          <w:lang w:val="en-US"/>
        </w:rPr>
        <w:t>1</w:t>
      </w:r>
      <w:r>
        <w:rPr>
          <w:rFonts w:hint="eastAsia" w:ascii="宋体" w:hAnsi="宋体" w:eastAsia="宋体" w:cs="宋体"/>
          <w:color w:val="auto"/>
          <w:sz w:val="22"/>
          <w:szCs w:val="21"/>
        </w:rPr>
        <w:t>，属于</w:t>
      </w:r>
      <w:r>
        <w:rPr>
          <w:rFonts w:hint="eastAsia" w:ascii="宋体" w:hAnsi="宋体" w:eastAsia="宋体" w:cs="宋体"/>
          <w:color w:val="auto"/>
          <w:sz w:val="22"/>
          <w:szCs w:val="21"/>
          <w:u w:val="single"/>
        </w:rPr>
        <w:t>（中型企业、</w:t>
      </w:r>
      <w:r>
        <w:rPr>
          <w:rFonts w:hint="eastAsia" w:ascii="宋体" w:hAnsi="宋体" w:eastAsia="宋体" w:cs="宋体"/>
          <w:b w:val="0"/>
          <w:bCs/>
          <w:color w:val="auto"/>
          <w:sz w:val="22"/>
          <w:szCs w:val="21"/>
          <w:u w:val="single"/>
        </w:rPr>
        <w:t>小型企业、微型企业</w:t>
      </w:r>
      <w:r>
        <w:rPr>
          <w:rFonts w:hint="eastAsia" w:ascii="宋体" w:hAnsi="宋体" w:eastAsia="宋体" w:cs="宋体"/>
          <w:color w:val="auto"/>
          <w:sz w:val="22"/>
          <w:szCs w:val="21"/>
          <w:u w:val="single"/>
        </w:rPr>
        <w:t>）</w:t>
      </w:r>
      <w:r>
        <w:rPr>
          <w:rFonts w:hint="eastAsia" w:ascii="宋体" w:hAnsi="宋体" w:eastAsia="宋体" w:cs="宋体"/>
          <w:color w:val="auto"/>
          <w:sz w:val="22"/>
          <w:szCs w:val="21"/>
        </w:rPr>
        <w:t>；</w:t>
      </w:r>
    </w:p>
    <w:p w14:paraId="7D3AC2DA">
      <w:pPr>
        <w:adjustRightIn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2.</w:t>
      </w:r>
      <w:r>
        <w:rPr>
          <w:rFonts w:hint="eastAsia" w:ascii="宋体" w:hAnsi="宋体" w:eastAsia="宋体" w:cs="宋体"/>
          <w:color w:val="auto"/>
          <w:sz w:val="22"/>
          <w:szCs w:val="21"/>
          <w:u w:val="single"/>
        </w:rPr>
        <w:t>（标的名称）</w:t>
      </w:r>
      <w:r>
        <w:rPr>
          <w:rFonts w:hint="eastAsia" w:ascii="宋体" w:hAnsi="宋体" w:eastAsia="宋体" w:cs="宋体"/>
          <w:color w:val="auto"/>
          <w:sz w:val="22"/>
          <w:szCs w:val="21"/>
        </w:rPr>
        <w:t>，属于</w:t>
      </w:r>
      <w:r>
        <w:rPr>
          <w:rFonts w:hint="eastAsia" w:ascii="宋体" w:hAnsi="宋体" w:eastAsia="宋体" w:cs="宋体"/>
          <w:color w:val="auto"/>
          <w:sz w:val="22"/>
          <w:szCs w:val="21"/>
          <w:u w:val="single"/>
          <w:lang w:val="en-US" w:eastAsia="zh-CN"/>
        </w:rPr>
        <w:t>其他未列明行业</w:t>
      </w:r>
      <w:r>
        <w:rPr>
          <w:rFonts w:hint="eastAsia" w:ascii="宋体" w:hAnsi="宋体" w:eastAsia="宋体" w:cs="宋体"/>
          <w:color w:val="auto"/>
          <w:sz w:val="22"/>
          <w:szCs w:val="21"/>
        </w:rPr>
        <w:t>；承建（承接）企业为</w:t>
      </w:r>
      <w:r>
        <w:rPr>
          <w:rFonts w:hint="eastAsia" w:ascii="宋体" w:hAnsi="宋体" w:eastAsia="宋体" w:cs="宋体"/>
          <w:color w:val="auto"/>
          <w:sz w:val="22"/>
          <w:szCs w:val="21"/>
          <w:u w:val="single"/>
        </w:rPr>
        <w:t>（企业名称）</w:t>
      </w:r>
      <w:r>
        <w:rPr>
          <w:rFonts w:hint="eastAsia" w:ascii="宋体" w:hAnsi="宋体" w:eastAsia="宋体" w:cs="宋体"/>
          <w:color w:val="auto"/>
          <w:sz w:val="22"/>
          <w:szCs w:val="21"/>
        </w:rPr>
        <w:t>，从业人员</w:t>
      </w:r>
      <w:r>
        <w:rPr>
          <w:rFonts w:hint="eastAsia" w:ascii="宋体" w:hAnsi="宋体" w:eastAsia="宋体" w:cs="宋体"/>
          <w:color w:val="auto"/>
          <w:sz w:val="22"/>
          <w:szCs w:val="21"/>
          <w:u w:val="single"/>
        </w:rPr>
        <w:t xml:space="preserve">    </w:t>
      </w:r>
      <w:r>
        <w:rPr>
          <w:rFonts w:hint="eastAsia" w:ascii="宋体" w:hAnsi="宋体" w:eastAsia="宋体" w:cs="宋体"/>
          <w:color w:val="auto"/>
          <w:sz w:val="22"/>
          <w:szCs w:val="21"/>
        </w:rPr>
        <w:t>人，营业收入为</w:t>
      </w:r>
      <w:r>
        <w:rPr>
          <w:rFonts w:hint="eastAsia" w:ascii="宋体" w:hAnsi="宋体" w:eastAsia="宋体" w:cs="宋体"/>
          <w:color w:val="auto"/>
          <w:sz w:val="22"/>
          <w:szCs w:val="21"/>
          <w:u w:val="single"/>
        </w:rPr>
        <w:t xml:space="preserve">      </w:t>
      </w:r>
      <w:r>
        <w:rPr>
          <w:rFonts w:hint="eastAsia" w:ascii="宋体" w:hAnsi="宋体" w:eastAsia="宋体" w:cs="宋体"/>
          <w:color w:val="auto"/>
          <w:sz w:val="22"/>
          <w:szCs w:val="21"/>
        </w:rPr>
        <w:t>万元，资产总额为</w:t>
      </w:r>
      <w:r>
        <w:rPr>
          <w:rFonts w:hint="eastAsia" w:ascii="宋体" w:hAnsi="宋体" w:eastAsia="宋体" w:cs="宋体"/>
          <w:color w:val="auto"/>
          <w:sz w:val="22"/>
          <w:szCs w:val="21"/>
          <w:u w:val="single"/>
        </w:rPr>
        <w:t xml:space="preserve">   </w:t>
      </w:r>
      <w:r>
        <w:rPr>
          <w:rFonts w:hint="eastAsia" w:ascii="宋体" w:hAnsi="宋体" w:eastAsia="宋体" w:cs="宋体"/>
          <w:color w:val="auto"/>
          <w:sz w:val="22"/>
          <w:szCs w:val="21"/>
        </w:rPr>
        <w:t>万元，属于</w:t>
      </w:r>
      <w:r>
        <w:rPr>
          <w:rFonts w:hint="eastAsia" w:ascii="宋体" w:hAnsi="宋体" w:eastAsia="宋体" w:cs="宋体"/>
          <w:color w:val="auto"/>
          <w:sz w:val="22"/>
          <w:szCs w:val="21"/>
          <w:u w:val="single"/>
        </w:rPr>
        <w:t>（中型企业、</w:t>
      </w:r>
      <w:r>
        <w:rPr>
          <w:rFonts w:hint="eastAsia" w:ascii="宋体" w:hAnsi="宋体" w:eastAsia="宋体" w:cs="宋体"/>
          <w:b w:val="0"/>
          <w:bCs/>
          <w:color w:val="auto"/>
          <w:sz w:val="22"/>
          <w:szCs w:val="21"/>
          <w:u w:val="single"/>
        </w:rPr>
        <w:t>小型企业、微型企业</w:t>
      </w:r>
      <w:r>
        <w:rPr>
          <w:rFonts w:hint="eastAsia" w:ascii="宋体" w:hAnsi="宋体" w:eastAsia="宋体" w:cs="宋体"/>
          <w:color w:val="auto"/>
          <w:sz w:val="22"/>
          <w:szCs w:val="21"/>
          <w:u w:val="single"/>
        </w:rPr>
        <w:t>）</w:t>
      </w:r>
      <w:r>
        <w:rPr>
          <w:rFonts w:hint="eastAsia" w:ascii="宋体" w:hAnsi="宋体" w:eastAsia="宋体" w:cs="宋体"/>
          <w:color w:val="auto"/>
          <w:sz w:val="22"/>
          <w:szCs w:val="21"/>
        </w:rPr>
        <w:t>；</w:t>
      </w:r>
    </w:p>
    <w:p w14:paraId="72025553">
      <w:pPr>
        <w:adjustRightIn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w:t>
      </w:r>
    </w:p>
    <w:p w14:paraId="676B1D6C">
      <w:pPr>
        <w:adjustRightIn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以上企业，不属于大企业的分支机构，不存在控股股东为大企业的情形，也不存在与大企业的负责人为同一人的情形。</w:t>
      </w:r>
    </w:p>
    <w:p w14:paraId="7C1B133F">
      <w:pPr>
        <w:adjustRightInd w:val="0"/>
        <w:spacing w:line="360" w:lineRule="auto"/>
        <w:ind w:firstLine="442" w:firstLineChars="200"/>
        <w:rPr>
          <w:rFonts w:hint="eastAsia" w:ascii="宋体" w:hAnsi="宋体" w:eastAsia="宋体" w:cs="宋体"/>
          <w:b/>
          <w:color w:val="auto"/>
          <w:sz w:val="22"/>
          <w:szCs w:val="21"/>
        </w:rPr>
      </w:pPr>
      <w:r>
        <w:rPr>
          <w:rFonts w:hint="eastAsia" w:ascii="宋体" w:hAnsi="宋体" w:eastAsia="宋体" w:cs="宋体"/>
          <w:b/>
          <w:color w:val="auto"/>
          <w:sz w:val="22"/>
          <w:szCs w:val="21"/>
        </w:rPr>
        <w:t>本企业对上述声明内容的真实性负责。如有虚假，将依法承担相应责任。</w:t>
      </w:r>
    </w:p>
    <w:p w14:paraId="642C1B60">
      <w:pPr>
        <w:widowControl/>
        <w:spacing w:line="360" w:lineRule="auto"/>
        <w:ind w:firstLine="440" w:firstLineChars="200"/>
        <w:rPr>
          <w:rFonts w:hint="eastAsia" w:ascii="宋体" w:hAnsi="宋体" w:eastAsia="宋体" w:cs="宋体"/>
          <w:color w:val="auto"/>
          <w:sz w:val="22"/>
          <w:szCs w:val="21"/>
          <w:lang w:val="en-US"/>
        </w:rPr>
      </w:pPr>
    </w:p>
    <w:p w14:paraId="302A6429">
      <w:pPr>
        <w:widowControl/>
        <w:spacing w:beforeAutospacing="0" w:afterAutospacing="0" w:line="360" w:lineRule="auto"/>
        <w:ind w:firstLine="5500" w:firstLineChars="2500"/>
        <w:jc w:val="both"/>
        <w:rPr>
          <w:rFonts w:hint="eastAsia" w:ascii="宋体" w:hAnsi="宋体" w:eastAsia="宋体" w:cs="宋体"/>
          <w:color w:val="auto"/>
          <w:sz w:val="22"/>
          <w:szCs w:val="21"/>
        </w:rPr>
      </w:pPr>
      <w:r>
        <w:rPr>
          <w:rFonts w:hint="eastAsia" w:ascii="宋体" w:hAnsi="宋体" w:eastAsia="宋体" w:cs="宋体"/>
          <w:color w:val="auto"/>
          <w:sz w:val="22"/>
          <w:szCs w:val="21"/>
          <w:lang w:val="en-US"/>
        </w:rPr>
        <w:t>投标人</w:t>
      </w:r>
      <w:r>
        <w:rPr>
          <w:rFonts w:hint="eastAsia" w:ascii="宋体" w:hAnsi="宋体" w:eastAsia="宋体" w:cs="宋体"/>
          <w:color w:val="auto"/>
          <w:sz w:val="22"/>
          <w:szCs w:val="21"/>
        </w:rPr>
        <w:t>名称（</w:t>
      </w:r>
      <w:r>
        <w:rPr>
          <w:rFonts w:hint="eastAsia" w:ascii="宋体" w:hAnsi="宋体" w:eastAsia="宋体" w:cs="宋体"/>
          <w:color w:val="auto"/>
          <w:kern w:val="0"/>
          <w:sz w:val="22"/>
          <w:szCs w:val="22"/>
          <w:lang w:val="zh-CN"/>
        </w:rPr>
        <w:t>电子签名/公章</w:t>
      </w:r>
      <w:r>
        <w:rPr>
          <w:rFonts w:hint="eastAsia" w:ascii="宋体" w:hAnsi="宋体" w:eastAsia="宋体" w:cs="宋体"/>
          <w:color w:val="auto"/>
          <w:sz w:val="22"/>
          <w:szCs w:val="21"/>
        </w:rPr>
        <w:t>）：</w:t>
      </w:r>
    </w:p>
    <w:p w14:paraId="19775572">
      <w:pPr>
        <w:spacing w:beforeAutospacing="0" w:afterAutospacing="0" w:line="360" w:lineRule="auto"/>
        <w:ind w:firstLine="5500" w:firstLineChars="2500"/>
        <w:rPr>
          <w:rFonts w:hint="eastAsia" w:ascii="宋体" w:hAnsi="宋体" w:eastAsia="宋体" w:cs="宋体"/>
          <w:color w:val="auto"/>
          <w:sz w:val="22"/>
          <w:szCs w:val="21"/>
          <w:lang w:val="en-US"/>
        </w:rPr>
      </w:pPr>
      <w:r>
        <w:rPr>
          <w:rFonts w:hint="eastAsia" w:ascii="宋体" w:hAnsi="宋体" w:eastAsia="宋体" w:cs="宋体"/>
          <w:color w:val="auto"/>
          <w:sz w:val="22"/>
          <w:szCs w:val="21"/>
        </w:rPr>
        <w:t>日期：</w:t>
      </w:r>
      <w:r>
        <w:rPr>
          <w:rFonts w:hint="eastAsia" w:ascii="宋体" w:hAnsi="宋体" w:eastAsia="宋体" w:cs="宋体"/>
          <w:color w:val="auto"/>
          <w:sz w:val="22"/>
          <w:szCs w:val="21"/>
          <w:lang w:val="en-US"/>
        </w:rPr>
        <w:t xml:space="preserve">    年  月  日</w:t>
      </w:r>
    </w:p>
    <w:p w14:paraId="5F617627">
      <w:pPr>
        <w:keepNext w:val="0"/>
        <w:keepLines w:val="0"/>
        <w:pageBreakBefore w:val="0"/>
        <w:widowControl w:val="0"/>
        <w:tabs>
          <w:tab w:val="left" w:pos="7457"/>
        </w:tabs>
        <w:kinsoku/>
        <w:wordWrap/>
        <w:overflowPunct/>
        <w:topLinePunct w:val="0"/>
        <w:autoSpaceDE w:val="0"/>
        <w:autoSpaceDN w:val="0"/>
        <w:bidi w:val="0"/>
        <w:adjustRightInd w:val="0"/>
        <w:snapToGrid/>
        <w:spacing w:line="360" w:lineRule="exact"/>
        <w:ind w:firstLine="422" w:firstLineChars="200"/>
        <w:jc w:val="left"/>
        <w:textAlignment w:val="auto"/>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注：</w:t>
      </w:r>
      <w:r>
        <w:rPr>
          <w:rFonts w:hint="eastAsia" w:ascii="宋体" w:hAnsi="宋体" w:eastAsia="宋体" w:cs="宋体"/>
          <w:b w:val="0"/>
          <w:bCs/>
          <w:color w:val="auto"/>
          <w:kern w:val="0"/>
          <w:sz w:val="21"/>
          <w:szCs w:val="21"/>
          <w:lang w:val="en-US" w:eastAsia="zh-CN" w:bidi="ar-SA"/>
        </w:rPr>
        <w:t>1、填写要求：①“标的名称”、“采购文件中明确的所属行业”依据</w:t>
      </w:r>
      <w:r>
        <w:rPr>
          <w:rFonts w:hint="eastAsia" w:cs="宋体"/>
          <w:b w:val="0"/>
          <w:bCs/>
          <w:color w:val="auto"/>
          <w:kern w:val="0"/>
          <w:sz w:val="21"/>
          <w:szCs w:val="21"/>
          <w:lang w:val="en-US" w:eastAsia="zh-CN" w:bidi="ar-SA"/>
        </w:rPr>
        <w:t>招标</w:t>
      </w:r>
      <w:r>
        <w:rPr>
          <w:rFonts w:hint="eastAsia" w:ascii="宋体" w:hAnsi="宋体" w:eastAsia="宋体" w:cs="宋体"/>
          <w:b w:val="0"/>
          <w:bCs/>
          <w:color w:val="auto"/>
          <w:kern w:val="0"/>
          <w:sz w:val="21"/>
          <w:szCs w:val="21"/>
          <w:lang w:val="en-US" w:eastAsia="zh-CN" w:bidi="ar-SA"/>
        </w:rPr>
        <w:t>文件</w:t>
      </w:r>
      <w:r>
        <w:rPr>
          <w:rFonts w:hint="eastAsia" w:cs="宋体"/>
          <w:b w:val="0"/>
          <w:bCs/>
          <w:color w:val="auto"/>
          <w:kern w:val="0"/>
          <w:sz w:val="21"/>
          <w:szCs w:val="21"/>
          <w:lang w:val="en-US" w:eastAsia="zh-CN" w:bidi="ar-SA"/>
        </w:rPr>
        <w:t>“</w:t>
      </w:r>
      <w:r>
        <w:rPr>
          <w:rFonts w:hint="eastAsia" w:ascii="宋体" w:hAnsi="宋体" w:eastAsia="宋体" w:cs="宋体"/>
          <w:b w:val="0"/>
          <w:bCs/>
          <w:color w:val="auto"/>
          <w:kern w:val="0"/>
          <w:sz w:val="21"/>
          <w:szCs w:val="21"/>
          <w:lang w:val="en-US" w:eastAsia="zh-CN" w:bidi="ar-SA"/>
        </w:rPr>
        <w:t>第二部分</w:t>
      </w:r>
      <w:r>
        <w:rPr>
          <w:rFonts w:hint="eastAsia" w:cs="宋体"/>
          <w:b w:val="0"/>
          <w:bCs/>
          <w:color w:val="auto"/>
          <w:kern w:val="0"/>
          <w:sz w:val="21"/>
          <w:szCs w:val="21"/>
          <w:lang w:val="en-US" w:eastAsia="zh-CN" w:bidi="ar-SA"/>
        </w:rPr>
        <w:t xml:space="preserve"> 投标人须知</w:t>
      </w:r>
      <w:r>
        <w:rPr>
          <w:rFonts w:hint="eastAsia" w:ascii="宋体" w:hAnsi="宋体" w:eastAsia="宋体" w:cs="宋体"/>
          <w:b w:val="0"/>
          <w:bCs/>
          <w:color w:val="auto"/>
          <w:kern w:val="0"/>
          <w:sz w:val="21"/>
          <w:szCs w:val="21"/>
          <w:lang w:val="en-US" w:eastAsia="zh-CN" w:bidi="ar-SA"/>
        </w:rPr>
        <w:t>前附表</w:t>
      </w:r>
      <w:r>
        <w:rPr>
          <w:rFonts w:hint="eastAsia" w:cs="宋体"/>
          <w:b w:val="0"/>
          <w:bCs/>
          <w:color w:val="auto"/>
          <w:kern w:val="0"/>
          <w:sz w:val="21"/>
          <w:szCs w:val="21"/>
          <w:lang w:val="en-US" w:eastAsia="zh-CN" w:bidi="ar-SA"/>
        </w:rPr>
        <w:t>”</w:t>
      </w:r>
      <w:r>
        <w:rPr>
          <w:rFonts w:hint="eastAsia" w:ascii="宋体" w:hAnsi="宋体" w:eastAsia="宋体" w:cs="宋体"/>
          <w:b w:val="0"/>
          <w:bCs/>
          <w:color w:val="auto"/>
          <w:kern w:val="0"/>
          <w:sz w:val="21"/>
          <w:szCs w:val="21"/>
          <w:lang w:val="en-US" w:eastAsia="zh-CN" w:bidi="ar-SA"/>
        </w:rPr>
        <w:t>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59312B4">
      <w:pPr>
        <w:keepNext w:val="0"/>
        <w:keepLines w:val="0"/>
        <w:pageBreakBefore w:val="0"/>
        <w:widowControl w:val="0"/>
        <w:tabs>
          <w:tab w:val="left" w:pos="7457"/>
        </w:tabs>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E15DB3A">
      <w:pPr>
        <w:spacing w:before="49" w:line="480" w:lineRule="auto"/>
        <w:ind w:left="1217" w:right="1232"/>
        <w:jc w:val="center"/>
        <w:rPr>
          <w:rFonts w:hint="eastAsia" w:ascii="宋体" w:hAnsi="宋体" w:eastAsia="宋体" w:cs="宋体"/>
          <w:b/>
          <w:color w:val="auto"/>
          <w:sz w:val="28"/>
          <w:szCs w:val="20"/>
        </w:rPr>
      </w:pPr>
      <w:r>
        <w:rPr>
          <w:rFonts w:hint="eastAsia" w:ascii="宋体" w:hAnsi="宋体" w:eastAsia="宋体" w:cs="宋体"/>
          <w:color w:val="auto"/>
          <w:sz w:val="24"/>
          <w:szCs w:val="24"/>
        </w:rPr>
        <w:br w:type="page"/>
      </w:r>
      <w:r>
        <w:rPr>
          <w:rFonts w:hint="eastAsia" w:ascii="宋体" w:hAnsi="宋体" w:eastAsia="宋体" w:cs="宋体"/>
          <w:b/>
          <w:color w:val="auto"/>
          <w:sz w:val="28"/>
          <w:szCs w:val="20"/>
        </w:rPr>
        <w:t>监狱企业证明文件（</w:t>
      </w:r>
      <w:r>
        <w:rPr>
          <w:rFonts w:hint="eastAsia" w:ascii="宋体" w:hAnsi="宋体" w:eastAsia="宋体" w:cs="宋体"/>
          <w:b/>
          <w:color w:val="auto"/>
          <w:sz w:val="28"/>
          <w:szCs w:val="20"/>
          <w:lang w:val="en-US"/>
        </w:rPr>
        <w:t>如有</w:t>
      </w:r>
      <w:r>
        <w:rPr>
          <w:rFonts w:hint="eastAsia" w:ascii="宋体" w:hAnsi="宋体" w:eastAsia="宋体" w:cs="宋体"/>
          <w:b/>
          <w:color w:val="auto"/>
          <w:sz w:val="28"/>
          <w:szCs w:val="20"/>
        </w:rPr>
        <w:t>）</w:t>
      </w:r>
    </w:p>
    <w:p w14:paraId="498EC85C">
      <w:pPr>
        <w:pStyle w:val="14"/>
        <w:spacing w:line="480" w:lineRule="auto"/>
        <w:ind w:left="0" w:firstLine="440" w:firstLineChars="200"/>
        <w:rPr>
          <w:rFonts w:hint="eastAsia" w:ascii="宋体" w:hAnsi="宋体" w:eastAsia="宋体" w:cs="宋体"/>
          <w:color w:val="auto"/>
          <w:kern w:val="0"/>
          <w:sz w:val="22"/>
          <w:szCs w:val="21"/>
          <w:lang w:bidi="zh-CN"/>
        </w:rPr>
      </w:pPr>
      <w:r>
        <w:rPr>
          <w:rFonts w:hint="eastAsia" w:ascii="宋体" w:hAnsi="宋体" w:eastAsia="宋体" w:cs="宋体"/>
          <w:color w:val="auto"/>
          <w:kern w:val="0"/>
          <w:sz w:val="22"/>
          <w:szCs w:val="21"/>
          <w:lang w:bidi="zh-CN"/>
        </w:rPr>
        <w:t>监狱企业证明文件：省级或以上监狱管理局、戒毒管理局（含新疆生产建设兵团）出具的属于监狱企业的证明文件。（2）如果提供其他监狱企业制造的货物，还须同时提供该企业为监狱企业的证明文件。</w:t>
      </w:r>
    </w:p>
    <w:p w14:paraId="15F1CEAE">
      <w:pPr>
        <w:rPr>
          <w:rFonts w:hint="eastAsia" w:ascii="宋体" w:hAnsi="宋体" w:eastAsia="宋体" w:cs="宋体"/>
          <w:color w:val="auto"/>
          <w:sz w:val="22"/>
          <w:szCs w:val="21"/>
        </w:rPr>
      </w:pPr>
    </w:p>
    <w:p w14:paraId="523815A5">
      <w:pPr>
        <w:pStyle w:val="33"/>
        <w:rPr>
          <w:rFonts w:hint="eastAsia" w:ascii="宋体" w:hAnsi="宋体" w:eastAsia="宋体" w:cs="宋体"/>
          <w:color w:val="auto"/>
          <w:sz w:val="22"/>
          <w:szCs w:val="21"/>
        </w:rPr>
      </w:pPr>
    </w:p>
    <w:p w14:paraId="0B5F8EA1">
      <w:pPr>
        <w:pStyle w:val="12"/>
        <w:rPr>
          <w:rFonts w:hint="eastAsia" w:ascii="宋体" w:hAnsi="宋体" w:eastAsia="宋体" w:cs="宋体"/>
          <w:color w:val="auto"/>
          <w:sz w:val="22"/>
          <w:szCs w:val="21"/>
        </w:rPr>
      </w:pPr>
    </w:p>
    <w:p w14:paraId="4AF7C24D">
      <w:pPr>
        <w:pStyle w:val="13"/>
        <w:ind w:firstLine="0"/>
        <w:rPr>
          <w:rFonts w:hint="eastAsia" w:ascii="宋体" w:hAnsi="宋体" w:eastAsia="宋体" w:cs="宋体"/>
          <w:color w:val="auto"/>
          <w:sz w:val="22"/>
          <w:szCs w:val="18"/>
        </w:rPr>
      </w:pPr>
    </w:p>
    <w:p w14:paraId="2EF80D3E">
      <w:pPr>
        <w:spacing w:before="49" w:line="480" w:lineRule="auto"/>
        <w:ind w:left="1217" w:right="1232"/>
        <w:jc w:val="center"/>
        <w:rPr>
          <w:rFonts w:hint="eastAsia" w:ascii="宋体" w:hAnsi="宋体" w:eastAsia="宋体" w:cs="宋体"/>
          <w:b/>
          <w:color w:val="auto"/>
          <w:sz w:val="28"/>
          <w:szCs w:val="20"/>
        </w:rPr>
      </w:pPr>
      <w:r>
        <w:rPr>
          <w:rFonts w:hint="eastAsia" w:ascii="宋体" w:hAnsi="宋体" w:eastAsia="宋体" w:cs="宋体"/>
          <w:b/>
          <w:color w:val="auto"/>
          <w:sz w:val="28"/>
          <w:szCs w:val="20"/>
        </w:rPr>
        <w:t>残疾人福利性单位声明函（</w:t>
      </w:r>
      <w:r>
        <w:rPr>
          <w:rFonts w:hint="eastAsia" w:ascii="宋体" w:hAnsi="宋体" w:eastAsia="宋体" w:cs="宋体"/>
          <w:b/>
          <w:color w:val="auto"/>
          <w:sz w:val="28"/>
          <w:szCs w:val="20"/>
          <w:lang w:val="en-US"/>
        </w:rPr>
        <w:t>如有</w:t>
      </w:r>
      <w:r>
        <w:rPr>
          <w:rFonts w:hint="eastAsia" w:ascii="宋体" w:hAnsi="宋体" w:eastAsia="宋体" w:cs="宋体"/>
          <w:b/>
          <w:color w:val="auto"/>
          <w:sz w:val="28"/>
          <w:szCs w:val="20"/>
        </w:rPr>
        <w:t>）</w:t>
      </w:r>
    </w:p>
    <w:p w14:paraId="11961A4C">
      <w:pPr>
        <w:widowControl/>
        <w:spacing w:before="100" w:beforeAutospacing="1" w:after="100" w:afterAutospacing="1" w:line="48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auto"/>
          <w:sz w:val="22"/>
          <w:szCs w:val="21"/>
          <w:u w:val="single"/>
          <w:lang w:val="en-US"/>
        </w:rPr>
        <w:t xml:space="preserve">              </w:t>
      </w:r>
      <w:r>
        <w:rPr>
          <w:rFonts w:hint="eastAsia" w:ascii="宋体" w:hAnsi="宋体" w:eastAsia="宋体" w:cs="宋体"/>
          <w:color w:val="auto"/>
          <w:sz w:val="22"/>
          <w:szCs w:val="21"/>
          <w:lang w:val="en-US"/>
        </w:rPr>
        <w:t>单位的</w:t>
      </w:r>
      <w:r>
        <w:rPr>
          <w:rFonts w:hint="eastAsia" w:ascii="宋体" w:hAnsi="宋体" w:eastAsia="宋体" w:cs="宋体"/>
          <w:color w:val="auto"/>
          <w:sz w:val="22"/>
          <w:szCs w:val="21"/>
          <w:u w:val="single"/>
          <w:lang w:val="en-US"/>
        </w:rPr>
        <w:t xml:space="preserve"> </w:t>
      </w:r>
      <w:r>
        <w:rPr>
          <w:rFonts w:hint="eastAsia" w:ascii="宋体" w:hAnsi="宋体" w:eastAsia="宋体" w:cs="宋体"/>
          <w:color w:val="auto"/>
          <w:sz w:val="22"/>
          <w:szCs w:val="21"/>
          <w:u w:val="single"/>
        </w:rPr>
        <w:t xml:space="preserve">    项目名称   </w:t>
      </w:r>
      <w:r>
        <w:rPr>
          <w:rFonts w:hint="eastAsia" w:ascii="宋体" w:hAnsi="宋体" w:eastAsia="宋体" w:cs="宋体"/>
          <w:color w:val="auto"/>
          <w:sz w:val="22"/>
          <w:szCs w:val="21"/>
        </w:rPr>
        <w:t>（项目编号）采购活动提供本单位制造的货物（由本单位承担工程/提供服务），或者提供其他残疾人福利性单位制造的货物（不包括使用非残疾人福利性单位注册商标的货物）。</w:t>
      </w:r>
    </w:p>
    <w:p w14:paraId="7C354916">
      <w:pPr>
        <w:widowControl/>
        <w:spacing w:before="100" w:beforeAutospacing="1" w:after="100" w:afterAutospacing="1" w:line="480" w:lineRule="auto"/>
        <w:ind w:firstLine="330" w:firstLineChars="150"/>
        <w:rPr>
          <w:rFonts w:hint="eastAsia" w:ascii="宋体" w:hAnsi="宋体" w:eastAsia="宋体" w:cs="宋体"/>
          <w:color w:val="auto"/>
          <w:sz w:val="22"/>
          <w:szCs w:val="21"/>
        </w:rPr>
      </w:pPr>
      <w:r>
        <w:rPr>
          <w:rFonts w:hint="eastAsia" w:ascii="宋体" w:hAnsi="宋体" w:eastAsia="宋体" w:cs="宋体"/>
          <w:color w:val="auto"/>
          <w:sz w:val="22"/>
          <w:szCs w:val="21"/>
        </w:rPr>
        <w:t>本单位对上述声明的真实性负责。如有虚假，将依法承担相应责任。</w:t>
      </w:r>
    </w:p>
    <w:p w14:paraId="4C285628">
      <w:pPr>
        <w:snapToGrid w:val="0"/>
        <w:spacing w:line="360" w:lineRule="atLeast"/>
        <w:ind w:firstLine="570"/>
        <w:rPr>
          <w:rFonts w:hint="eastAsia" w:ascii="宋体" w:hAnsi="宋体" w:eastAsia="宋体" w:cs="宋体"/>
          <w:color w:val="auto"/>
          <w:sz w:val="22"/>
          <w:szCs w:val="21"/>
        </w:rPr>
      </w:pPr>
    </w:p>
    <w:p w14:paraId="78493857">
      <w:pPr>
        <w:widowControl/>
        <w:spacing w:before="100" w:beforeAutospacing="1" w:after="100" w:afterAutospacing="1" w:line="480" w:lineRule="auto"/>
        <w:ind w:firstLine="4730" w:firstLineChars="2150"/>
        <w:rPr>
          <w:rFonts w:hint="eastAsia" w:ascii="宋体" w:hAnsi="宋体" w:eastAsia="宋体" w:cs="宋体"/>
          <w:color w:val="auto"/>
          <w:sz w:val="22"/>
          <w:szCs w:val="21"/>
        </w:rPr>
      </w:pPr>
      <w:r>
        <w:rPr>
          <w:rFonts w:hint="eastAsia" w:ascii="宋体" w:hAnsi="宋体" w:eastAsia="宋体" w:cs="宋体"/>
          <w:color w:val="auto"/>
          <w:sz w:val="22"/>
          <w:szCs w:val="21"/>
          <w:lang w:val="en-US"/>
        </w:rPr>
        <w:t>投标人</w:t>
      </w:r>
      <w:r>
        <w:rPr>
          <w:rFonts w:hint="eastAsia" w:ascii="宋体" w:hAnsi="宋体" w:eastAsia="宋体" w:cs="宋体"/>
          <w:color w:val="auto"/>
          <w:sz w:val="22"/>
          <w:szCs w:val="21"/>
        </w:rPr>
        <w:t>名称（盖章）：</w:t>
      </w:r>
    </w:p>
    <w:p w14:paraId="2F83244F">
      <w:pPr>
        <w:widowControl/>
        <w:spacing w:before="100" w:beforeAutospacing="1" w:after="100" w:afterAutospacing="1" w:line="480" w:lineRule="auto"/>
        <w:ind w:firstLine="4730" w:firstLineChars="2150"/>
        <w:rPr>
          <w:rFonts w:hint="eastAsia" w:ascii="宋体" w:hAnsi="宋体" w:eastAsia="宋体" w:cs="宋体"/>
          <w:color w:val="auto"/>
          <w:sz w:val="22"/>
          <w:szCs w:val="21"/>
          <w:lang w:val="en-US"/>
        </w:rPr>
      </w:pPr>
      <w:r>
        <w:rPr>
          <w:rFonts w:hint="eastAsia" w:ascii="宋体" w:hAnsi="宋体" w:eastAsia="宋体" w:cs="宋体"/>
          <w:color w:val="auto"/>
          <w:sz w:val="22"/>
          <w:szCs w:val="21"/>
        </w:rPr>
        <w:t>日期：</w:t>
      </w:r>
      <w:r>
        <w:rPr>
          <w:rFonts w:hint="eastAsia" w:ascii="宋体" w:hAnsi="宋体" w:eastAsia="宋体" w:cs="宋体"/>
          <w:color w:val="auto"/>
          <w:sz w:val="22"/>
          <w:szCs w:val="21"/>
          <w:lang w:val="en-US"/>
        </w:rPr>
        <w:t xml:space="preserve">    年  月  日</w:t>
      </w:r>
    </w:p>
    <w:p w14:paraId="0D84C13B">
      <w:pPr>
        <w:rPr>
          <w:rFonts w:hint="eastAsia" w:ascii="宋体" w:hAnsi="宋体" w:eastAsia="宋体" w:cs="宋体"/>
          <w:b/>
          <w:color w:val="auto"/>
          <w:sz w:val="28"/>
          <w:szCs w:val="20"/>
        </w:rPr>
      </w:pPr>
    </w:p>
    <w:p w14:paraId="5B5F7BD9">
      <w:pPr>
        <w:rPr>
          <w:rFonts w:hint="eastAsia" w:ascii="宋体" w:hAnsi="宋体" w:eastAsia="宋体" w:cs="宋体"/>
          <w:b/>
          <w:color w:val="auto"/>
          <w:sz w:val="28"/>
          <w:szCs w:val="20"/>
        </w:rPr>
      </w:pPr>
    </w:p>
    <w:p w14:paraId="274806EC">
      <w:pPr>
        <w:rPr>
          <w:rFonts w:hint="eastAsia" w:ascii="宋体" w:hAnsi="宋体" w:eastAsia="宋体" w:cs="宋体"/>
          <w:b/>
          <w:color w:val="auto"/>
          <w:sz w:val="28"/>
          <w:szCs w:val="20"/>
        </w:rPr>
      </w:pPr>
    </w:p>
    <w:p w14:paraId="657EF064">
      <w:pPr>
        <w:rPr>
          <w:rFonts w:hint="eastAsia" w:ascii="宋体" w:hAnsi="宋体" w:eastAsia="宋体" w:cs="宋体"/>
          <w:b/>
          <w:color w:val="auto"/>
          <w:sz w:val="28"/>
          <w:szCs w:val="20"/>
        </w:rPr>
      </w:pPr>
      <w:r>
        <w:rPr>
          <w:rFonts w:hint="eastAsia" w:ascii="宋体" w:hAnsi="宋体" w:eastAsia="宋体" w:cs="宋体"/>
          <w:b/>
          <w:color w:val="auto"/>
          <w:sz w:val="28"/>
          <w:szCs w:val="20"/>
        </w:rPr>
        <w:br w:type="page"/>
      </w:r>
    </w:p>
    <w:p w14:paraId="40ED2D34">
      <w:pPr>
        <w:pStyle w:val="12"/>
        <w:rPr>
          <w:rFonts w:hint="eastAsia" w:ascii="宋体" w:hAnsi="宋体" w:eastAsia="宋体" w:cs="宋体"/>
          <w:color w:val="auto"/>
          <w:sz w:val="22"/>
          <w:szCs w:val="22"/>
          <w:lang w:val="en-US"/>
        </w:rPr>
      </w:pPr>
    </w:p>
    <w:p w14:paraId="7035ECAF">
      <w:pPr>
        <w:pStyle w:val="13"/>
        <w:ind w:firstLine="0"/>
        <w:rPr>
          <w:rFonts w:hint="eastAsia" w:ascii="宋体" w:hAnsi="宋体" w:eastAsia="宋体" w:cs="宋体"/>
          <w:color w:val="auto"/>
          <w:sz w:val="22"/>
          <w:szCs w:val="18"/>
          <w:lang w:val="en-US"/>
        </w:rPr>
      </w:pPr>
    </w:p>
    <w:p w14:paraId="6CB8A5ED">
      <w:pPr>
        <w:pStyle w:val="14"/>
        <w:ind w:left="0"/>
        <w:rPr>
          <w:rFonts w:hint="eastAsia" w:ascii="宋体" w:hAnsi="宋体" w:eastAsia="宋体" w:cs="宋体"/>
          <w:color w:val="auto"/>
          <w:sz w:val="21"/>
          <w:szCs w:val="18"/>
          <w:lang w:val="en-US"/>
        </w:rPr>
      </w:pPr>
    </w:p>
    <w:p w14:paraId="78323E76">
      <w:pPr>
        <w:rPr>
          <w:rFonts w:hint="eastAsia" w:ascii="宋体" w:hAnsi="宋体" w:eastAsia="宋体" w:cs="宋体"/>
          <w:color w:val="auto"/>
          <w:sz w:val="21"/>
          <w:szCs w:val="21"/>
          <w:lang w:val="en-US"/>
        </w:rPr>
      </w:pPr>
    </w:p>
    <w:p w14:paraId="6D1449B0">
      <w:pPr>
        <w:pStyle w:val="33"/>
        <w:rPr>
          <w:rFonts w:hint="eastAsia" w:ascii="宋体" w:hAnsi="宋体" w:eastAsia="宋体" w:cs="宋体"/>
          <w:color w:val="auto"/>
          <w:sz w:val="16"/>
          <w:szCs w:val="21"/>
          <w:lang w:val="en-US"/>
        </w:rPr>
      </w:pPr>
    </w:p>
    <w:p w14:paraId="3A49CCD8">
      <w:pPr>
        <w:pStyle w:val="12"/>
        <w:rPr>
          <w:rFonts w:hint="eastAsia" w:ascii="宋体" w:hAnsi="宋体" w:eastAsia="宋体" w:cs="宋体"/>
          <w:color w:val="auto"/>
          <w:sz w:val="22"/>
          <w:szCs w:val="22"/>
          <w:lang w:val="en-US"/>
        </w:rPr>
      </w:pPr>
    </w:p>
    <w:p w14:paraId="033DD10D">
      <w:pPr>
        <w:pStyle w:val="13"/>
        <w:ind w:firstLine="0"/>
        <w:rPr>
          <w:rFonts w:hint="eastAsia" w:ascii="宋体" w:hAnsi="宋体" w:eastAsia="宋体" w:cs="宋体"/>
          <w:color w:val="auto"/>
          <w:sz w:val="22"/>
          <w:szCs w:val="18"/>
          <w:lang w:val="en-US"/>
        </w:rPr>
      </w:pPr>
    </w:p>
    <w:p w14:paraId="26FF0905">
      <w:pPr>
        <w:pStyle w:val="14"/>
        <w:ind w:left="0"/>
        <w:rPr>
          <w:rFonts w:hint="eastAsia" w:ascii="宋体" w:hAnsi="宋体" w:eastAsia="宋体" w:cs="宋体"/>
          <w:color w:val="auto"/>
          <w:sz w:val="21"/>
          <w:szCs w:val="18"/>
          <w:lang w:val="en-US"/>
        </w:rPr>
      </w:pPr>
    </w:p>
    <w:p w14:paraId="022BED8B">
      <w:pPr>
        <w:rPr>
          <w:rFonts w:hint="eastAsia" w:ascii="宋体" w:hAnsi="宋体" w:eastAsia="宋体" w:cs="宋体"/>
          <w:color w:val="auto"/>
          <w:sz w:val="21"/>
          <w:szCs w:val="21"/>
          <w:lang w:val="en-US"/>
        </w:rPr>
      </w:pPr>
    </w:p>
    <w:p w14:paraId="36B028E7">
      <w:pPr>
        <w:pStyle w:val="33"/>
        <w:rPr>
          <w:rFonts w:hint="eastAsia" w:ascii="宋体" w:hAnsi="宋体" w:eastAsia="宋体" w:cs="宋体"/>
          <w:color w:val="auto"/>
          <w:sz w:val="16"/>
          <w:szCs w:val="21"/>
          <w:lang w:val="en-US"/>
        </w:rPr>
      </w:pPr>
    </w:p>
    <w:p w14:paraId="6BE0064E">
      <w:pPr>
        <w:pStyle w:val="12"/>
        <w:rPr>
          <w:rFonts w:hint="eastAsia" w:ascii="宋体" w:hAnsi="宋体" w:eastAsia="宋体" w:cs="宋体"/>
          <w:color w:val="auto"/>
          <w:sz w:val="22"/>
          <w:szCs w:val="22"/>
          <w:lang w:val="en-US"/>
        </w:rPr>
      </w:pPr>
    </w:p>
    <w:p w14:paraId="6059A0AB">
      <w:pPr>
        <w:pStyle w:val="13"/>
        <w:ind w:firstLine="0"/>
        <w:rPr>
          <w:rFonts w:hint="eastAsia" w:ascii="宋体" w:hAnsi="宋体" w:eastAsia="宋体" w:cs="宋体"/>
          <w:color w:val="auto"/>
          <w:sz w:val="22"/>
          <w:szCs w:val="18"/>
          <w:lang w:val="en-US"/>
        </w:rPr>
      </w:pPr>
    </w:p>
    <w:p w14:paraId="6043A4BD">
      <w:pPr>
        <w:pStyle w:val="14"/>
        <w:ind w:left="0"/>
        <w:rPr>
          <w:rFonts w:hint="eastAsia" w:ascii="宋体" w:hAnsi="宋体" w:eastAsia="宋体" w:cs="宋体"/>
          <w:color w:val="auto"/>
          <w:sz w:val="21"/>
          <w:szCs w:val="18"/>
          <w:lang w:val="en-US"/>
        </w:rPr>
      </w:pPr>
    </w:p>
    <w:p w14:paraId="2EB9DE01">
      <w:pPr>
        <w:rPr>
          <w:rFonts w:hint="eastAsia" w:ascii="宋体" w:hAnsi="宋体" w:eastAsia="宋体" w:cs="宋体"/>
          <w:color w:val="auto"/>
          <w:sz w:val="21"/>
          <w:szCs w:val="21"/>
          <w:lang w:val="en-US"/>
        </w:rPr>
      </w:pPr>
    </w:p>
    <w:p w14:paraId="4F571A69">
      <w:pPr>
        <w:pStyle w:val="33"/>
        <w:rPr>
          <w:rFonts w:hint="eastAsia" w:ascii="宋体" w:hAnsi="宋体" w:eastAsia="宋体" w:cs="宋体"/>
          <w:color w:val="auto"/>
          <w:sz w:val="16"/>
          <w:szCs w:val="21"/>
          <w:lang w:val="en-US"/>
        </w:rPr>
      </w:pPr>
    </w:p>
    <w:p w14:paraId="29B09155">
      <w:pPr>
        <w:pStyle w:val="12"/>
        <w:rPr>
          <w:rFonts w:hint="eastAsia" w:ascii="宋体" w:hAnsi="宋体" w:eastAsia="宋体" w:cs="宋体"/>
          <w:color w:val="auto"/>
          <w:sz w:val="22"/>
          <w:szCs w:val="22"/>
          <w:lang w:val="en-US"/>
        </w:rPr>
      </w:pPr>
    </w:p>
    <w:p w14:paraId="01448ADC">
      <w:pPr>
        <w:pStyle w:val="13"/>
        <w:ind w:firstLine="0"/>
        <w:rPr>
          <w:rFonts w:hint="eastAsia" w:ascii="宋体" w:hAnsi="宋体" w:eastAsia="宋体" w:cs="宋体"/>
          <w:color w:val="auto"/>
          <w:sz w:val="22"/>
          <w:szCs w:val="18"/>
          <w:lang w:val="en-US"/>
        </w:rPr>
      </w:pPr>
    </w:p>
    <w:p w14:paraId="30E8758B">
      <w:pPr>
        <w:pStyle w:val="14"/>
        <w:ind w:left="0"/>
        <w:rPr>
          <w:rFonts w:hint="eastAsia" w:ascii="宋体" w:hAnsi="宋体" w:eastAsia="宋体" w:cs="宋体"/>
          <w:color w:val="auto"/>
          <w:sz w:val="21"/>
          <w:szCs w:val="18"/>
          <w:lang w:val="en-US"/>
        </w:rPr>
      </w:pPr>
    </w:p>
    <w:p w14:paraId="1B39DDC9">
      <w:pPr>
        <w:rPr>
          <w:rFonts w:hint="eastAsia" w:ascii="宋体" w:hAnsi="宋体" w:eastAsia="宋体" w:cs="宋体"/>
          <w:color w:val="auto"/>
          <w:sz w:val="21"/>
          <w:szCs w:val="21"/>
          <w:lang w:val="en-US"/>
        </w:rPr>
      </w:pPr>
    </w:p>
    <w:p w14:paraId="3747CC53">
      <w:pPr>
        <w:pStyle w:val="33"/>
        <w:rPr>
          <w:rFonts w:hint="eastAsia" w:ascii="宋体" w:hAnsi="宋体" w:eastAsia="宋体" w:cs="宋体"/>
          <w:color w:val="auto"/>
          <w:sz w:val="16"/>
          <w:szCs w:val="21"/>
          <w:lang w:val="en-US"/>
        </w:rPr>
      </w:pPr>
    </w:p>
    <w:p w14:paraId="50185A70">
      <w:pPr>
        <w:pStyle w:val="13"/>
        <w:ind w:firstLine="0"/>
        <w:jc w:val="center"/>
        <w:rPr>
          <w:rFonts w:hint="eastAsia" w:ascii="宋体" w:hAnsi="宋体" w:eastAsia="宋体" w:cs="宋体"/>
          <w:b/>
          <w:bCs/>
          <w:color w:val="auto"/>
          <w:sz w:val="32"/>
          <w:szCs w:val="22"/>
        </w:rPr>
      </w:pPr>
      <w:r>
        <w:rPr>
          <w:rFonts w:hint="eastAsia" w:ascii="宋体" w:hAnsi="宋体" w:eastAsia="宋体" w:cs="宋体"/>
          <w:b/>
          <w:bCs/>
          <w:color w:val="auto"/>
          <w:sz w:val="32"/>
          <w:szCs w:val="22"/>
        </w:rPr>
        <w:t>（</w:t>
      </w:r>
      <w:r>
        <w:rPr>
          <w:rFonts w:hint="eastAsia" w:ascii="宋体" w:hAnsi="宋体" w:eastAsia="宋体" w:cs="宋体"/>
          <w:b/>
          <w:bCs/>
          <w:color w:val="auto"/>
          <w:sz w:val="32"/>
          <w:szCs w:val="22"/>
          <w:lang w:val="en-US" w:eastAsia="zh-CN"/>
        </w:rPr>
        <w:t>3</w:t>
      </w:r>
      <w:r>
        <w:rPr>
          <w:rFonts w:hint="eastAsia" w:ascii="宋体" w:hAnsi="宋体" w:eastAsia="宋体" w:cs="宋体"/>
          <w:b/>
          <w:bCs/>
          <w:color w:val="auto"/>
          <w:sz w:val="32"/>
          <w:szCs w:val="22"/>
        </w:rPr>
        <w:t>）</w:t>
      </w:r>
      <w:r>
        <w:rPr>
          <w:rFonts w:hint="eastAsia" w:ascii="宋体" w:hAnsi="宋体" w:eastAsia="宋体" w:cs="宋体"/>
          <w:b/>
          <w:bCs/>
          <w:color w:val="auto"/>
          <w:sz w:val="32"/>
          <w:szCs w:val="22"/>
          <w:lang w:val="en-US"/>
        </w:rPr>
        <w:t>报价</w:t>
      </w:r>
      <w:r>
        <w:rPr>
          <w:rFonts w:hint="eastAsia" w:ascii="宋体" w:hAnsi="宋体" w:eastAsia="宋体" w:cs="宋体"/>
          <w:b/>
          <w:bCs/>
          <w:color w:val="auto"/>
          <w:sz w:val="32"/>
          <w:szCs w:val="22"/>
        </w:rPr>
        <w:t>文件要求的或投标人认为需要的其它资料</w:t>
      </w:r>
    </w:p>
    <w:p w14:paraId="27A06411">
      <w:pPr>
        <w:rPr>
          <w:rFonts w:hint="eastAsia" w:ascii="宋体" w:hAnsi="宋体" w:eastAsia="宋体" w:cs="宋体"/>
          <w:b/>
          <w:bCs/>
          <w:color w:val="auto"/>
          <w:sz w:val="32"/>
          <w:szCs w:val="22"/>
        </w:rPr>
      </w:pPr>
      <w:r>
        <w:rPr>
          <w:rFonts w:hint="eastAsia" w:ascii="宋体" w:hAnsi="宋体" w:eastAsia="宋体" w:cs="宋体"/>
          <w:b/>
          <w:bCs/>
          <w:color w:val="auto"/>
          <w:sz w:val="32"/>
          <w:szCs w:val="22"/>
        </w:rPr>
        <w:br w:type="page"/>
      </w:r>
    </w:p>
    <w:p w14:paraId="0767570B">
      <w:pPr>
        <w:spacing w:line="360" w:lineRule="auto"/>
        <w:jc w:val="left"/>
        <w:rPr>
          <w:rFonts w:cs="仿宋_GB2312" w:asciiTheme="minorEastAsia" w:hAnsiTheme="minorEastAsia" w:eastAsiaTheme="minorEastAsia"/>
          <w:b/>
          <w:color w:val="auto"/>
          <w:spacing w:val="6"/>
          <w:sz w:val="28"/>
          <w:szCs w:val="28"/>
        </w:rPr>
      </w:pPr>
      <w:r>
        <w:rPr>
          <w:rFonts w:hint="eastAsia" w:cs="仿宋_GB2312" w:asciiTheme="minorEastAsia" w:hAnsiTheme="minorEastAsia" w:eastAsiaTheme="minorEastAsia"/>
          <w:b/>
          <w:color w:val="auto"/>
          <w:spacing w:val="6"/>
          <w:sz w:val="28"/>
          <w:szCs w:val="28"/>
        </w:rPr>
        <w:t>附件1：质疑函范本及制作说明</w:t>
      </w:r>
    </w:p>
    <w:p w14:paraId="0ED4EF4C">
      <w:pPr>
        <w:spacing w:line="360" w:lineRule="auto"/>
        <w:jc w:val="center"/>
        <w:rPr>
          <w:rFonts w:cs="仿宋_GB2312" w:asciiTheme="minorEastAsia" w:hAnsiTheme="minorEastAsia" w:eastAsiaTheme="minorEastAsia"/>
          <w:b/>
          <w:color w:val="auto"/>
          <w:spacing w:val="6"/>
          <w:sz w:val="28"/>
          <w:szCs w:val="28"/>
        </w:rPr>
      </w:pPr>
      <w:r>
        <w:rPr>
          <w:rFonts w:hint="eastAsia" w:cs="仿宋_GB2312" w:asciiTheme="minorEastAsia" w:hAnsiTheme="minorEastAsia" w:eastAsiaTheme="minorEastAsia"/>
          <w:b/>
          <w:color w:val="auto"/>
          <w:spacing w:val="6"/>
          <w:sz w:val="28"/>
          <w:szCs w:val="28"/>
        </w:rPr>
        <w:t>质疑函范本</w:t>
      </w:r>
    </w:p>
    <w:p w14:paraId="506940C0">
      <w:pPr>
        <w:snapToGrid w:val="0"/>
        <w:spacing w:before="240" w:beforeLines="100" w:line="360" w:lineRule="auto"/>
        <w:rPr>
          <w:rFonts w:cs="仿宋_GB2312" w:asciiTheme="minorEastAsia" w:hAnsiTheme="minorEastAsia" w:eastAsiaTheme="minorEastAsia"/>
          <w:bCs/>
          <w:color w:val="auto"/>
          <w:sz w:val="22"/>
          <w:szCs w:val="21"/>
        </w:rPr>
      </w:pPr>
      <w:r>
        <w:rPr>
          <w:rFonts w:hint="eastAsia" w:cs="仿宋_GB2312" w:asciiTheme="minorEastAsia" w:hAnsiTheme="minorEastAsia" w:eastAsiaTheme="minorEastAsia"/>
          <w:bCs/>
          <w:color w:val="auto"/>
          <w:sz w:val="22"/>
          <w:szCs w:val="21"/>
        </w:rPr>
        <w:t>一、质疑供应商基本信息</w:t>
      </w:r>
    </w:p>
    <w:p w14:paraId="23AADB4A">
      <w:pPr>
        <w:snapToGrid w:val="0"/>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质疑供应商：</w:t>
      </w:r>
      <w:r>
        <w:rPr>
          <w:rFonts w:hint="eastAsia" w:cs="仿宋_GB2312" w:asciiTheme="minorEastAsia" w:hAnsiTheme="minorEastAsia" w:eastAsiaTheme="minorEastAsia"/>
          <w:color w:val="auto"/>
          <w:sz w:val="22"/>
          <w:szCs w:val="21"/>
          <w:u w:val="dotted"/>
        </w:rPr>
        <w:t xml:space="preserve">                                        </w:t>
      </w:r>
    </w:p>
    <w:p w14:paraId="77BF3B42">
      <w:pPr>
        <w:snapToGrid w:val="0"/>
        <w:spacing w:line="360" w:lineRule="auto"/>
        <w:rPr>
          <w:rFonts w:hint="eastAsia" w:cs="仿宋_GB2312" w:asciiTheme="minorEastAsia" w:hAnsiTheme="minorEastAsia" w:eastAsiaTheme="minorEastAsia"/>
          <w:color w:val="auto"/>
          <w:sz w:val="22"/>
          <w:szCs w:val="21"/>
          <w:lang w:val="en-US" w:eastAsia="zh-CN"/>
        </w:rPr>
      </w:pPr>
      <w:r>
        <w:rPr>
          <w:rFonts w:hint="eastAsia" w:cs="仿宋_GB2312" w:asciiTheme="minorEastAsia" w:hAnsiTheme="minorEastAsia" w:eastAsiaTheme="minorEastAsia"/>
          <w:color w:val="auto"/>
          <w:sz w:val="22"/>
          <w:szCs w:val="21"/>
        </w:rPr>
        <w:t>地址：</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邮编：</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u w:val="dotted"/>
          <w:lang w:val="en-US" w:eastAsia="zh-CN"/>
        </w:rPr>
        <w:t xml:space="preserve"> </w:t>
      </w:r>
    </w:p>
    <w:p w14:paraId="39699B79">
      <w:pPr>
        <w:snapToGrid w:val="0"/>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联系人：</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联系电话：</w:t>
      </w:r>
      <w:r>
        <w:rPr>
          <w:rFonts w:hint="eastAsia" w:cs="仿宋_GB2312" w:asciiTheme="minorEastAsia" w:hAnsiTheme="minorEastAsia" w:eastAsiaTheme="minorEastAsia"/>
          <w:color w:val="auto"/>
          <w:sz w:val="22"/>
          <w:szCs w:val="21"/>
          <w:u w:val="dotted"/>
        </w:rPr>
        <w:t xml:space="preserve">                              </w:t>
      </w:r>
    </w:p>
    <w:p w14:paraId="240ABBFA">
      <w:pPr>
        <w:snapToGrid w:val="0"/>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授权代表：</w:t>
      </w:r>
      <w:r>
        <w:rPr>
          <w:rFonts w:hint="eastAsia" w:cs="仿宋_GB2312" w:asciiTheme="minorEastAsia" w:hAnsiTheme="minorEastAsia" w:eastAsiaTheme="minorEastAsia"/>
          <w:color w:val="auto"/>
          <w:sz w:val="22"/>
          <w:szCs w:val="21"/>
          <w:u w:val="dotted"/>
        </w:rPr>
        <w:t xml:space="preserve">                                          </w:t>
      </w:r>
    </w:p>
    <w:p w14:paraId="1E5B64C3">
      <w:pPr>
        <w:snapToGrid w:val="0"/>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联系电话：</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 xml:space="preserve"> </w:t>
      </w:r>
    </w:p>
    <w:p w14:paraId="79E4EC3B">
      <w:pPr>
        <w:snapToGrid w:val="0"/>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 xml:space="preserve">地址： </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邮编：</w:t>
      </w:r>
      <w:r>
        <w:rPr>
          <w:rFonts w:hint="eastAsia" w:cs="仿宋_GB2312" w:asciiTheme="minorEastAsia" w:hAnsiTheme="minorEastAsia" w:eastAsiaTheme="minorEastAsia"/>
          <w:color w:val="auto"/>
          <w:sz w:val="22"/>
          <w:szCs w:val="21"/>
          <w:u w:val="dotted"/>
        </w:rPr>
        <w:t xml:space="preserve">                                 </w:t>
      </w:r>
    </w:p>
    <w:p w14:paraId="6BD00766">
      <w:pPr>
        <w:snapToGrid w:val="0"/>
        <w:spacing w:line="360" w:lineRule="auto"/>
        <w:rPr>
          <w:rFonts w:cs="仿宋_GB2312" w:asciiTheme="minorEastAsia" w:hAnsiTheme="minorEastAsia" w:eastAsiaTheme="minorEastAsia"/>
          <w:bCs/>
          <w:color w:val="auto"/>
          <w:sz w:val="22"/>
          <w:szCs w:val="21"/>
        </w:rPr>
      </w:pPr>
      <w:r>
        <w:rPr>
          <w:rFonts w:hint="eastAsia" w:cs="仿宋_GB2312" w:asciiTheme="minorEastAsia" w:hAnsiTheme="minorEastAsia" w:eastAsiaTheme="minorEastAsia"/>
          <w:bCs/>
          <w:color w:val="auto"/>
          <w:sz w:val="22"/>
          <w:szCs w:val="21"/>
        </w:rPr>
        <w:t>二、质疑项目基本情况</w:t>
      </w:r>
    </w:p>
    <w:p w14:paraId="36B8454C">
      <w:pPr>
        <w:snapToGrid w:val="0"/>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质疑项目的名称：</w:t>
      </w:r>
      <w:r>
        <w:rPr>
          <w:rFonts w:hint="eastAsia" w:cs="仿宋_GB2312" w:asciiTheme="minorEastAsia" w:hAnsiTheme="minorEastAsia" w:eastAsiaTheme="minorEastAsia"/>
          <w:color w:val="auto"/>
          <w:sz w:val="22"/>
          <w:szCs w:val="21"/>
          <w:u w:val="dotted"/>
        </w:rPr>
        <w:t xml:space="preserve">                                      </w:t>
      </w:r>
    </w:p>
    <w:p w14:paraId="21F7BE33">
      <w:pPr>
        <w:snapToGrid w:val="0"/>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质疑项目的编号：</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包号：</w:t>
      </w:r>
      <w:r>
        <w:rPr>
          <w:rFonts w:hint="eastAsia" w:cs="仿宋_GB2312" w:asciiTheme="minorEastAsia" w:hAnsiTheme="minorEastAsia" w:eastAsiaTheme="minorEastAsia"/>
          <w:color w:val="auto"/>
          <w:sz w:val="22"/>
          <w:szCs w:val="21"/>
          <w:u w:val="dotted"/>
        </w:rPr>
        <w:t xml:space="preserve">                 </w:t>
      </w:r>
    </w:p>
    <w:p w14:paraId="736D5A2E">
      <w:pPr>
        <w:snapToGrid w:val="0"/>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采购人名称：</w:t>
      </w:r>
      <w:r>
        <w:rPr>
          <w:rFonts w:hint="eastAsia" w:cs="仿宋_GB2312" w:asciiTheme="minorEastAsia" w:hAnsiTheme="minorEastAsia" w:eastAsiaTheme="minorEastAsia"/>
          <w:color w:val="auto"/>
          <w:sz w:val="22"/>
          <w:szCs w:val="21"/>
          <w:u w:val="dotted"/>
        </w:rPr>
        <w:t xml:space="preserve">                                         </w:t>
      </w:r>
    </w:p>
    <w:p w14:paraId="288D6347">
      <w:pPr>
        <w:snapToGrid w:val="0"/>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采购文件获取日期：</w:t>
      </w:r>
      <w:r>
        <w:rPr>
          <w:rFonts w:hint="eastAsia" w:cs="仿宋_GB2312" w:asciiTheme="minorEastAsia" w:hAnsiTheme="minorEastAsia" w:eastAsiaTheme="minorEastAsia"/>
          <w:color w:val="auto"/>
          <w:sz w:val="22"/>
          <w:szCs w:val="21"/>
          <w:u w:val="dotted"/>
        </w:rPr>
        <w:t xml:space="preserve">                                           </w:t>
      </w:r>
    </w:p>
    <w:p w14:paraId="27BB6F10">
      <w:pPr>
        <w:snapToGrid w:val="0"/>
        <w:spacing w:line="360" w:lineRule="auto"/>
        <w:rPr>
          <w:rFonts w:cs="仿宋_GB2312" w:asciiTheme="minorEastAsia" w:hAnsiTheme="minorEastAsia" w:eastAsiaTheme="minorEastAsia"/>
          <w:bCs/>
          <w:color w:val="auto"/>
          <w:sz w:val="22"/>
          <w:szCs w:val="21"/>
        </w:rPr>
      </w:pPr>
      <w:r>
        <w:rPr>
          <w:rFonts w:hint="eastAsia" w:cs="仿宋_GB2312" w:asciiTheme="minorEastAsia" w:hAnsiTheme="minorEastAsia" w:eastAsiaTheme="minorEastAsia"/>
          <w:bCs/>
          <w:color w:val="auto"/>
          <w:sz w:val="22"/>
          <w:szCs w:val="21"/>
        </w:rPr>
        <w:t>三、质疑事项具体内容</w:t>
      </w:r>
    </w:p>
    <w:p w14:paraId="47334F64">
      <w:pPr>
        <w:snapToGrid w:val="0"/>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质疑事项1：</w:t>
      </w:r>
      <w:r>
        <w:rPr>
          <w:rFonts w:hint="eastAsia" w:cs="仿宋_GB2312" w:asciiTheme="minorEastAsia" w:hAnsiTheme="minorEastAsia" w:eastAsiaTheme="minorEastAsia"/>
          <w:color w:val="auto"/>
          <w:sz w:val="22"/>
          <w:szCs w:val="21"/>
          <w:u w:val="dotted"/>
        </w:rPr>
        <w:t xml:space="preserve">                                         </w:t>
      </w:r>
    </w:p>
    <w:p w14:paraId="53A2DB3B">
      <w:pPr>
        <w:snapToGrid w:val="0"/>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事实依据：</w:t>
      </w:r>
      <w:r>
        <w:rPr>
          <w:rFonts w:hint="eastAsia" w:cs="仿宋_GB2312" w:asciiTheme="minorEastAsia" w:hAnsiTheme="minorEastAsia" w:eastAsiaTheme="minorEastAsia"/>
          <w:color w:val="auto"/>
          <w:sz w:val="22"/>
          <w:szCs w:val="21"/>
          <w:u w:val="dotted"/>
        </w:rPr>
        <w:t xml:space="preserve">                                          </w:t>
      </w:r>
    </w:p>
    <w:p w14:paraId="41355F06">
      <w:pPr>
        <w:snapToGrid w:val="0"/>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u w:val="dotted"/>
        </w:rPr>
        <w:t xml:space="preserve">                                                       </w:t>
      </w:r>
    </w:p>
    <w:p w14:paraId="398C71ED">
      <w:pPr>
        <w:snapToGrid w:val="0"/>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法律依据：</w:t>
      </w:r>
      <w:r>
        <w:rPr>
          <w:rFonts w:hint="eastAsia" w:cs="仿宋_GB2312" w:asciiTheme="minorEastAsia" w:hAnsiTheme="minorEastAsia" w:eastAsiaTheme="minorEastAsia"/>
          <w:color w:val="auto"/>
          <w:sz w:val="22"/>
          <w:szCs w:val="21"/>
          <w:u w:val="dotted"/>
        </w:rPr>
        <w:t xml:space="preserve">                                          </w:t>
      </w:r>
    </w:p>
    <w:p w14:paraId="1BBCD881">
      <w:pPr>
        <w:snapToGrid w:val="0"/>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u w:val="dotted"/>
        </w:rPr>
        <w:t xml:space="preserve">                                                     </w:t>
      </w:r>
    </w:p>
    <w:p w14:paraId="4B2976B7">
      <w:pPr>
        <w:snapToGrid w:val="0"/>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质疑事项2</w:t>
      </w:r>
    </w:p>
    <w:p w14:paraId="56C33A1C">
      <w:pPr>
        <w:snapToGrid w:val="0"/>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w:t>
      </w:r>
    </w:p>
    <w:p w14:paraId="4D956B5C">
      <w:pPr>
        <w:snapToGrid w:val="0"/>
        <w:spacing w:line="360" w:lineRule="auto"/>
        <w:rPr>
          <w:rFonts w:cs="仿宋_GB2312" w:asciiTheme="minorEastAsia" w:hAnsiTheme="minorEastAsia" w:eastAsiaTheme="minorEastAsia"/>
          <w:bCs/>
          <w:color w:val="auto"/>
          <w:sz w:val="22"/>
          <w:szCs w:val="21"/>
        </w:rPr>
      </w:pPr>
      <w:r>
        <w:rPr>
          <w:rFonts w:hint="eastAsia" w:cs="仿宋_GB2312" w:asciiTheme="minorEastAsia" w:hAnsiTheme="minorEastAsia" w:eastAsiaTheme="minorEastAsia"/>
          <w:bCs/>
          <w:color w:val="auto"/>
          <w:sz w:val="22"/>
          <w:szCs w:val="21"/>
        </w:rPr>
        <w:t>四、与质疑事项相关的质疑请求</w:t>
      </w:r>
    </w:p>
    <w:p w14:paraId="7E57BEBD">
      <w:pPr>
        <w:snapToGrid w:val="0"/>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请求：</w:t>
      </w:r>
      <w:r>
        <w:rPr>
          <w:rFonts w:hint="eastAsia" w:cs="仿宋_GB2312" w:asciiTheme="minorEastAsia" w:hAnsiTheme="minorEastAsia" w:eastAsiaTheme="minorEastAsia"/>
          <w:color w:val="auto"/>
          <w:sz w:val="22"/>
          <w:szCs w:val="21"/>
          <w:u w:val="dotted"/>
        </w:rPr>
        <w:t xml:space="preserve">                                               </w:t>
      </w:r>
    </w:p>
    <w:p w14:paraId="6E4AD380">
      <w:pPr>
        <w:spacing w:line="360" w:lineRule="auto"/>
        <w:rPr>
          <w:rFonts w:cs="仿宋_GB2312" w:asciiTheme="minorEastAsia" w:hAnsiTheme="minorEastAsia" w:eastAsiaTheme="minorEastAsia"/>
          <w:color w:val="auto"/>
          <w:sz w:val="22"/>
          <w:szCs w:val="21"/>
        </w:rPr>
      </w:pPr>
    </w:p>
    <w:p w14:paraId="222FD97D">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 xml:space="preserve">签字(签章)：                   公章：                      </w:t>
      </w:r>
    </w:p>
    <w:p w14:paraId="272CBD5C">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 xml:space="preserve">日期：    </w:t>
      </w:r>
    </w:p>
    <w:p w14:paraId="698AD7E0">
      <w:pPr>
        <w:spacing w:line="360" w:lineRule="auto"/>
        <w:rPr>
          <w:rFonts w:cs="仿宋_GB2312" w:asciiTheme="minorEastAsia" w:hAnsiTheme="minorEastAsia" w:eastAsiaTheme="minorEastAsia"/>
          <w:b/>
          <w:color w:val="auto"/>
          <w:sz w:val="22"/>
          <w:szCs w:val="21"/>
        </w:rPr>
      </w:pPr>
      <w:r>
        <w:rPr>
          <w:rFonts w:hint="eastAsia" w:cs="仿宋_GB2312" w:asciiTheme="minorEastAsia" w:hAnsiTheme="minorEastAsia" w:eastAsiaTheme="minorEastAsia"/>
          <w:b/>
          <w:color w:val="auto"/>
          <w:sz w:val="22"/>
          <w:szCs w:val="21"/>
        </w:rPr>
        <w:t>质疑函制作说明：</w:t>
      </w:r>
    </w:p>
    <w:p w14:paraId="44864F91">
      <w:pPr>
        <w:widowControl/>
        <w:spacing w:line="360" w:lineRule="auto"/>
        <w:ind w:firstLine="440" w:firstLineChars="200"/>
        <w:jc w:val="left"/>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1.供应商提出质疑时，应提交质疑函和必要的证明材料。</w:t>
      </w:r>
    </w:p>
    <w:p w14:paraId="3B9B910E">
      <w:pPr>
        <w:widowControl/>
        <w:spacing w:line="360" w:lineRule="auto"/>
        <w:ind w:firstLine="440" w:firstLineChars="200"/>
        <w:jc w:val="left"/>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2"/>
          <w:szCs w:val="21"/>
        </w:rPr>
        <w:t>供应商签署的授权委托书。授权委托书应载明代理人的姓名或者名称、代理事项、具体权限、期限和相关事项。</w:t>
      </w:r>
    </w:p>
    <w:p w14:paraId="4B4BBADF">
      <w:pPr>
        <w:widowControl/>
        <w:spacing w:line="360" w:lineRule="auto"/>
        <w:ind w:firstLine="440" w:firstLineChars="200"/>
        <w:jc w:val="left"/>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3.质疑供应商若对项目的某一分包进行质疑，质疑函中应列明具体分包号。</w:t>
      </w:r>
    </w:p>
    <w:p w14:paraId="22CD142A">
      <w:pPr>
        <w:widowControl/>
        <w:spacing w:line="360" w:lineRule="auto"/>
        <w:ind w:firstLine="440" w:firstLineChars="200"/>
        <w:jc w:val="left"/>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4.质疑函的质疑事项应具体、明确，并有必要的事实依据和法律依据。</w:t>
      </w:r>
    </w:p>
    <w:p w14:paraId="5F755FA0">
      <w:pPr>
        <w:widowControl/>
        <w:spacing w:line="360" w:lineRule="auto"/>
        <w:ind w:firstLine="440" w:firstLineChars="200"/>
        <w:jc w:val="left"/>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5.质疑函的质疑请求应与质疑事项相关。</w:t>
      </w:r>
    </w:p>
    <w:p w14:paraId="42DBD20F">
      <w:pPr>
        <w:widowControl/>
        <w:spacing w:line="360" w:lineRule="auto"/>
        <w:ind w:firstLine="440" w:firstLineChars="200"/>
        <w:jc w:val="left"/>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6.质疑供应商为自然人的，质疑函应由本人签字；质疑供应商为法人或者其他组织的，质疑函应由法定代表人、主要负责人，或者其授权代表签字或者盖章，并加盖公章。</w:t>
      </w:r>
    </w:p>
    <w:p w14:paraId="2E70811F">
      <w:pPr>
        <w:widowControl/>
        <w:spacing w:line="360" w:lineRule="auto"/>
        <w:ind w:firstLine="560" w:firstLineChars="200"/>
        <w:jc w:val="left"/>
        <w:rPr>
          <w:rFonts w:cs="仿宋_GB2312" w:asciiTheme="minorEastAsia" w:hAnsiTheme="minorEastAsia" w:eastAsiaTheme="minorEastAsia"/>
          <w:color w:val="auto"/>
          <w:sz w:val="28"/>
          <w:szCs w:val="28"/>
        </w:rPr>
      </w:pPr>
    </w:p>
    <w:p w14:paraId="53D7BA26">
      <w:pPr>
        <w:spacing w:line="360" w:lineRule="auto"/>
        <w:jc w:val="left"/>
        <w:rPr>
          <w:rFonts w:cs="仿宋_GB2312" w:asciiTheme="minorEastAsia" w:hAnsiTheme="minorEastAsia" w:eastAsiaTheme="minorEastAsia"/>
          <w:b/>
          <w:color w:val="auto"/>
          <w:spacing w:val="6"/>
          <w:sz w:val="28"/>
          <w:szCs w:val="28"/>
        </w:rPr>
      </w:pPr>
      <w:r>
        <w:rPr>
          <w:rFonts w:hint="eastAsia" w:cs="仿宋_GB2312" w:asciiTheme="minorEastAsia" w:hAnsiTheme="minorEastAsia" w:eastAsiaTheme="minorEastAsia"/>
          <w:b/>
          <w:color w:val="auto"/>
          <w:sz w:val="22"/>
          <w:szCs w:val="21"/>
        </w:rPr>
        <w:br w:type="page"/>
      </w:r>
      <w:r>
        <w:rPr>
          <w:rFonts w:hint="eastAsia" w:cs="仿宋_GB2312" w:asciiTheme="minorEastAsia" w:hAnsiTheme="minorEastAsia" w:eastAsiaTheme="minorEastAsia"/>
          <w:b/>
          <w:color w:val="auto"/>
          <w:spacing w:val="6"/>
          <w:sz w:val="28"/>
          <w:szCs w:val="28"/>
        </w:rPr>
        <w:t>附件2：投诉书范本及制作说明</w:t>
      </w:r>
    </w:p>
    <w:p w14:paraId="07B8083F">
      <w:pPr>
        <w:spacing w:line="360" w:lineRule="auto"/>
        <w:jc w:val="center"/>
        <w:rPr>
          <w:rFonts w:cs="仿宋_GB2312" w:asciiTheme="minorEastAsia" w:hAnsiTheme="minorEastAsia" w:eastAsiaTheme="minorEastAsia"/>
          <w:b/>
          <w:color w:val="auto"/>
          <w:sz w:val="22"/>
          <w:szCs w:val="21"/>
        </w:rPr>
      </w:pPr>
    </w:p>
    <w:p w14:paraId="3910817E">
      <w:pPr>
        <w:spacing w:line="360" w:lineRule="auto"/>
        <w:jc w:val="center"/>
        <w:rPr>
          <w:rFonts w:cs="仿宋_GB2312" w:asciiTheme="minorEastAsia" w:hAnsiTheme="minorEastAsia" w:eastAsiaTheme="minorEastAsia"/>
          <w:b/>
          <w:color w:val="auto"/>
          <w:spacing w:val="6"/>
          <w:sz w:val="28"/>
          <w:szCs w:val="28"/>
        </w:rPr>
      </w:pPr>
      <w:r>
        <w:rPr>
          <w:rFonts w:hint="eastAsia" w:cs="仿宋_GB2312" w:asciiTheme="minorEastAsia" w:hAnsiTheme="minorEastAsia" w:eastAsiaTheme="minorEastAsia"/>
          <w:b/>
          <w:color w:val="auto"/>
          <w:spacing w:val="6"/>
          <w:sz w:val="28"/>
          <w:szCs w:val="28"/>
        </w:rPr>
        <w:t>投诉书范本</w:t>
      </w:r>
    </w:p>
    <w:p w14:paraId="4FFA94C7">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一、投诉相关主体基本情况</w:t>
      </w:r>
    </w:p>
    <w:p w14:paraId="720D301F">
      <w:pPr>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投诉人：</w:t>
      </w:r>
      <w:r>
        <w:rPr>
          <w:rFonts w:hint="eastAsia" w:cs="仿宋_GB2312" w:asciiTheme="minorEastAsia" w:hAnsiTheme="minorEastAsia" w:eastAsiaTheme="minorEastAsia"/>
          <w:color w:val="auto"/>
          <w:sz w:val="22"/>
          <w:szCs w:val="21"/>
          <w:u w:val="dotted"/>
        </w:rPr>
        <w:t xml:space="preserve">                                               </w:t>
      </w:r>
    </w:p>
    <w:p w14:paraId="4A4FF56B">
      <w:pPr>
        <w:spacing w:line="360" w:lineRule="auto"/>
        <w:rPr>
          <w:rFonts w:cs="仿宋_GB2312" w:asciiTheme="minorEastAsia" w:hAnsiTheme="minorEastAsia" w:eastAsiaTheme="minorEastAsia"/>
          <w:color w:val="auto"/>
          <w:sz w:val="22"/>
          <w:szCs w:val="21"/>
          <w:u w:val="single"/>
        </w:rPr>
      </w:pPr>
      <w:r>
        <w:rPr>
          <w:rFonts w:hint="eastAsia" w:cs="仿宋_GB2312" w:asciiTheme="minorEastAsia" w:hAnsiTheme="minorEastAsia" w:eastAsiaTheme="minorEastAsia"/>
          <w:color w:val="auto"/>
          <w:sz w:val="22"/>
          <w:szCs w:val="21"/>
        </w:rPr>
        <w:t>地     址：</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邮编：</w:t>
      </w:r>
      <w:r>
        <w:rPr>
          <w:rFonts w:hint="eastAsia" w:cs="仿宋_GB2312" w:asciiTheme="minorEastAsia" w:hAnsiTheme="minorEastAsia" w:eastAsiaTheme="minorEastAsia"/>
          <w:color w:val="auto"/>
          <w:sz w:val="22"/>
          <w:szCs w:val="21"/>
          <w:u w:val="dotted"/>
        </w:rPr>
        <w:t xml:space="preserve">         </w:t>
      </w:r>
    </w:p>
    <w:p w14:paraId="2EECE5AC">
      <w:pPr>
        <w:tabs>
          <w:tab w:val="left" w:pos="6510"/>
        </w:tabs>
        <w:spacing w:line="360" w:lineRule="auto"/>
        <w:jc w:val="left"/>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法定代表人/主要负责人：</w:t>
      </w:r>
      <w:r>
        <w:rPr>
          <w:rFonts w:hint="eastAsia" w:cs="仿宋_GB2312" w:asciiTheme="minorEastAsia" w:hAnsiTheme="minorEastAsia" w:eastAsiaTheme="minorEastAsia"/>
          <w:color w:val="auto"/>
          <w:sz w:val="22"/>
          <w:szCs w:val="21"/>
          <w:u w:val="dotted"/>
        </w:rPr>
        <w:t xml:space="preserve">                                </w:t>
      </w:r>
    </w:p>
    <w:p w14:paraId="4BE72D2C">
      <w:pPr>
        <w:tabs>
          <w:tab w:val="left" w:pos="6510"/>
        </w:tabs>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联系电话：</w:t>
      </w:r>
      <w:r>
        <w:rPr>
          <w:rFonts w:hint="eastAsia" w:cs="仿宋_GB2312" w:asciiTheme="minorEastAsia" w:hAnsiTheme="minorEastAsia" w:eastAsiaTheme="minorEastAsia"/>
          <w:color w:val="auto"/>
          <w:sz w:val="22"/>
          <w:szCs w:val="21"/>
          <w:u w:val="dotted"/>
        </w:rPr>
        <w:t xml:space="preserve">                                             </w:t>
      </w:r>
    </w:p>
    <w:p w14:paraId="37507BCE">
      <w:pPr>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授权代表：</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联系电话</w:t>
      </w:r>
      <w:r>
        <w:rPr>
          <w:rFonts w:hint="eastAsia" w:cs="仿宋_GB2312" w:asciiTheme="minorEastAsia" w:hAnsiTheme="minorEastAsia" w:eastAsiaTheme="minorEastAsia"/>
          <w:color w:val="auto"/>
          <w:sz w:val="22"/>
          <w:szCs w:val="21"/>
          <w:u w:val="dotted"/>
        </w:rPr>
        <w:t xml:space="preserve">：                  </w:t>
      </w:r>
    </w:p>
    <w:p w14:paraId="0F3326B4">
      <w:pPr>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地     址：</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邮编：</w:t>
      </w:r>
      <w:r>
        <w:rPr>
          <w:rFonts w:hint="eastAsia" w:cs="仿宋_GB2312" w:asciiTheme="minorEastAsia" w:hAnsiTheme="minorEastAsia" w:eastAsiaTheme="minorEastAsia"/>
          <w:color w:val="auto"/>
          <w:sz w:val="22"/>
          <w:szCs w:val="21"/>
          <w:u w:val="dotted"/>
        </w:rPr>
        <w:t xml:space="preserve">                         </w:t>
      </w:r>
    </w:p>
    <w:p w14:paraId="0A7A4CC6">
      <w:pPr>
        <w:spacing w:line="360" w:lineRule="auto"/>
        <w:rPr>
          <w:rFonts w:cs="仿宋_GB2312" w:asciiTheme="minorEastAsia" w:hAnsiTheme="minorEastAsia" w:eastAsiaTheme="minorEastAsia"/>
          <w:color w:val="auto"/>
          <w:sz w:val="22"/>
          <w:szCs w:val="21"/>
          <w:u w:val="single"/>
        </w:rPr>
      </w:pPr>
      <w:r>
        <w:rPr>
          <w:rFonts w:hint="eastAsia" w:cs="仿宋_GB2312" w:asciiTheme="minorEastAsia" w:hAnsiTheme="minorEastAsia" w:eastAsiaTheme="minorEastAsia"/>
          <w:color w:val="auto"/>
          <w:sz w:val="22"/>
          <w:szCs w:val="21"/>
        </w:rPr>
        <w:t>被投诉人1：</w:t>
      </w:r>
      <w:r>
        <w:rPr>
          <w:rFonts w:hint="eastAsia" w:cs="仿宋_GB2312" w:asciiTheme="minorEastAsia" w:hAnsiTheme="minorEastAsia" w:eastAsiaTheme="minorEastAsia"/>
          <w:color w:val="auto"/>
          <w:sz w:val="22"/>
          <w:szCs w:val="21"/>
          <w:u w:val="dotted"/>
        </w:rPr>
        <w:t xml:space="preserve">                                             </w:t>
      </w:r>
    </w:p>
    <w:p w14:paraId="30C46F5A">
      <w:pPr>
        <w:spacing w:line="360" w:lineRule="auto"/>
        <w:rPr>
          <w:rFonts w:cs="仿宋_GB2312" w:asciiTheme="minorEastAsia" w:hAnsiTheme="minorEastAsia" w:eastAsiaTheme="minorEastAsia"/>
          <w:color w:val="auto"/>
          <w:sz w:val="22"/>
          <w:szCs w:val="21"/>
          <w:u w:val="single"/>
        </w:rPr>
      </w:pPr>
      <w:r>
        <w:rPr>
          <w:rFonts w:hint="eastAsia" w:cs="仿宋_GB2312" w:asciiTheme="minorEastAsia" w:hAnsiTheme="minorEastAsia" w:eastAsiaTheme="minorEastAsia"/>
          <w:color w:val="auto"/>
          <w:sz w:val="22"/>
          <w:szCs w:val="21"/>
        </w:rPr>
        <w:t>地     址：</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邮编：</w:t>
      </w:r>
      <w:r>
        <w:rPr>
          <w:rFonts w:hint="eastAsia" w:cs="仿宋_GB2312" w:asciiTheme="minorEastAsia" w:hAnsiTheme="minorEastAsia" w:eastAsiaTheme="minorEastAsia"/>
          <w:color w:val="auto"/>
          <w:sz w:val="22"/>
          <w:szCs w:val="21"/>
          <w:u w:val="dotted"/>
        </w:rPr>
        <w:t xml:space="preserve">          </w:t>
      </w:r>
    </w:p>
    <w:p w14:paraId="5E043EBA">
      <w:pPr>
        <w:spacing w:line="360" w:lineRule="auto"/>
        <w:rPr>
          <w:rFonts w:cs="仿宋_GB2312" w:asciiTheme="minorEastAsia" w:hAnsiTheme="minorEastAsia" w:eastAsiaTheme="minorEastAsia"/>
          <w:color w:val="auto"/>
          <w:sz w:val="22"/>
          <w:szCs w:val="21"/>
          <w:u w:val="single"/>
        </w:rPr>
      </w:pPr>
      <w:r>
        <w:rPr>
          <w:rFonts w:hint="eastAsia" w:cs="仿宋_GB2312" w:asciiTheme="minorEastAsia" w:hAnsiTheme="minorEastAsia" w:eastAsiaTheme="minorEastAsia"/>
          <w:color w:val="auto"/>
          <w:sz w:val="22"/>
          <w:szCs w:val="21"/>
        </w:rPr>
        <w:t>联系人：</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联系电话：</w:t>
      </w:r>
      <w:r>
        <w:rPr>
          <w:rFonts w:hint="eastAsia" w:cs="仿宋_GB2312" w:asciiTheme="minorEastAsia" w:hAnsiTheme="minorEastAsia" w:eastAsiaTheme="minorEastAsia"/>
          <w:color w:val="auto"/>
          <w:sz w:val="22"/>
          <w:szCs w:val="21"/>
          <w:u w:val="dotted"/>
        </w:rPr>
        <w:t xml:space="preserve">                       </w:t>
      </w:r>
    </w:p>
    <w:p w14:paraId="74643028">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被投诉人2</w:t>
      </w:r>
    </w:p>
    <w:p w14:paraId="3B4FA58A">
      <w:pPr>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w:t>
      </w:r>
    </w:p>
    <w:p w14:paraId="0C36DA94">
      <w:pPr>
        <w:spacing w:line="360" w:lineRule="auto"/>
        <w:rPr>
          <w:rFonts w:cs="仿宋_GB2312" w:asciiTheme="minorEastAsia" w:hAnsiTheme="minorEastAsia" w:eastAsiaTheme="minorEastAsia"/>
          <w:color w:val="auto"/>
          <w:sz w:val="22"/>
          <w:szCs w:val="21"/>
          <w:u w:val="single"/>
        </w:rPr>
      </w:pPr>
      <w:r>
        <w:rPr>
          <w:rFonts w:hint="eastAsia" w:cs="仿宋_GB2312" w:asciiTheme="minorEastAsia" w:hAnsiTheme="minorEastAsia" w:eastAsiaTheme="minorEastAsia"/>
          <w:color w:val="auto"/>
          <w:sz w:val="22"/>
          <w:szCs w:val="21"/>
        </w:rPr>
        <w:t>相关供应商：</w:t>
      </w:r>
      <w:r>
        <w:rPr>
          <w:rFonts w:hint="eastAsia" w:cs="仿宋_GB2312" w:asciiTheme="minorEastAsia" w:hAnsiTheme="minorEastAsia" w:eastAsiaTheme="minorEastAsia"/>
          <w:color w:val="auto"/>
          <w:sz w:val="22"/>
          <w:szCs w:val="21"/>
          <w:u w:val="dotted"/>
        </w:rPr>
        <w:t xml:space="preserve">                                            </w:t>
      </w:r>
    </w:p>
    <w:p w14:paraId="17557E6D">
      <w:pPr>
        <w:spacing w:line="360" w:lineRule="auto"/>
        <w:rPr>
          <w:rFonts w:cs="仿宋_GB2312" w:asciiTheme="minorEastAsia" w:hAnsiTheme="minorEastAsia" w:eastAsiaTheme="minorEastAsia"/>
          <w:color w:val="auto"/>
          <w:sz w:val="22"/>
          <w:szCs w:val="21"/>
          <w:u w:val="single"/>
        </w:rPr>
      </w:pPr>
      <w:r>
        <w:rPr>
          <w:rFonts w:hint="eastAsia" w:cs="仿宋_GB2312" w:asciiTheme="minorEastAsia" w:hAnsiTheme="minorEastAsia" w:eastAsiaTheme="minorEastAsia"/>
          <w:color w:val="auto"/>
          <w:sz w:val="22"/>
          <w:szCs w:val="21"/>
        </w:rPr>
        <w:t>地     址：</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邮编：</w:t>
      </w:r>
      <w:r>
        <w:rPr>
          <w:rFonts w:hint="eastAsia" w:cs="仿宋_GB2312" w:asciiTheme="minorEastAsia" w:hAnsiTheme="minorEastAsia" w:eastAsiaTheme="minorEastAsia"/>
          <w:color w:val="auto"/>
          <w:sz w:val="22"/>
          <w:szCs w:val="21"/>
          <w:u w:val="dotted"/>
        </w:rPr>
        <w:t xml:space="preserve">          </w:t>
      </w:r>
    </w:p>
    <w:p w14:paraId="7A6B380B">
      <w:pPr>
        <w:spacing w:line="360" w:lineRule="auto"/>
        <w:rPr>
          <w:rFonts w:cs="仿宋_GB2312" w:asciiTheme="minorEastAsia" w:hAnsiTheme="minorEastAsia" w:eastAsiaTheme="minorEastAsia"/>
          <w:color w:val="auto"/>
          <w:sz w:val="22"/>
          <w:szCs w:val="21"/>
          <w:u w:val="single"/>
        </w:rPr>
      </w:pPr>
      <w:r>
        <w:rPr>
          <w:rFonts w:hint="eastAsia" w:cs="仿宋_GB2312" w:asciiTheme="minorEastAsia" w:hAnsiTheme="minorEastAsia" w:eastAsiaTheme="minorEastAsia"/>
          <w:color w:val="auto"/>
          <w:sz w:val="22"/>
          <w:szCs w:val="21"/>
        </w:rPr>
        <w:t>联系人：</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联系电话：</w:t>
      </w:r>
      <w:r>
        <w:rPr>
          <w:rFonts w:hint="eastAsia" w:cs="仿宋_GB2312" w:asciiTheme="minorEastAsia" w:hAnsiTheme="minorEastAsia" w:eastAsiaTheme="minorEastAsia"/>
          <w:color w:val="auto"/>
          <w:sz w:val="22"/>
          <w:szCs w:val="21"/>
          <w:u w:val="dotted"/>
        </w:rPr>
        <w:t xml:space="preserve">                       </w:t>
      </w:r>
    </w:p>
    <w:p w14:paraId="607A28F0">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二、投诉项目基本情况</w:t>
      </w:r>
    </w:p>
    <w:p w14:paraId="32943102">
      <w:pPr>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采购项目名称：</w:t>
      </w:r>
      <w:r>
        <w:rPr>
          <w:rFonts w:hint="eastAsia" w:cs="仿宋_GB2312" w:asciiTheme="minorEastAsia" w:hAnsiTheme="minorEastAsia" w:eastAsiaTheme="minorEastAsia"/>
          <w:color w:val="auto"/>
          <w:sz w:val="22"/>
          <w:szCs w:val="21"/>
          <w:u w:val="dotted"/>
        </w:rPr>
        <w:t xml:space="preserve">                                        </w:t>
      </w:r>
    </w:p>
    <w:p w14:paraId="22FD7B72">
      <w:pPr>
        <w:spacing w:line="360" w:lineRule="auto"/>
        <w:rPr>
          <w:rFonts w:cs="仿宋_GB2312" w:asciiTheme="minorEastAsia" w:hAnsiTheme="minorEastAsia" w:eastAsiaTheme="minorEastAsia"/>
          <w:color w:val="auto"/>
          <w:sz w:val="22"/>
          <w:szCs w:val="21"/>
          <w:u w:val="single"/>
        </w:rPr>
      </w:pPr>
      <w:r>
        <w:rPr>
          <w:rFonts w:hint="eastAsia" w:cs="仿宋_GB2312" w:asciiTheme="minorEastAsia" w:hAnsiTheme="minorEastAsia" w:eastAsiaTheme="minorEastAsia"/>
          <w:color w:val="auto"/>
          <w:sz w:val="22"/>
          <w:szCs w:val="21"/>
        </w:rPr>
        <w:t>采购项目编号：</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包号：</w:t>
      </w:r>
      <w:r>
        <w:rPr>
          <w:rFonts w:hint="eastAsia" w:cs="仿宋_GB2312" w:asciiTheme="minorEastAsia" w:hAnsiTheme="minorEastAsia" w:eastAsiaTheme="minorEastAsia"/>
          <w:color w:val="auto"/>
          <w:sz w:val="22"/>
          <w:szCs w:val="21"/>
          <w:u w:val="dotted"/>
        </w:rPr>
        <w:t xml:space="preserve">              </w:t>
      </w:r>
    </w:p>
    <w:p w14:paraId="63280177">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采购人名称：</w:t>
      </w:r>
      <w:r>
        <w:rPr>
          <w:rFonts w:hint="eastAsia" w:cs="仿宋_GB2312" w:asciiTheme="minorEastAsia" w:hAnsiTheme="minorEastAsia" w:eastAsiaTheme="minorEastAsia"/>
          <w:color w:val="auto"/>
          <w:sz w:val="22"/>
          <w:szCs w:val="21"/>
          <w:u w:val="dotted"/>
        </w:rPr>
        <w:t xml:space="preserve">                                          </w:t>
      </w:r>
    </w:p>
    <w:p w14:paraId="0E3F1FC9">
      <w:pPr>
        <w:spacing w:line="360" w:lineRule="auto"/>
        <w:rPr>
          <w:rFonts w:cs="仿宋_GB2312" w:asciiTheme="minorEastAsia" w:hAnsiTheme="minorEastAsia" w:eastAsiaTheme="minorEastAsia"/>
          <w:color w:val="auto"/>
          <w:sz w:val="22"/>
          <w:szCs w:val="21"/>
          <w:u w:val="single"/>
        </w:rPr>
      </w:pPr>
      <w:r>
        <w:rPr>
          <w:rFonts w:hint="eastAsia" w:cs="仿宋_GB2312" w:asciiTheme="minorEastAsia" w:hAnsiTheme="minorEastAsia" w:eastAsiaTheme="minorEastAsia"/>
          <w:color w:val="auto"/>
          <w:sz w:val="22"/>
          <w:szCs w:val="21"/>
        </w:rPr>
        <w:t>代理机构名称：</w:t>
      </w:r>
      <w:r>
        <w:rPr>
          <w:rFonts w:hint="eastAsia" w:cs="仿宋_GB2312" w:asciiTheme="minorEastAsia" w:hAnsiTheme="minorEastAsia" w:eastAsiaTheme="minorEastAsia"/>
          <w:color w:val="auto"/>
          <w:sz w:val="22"/>
          <w:szCs w:val="21"/>
          <w:u w:val="dotted"/>
        </w:rPr>
        <w:t xml:space="preserve">                                         </w:t>
      </w:r>
    </w:p>
    <w:p w14:paraId="7B368C8F">
      <w:pPr>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采购文件公告:</w:t>
      </w:r>
      <w:r>
        <w:rPr>
          <w:rFonts w:hint="eastAsia" w:cs="仿宋_GB2312" w:asciiTheme="minorEastAsia" w:hAnsiTheme="minorEastAsia" w:eastAsiaTheme="minorEastAsia"/>
          <w:color w:val="auto"/>
          <w:sz w:val="22"/>
          <w:szCs w:val="21"/>
          <w:u w:val="dotted"/>
        </w:rPr>
        <w:t xml:space="preserve">是/否 </w:t>
      </w:r>
      <w:r>
        <w:rPr>
          <w:rFonts w:hint="eastAsia" w:cs="仿宋_GB2312" w:asciiTheme="minorEastAsia" w:hAnsiTheme="minorEastAsia" w:eastAsiaTheme="minorEastAsia"/>
          <w:color w:val="auto"/>
          <w:sz w:val="22"/>
          <w:szCs w:val="21"/>
        </w:rPr>
        <w:t>公告期限：</w:t>
      </w:r>
      <w:r>
        <w:rPr>
          <w:rFonts w:hint="eastAsia" w:cs="仿宋_GB2312" w:asciiTheme="minorEastAsia" w:hAnsiTheme="minorEastAsia" w:eastAsiaTheme="minorEastAsia"/>
          <w:color w:val="auto"/>
          <w:sz w:val="22"/>
          <w:szCs w:val="21"/>
          <w:u w:val="dotted"/>
        </w:rPr>
        <w:t xml:space="preserve">                                 </w:t>
      </w:r>
    </w:p>
    <w:p w14:paraId="04ABEE39">
      <w:pPr>
        <w:spacing w:line="360" w:lineRule="auto"/>
        <w:rPr>
          <w:rFonts w:cs="仿宋_GB2312" w:asciiTheme="minorEastAsia" w:hAnsiTheme="minorEastAsia" w:eastAsiaTheme="minorEastAsia"/>
          <w:color w:val="auto"/>
          <w:sz w:val="22"/>
          <w:szCs w:val="21"/>
          <w:u w:val="single"/>
        </w:rPr>
      </w:pPr>
      <w:r>
        <w:rPr>
          <w:rFonts w:hint="eastAsia" w:cs="仿宋_GB2312" w:asciiTheme="minorEastAsia" w:hAnsiTheme="minorEastAsia" w:eastAsiaTheme="minorEastAsia"/>
          <w:color w:val="auto"/>
          <w:sz w:val="22"/>
          <w:szCs w:val="21"/>
        </w:rPr>
        <w:t>采购结果公告:</w:t>
      </w:r>
      <w:r>
        <w:rPr>
          <w:rFonts w:hint="eastAsia" w:cs="仿宋_GB2312" w:asciiTheme="minorEastAsia" w:hAnsiTheme="minorEastAsia" w:eastAsiaTheme="minorEastAsia"/>
          <w:color w:val="auto"/>
          <w:sz w:val="22"/>
          <w:szCs w:val="21"/>
          <w:u w:val="dotted"/>
        </w:rPr>
        <w:t xml:space="preserve">是/否 </w:t>
      </w:r>
      <w:r>
        <w:rPr>
          <w:rFonts w:hint="eastAsia" w:cs="仿宋_GB2312" w:asciiTheme="minorEastAsia" w:hAnsiTheme="minorEastAsia" w:eastAsiaTheme="minorEastAsia"/>
          <w:color w:val="auto"/>
          <w:sz w:val="22"/>
          <w:szCs w:val="21"/>
        </w:rPr>
        <w:t>公告期限：</w:t>
      </w:r>
      <w:r>
        <w:rPr>
          <w:rFonts w:hint="eastAsia" w:cs="仿宋_GB2312" w:asciiTheme="minorEastAsia" w:hAnsiTheme="minorEastAsia" w:eastAsiaTheme="minorEastAsia"/>
          <w:color w:val="auto"/>
          <w:sz w:val="22"/>
          <w:szCs w:val="21"/>
          <w:u w:val="dotted"/>
        </w:rPr>
        <w:t xml:space="preserve">                        </w:t>
      </w:r>
    </w:p>
    <w:p w14:paraId="50639F8A">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三、质疑基本情况</w:t>
      </w:r>
    </w:p>
    <w:p w14:paraId="4B47B7C6">
      <w:pPr>
        <w:spacing w:line="360" w:lineRule="auto"/>
        <w:ind w:firstLine="440" w:firstLineChars="200"/>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投诉人于</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年</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月</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日,向</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提出质疑，质疑事项为：</w:t>
      </w:r>
      <w:r>
        <w:rPr>
          <w:rFonts w:hint="eastAsia" w:cs="仿宋_GB2312" w:asciiTheme="minorEastAsia" w:hAnsiTheme="minorEastAsia" w:eastAsiaTheme="minorEastAsia"/>
          <w:color w:val="auto"/>
          <w:sz w:val="22"/>
          <w:szCs w:val="21"/>
          <w:u w:val="dotted"/>
        </w:rPr>
        <w:t xml:space="preserve">             </w:t>
      </w:r>
    </w:p>
    <w:p w14:paraId="3217622E">
      <w:pPr>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 xml:space="preserve">  </w:t>
      </w:r>
    </w:p>
    <w:p w14:paraId="7D391939">
      <w:pPr>
        <w:spacing w:line="360" w:lineRule="auto"/>
        <w:ind w:firstLine="330" w:firstLineChars="150"/>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u w:val="dotted"/>
        </w:rPr>
        <w:t>采购人/代理机构</w:t>
      </w:r>
      <w:r>
        <w:rPr>
          <w:rFonts w:hint="eastAsia" w:cs="仿宋_GB2312" w:asciiTheme="minorEastAsia" w:hAnsiTheme="minorEastAsia" w:eastAsiaTheme="minorEastAsia"/>
          <w:color w:val="auto"/>
          <w:sz w:val="22"/>
          <w:szCs w:val="21"/>
        </w:rPr>
        <w:t>于</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年</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月</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日,就质疑事项作出了答复/没有在法定期限内作出答复。</w:t>
      </w:r>
    </w:p>
    <w:p w14:paraId="16944ACA">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四、投诉事项具体内容</w:t>
      </w:r>
    </w:p>
    <w:p w14:paraId="11E00AB3">
      <w:pPr>
        <w:spacing w:line="360" w:lineRule="auto"/>
        <w:rPr>
          <w:rFonts w:cs="仿宋_GB2312" w:asciiTheme="minorEastAsia" w:hAnsiTheme="minorEastAsia" w:eastAsiaTheme="minorEastAsia"/>
          <w:color w:val="auto"/>
          <w:sz w:val="22"/>
          <w:szCs w:val="21"/>
          <w:u w:val="single"/>
        </w:rPr>
      </w:pPr>
      <w:r>
        <w:rPr>
          <w:rFonts w:hint="eastAsia" w:cs="仿宋_GB2312" w:asciiTheme="minorEastAsia" w:hAnsiTheme="minorEastAsia" w:eastAsiaTheme="minorEastAsia"/>
          <w:color w:val="auto"/>
          <w:sz w:val="22"/>
          <w:szCs w:val="21"/>
        </w:rPr>
        <w:t>投诉事项 1：</w:t>
      </w:r>
      <w:r>
        <w:rPr>
          <w:rFonts w:hint="eastAsia" w:cs="仿宋_GB2312" w:asciiTheme="minorEastAsia" w:hAnsiTheme="minorEastAsia" w:eastAsiaTheme="minorEastAsia"/>
          <w:color w:val="auto"/>
          <w:sz w:val="22"/>
          <w:szCs w:val="21"/>
          <w:u w:val="dotted"/>
        </w:rPr>
        <w:t xml:space="preserve">                                       </w:t>
      </w:r>
    </w:p>
    <w:p w14:paraId="5D99E574">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事实依据：</w:t>
      </w:r>
      <w:r>
        <w:rPr>
          <w:rFonts w:hint="eastAsia" w:cs="仿宋_GB2312" w:asciiTheme="minorEastAsia" w:hAnsiTheme="minorEastAsia" w:eastAsiaTheme="minorEastAsia"/>
          <w:color w:val="auto"/>
          <w:sz w:val="22"/>
          <w:szCs w:val="21"/>
          <w:u w:val="dotted"/>
        </w:rPr>
        <w:t xml:space="preserve">                                         </w:t>
      </w:r>
    </w:p>
    <w:p w14:paraId="0D947398">
      <w:pPr>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u w:val="dotted"/>
        </w:rPr>
        <w:t xml:space="preserve">                                                      </w:t>
      </w:r>
    </w:p>
    <w:p w14:paraId="5123115E">
      <w:pPr>
        <w:spacing w:line="360" w:lineRule="auto"/>
        <w:rPr>
          <w:rFonts w:cs="仿宋_GB2312" w:asciiTheme="minorEastAsia" w:hAnsiTheme="minorEastAsia" w:eastAsiaTheme="minorEastAsia"/>
          <w:color w:val="auto"/>
          <w:sz w:val="22"/>
          <w:szCs w:val="21"/>
          <w:u w:val="single"/>
        </w:rPr>
      </w:pPr>
      <w:r>
        <w:rPr>
          <w:rFonts w:hint="eastAsia" w:cs="仿宋_GB2312" w:asciiTheme="minorEastAsia" w:hAnsiTheme="minorEastAsia" w:eastAsiaTheme="minorEastAsia"/>
          <w:color w:val="auto"/>
          <w:sz w:val="22"/>
          <w:szCs w:val="21"/>
        </w:rPr>
        <w:t>法律依据：</w:t>
      </w:r>
      <w:r>
        <w:rPr>
          <w:rFonts w:hint="eastAsia" w:cs="仿宋_GB2312" w:asciiTheme="minorEastAsia" w:hAnsiTheme="minorEastAsia" w:eastAsiaTheme="minorEastAsia"/>
          <w:color w:val="auto"/>
          <w:sz w:val="22"/>
          <w:szCs w:val="21"/>
          <w:u w:val="dotted"/>
        </w:rPr>
        <w:t xml:space="preserve">                                          </w:t>
      </w:r>
    </w:p>
    <w:p w14:paraId="11C940AB">
      <w:pPr>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u w:val="dotted"/>
        </w:rPr>
        <w:t xml:space="preserve">                                                      </w:t>
      </w:r>
    </w:p>
    <w:p w14:paraId="29A70707">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投诉事项2</w:t>
      </w:r>
    </w:p>
    <w:p w14:paraId="19161281">
      <w:pPr>
        <w:spacing w:line="360" w:lineRule="auto"/>
        <w:rPr>
          <w:rFonts w:cs="仿宋_GB2312" w:asciiTheme="minorEastAsia" w:hAnsiTheme="minorEastAsia" w:eastAsiaTheme="minorEastAsia"/>
          <w:color w:val="auto"/>
          <w:sz w:val="22"/>
          <w:szCs w:val="21"/>
          <w:u w:val="dotted"/>
        </w:rPr>
      </w:pPr>
      <w:r>
        <w:rPr>
          <w:rFonts w:hint="eastAsia" w:cs="仿宋_GB2312" w:asciiTheme="minorEastAsia" w:hAnsiTheme="minorEastAsia" w:eastAsiaTheme="minorEastAsia"/>
          <w:color w:val="auto"/>
          <w:sz w:val="22"/>
          <w:szCs w:val="21"/>
        </w:rPr>
        <w:t>……</w:t>
      </w:r>
    </w:p>
    <w:p w14:paraId="247BB28F">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五、与投诉事项相关的投诉请求</w:t>
      </w:r>
    </w:p>
    <w:p w14:paraId="48997A85">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请求：</w:t>
      </w:r>
      <w:r>
        <w:rPr>
          <w:rFonts w:hint="eastAsia" w:cs="仿宋_GB2312" w:asciiTheme="minorEastAsia" w:hAnsiTheme="minorEastAsia" w:eastAsiaTheme="minorEastAsia"/>
          <w:color w:val="auto"/>
          <w:sz w:val="22"/>
          <w:szCs w:val="21"/>
          <w:u w:val="dotted"/>
        </w:rPr>
        <w:t xml:space="preserve">                                              </w:t>
      </w:r>
      <w:r>
        <w:rPr>
          <w:rFonts w:hint="eastAsia" w:cs="仿宋_GB2312" w:asciiTheme="minorEastAsia" w:hAnsiTheme="minorEastAsia" w:eastAsiaTheme="minorEastAsia"/>
          <w:color w:val="auto"/>
          <w:sz w:val="22"/>
          <w:szCs w:val="21"/>
        </w:rPr>
        <w:t xml:space="preserve"> </w:t>
      </w:r>
    </w:p>
    <w:p w14:paraId="02941B66">
      <w:pPr>
        <w:spacing w:line="360" w:lineRule="auto"/>
        <w:rPr>
          <w:rFonts w:cs="仿宋_GB2312" w:asciiTheme="minorEastAsia" w:hAnsiTheme="minorEastAsia" w:eastAsiaTheme="minorEastAsia"/>
          <w:color w:val="auto"/>
          <w:sz w:val="22"/>
          <w:szCs w:val="21"/>
          <w:u w:val="single"/>
        </w:rPr>
      </w:pPr>
      <w:r>
        <w:rPr>
          <w:rFonts w:hint="eastAsia" w:cs="仿宋_GB2312" w:asciiTheme="minorEastAsia" w:hAnsiTheme="minorEastAsia" w:eastAsiaTheme="minorEastAsia"/>
          <w:color w:val="auto"/>
          <w:sz w:val="22"/>
          <w:szCs w:val="21"/>
        </w:rPr>
        <w:t xml:space="preserve">                                                                     </w:t>
      </w:r>
    </w:p>
    <w:p w14:paraId="54671AFD">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 xml:space="preserve">签字(签章)：                   公章：                      </w:t>
      </w:r>
    </w:p>
    <w:p w14:paraId="5B7168F1">
      <w:pPr>
        <w:spacing w:line="360" w:lineRule="auto"/>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 xml:space="preserve">日期：    </w:t>
      </w:r>
    </w:p>
    <w:p w14:paraId="315374D9">
      <w:pPr>
        <w:spacing w:line="360" w:lineRule="auto"/>
        <w:rPr>
          <w:rFonts w:cs="仿宋_GB2312" w:asciiTheme="minorEastAsia" w:hAnsiTheme="minorEastAsia" w:eastAsiaTheme="minorEastAsia"/>
          <w:b/>
          <w:color w:val="auto"/>
          <w:sz w:val="22"/>
          <w:szCs w:val="21"/>
        </w:rPr>
      </w:pPr>
    </w:p>
    <w:p w14:paraId="2D79A175">
      <w:pPr>
        <w:spacing w:line="360" w:lineRule="auto"/>
        <w:rPr>
          <w:rFonts w:cs="仿宋_GB2312" w:asciiTheme="minorEastAsia" w:hAnsiTheme="minorEastAsia" w:eastAsiaTheme="minorEastAsia"/>
          <w:b/>
          <w:color w:val="auto"/>
          <w:sz w:val="22"/>
          <w:szCs w:val="21"/>
        </w:rPr>
      </w:pPr>
    </w:p>
    <w:p w14:paraId="2F8558CB">
      <w:pPr>
        <w:spacing w:line="360" w:lineRule="auto"/>
        <w:rPr>
          <w:rFonts w:cs="仿宋_GB2312" w:asciiTheme="minorEastAsia" w:hAnsiTheme="minorEastAsia" w:eastAsiaTheme="minorEastAsia"/>
          <w:b/>
          <w:color w:val="auto"/>
          <w:sz w:val="22"/>
          <w:szCs w:val="21"/>
        </w:rPr>
      </w:pPr>
      <w:r>
        <w:rPr>
          <w:rFonts w:hint="eastAsia" w:cs="仿宋_GB2312" w:asciiTheme="minorEastAsia" w:hAnsiTheme="minorEastAsia" w:eastAsiaTheme="minorEastAsia"/>
          <w:b/>
          <w:color w:val="auto"/>
          <w:sz w:val="22"/>
          <w:szCs w:val="21"/>
        </w:rPr>
        <w:t>投诉书制作说明：</w:t>
      </w:r>
    </w:p>
    <w:p w14:paraId="387CD313">
      <w:pPr>
        <w:widowControl/>
        <w:spacing w:line="360" w:lineRule="auto"/>
        <w:ind w:firstLine="440" w:firstLineChars="200"/>
        <w:rPr>
          <w:rFonts w:cs="仿宋_GB2312" w:asciiTheme="minorEastAsia" w:hAnsiTheme="minorEastAsia" w:eastAsiaTheme="minorEastAsia"/>
          <w:color w:val="auto"/>
          <w:kern w:val="0"/>
          <w:sz w:val="22"/>
          <w:szCs w:val="21"/>
        </w:rPr>
      </w:pPr>
      <w:r>
        <w:rPr>
          <w:rFonts w:hint="eastAsia" w:cs="仿宋_GB2312" w:asciiTheme="minorEastAsia" w:hAnsiTheme="minorEastAsia" w:eastAsiaTheme="minorEastAsia"/>
          <w:color w:val="auto"/>
          <w:sz w:val="22"/>
          <w:szCs w:val="21"/>
        </w:rPr>
        <w:t>1.投诉人提起投诉时，应当提交投诉书和必要的证明材料，并按照被投诉人和与投诉事项有关的供应商数量提供投诉书副本。</w:t>
      </w:r>
    </w:p>
    <w:p w14:paraId="6E64D64C">
      <w:pPr>
        <w:widowControl/>
        <w:spacing w:line="360" w:lineRule="auto"/>
        <w:ind w:firstLine="440" w:firstLineChars="200"/>
        <w:jc w:val="left"/>
        <w:rPr>
          <w:rFonts w:cs="仿宋_GB2312" w:asciiTheme="minorEastAsia" w:hAnsiTheme="minorEastAsia" w:eastAsiaTheme="minorEastAsia"/>
          <w:color w:val="auto"/>
          <w:kern w:val="0"/>
          <w:sz w:val="22"/>
          <w:szCs w:val="21"/>
        </w:rPr>
      </w:pPr>
      <w:r>
        <w:rPr>
          <w:rFonts w:hint="eastAsia" w:cs="仿宋_GB2312" w:asciiTheme="minorEastAsia" w:hAnsiTheme="minorEastAsia" w:eastAsiaTheme="minorEastAsia"/>
          <w:color w:val="auto"/>
          <w:sz w:val="22"/>
          <w:szCs w:val="21"/>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2"/>
          <w:szCs w:val="21"/>
        </w:rPr>
        <w:t>投诉人签署的授权委托书。授权委托书应当载明代理人的姓名或者名称、代理事项、具体权限、期限和相关事项。</w:t>
      </w:r>
    </w:p>
    <w:p w14:paraId="467E9A47">
      <w:pPr>
        <w:widowControl/>
        <w:spacing w:line="360" w:lineRule="auto"/>
        <w:ind w:firstLine="440" w:firstLineChars="200"/>
        <w:jc w:val="left"/>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3.投诉人若对项目的某一分包进行投诉，投诉书应列明具体分包号。</w:t>
      </w:r>
    </w:p>
    <w:p w14:paraId="196499B6">
      <w:pPr>
        <w:widowControl/>
        <w:spacing w:line="360" w:lineRule="auto"/>
        <w:ind w:firstLine="440" w:firstLineChars="200"/>
        <w:jc w:val="left"/>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4.投诉书应简要列明质疑事项，质疑函、质疑答复等作为附件材料提供。</w:t>
      </w:r>
    </w:p>
    <w:p w14:paraId="7B936B0F">
      <w:pPr>
        <w:widowControl/>
        <w:spacing w:line="360" w:lineRule="auto"/>
        <w:ind w:firstLine="440" w:firstLineChars="200"/>
        <w:jc w:val="left"/>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5.投诉书的投诉事项应具体、明确，并有必要的事实依据和法律依据。</w:t>
      </w:r>
    </w:p>
    <w:p w14:paraId="3ED1E255">
      <w:pPr>
        <w:widowControl/>
        <w:spacing w:line="360" w:lineRule="auto"/>
        <w:ind w:firstLine="440" w:firstLineChars="200"/>
        <w:jc w:val="left"/>
        <w:rPr>
          <w:rFonts w:cs="仿宋_GB2312"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rPr>
        <w:t>6.投诉书的投诉请求应与投诉事项相关。</w:t>
      </w:r>
    </w:p>
    <w:p w14:paraId="33FB6CA5">
      <w:pPr>
        <w:widowControl/>
        <w:spacing w:line="360" w:lineRule="auto"/>
        <w:ind w:firstLine="440" w:firstLineChars="200"/>
        <w:jc w:val="left"/>
        <w:rPr>
          <w:rFonts w:cs="仿宋_GB2312" w:asciiTheme="minorEastAsia" w:hAnsiTheme="minorEastAsia" w:eastAsiaTheme="minorEastAsia"/>
          <w:color w:val="auto"/>
          <w:kern w:val="0"/>
          <w:sz w:val="22"/>
          <w:szCs w:val="21"/>
        </w:rPr>
      </w:pPr>
      <w:r>
        <w:rPr>
          <w:rFonts w:hint="eastAsia" w:cs="仿宋_GB2312" w:asciiTheme="minorEastAsia" w:hAnsiTheme="minorEastAsia" w:eastAsiaTheme="minorEastAsia"/>
          <w:color w:val="auto"/>
          <w:sz w:val="22"/>
          <w:szCs w:val="21"/>
        </w:rPr>
        <w:t>7.投诉人为自然人的，投诉书应当由本人签字；投诉人为法人或者其他组织的，投诉书应当由法定代表人、主要负责人，或者其授权代表签字或者盖章，并加盖公章。</w:t>
      </w:r>
    </w:p>
    <w:p w14:paraId="29DB1EA6">
      <w:pPr>
        <w:rPr>
          <w:rFonts w:cs="仿宋_GB2312" w:asciiTheme="minorEastAsia" w:hAnsiTheme="minorEastAsia" w:eastAsiaTheme="minorEastAsia"/>
          <w:b/>
          <w:color w:val="auto"/>
          <w:sz w:val="22"/>
          <w:szCs w:val="21"/>
        </w:rPr>
      </w:pPr>
    </w:p>
    <w:p w14:paraId="24ACF1DE">
      <w:pPr>
        <w:widowControl/>
        <w:adjustRightInd/>
        <w:jc w:val="left"/>
        <w:rPr>
          <w:rFonts w:cs="仿宋_GB2312" w:asciiTheme="minorEastAsia" w:hAnsiTheme="minorEastAsia" w:eastAsiaTheme="minorEastAsia"/>
          <w:b/>
          <w:color w:val="auto"/>
          <w:sz w:val="22"/>
          <w:szCs w:val="21"/>
        </w:rPr>
      </w:pPr>
      <w:r>
        <w:rPr>
          <w:rFonts w:hint="eastAsia" w:cs="仿宋_GB2312" w:asciiTheme="minorEastAsia" w:hAnsiTheme="minorEastAsia" w:eastAsiaTheme="minorEastAsia"/>
          <w:b/>
          <w:color w:val="auto"/>
          <w:sz w:val="22"/>
          <w:szCs w:val="21"/>
        </w:rPr>
        <w:br w:type="page"/>
      </w:r>
    </w:p>
    <w:p w14:paraId="520199AD">
      <w:pPr>
        <w:autoSpaceDE w:val="0"/>
        <w:autoSpaceDN w:val="0"/>
        <w:jc w:val="left"/>
        <w:rPr>
          <w:rFonts w:cs="仿宋_GB2312" w:asciiTheme="minorEastAsia" w:hAnsiTheme="minorEastAsia" w:eastAsiaTheme="minorEastAsia"/>
          <w:b/>
          <w:color w:val="auto"/>
          <w:sz w:val="22"/>
          <w:szCs w:val="21"/>
        </w:rPr>
      </w:pPr>
      <w:r>
        <w:rPr>
          <w:rFonts w:hint="eastAsia" w:cs="仿宋_GB2312" w:asciiTheme="minorEastAsia" w:hAnsiTheme="minorEastAsia" w:eastAsiaTheme="minorEastAsia"/>
          <w:b/>
          <w:color w:val="auto"/>
          <w:sz w:val="28"/>
          <w:szCs w:val="28"/>
          <w:lang w:val="en-US" w:eastAsia="zh-CN"/>
        </w:rPr>
        <w:t>附</w:t>
      </w:r>
      <w:r>
        <w:rPr>
          <w:rFonts w:hint="eastAsia" w:cs="仿宋_GB2312" w:asciiTheme="minorEastAsia" w:hAnsiTheme="minorEastAsia" w:eastAsiaTheme="minorEastAsia"/>
          <w:b/>
          <w:color w:val="auto"/>
          <w:sz w:val="28"/>
          <w:szCs w:val="28"/>
        </w:rPr>
        <w:t>件</w:t>
      </w:r>
      <w:r>
        <w:rPr>
          <w:rFonts w:hint="eastAsia" w:cs="仿宋_GB2312" w:asciiTheme="minorEastAsia" w:hAnsiTheme="minorEastAsia" w:eastAsiaTheme="minorEastAsia"/>
          <w:b/>
          <w:color w:val="auto"/>
          <w:sz w:val="28"/>
          <w:szCs w:val="28"/>
          <w:lang w:val="en-US" w:eastAsia="zh-CN"/>
        </w:rPr>
        <w:t>3</w:t>
      </w:r>
      <w:r>
        <w:rPr>
          <w:rFonts w:hint="eastAsia" w:cs="仿宋_GB2312" w:asciiTheme="minorEastAsia" w:hAnsiTheme="minorEastAsia" w:eastAsiaTheme="minorEastAsia"/>
          <w:b/>
          <w:color w:val="auto"/>
          <w:sz w:val="28"/>
          <w:szCs w:val="28"/>
        </w:rPr>
        <w:t>：</w:t>
      </w:r>
    </w:p>
    <w:p w14:paraId="6CAA2E79">
      <w:pPr>
        <w:spacing w:line="360" w:lineRule="auto"/>
        <w:jc w:val="left"/>
        <w:rPr>
          <w:rFonts w:cs="仿宋_GB2312" w:asciiTheme="minorEastAsia" w:hAnsiTheme="minorEastAsia" w:eastAsiaTheme="minorEastAsia"/>
          <w:b/>
          <w:color w:val="auto"/>
          <w:sz w:val="22"/>
          <w:szCs w:val="21"/>
        </w:rPr>
      </w:pPr>
    </w:p>
    <w:p w14:paraId="6C55860D">
      <w:pPr>
        <w:autoSpaceDE w:val="0"/>
        <w:autoSpaceDN w:val="0"/>
        <w:jc w:val="cente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业务专用章使用说明函</w:t>
      </w:r>
    </w:p>
    <w:p w14:paraId="32580ECF">
      <w:pPr>
        <w:autoSpaceDE w:val="0"/>
        <w:autoSpaceDN w:val="0"/>
        <w:jc w:val="center"/>
        <w:rPr>
          <w:rFonts w:asciiTheme="minorEastAsia" w:hAnsiTheme="minorEastAsia" w:eastAsiaTheme="minorEastAsia"/>
          <w:b/>
          <w:bCs/>
          <w:color w:val="auto"/>
          <w:sz w:val="28"/>
          <w:szCs w:val="28"/>
        </w:rPr>
      </w:pPr>
    </w:p>
    <w:p w14:paraId="5C3E919C">
      <w:pPr>
        <w:spacing w:line="360" w:lineRule="auto"/>
        <w:rPr>
          <w:rFonts w:asciiTheme="minorEastAsia" w:hAnsiTheme="minorEastAsia" w:eastAsiaTheme="minorEastAsia"/>
          <w:color w:val="auto"/>
          <w:sz w:val="22"/>
          <w:szCs w:val="21"/>
        </w:rPr>
      </w:pPr>
      <w:r>
        <w:rPr>
          <w:rFonts w:hint="eastAsia" w:cs="仿宋_GB2312" w:asciiTheme="minorEastAsia" w:hAnsiTheme="minorEastAsia" w:eastAsiaTheme="minorEastAsia"/>
          <w:color w:val="auto"/>
          <w:sz w:val="22"/>
          <w:szCs w:val="21"/>
          <w:u w:val="single"/>
        </w:rPr>
        <w:t>（采购人）、（采购代理机构）：</w:t>
      </w:r>
    </w:p>
    <w:p w14:paraId="68BAFBCD">
      <w:pPr>
        <w:spacing w:line="360" w:lineRule="auto"/>
        <w:ind w:firstLine="440" w:firstLineChars="200"/>
        <w:rPr>
          <w:rFonts w:cs="宋体" w:asciiTheme="minorEastAsia" w:hAnsiTheme="minorEastAsia" w:eastAsiaTheme="minorEastAsia"/>
          <w:color w:val="auto"/>
          <w:sz w:val="22"/>
          <w:szCs w:val="21"/>
        </w:rPr>
      </w:pPr>
      <w:r>
        <w:rPr>
          <w:rFonts w:hint="eastAsia" w:cs="仿宋_GB2312" w:asciiTheme="minorEastAsia" w:hAnsiTheme="minorEastAsia" w:eastAsiaTheme="minorEastAsia"/>
          <w:color w:val="auto"/>
          <w:kern w:val="0"/>
          <w:sz w:val="22"/>
          <w:szCs w:val="21"/>
          <w:lang w:val="zh-CN"/>
        </w:rPr>
        <w:t>我方</w:t>
      </w:r>
      <w:r>
        <w:rPr>
          <w:rFonts w:hint="eastAsia" w:cs="仿宋_GB2312" w:asciiTheme="minorEastAsia" w:hAnsiTheme="minorEastAsia" w:eastAsiaTheme="minorEastAsia"/>
          <w:color w:val="auto"/>
          <w:kern w:val="0"/>
          <w:sz w:val="22"/>
          <w:szCs w:val="21"/>
          <w:u w:val="single"/>
          <w:lang w:val="zh-CN"/>
        </w:rPr>
        <w:t xml:space="preserve">                         </w:t>
      </w:r>
      <w:r>
        <w:rPr>
          <w:rFonts w:hint="eastAsia" w:cs="仿宋_GB2312" w:asciiTheme="minorEastAsia" w:hAnsiTheme="minorEastAsia" w:eastAsiaTheme="minorEastAsia"/>
          <w:color w:val="auto"/>
          <w:sz w:val="22"/>
          <w:szCs w:val="21"/>
        </w:rPr>
        <w:t>(供应商全称)</w:t>
      </w:r>
      <w:r>
        <w:rPr>
          <w:rFonts w:hint="eastAsia" w:asciiTheme="minorEastAsia" w:hAnsiTheme="minorEastAsia" w:eastAsiaTheme="minorEastAsia"/>
          <w:color w:val="auto"/>
          <w:sz w:val="22"/>
          <w:szCs w:val="21"/>
        </w:rPr>
        <w:t>是中华人民共和国依法登记注册的合法企业，</w:t>
      </w:r>
      <w:r>
        <w:rPr>
          <w:rFonts w:hint="eastAsia" w:cs="宋体" w:asciiTheme="minorEastAsia" w:hAnsiTheme="minorEastAsia" w:eastAsiaTheme="minorEastAsia"/>
          <w:bCs/>
          <w:color w:val="auto"/>
          <w:sz w:val="22"/>
          <w:szCs w:val="21"/>
        </w:rPr>
        <w:t>在参加</w:t>
      </w:r>
      <w:r>
        <w:rPr>
          <w:rFonts w:hint="eastAsia" w:cs="仿宋_GB2312" w:asciiTheme="minorEastAsia" w:hAnsiTheme="minorEastAsia" w:eastAsiaTheme="minorEastAsia"/>
          <w:color w:val="auto"/>
          <w:sz w:val="22"/>
          <w:szCs w:val="21"/>
        </w:rPr>
        <w:t>贵方组织的（项目名称）【项目编号：（采购编号）】</w:t>
      </w:r>
      <w:r>
        <w:rPr>
          <w:rFonts w:hint="eastAsia" w:cs="宋体" w:asciiTheme="minorEastAsia" w:hAnsiTheme="minorEastAsia" w:eastAsiaTheme="minorEastAsia"/>
          <w:bCs/>
          <w:color w:val="auto"/>
          <w:sz w:val="22"/>
          <w:szCs w:val="21"/>
        </w:rPr>
        <w:t>采购活动中作如下说明：</w:t>
      </w:r>
      <w:r>
        <w:rPr>
          <w:rFonts w:hint="eastAsia" w:cs="宋体" w:asciiTheme="minorEastAsia" w:hAnsiTheme="minorEastAsia" w:eastAsiaTheme="minorEastAsia"/>
          <w:color w:val="auto"/>
          <w:sz w:val="22"/>
          <w:szCs w:val="21"/>
        </w:rPr>
        <w:t>我方所使用的“</w:t>
      </w:r>
      <w:r>
        <w:rPr>
          <w:rFonts w:hint="eastAsia" w:cs="仿宋_GB2312" w:asciiTheme="minorEastAsia" w:hAnsiTheme="minorEastAsia" w:eastAsiaTheme="minorEastAsia"/>
          <w:color w:val="auto"/>
          <w:sz w:val="22"/>
          <w:szCs w:val="21"/>
        </w:rPr>
        <w:t>XX</w:t>
      </w:r>
      <w:r>
        <w:rPr>
          <w:rFonts w:hint="eastAsia" w:cs="宋体" w:asciiTheme="minorEastAsia" w:hAnsiTheme="minorEastAsia" w:eastAsiaTheme="minorEastAsia"/>
          <w:color w:val="auto"/>
          <w:sz w:val="22"/>
          <w:szCs w:val="21"/>
        </w:rPr>
        <w:t>专用章”与法定名称章具有同等的法律效力，对使用“</w:t>
      </w:r>
      <w:r>
        <w:rPr>
          <w:rFonts w:hint="eastAsia" w:cs="仿宋_GB2312" w:asciiTheme="minorEastAsia" w:hAnsiTheme="minorEastAsia" w:eastAsiaTheme="minorEastAsia"/>
          <w:color w:val="auto"/>
          <w:sz w:val="22"/>
          <w:szCs w:val="21"/>
        </w:rPr>
        <w:t>XX</w:t>
      </w:r>
      <w:r>
        <w:rPr>
          <w:rFonts w:hint="eastAsia" w:cs="宋体" w:asciiTheme="minorEastAsia" w:hAnsiTheme="minorEastAsia" w:eastAsiaTheme="minorEastAsia"/>
          <w:color w:val="auto"/>
          <w:sz w:val="22"/>
          <w:szCs w:val="21"/>
        </w:rPr>
        <w:t xml:space="preserve">专用章”的行为予以完全承认，并愿意承担相应责任。   </w:t>
      </w:r>
    </w:p>
    <w:p w14:paraId="179BFDDF">
      <w:pPr>
        <w:spacing w:line="360" w:lineRule="auto"/>
        <w:ind w:firstLine="440" w:firstLineChars="2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特此说明。</w:t>
      </w:r>
    </w:p>
    <w:p w14:paraId="4F4B1788">
      <w:pPr>
        <w:spacing w:line="360" w:lineRule="auto"/>
        <w:ind w:firstLine="494"/>
        <w:rPr>
          <w:rFonts w:cs="宋体" w:asciiTheme="minorEastAsia" w:hAnsiTheme="minorEastAsia" w:eastAsiaTheme="minorEastAsia"/>
          <w:color w:val="auto"/>
          <w:sz w:val="22"/>
          <w:szCs w:val="21"/>
        </w:rPr>
      </w:pPr>
    </w:p>
    <w:p w14:paraId="3620B533">
      <w:pPr>
        <w:spacing w:line="360" w:lineRule="auto"/>
        <w:ind w:firstLine="494"/>
        <w:rPr>
          <w:rFonts w:cs="宋体" w:asciiTheme="minorEastAsia" w:hAnsiTheme="minorEastAsia" w:eastAsiaTheme="minorEastAsia"/>
          <w:color w:val="auto"/>
          <w:sz w:val="22"/>
          <w:szCs w:val="21"/>
        </w:rPr>
      </w:pPr>
    </w:p>
    <w:p w14:paraId="38A8527A">
      <w:pPr>
        <w:spacing w:line="360" w:lineRule="auto"/>
        <w:ind w:firstLine="494"/>
        <w:rPr>
          <w:rFonts w:cs="宋体" w:asciiTheme="minorEastAsia" w:hAnsiTheme="minorEastAsia" w:eastAsiaTheme="minorEastAsia"/>
          <w:color w:val="auto"/>
          <w:sz w:val="22"/>
          <w:szCs w:val="21"/>
        </w:rPr>
      </w:pPr>
    </w:p>
    <w:p w14:paraId="5BAA7FF3">
      <w:pPr>
        <w:spacing w:line="360" w:lineRule="auto"/>
        <w:ind w:firstLine="494"/>
        <w:rPr>
          <w:rFonts w:cs="宋体" w:asciiTheme="minorEastAsia" w:hAnsiTheme="minorEastAsia" w:eastAsiaTheme="minorEastAsia"/>
          <w:color w:val="auto"/>
          <w:sz w:val="22"/>
          <w:szCs w:val="21"/>
        </w:rPr>
      </w:pPr>
    </w:p>
    <w:p w14:paraId="44226A66">
      <w:pPr>
        <w:spacing w:line="360" w:lineRule="auto"/>
        <w:ind w:right="482" w:firstLine="3740" w:firstLineChars="17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供应商（法定名称章）：</w:t>
      </w:r>
    </w:p>
    <w:p w14:paraId="37A41AEC">
      <w:pPr>
        <w:spacing w:line="360" w:lineRule="auto"/>
        <w:ind w:right="482" w:firstLine="3740" w:firstLineChars="170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z w:val="22"/>
          <w:szCs w:val="21"/>
        </w:rPr>
        <w:t>日期：       年     月     日</w:t>
      </w:r>
    </w:p>
    <w:p w14:paraId="78F0A106">
      <w:pPr>
        <w:rPr>
          <w:rFonts w:cs="宋体" w:asciiTheme="minorEastAsia" w:hAnsiTheme="minorEastAsia" w:eastAsiaTheme="minorEastAsia"/>
          <w:color w:val="auto"/>
          <w:sz w:val="22"/>
          <w:szCs w:val="21"/>
        </w:rPr>
      </w:pPr>
      <w:r>
        <w:rPr>
          <w:rFonts w:hint="eastAsia" w:cs="宋体" w:asciiTheme="minorEastAsia" w:hAnsiTheme="minorEastAsia" w:eastAsiaTheme="minorEastAsia"/>
          <w:b/>
          <w:bCs/>
          <w:color w:val="auto"/>
          <w:sz w:val="22"/>
          <w:szCs w:val="21"/>
        </w:rPr>
        <w:t>附：</w:t>
      </w:r>
    </w:p>
    <w:p w14:paraId="5DBBD2AA">
      <w:pPr>
        <w:spacing w:line="360" w:lineRule="auto"/>
        <w:rPr>
          <w:rFonts w:asciiTheme="minorEastAsia" w:hAnsiTheme="minorEastAsia" w:eastAsiaTheme="minorEastAsia"/>
          <w:bCs/>
          <w:color w:val="auto"/>
          <w:sz w:val="22"/>
          <w:szCs w:val="21"/>
        </w:rPr>
      </w:pPr>
      <w:r>
        <w:rPr>
          <w:rFonts w:asciiTheme="minorEastAsia" w:hAnsiTheme="minorEastAsia" w:eastAsiaTheme="minorEastAsia"/>
          <w:color w:val="auto"/>
          <w:sz w:val="21"/>
          <w:szCs w:val="21"/>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sz w:val="21"/>
          <w:szCs w:val="21"/>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O446bs0AgAAcAQAAA4AAAAAAAAAAQAgAAAAJwEAAGRycy9lMm9E&#10;b2MueG1sUEsFBgAAAAAGAAYAWQEAAM0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2"/>
          <w:szCs w:val="21"/>
        </w:rPr>
        <w:t>供应商法定名称章（印模）                供应商“</w:t>
      </w:r>
      <w:r>
        <w:rPr>
          <w:rFonts w:hint="eastAsia" w:cs="仿宋_GB2312" w:asciiTheme="minorEastAsia" w:hAnsiTheme="minorEastAsia" w:eastAsiaTheme="minorEastAsia"/>
          <w:color w:val="auto"/>
          <w:sz w:val="22"/>
          <w:szCs w:val="21"/>
        </w:rPr>
        <w:t>XX</w:t>
      </w:r>
      <w:r>
        <w:rPr>
          <w:rFonts w:hint="eastAsia" w:cs="宋体" w:asciiTheme="minorEastAsia" w:hAnsiTheme="minorEastAsia" w:eastAsiaTheme="minorEastAsia"/>
          <w:color w:val="auto"/>
          <w:sz w:val="22"/>
          <w:szCs w:val="21"/>
        </w:rPr>
        <w:t>专用章”（印模）</w:t>
      </w:r>
    </w:p>
    <w:p w14:paraId="6EBFEA55">
      <w:pPr>
        <w:widowControl/>
        <w:spacing w:line="360" w:lineRule="auto"/>
        <w:ind w:firstLine="440" w:firstLineChars="200"/>
        <w:jc w:val="left"/>
        <w:rPr>
          <w:rFonts w:cs="宋体" w:asciiTheme="minorEastAsia" w:hAnsiTheme="minorEastAsia" w:eastAsiaTheme="minorEastAsia"/>
          <w:color w:val="auto"/>
          <w:kern w:val="0"/>
          <w:sz w:val="22"/>
          <w:szCs w:val="21"/>
        </w:rPr>
      </w:pPr>
    </w:p>
    <w:p w14:paraId="59E7296C">
      <w:pPr>
        <w:snapToGrid w:val="0"/>
        <w:spacing w:line="360" w:lineRule="auto"/>
        <w:jc w:val="center"/>
        <w:rPr>
          <w:rFonts w:cs="仿宋_GB2312" w:asciiTheme="minorEastAsia" w:hAnsiTheme="minorEastAsia" w:eastAsiaTheme="minorEastAsia"/>
          <w:b/>
          <w:color w:val="auto"/>
          <w:sz w:val="22"/>
          <w:szCs w:val="21"/>
        </w:rPr>
      </w:pPr>
    </w:p>
    <w:p w14:paraId="53CD094F">
      <w:pPr>
        <w:widowControl/>
        <w:adjustRightInd/>
        <w:jc w:val="left"/>
        <w:rPr>
          <w:rFonts w:hint="eastAsia" w:cs="仿宋_GB2312" w:asciiTheme="minorEastAsia" w:hAnsiTheme="minorEastAsia" w:eastAsiaTheme="minorEastAsia"/>
          <w:b/>
          <w:color w:val="auto"/>
          <w:sz w:val="22"/>
          <w:szCs w:val="21"/>
          <w:lang w:val="en-US"/>
        </w:rPr>
        <w:sectPr>
          <w:footerReference r:id="rId6" w:type="default"/>
          <w:pgSz w:w="11910" w:h="16840"/>
          <w:pgMar w:top="1417" w:right="1417" w:bottom="1417" w:left="1417" w:header="0" w:footer="1032" w:gutter="0"/>
          <w:pgBorders>
            <w:top w:val="none" w:sz="0" w:space="0"/>
            <w:left w:val="none" w:sz="0" w:space="0"/>
            <w:bottom w:val="none" w:sz="0" w:space="0"/>
            <w:right w:val="none" w:sz="0" w:space="0"/>
          </w:pgBorders>
          <w:pgNumType w:fmt="decimal"/>
          <w:cols w:equalWidth="0" w:num="1">
            <w:col w:w="10050"/>
          </w:cols>
          <w:rtlGutter w:val="0"/>
          <w:docGrid w:linePitch="0" w:charSpace="0"/>
        </w:sectPr>
      </w:pPr>
    </w:p>
    <w:p w14:paraId="0B251BE1">
      <w:pPr>
        <w:pStyle w:val="9"/>
        <w:spacing w:line="400" w:lineRule="exact"/>
        <w:ind w:left="0" w:leftChars="0" w:firstLine="0" w:firstLineChars="0"/>
        <w:rPr>
          <w:rFonts w:hint="eastAsia" w:cs="仿宋_GB2312" w:asciiTheme="minorEastAsia" w:hAnsiTheme="minorEastAsia" w:eastAsiaTheme="minorEastAsia"/>
          <w:b/>
          <w:color w:val="auto"/>
          <w:sz w:val="28"/>
          <w:szCs w:val="28"/>
          <w:lang w:val="en-US" w:eastAsia="zh-CN" w:bidi="zh-CN"/>
        </w:rPr>
      </w:pPr>
      <w:r>
        <w:rPr>
          <w:rFonts w:hint="eastAsia" w:cs="仿宋_GB2312" w:asciiTheme="minorEastAsia" w:hAnsiTheme="minorEastAsia" w:eastAsiaTheme="minorEastAsia"/>
          <w:b/>
          <w:color w:val="auto"/>
          <w:sz w:val="28"/>
          <w:szCs w:val="28"/>
          <w:lang w:val="en-US" w:eastAsia="zh-CN" w:bidi="zh-CN"/>
        </w:rPr>
        <w:t>附件4：</w:t>
      </w:r>
    </w:p>
    <w:p w14:paraId="6C584090">
      <w:pPr>
        <w:pStyle w:val="66"/>
        <w:widowControl w:val="0"/>
        <w:snapToGrid w:val="0"/>
        <w:spacing w:line="500" w:lineRule="exact"/>
        <w:jc w:val="center"/>
        <w:rPr>
          <w:rFonts w:hint="eastAsia" w:ascii="宋体" w:hAnsi="宋体" w:eastAsia="宋体" w:cs="宋体"/>
          <w:color w:val="auto"/>
          <w:sz w:val="32"/>
          <w:szCs w:val="32"/>
        </w:rPr>
      </w:pPr>
      <w:r>
        <w:rPr>
          <w:rFonts w:hint="eastAsia" w:ascii="宋体" w:hAnsi="宋体" w:eastAsia="宋体" w:cs="宋体"/>
          <w:b/>
          <w:bCs/>
          <w:color w:val="auto"/>
          <w:sz w:val="32"/>
          <w:szCs w:val="32"/>
        </w:rPr>
        <w:t>政府采购活动现场确认声明书</w:t>
      </w:r>
    </w:p>
    <w:p w14:paraId="4F6075EA">
      <w:pPr>
        <w:pStyle w:val="66"/>
        <w:widowControl w:val="0"/>
        <w:snapToGrid w:val="0"/>
        <w:spacing w:line="440" w:lineRule="exact"/>
        <w:jc w:val="both"/>
        <w:rPr>
          <w:rFonts w:hint="eastAsia" w:hAnsi="宋体" w:eastAsia="宋体" w:cs="宋体"/>
          <w:color w:val="auto"/>
          <w:kern w:val="0"/>
          <w:sz w:val="24"/>
          <w:szCs w:val="24"/>
          <w:lang w:val="en-US" w:eastAsia="zh-CN"/>
        </w:rPr>
      </w:pPr>
    </w:p>
    <w:p w14:paraId="6D0081A4">
      <w:pPr>
        <w:pStyle w:val="66"/>
        <w:widowControl w:val="0"/>
        <w:snapToGrid w:val="0"/>
        <w:spacing w:line="440" w:lineRule="exact"/>
        <w:ind w:left="0" w:leftChars="0" w:firstLine="0" w:firstLineChars="0"/>
        <w:jc w:val="both"/>
        <w:rPr>
          <w:rFonts w:hint="eastAsia" w:ascii="宋体" w:hAnsi="宋体" w:eastAsia="宋体" w:cs="宋体"/>
          <w:bCs/>
          <w:color w:val="auto"/>
          <w:sz w:val="22"/>
          <w:szCs w:val="22"/>
        </w:rPr>
      </w:pPr>
      <w:r>
        <w:rPr>
          <w:rFonts w:hint="eastAsia" w:hAnsi="宋体" w:eastAsia="宋体" w:cs="宋体"/>
          <w:color w:val="auto"/>
          <w:kern w:val="0"/>
          <w:sz w:val="22"/>
          <w:szCs w:val="22"/>
          <w:lang w:val="en-US" w:eastAsia="zh-CN"/>
        </w:rPr>
        <w:t>浙江天平投资咨询有限公司</w:t>
      </w:r>
      <w:r>
        <w:rPr>
          <w:rFonts w:hint="eastAsia" w:ascii="宋体" w:hAnsi="宋体" w:eastAsia="宋体" w:cs="宋体"/>
          <w:color w:val="auto"/>
          <w:kern w:val="0"/>
          <w:sz w:val="22"/>
          <w:szCs w:val="22"/>
        </w:rPr>
        <w:t>：</w:t>
      </w:r>
    </w:p>
    <w:p w14:paraId="787F7BE7">
      <w:pPr>
        <w:pStyle w:val="66"/>
        <w:keepNext w:val="0"/>
        <w:keepLines w:val="0"/>
        <w:pageBreakBefore w:val="0"/>
        <w:widowControl w:val="0"/>
        <w:kinsoku/>
        <w:wordWrap w:val="0"/>
        <w:overflowPunct/>
        <w:topLinePunct w:val="0"/>
        <w:autoSpaceDE/>
        <w:autoSpaceDN/>
        <w:bidi w:val="0"/>
        <w:adjustRightInd/>
        <w:snapToGrid w:val="0"/>
        <w:spacing w:line="440" w:lineRule="exact"/>
        <w:ind w:left="0" w:leftChars="0" w:firstLine="464" w:firstLineChars="200"/>
        <w:jc w:val="both"/>
        <w:textAlignment w:val="auto"/>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本人</w:t>
      </w:r>
      <w:r>
        <w:rPr>
          <w:rFonts w:hint="eastAsia" w:ascii="宋体" w:hAnsi="宋体" w:eastAsia="宋体" w:cs="宋体"/>
          <w:color w:val="auto"/>
          <w:spacing w:val="6"/>
          <w:sz w:val="22"/>
          <w:szCs w:val="22"/>
          <w:u w:val="single"/>
        </w:rPr>
        <w:t xml:space="preserve">        </w:t>
      </w:r>
      <w:r>
        <w:rPr>
          <w:rFonts w:hint="eastAsia" w:ascii="宋体" w:hAnsi="宋体" w:eastAsia="宋体" w:cs="宋体"/>
          <w:color w:val="auto"/>
          <w:spacing w:val="6"/>
          <w:sz w:val="22"/>
          <w:szCs w:val="22"/>
        </w:rPr>
        <w:t>（授权代表姓名），经由</w:t>
      </w:r>
      <w:r>
        <w:rPr>
          <w:rFonts w:hint="eastAsia" w:ascii="宋体" w:hAnsi="宋体" w:eastAsia="宋体" w:cs="宋体"/>
          <w:color w:val="auto"/>
          <w:spacing w:val="6"/>
          <w:sz w:val="22"/>
          <w:szCs w:val="22"/>
          <w:u w:val="single"/>
        </w:rPr>
        <w:t xml:space="preserve">           </w:t>
      </w:r>
      <w:r>
        <w:rPr>
          <w:rFonts w:hint="eastAsia" w:ascii="宋体" w:hAnsi="宋体" w:eastAsia="宋体" w:cs="宋体"/>
          <w:color w:val="auto"/>
          <w:spacing w:val="6"/>
          <w:sz w:val="22"/>
          <w:szCs w:val="22"/>
        </w:rPr>
        <w:t>（单位）</w:t>
      </w:r>
      <w:r>
        <w:rPr>
          <w:rFonts w:hint="eastAsia" w:ascii="宋体" w:hAnsi="宋体" w:eastAsia="宋体" w:cs="宋体"/>
          <w:color w:val="auto"/>
          <w:spacing w:val="6"/>
          <w:sz w:val="22"/>
          <w:szCs w:val="22"/>
          <w:u w:val="single"/>
        </w:rPr>
        <w:t xml:space="preserve">         </w:t>
      </w:r>
      <w:r>
        <w:rPr>
          <w:rFonts w:hint="eastAsia" w:ascii="宋体" w:hAnsi="宋体" w:eastAsia="宋体" w:cs="宋体"/>
          <w:color w:val="auto"/>
          <w:spacing w:val="6"/>
          <w:sz w:val="22"/>
          <w:szCs w:val="22"/>
        </w:rPr>
        <w:t>（法定代表人姓名）合法授权参加</w:t>
      </w:r>
      <w:r>
        <w:rPr>
          <w:rFonts w:hint="eastAsia" w:ascii="宋体" w:hAnsi="宋体" w:eastAsia="宋体" w:cs="宋体"/>
          <w:color w:val="auto"/>
          <w:sz w:val="22"/>
          <w:szCs w:val="22"/>
          <w:u w:val="single"/>
        </w:rPr>
        <w:t xml:space="preserve"> </w:t>
      </w:r>
      <w:r>
        <w:rPr>
          <w:rFonts w:hint="eastAsia" w:hAnsi="宋体" w:cs="宋体"/>
          <w:color w:val="auto"/>
          <w:sz w:val="22"/>
          <w:szCs w:val="22"/>
          <w:u w:val="single"/>
          <w:lang w:eastAsia="zh-CN"/>
        </w:rPr>
        <w:t>苍南县居家和社区基本养老服务提升行动项目</w:t>
      </w:r>
      <w:r>
        <w:rPr>
          <w:rFonts w:hint="eastAsia" w:ascii="宋体" w:hAnsi="宋体" w:eastAsia="宋体" w:cs="宋体"/>
          <w:color w:val="auto"/>
          <w:sz w:val="22"/>
          <w:szCs w:val="22"/>
          <w:u w:val="single"/>
        </w:rPr>
        <w:t xml:space="preserve"> </w:t>
      </w:r>
      <w:r>
        <w:rPr>
          <w:rFonts w:hint="eastAsia" w:ascii="宋体" w:hAnsi="宋体" w:eastAsia="宋体" w:cs="宋体"/>
          <w:color w:val="auto"/>
          <w:spacing w:val="6"/>
          <w:sz w:val="22"/>
          <w:szCs w:val="22"/>
        </w:rPr>
        <w:t>（编号：</w:t>
      </w:r>
      <w:r>
        <w:rPr>
          <w:rFonts w:hint="eastAsia" w:hAnsi="宋体" w:cs="宋体"/>
          <w:color w:val="auto"/>
          <w:sz w:val="22"/>
          <w:szCs w:val="22"/>
          <w:u w:val="single"/>
          <w:lang w:eastAsia="zh-CN"/>
        </w:rPr>
        <w:t>CNDL2024207</w:t>
      </w:r>
      <w:r>
        <w:rPr>
          <w:rFonts w:hint="eastAsia" w:ascii="宋体" w:hAnsi="宋体" w:eastAsia="宋体" w:cs="宋体"/>
          <w:color w:val="auto"/>
          <w:spacing w:val="6"/>
          <w:sz w:val="22"/>
          <w:szCs w:val="22"/>
          <w:u w:val="single"/>
        </w:rPr>
        <w:t>）</w:t>
      </w:r>
      <w:r>
        <w:rPr>
          <w:rFonts w:hint="eastAsia" w:ascii="宋体" w:hAnsi="宋体" w:eastAsia="宋体" w:cs="宋体"/>
          <w:color w:val="auto"/>
          <w:spacing w:val="6"/>
          <w:sz w:val="22"/>
          <w:szCs w:val="22"/>
        </w:rPr>
        <w:t xml:space="preserve">政府采购活动，经与本单位法人代表（负责人）联系确认，现就有关公平竞争事项郑重声明如下： </w:t>
      </w:r>
    </w:p>
    <w:p w14:paraId="795E6F7D">
      <w:pPr>
        <w:pStyle w:val="35"/>
        <w:widowControl/>
        <w:numPr>
          <w:ilvl w:val="0"/>
          <w:numId w:val="0"/>
        </w:numPr>
        <w:snapToGrid w:val="0"/>
        <w:spacing w:line="44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bidi="ar-SA"/>
        </w:rPr>
        <w:t>一、</w:t>
      </w:r>
      <w:r>
        <w:rPr>
          <w:rFonts w:hint="eastAsia" w:ascii="宋体" w:hAnsi="宋体" w:eastAsia="宋体" w:cs="宋体"/>
          <w:color w:val="auto"/>
          <w:kern w:val="0"/>
          <w:sz w:val="22"/>
          <w:szCs w:val="22"/>
        </w:rPr>
        <w:t>本单位与采购人之间 □不存在利害关系 □存在下列利害关系</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w:t>
      </w:r>
    </w:p>
    <w:p w14:paraId="435AE565">
      <w:pPr>
        <w:pStyle w:val="35"/>
        <w:widowControl/>
        <w:snapToGrid w:val="0"/>
        <w:spacing w:line="440" w:lineRule="exact"/>
        <w:ind w:left="0" w:leftChars="0"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A.投资关系    B.行政隶属关系    C.业务指导关系</w:t>
      </w:r>
    </w:p>
    <w:p w14:paraId="2D8F8C2E">
      <w:pPr>
        <w:pStyle w:val="35"/>
        <w:widowControl/>
        <w:snapToGrid w:val="0"/>
        <w:spacing w:line="440" w:lineRule="exact"/>
        <w:ind w:left="0" w:leftChars="0"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D.其他可能</w:t>
      </w:r>
      <w:r>
        <w:rPr>
          <w:rFonts w:hint="eastAsia" w:ascii="宋体" w:hAnsi="宋体" w:eastAsia="宋体" w:cs="宋体"/>
          <w:color w:val="auto"/>
          <w:sz w:val="22"/>
          <w:szCs w:val="22"/>
        </w:rPr>
        <w:t>影响采购公正的</w:t>
      </w:r>
      <w:r>
        <w:rPr>
          <w:rFonts w:hint="eastAsia" w:ascii="宋体" w:hAnsi="宋体" w:eastAsia="宋体" w:cs="宋体"/>
          <w:color w:val="auto"/>
          <w:kern w:val="0"/>
          <w:sz w:val="22"/>
          <w:szCs w:val="22"/>
        </w:rPr>
        <w:t xml:space="preserve">利害关系（如有，请如实说明） </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w:t>
      </w:r>
    </w:p>
    <w:p w14:paraId="1DC7387B">
      <w:pPr>
        <w:pStyle w:val="35"/>
        <w:widowControl/>
        <w:numPr>
          <w:ilvl w:val="0"/>
          <w:numId w:val="0"/>
        </w:numPr>
        <w:snapToGrid w:val="0"/>
        <w:spacing w:line="44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bidi="ar-SA"/>
        </w:rPr>
        <w:t>二、</w:t>
      </w:r>
      <w:r>
        <w:rPr>
          <w:rFonts w:hint="eastAsia" w:ascii="宋体" w:hAnsi="宋体" w:eastAsia="宋体" w:cs="宋体"/>
          <w:color w:val="auto"/>
          <w:kern w:val="0"/>
          <w:sz w:val="22"/>
          <w:szCs w:val="22"/>
        </w:rPr>
        <w:t xml:space="preserve">现已清楚知道参加本项目采购活动的其他所有供应商名称，本单位 □与其他所有供应商之间均不存在利害关系 □与 </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（供应商名称）之间存在下列利害关系</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w:t>
      </w:r>
    </w:p>
    <w:p w14:paraId="3C85AEC4">
      <w:pPr>
        <w:pStyle w:val="66"/>
        <w:widowControl w:val="0"/>
        <w:snapToGrid w:val="0"/>
        <w:spacing w:line="440" w:lineRule="exact"/>
        <w:ind w:left="0" w:leftChars="0" w:firstLine="440" w:firstLineChars="200"/>
        <w:jc w:val="both"/>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A.法定代表人或负责人或实际控制人是同一人</w:t>
      </w:r>
    </w:p>
    <w:p w14:paraId="649A9A36">
      <w:pPr>
        <w:pStyle w:val="66"/>
        <w:widowControl w:val="0"/>
        <w:snapToGrid w:val="0"/>
        <w:spacing w:line="440" w:lineRule="exact"/>
        <w:ind w:left="0" w:leftChars="0" w:firstLine="440" w:firstLineChars="200"/>
        <w:jc w:val="both"/>
        <w:rPr>
          <w:rFonts w:hint="eastAsia" w:ascii="宋体" w:hAnsi="宋体" w:eastAsia="宋体" w:cs="宋体"/>
          <w:color w:val="auto"/>
          <w:spacing w:val="6"/>
          <w:sz w:val="22"/>
          <w:szCs w:val="22"/>
        </w:rPr>
      </w:pPr>
      <w:r>
        <w:rPr>
          <w:rFonts w:hint="eastAsia" w:ascii="宋体" w:hAnsi="宋体" w:eastAsia="宋体" w:cs="宋体"/>
          <w:color w:val="auto"/>
          <w:kern w:val="0"/>
          <w:sz w:val="22"/>
          <w:szCs w:val="22"/>
        </w:rPr>
        <w:t xml:space="preserve">  B.法定代表人或负责人或实际控制人是夫妻关系</w:t>
      </w:r>
    </w:p>
    <w:p w14:paraId="1B961782">
      <w:pPr>
        <w:pStyle w:val="66"/>
        <w:widowControl w:val="0"/>
        <w:snapToGrid w:val="0"/>
        <w:spacing w:line="440" w:lineRule="exact"/>
        <w:ind w:left="0" w:leftChars="0" w:firstLine="440" w:firstLineChars="200"/>
        <w:jc w:val="both"/>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C.法定代表人或负责人或实际控制人是直系血亲关系</w:t>
      </w:r>
    </w:p>
    <w:p w14:paraId="52AFF84C">
      <w:pPr>
        <w:pStyle w:val="66"/>
        <w:widowControl w:val="0"/>
        <w:snapToGrid w:val="0"/>
        <w:spacing w:line="440" w:lineRule="exact"/>
        <w:ind w:left="0" w:leftChars="0" w:firstLine="440" w:firstLineChars="200"/>
        <w:jc w:val="both"/>
        <w:rPr>
          <w:rFonts w:hint="eastAsia" w:ascii="宋体" w:hAnsi="宋体" w:eastAsia="宋体" w:cs="宋体"/>
          <w:color w:val="auto"/>
          <w:spacing w:val="6"/>
          <w:sz w:val="22"/>
          <w:szCs w:val="22"/>
        </w:rPr>
      </w:pPr>
      <w:r>
        <w:rPr>
          <w:rFonts w:hint="eastAsia" w:ascii="宋体" w:hAnsi="宋体" w:eastAsia="宋体" w:cs="宋体"/>
          <w:color w:val="auto"/>
          <w:kern w:val="0"/>
          <w:sz w:val="22"/>
          <w:szCs w:val="22"/>
        </w:rPr>
        <w:t xml:space="preserve">  D.法定代表人或负责人或实际控制人存在三代以内旁系血亲关系</w:t>
      </w:r>
    </w:p>
    <w:p w14:paraId="39992C26">
      <w:pPr>
        <w:pStyle w:val="66"/>
        <w:widowControl w:val="0"/>
        <w:snapToGrid w:val="0"/>
        <w:spacing w:line="440" w:lineRule="exact"/>
        <w:ind w:left="0" w:leftChars="0" w:firstLine="440" w:firstLineChars="200"/>
        <w:jc w:val="both"/>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E.法定代表人或负责人或实际控制人存在近姻亲关系</w:t>
      </w:r>
    </w:p>
    <w:p w14:paraId="53B60C41">
      <w:pPr>
        <w:pStyle w:val="66"/>
        <w:widowControl w:val="0"/>
        <w:snapToGrid w:val="0"/>
        <w:spacing w:line="440" w:lineRule="exact"/>
        <w:ind w:left="0" w:leftChars="0" w:firstLine="440" w:firstLineChars="200"/>
        <w:jc w:val="both"/>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F.法定代表人或负责人或实际控制人存在股份控制或实际控制关系</w:t>
      </w:r>
    </w:p>
    <w:p w14:paraId="2E79DAFF">
      <w:pPr>
        <w:pStyle w:val="66"/>
        <w:widowControl w:val="0"/>
        <w:snapToGrid w:val="0"/>
        <w:spacing w:line="440" w:lineRule="exact"/>
        <w:ind w:left="0" w:leftChars="0" w:firstLine="440" w:firstLineChars="200"/>
        <w:jc w:val="both"/>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G.存在共同直接或间接投资设立子公司、联营企业和合营企业情况</w:t>
      </w:r>
    </w:p>
    <w:p w14:paraId="311A9915">
      <w:pPr>
        <w:pStyle w:val="66"/>
        <w:widowControl w:val="0"/>
        <w:snapToGrid w:val="0"/>
        <w:spacing w:line="440" w:lineRule="exact"/>
        <w:ind w:left="0" w:leftChars="0" w:firstLine="440" w:firstLineChars="200"/>
        <w:jc w:val="both"/>
        <w:rPr>
          <w:rFonts w:hint="eastAsia" w:ascii="宋体" w:hAnsi="宋体" w:eastAsia="宋体" w:cs="宋体"/>
          <w:color w:val="auto"/>
          <w:sz w:val="22"/>
          <w:szCs w:val="22"/>
        </w:rPr>
      </w:pPr>
      <w:r>
        <w:rPr>
          <w:rFonts w:hint="eastAsia" w:ascii="宋体" w:hAnsi="宋体" w:eastAsia="宋体" w:cs="宋体"/>
          <w:color w:val="auto"/>
          <w:kern w:val="0"/>
          <w:sz w:val="22"/>
          <w:szCs w:val="22"/>
        </w:rPr>
        <w:t xml:space="preserve">  H.存在分级代理或代销关系、同一生产制造商关系、</w:t>
      </w:r>
      <w:r>
        <w:rPr>
          <w:rFonts w:hint="eastAsia" w:ascii="宋体" w:hAnsi="宋体" w:eastAsia="宋体" w:cs="宋体"/>
          <w:color w:val="auto"/>
          <w:sz w:val="22"/>
          <w:szCs w:val="22"/>
        </w:rPr>
        <w:t>管理关系、重要业务（占主营业务收入50%以上）或重要财务往来关系（如融资）等其他实质性控制关系</w:t>
      </w:r>
    </w:p>
    <w:p w14:paraId="381F3F7C">
      <w:pPr>
        <w:pStyle w:val="66"/>
        <w:widowControl w:val="0"/>
        <w:snapToGrid w:val="0"/>
        <w:spacing w:line="440" w:lineRule="exact"/>
        <w:ind w:left="0" w:leftChars="0" w:firstLine="440" w:firstLineChars="200"/>
        <w:jc w:val="both"/>
        <w:rPr>
          <w:rFonts w:hint="eastAsia" w:ascii="宋体" w:hAnsi="宋体" w:eastAsia="宋体" w:cs="宋体"/>
          <w:color w:val="auto"/>
          <w:spacing w:val="6"/>
          <w:sz w:val="22"/>
          <w:szCs w:val="22"/>
        </w:rPr>
      </w:pPr>
      <w:r>
        <w:rPr>
          <w:rFonts w:hint="eastAsia" w:ascii="宋体" w:hAnsi="宋体" w:eastAsia="宋体" w:cs="宋体"/>
          <w:color w:val="auto"/>
          <w:sz w:val="22"/>
          <w:szCs w:val="22"/>
        </w:rPr>
        <w:t xml:space="preserve">  I</w:t>
      </w:r>
      <w:r>
        <w:rPr>
          <w:rFonts w:hint="eastAsia" w:ascii="宋体" w:hAnsi="宋体" w:eastAsia="宋体" w:cs="宋体"/>
          <w:color w:val="auto"/>
          <w:kern w:val="0"/>
          <w:sz w:val="22"/>
          <w:szCs w:val="22"/>
        </w:rPr>
        <w:t>.</w:t>
      </w:r>
      <w:r>
        <w:rPr>
          <w:rFonts w:hint="eastAsia" w:ascii="宋体" w:hAnsi="宋体" w:eastAsia="宋体" w:cs="宋体"/>
          <w:color w:val="auto"/>
          <w:sz w:val="22"/>
          <w:szCs w:val="22"/>
        </w:rPr>
        <w:t>其他利害关系情况</w:t>
      </w:r>
      <w:r>
        <w:rPr>
          <w:rFonts w:hint="eastAsia" w:ascii="宋体" w:hAnsi="宋体" w:eastAsia="宋体" w:cs="宋体"/>
          <w:color w:val="auto"/>
          <w:sz w:val="22"/>
          <w:szCs w:val="22"/>
          <w:u w:val="single"/>
        </w:rPr>
        <w:t xml:space="preserve">                              </w:t>
      </w:r>
      <w:r>
        <w:rPr>
          <w:rFonts w:hint="eastAsia" w:ascii="宋体" w:hAnsi="宋体" w:eastAsia="宋体" w:cs="宋体"/>
          <w:color w:val="auto"/>
          <w:kern w:val="0"/>
          <w:sz w:val="22"/>
          <w:szCs w:val="22"/>
        </w:rPr>
        <w:t>。</w:t>
      </w:r>
    </w:p>
    <w:p w14:paraId="3343C6DA">
      <w:pPr>
        <w:pStyle w:val="35"/>
        <w:widowControl/>
        <w:numPr>
          <w:ilvl w:val="0"/>
          <w:numId w:val="0"/>
        </w:numPr>
        <w:snapToGrid w:val="0"/>
        <w:spacing w:line="44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bidi="ar-SA"/>
        </w:rPr>
        <w:t>三、</w:t>
      </w:r>
      <w:r>
        <w:rPr>
          <w:rFonts w:hint="eastAsia" w:ascii="宋体" w:hAnsi="宋体" w:eastAsia="宋体" w:cs="宋体"/>
          <w:color w:val="auto"/>
          <w:sz w:val="22"/>
          <w:szCs w:val="22"/>
        </w:rPr>
        <w:t>现已清楚知道并</w:t>
      </w:r>
      <w:r>
        <w:rPr>
          <w:rFonts w:hint="eastAsia" w:ascii="宋体" w:hAnsi="宋体" w:eastAsia="宋体" w:cs="宋体"/>
          <w:color w:val="auto"/>
          <w:kern w:val="0"/>
          <w:sz w:val="22"/>
          <w:szCs w:val="22"/>
        </w:rPr>
        <w:t>严格遵守政府采购法律法规和现场纪律。</w:t>
      </w:r>
    </w:p>
    <w:p w14:paraId="45ABF0FD">
      <w:pPr>
        <w:pStyle w:val="35"/>
        <w:widowControl/>
        <w:numPr>
          <w:ilvl w:val="0"/>
          <w:numId w:val="0"/>
        </w:numPr>
        <w:snapToGrid w:val="0"/>
        <w:spacing w:line="44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bidi="ar-SA"/>
        </w:rPr>
        <w:t>四、</w:t>
      </w:r>
      <w:r>
        <w:rPr>
          <w:rFonts w:hint="eastAsia" w:ascii="宋体" w:hAnsi="宋体" w:eastAsia="宋体" w:cs="宋体"/>
          <w:color w:val="auto"/>
          <w:kern w:val="0"/>
          <w:sz w:val="22"/>
          <w:szCs w:val="22"/>
        </w:rPr>
        <w:t>我发现</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供应商之间存在或可能存在上述第二条第</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项利害关系。</w:t>
      </w:r>
    </w:p>
    <w:p w14:paraId="06E99226">
      <w:pPr>
        <w:pStyle w:val="35"/>
        <w:widowControl/>
        <w:numPr>
          <w:ilvl w:val="0"/>
          <w:numId w:val="0"/>
        </w:numPr>
        <w:snapToGrid w:val="0"/>
        <w:spacing w:line="440" w:lineRule="exact"/>
        <w:ind w:firstLine="4840" w:firstLineChars="2200"/>
        <w:rPr>
          <w:rFonts w:hint="eastAsia" w:ascii="宋体" w:hAnsi="宋体" w:eastAsia="宋体" w:cs="宋体"/>
          <w:color w:val="auto"/>
          <w:sz w:val="22"/>
          <w:szCs w:val="22"/>
        </w:rPr>
      </w:pPr>
    </w:p>
    <w:p w14:paraId="2790921C">
      <w:pPr>
        <w:pStyle w:val="35"/>
        <w:widowControl/>
        <w:numPr>
          <w:ilvl w:val="0"/>
          <w:numId w:val="0"/>
        </w:numPr>
        <w:snapToGrid w:val="0"/>
        <w:spacing w:line="440" w:lineRule="exact"/>
        <w:ind w:firstLine="4840" w:firstLineChars="2200"/>
        <w:rPr>
          <w:rFonts w:hint="eastAsia" w:ascii="宋体" w:hAnsi="宋体" w:eastAsia="宋体" w:cs="宋体"/>
          <w:color w:val="auto"/>
          <w:sz w:val="22"/>
          <w:szCs w:val="22"/>
        </w:rPr>
      </w:pPr>
    </w:p>
    <w:p w14:paraId="0AF3D09F">
      <w:pPr>
        <w:pStyle w:val="35"/>
        <w:widowControl/>
        <w:numPr>
          <w:ilvl w:val="0"/>
          <w:numId w:val="0"/>
        </w:numPr>
        <w:snapToGrid w:val="0"/>
        <w:spacing w:line="440" w:lineRule="exact"/>
        <w:ind w:firstLine="4840" w:firstLineChars="2200"/>
        <w:rPr>
          <w:rFonts w:hint="eastAsia" w:ascii="宋体" w:hAnsi="宋体" w:eastAsia="宋体" w:cs="宋体"/>
          <w:color w:val="auto"/>
          <w:sz w:val="22"/>
          <w:szCs w:val="22"/>
        </w:rPr>
      </w:pPr>
      <w:r>
        <w:rPr>
          <w:rFonts w:hint="eastAsia" w:ascii="宋体" w:hAnsi="宋体" w:eastAsia="宋体" w:cs="宋体"/>
          <w:color w:val="auto"/>
          <w:sz w:val="22"/>
          <w:szCs w:val="22"/>
        </w:rPr>
        <w:t>（供应商代表签名）：</w:t>
      </w:r>
    </w:p>
    <w:p w14:paraId="55CA3FA0">
      <w:pPr>
        <w:pStyle w:val="66"/>
        <w:widowControl w:val="0"/>
        <w:snapToGrid w:val="0"/>
        <w:spacing w:line="440" w:lineRule="exact"/>
        <w:ind w:firstLine="440" w:firstLineChars="200"/>
        <w:jc w:val="both"/>
        <w:rPr>
          <w:rFonts w:hint="eastAsia" w:ascii="宋体" w:hAnsi="宋体" w:eastAsia="宋体" w:cs="宋体"/>
          <w:color w:val="auto"/>
          <w:sz w:val="20"/>
          <w:szCs w:val="20"/>
        </w:rPr>
      </w:pP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hAnsi="宋体" w:cs="宋体"/>
          <w:color w:val="auto"/>
          <w:sz w:val="22"/>
          <w:szCs w:val="22"/>
          <w:lang w:val="en-US" w:eastAsia="zh-CN"/>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日</w:t>
      </w:r>
    </w:p>
    <w:p w14:paraId="2A505ED8">
      <w:pPr>
        <w:pStyle w:val="34"/>
        <w:ind w:left="0" w:leftChars="0" w:firstLine="0" w:firstLineChars="0"/>
        <w:rPr>
          <w:rFonts w:hint="eastAsia"/>
          <w:color w:val="auto"/>
          <w:sz w:val="22"/>
          <w:szCs w:val="20"/>
          <w:lang w:val="en-US" w:eastAsia="zh-CN"/>
        </w:rPr>
      </w:pPr>
    </w:p>
    <w:p w14:paraId="3AE76628">
      <w:pPr>
        <w:pStyle w:val="34"/>
        <w:ind w:left="0" w:leftChars="0" w:firstLine="440" w:firstLineChars="200"/>
        <w:rPr>
          <w:rFonts w:hint="default" w:eastAsia="宋体"/>
          <w:color w:val="auto"/>
          <w:sz w:val="22"/>
          <w:szCs w:val="20"/>
          <w:lang w:val="en-US" w:eastAsia="zh-CN"/>
        </w:rPr>
      </w:pPr>
      <w:r>
        <w:rPr>
          <w:rFonts w:hint="eastAsia"/>
          <w:color w:val="auto"/>
          <w:sz w:val="22"/>
          <w:szCs w:val="20"/>
          <w:lang w:val="en-US" w:eastAsia="zh-CN"/>
        </w:rPr>
        <w:t>注：若投标人为联合体，均应签署。</w:t>
      </w:r>
    </w:p>
    <w:sectPr>
      <w:pgSz w:w="11910" w:h="16840"/>
      <w:pgMar w:top="1247" w:right="1417" w:bottom="1276" w:left="1417" w:header="0" w:footer="1032" w:gutter="0"/>
      <w:pgBorders>
        <w:top w:val="none" w:sz="0" w:space="0"/>
        <w:left w:val="none" w:sz="0" w:space="0"/>
        <w:bottom w:val="none" w:sz="0" w:space="0"/>
        <w:right w:val="none" w:sz="0" w:space="0"/>
      </w:pgBorders>
      <w:pgNumType w:fmt="decimal"/>
      <w:cols w:equalWidth="0" w:num="1">
        <w:col w:w="1005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20B0604020202020204"/>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E6DB">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3736340</wp:posOffset>
              </wp:positionH>
              <wp:positionV relativeFrom="page">
                <wp:posOffset>9896475</wp:posOffset>
              </wp:positionV>
              <wp:extent cx="87630" cy="177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87630" cy="177800"/>
                      </a:xfrm>
                      <a:prstGeom prst="rect">
                        <a:avLst/>
                      </a:prstGeom>
                      <a:noFill/>
                      <a:ln>
                        <a:noFill/>
                      </a:ln>
                    </wps:spPr>
                    <wps:txbx>
                      <w:txbxContent>
                        <w:p w14:paraId="321C586B"/>
                      </w:txbxContent>
                    </wps:txbx>
                    <wps:bodyPr lIns="0" tIns="0" rIns="0" bIns="0" upright="1"/>
                  </wps:wsp>
                </a:graphicData>
              </a:graphic>
            </wp:anchor>
          </w:drawing>
        </mc:Choice>
        <mc:Fallback>
          <w:pict>
            <v:shape id="文本框 1025" o:spid="_x0000_s1026" o:spt="202" type="#_x0000_t202" style="position:absolute;left:0pt;margin-left:294.2pt;margin-top:779.25pt;height:14pt;width:6.9pt;mso-position-horizontal-relative:page;mso-position-vertical-relative:page;z-index:-251657216;mso-width-relative:page;mso-height-relative:page;" filled="f" stroked="f" coordsize="21600,21600" o:gfxdata="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HYKL2gAAAA0BAAAPAAAAAAAAAAEAIAAAACIAAABkcnMvZG93bnJldi54bWxQ&#10;SwECFAAUAAAACACHTuJAe6xzm7wBAABzAwAADgAAAAAAAAABACAAAAApAQAAZHJzL2Uyb0RvYy54&#10;bWxQSwUGAAAAAAYABgBZAQAAVwUAAAAA&#10;">
              <v:fill on="f" focussize="0,0"/>
              <v:stroke on="f"/>
              <v:imagedata o:title=""/>
              <o:lock v:ext="edit" aspectratio="f"/>
              <v:textbox inset="0mm,0mm,0mm,0mm">
                <w:txbxContent>
                  <w:p w14:paraId="321C586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15D32">
    <w:pPr>
      <w:pStyle w:val="12"/>
      <w:spacing w:line="14" w:lineRule="auto"/>
      <w:rPr>
        <w:sz w:val="16"/>
      </w:rPr>
    </w:pPr>
    <w:r>
      <w:rPr>
        <w:sz w:val="16"/>
      </w:rPr>
      <mc:AlternateContent>
        <mc:Choice Requires="wps">
          <w:drawing>
            <wp:anchor distT="0" distB="0" distL="114300" distR="114300" simplePos="0" relativeHeight="251660288" behindDoc="0" locked="0" layoutInCell="1" allowOverlap="1">
              <wp:simplePos x="0" y="0"/>
              <wp:positionH relativeFrom="margin">
                <wp:posOffset>2707005</wp:posOffset>
              </wp:positionH>
              <wp:positionV relativeFrom="paragraph">
                <wp:posOffset>-180975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BFB8C">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15pt;margin-top:-14.25pt;height:144pt;width:144pt;mso-position-horizontal-relative:margin;mso-wrap-style:none;z-index:251660288;mso-width-relative:page;mso-height-relative:page;" filled="f" stroked="f" coordsize="21600,21600" o:gfxdata="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JfEa2QAAAAs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6AABFB8C">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DF6A8">
    <w:pPr>
      <w:pStyle w:val="12"/>
      <w:spacing w:line="14" w:lineRule="auto"/>
      <w:rPr>
        <w:sz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9D17D">
                          <w:pPr>
                            <w:pStyle w:val="18"/>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D9D17D">
                    <w:pPr>
                      <w:pStyle w:val="1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9C43">
    <w:pPr>
      <w:pStyle w:val="1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5CCD7">
                          <w:pPr>
                            <w:pStyle w:val="18"/>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775CCD7">
                    <w:pPr>
                      <w:pStyle w:val="18"/>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F6E2E"/>
    <w:multiLevelType w:val="singleLevel"/>
    <w:tmpl w:val="C8CF6E2E"/>
    <w:lvl w:ilvl="0" w:tentative="0">
      <w:start w:val="17"/>
      <w:numFmt w:val="decimal"/>
      <w:suff w:val="space"/>
      <w:lvlText w:val="%1."/>
      <w:lvlJc w:val="left"/>
    </w:lvl>
  </w:abstractNum>
  <w:abstractNum w:abstractNumId="1">
    <w:nsid w:val="E23E1EA5"/>
    <w:multiLevelType w:val="singleLevel"/>
    <w:tmpl w:val="E23E1EA5"/>
    <w:lvl w:ilvl="0" w:tentative="0">
      <w:start w:val="2"/>
      <w:numFmt w:val="decimal"/>
      <w:suff w:val="space"/>
      <w:lvlText w:val="%1."/>
      <w:lvlJc w:val="left"/>
    </w:lvl>
  </w:abstractNum>
  <w:abstractNum w:abstractNumId="2">
    <w:nsid w:val="FFFFFF7E"/>
    <w:multiLevelType w:val="singleLevel"/>
    <w:tmpl w:val="FFFFFF7E"/>
    <w:lvl w:ilvl="0" w:tentative="0">
      <w:start w:val="1"/>
      <w:numFmt w:val="decimal"/>
      <w:lvlText w:val="%1."/>
      <w:lvlJc w:val="left"/>
      <w:pPr>
        <w:tabs>
          <w:tab w:val="left" w:pos="1200"/>
        </w:tabs>
        <w:ind w:left="1200" w:hanging="360"/>
      </w:pPr>
    </w:lvl>
  </w:abstractNum>
  <w:abstractNum w:abstractNumId="3">
    <w:nsid w:val="78A41DD1"/>
    <w:multiLevelType w:val="singleLevel"/>
    <w:tmpl w:val="78A41DD1"/>
    <w:lvl w:ilvl="0" w:tentative="0">
      <w:start w:val="4"/>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MTNmZGE5NmQ4NTMwYjMzNWQ4NDUyMDM1MjI4MzAifQ=="/>
  </w:docVars>
  <w:rsids>
    <w:rsidRoot w:val="001D6729"/>
    <w:rsid w:val="00151E59"/>
    <w:rsid w:val="001D11CB"/>
    <w:rsid w:val="001D6729"/>
    <w:rsid w:val="002116E5"/>
    <w:rsid w:val="004F3FC3"/>
    <w:rsid w:val="00542F27"/>
    <w:rsid w:val="006B04A1"/>
    <w:rsid w:val="009B0393"/>
    <w:rsid w:val="009E086F"/>
    <w:rsid w:val="00A22C06"/>
    <w:rsid w:val="00AC07CE"/>
    <w:rsid w:val="00BD3E8D"/>
    <w:rsid w:val="00CB2EE4"/>
    <w:rsid w:val="00CB77BE"/>
    <w:rsid w:val="00E901FC"/>
    <w:rsid w:val="00FA5223"/>
    <w:rsid w:val="016519C1"/>
    <w:rsid w:val="01937116"/>
    <w:rsid w:val="01EA636A"/>
    <w:rsid w:val="02D0453B"/>
    <w:rsid w:val="02F14534"/>
    <w:rsid w:val="02F91852"/>
    <w:rsid w:val="039E620A"/>
    <w:rsid w:val="03D96696"/>
    <w:rsid w:val="043F2C6F"/>
    <w:rsid w:val="0465459B"/>
    <w:rsid w:val="04D525FF"/>
    <w:rsid w:val="054242C2"/>
    <w:rsid w:val="05515ED8"/>
    <w:rsid w:val="066C7AD9"/>
    <w:rsid w:val="0757384D"/>
    <w:rsid w:val="07E93540"/>
    <w:rsid w:val="083E3016"/>
    <w:rsid w:val="08F318FF"/>
    <w:rsid w:val="0A4E311F"/>
    <w:rsid w:val="0ACD2893"/>
    <w:rsid w:val="0B5D1032"/>
    <w:rsid w:val="0DB61222"/>
    <w:rsid w:val="0DF16AE5"/>
    <w:rsid w:val="0FEF5B1D"/>
    <w:rsid w:val="103B7FB9"/>
    <w:rsid w:val="10B21E0A"/>
    <w:rsid w:val="1111096E"/>
    <w:rsid w:val="11EE5A02"/>
    <w:rsid w:val="126F6B0D"/>
    <w:rsid w:val="133322E2"/>
    <w:rsid w:val="13C72D3C"/>
    <w:rsid w:val="15B019D4"/>
    <w:rsid w:val="15D74A9A"/>
    <w:rsid w:val="17505802"/>
    <w:rsid w:val="187B37E5"/>
    <w:rsid w:val="18F50EDD"/>
    <w:rsid w:val="19070D7C"/>
    <w:rsid w:val="19313163"/>
    <w:rsid w:val="19D45EEF"/>
    <w:rsid w:val="1A1D1158"/>
    <w:rsid w:val="1AB86B90"/>
    <w:rsid w:val="1AF20E6D"/>
    <w:rsid w:val="1B4E2FE1"/>
    <w:rsid w:val="1BF36011"/>
    <w:rsid w:val="1C2362A8"/>
    <w:rsid w:val="1C6A6A4B"/>
    <w:rsid w:val="1D7F14A6"/>
    <w:rsid w:val="20455576"/>
    <w:rsid w:val="21035DEF"/>
    <w:rsid w:val="21976D5D"/>
    <w:rsid w:val="21A309BA"/>
    <w:rsid w:val="22BE365B"/>
    <w:rsid w:val="22C74C64"/>
    <w:rsid w:val="22D9595E"/>
    <w:rsid w:val="22FF5162"/>
    <w:rsid w:val="234512D8"/>
    <w:rsid w:val="24456691"/>
    <w:rsid w:val="25814AB0"/>
    <w:rsid w:val="26571F46"/>
    <w:rsid w:val="26802175"/>
    <w:rsid w:val="274E008F"/>
    <w:rsid w:val="279323B4"/>
    <w:rsid w:val="28EC792D"/>
    <w:rsid w:val="28EE2A27"/>
    <w:rsid w:val="29B26270"/>
    <w:rsid w:val="29FD638B"/>
    <w:rsid w:val="2ACD05C9"/>
    <w:rsid w:val="2AF14071"/>
    <w:rsid w:val="2B0D4CF3"/>
    <w:rsid w:val="2B580E79"/>
    <w:rsid w:val="2BC51483"/>
    <w:rsid w:val="2C51381B"/>
    <w:rsid w:val="2C5D7EF1"/>
    <w:rsid w:val="2CC1380A"/>
    <w:rsid w:val="2D192BE9"/>
    <w:rsid w:val="2D564730"/>
    <w:rsid w:val="2E3879E1"/>
    <w:rsid w:val="2ED05D75"/>
    <w:rsid w:val="2FB95D1D"/>
    <w:rsid w:val="30911A53"/>
    <w:rsid w:val="30ED100D"/>
    <w:rsid w:val="31AD3FEB"/>
    <w:rsid w:val="33550FE6"/>
    <w:rsid w:val="33865737"/>
    <w:rsid w:val="33B01015"/>
    <w:rsid w:val="33BE4DDD"/>
    <w:rsid w:val="33C4182D"/>
    <w:rsid w:val="361800C4"/>
    <w:rsid w:val="364C3A0C"/>
    <w:rsid w:val="36B339AE"/>
    <w:rsid w:val="37A75B88"/>
    <w:rsid w:val="37D44243"/>
    <w:rsid w:val="37E66A96"/>
    <w:rsid w:val="38F05C88"/>
    <w:rsid w:val="38FE2F31"/>
    <w:rsid w:val="39385F7E"/>
    <w:rsid w:val="393C31EA"/>
    <w:rsid w:val="39567897"/>
    <w:rsid w:val="3A6F475F"/>
    <w:rsid w:val="3B1F22E1"/>
    <w:rsid w:val="3B8E166B"/>
    <w:rsid w:val="3B9603ED"/>
    <w:rsid w:val="3BA7464A"/>
    <w:rsid w:val="3C45183F"/>
    <w:rsid w:val="3CC34E5A"/>
    <w:rsid w:val="3E493269"/>
    <w:rsid w:val="3E524A9F"/>
    <w:rsid w:val="3E641E69"/>
    <w:rsid w:val="3E88056B"/>
    <w:rsid w:val="3E9305E9"/>
    <w:rsid w:val="3EF5158D"/>
    <w:rsid w:val="3EFC3080"/>
    <w:rsid w:val="3F796F0E"/>
    <w:rsid w:val="3F8915FA"/>
    <w:rsid w:val="3FC24187"/>
    <w:rsid w:val="40BD6560"/>
    <w:rsid w:val="40ED0877"/>
    <w:rsid w:val="41D460EF"/>
    <w:rsid w:val="43395383"/>
    <w:rsid w:val="43795C96"/>
    <w:rsid w:val="43A064E1"/>
    <w:rsid w:val="43B92ECB"/>
    <w:rsid w:val="43CC6520"/>
    <w:rsid w:val="44097589"/>
    <w:rsid w:val="449C15EE"/>
    <w:rsid w:val="44F43D71"/>
    <w:rsid w:val="45F147BA"/>
    <w:rsid w:val="479E3AEC"/>
    <w:rsid w:val="48B348D3"/>
    <w:rsid w:val="48FC404B"/>
    <w:rsid w:val="490D418C"/>
    <w:rsid w:val="49154EAF"/>
    <w:rsid w:val="493A69CE"/>
    <w:rsid w:val="493C5B84"/>
    <w:rsid w:val="4A425C35"/>
    <w:rsid w:val="4A4E5E27"/>
    <w:rsid w:val="4A780A6B"/>
    <w:rsid w:val="4AD747CF"/>
    <w:rsid w:val="4AE922E8"/>
    <w:rsid w:val="4C7C3679"/>
    <w:rsid w:val="4C8D3147"/>
    <w:rsid w:val="4CAD66E4"/>
    <w:rsid w:val="4CD34591"/>
    <w:rsid w:val="4D414BA9"/>
    <w:rsid w:val="4D5F268C"/>
    <w:rsid w:val="4E115CAE"/>
    <w:rsid w:val="4E476150"/>
    <w:rsid w:val="4E491028"/>
    <w:rsid w:val="4E830CA5"/>
    <w:rsid w:val="4F080172"/>
    <w:rsid w:val="4F5D7847"/>
    <w:rsid w:val="4F8F3B50"/>
    <w:rsid w:val="4FD371F5"/>
    <w:rsid w:val="4FEC263B"/>
    <w:rsid w:val="52AD6C27"/>
    <w:rsid w:val="54502CC8"/>
    <w:rsid w:val="547E5126"/>
    <w:rsid w:val="55491468"/>
    <w:rsid w:val="559A282E"/>
    <w:rsid w:val="56641E1F"/>
    <w:rsid w:val="56A437DA"/>
    <w:rsid w:val="580279EB"/>
    <w:rsid w:val="586422A7"/>
    <w:rsid w:val="58F05189"/>
    <w:rsid w:val="59004629"/>
    <w:rsid w:val="59203FA4"/>
    <w:rsid w:val="592F1EFE"/>
    <w:rsid w:val="5A104EDE"/>
    <w:rsid w:val="5B2553A0"/>
    <w:rsid w:val="5B893A73"/>
    <w:rsid w:val="5BE3255C"/>
    <w:rsid w:val="5C171C51"/>
    <w:rsid w:val="5C3B28B3"/>
    <w:rsid w:val="5C5123E2"/>
    <w:rsid w:val="5D50269A"/>
    <w:rsid w:val="5D914A92"/>
    <w:rsid w:val="5E696FC2"/>
    <w:rsid w:val="5E864DCA"/>
    <w:rsid w:val="5F281EB1"/>
    <w:rsid w:val="5F61410F"/>
    <w:rsid w:val="60016FEE"/>
    <w:rsid w:val="603D782B"/>
    <w:rsid w:val="60427AD5"/>
    <w:rsid w:val="6214777D"/>
    <w:rsid w:val="6223212B"/>
    <w:rsid w:val="62740BD9"/>
    <w:rsid w:val="63746A22"/>
    <w:rsid w:val="63AF04D9"/>
    <w:rsid w:val="64B60A6D"/>
    <w:rsid w:val="65C665BE"/>
    <w:rsid w:val="65F77B57"/>
    <w:rsid w:val="671D0C8D"/>
    <w:rsid w:val="68437A1C"/>
    <w:rsid w:val="68657359"/>
    <w:rsid w:val="693B2960"/>
    <w:rsid w:val="69C13CF3"/>
    <w:rsid w:val="69DB32EB"/>
    <w:rsid w:val="6A9B6CAA"/>
    <w:rsid w:val="6AB412AE"/>
    <w:rsid w:val="6AD50319"/>
    <w:rsid w:val="6B491A70"/>
    <w:rsid w:val="6B746C8F"/>
    <w:rsid w:val="6BB12A33"/>
    <w:rsid w:val="6BF37217"/>
    <w:rsid w:val="6C237EE1"/>
    <w:rsid w:val="6CB91A30"/>
    <w:rsid w:val="6CE63F9D"/>
    <w:rsid w:val="6D5E544E"/>
    <w:rsid w:val="6D602485"/>
    <w:rsid w:val="6D84445C"/>
    <w:rsid w:val="6F802F9D"/>
    <w:rsid w:val="71553A77"/>
    <w:rsid w:val="71E94E91"/>
    <w:rsid w:val="722E4900"/>
    <w:rsid w:val="72987840"/>
    <w:rsid w:val="73036323"/>
    <w:rsid w:val="73D306FD"/>
    <w:rsid w:val="757B4DA9"/>
    <w:rsid w:val="75B30D30"/>
    <w:rsid w:val="75C704BF"/>
    <w:rsid w:val="75D92DD5"/>
    <w:rsid w:val="76C54CC5"/>
    <w:rsid w:val="76F105C3"/>
    <w:rsid w:val="771950AE"/>
    <w:rsid w:val="77B07E32"/>
    <w:rsid w:val="77FC0443"/>
    <w:rsid w:val="7A3C6D7A"/>
    <w:rsid w:val="7A403EDA"/>
    <w:rsid w:val="7ADE198E"/>
    <w:rsid w:val="7BA03F5B"/>
    <w:rsid w:val="7BC03B6A"/>
    <w:rsid w:val="7BF113E2"/>
    <w:rsid w:val="7CD255D1"/>
    <w:rsid w:val="7D0D727D"/>
    <w:rsid w:val="7DA93DE3"/>
    <w:rsid w:val="7F1D6174"/>
    <w:rsid w:val="7F4E0C9C"/>
    <w:rsid w:val="7F5E2924"/>
    <w:rsid w:val="7FD00706"/>
    <w:rsid w:val="7FDA6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spacing w:before="49"/>
      <w:ind w:right="1232"/>
      <w:jc w:val="center"/>
      <w:outlineLvl w:val="0"/>
    </w:pPr>
    <w:rPr>
      <w:b/>
      <w:bCs/>
      <w:sz w:val="36"/>
      <w:szCs w:val="36"/>
    </w:rPr>
  </w:style>
  <w:style w:type="paragraph" w:styleId="6">
    <w:name w:val="heading 2"/>
    <w:basedOn w:val="1"/>
    <w:next w:val="1"/>
    <w:qFormat/>
    <w:uiPriority w:val="1"/>
    <w:pPr>
      <w:ind w:left="1215" w:right="1232"/>
      <w:outlineLvl w:val="1"/>
    </w:pPr>
    <w:rPr>
      <w:sz w:val="32"/>
      <w:szCs w:val="32"/>
    </w:rPr>
  </w:style>
  <w:style w:type="paragraph" w:styleId="7">
    <w:name w:val="heading 3"/>
    <w:basedOn w:val="1"/>
    <w:next w:val="1"/>
    <w:qFormat/>
    <w:uiPriority w:val="1"/>
    <w:pPr>
      <w:spacing w:before="58"/>
      <w:ind w:left="591"/>
      <w:outlineLvl w:val="2"/>
    </w:pPr>
    <w:rPr>
      <w:sz w:val="30"/>
      <w:szCs w:val="30"/>
    </w:rPr>
  </w:style>
  <w:style w:type="paragraph" w:styleId="2">
    <w:name w:val="heading 4"/>
    <w:basedOn w:val="1"/>
    <w:next w:val="3"/>
    <w:qFormat/>
    <w:uiPriority w:val="1"/>
    <w:pPr>
      <w:spacing w:before="20"/>
      <w:ind w:left="1215" w:right="1232"/>
      <w:jc w:val="center"/>
      <w:outlineLvl w:val="3"/>
    </w:pPr>
    <w:rPr>
      <w:b/>
      <w:bCs/>
      <w:sz w:val="28"/>
      <w:szCs w:val="28"/>
    </w:rPr>
  </w:style>
  <w:style w:type="paragraph" w:styleId="8">
    <w:name w:val="heading 5"/>
    <w:basedOn w:val="1"/>
    <w:next w:val="1"/>
    <w:qFormat/>
    <w:uiPriority w:val="1"/>
    <w:pPr>
      <w:ind w:left="1071"/>
      <w:outlineLvl w:val="4"/>
    </w:pPr>
    <w:rPr>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4"/>
    <w:qFormat/>
    <w:uiPriority w:val="0"/>
  </w:style>
  <w:style w:type="paragraph" w:styleId="4">
    <w:name w:val="toc 2"/>
    <w:basedOn w:val="1"/>
    <w:next w:val="1"/>
    <w:qFormat/>
    <w:uiPriority w:val="0"/>
    <w:pPr>
      <w:ind w:left="420"/>
    </w:pPr>
    <w:rPr>
      <w:rFonts w:ascii="Times New Roman" w:hAnsi="Times New Roman" w:cs="Times New Roman"/>
      <w:kern w:val="2"/>
      <w:szCs w:val="20"/>
      <w:lang w:bidi="ar-SA"/>
    </w:rPr>
  </w:style>
  <w:style w:type="paragraph" w:styleId="9">
    <w:name w:val="Normal Indent"/>
    <w:basedOn w:val="1"/>
    <w:qFormat/>
    <w:uiPriority w:val="0"/>
    <w:pPr>
      <w:ind w:firstLine="420" w:firstLineChars="200"/>
    </w:pPr>
  </w:style>
  <w:style w:type="paragraph" w:styleId="10">
    <w:name w:val="toa heading"/>
    <w:basedOn w:val="1"/>
    <w:next w:val="1"/>
    <w:qFormat/>
    <w:uiPriority w:val="0"/>
    <w:pPr>
      <w:spacing w:before="120"/>
    </w:pPr>
    <w:rPr>
      <w:rFonts w:ascii="Arial" w:hAnsi="Arial" w:eastAsia="仿宋_GB2312" w:cs="Arial"/>
      <w:b/>
      <w:bCs/>
      <w:color w:val="000000"/>
      <w:kern w:val="0"/>
      <w:sz w:val="24"/>
      <w:szCs w:val="21"/>
    </w:rPr>
  </w:style>
  <w:style w:type="paragraph" w:styleId="11">
    <w:name w:val="annotation text"/>
    <w:basedOn w:val="1"/>
    <w:qFormat/>
    <w:uiPriority w:val="0"/>
    <w:pPr>
      <w:jc w:val="left"/>
    </w:pPr>
  </w:style>
  <w:style w:type="paragraph" w:styleId="12">
    <w:name w:val="Body Text"/>
    <w:basedOn w:val="1"/>
    <w:next w:val="13"/>
    <w:qFormat/>
    <w:uiPriority w:val="1"/>
    <w:rPr>
      <w:sz w:val="24"/>
      <w:szCs w:val="24"/>
    </w:rPr>
  </w:style>
  <w:style w:type="paragraph" w:styleId="13">
    <w:name w:val="Body Text First Indent"/>
    <w:basedOn w:val="12"/>
    <w:next w:val="14"/>
    <w:qFormat/>
    <w:uiPriority w:val="0"/>
    <w:pPr>
      <w:tabs>
        <w:tab w:val="left" w:pos="482"/>
        <w:tab w:val="left" w:pos="2183"/>
        <w:tab w:val="left" w:pos="3884"/>
        <w:tab w:val="left" w:pos="5585"/>
      </w:tabs>
      <w:ind w:firstLine="482"/>
    </w:pPr>
    <w:rPr>
      <w:szCs w:val="20"/>
    </w:rPr>
  </w:style>
  <w:style w:type="paragraph" w:styleId="14">
    <w:name w:val="toc 6"/>
    <w:basedOn w:val="1"/>
    <w:next w:val="1"/>
    <w:qFormat/>
    <w:uiPriority w:val="0"/>
    <w:pPr>
      <w:ind w:left="2100"/>
    </w:pPr>
    <w:rPr>
      <w:rFonts w:ascii="Times New Roman" w:hAnsi="Times New Roman" w:cs="Times New Roman"/>
      <w:kern w:val="2"/>
      <w:szCs w:val="20"/>
      <w:lang w:bidi="ar-SA"/>
    </w:rPr>
  </w:style>
  <w:style w:type="paragraph" w:styleId="15">
    <w:name w:val="Body Text Indent"/>
    <w:basedOn w:val="1"/>
    <w:next w:val="1"/>
    <w:qFormat/>
    <w:uiPriority w:val="0"/>
    <w:pPr>
      <w:spacing w:after="120"/>
      <w:ind w:left="420" w:leftChars="200"/>
    </w:pPr>
  </w:style>
  <w:style w:type="paragraph" w:styleId="16">
    <w:name w:val="toc 3"/>
    <w:basedOn w:val="1"/>
    <w:next w:val="1"/>
    <w:qFormat/>
    <w:uiPriority w:val="0"/>
    <w:pPr>
      <w:ind w:left="840" w:leftChars="400"/>
    </w:pPr>
  </w:style>
  <w:style w:type="paragraph" w:styleId="17">
    <w:name w:val="Balloon Text"/>
    <w:basedOn w:val="1"/>
    <w:link w:val="65"/>
    <w:qFormat/>
    <w:uiPriority w:val="0"/>
    <w:rPr>
      <w:sz w:val="18"/>
      <w:szCs w:val="18"/>
    </w:rPr>
  </w:style>
  <w:style w:type="paragraph" w:styleId="18">
    <w:name w:val="footer"/>
    <w:basedOn w:val="1"/>
    <w:qFormat/>
    <w:uiPriority w:val="0"/>
    <w:pPr>
      <w:tabs>
        <w:tab w:val="center" w:pos="4153"/>
        <w:tab w:val="right" w:pos="8306"/>
      </w:tabs>
    </w:pPr>
    <w:rPr>
      <w:sz w:val="18"/>
      <w:szCs w:val="18"/>
    </w:rPr>
  </w:style>
  <w:style w:type="paragraph" w:styleId="19">
    <w:name w:val="header"/>
    <w:basedOn w:val="1"/>
    <w:qFormat/>
    <w:uiPriority w:val="0"/>
    <w:pPr>
      <w:pBdr>
        <w:bottom w:val="single" w:color="000000" w:sz="6" w:space="1"/>
      </w:pBdr>
      <w:tabs>
        <w:tab w:val="center" w:pos="4153"/>
        <w:tab w:val="right" w:pos="8306"/>
      </w:tabs>
      <w:jc w:val="center"/>
    </w:pPr>
    <w:rPr>
      <w:sz w:val="18"/>
      <w:szCs w:val="18"/>
    </w:rPr>
  </w:style>
  <w:style w:type="paragraph" w:styleId="20">
    <w:name w:val="toc 1"/>
    <w:basedOn w:val="1"/>
    <w:next w:val="1"/>
    <w:qFormat/>
    <w:uiPriority w:val="1"/>
    <w:pPr>
      <w:spacing w:before="190"/>
      <w:ind w:left="591"/>
    </w:pPr>
    <w:rPr>
      <w:sz w:val="32"/>
      <w:szCs w:val="32"/>
    </w:rPr>
  </w:style>
  <w:style w:type="paragraph" w:styleId="21">
    <w:name w:val="toc 4"/>
    <w:basedOn w:val="1"/>
    <w:next w:val="1"/>
    <w:qFormat/>
    <w:uiPriority w:val="0"/>
    <w:pPr>
      <w:wordWrap w:val="0"/>
      <w:ind w:left="850"/>
      <w:jc w:val="both"/>
    </w:pPr>
    <w:rPr>
      <w:rFonts w:ascii="Calibri" w:hAnsi="Calibri" w:eastAsia="宋体" w:cs="Times New Roman"/>
      <w:sz w:val="21"/>
      <w:lang w:val="en-US" w:eastAsia="zh-CN" w:bidi="ar-SA"/>
    </w:rPr>
  </w:style>
  <w:style w:type="paragraph" w:styleId="22">
    <w:name w:val="Body Text Indent 3"/>
    <w:basedOn w:val="1"/>
    <w:qFormat/>
    <w:uiPriority w:val="0"/>
    <w:pPr>
      <w:spacing w:line="400" w:lineRule="atLeast"/>
      <w:ind w:firstLine="443" w:firstLineChars="200"/>
      <w:textAlignment w:val="bottom"/>
    </w:pPr>
    <w:rPr>
      <w:rFonts w:eastAsia="黑体"/>
      <w:color w:val="000000"/>
      <w:sz w:val="24"/>
    </w:rPr>
  </w:style>
  <w:style w:type="paragraph" w:styleId="23">
    <w:name w:val="Normal (Web)"/>
    <w:basedOn w:val="1"/>
    <w:qFormat/>
    <w:uiPriority w:val="0"/>
    <w:pPr>
      <w:widowControl/>
      <w:spacing w:after="156"/>
    </w:pPr>
    <w:rPr>
      <w:rFonts w:ascii="Times New Roman" w:hAnsi="Times New Roman" w:cs="Times New Roman"/>
      <w:sz w:val="24"/>
      <w:szCs w:val="24"/>
      <w:lang w:bidi="ar-SA"/>
    </w:rPr>
  </w:style>
  <w:style w:type="paragraph" w:styleId="24">
    <w:name w:val="Title"/>
    <w:basedOn w:val="1"/>
    <w:next w:val="1"/>
    <w:qFormat/>
    <w:uiPriority w:val="0"/>
    <w:pPr>
      <w:spacing w:before="240" w:after="60" w:line="460" w:lineRule="exact"/>
      <w:jc w:val="center"/>
      <w:outlineLvl w:val="0"/>
    </w:pPr>
    <w:rPr>
      <w:rFonts w:ascii="Arial" w:hAnsi="Arial" w:cs="Times New Roman"/>
      <w:spacing w:val="14"/>
      <w:kern w:val="24"/>
      <w:sz w:val="32"/>
      <w:szCs w:val="20"/>
    </w:rPr>
  </w:style>
  <w:style w:type="paragraph" w:styleId="25">
    <w:name w:val="Body Text First Indent 2"/>
    <w:basedOn w:val="15"/>
    <w:next w:val="1"/>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FollowedHyperlink"/>
    <w:basedOn w:val="28"/>
    <w:qFormat/>
    <w:uiPriority w:val="0"/>
    <w:rPr>
      <w:color w:val="4A4A4A"/>
      <w:u w:val="none"/>
    </w:rPr>
  </w:style>
  <w:style w:type="character" w:styleId="31">
    <w:name w:val="Emphasis"/>
    <w:basedOn w:val="28"/>
    <w:qFormat/>
    <w:uiPriority w:val="0"/>
    <w:rPr>
      <w:i/>
    </w:rPr>
  </w:style>
  <w:style w:type="character" w:styleId="32">
    <w:name w:val="Hyperlink"/>
    <w:basedOn w:val="28"/>
    <w:qFormat/>
    <w:uiPriority w:val="0"/>
    <w:rPr>
      <w:color w:val="4A4A4A"/>
      <w:u w:val="none"/>
    </w:rPr>
  </w:style>
  <w:style w:type="paragraph" w:customStyle="1" w:styleId="33">
    <w:name w:val="表格文字"/>
    <w:basedOn w:val="3"/>
    <w:next w:val="12"/>
    <w:qFormat/>
    <w:uiPriority w:val="0"/>
    <w:pPr>
      <w:textAlignment w:val="top"/>
    </w:pPr>
    <w:rPr>
      <w:sz w:val="18"/>
    </w:rPr>
  </w:style>
  <w:style w:type="paragraph" w:customStyle="1" w:styleId="34">
    <w:name w:val="正文缩进1"/>
    <w:basedOn w:val="3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5">
    <w:name w:val="正文1"/>
    <w:basedOn w:val="16"/>
    <w:next w:val="36"/>
    <w:qFormat/>
    <w:uiPriority w:val="99"/>
    <w:pPr>
      <w:widowControl w:val="0"/>
      <w:jc w:val="both"/>
    </w:pPr>
    <w:rPr>
      <w:rFonts w:ascii="Calibri" w:hAnsi="Calibri" w:eastAsia="宋体" w:cs="Calibri"/>
      <w:kern w:val="2"/>
      <w:sz w:val="21"/>
      <w:szCs w:val="21"/>
      <w:lang w:val="en-US" w:eastAsia="zh-CN" w:bidi="ar-SA"/>
    </w:rPr>
  </w:style>
  <w:style w:type="paragraph" w:customStyle="1" w:styleId="36">
    <w:name w:val="标题 21"/>
    <w:basedOn w:val="35"/>
    <w:next w:val="35"/>
    <w:qFormat/>
    <w:uiPriority w:val="0"/>
    <w:pPr>
      <w:keepNext/>
      <w:keepLines/>
      <w:tabs>
        <w:tab w:val="left" w:pos="706"/>
      </w:tabs>
      <w:ind w:left="106" w:firstLine="454"/>
      <w:outlineLvl w:val="1"/>
    </w:pPr>
    <w:rPr>
      <w:rFonts w:ascii="Arial" w:hAnsi="Arial" w:eastAsia="??"/>
      <w:b/>
      <w:bCs/>
      <w:szCs w:val="32"/>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1"/>
    <w:pPr>
      <w:ind w:left="591" w:firstLine="480"/>
    </w:pPr>
  </w:style>
  <w:style w:type="paragraph" w:customStyle="1" w:styleId="39">
    <w:name w:val="Table Paragraph"/>
    <w:basedOn w:val="1"/>
    <w:qFormat/>
    <w:uiPriority w:val="1"/>
  </w:style>
  <w:style w:type="character" w:customStyle="1" w:styleId="40">
    <w:name w:val="样式 宋体 小四"/>
    <w:qFormat/>
    <w:uiPriority w:val="0"/>
    <w:rPr>
      <w:rFonts w:ascii="宋体" w:hAnsi="宋体"/>
      <w:spacing w:val="6"/>
      <w:sz w:val="24"/>
      <w:szCs w:val="24"/>
    </w:rPr>
  </w:style>
  <w:style w:type="paragraph" w:customStyle="1" w:styleId="41">
    <w:name w:val="l正文"/>
    <w:basedOn w:val="1"/>
    <w:qFormat/>
    <w:uiPriority w:val="0"/>
    <w:pPr>
      <w:spacing w:line="300" w:lineRule="auto"/>
      <w:ind w:firstLine="200" w:firstLineChars="200"/>
    </w:pPr>
    <w:rPr>
      <w:rFonts w:ascii="楷体_GB2312" w:hAnsi="Times" w:eastAsia="楷体_GB2312" w:cs="等线"/>
      <w:sz w:val="24"/>
    </w:rPr>
  </w:style>
  <w:style w:type="paragraph" w:customStyle="1" w:styleId="42">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43">
    <w:name w:val="font171"/>
    <w:basedOn w:val="28"/>
    <w:qFormat/>
    <w:uiPriority w:val="0"/>
    <w:rPr>
      <w:rFonts w:hint="default" w:ascii="Arial" w:hAnsi="Arial" w:cs="Arial"/>
      <w:color w:val="000000"/>
      <w:sz w:val="18"/>
      <w:szCs w:val="18"/>
      <w:u w:val="none"/>
    </w:rPr>
  </w:style>
  <w:style w:type="character" w:customStyle="1" w:styleId="44">
    <w:name w:val="font201"/>
    <w:basedOn w:val="28"/>
    <w:qFormat/>
    <w:uiPriority w:val="0"/>
    <w:rPr>
      <w:rFonts w:hint="eastAsia" w:ascii="微软雅黑" w:hAnsi="微软雅黑" w:eastAsia="微软雅黑" w:cs="微软雅黑"/>
      <w:color w:val="000000"/>
      <w:sz w:val="18"/>
      <w:szCs w:val="18"/>
      <w:u w:val="none"/>
    </w:rPr>
  </w:style>
  <w:style w:type="character" w:customStyle="1" w:styleId="45">
    <w:name w:val="font191"/>
    <w:basedOn w:val="28"/>
    <w:qFormat/>
    <w:uiPriority w:val="0"/>
    <w:rPr>
      <w:rFonts w:hint="eastAsia" w:ascii="微软雅黑" w:hAnsi="微软雅黑" w:eastAsia="微软雅黑" w:cs="微软雅黑"/>
      <w:color w:val="000000"/>
      <w:sz w:val="20"/>
      <w:szCs w:val="20"/>
      <w:u w:val="none"/>
    </w:rPr>
  </w:style>
  <w:style w:type="character" w:customStyle="1" w:styleId="46">
    <w:name w:val="font21"/>
    <w:basedOn w:val="28"/>
    <w:qFormat/>
    <w:uiPriority w:val="0"/>
    <w:rPr>
      <w:rFonts w:hint="eastAsia" w:ascii="微软雅黑" w:hAnsi="微软雅黑" w:eastAsia="微软雅黑" w:cs="微软雅黑"/>
      <w:color w:val="FF0000"/>
      <w:sz w:val="17"/>
      <w:szCs w:val="17"/>
      <w:u w:val="none"/>
    </w:rPr>
  </w:style>
  <w:style w:type="character" w:customStyle="1" w:styleId="47">
    <w:name w:val="font11"/>
    <w:basedOn w:val="28"/>
    <w:qFormat/>
    <w:uiPriority w:val="0"/>
    <w:rPr>
      <w:rFonts w:hint="eastAsia" w:ascii="微软雅黑" w:hAnsi="微软雅黑" w:eastAsia="微软雅黑" w:cs="微软雅黑"/>
      <w:color w:val="000000"/>
      <w:sz w:val="17"/>
      <w:szCs w:val="17"/>
      <w:u w:val="none"/>
    </w:rPr>
  </w:style>
  <w:style w:type="character" w:customStyle="1" w:styleId="48">
    <w:name w:val="displayarti"/>
    <w:basedOn w:val="28"/>
    <w:qFormat/>
    <w:uiPriority w:val="0"/>
    <w:rPr>
      <w:color w:val="FFFFFF"/>
      <w:shd w:val="clear" w:color="auto" w:fill="A00000"/>
    </w:rPr>
  </w:style>
  <w:style w:type="character" w:customStyle="1" w:styleId="49">
    <w:name w:val="gjfg"/>
    <w:basedOn w:val="28"/>
    <w:qFormat/>
    <w:uiPriority w:val="0"/>
  </w:style>
  <w:style w:type="character" w:customStyle="1" w:styleId="50">
    <w:name w:val="redfilenumber"/>
    <w:basedOn w:val="28"/>
    <w:qFormat/>
    <w:uiPriority w:val="0"/>
    <w:rPr>
      <w:color w:val="BA2636"/>
      <w:sz w:val="18"/>
      <w:szCs w:val="18"/>
    </w:rPr>
  </w:style>
  <w:style w:type="character" w:customStyle="1" w:styleId="51">
    <w:name w:val="redfilefwwh"/>
    <w:basedOn w:val="28"/>
    <w:qFormat/>
    <w:uiPriority w:val="0"/>
    <w:rPr>
      <w:color w:val="BA2636"/>
      <w:sz w:val="18"/>
      <w:szCs w:val="18"/>
    </w:rPr>
  </w:style>
  <w:style w:type="character" w:customStyle="1" w:styleId="52">
    <w:name w:val="prev2"/>
    <w:basedOn w:val="28"/>
    <w:qFormat/>
    <w:uiPriority w:val="0"/>
    <w:rPr>
      <w:color w:val="888888"/>
    </w:rPr>
  </w:style>
  <w:style w:type="character" w:customStyle="1" w:styleId="53">
    <w:name w:val="prev3"/>
    <w:basedOn w:val="28"/>
    <w:qFormat/>
    <w:uiPriority w:val="0"/>
    <w:rPr>
      <w:rFonts w:ascii="微软雅黑" w:hAnsi="微软雅黑" w:eastAsia="微软雅黑" w:cs="微软雅黑"/>
      <w:sz w:val="21"/>
      <w:szCs w:val="21"/>
    </w:rPr>
  </w:style>
  <w:style w:type="character" w:customStyle="1" w:styleId="54">
    <w:name w:val="next"/>
    <w:basedOn w:val="28"/>
    <w:qFormat/>
    <w:uiPriority w:val="0"/>
    <w:rPr>
      <w:color w:val="888888"/>
    </w:rPr>
  </w:style>
  <w:style w:type="character" w:customStyle="1" w:styleId="55">
    <w:name w:val="next1"/>
    <w:basedOn w:val="28"/>
    <w:qFormat/>
    <w:uiPriority w:val="0"/>
    <w:rPr>
      <w:rFonts w:hint="eastAsia" w:ascii="微软雅黑" w:hAnsi="微软雅黑" w:eastAsia="微软雅黑" w:cs="微软雅黑"/>
      <w:sz w:val="21"/>
      <w:szCs w:val="21"/>
    </w:rPr>
  </w:style>
  <w:style w:type="character" w:customStyle="1" w:styleId="56">
    <w:name w:val="qxdate"/>
    <w:basedOn w:val="28"/>
    <w:qFormat/>
    <w:uiPriority w:val="0"/>
    <w:rPr>
      <w:color w:val="333333"/>
      <w:sz w:val="18"/>
      <w:szCs w:val="18"/>
    </w:rPr>
  </w:style>
  <w:style w:type="character" w:customStyle="1" w:styleId="57">
    <w:name w:val="cfdate"/>
    <w:basedOn w:val="28"/>
    <w:qFormat/>
    <w:uiPriority w:val="0"/>
    <w:rPr>
      <w:color w:val="333333"/>
      <w:sz w:val="18"/>
      <w:szCs w:val="18"/>
    </w:rPr>
  </w:style>
  <w:style w:type="character" w:customStyle="1" w:styleId="58">
    <w:name w:val="font91"/>
    <w:basedOn w:val="28"/>
    <w:qFormat/>
    <w:uiPriority w:val="0"/>
    <w:rPr>
      <w:rFonts w:hint="default" w:ascii="Arial" w:hAnsi="Arial" w:cs="Arial"/>
      <w:color w:val="000000"/>
      <w:sz w:val="18"/>
      <w:szCs w:val="18"/>
      <w:u w:val="none"/>
    </w:rPr>
  </w:style>
  <w:style w:type="character" w:customStyle="1" w:styleId="59">
    <w:name w:val="font81"/>
    <w:basedOn w:val="28"/>
    <w:qFormat/>
    <w:uiPriority w:val="0"/>
    <w:rPr>
      <w:rFonts w:hint="eastAsia" w:ascii="微软雅黑" w:hAnsi="微软雅黑" w:eastAsia="微软雅黑" w:cs="微软雅黑"/>
      <w:color w:val="000000"/>
      <w:sz w:val="18"/>
      <w:szCs w:val="18"/>
      <w:u w:val="none"/>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2">
    <w:name w:val="WPSOffice手动目录 1"/>
    <w:qFormat/>
    <w:uiPriority w:val="0"/>
    <w:rPr>
      <w:rFonts w:ascii="Times New Roman" w:hAnsi="Times New Roman" w:eastAsia="宋体" w:cs="Times New Roman"/>
      <w:lang w:val="en-US" w:eastAsia="zh-CN" w:bidi="ar-SA"/>
    </w:rPr>
  </w:style>
  <w:style w:type="character" w:customStyle="1" w:styleId="63">
    <w:name w:val="font01"/>
    <w:basedOn w:val="28"/>
    <w:qFormat/>
    <w:uiPriority w:val="0"/>
    <w:rPr>
      <w:rFonts w:hint="eastAsia" w:ascii="微软雅黑" w:hAnsi="微软雅黑" w:eastAsia="微软雅黑" w:cs="微软雅黑"/>
      <w:color w:val="000000"/>
      <w:sz w:val="20"/>
      <w:szCs w:val="20"/>
      <w:u w:val="none"/>
    </w:rPr>
  </w:style>
  <w:style w:type="character" w:customStyle="1" w:styleId="64">
    <w:name w:val="font41"/>
    <w:basedOn w:val="28"/>
    <w:qFormat/>
    <w:uiPriority w:val="0"/>
    <w:rPr>
      <w:rFonts w:hint="default" w:ascii="Arial" w:hAnsi="Arial" w:cs="Arial"/>
      <w:color w:val="000000"/>
      <w:sz w:val="18"/>
      <w:szCs w:val="18"/>
      <w:u w:val="none"/>
    </w:rPr>
  </w:style>
  <w:style w:type="character" w:customStyle="1" w:styleId="65">
    <w:name w:val="批注框文本 Char"/>
    <w:basedOn w:val="28"/>
    <w:link w:val="17"/>
    <w:qFormat/>
    <w:uiPriority w:val="0"/>
    <w:rPr>
      <w:rFonts w:ascii="宋体" w:hAnsi="宋体" w:cs="宋体"/>
      <w:sz w:val="18"/>
      <w:szCs w:val="18"/>
      <w:lang w:val="zh-CN" w:bidi="zh-CN"/>
    </w:rPr>
  </w:style>
  <w:style w:type="paragraph" w:customStyle="1" w:styleId="66">
    <w:name w:val="纯文本1"/>
    <w:basedOn w:val="35"/>
    <w:qFormat/>
    <w:uiPriority w:val="99"/>
    <w:pPr>
      <w:widowControl/>
      <w:jc w:val="left"/>
    </w:pPr>
    <w:rPr>
      <w:rFonts w:ascii="宋体" w:hAnsi="Courier New" w:cs="宋体"/>
    </w:rPr>
  </w:style>
  <w:style w:type="paragraph" w:customStyle="1" w:styleId="67">
    <w:name w:val="Body text|1"/>
    <w:basedOn w:val="1"/>
    <w:qFormat/>
    <w:uiPriority w:val="0"/>
    <w:pPr>
      <w:widowControl w:val="0"/>
      <w:shd w:val="clear" w:color="auto" w:fill="auto"/>
      <w:spacing w:line="406" w:lineRule="auto"/>
      <w:ind w:firstLine="360"/>
    </w:pPr>
    <w:rPr>
      <w:rFonts w:ascii="宋体" w:hAnsi="宋体" w:eastAsia="宋体" w:cs="宋体"/>
      <w:sz w:val="16"/>
      <w:szCs w:val="16"/>
      <w:u w:val="none"/>
      <w:shd w:val="clear" w:color="auto" w:fill="auto"/>
      <w:lang w:val="zh-TW" w:eastAsia="zh-TW" w:bidi="zh-TW"/>
    </w:rPr>
  </w:style>
  <w:style w:type="paragraph" w:customStyle="1" w:styleId="68">
    <w:name w:val="表格"/>
    <w:qFormat/>
    <w:uiPriority w:val="0"/>
    <w:rPr>
      <w:rFonts w:ascii="Calibri" w:hAnsi="Calibri" w:eastAsia="宋体" w:cs="Times New Roman"/>
      <w:kern w:val="2"/>
      <w:sz w:val="15"/>
      <w:szCs w:val="22"/>
      <w:lang w:val="en-US" w:eastAsia="zh-CN" w:bidi="ar-SA"/>
    </w:rPr>
  </w:style>
  <w:style w:type="paragraph" w:customStyle="1" w:styleId="69">
    <w:name w:val="正文2"/>
    <w:basedOn w:val="1"/>
    <w:qFormat/>
    <w:uiPriority w:val="0"/>
    <w:pPr>
      <w:spacing w:before="156" w:line="360" w:lineRule="auto"/>
      <w:ind w:firstLine="510" w:firstLineChars="200"/>
    </w:pPr>
    <w:rPr>
      <w:sz w:val="24"/>
      <w:szCs w:val="20"/>
    </w:rPr>
  </w:style>
  <w:style w:type="paragraph" w:customStyle="1" w:styleId="70">
    <w:name w:val="p0"/>
    <w:basedOn w:val="1"/>
    <w:qFormat/>
    <w:uiPriority w:val="0"/>
    <w:pPr>
      <w:widowControl/>
    </w:pPr>
    <w:rPr>
      <w:kern w:val="0"/>
    </w:rPr>
  </w:style>
  <w:style w:type="character" w:customStyle="1" w:styleId="71">
    <w:name w:val="font31"/>
    <w:basedOn w:val="28"/>
    <w:qFormat/>
    <w:uiPriority w:val="0"/>
    <w:rPr>
      <w:rFonts w:hint="eastAsia" w:ascii="宋体" w:hAnsi="宋体" w:eastAsia="宋体" w:cs="宋体"/>
      <w:color w:val="000000"/>
      <w:sz w:val="18"/>
      <w:szCs w:val="18"/>
      <w:u w:val="none"/>
    </w:rPr>
  </w:style>
  <w:style w:type="paragraph" w:customStyle="1" w:styleId="72">
    <w:name w:val="索引 11"/>
    <w:basedOn w:val="1"/>
    <w:next w:val="1"/>
    <w:qFormat/>
    <w:uiPriority w:val="0"/>
    <w:pPr>
      <w:adjustRightInd/>
      <w:spacing w:line="360" w:lineRule="auto"/>
    </w:pPr>
    <w:rPr>
      <w:rFonts w:ascii="仿宋_GB2312" w:eastAsia="仿宋_GB2312"/>
      <w:sz w:val="24"/>
      <w:szCs w:val="20"/>
    </w:rPr>
  </w:style>
  <w:style w:type="paragraph" w:customStyle="1" w:styleId="7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
    <w:name w:val="列出段落1"/>
    <w:basedOn w:val="1"/>
    <w:qFormat/>
    <w:uiPriority w:val="0"/>
    <w:pPr>
      <w:ind w:firstLine="420" w:firstLineChars="200"/>
    </w:pPr>
    <w:rPr>
      <w:rFonts w:ascii="Calibri" w:hAnsi="Calibri" w:eastAsia="宋体" w:cs="Times New Roman"/>
    </w:rPr>
  </w:style>
  <w:style w:type="paragraph" w:customStyle="1" w:styleId="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77">
    <w:name w:val="font61"/>
    <w:basedOn w:val="28"/>
    <w:qFormat/>
    <w:uiPriority w:val="0"/>
    <w:rPr>
      <w:rFonts w:ascii="Arial" w:hAnsi="Arial" w:cs="Arial"/>
      <w:color w:val="000000"/>
      <w:sz w:val="21"/>
      <w:szCs w:val="21"/>
      <w:u w:val="none"/>
    </w:rPr>
  </w:style>
  <w:style w:type="paragraph" w:customStyle="1" w:styleId="7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签发人"/>
    <w:basedOn w:val="1"/>
    <w:qFormat/>
    <w:uiPriority w:val="0"/>
    <w:rPr>
      <w:rFonts w:eastAsia="楷体"/>
      <w:sz w:val="32"/>
    </w:rPr>
  </w:style>
  <w:style w:type="paragraph" w:customStyle="1" w:styleId="80">
    <w:name w:val="纯文本_0_0"/>
    <w:basedOn w:val="81"/>
    <w:qFormat/>
    <w:uiPriority w:val="0"/>
    <w:rPr>
      <w:rFonts w:ascii="宋体" w:hAnsi="Courier New"/>
      <w:szCs w:val="21"/>
    </w:rPr>
  </w:style>
  <w:style w:type="paragraph" w:customStyle="1" w:styleId="81">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97</Pages>
  <Words>58551</Words>
  <Characters>62736</Characters>
  <Lines>319</Lines>
  <Paragraphs>89</Paragraphs>
  <TotalTime>31</TotalTime>
  <ScaleCrop>false</ScaleCrop>
  <LinksUpToDate>false</LinksUpToDate>
  <CharactersWithSpaces>67434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2020-12-06T10:53:00Z</dcterms:created>
  <dc:creator>绿叶</dc:creator>
  <cp:lastModifiedBy>陈德旭</cp:lastModifiedBy>
  <cp:lastPrinted>2024-09-26T01:47:00Z</cp:lastPrinted>
  <dcterms:modified xsi:type="dcterms:W3CDTF">2024-09-30T03:51:03Z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2020-12-06T00:00:00Z</vt:filetime>
  </property>
  <property fmtid="{D5CDD505-2E9C-101B-9397-08002B2CF9AE}" pid="5" name="KSOProductBuildVer">
    <vt:lpwstr>2052-12.1.0.18276</vt:lpwstr>
  </property>
  <property fmtid="{D5CDD505-2E9C-101B-9397-08002B2CF9AE}" pid="6" name="ICV">
    <vt:lpwstr>DD783046371C49D59CFD0148F7667DFB_13</vt:lpwstr>
  </property>
</Properties>
</file>