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41C87">
      <w:pPr>
        <w:spacing w:line="360" w:lineRule="auto"/>
        <w:jc w:val="center"/>
        <w:rPr>
          <w:rFonts w:ascii="宋体" w:hAnsi="宋体" w:cs="宋体"/>
          <w:b/>
          <w:color w:val="000000" w:themeColor="text1"/>
          <w:sz w:val="24"/>
          <w:highlight w:val="none"/>
          <w14:textFill>
            <w14:solidFill>
              <w14:schemeClr w14:val="tx1"/>
            </w14:solidFill>
          </w14:textFill>
        </w:rPr>
      </w:pPr>
    </w:p>
    <w:p w14:paraId="5C22BD62">
      <w:pPr>
        <w:spacing w:line="360" w:lineRule="auto"/>
        <w:jc w:val="center"/>
        <w:rPr>
          <w:rFonts w:ascii="宋体" w:hAnsi="宋体" w:cs="宋体"/>
          <w:b/>
          <w:color w:val="000000" w:themeColor="text1"/>
          <w:sz w:val="24"/>
          <w:highlight w:val="none"/>
          <w14:textFill>
            <w14:solidFill>
              <w14:schemeClr w14:val="tx1"/>
            </w14:solidFill>
          </w14:textFill>
        </w:rPr>
      </w:pPr>
    </w:p>
    <w:p w14:paraId="7D03E4E1">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36D7D39B">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0E10B37D">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7C5878D1">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滨江区一体化智能化公共数据平台2025年度数据服务项目 </w:t>
      </w:r>
    </w:p>
    <w:p w14:paraId="4F4A3759">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206B08B6">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7D073614">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编号:CJJS-2025007</w:t>
      </w:r>
    </w:p>
    <w:p w14:paraId="3F99E3A9">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24901418">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078604E1">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4A2976DC">
      <w:pPr>
        <w:spacing w:line="360" w:lineRule="auto"/>
        <w:jc w:val="center"/>
        <w:rPr>
          <w:rFonts w:ascii="宋体" w:hAnsi="宋体" w:cs="宋体"/>
          <w:color w:val="000000" w:themeColor="text1"/>
          <w:sz w:val="24"/>
          <w:highlight w:val="none"/>
          <w14:textFill>
            <w14:solidFill>
              <w14:schemeClr w14:val="tx1"/>
            </w14:solidFill>
          </w14:textFill>
        </w:rPr>
      </w:pPr>
    </w:p>
    <w:p w14:paraId="4C6CE8A6">
      <w:pPr>
        <w:spacing w:line="360" w:lineRule="auto"/>
        <w:jc w:val="center"/>
        <w:rPr>
          <w:rFonts w:ascii="宋体" w:hAnsi="宋体" w:cs="宋体"/>
          <w:color w:val="000000" w:themeColor="text1"/>
          <w:sz w:val="24"/>
          <w:highlight w:val="none"/>
          <w14:textFill>
            <w14:solidFill>
              <w14:schemeClr w14:val="tx1"/>
            </w14:solidFill>
          </w14:textFill>
        </w:rPr>
      </w:pPr>
    </w:p>
    <w:p w14:paraId="4686222F">
      <w:pPr>
        <w:spacing w:line="360" w:lineRule="auto"/>
        <w:rPr>
          <w:rFonts w:ascii="宋体" w:hAnsi="宋体" w:cs="宋体"/>
          <w:color w:val="000000" w:themeColor="text1"/>
          <w:sz w:val="32"/>
          <w:szCs w:val="32"/>
          <w:highlight w:val="none"/>
          <w14:textFill>
            <w14:solidFill>
              <w14:schemeClr w14:val="tx1"/>
            </w14:solidFill>
          </w14:textFill>
        </w:rPr>
      </w:pPr>
    </w:p>
    <w:p w14:paraId="3AE179E0">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杭州高新技术产业开发区（滨江）社会治理中心</w:t>
      </w:r>
    </w:p>
    <w:p w14:paraId="510794A7">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城市建设技术集团（浙江）有限公司</w:t>
      </w:r>
    </w:p>
    <w:p w14:paraId="7B500F77">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二〇二五年三月</w:t>
      </w:r>
    </w:p>
    <w:p w14:paraId="3956285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771B2FBD">
      <w:pPr>
        <w:pStyle w:val="636"/>
        <w:rPr>
          <w:color w:val="000000" w:themeColor="text1"/>
          <w:highlight w:val="none"/>
          <w14:textFill>
            <w14:solidFill>
              <w14:schemeClr w14:val="tx1"/>
            </w14:solidFill>
          </w14:textFill>
        </w:rPr>
      </w:pPr>
    </w:p>
    <w:p w14:paraId="5C591471">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733087CF">
      <w:pPr>
        <w:spacing w:line="360" w:lineRule="auto"/>
        <w:rPr>
          <w:rFonts w:ascii="宋体" w:hAnsi="宋体" w:cs="宋体"/>
          <w:color w:val="000000" w:themeColor="text1"/>
          <w:sz w:val="32"/>
          <w:szCs w:val="32"/>
          <w:highlight w:val="none"/>
          <w14:textFill>
            <w14:solidFill>
              <w14:schemeClr w14:val="tx1"/>
            </w14:solidFill>
          </w14:textFill>
        </w:rPr>
      </w:pPr>
    </w:p>
    <w:p w14:paraId="439BE6F8">
      <w:pPr>
        <w:spacing w:line="360" w:lineRule="auto"/>
        <w:rPr>
          <w:rFonts w:ascii="宋体" w:hAnsi="宋体" w:cs="宋体"/>
          <w:color w:val="000000" w:themeColor="text1"/>
          <w:sz w:val="32"/>
          <w:szCs w:val="32"/>
          <w:highlight w:val="none"/>
          <w14:textFill>
            <w14:solidFill>
              <w14:schemeClr w14:val="tx1"/>
            </w14:solidFill>
          </w14:textFill>
        </w:rPr>
      </w:pPr>
    </w:p>
    <w:p w14:paraId="75E762DF">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712341E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53557CD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8F0580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2EB49FE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7887613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085B0FA6">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2369D14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1CADAC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B0266A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D9F92B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9D4BE8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D63C54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93C012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8FDE2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76223E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C7D8FE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AC5A70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CEB44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1DC5CEF">
      <w:pPr>
        <w:spacing w:line="360" w:lineRule="auto"/>
        <w:rPr>
          <w:rFonts w:ascii="宋体" w:hAnsi="宋体" w:cs="宋体"/>
          <w:color w:val="000000" w:themeColor="text1"/>
          <w:sz w:val="24"/>
          <w:highlight w:val="none"/>
          <w14:textFill>
            <w14:solidFill>
              <w14:schemeClr w14:val="tx1"/>
            </w14:solidFill>
          </w14:textFill>
        </w:rPr>
      </w:pPr>
    </w:p>
    <w:p w14:paraId="2290EE7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426B6C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616D4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滨江区一体化智能化公共数据平台2025年度数据服务项目 </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24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1FF52FD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ACFCD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CJJS-2025007</w:t>
      </w:r>
    </w:p>
    <w:p w14:paraId="109C84C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 xml:space="preserve">滨江区一体化智能化公共数据平台2025年度数据服务项目 </w:t>
      </w:r>
    </w:p>
    <w:p w14:paraId="583713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ascii="宋体" w:hAnsi="宋体" w:cs="宋体"/>
          <w:color w:val="000000" w:themeColor="text1"/>
          <w:sz w:val="24"/>
          <w:highlight w:val="none"/>
          <w14:textFill>
            <w14:solidFill>
              <w14:schemeClr w14:val="tx1"/>
            </w14:solidFill>
          </w14:textFill>
        </w:rPr>
        <w:t>312</w:t>
      </w:r>
      <w:r>
        <w:rPr>
          <w:rFonts w:hint="eastAsia" w:ascii="宋体" w:hAnsi="宋体" w:cs="宋体"/>
          <w:color w:val="000000" w:themeColor="text1"/>
          <w:sz w:val="24"/>
          <w:highlight w:val="none"/>
          <w14:textFill>
            <w14:solidFill>
              <w14:schemeClr w14:val="tx1"/>
            </w14:solidFill>
          </w14:textFill>
        </w:rPr>
        <w:t>0000</w:t>
      </w:r>
    </w:p>
    <w:p w14:paraId="736BF41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ascii="宋体" w:hAnsi="宋体" w:cs="宋体"/>
          <w:color w:val="000000" w:themeColor="text1"/>
          <w:sz w:val="24"/>
          <w:highlight w:val="none"/>
          <w14:textFill>
            <w14:solidFill>
              <w14:schemeClr w14:val="tx1"/>
            </w14:solidFill>
          </w14:textFill>
        </w:rPr>
        <w:t>312</w:t>
      </w:r>
      <w:r>
        <w:rPr>
          <w:rFonts w:hint="eastAsia" w:ascii="宋体" w:hAnsi="宋体" w:cs="宋体"/>
          <w:color w:val="000000" w:themeColor="text1"/>
          <w:sz w:val="24"/>
          <w:highlight w:val="none"/>
          <w14:textFill>
            <w14:solidFill>
              <w14:schemeClr w14:val="tx1"/>
            </w14:solidFill>
          </w14:textFill>
        </w:rPr>
        <w:t>0000</w:t>
      </w:r>
      <w:r>
        <w:rPr>
          <w:rFonts w:ascii="宋体" w:hAnsi="宋体" w:cs="宋体"/>
          <w:color w:val="000000" w:themeColor="text1"/>
          <w:sz w:val="24"/>
          <w:highlight w:val="none"/>
          <w14:textFill>
            <w14:solidFill>
              <w14:schemeClr w14:val="tx1"/>
            </w14:solidFill>
          </w14:textFill>
        </w:rPr>
        <w:t xml:space="preserve"> </w:t>
      </w:r>
    </w:p>
    <w:p w14:paraId="0D10D25F">
      <w:pPr>
        <w:pStyle w:val="1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滨江区一体化智能化公共数据平台2025年度数据服务项</w:t>
      </w:r>
      <w:r>
        <w:rPr>
          <w:rFonts w:hint="eastAsia" w:hAnsi="宋体" w:cs="宋体"/>
          <w:bCs/>
          <w:snapToGrid/>
          <w:color w:val="000000" w:themeColor="text1"/>
          <w:kern w:val="2"/>
          <w:sz w:val="24"/>
          <w:szCs w:val="24"/>
          <w:highlight w:val="none"/>
          <w:lang w:eastAsia="zh-CN"/>
          <w14:textFill>
            <w14:solidFill>
              <w14:schemeClr w14:val="tx1"/>
            </w14:solidFill>
          </w14:textFill>
        </w:rPr>
        <w:t>，</w:t>
      </w:r>
      <w:r>
        <w:rPr>
          <w:rFonts w:hint="eastAsia" w:hAnsi="宋体" w:cs="宋体"/>
          <w:bCs/>
          <w:snapToGrid/>
          <w:color w:val="000000" w:themeColor="text1"/>
          <w:kern w:val="2"/>
          <w:sz w:val="24"/>
          <w:szCs w:val="24"/>
          <w:highlight w:val="none"/>
          <w14:textFill>
            <w14:solidFill>
              <w14:schemeClr w14:val="tx1"/>
            </w14:solidFill>
          </w14:textFill>
        </w:rPr>
        <w:t>主要内容： 1.数据资源服务，开展数据目录服务、数据归集服务、数据治理服务、数据共享服务、专题数据上架服务、数据标准配置服务、数据产品服务、数据安全支撑服务、保障服务等工作内容；2.组件支撑服务，开展组件治理服务、组件建设服务、组件使用推广服务等工作内容；3.物联数据服务，开展物联网平台运维服务、物联设备数据服务等工作内容。具体以招标文件第三部分采购需求为准，供应商可点击本公告下方“浏览采购文件”查看采购需求。</w:t>
      </w:r>
    </w:p>
    <w:p w14:paraId="41A80584">
      <w:pPr>
        <w:pStyle w:val="130"/>
        <w:spacing w:before="0"/>
        <w:ind w:firstLine="48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szCs w:val="24"/>
          <w:highlight w:val="none"/>
          <w14:textFill>
            <w14:solidFill>
              <w14:schemeClr w14:val="tx1"/>
            </w14:solidFill>
          </w14:textFill>
        </w:rPr>
        <w:t>自合同签订日起，供应商提供12个月的技术服务（滨江区一体化智能化公共数据平台2025年度数据服务），服务期满后组织项目验收。</w:t>
      </w:r>
    </w:p>
    <w:p w14:paraId="7AFB3C5B">
      <w:pPr>
        <w:pStyle w:val="1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295226990"/>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75BE45B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1D5E6359">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3636F15F">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7C5B3C67">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C27AA9C">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20E5D65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8577493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4D74C267">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7602493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3070AB74">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0326594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0A676798">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916716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0FBCB58F">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C26A22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0EE77D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72AE7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2CEE097C">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DADB0C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1954D0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15B281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5B0438A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C03A03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年</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3</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月</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24</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日</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点</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11F6E2B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2DBEBB2F">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年</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3</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月</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24</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日</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点</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64C3D15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06BB36B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2DA063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D0FD5C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65C67A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4D295FD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556D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E607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1E7CC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31D0F3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D31BAA7">
      <w:pPr>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名    称：杭州高新技术产业开发区（滨江）社会治理中心 </w:t>
      </w:r>
    </w:p>
    <w:p w14:paraId="704EF468">
      <w:pPr>
        <w:spacing w:line="360" w:lineRule="auto"/>
        <w:ind w:firstLine="4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ascii="宋体" w:hAnsi="宋体" w:cs="宋体"/>
          <w:color w:val="000000" w:themeColor="text1"/>
          <w:sz w:val="24"/>
          <w:highlight w:val="none"/>
          <w14:textFill>
            <w14:solidFill>
              <w14:schemeClr w14:val="tx1"/>
            </w14:solidFill>
          </w14:textFill>
        </w:rPr>
        <w:t>杭州市滨江区江南大道87号</w:t>
      </w:r>
    </w:p>
    <w:p w14:paraId="11BEC8BC">
      <w:pPr>
        <w:spacing w:line="360" w:lineRule="auto"/>
        <w:ind w:firstLine="4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49A43663">
      <w:pPr>
        <w:spacing w:line="360" w:lineRule="auto"/>
        <w:ind w:firstLine="4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ascii="宋体" w:hAnsi="宋体" w:cs="宋体"/>
          <w:color w:val="000000" w:themeColor="text1"/>
          <w:sz w:val="24"/>
          <w:highlight w:val="none"/>
          <w14:textFill>
            <w14:solidFill>
              <w14:schemeClr w14:val="tx1"/>
            </w14:solidFill>
          </w14:textFill>
        </w:rPr>
        <w:t>吴昊</w:t>
      </w:r>
      <w:r>
        <w:rPr>
          <w:rFonts w:hint="eastAsia" w:ascii="宋体" w:hAnsi="宋体" w:cs="宋体"/>
          <w:color w:val="000000" w:themeColor="text1"/>
          <w:sz w:val="24"/>
          <w:highlight w:val="none"/>
          <w14:textFill>
            <w14:solidFill>
              <w14:schemeClr w14:val="tx1"/>
            </w14:solidFill>
          </w14:textFill>
        </w:rPr>
        <w:t xml:space="preserve">    </w:t>
      </w:r>
    </w:p>
    <w:p w14:paraId="3335A833">
      <w:pPr>
        <w:spacing w:line="360" w:lineRule="auto"/>
        <w:ind w:firstLine="4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ascii="宋体" w:hAnsi="宋体" w:cs="宋体"/>
          <w:color w:val="000000" w:themeColor="text1"/>
          <w:sz w:val="24"/>
          <w:highlight w:val="none"/>
          <w14:textFill>
            <w14:solidFill>
              <w14:schemeClr w14:val="tx1"/>
            </w14:solidFill>
          </w14:textFill>
        </w:rPr>
        <w:t>0571-81187774</w:t>
      </w:r>
      <w:r>
        <w:rPr>
          <w:rFonts w:hint="eastAsia" w:ascii="宋体" w:hAnsi="宋体" w:cs="宋体"/>
          <w:color w:val="000000" w:themeColor="text1"/>
          <w:sz w:val="24"/>
          <w:highlight w:val="none"/>
          <w14:textFill>
            <w14:solidFill>
              <w14:schemeClr w14:val="tx1"/>
            </w14:solidFill>
          </w14:textFill>
        </w:rPr>
        <w:t xml:space="preserve">    </w:t>
      </w:r>
    </w:p>
    <w:p w14:paraId="2E301528">
      <w:pPr>
        <w:spacing w:line="360" w:lineRule="auto"/>
        <w:ind w:firstLine="4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ascii="宋体" w:hAnsi="宋体" w:cs="宋体"/>
          <w:color w:val="000000" w:themeColor="text1"/>
          <w:sz w:val="24"/>
          <w:highlight w:val="none"/>
          <w14:textFill>
            <w14:solidFill>
              <w14:schemeClr w14:val="tx1"/>
            </w14:solidFill>
          </w14:textFill>
        </w:rPr>
        <w:t>辛琦</w:t>
      </w:r>
      <w:r>
        <w:rPr>
          <w:rFonts w:hint="eastAsia" w:ascii="宋体" w:hAnsi="宋体" w:cs="宋体"/>
          <w:color w:val="000000" w:themeColor="text1"/>
          <w:sz w:val="24"/>
          <w:highlight w:val="none"/>
          <w14:textFill>
            <w14:solidFill>
              <w14:schemeClr w14:val="tx1"/>
            </w14:solidFill>
          </w14:textFill>
        </w:rPr>
        <w:t xml:space="preserve">   </w:t>
      </w:r>
    </w:p>
    <w:p w14:paraId="3D5C1AD9">
      <w:pPr>
        <w:spacing w:line="360" w:lineRule="auto"/>
        <w:ind w:firstLine="4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ascii="宋体" w:hAnsi="宋体" w:cs="宋体"/>
          <w:color w:val="000000" w:themeColor="text1"/>
          <w:sz w:val="24"/>
          <w:highlight w:val="none"/>
          <w14:textFill>
            <w14:solidFill>
              <w14:schemeClr w14:val="tx1"/>
            </w14:solidFill>
          </w14:textFill>
        </w:rPr>
        <w:t>0571-81187811</w:t>
      </w:r>
      <w:r>
        <w:rPr>
          <w:rFonts w:hint="eastAsia" w:ascii="宋体" w:hAnsi="宋体" w:cs="宋体"/>
          <w:color w:val="000000" w:themeColor="text1"/>
          <w:sz w:val="24"/>
          <w:highlight w:val="none"/>
          <w14:textFill>
            <w14:solidFill>
              <w14:schemeClr w14:val="tx1"/>
            </w14:solidFill>
          </w14:textFill>
        </w:rPr>
        <w:t xml:space="preserve">  </w:t>
      </w:r>
    </w:p>
    <w:p w14:paraId="56A81CDC">
      <w:pPr>
        <w:spacing w:line="360" w:lineRule="auto"/>
        <w:rPr>
          <w:rFonts w:ascii="宋体" w:hAnsi="宋体" w:cs="宋体"/>
          <w:color w:val="000000" w:themeColor="text1"/>
          <w:sz w:val="24"/>
          <w:highlight w:val="none"/>
          <w14:textFill>
            <w14:solidFill>
              <w14:schemeClr w14:val="tx1"/>
            </w14:solidFill>
          </w14:textFill>
        </w:rPr>
      </w:pPr>
    </w:p>
    <w:p w14:paraId="61FA6CA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6F503D1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称：城市建设技术集团（浙江）有限公司</w:t>
      </w:r>
    </w:p>
    <w:p w14:paraId="46CFD9C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址：杭州市上城区机场路里街45号城建空间</w:t>
      </w:r>
    </w:p>
    <w:p w14:paraId="6514E8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3A014F7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项目联系人（询问）：孙丽芳</w:t>
      </w:r>
    </w:p>
    <w:p w14:paraId="2EB191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项目联系方式（询问）：15068196639 </w:t>
      </w:r>
    </w:p>
    <w:p w14:paraId="0DF94F9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张工</w:t>
      </w:r>
    </w:p>
    <w:p w14:paraId="3C42FD76">
      <w:pPr>
        <w:spacing w:line="360" w:lineRule="auto"/>
        <w:ind w:firstLine="465"/>
        <w:rPr>
          <w:rFonts w:ascii="宋体" w:hAnsi="宋体" w:cs="宋体"/>
          <w:bCs/>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质疑联系方式：0571-85283731</w:t>
      </w:r>
    </w:p>
    <w:p w14:paraId="6F0979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11B94820">
      <w:pPr>
        <w:pStyle w:val="57"/>
        <w:spacing w:before="0" w:beforeAutospacing="0" w:after="0" w:afterAutospacing="0" w:line="360" w:lineRule="auto"/>
        <w:ind w:firstLine="42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名    称：杭州市滨江区财政局、浙江省政府采购行政裁决服务中心（杭州）</w:t>
      </w:r>
    </w:p>
    <w:p w14:paraId="44A429A7">
      <w:pPr>
        <w:pStyle w:val="57"/>
        <w:spacing w:before="0" w:beforeAutospacing="0" w:after="0" w:afterAutospacing="0" w:line="360" w:lineRule="auto"/>
        <w:ind w:firstLine="42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地    址：杭州市上城区清泰街549号城建综合大楼11楼（快递仅限ems或顺丰）</w:t>
      </w:r>
    </w:p>
    <w:p w14:paraId="6BC9321D">
      <w:pPr>
        <w:pStyle w:val="57"/>
        <w:spacing w:before="0" w:beforeAutospacing="0" w:after="0" w:afterAutospacing="0" w:line="360" w:lineRule="auto"/>
        <w:ind w:firstLine="42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传    真：</w:t>
      </w:r>
    </w:p>
    <w:p w14:paraId="15898B8A">
      <w:pPr>
        <w:pStyle w:val="57"/>
        <w:spacing w:before="0" w:beforeAutospacing="0" w:after="0" w:afterAutospacing="0" w:line="360" w:lineRule="auto"/>
        <w:ind w:firstLine="42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联 系 人：朱女士、王女士</w:t>
      </w:r>
    </w:p>
    <w:p w14:paraId="428E4523">
      <w:pPr>
        <w:pStyle w:val="57"/>
        <w:spacing w:before="0" w:beforeAutospacing="0" w:after="0" w:afterAutospacing="0" w:line="360" w:lineRule="auto"/>
        <w:ind w:firstLine="42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监督投诉电话：0571-87800218,0571-87227671</w:t>
      </w:r>
    </w:p>
    <w:p w14:paraId="416E6977">
      <w:pPr>
        <w:spacing w:line="360" w:lineRule="auto"/>
        <w:ind w:firstLine="480"/>
        <w:rPr>
          <w:rFonts w:ascii="宋体" w:hAnsi="宋体" w:cs="宋体"/>
          <w:color w:val="000000" w:themeColor="text1"/>
          <w:sz w:val="24"/>
          <w:highlight w:val="none"/>
          <w14:textFill>
            <w14:solidFill>
              <w14:schemeClr w14:val="tx1"/>
            </w14:solidFill>
          </w14:textFill>
        </w:rPr>
      </w:pPr>
    </w:p>
    <w:p w14:paraId="0A04C2E1">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EDD28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58A1F937">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68640857">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446B22E9">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14:paraId="5B718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E1944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4F0EF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D0F82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59B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53935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C72DEF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9A1731">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AC4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23E19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4F789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685C7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BD4E8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3617F3">
            <w:pPr>
              <w:widowControl/>
              <w:snapToGrid w:val="0"/>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滨江区一体化智能化公共数据平台2025年度数据服务项目</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软件和信息技术服务业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27C54BF6">
            <w:pPr>
              <w:widowControl/>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从业人员300⼈以下或营业收⼊10000万元以下的为中小微型企业。其中，从业人员100⼈及以上，且营业收⼊1000 万元及以上的为中型企业；从业人员10⼈及以上，且营业收⼊50万元及以上的为小型企业；从业人员10⼈以下或营业收⼊50万元以下的为微型企业 。</w:t>
            </w:r>
          </w:p>
        </w:tc>
      </w:tr>
      <w:tr w14:paraId="45D1E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F3F9A5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32C2F1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7260E4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8ABF3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982000">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0984096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D4CD3DF">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0513527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31C01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70AA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6914D8">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4F301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0701852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劳务、资料整理   </w:t>
            </w:r>
            <w:r>
              <w:rPr>
                <w:rFonts w:hint="eastAsia" w:ascii="宋体" w:hAnsi="宋体" w:cs="宋体"/>
                <w:color w:val="000000" w:themeColor="text1"/>
                <w:sz w:val="24"/>
                <w:highlight w:val="none"/>
                <w14:textFill>
                  <w14:solidFill>
                    <w14:schemeClr w14:val="tx1"/>
                  </w14:solidFill>
                </w14:textFill>
              </w:rPr>
              <w:t>工作分包。</w:t>
            </w:r>
          </w:p>
          <w:p w14:paraId="6553821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1796297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7B1396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32496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10627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E8E961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6AF616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88F07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AE827D">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645853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9A1A200">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9475340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2813B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69692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F1F22E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0449D4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CEE65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1C6B15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4E2CB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A8369E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DD40D8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08AA0E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564EA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6E35A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BD04C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354267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4235EAE">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193699D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D6966B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23A98F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4A29E59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AE5CD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598897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9A407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225C1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A24E7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3BDBA4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A75B5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CD6B4E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B4488C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3A4AE8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0D2FC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8AAB8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DFA34C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389E6E">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65F37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227600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6090FFC">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06CD462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分钟，讲解次序以投标文件解密时间先后次序为准，讲解演示人员不超过2人。讲解演示结束后按要求解答评标委员会提问。</w:t>
            </w:r>
          </w:p>
          <w:p w14:paraId="2FDBB86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（2）方案讲解演示方式：</w:t>
            </w:r>
          </w:p>
          <w:p w14:paraId="377FF10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TW"/>
                <w14:textFill>
                  <w14:solidFill>
                    <w14:schemeClr w14:val="tx1"/>
                  </w14:solidFill>
                </w14:textFill>
              </w:rPr>
              <w:t>演示方式：</w:t>
            </w:r>
            <w:r>
              <w:rPr>
                <w:rFonts w:hint="eastAsia" w:ascii="宋体" w:hAnsi="宋体" w:cs="宋体"/>
                <w:color w:val="000000" w:themeColor="text1"/>
                <w:kern w:val="0"/>
                <w:sz w:val="24"/>
                <w:highlight w:val="none"/>
                <w14:textFill>
                  <w14:solidFill>
                    <w14:schemeClr w14:val="tx1"/>
                  </w14:solidFill>
                </w14:textFill>
              </w:rPr>
              <w:t>/</w:t>
            </w:r>
          </w:p>
          <w:p w14:paraId="327DD0CC">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F80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4237DC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E5F97C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7AE7A7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382F41B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B1DD5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2204322D">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DBE8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6781ED9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8E47A2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7AD9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360D2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544F3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01FE91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AA43D3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FB3D9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9022E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47B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407F1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7FAEBE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3077C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CC292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F7C80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601C8E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1570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14414E">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6713D6CA">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61C858B2">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1A0A5566">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343AB7C0">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468D65E4">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35EF7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4447F8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4EA81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29FADC2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EBE39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34E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B67C5D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D8490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420AA0">
            <w:pPr>
              <w:pStyle w:val="32"/>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杭州市上城区城建空间45号城建空间</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孙丽芳15068196639</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2DF0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3BB1AC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6C1C384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F5E8B">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42BB1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3DBDBE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1E22768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B06458">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84669712"/>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1C464E31">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409675270"/>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6323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46EF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593527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613C3DA5">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（1）本项目代理服务费参照计价格【2002】1980号《招标代理服务收费管理暂行办法》及国家发改委发改价格（2011）534号文件收费标准的54%向成交供应商收取。</w:t>
            </w:r>
          </w:p>
          <w:tbl>
            <w:tblPr>
              <w:tblStyle w:val="6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337"/>
              <w:gridCol w:w="1337"/>
              <w:gridCol w:w="1336"/>
            </w:tblGrid>
            <w:tr w14:paraId="6242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74" w:type="pct"/>
                </w:tcPr>
                <w:p w14:paraId="238EA1A4">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中标/成交金额</w:t>
                  </w:r>
                </w:p>
                <w:p w14:paraId="5F237F8C">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（万元）</w:t>
                  </w:r>
                </w:p>
              </w:tc>
              <w:tc>
                <w:tcPr>
                  <w:tcW w:w="1109" w:type="pct"/>
                  <w:vAlign w:val="center"/>
                </w:tcPr>
                <w:p w14:paraId="5D8617E6">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货物招标</w:t>
                  </w:r>
                </w:p>
              </w:tc>
              <w:tc>
                <w:tcPr>
                  <w:tcW w:w="1109" w:type="pct"/>
                  <w:vAlign w:val="center"/>
                </w:tcPr>
                <w:p w14:paraId="3C7D8978">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服务招标</w:t>
                  </w:r>
                </w:p>
              </w:tc>
              <w:tc>
                <w:tcPr>
                  <w:tcW w:w="1109" w:type="pct"/>
                  <w:vAlign w:val="center"/>
                </w:tcPr>
                <w:p w14:paraId="02837A98">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工程招标</w:t>
                  </w:r>
                </w:p>
              </w:tc>
            </w:tr>
            <w:tr w14:paraId="1244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674" w:type="pct"/>
                </w:tcPr>
                <w:p w14:paraId="43663AB5">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100以下</w:t>
                  </w:r>
                </w:p>
              </w:tc>
              <w:tc>
                <w:tcPr>
                  <w:tcW w:w="1109" w:type="pct"/>
                </w:tcPr>
                <w:p w14:paraId="5C3DD564">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1.5%</w:t>
                  </w:r>
                </w:p>
              </w:tc>
              <w:tc>
                <w:tcPr>
                  <w:tcW w:w="1109" w:type="pct"/>
                </w:tcPr>
                <w:p w14:paraId="2D383747">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1.5%</w:t>
                  </w:r>
                </w:p>
              </w:tc>
              <w:tc>
                <w:tcPr>
                  <w:tcW w:w="1109" w:type="pct"/>
                </w:tcPr>
                <w:p w14:paraId="7276DED8">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1.0%</w:t>
                  </w:r>
                </w:p>
              </w:tc>
            </w:tr>
            <w:tr w14:paraId="12EA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74" w:type="pct"/>
                </w:tcPr>
                <w:p w14:paraId="71EA8A28">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100-500</w:t>
                  </w:r>
                </w:p>
              </w:tc>
              <w:tc>
                <w:tcPr>
                  <w:tcW w:w="1109" w:type="pct"/>
                </w:tcPr>
                <w:p w14:paraId="49113034">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1.1%</w:t>
                  </w:r>
                </w:p>
              </w:tc>
              <w:tc>
                <w:tcPr>
                  <w:tcW w:w="1109" w:type="pct"/>
                </w:tcPr>
                <w:p w14:paraId="429A8159">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0.8%</w:t>
                  </w:r>
                </w:p>
              </w:tc>
              <w:tc>
                <w:tcPr>
                  <w:tcW w:w="1109" w:type="pct"/>
                </w:tcPr>
                <w:p w14:paraId="0B0298E2">
                  <w:pPr>
                    <w:widowControl/>
                    <w:adjustRightInd/>
                    <w:spacing w:line="360" w:lineRule="auto"/>
                    <w:jc w:val="cente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0.7%</w:t>
                  </w:r>
                </w:p>
              </w:tc>
            </w:tr>
          </w:tbl>
          <w:p w14:paraId="06CE657D">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（2）成交供应商应当自成交公告发布之日起5个工作日内一次性向采购代理机构支付代理服务费。</w:t>
            </w:r>
          </w:p>
          <w:p w14:paraId="3D995DA1">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（3）代理服务费支付：</w:t>
            </w:r>
          </w:p>
          <w:p w14:paraId="2A83B525">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①代理服务费缴纳形式：汇票/支票/电汇/现金</w:t>
            </w:r>
          </w:p>
          <w:p w14:paraId="3C232113">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w:t>
            </w:r>
          </w:p>
          <w:p w14:paraId="38EEE6CF">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收款单位（户名）：城市建设技术集团（浙江）有限公司</w:t>
            </w:r>
          </w:p>
          <w:p w14:paraId="4F4AB33C">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户：杭州联合农村商业银行股份有限公司闸弄口支行</w:t>
            </w:r>
          </w:p>
          <w:p w14:paraId="1204EDFF">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号：201000260274915</w:t>
            </w:r>
          </w:p>
          <w:p w14:paraId="1C85DD62">
            <w:pPr>
              <w:widowControl/>
              <w:adjustRightInd/>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（4）增值税发票开票资料：单位名称、税号（统一社会信用代码）、开户行名称、账号、地址及联系电话。</w:t>
            </w:r>
          </w:p>
          <w:p w14:paraId="598E62DD">
            <w:pPr>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备注：代理服务费在报价表中不单列报价子项，由供应商自行考虑在企业运营成本等或各投标报价中。</w:t>
            </w:r>
          </w:p>
        </w:tc>
      </w:tr>
    </w:tbl>
    <w:p w14:paraId="62B5BD4C">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38DCD16B">
      <w:pPr>
        <w:adjustRightInd/>
        <w:rPr>
          <w:rFonts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highlight w:val="none"/>
          <w14:textFill>
            <w14:solidFill>
              <w14:schemeClr w14:val="tx1"/>
            </w14:solidFill>
          </w14:textFill>
        </w:rPr>
        <w:br w:type="page"/>
      </w:r>
    </w:p>
    <w:p w14:paraId="443E77E5">
      <w:pPr>
        <w:bidi/>
        <w:adjustRightInd/>
        <w:spacing w:line="360" w:lineRule="auto"/>
        <w:ind w:firstLine="0" w:firstLineChars="0"/>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030E3DBF">
      <w:pPr>
        <w:snapToGrid w:val="0"/>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6DCF15A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6AFE1A99">
      <w:pPr>
        <w:adjustRightInd w:val="0"/>
        <w:snapToGrid w:val="0"/>
        <w:spacing w:line="360" w:lineRule="auto"/>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47F240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08E3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65430E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69F086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29C38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DC3E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43653C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795D8CF7">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2A8205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6B8AF66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1C5B06BD">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E128F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4D3A67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61281C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0BA7FA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4AD9D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025D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8ADED82">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63B51B">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E40751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530CC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11B47B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7A75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9323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6F677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13136B9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12AC29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6275C616">
      <w:pPr>
        <w:pStyle w:val="3"/>
        <w:adjustRightInd w:val="0"/>
        <w:snapToGri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3.4.3 采购人应当贯彻落实知识产权保护相关法律法规，应当采购使用正版软件。</w:t>
      </w:r>
    </w:p>
    <w:p w14:paraId="6BA28F1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3A22B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122F880F">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仿宋"/>
          <w:color w:val="000000" w:themeColor="text1"/>
          <w:sz w:val="24"/>
          <w:highlight w:val="none"/>
          <w14:textFill>
            <w14:solidFill>
              <w14:schemeClr w14:val="tx1"/>
            </w14:solidFill>
          </w14:textFill>
        </w:rPr>
        <w:t>、补偿救济</w:t>
      </w:r>
    </w:p>
    <w:p w14:paraId="14A7B0A7">
      <w:pPr>
        <w:autoSpaceDE/>
        <w:autoSpaceDN/>
        <w:snapToGrid w:val="0"/>
        <w:spacing w:line="360" w:lineRule="auto"/>
        <w:ind w:firstLine="480" w:firstLineChars="200"/>
        <w:jc w:val="both"/>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6CF3F2">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D5B281">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40F8E2">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983DC25">
      <w:pPr>
        <w:pStyle w:val="32"/>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2A739DD">
      <w:pPr>
        <w:pStyle w:val="32"/>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64BC8C">
      <w:pPr>
        <w:pStyle w:val="1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7C6C5434">
      <w:pPr>
        <w:pStyle w:val="32"/>
        <w:snapToGrid w:val="0"/>
        <w:spacing w:line="360" w:lineRule="auto"/>
        <w:ind w:left="0" w:leftChars="0"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5C5A0EF4">
      <w:pPr>
        <w:pStyle w:val="32"/>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5AF48398">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2948425D">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79C82C79">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5612A344">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48DB8A3A">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4DA23227">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3302482">
      <w:pPr>
        <w:pStyle w:val="32"/>
        <w:shd w:val="clear" w:color="auto" w:fill="FFFFFF"/>
        <w:snapToGrid w:val="0"/>
        <w:spacing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9111F03">
      <w:pPr>
        <w:pStyle w:val="888"/>
        <w:shd w:val="clear" w:color="auto" w:fill="FFFFFF"/>
        <w:snapToGrid w:val="0"/>
        <w:spacing w:before="0" w:beforeAutospacing="0" w:after="0" w:afterAutospacing="0" w:line="360" w:lineRule="auto"/>
        <w:ind w:firstLine="480" w:firstLineChars="200"/>
        <w:contextualSpacing/>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w:t>
      </w:r>
      <w:r>
        <w:rPr>
          <w:color w:val="000000" w:themeColor="text1"/>
          <w:highlight w:val="none"/>
          <w14:textFill>
            <w14:solidFill>
              <w14:schemeClr w14:val="tx1"/>
            </w14:solidFill>
          </w14:textFill>
        </w:rPr>
        <w:t>2。</w:t>
      </w:r>
    </w:p>
    <w:p w14:paraId="13FE36BA">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3E45F355">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B2DBD4">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FC45AD4">
      <w:pPr>
        <w:pStyle w:val="888"/>
        <w:shd w:val="clear" w:color="auto" w:fill="FFFFFF"/>
        <w:snapToGrid w:val="0"/>
        <w:spacing w:before="0" w:beforeAutospacing="0" w:after="0" w:afterAutospacing="0" w:line="360" w:lineRule="auto"/>
        <w:ind w:firstLine="480" w:firstLineChars="200"/>
        <w:contextualSpacing/>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540F6937">
      <w:pPr>
        <w:pStyle w:val="888"/>
        <w:shd w:val="clear" w:color="auto" w:fill="FFFFFF"/>
        <w:snapToGrid w:val="0"/>
        <w:spacing w:before="0" w:beforeAutospacing="0" w:after="0" w:afterAutospacing="0" w:line="360" w:lineRule="auto"/>
        <w:ind w:firstLine="480" w:firstLineChars="200"/>
        <w:contextualSpacing/>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0EC09FB">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0F7134A0">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46CB0432">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587F7083">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1D70260">
      <w:pPr>
        <w:snapToGrid w:val="0"/>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7462C644">
      <w:pPr>
        <w:snapToGrid w:val="0"/>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4680C3B2">
      <w:pPr>
        <w:pStyle w:val="888"/>
        <w:shd w:val="clear" w:color="auto" w:fill="FFFFFF"/>
        <w:adjustRightInd w:val="0"/>
        <w:snapToGrid w:val="0"/>
        <w:spacing w:before="0" w:beforeAutospacing="0" w:after="0" w:afterAutospacing="0" w:line="360" w:lineRule="auto"/>
        <w:ind w:firstLine="480" w:firstLineChars="200"/>
        <w:contextualSpacing/>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04AE3689">
      <w:pPr>
        <w:pStyle w:val="130"/>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3ACC6FD0">
      <w:pPr>
        <w:adjustRightInd w:val="0"/>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67673C8B">
      <w:pPr>
        <w:pStyle w:val="32"/>
        <w:snapToGrid w:val="0"/>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8EBFA9F">
      <w:pPr>
        <w:pStyle w:val="32"/>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19EC68F1">
      <w:pPr>
        <w:pStyle w:val="32"/>
        <w:tabs>
          <w:tab w:val="left" w:pos="840"/>
        </w:tabs>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2B5FD5E0">
      <w:pPr>
        <w:pStyle w:val="32"/>
        <w:tabs>
          <w:tab w:val="left" w:pos="840"/>
        </w:tabs>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60523C57">
      <w:pPr>
        <w:pStyle w:val="32"/>
        <w:tabs>
          <w:tab w:val="left" w:pos="840"/>
        </w:tabs>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D5F352B">
      <w:pPr>
        <w:pStyle w:val="32"/>
        <w:tabs>
          <w:tab w:val="left" w:pos="840"/>
        </w:tabs>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A482F9">
      <w:pPr>
        <w:pStyle w:val="32"/>
        <w:tabs>
          <w:tab w:val="left" w:pos="840"/>
        </w:tabs>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10CD955E">
      <w:pPr>
        <w:pStyle w:val="32"/>
        <w:tabs>
          <w:tab w:val="left" w:pos="840"/>
        </w:tabs>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3BA181F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40C8A12">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A490051">
      <w:pPr>
        <w:pStyle w:val="130"/>
        <w:snapToGrid/>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7F33EA61">
      <w:pPr>
        <w:pStyle w:val="130"/>
        <w:snapToGrid/>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47F171">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39D5A998">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990DF34">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732F4574">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25BC36E3">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73B1959">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DEFA88F">
      <w:pPr>
        <w:pStyle w:val="32"/>
        <w:spacing w:line="360" w:lineRule="auto"/>
        <w:ind w:firstLine="482" w:firstLineChars="2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A6B3D3E">
      <w:pPr>
        <w:pStyle w:val="1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50B99089">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52EE5A72">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04FAC043">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346547E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557B8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1C2234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241F3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BCB9A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4EFFEF5">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B139D1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4C41957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C8696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5D9633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17A0328">
      <w:pPr>
        <w:snapToGrid w:val="0"/>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B3B343D">
      <w:pPr>
        <w:snapToGrid w:val="0"/>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0B0D2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C1A8734">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327188D">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7C1BDB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631CCA9A">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3836C1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3CD40CB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1060C5F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75D8B4A3">
      <w:pPr>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投标人应对投标文件中材料的真实性、合法性负责。</w:t>
      </w:r>
    </w:p>
    <w:p w14:paraId="5110FB16">
      <w:pPr>
        <w:pStyle w:val="130"/>
        <w:snapToGrid w:val="0"/>
        <w:spacing w:before="0"/>
        <w:ind w:firstLine="482" w:firstLineChars="20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75EB166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FF6E1A">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A1F7282">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6A00D00">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40D794F">
      <w:pPr>
        <w:pStyle w:val="130"/>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176EC272">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2143D47">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15D2486">
      <w:pPr>
        <w:pStyle w:val="130"/>
        <w:snapToGrid w:val="0"/>
        <w:spacing w:before="0"/>
        <w:ind w:firstLine="482" w:firstLineChars="20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2CE0B78A">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9FE69B">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F3B8F2B">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89546F8">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60693009">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48AAB641">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244C8FFD">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C7058EE">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5C29DACD">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CB9ED63">
      <w:pPr>
        <w:pStyle w:val="130"/>
        <w:spacing w:before="0"/>
        <w:ind w:firstLine="482" w:firstLineChars="20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38293272">
      <w:pPr>
        <w:pStyle w:val="24"/>
        <w:spacing w:line="360" w:lineRule="auto"/>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5EDBE803">
      <w:pPr>
        <w:pStyle w:val="130"/>
        <w:spacing w:before="0"/>
        <w:ind w:firstLine="482" w:firstLineChars="20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C205D09">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56B8D903">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50D22FA0">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E0E2D9E">
      <w:pPr>
        <w:pStyle w:val="130"/>
        <w:spacing w:before="0"/>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1ED2AA21">
      <w:pPr>
        <w:pStyle w:val="556"/>
        <w:spacing w:before="0" w:line="360" w:lineRule="auto"/>
        <w:ind w:left="0" w:firstLine="482"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0BD36493">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131FAE06">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14:paraId="129F06A1">
      <w:pPr>
        <w:pStyle w:val="556"/>
        <w:spacing w:before="0" w:line="360" w:lineRule="auto"/>
        <w:ind w:left="0" w:firstLine="480" w:firstLineChars="2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26DC31B">
      <w:pPr>
        <w:widowControl/>
        <w:spacing w:before="0" w:beforeAutospacing="0" w:after="0" w:line="360" w:lineRule="auto"/>
        <w:ind w:firstLine="482" w:firstLineChars="200"/>
        <w:jc w:val="both"/>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19、资格审查</w:t>
      </w:r>
    </w:p>
    <w:p w14:paraId="15CEC4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101A7B2E">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27FE1407">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75485092">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317E0FEC">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AFF8338">
      <w:pPr>
        <w:pStyle w:val="130"/>
        <w:spacing w:before="0"/>
        <w:ind w:firstLine="482" w:firstLineChars="20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3334BE5A">
      <w:pPr>
        <w:pStyle w:val="130"/>
        <w:spacing w:before="0"/>
        <w:ind w:firstLine="480" w:firstLineChars="20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61A04C7F">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98C1FC6">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66C7662">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873C6AA">
      <w:pPr>
        <w:pStyle w:val="130"/>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48419832">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36DF4CE4">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15E8F78">
      <w:pPr>
        <w:spacing w:line="360" w:lineRule="auto"/>
        <w:rPr>
          <w:rFonts w:ascii="宋体" w:hAnsi="宋体" w:cs="宋体"/>
          <w:b/>
          <w:color w:val="000000" w:themeColor="text1"/>
          <w:sz w:val="24"/>
          <w:highlight w:val="none"/>
          <w14:textFill>
            <w14:solidFill>
              <w14:schemeClr w14:val="tx1"/>
            </w14:solidFill>
          </w14:textFill>
        </w:rPr>
      </w:pPr>
    </w:p>
    <w:p w14:paraId="4ABF4F0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60AEF3FC">
      <w:pPr>
        <w:pStyle w:val="24"/>
        <w:spacing w:line="360" w:lineRule="auto"/>
        <w:ind w:left="0" w:firstLine="482"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1F4A1325">
      <w:pPr>
        <w:pStyle w:val="130"/>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2FA91BA">
      <w:pPr>
        <w:pStyle w:val="130"/>
        <w:snapToGrid w:val="0"/>
        <w:spacing w:before="0"/>
        <w:ind w:firstLine="482" w:firstLineChars="20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2B667E58">
      <w:pPr>
        <w:widowControl/>
        <w:shd w:val="clear" w:color="auto" w:fill="FFFFFF"/>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521F355">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18377157">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C91B711">
      <w:pPr>
        <w:pStyle w:val="130"/>
        <w:snapToGrid w:val="0"/>
        <w:spacing w:before="0"/>
        <w:ind w:firstLine="482"/>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23.4 </w:t>
      </w:r>
      <w:r>
        <w:rPr>
          <w:rFonts w:hint="eastAsia" w:ascii="宋体" w:hAnsi="宋体" w:cs="宋体"/>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757B51D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4205DA8">
      <w:pPr>
        <w:snapToGrid w:val="0"/>
        <w:spacing w:line="360" w:lineRule="auto"/>
        <w:ind w:left="0" w:leftChars="0"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5A34640D">
      <w:pPr>
        <w:pStyle w:val="24"/>
        <w:spacing w:line="360" w:lineRule="auto"/>
        <w:ind w:left="0" w:firstLine="482"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0664C0BE">
      <w:pPr>
        <w:pStyle w:val="24"/>
        <w:spacing w:line="360" w:lineRule="auto"/>
        <w:ind w:left="0" w:firstLine="482"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5004F11F">
      <w:pPr>
        <w:widowControl/>
        <w:shd w:val="clear" w:color="auto" w:fill="FFFFFF"/>
        <w:spacing w:line="360" w:lineRule="auto"/>
        <w:ind w:firstLine="480" w:firstLineChars="200"/>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469F6C">
      <w:pPr>
        <w:pStyle w:val="130"/>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62301B6">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4DCFA6C4">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BA8B55C">
      <w:pPr>
        <w:pStyle w:val="130"/>
        <w:snapToGrid w:val="0"/>
        <w:spacing w:before="0" w:after="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E3C9A09">
      <w:pPr>
        <w:pStyle w:val="24"/>
        <w:snapToGrid w:val="0"/>
        <w:spacing w:line="360" w:lineRule="auto"/>
        <w:ind w:left="0" w:firstLine="482"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4EBB9649">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C7DC8F4">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8BD4BE">
      <w:pPr>
        <w:snapToGrid w:val="0"/>
        <w:spacing w:line="360" w:lineRule="auto"/>
        <w:ind w:firstLine="482" w:firstLineChars="200"/>
        <w:rPr>
          <w:color w:val="000000" w:themeColor="text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27.预付款</w:t>
      </w:r>
    </w:p>
    <w:p w14:paraId="14E19C54">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25DBCECD">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0330307E">
      <w:pPr>
        <w:snapToGrid w:val="0"/>
        <w:spacing w:line="360" w:lineRule="auto"/>
        <w:ind w:firstLine="0" w:firstLineChars="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72FF5F74">
      <w:pPr>
        <w:pStyle w:val="130"/>
        <w:snapToGrid w:val="0"/>
        <w:spacing w:before="0"/>
        <w:ind w:firstLine="482" w:firstLineChars="20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12BD8EA">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914BC27">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2B64E31B">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358380C">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6534E92">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0F4FF08">
      <w:pPr>
        <w:pStyle w:val="130"/>
        <w:snapToGrid w:val="0"/>
        <w:spacing w:before="0"/>
        <w:ind w:firstLine="482" w:firstLineChars="20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29.出现以上情形，</w:t>
      </w:r>
      <w:r>
        <w:rPr>
          <w:rFonts w:hint="eastAsia" w:ascii="宋体" w:hAnsi="宋体" w:cs="宋体"/>
          <w:color w:val="000000" w:themeColor="text1"/>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43D5B88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5D07F77">
      <w:pPr>
        <w:snapToGrid w:val="0"/>
        <w:spacing w:line="360" w:lineRule="auto"/>
        <w:ind w:left="0" w:leftChars="0"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075FEF8">
      <w:pPr>
        <w:pStyle w:val="24"/>
        <w:snapToGrid w:val="0"/>
        <w:spacing w:line="360" w:lineRule="auto"/>
        <w:ind w:firstLine="482" w:firstLineChars="20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6DB5A41B">
      <w:p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CA8CC5">
      <w:p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EE85E64">
      <w:p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77E016">
      <w:p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E9D4E9">
      <w:pPr>
        <w:tabs>
          <w:tab w:val="left" w:pos="0"/>
        </w:tabs>
        <w:snapToGrid w:val="0"/>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FE97576">
      <w:pPr>
        <w:pStyle w:val="79"/>
        <w:rPr>
          <w:color w:val="000000" w:themeColor="text1"/>
          <w:highlight w:val="none"/>
          <w14:textFill>
            <w14:solidFill>
              <w14:schemeClr w14:val="tx1"/>
            </w14:solidFill>
          </w14:textFill>
        </w:rPr>
      </w:pPr>
    </w:p>
    <w:bookmarkEnd w:id="13"/>
    <w:p w14:paraId="1A0FB80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850" w:gutter="0"/>
          <w:cols w:space="720" w:num="1"/>
          <w:titlePg/>
          <w:docGrid w:linePitch="312" w:charSpace="0"/>
        </w:sectPr>
      </w:pPr>
      <w:bookmarkStart w:id="15" w:name="_Hlt68072990"/>
      <w:bookmarkEnd w:id="15"/>
      <w:bookmarkStart w:id="16" w:name="_Hlt75236101"/>
      <w:bookmarkEnd w:id="16"/>
      <w:bookmarkStart w:id="17" w:name="_Hlt75236290"/>
      <w:bookmarkEnd w:id="17"/>
      <w:bookmarkStart w:id="18" w:name="_Hlt75236011"/>
      <w:bookmarkEnd w:id="18"/>
      <w:bookmarkStart w:id="19" w:name="_Hlt74730295"/>
      <w:bookmarkEnd w:id="19"/>
      <w:bookmarkStart w:id="20" w:name="_Hlt74714665"/>
      <w:bookmarkEnd w:id="20"/>
      <w:bookmarkStart w:id="21" w:name="_Hlt74729768"/>
      <w:bookmarkEnd w:id="21"/>
      <w:bookmarkStart w:id="22" w:name="_Hlt68057669"/>
      <w:bookmarkEnd w:id="22"/>
      <w:bookmarkStart w:id="23" w:name="_Hlt68073093"/>
      <w:bookmarkEnd w:id="23"/>
      <w:bookmarkStart w:id="24" w:name="_Hlt68403820"/>
      <w:bookmarkEnd w:id="24"/>
      <w:bookmarkStart w:id="25" w:name="_Hlt68072998"/>
      <w:bookmarkEnd w:id="25"/>
      <w:bookmarkStart w:id="26" w:name="_Hlt74707468"/>
      <w:bookmarkEnd w:id="26"/>
    </w:p>
    <w:bookmarkEnd w:id="11"/>
    <w:bookmarkEnd w:id="12"/>
    <w:p w14:paraId="2F11AF29">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0B104EE7">
      <w:pPr>
        <w:pStyle w:val="4"/>
        <w:tabs>
          <w:tab w:val="left" w:pos="-945"/>
          <w:tab w:val="left" w:pos="0"/>
          <w:tab w:val="clear" w:pos="900"/>
        </w:tabs>
        <w:spacing w:before="0" w:after="0"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一、项目概述</w:t>
      </w:r>
    </w:p>
    <w:p w14:paraId="0BF76414">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持续围绕“实战实效再突破”、“全面贯通”、“综合集成”数字化改革工作目标，通过滨江区一体化智能化公共数据平台进一步整合区内各部门数据资源、组件资源、物联资源，稳步提升共享水平，保障数据资源、组件资源、物联资源的供给能力，进一步夯实服务稳定、集约高效、开放兼容、全盘统筹的一体化智能化公共数据资源体系。</w:t>
      </w:r>
    </w:p>
    <w:p w14:paraId="4CB656D3">
      <w:pPr>
        <w:pStyle w:val="4"/>
        <w:tabs>
          <w:tab w:val="left" w:pos="-945"/>
          <w:tab w:val="left" w:pos="0"/>
          <w:tab w:val="clear" w:pos="900"/>
        </w:tabs>
        <w:spacing w:before="0" w:after="0"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二、建设目标</w:t>
      </w:r>
    </w:p>
    <w:p w14:paraId="4422CD41">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数据资源服务。通过数据目录的运营保障，推进数据目录要素规范填报、精准关联，提升数据资源目录质量；提升数据资源体系化管理能力，全面掌握滨江区公共数据分布情况，以目录为源，持续推进全区数据归集、数据治理、数据共享、数据开放、数据安全支撑、保障服务等工作。</w:t>
      </w:r>
    </w:p>
    <w:p w14:paraId="56874812">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组件支撑服务。通过组件治理，提升组件健康度与安全性，持续挖掘解耦新组件，对接推广组件应用，有力支撑各领域数字化应用建设。</w:t>
      </w:r>
    </w:p>
    <w:p w14:paraId="2612F314">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物联数据服务。保障滨江区物联网平台的稳定运行，通过采集物联数据资源，统一管理、数据分析，为城市运行决策分析提供保障，有力支撑智慧城市建设。</w:t>
      </w:r>
    </w:p>
    <w:p w14:paraId="739DCEB3">
      <w:pPr>
        <w:pStyle w:val="4"/>
        <w:tabs>
          <w:tab w:val="left" w:pos="-945"/>
          <w:tab w:val="left" w:pos="0"/>
          <w:tab w:val="clear" w:pos="900"/>
        </w:tabs>
        <w:spacing w:before="0" w:after="0"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三、建设内容</w:t>
      </w:r>
    </w:p>
    <w:p w14:paraId="1299048D">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（一）数据资源服务</w:t>
      </w:r>
    </w:p>
    <w:p w14:paraId="30164387">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数据资源服务，涉及数据目录服务、数据归集服务、数据治理服务、数据共享服务、专题数据上架服务、数据标准配置服务、数据产品服务、数据安全支撑服务、保障服务等工作内容。</w:t>
      </w:r>
    </w:p>
    <w:p w14:paraId="6B150257">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1.数据目录服务，包括运维保障存量数据目录、新增数据目录、变更数据目录、回流目录、开放数据目录、目录与事项关联等服务内容。</w:t>
      </w:r>
    </w:p>
    <w:p w14:paraId="20611F82">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2.数据归集服务，包括数据归集任务（含部门政务数据、回流数据、开放数据、日志数据）、归集变更、归集巡检、归集指南维护等服务内容。</w:t>
      </w:r>
    </w:p>
    <w:p w14:paraId="16772B11">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3.数据治理服务，包括输出一部门一报告、归集数据质量报告，开展回流数据治理、开放数据治理、IRS数据质量工单服务等服务内容。</w:t>
      </w:r>
    </w:p>
    <w:p w14:paraId="7AD89EF4">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4.数据共享服务，包括数据接口共享、批量数据共享等服务内容。</w:t>
      </w:r>
    </w:p>
    <w:p w14:paraId="6C8E5259">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5.专题数据上架服务，包括专题数据上架服务等服务内容。</w:t>
      </w:r>
    </w:p>
    <w:p w14:paraId="2B17A2F2">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6.数据标准配置服务，包括数据标准更新等服务内容。</w:t>
      </w:r>
    </w:p>
    <w:p w14:paraId="7926467A">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7.数据产品服务，包括数据产品要求梳理、工作素材收集筛选、数据产品框架梳理、数据工作案例提炼等服务内容。</w:t>
      </w:r>
    </w:p>
    <w:p w14:paraId="190CE82A">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8数据安全支撑服务，包括数据分级分类审核指导、数据权限管控实施、数据脱敏审核、数据脱敏实施等服务内容。</w:t>
      </w:r>
    </w:p>
    <w:p w14:paraId="2303572D">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9.保障服务，包括应用运行指标、应用试运行支撑等服务内容。</w:t>
      </w:r>
    </w:p>
    <w:p w14:paraId="08CD411C">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（二）组件支撑服务</w:t>
      </w:r>
    </w:p>
    <w:p w14:paraId="0A80B24D">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应用支撑能力提升服务，涉及组件治理服务、组件建设服务、组件使用推广服务等工作内容。</w:t>
      </w:r>
    </w:p>
    <w:p w14:paraId="5713E4EF">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1.组件治理服务，包括组件健康度治理、组件被调用量治理、应用组件使用量治理、统一组件“应用尽用”率治理、组件安全治理等服务内容。</w:t>
      </w:r>
    </w:p>
    <w:p w14:paraId="6A378AAF">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2.组件建设服务，包括组件挖掘解耦、组件上架支持等服务内容。</w:t>
      </w:r>
    </w:p>
    <w:p w14:paraId="5B0B794F">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3.组件使用推广服务，包括组件使用对接、组件资源释放对接、试运行应用组件使用监测等服务内容。</w:t>
      </w:r>
    </w:p>
    <w:p w14:paraId="49328413">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（三）物联数据服务</w:t>
      </w:r>
    </w:p>
    <w:p w14:paraId="48E0812E">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物联数据服务，涉及物联网平台运维服务、物联设备数据服务等工作内容。</w:t>
      </w:r>
    </w:p>
    <w:p w14:paraId="241BC3A9">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1.物联网平台运维服务，包括系统服务器巡检、系统软件平台巡检、系统平台日常监控及重大时刻保障、系统故障处理、系统安全提升、系统性能优化、系统平台升级等服务内容。</w:t>
      </w:r>
    </w:p>
    <w:p w14:paraId="05D495DA">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2.物联设备数据服务，包括数据备份、数据服务等服务内容。</w:t>
      </w:r>
    </w:p>
    <w:p w14:paraId="5F5DD48B">
      <w:pPr>
        <w:pStyle w:val="4"/>
        <w:tabs>
          <w:tab w:val="left" w:pos="-945"/>
          <w:tab w:val="left" w:pos="0"/>
          <w:tab w:val="clear" w:pos="90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四、工作清单</w:t>
      </w:r>
    </w:p>
    <w:tbl>
      <w:tblPr>
        <w:tblStyle w:val="62"/>
        <w:tblW w:w="5770" w:type="pct"/>
        <w:jc w:val="center"/>
        <w:tblLayout w:type="autofit"/>
        <w:tblCellMar>
          <w:top w:w="0" w:type="dxa"/>
          <w:left w:w="108" w:type="dxa"/>
          <w:bottom w:w="0" w:type="dxa"/>
          <w:right w:w="108" w:type="dxa"/>
        </w:tblCellMar>
      </w:tblPr>
      <w:tblGrid>
        <w:gridCol w:w="739"/>
        <w:gridCol w:w="1045"/>
        <w:gridCol w:w="1917"/>
        <w:gridCol w:w="6102"/>
      </w:tblGrid>
      <w:tr w14:paraId="71E11D31">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2970738">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533" w:type="pct"/>
            <w:tcBorders>
              <w:top w:val="single" w:color="000000" w:sz="4" w:space="0"/>
              <w:left w:val="single" w:color="000000" w:sz="4" w:space="0"/>
              <w:bottom w:val="single" w:color="000000" w:sz="4" w:space="0"/>
              <w:right w:val="single" w:color="000000" w:sz="4" w:space="0"/>
            </w:tcBorders>
            <w:vAlign w:val="center"/>
          </w:tcPr>
          <w:p w14:paraId="7E56D4C9">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服务项</w:t>
            </w:r>
          </w:p>
        </w:tc>
        <w:tc>
          <w:tcPr>
            <w:tcW w:w="978" w:type="pct"/>
            <w:tcBorders>
              <w:top w:val="single" w:color="000000" w:sz="4" w:space="0"/>
              <w:left w:val="single" w:color="000000" w:sz="4" w:space="0"/>
              <w:bottom w:val="single" w:color="000000" w:sz="4" w:space="0"/>
              <w:right w:val="single" w:color="000000" w:sz="4" w:space="0"/>
            </w:tcBorders>
            <w:vAlign w:val="center"/>
          </w:tcPr>
          <w:p w14:paraId="0CD431EB">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服务子项</w:t>
            </w:r>
          </w:p>
        </w:tc>
        <w:tc>
          <w:tcPr>
            <w:tcW w:w="3110" w:type="pct"/>
            <w:tcBorders>
              <w:top w:val="single" w:color="000000" w:sz="4" w:space="0"/>
              <w:left w:val="single" w:color="000000" w:sz="4" w:space="0"/>
              <w:bottom w:val="single" w:color="000000" w:sz="4" w:space="0"/>
              <w:right w:val="single" w:color="000000" w:sz="4" w:space="0"/>
            </w:tcBorders>
            <w:vAlign w:val="center"/>
          </w:tcPr>
          <w:p w14:paraId="48757500">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详细描述</w:t>
            </w:r>
          </w:p>
        </w:tc>
      </w:tr>
      <w:tr w14:paraId="7E216188">
        <w:tblPrEx>
          <w:tblCellMar>
            <w:top w:w="0" w:type="dxa"/>
            <w:left w:w="108" w:type="dxa"/>
            <w:bottom w:w="0" w:type="dxa"/>
            <w:right w:w="108" w:type="dxa"/>
          </w:tblCellMar>
        </w:tblPrEx>
        <w:trPr>
          <w:trHeight w:val="35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45B24F13">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数据资源服务</w:t>
            </w:r>
          </w:p>
        </w:tc>
      </w:tr>
      <w:tr w14:paraId="7958B052">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48C2DF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163A06E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数据目录服务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5975A582">
            <w:pPr>
              <w:widowControl/>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数据目录运维-存量数据目录</w:t>
            </w:r>
          </w:p>
        </w:tc>
        <w:tc>
          <w:tcPr>
            <w:tcW w:w="3110" w:type="pct"/>
            <w:tcBorders>
              <w:top w:val="single" w:color="000000" w:sz="4" w:space="0"/>
              <w:left w:val="single" w:color="000000" w:sz="4" w:space="0"/>
              <w:bottom w:val="single" w:color="000000" w:sz="4" w:space="0"/>
              <w:right w:val="single" w:color="000000" w:sz="4" w:space="0"/>
            </w:tcBorders>
            <w:vAlign w:val="center"/>
          </w:tcPr>
          <w:p w14:paraId="484E7D36">
            <w:pPr>
              <w:widowControl/>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历史目录动态化管理。针对存量数据目录由于业务调整、系统停用等情形，涉及关联数据目录调整的情况，配合区级数源部门开展包括历史目录的修改、替换、注销等，重点配合做好相关数据目录信息的替换、注销工作。</w:t>
            </w:r>
          </w:p>
        </w:tc>
      </w:tr>
      <w:tr w14:paraId="3C93D927">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73B7D0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519948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23524E9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数据目录运维-新增数据目录</w:t>
            </w:r>
          </w:p>
        </w:tc>
        <w:tc>
          <w:tcPr>
            <w:tcW w:w="3110" w:type="pct"/>
            <w:tcBorders>
              <w:top w:val="single" w:color="000000" w:sz="4" w:space="0"/>
              <w:left w:val="single" w:color="000000" w:sz="4" w:space="0"/>
              <w:bottom w:val="single" w:color="000000" w:sz="4" w:space="0"/>
              <w:right w:val="single" w:color="000000" w:sz="4" w:space="0"/>
            </w:tcBorders>
            <w:vAlign w:val="center"/>
          </w:tcPr>
          <w:p w14:paraId="3EA4D77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新增数据目录编制指导。支撑年度新增数据目录进行要素规范性核验。包括1年内新增数据目录审核，完成省市同步工作，形成数据目录质量检测整改情况表，下发部门进行目录整改、复核。</w:t>
            </w:r>
          </w:p>
        </w:tc>
      </w:tr>
      <w:tr w14:paraId="7A7C97F5">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96B4F4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4EED3E2">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23324852">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数据目录运维-变更数据目录</w:t>
            </w:r>
          </w:p>
        </w:tc>
        <w:tc>
          <w:tcPr>
            <w:tcW w:w="3110" w:type="pct"/>
            <w:tcBorders>
              <w:top w:val="single" w:color="000000" w:sz="4" w:space="0"/>
              <w:left w:val="single" w:color="000000" w:sz="4" w:space="0"/>
              <w:bottom w:val="single" w:color="000000" w:sz="4" w:space="0"/>
              <w:right w:val="single" w:color="000000" w:sz="4" w:space="0"/>
            </w:tcBorders>
            <w:vAlign w:val="center"/>
          </w:tcPr>
          <w:p w14:paraId="27FC5C6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支撑全区范围内各部门应用的公共数据目录变更后重新编制工作。具体包括变更数据目录审核，完成省市重新同步，按照应用形成数据目录质量检测整改情况表，下发部门进行目录整改、复核。</w:t>
            </w:r>
          </w:p>
        </w:tc>
      </w:tr>
      <w:tr w14:paraId="761549E7">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B4A893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701D1AE">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2F9D538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数据目录运维-回流目录</w:t>
            </w:r>
          </w:p>
        </w:tc>
        <w:tc>
          <w:tcPr>
            <w:tcW w:w="3110" w:type="pct"/>
            <w:tcBorders>
              <w:top w:val="single" w:color="000000" w:sz="4" w:space="0"/>
              <w:left w:val="single" w:color="000000" w:sz="4" w:space="0"/>
              <w:bottom w:val="single" w:color="000000" w:sz="4" w:space="0"/>
              <w:right w:val="single" w:color="000000" w:sz="4" w:space="0"/>
            </w:tcBorders>
            <w:vAlign w:val="center"/>
          </w:tcPr>
          <w:p w14:paraId="75A2772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回流数据目录分发与跟进。提供省级、市级回流数据目录的统一集中处理工作，基于省IRS系统与杭州市数据目录系统，规范开展回流数据目录分发工作，完成回流数据异常整改，持续跟进回流目录处理环节上的难点。</w:t>
            </w:r>
          </w:p>
        </w:tc>
      </w:tr>
      <w:tr w14:paraId="127ED7BA">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D9F0FE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5E1292A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79B2DD79">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6BA72F2D">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回流数据目录编制指导。按照省级回流数据目录编制规范，提供回流数据目录编制业务支持，配合对提交的回流数据目录编制规范性进行确认，不符合要求的及时整改。</w:t>
            </w:r>
          </w:p>
        </w:tc>
      </w:tr>
      <w:tr w14:paraId="4DE4BB8E">
        <w:tblPrEx>
          <w:tblCellMar>
            <w:top w:w="0" w:type="dxa"/>
            <w:left w:w="108" w:type="dxa"/>
            <w:bottom w:w="0" w:type="dxa"/>
            <w:right w:w="108" w:type="dxa"/>
          </w:tblCellMar>
        </w:tblPrEx>
        <w:trPr>
          <w:trHeight w:val="14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662E0D0">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0E8C54F">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1E8A9AE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数据目录运维-开放数据目录</w:t>
            </w:r>
          </w:p>
        </w:tc>
        <w:tc>
          <w:tcPr>
            <w:tcW w:w="3110" w:type="pct"/>
            <w:tcBorders>
              <w:top w:val="single" w:color="000000" w:sz="4" w:space="0"/>
              <w:left w:val="single" w:color="000000" w:sz="4" w:space="0"/>
              <w:bottom w:val="single" w:color="000000" w:sz="4" w:space="0"/>
              <w:right w:val="single" w:color="000000" w:sz="4" w:space="0"/>
            </w:tcBorders>
            <w:vAlign w:val="center"/>
          </w:tcPr>
          <w:p w14:paraId="40A3706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放数据目录编制指导。按照省、市数据开放工作要求，配合落实滨江本地可开放数据的梳理，并完成开放数据目录编制指导与确认工作。过程中，配合部门做好开放数据目录动态维护、更新工作，包括更新周期、目录名称、数据项、资源格式、开放属性、开放条件等要素。</w:t>
            </w:r>
          </w:p>
        </w:tc>
      </w:tr>
      <w:tr w14:paraId="2C2AE0E3">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DB9197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A604972">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76B548E0">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数据目录运维-依申请事项关联服务</w:t>
            </w:r>
          </w:p>
        </w:tc>
        <w:tc>
          <w:tcPr>
            <w:tcW w:w="3110" w:type="pct"/>
            <w:tcBorders>
              <w:top w:val="single" w:color="000000" w:sz="4" w:space="0"/>
              <w:left w:val="single" w:color="000000" w:sz="4" w:space="0"/>
              <w:bottom w:val="single" w:color="000000" w:sz="4" w:space="0"/>
              <w:right w:val="single" w:color="000000" w:sz="4" w:space="0"/>
            </w:tcBorders>
            <w:vAlign w:val="center"/>
          </w:tcPr>
          <w:p w14:paraId="460E468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全区范围内数据目录关联政务服务依申请事项的质量审核开展常态化工作。具体包含确认依申请事项归属合理性、关联对应数据目录，实现数据目录覆盖依申请事项服务事项程度达100%，并形成数据目录关联整改情况表。</w:t>
            </w:r>
          </w:p>
        </w:tc>
      </w:tr>
      <w:tr w14:paraId="70CC5448">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5E592A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57C7662">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4B2AEAA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数据目录运维-公共服务事项关联服务</w:t>
            </w:r>
          </w:p>
        </w:tc>
        <w:tc>
          <w:tcPr>
            <w:tcW w:w="3110" w:type="pct"/>
            <w:tcBorders>
              <w:top w:val="single" w:color="000000" w:sz="4" w:space="0"/>
              <w:left w:val="single" w:color="000000" w:sz="4" w:space="0"/>
              <w:bottom w:val="single" w:color="000000" w:sz="4" w:space="0"/>
              <w:right w:val="single" w:color="000000" w:sz="4" w:space="0"/>
            </w:tcBorders>
            <w:vAlign w:val="center"/>
          </w:tcPr>
          <w:p w14:paraId="4EBF950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全区范围内数据目录关联政务服务公共服务事项的质量审核开展常态化工作。具体包含确认公共服务事项归属合理性、关联对应数据目录，实现数据目录覆盖公共服务事项程度达65%，并形成数据目录关联整改情况表。</w:t>
            </w:r>
          </w:p>
        </w:tc>
      </w:tr>
      <w:tr w14:paraId="7FBC19A9">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CF2B0C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3B40ECE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数据归集服务</w:t>
            </w: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79B3D90E">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归集任务-部门政务数据</w:t>
            </w:r>
          </w:p>
        </w:tc>
        <w:tc>
          <w:tcPr>
            <w:tcW w:w="3110" w:type="pct"/>
            <w:tcBorders>
              <w:top w:val="single" w:color="000000" w:sz="4" w:space="0"/>
              <w:left w:val="single" w:color="000000" w:sz="4" w:space="0"/>
              <w:bottom w:val="single" w:color="000000" w:sz="4" w:space="0"/>
              <w:right w:val="single" w:color="000000" w:sz="4" w:space="0"/>
            </w:tcBorders>
            <w:vAlign w:val="center"/>
          </w:tcPr>
          <w:p w14:paraId="2A62352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支撑区内各部门应用持续开展"全量全要素"数据归集工作，对归集技术操作提供指导，包含归集路径确认、数源对接和网络保障、归集实施进度监督等。</w:t>
            </w:r>
          </w:p>
        </w:tc>
      </w:tr>
      <w:tr w14:paraId="02BEFA1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5C9F5DD">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38B347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5E3BEB20">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5B58849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数据入库。支撑服务期内各部门应用归集数据入库工作，接入数据源数据信息，包含前置库账号配置、根据归集内容进行建表、检测数据入库状态等。</w:t>
            </w:r>
          </w:p>
        </w:tc>
      </w:tr>
      <w:tr w14:paraId="3EFC04DA">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089D3E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B968C7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76A5F3D1">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005237B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数据挂载。支撑服务期内各部门应用归集数据挂载至区共享交换平台工作，实现部门应用在IRS申请批量数据资源后的自动化同步至共享库。</w:t>
            </w:r>
          </w:p>
        </w:tc>
      </w:tr>
      <w:tr w14:paraId="1FCFD669">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8CF906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91BB2A9">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6375E3CC">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5E90646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数据备份。支撑服务期1年内各部门应用归集数据的数据备份工作，防止出现数据丢失、前置归集库故障等情况，要求数据备份至区核心MPP数据库中。</w:t>
            </w:r>
          </w:p>
        </w:tc>
      </w:tr>
      <w:tr w14:paraId="0018981B">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CC6437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F66AF74">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34647E8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0251043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数据清单维护。维护政务公共数据资源归集清单，针对应用变更、下架等情况及时更新清单内容，按月度输出政务公共数据资源清单，服务期内不少于12份。</w:t>
            </w:r>
          </w:p>
        </w:tc>
      </w:tr>
      <w:tr w14:paraId="1ADB4761">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582D920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34F6DB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3ABECAA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归集任务-回流数据</w:t>
            </w:r>
          </w:p>
        </w:tc>
        <w:tc>
          <w:tcPr>
            <w:tcW w:w="3110" w:type="pct"/>
            <w:tcBorders>
              <w:top w:val="single" w:color="000000" w:sz="4" w:space="0"/>
              <w:left w:val="single" w:color="000000" w:sz="4" w:space="0"/>
              <w:bottom w:val="single" w:color="000000" w:sz="4" w:space="0"/>
              <w:right w:val="single" w:color="000000" w:sz="4" w:space="0"/>
            </w:tcBorders>
            <w:vAlign w:val="center"/>
          </w:tcPr>
          <w:p w14:paraId="1FD3204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回流数据申请。支撑各部门应用场景数据需求，开展省市回流数据归集工作，确认回流数据需求工单，支撑发起回流申请流程，并维护申请记录。</w:t>
            </w:r>
          </w:p>
        </w:tc>
      </w:tr>
      <w:tr w14:paraId="196154FB">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E4A119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1EBF3A9">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0538ED28">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57CBC5A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回流数据调度。依据市回流数据操作流程，在市公共数据平台分配的滨江区ODPS空间进行回流数据的调度任务配置，并维护调度任务清单。</w:t>
            </w:r>
          </w:p>
        </w:tc>
      </w:tr>
      <w:tr w14:paraId="47C11506">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C971167">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CC5160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3B6471D4">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61510D0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回流数据挂载。将回流数据推送至滨江区回流数据仓，挂载至区共享交换平台，用于实现部门应用在IRS申请回流数据后的自动化同步至共享库。</w:t>
            </w:r>
          </w:p>
        </w:tc>
      </w:tr>
      <w:tr w14:paraId="74C9AD87">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5A2208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17</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BD7D795">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549E4075">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69602D7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回流数据清单维护。维护省市回流数据资源清单，针对省市资源信息变更、下架等情况及时更新清单内容，按月度输出回流数据资源清单，服务期内不少于12份。</w:t>
            </w:r>
          </w:p>
        </w:tc>
      </w:tr>
      <w:tr w14:paraId="5AD190BE">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E5FCBAD">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CD2B9FC">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5DAAF36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归集任务-开放数据</w:t>
            </w:r>
          </w:p>
        </w:tc>
        <w:tc>
          <w:tcPr>
            <w:tcW w:w="3110" w:type="pct"/>
            <w:tcBorders>
              <w:top w:val="single" w:color="000000" w:sz="4" w:space="0"/>
              <w:left w:val="single" w:color="000000" w:sz="4" w:space="0"/>
              <w:bottom w:val="single" w:color="000000" w:sz="4" w:space="0"/>
              <w:right w:val="single" w:color="000000" w:sz="4" w:space="0"/>
            </w:tcBorders>
            <w:vAlign w:val="center"/>
          </w:tcPr>
          <w:p w14:paraId="1B87898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开放数据入库。支撑区内公共开放数据需求，对接各部门应用开放数据资源，支撑在前置库中创建开放数据表单工作。</w:t>
            </w:r>
          </w:p>
        </w:tc>
      </w:tr>
      <w:tr w14:paraId="0A3B3A31">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78D8C37">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995B2AF">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7EAAAD1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0B86C35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开放数据挂载。将开放数据资源挂载至区共享交换平台，并根据市对开放数据对接方案，将开放数据同步推送至市RDS数据仓。</w:t>
            </w:r>
          </w:p>
        </w:tc>
      </w:tr>
      <w:tr w14:paraId="7D74CC38">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03A300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BADA360">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4C881D7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5F51747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开放数据备份。将开放数据进行备份，防止出现数据丢失、前置归集库故障等情况，要求数据备份至区核心MPP数据库中</w:t>
            </w:r>
            <w:r>
              <w:rPr>
                <w:rFonts w:ascii="宋体" w:hAnsi="宋体" w:cs="宋体"/>
                <w:color w:val="000000" w:themeColor="text1"/>
                <w:kern w:val="0"/>
                <w:sz w:val="24"/>
                <w:highlight w:val="none"/>
                <w14:textFill>
                  <w14:solidFill>
                    <w14:schemeClr w14:val="tx1"/>
                  </w14:solidFill>
                </w14:textFill>
              </w:rPr>
              <w:t>。</w:t>
            </w:r>
          </w:p>
        </w:tc>
      </w:tr>
      <w:tr w14:paraId="2405D4AC">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5A577D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245C3F1A">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2997E971">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1E26321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开放数据资源清单维护。维护开放数据资源清单，针对开放数据资源信息变更情况及时更新清单内容，按月度输出开放数据资源清单，服务期内不少于12份。</w:t>
            </w:r>
          </w:p>
        </w:tc>
      </w:tr>
      <w:tr w14:paraId="2107F5FE">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1B6483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E549599">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4A68909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归集任务-日志归集</w:t>
            </w:r>
          </w:p>
        </w:tc>
        <w:tc>
          <w:tcPr>
            <w:tcW w:w="3110" w:type="pct"/>
            <w:tcBorders>
              <w:top w:val="single" w:color="000000" w:sz="4" w:space="0"/>
              <w:left w:val="single" w:color="000000" w:sz="4" w:space="0"/>
              <w:bottom w:val="single" w:color="000000" w:sz="4" w:space="0"/>
              <w:right w:val="single" w:color="000000" w:sz="4" w:space="0"/>
            </w:tcBorders>
            <w:vAlign w:val="center"/>
          </w:tcPr>
          <w:p w14:paraId="282E74F4">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日志归集指导。根据政务应用系统绩效评价工作要求，支撑区内应用系统日志归集技术路径指导服务，包含网络对接指导、日志整改指导、日志推送异常指导等。</w:t>
            </w:r>
          </w:p>
        </w:tc>
      </w:tr>
      <w:tr w14:paraId="260E608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198E95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23FF75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642DA26B">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232E5D1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日志数据入库。提供应用日志归集入前置机数据库服务，要求在前置机日志库中创建应用日志表单，监测日志数据入库状态，及时处理故障问题。</w:t>
            </w:r>
          </w:p>
        </w:tc>
      </w:tr>
      <w:tr w14:paraId="44D46F72">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B11B3C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A87D888">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3104275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446DFEE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日志数据挂载。将应用日志数据资源挂载至区共享交换平台，并根据市应用日志数据对接方案，将日志数据同步推送至市级滨江区ODPS空间。</w:t>
            </w:r>
          </w:p>
        </w:tc>
      </w:tr>
      <w:tr w14:paraId="671D64AC">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6DCB54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201956AD">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44342F38">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71AC115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推送评价系统。对接市信息化项目全流程管理系统，维护日志数据申请记录，并保障数据推送至应用评价系统进行评价。</w:t>
            </w:r>
          </w:p>
        </w:tc>
      </w:tr>
      <w:tr w14:paraId="0C6D2C0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DA1E68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00B8B4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1853125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归集变更</w:t>
            </w:r>
          </w:p>
        </w:tc>
        <w:tc>
          <w:tcPr>
            <w:tcW w:w="3110" w:type="pct"/>
            <w:tcBorders>
              <w:top w:val="single" w:color="000000" w:sz="4" w:space="0"/>
              <w:left w:val="single" w:color="000000" w:sz="4" w:space="0"/>
              <w:bottom w:val="single" w:color="000000" w:sz="4" w:space="0"/>
              <w:right w:val="single" w:color="000000" w:sz="4" w:space="0"/>
            </w:tcBorders>
            <w:vAlign w:val="center"/>
          </w:tcPr>
          <w:p w14:paraId="452A7A2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针对目录变更情况，对已归集数据资源及时处理，具体包括：根据目录变更信息支撑部门重新归集数据信息、重新备份数据资源等。</w:t>
            </w:r>
          </w:p>
        </w:tc>
      </w:tr>
      <w:tr w14:paraId="0A07C0C3">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7D20D7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27</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F24BBB2">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5D622E9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归集巡检</w:t>
            </w:r>
          </w:p>
        </w:tc>
        <w:tc>
          <w:tcPr>
            <w:tcW w:w="3110" w:type="pct"/>
            <w:tcBorders>
              <w:top w:val="single" w:color="000000" w:sz="4" w:space="0"/>
              <w:left w:val="single" w:color="000000" w:sz="4" w:space="0"/>
              <w:bottom w:val="single" w:color="000000" w:sz="4" w:space="0"/>
              <w:right w:val="single" w:color="000000" w:sz="4" w:space="0"/>
            </w:tcBorders>
            <w:vAlign w:val="center"/>
          </w:tcPr>
          <w:p w14:paraId="1E0B1FC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对区一体化共享交换平台归集任务运行状态进行巡检，保障数据接入及时&amp;稳定，核查上报IRS的数据归集状态，归集任务问题及时处理，保障数据归集的准确性。</w:t>
            </w:r>
          </w:p>
        </w:tc>
      </w:tr>
      <w:tr w14:paraId="1E02E8F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33AC73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28</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2CF9021">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70443DC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17D7E9C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对市级滨江区ODPS空间数据调度任务进行巡检，核查回流数据更新、回流切分准确性、历史回流任务清理等工作。</w:t>
            </w:r>
          </w:p>
        </w:tc>
      </w:tr>
      <w:tr w14:paraId="186A15A0">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792356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899A712">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2F1C4170">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归集指南维护</w:t>
            </w:r>
          </w:p>
        </w:tc>
        <w:tc>
          <w:tcPr>
            <w:tcW w:w="3110" w:type="pct"/>
            <w:tcBorders>
              <w:top w:val="single" w:color="000000" w:sz="4" w:space="0"/>
              <w:left w:val="single" w:color="000000" w:sz="4" w:space="0"/>
              <w:bottom w:val="single" w:color="000000" w:sz="4" w:space="0"/>
              <w:right w:val="single" w:color="000000" w:sz="4" w:space="0"/>
            </w:tcBorders>
            <w:vAlign w:val="center"/>
          </w:tcPr>
          <w:p w14:paraId="36A5042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基于省市最新工作要求和公共数据平台功能迭代，更新操作手册与《公共数据归集工作指南》。</w:t>
            </w:r>
          </w:p>
        </w:tc>
      </w:tr>
      <w:tr w14:paraId="79434FB8">
        <w:tblPrEx>
          <w:tblCellMar>
            <w:top w:w="0" w:type="dxa"/>
            <w:left w:w="108" w:type="dxa"/>
            <w:bottom w:w="0" w:type="dxa"/>
            <w:right w:w="108" w:type="dxa"/>
          </w:tblCellMar>
        </w:tblPrEx>
        <w:trPr>
          <w:trHeight w:val="14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D3313C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0E29397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数据治理服务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6A7ED2C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一部门一报告</w:t>
            </w:r>
          </w:p>
        </w:tc>
        <w:tc>
          <w:tcPr>
            <w:tcW w:w="3110" w:type="pct"/>
            <w:tcBorders>
              <w:top w:val="single" w:color="000000" w:sz="4" w:space="0"/>
              <w:left w:val="single" w:color="000000" w:sz="4" w:space="0"/>
              <w:bottom w:val="single" w:color="000000" w:sz="4" w:space="0"/>
              <w:right w:val="single" w:color="000000" w:sz="4" w:space="0"/>
            </w:tcBorders>
            <w:vAlign w:val="center"/>
          </w:tcPr>
          <w:p w14:paraId="635E82E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核查在IRS系统及区级一体化智能化公共数据平台上所有数据资源，进行数据核验，包括信息资源名称、信息资源摘要、更新频率、数据分级等目录基本信息”，根据核验结果按月度输出“一部门一报告”，服务期内输出报告不低于360份，全面保障数据目录的准确无误与高质量呈现。</w:t>
            </w:r>
          </w:p>
        </w:tc>
      </w:tr>
      <w:tr w14:paraId="34267A4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AA647EE">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6441B2F">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5831BBB2">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归集数据质量报告</w:t>
            </w:r>
          </w:p>
        </w:tc>
        <w:tc>
          <w:tcPr>
            <w:tcW w:w="3110" w:type="pct"/>
            <w:tcBorders>
              <w:top w:val="single" w:color="000000" w:sz="4" w:space="0"/>
              <w:left w:val="single" w:color="000000" w:sz="4" w:space="0"/>
              <w:bottom w:val="single" w:color="000000" w:sz="4" w:space="0"/>
              <w:right w:val="single" w:color="000000" w:sz="4" w:space="0"/>
            </w:tcBorders>
            <w:vAlign w:val="center"/>
          </w:tcPr>
          <w:p w14:paraId="14FAB31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根据区内新增、变更的数据目录信息，开展数据质量检测，及时下发各数源部门整改，跟进整改进度，从应用维度输出数据质量核验报告。</w:t>
            </w:r>
          </w:p>
        </w:tc>
      </w:tr>
      <w:tr w14:paraId="69B7AD64">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B1C973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8A14C7B">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0CA7419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回流数据治理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732887C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对回流数据资源开展数据治理工作，具体包含敏感信息的脱敏、加密、数据的更新状态、数据量异常等，数据问题及时上报，跟进处理进度。</w:t>
            </w:r>
          </w:p>
        </w:tc>
      </w:tr>
      <w:tr w14:paraId="5CCDC1C9">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4408F4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26F397F9">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2F06620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开放数据治理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5011B6E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开放数据资源开展数据治理工作，具体包含敏感信息的脱敏、空置率的整改、数据的及时更新、数据易读性等，并根据根据杭州市数据开放平台数据质量问题报告配合协调统筹各环节开放数据整改、开放数据动态维护。</w:t>
            </w:r>
          </w:p>
        </w:tc>
      </w:tr>
      <w:tr w14:paraId="5CDEA895">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8E629E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043FABE8">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50B3E927">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IRS数据质量工单服务</w:t>
            </w:r>
          </w:p>
        </w:tc>
        <w:tc>
          <w:tcPr>
            <w:tcW w:w="3110" w:type="pct"/>
            <w:tcBorders>
              <w:top w:val="single" w:color="000000" w:sz="4" w:space="0"/>
              <w:left w:val="single" w:color="000000" w:sz="4" w:space="0"/>
              <w:bottom w:val="single" w:color="000000" w:sz="4" w:space="0"/>
              <w:right w:val="single" w:color="000000" w:sz="4" w:space="0"/>
            </w:tcBorders>
            <w:vAlign w:val="center"/>
          </w:tcPr>
          <w:p w14:paraId="2009CE0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数据质量工单问题定位。对流转到滨江区的数据质量工单，联系工单提交单位沟通确认问题，根据数据来源排查数据归集链路、回流链路，完成工单问题的初步定位，并转派到责任部门或省市级公共数据平台。</w:t>
            </w:r>
          </w:p>
        </w:tc>
      </w:tr>
      <w:tr w14:paraId="58EF80D2">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2EC71E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DCF7074">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64AF247D">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27064B1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数据质量工单转派跟踪。跟踪流转到区本级数源单位或省市级公共数据平台的工单进度，联系区本级数源单位或省市级公共数据平台相关技术人员沟通协调工单处理直至完结。</w:t>
            </w:r>
          </w:p>
        </w:tc>
      </w:tr>
      <w:tr w14:paraId="3B7A97DB">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1761D3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5DC4C78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292FE32E">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65A5CFC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数据质量工单统计分析。按月度、年度汇总质量工单信息，定义问题类别，形成质量工单状态跟踪一览表，作为数据质量提升规范制定的数据支撑。</w:t>
            </w:r>
          </w:p>
        </w:tc>
      </w:tr>
      <w:tr w14:paraId="270E804D">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6AB12A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45250E9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数据共享服务</w:t>
            </w: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3454BEE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数据接口共享</w:t>
            </w:r>
          </w:p>
        </w:tc>
        <w:tc>
          <w:tcPr>
            <w:tcW w:w="3110" w:type="pct"/>
            <w:tcBorders>
              <w:top w:val="single" w:color="000000" w:sz="4" w:space="0"/>
              <w:left w:val="single" w:color="000000" w:sz="4" w:space="0"/>
              <w:bottom w:val="single" w:color="000000" w:sz="4" w:space="0"/>
              <w:right w:val="single" w:color="000000" w:sz="4" w:space="0"/>
            </w:tcBorders>
            <w:vAlign w:val="center"/>
          </w:tcPr>
          <w:p w14:paraId="454952A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接口对接管理。对接数据使用单位，梳理接口使用需求，为数源单位接口注册、接口编目和接口管理提供支撑。</w:t>
            </w:r>
          </w:p>
        </w:tc>
      </w:tr>
      <w:tr w14:paraId="6FDEBF0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D926A1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38</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254F08B8">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14ED523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1BD239C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接口开发编目。按需求进行共享库自定义SQL接口开发和接口编目，实现不少于20个共享接口。</w:t>
            </w:r>
          </w:p>
        </w:tc>
      </w:tr>
      <w:tr w14:paraId="72C346E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54DDF2C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562E16F">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012BBEF9">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2A41249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接口上报检查。定期检查省统一网关接口元数据上报和IRS上架接口一致性，问题分析和处理，包含接口注销、接口变更等情况处理。</w:t>
            </w:r>
          </w:p>
        </w:tc>
      </w:tr>
      <w:tr w14:paraId="3748FDDB">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0774CE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40</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26ED3EDE">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12B6EF9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43A1EF3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接口规范性巡检。基于网关上报日志分析接口被调用情况，检查是否存在IRS未申请的应用调用了数据网关接口。</w:t>
            </w:r>
          </w:p>
        </w:tc>
      </w:tr>
      <w:tr w14:paraId="4268B6B7">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4C9BB4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D47171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3357D2B1">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20D4833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定期开展接口清理。对申请接口后无调用量的应用，推进接口资源的释放。</w:t>
            </w:r>
          </w:p>
        </w:tc>
      </w:tr>
      <w:tr w14:paraId="5DD07E1B">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5FE003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508C8FEA">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2A153D8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08243CF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共享接口运维。开展共享接口数据资源自动授权、释放、升降配等日常运维工作。</w:t>
            </w:r>
          </w:p>
        </w:tc>
      </w:tr>
      <w:tr w14:paraId="6B3A810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CA88DF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6336C15">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22E8B0FB">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05E5B70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接口流程改造。根据浙江省公共数据平台共享接口调用过程的规范性要求，区一体化平台对重点敏感数据接口调用适配实名改造，保障数据接口的正常调用</w:t>
            </w:r>
          </w:p>
        </w:tc>
      </w:tr>
      <w:tr w14:paraId="388DE572">
        <w:tblPrEx>
          <w:tblCellMar>
            <w:top w:w="0" w:type="dxa"/>
            <w:left w:w="108" w:type="dxa"/>
            <w:bottom w:w="0" w:type="dxa"/>
            <w:right w:w="108" w:type="dxa"/>
          </w:tblCellMar>
        </w:tblPrEx>
        <w:trPr>
          <w:trHeight w:val="14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62491DD">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0CD8BA1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6139668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批量数据共享</w:t>
            </w:r>
          </w:p>
        </w:tc>
        <w:tc>
          <w:tcPr>
            <w:tcW w:w="3110" w:type="pct"/>
            <w:tcBorders>
              <w:top w:val="single" w:color="000000" w:sz="4" w:space="0"/>
              <w:left w:val="single" w:color="000000" w:sz="4" w:space="0"/>
              <w:bottom w:val="single" w:color="000000" w:sz="4" w:space="0"/>
              <w:right w:val="single" w:color="000000" w:sz="4" w:space="0"/>
            </w:tcBorders>
            <w:vAlign w:val="center"/>
          </w:tcPr>
          <w:p w14:paraId="34F408B4">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批量数据对接管理。对接数据使用单位，根据IRS批量数据共享规范要求，规范数据共享申请人、申请依据、应用场景等，支撑区内各部门批量数据共享服务，实现区平台批量数据资源自动开通比例达90%以上；对于特殊情况下批量自动开通失败的数据共享实施工单，提供批量数据共享手工实施服务。</w:t>
            </w:r>
          </w:p>
        </w:tc>
      </w:tr>
      <w:tr w14:paraId="0E49ADAD">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5CD91CDD">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5A5F45CF">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78834E64">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2F1E51C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定期开展批量数据使用清理。对申请批量数据后无调用量的应用，推进批量数据资源的释放。</w:t>
            </w:r>
          </w:p>
        </w:tc>
      </w:tr>
      <w:tr w14:paraId="560833CA">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CE9190D">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8B99695">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274A955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0D44615B">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批量数据共享运维。开展批量数据、批量数据导出等数据资源自动授权、释放等日常运维工作。</w:t>
            </w:r>
          </w:p>
        </w:tc>
      </w:tr>
      <w:tr w14:paraId="1B37F6AA">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4F570F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47</w:t>
            </w:r>
          </w:p>
        </w:tc>
        <w:tc>
          <w:tcPr>
            <w:tcW w:w="533" w:type="pct"/>
            <w:tcBorders>
              <w:top w:val="single" w:color="000000" w:sz="4" w:space="0"/>
              <w:left w:val="single" w:color="000000" w:sz="4" w:space="0"/>
              <w:bottom w:val="single" w:color="000000" w:sz="4" w:space="0"/>
              <w:right w:val="single" w:color="000000" w:sz="4" w:space="0"/>
            </w:tcBorders>
            <w:vAlign w:val="center"/>
          </w:tcPr>
          <w:p w14:paraId="72804520">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专题数据上架服务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7AB10482">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专题数据上架服务</w:t>
            </w:r>
          </w:p>
        </w:tc>
        <w:tc>
          <w:tcPr>
            <w:tcW w:w="3110" w:type="pct"/>
            <w:tcBorders>
              <w:top w:val="single" w:color="000000" w:sz="4" w:space="0"/>
              <w:left w:val="single" w:color="000000" w:sz="4" w:space="0"/>
              <w:bottom w:val="single" w:color="000000" w:sz="4" w:space="0"/>
              <w:right w:val="single" w:color="000000" w:sz="4" w:space="0"/>
            </w:tcBorders>
            <w:vAlign w:val="center"/>
          </w:tcPr>
          <w:p w14:paraId="396BE21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梳理区内专题数据资源，将已归集并治理的各部门数据进行维度拓展、字段关联、融合碰撞、关联分析，上架专题数据资源至IRS平台。</w:t>
            </w:r>
          </w:p>
        </w:tc>
      </w:tr>
      <w:tr w14:paraId="010D8BB2">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D587F0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48</w:t>
            </w:r>
          </w:p>
        </w:tc>
        <w:tc>
          <w:tcPr>
            <w:tcW w:w="533" w:type="pct"/>
            <w:tcBorders>
              <w:top w:val="single" w:color="000000" w:sz="4" w:space="0"/>
              <w:left w:val="single" w:color="000000" w:sz="4" w:space="0"/>
              <w:bottom w:val="single" w:color="000000" w:sz="4" w:space="0"/>
              <w:right w:val="single" w:color="000000" w:sz="4" w:space="0"/>
            </w:tcBorders>
            <w:vAlign w:val="center"/>
          </w:tcPr>
          <w:p w14:paraId="4DDF01B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数据标准配置服务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60B1DB5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数据标准更新</w:t>
            </w:r>
          </w:p>
        </w:tc>
        <w:tc>
          <w:tcPr>
            <w:tcW w:w="3110" w:type="pct"/>
            <w:tcBorders>
              <w:top w:val="single" w:color="000000" w:sz="4" w:space="0"/>
              <w:left w:val="single" w:color="000000" w:sz="4" w:space="0"/>
              <w:bottom w:val="single" w:color="000000" w:sz="4" w:space="0"/>
              <w:right w:val="single" w:color="000000" w:sz="4" w:space="0"/>
            </w:tcBorders>
            <w:vAlign w:val="center"/>
          </w:tcPr>
          <w:p w14:paraId="3C99774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根据国家、省、市数据标准体系，对已建设的代码、数据元、数据项、数据集等信息进行更新。</w:t>
            </w:r>
          </w:p>
        </w:tc>
      </w:tr>
      <w:tr w14:paraId="1D0F0518">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03CDA3F">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49</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5BFBFB5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数据产品服务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3B14A23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数据产品要求梳理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0D096E8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贯彻落实关于加快公共数据资源开发利用的意见，按照年度一体化智能化公共数据平台工作要点，结合滨江数据工作处理与管理实际，围绕数据资源、数据流通、融合应用等维度，梳理年度数据产品梳理工作要求。</w:t>
            </w:r>
          </w:p>
        </w:tc>
      </w:tr>
      <w:tr w14:paraId="764D9FF5">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5ADF2D7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0BBAACD">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06CCB6FE">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工作素材收集筛选</w:t>
            </w:r>
          </w:p>
        </w:tc>
        <w:tc>
          <w:tcPr>
            <w:tcW w:w="3110" w:type="pct"/>
            <w:tcBorders>
              <w:top w:val="single" w:color="000000" w:sz="4" w:space="0"/>
              <w:left w:val="single" w:color="000000" w:sz="4" w:space="0"/>
              <w:bottom w:val="single" w:color="000000" w:sz="4" w:space="0"/>
              <w:right w:val="single" w:color="000000" w:sz="4" w:space="0"/>
            </w:tcBorders>
            <w:vAlign w:val="center"/>
          </w:tcPr>
          <w:p w14:paraId="12BDE2ED">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围绕滨江区年度重点数据工作，组织各责任部门与单位提交相关工作素材，按需汇总为工作概述、创新亮点、典型做法、工作成效等信息。汇总过程中针对信息不完善的数据产品案例，有针对性的提出材料完善补充建议。</w:t>
            </w:r>
          </w:p>
        </w:tc>
      </w:tr>
      <w:tr w14:paraId="0104E7FF">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081B00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2D4128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00137A1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数据产品框架梳理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68251FE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按照省、市发布的数据产品案例编制要求，结合滨江区已有数据产品素材，围绕数据应用创新案例、数据产品共享，开展案例框架梳理。</w:t>
            </w:r>
          </w:p>
        </w:tc>
      </w:tr>
      <w:tr w14:paraId="07733B93">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B36C74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C6D181B">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66CC0C0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数据工作案例提炼</w:t>
            </w:r>
          </w:p>
        </w:tc>
        <w:tc>
          <w:tcPr>
            <w:tcW w:w="3110" w:type="pct"/>
            <w:tcBorders>
              <w:top w:val="single" w:color="000000" w:sz="4" w:space="0"/>
              <w:left w:val="single" w:color="000000" w:sz="4" w:space="0"/>
              <w:bottom w:val="single" w:color="000000" w:sz="4" w:space="0"/>
              <w:right w:val="single" w:color="000000" w:sz="4" w:space="0"/>
            </w:tcBorders>
            <w:vAlign w:val="center"/>
          </w:tcPr>
          <w:p w14:paraId="2770088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申报具体需求、提供的相关材料，以及反馈的意见与建议，执行过程中分析提炼已有素材，基于提供的数据产品相关素材，进行深度整合与分析，形成案例申报材料，按需形成Word文本或PPT成果。（完成不少于10份工作案例材料输出）</w:t>
            </w:r>
          </w:p>
        </w:tc>
      </w:tr>
      <w:tr w14:paraId="2EC1D062">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2AAE82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53</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029EBE2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数据安全支撑服务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687D0892">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数据分级分类审核指导</w:t>
            </w:r>
          </w:p>
        </w:tc>
        <w:tc>
          <w:tcPr>
            <w:tcW w:w="3110" w:type="pct"/>
            <w:tcBorders>
              <w:top w:val="single" w:color="000000" w:sz="4" w:space="0"/>
              <w:left w:val="single" w:color="000000" w:sz="4" w:space="0"/>
              <w:bottom w:val="single" w:color="000000" w:sz="4" w:space="0"/>
              <w:right w:val="single" w:color="000000" w:sz="4" w:space="0"/>
            </w:tcBorders>
            <w:vAlign w:val="center"/>
          </w:tcPr>
          <w:p w14:paraId="50B573B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根据省市公共数据安全规范要求，支撑滨江区各级部门对归集数据资源的分类分级，并根据滨江区的数据安全分类分级核查结果，与各级部门进行沟通和督促整改。</w:t>
            </w:r>
          </w:p>
        </w:tc>
      </w:tr>
      <w:tr w14:paraId="72417961">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9FC0FD0">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C8418C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303C60FE">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数据权限管控实施</w:t>
            </w:r>
          </w:p>
        </w:tc>
        <w:tc>
          <w:tcPr>
            <w:tcW w:w="3110" w:type="pct"/>
            <w:tcBorders>
              <w:top w:val="single" w:color="000000" w:sz="4" w:space="0"/>
              <w:left w:val="single" w:color="000000" w:sz="4" w:space="0"/>
              <w:bottom w:val="single" w:color="000000" w:sz="4" w:space="0"/>
              <w:right w:val="single" w:color="000000" w:sz="4" w:space="0"/>
            </w:tcBorders>
            <w:vAlign w:val="center"/>
          </w:tcPr>
          <w:p w14:paraId="5233732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根据省市公共数据安全规范要求，针对各部门应用归集库、共享库实施权限管控，配置安全策略。按月度进行核查数据账号操作状态，服务期内不少于12次服务。</w:t>
            </w:r>
          </w:p>
        </w:tc>
      </w:tr>
      <w:tr w14:paraId="066FC31B">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6F2EB2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07A085E">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6261BE3D">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数据脱敏审核</w:t>
            </w:r>
          </w:p>
        </w:tc>
        <w:tc>
          <w:tcPr>
            <w:tcW w:w="3110" w:type="pct"/>
            <w:tcBorders>
              <w:top w:val="single" w:color="000000" w:sz="4" w:space="0"/>
              <w:left w:val="single" w:color="000000" w:sz="4" w:space="0"/>
              <w:bottom w:val="single" w:color="000000" w:sz="4" w:space="0"/>
              <w:right w:val="single" w:color="000000" w:sz="4" w:space="0"/>
            </w:tcBorders>
            <w:vAlign w:val="center"/>
          </w:tcPr>
          <w:p w14:paraId="556919A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按照省市区数据安全共享安全要求，对公共数据共享的敏感数据导出进行数据脱敏审核。</w:t>
            </w:r>
          </w:p>
        </w:tc>
      </w:tr>
      <w:tr w14:paraId="55B59D25">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B5844B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284BFD0">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047E16AD">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数据脱敏实施</w:t>
            </w:r>
          </w:p>
        </w:tc>
        <w:tc>
          <w:tcPr>
            <w:tcW w:w="3110" w:type="pct"/>
            <w:tcBorders>
              <w:top w:val="single" w:color="000000" w:sz="4" w:space="0"/>
              <w:left w:val="single" w:color="000000" w:sz="4" w:space="0"/>
              <w:bottom w:val="single" w:color="000000" w:sz="4" w:space="0"/>
              <w:right w:val="single" w:color="000000" w:sz="4" w:space="0"/>
            </w:tcBorders>
            <w:vAlign w:val="center"/>
          </w:tcPr>
          <w:p w14:paraId="73BA3E3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基于数据共享操作规范要求，在高敏感数据共享服务中敏感字段进行脱敏等措施，确保共享的安全性。</w:t>
            </w:r>
          </w:p>
        </w:tc>
      </w:tr>
      <w:tr w14:paraId="27D2C329">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D54786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57</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10CDB65F">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保障服务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117382D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应用运行指标</w:t>
            </w:r>
          </w:p>
        </w:tc>
        <w:tc>
          <w:tcPr>
            <w:tcW w:w="3110" w:type="pct"/>
            <w:tcBorders>
              <w:top w:val="single" w:color="000000" w:sz="4" w:space="0"/>
              <w:left w:val="single" w:color="000000" w:sz="4" w:space="0"/>
              <w:bottom w:val="single" w:color="000000" w:sz="4" w:space="0"/>
              <w:right w:val="single" w:color="000000" w:sz="4" w:space="0"/>
            </w:tcBorders>
            <w:vAlign w:val="center"/>
          </w:tcPr>
          <w:p w14:paraId="2E8DDA5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依托IRS采集监测各类资源运行情况，整理应用系统的“数据有效利用”、“无点对点共享”、“数据安全”指标并上报。</w:t>
            </w:r>
          </w:p>
        </w:tc>
      </w:tr>
      <w:tr w14:paraId="4A379D04">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3E4813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58</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2D893AC1">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restart"/>
            <w:tcBorders>
              <w:top w:val="single" w:color="000000" w:sz="4" w:space="0"/>
              <w:left w:val="single" w:color="000000" w:sz="4" w:space="0"/>
              <w:bottom w:val="single" w:color="000000" w:sz="4" w:space="0"/>
              <w:right w:val="single" w:color="000000" w:sz="4" w:space="0"/>
            </w:tcBorders>
            <w:vAlign w:val="center"/>
          </w:tcPr>
          <w:p w14:paraId="324A2F0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应用试运行支撑</w:t>
            </w:r>
          </w:p>
        </w:tc>
        <w:tc>
          <w:tcPr>
            <w:tcW w:w="3110" w:type="pct"/>
            <w:tcBorders>
              <w:top w:val="single" w:color="000000" w:sz="4" w:space="0"/>
              <w:left w:val="single" w:color="000000" w:sz="4" w:space="0"/>
              <w:bottom w:val="single" w:color="000000" w:sz="4" w:space="0"/>
              <w:right w:val="single" w:color="000000" w:sz="4" w:space="0"/>
            </w:tcBorders>
            <w:vAlign w:val="center"/>
          </w:tcPr>
          <w:p w14:paraId="6410BA77">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基于数据归集、数据共享、日志信息等维度，对区内应用试运行指标提供指导服务，反馈整改意见并跟进整改进度。</w:t>
            </w:r>
          </w:p>
        </w:tc>
      </w:tr>
      <w:tr w14:paraId="1C8652A0">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D4D861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59</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56BE6C0F">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vMerge w:val="continue"/>
            <w:tcBorders>
              <w:top w:val="single" w:color="000000" w:sz="4" w:space="0"/>
              <w:left w:val="single" w:color="000000" w:sz="4" w:space="0"/>
              <w:bottom w:val="single" w:color="000000" w:sz="4" w:space="0"/>
              <w:right w:val="single" w:color="000000" w:sz="4" w:space="0"/>
            </w:tcBorders>
            <w:vAlign w:val="center"/>
          </w:tcPr>
          <w:p w14:paraId="01DF2B74">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110" w:type="pct"/>
            <w:tcBorders>
              <w:top w:val="single" w:color="000000" w:sz="4" w:space="0"/>
              <w:left w:val="single" w:color="000000" w:sz="4" w:space="0"/>
              <w:bottom w:val="single" w:color="000000" w:sz="4" w:space="0"/>
              <w:right w:val="single" w:color="000000" w:sz="4" w:space="0"/>
            </w:tcBorders>
            <w:vAlign w:val="center"/>
          </w:tcPr>
          <w:p w14:paraId="2CB54E9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支撑区内应用试运行指标评价工作，服务期内评价次数不少于10次，评价意见及时反馈各应用侧，推进应用试运行指标上报进度。</w:t>
            </w:r>
          </w:p>
        </w:tc>
      </w:tr>
      <w:tr w14:paraId="0B7163D6">
        <w:tblPrEx>
          <w:tblCellMar>
            <w:top w:w="0" w:type="dxa"/>
            <w:left w:w="108" w:type="dxa"/>
            <w:bottom w:w="0" w:type="dxa"/>
            <w:right w:w="108" w:type="dxa"/>
          </w:tblCellMar>
        </w:tblPrEx>
        <w:trPr>
          <w:trHeight w:val="35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7C2BB4CE">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组件支撑服务</w:t>
            </w:r>
          </w:p>
        </w:tc>
      </w:tr>
      <w:tr w14:paraId="0FF6F08E">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5D1EFEE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60</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24BF23D7">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组件技术服务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4AFE860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组件治理服务-组件健康度治理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5691C7B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监测区内已上架组件的健康度，按照省要求，组件整体健康度不得低于99%。</w:t>
            </w:r>
          </w:p>
        </w:tc>
      </w:tr>
      <w:tr w14:paraId="2799DCCE">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2AB912F">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68F6D0D">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01D535C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组件治理服务-组件被调用量治理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6F82A3D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监测区内现有组件的调用量，确保各应用在规定期限内（90天内）调用完成组件。</w:t>
            </w:r>
          </w:p>
        </w:tc>
      </w:tr>
      <w:tr w14:paraId="1C94697B">
        <w:tblPrEx>
          <w:tblCellMar>
            <w:top w:w="0" w:type="dxa"/>
            <w:left w:w="108" w:type="dxa"/>
            <w:bottom w:w="0" w:type="dxa"/>
            <w:right w:w="108" w:type="dxa"/>
          </w:tblCellMar>
        </w:tblPrEx>
        <w:trPr>
          <w:trHeight w:val="10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5A66C1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53711855">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556C948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组件治理服务-应用组件使用量治理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335B50F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测全区所有应用申请组件不少于60次。区内各应用管理员申请新的组件使用，审批通过后，通知到相应应用管理员并告知相关使用方法，并定期联系管理员督促其使用组件，如果临近90天还未使用，则需频繁督促直至产生调用量为止。</w:t>
            </w:r>
          </w:p>
        </w:tc>
      </w:tr>
      <w:tr w14:paraId="05DD62E2">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FE1BFE7">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63</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741107A">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18FCDDE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组件治理服务-统一组件“应用尽用”率治理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22DACD9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监测区内所有上架应用的统一组件的调用率，按照省要求，需达到100%。</w:t>
            </w:r>
          </w:p>
        </w:tc>
      </w:tr>
      <w:tr w14:paraId="3B244876">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0B7ED5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6514BD95">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0EC4F42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组件治理服务-组件安全治理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711E866E">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利用专业软件对已上架的组件进行安全性扫描检测，每月一次。</w:t>
            </w:r>
          </w:p>
        </w:tc>
      </w:tr>
      <w:tr w14:paraId="76FA8E95">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B6B16F8">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C9E4B8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28F5B41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组件建设服务-组件挖掘解耦</w:t>
            </w:r>
          </w:p>
        </w:tc>
        <w:tc>
          <w:tcPr>
            <w:tcW w:w="3110" w:type="pct"/>
            <w:tcBorders>
              <w:top w:val="single" w:color="000000" w:sz="4" w:space="0"/>
              <w:left w:val="single" w:color="000000" w:sz="4" w:space="0"/>
              <w:bottom w:val="single" w:color="000000" w:sz="4" w:space="0"/>
              <w:right w:val="single" w:color="000000" w:sz="4" w:space="0"/>
            </w:tcBorders>
            <w:vAlign w:val="center"/>
          </w:tcPr>
          <w:p w14:paraId="0C83B4D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与区内各应用沟通，从中至少梳理20个潜在组件清单，并从中解耦不少于3个组件上架到IRS平台。</w:t>
            </w:r>
          </w:p>
        </w:tc>
      </w:tr>
      <w:tr w14:paraId="53653262">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FD0D94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24AB3FE">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67D5171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组件建设服务-组件上架支持</w:t>
            </w:r>
          </w:p>
        </w:tc>
        <w:tc>
          <w:tcPr>
            <w:tcW w:w="3110" w:type="pct"/>
            <w:tcBorders>
              <w:top w:val="single" w:color="000000" w:sz="4" w:space="0"/>
              <w:left w:val="single" w:color="000000" w:sz="4" w:space="0"/>
              <w:bottom w:val="single" w:color="000000" w:sz="4" w:space="0"/>
              <w:right w:val="single" w:color="000000" w:sz="4" w:space="0"/>
            </w:tcBorders>
            <w:vAlign w:val="center"/>
          </w:tcPr>
          <w:p w14:paraId="1278DEB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为上架到IRS平台的3个组件提供技术支持，并对已上架组件按需升级。</w:t>
            </w:r>
          </w:p>
        </w:tc>
      </w:tr>
      <w:tr w14:paraId="1DB1400D">
        <w:tblPrEx>
          <w:tblCellMar>
            <w:top w:w="0" w:type="dxa"/>
            <w:left w:w="108" w:type="dxa"/>
            <w:bottom w:w="0" w:type="dxa"/>
            <w:right w:w="108" w:type="dxa"/>
          </w:tblCellMar>
        </w:tblPrEx>
        <w:trPr>
          <w:trHeight w:val="36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0E004D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67</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35A96BA5">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62D3615F">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组件使用推广服务-组件使用对接</w:t>
            </w:r>
          </w:p>
        </w:tc>
        <w:tc>
          <w:tcPr>
            <w:tcW w:w="3110" w:type="pct"/>
            <w:tcBorders>
              <w:top w:val="single" w:color="000000" w:sz="4" w:space="0"/>
              <w:left w:val="single" w:color="000000" w:sz="4" w:space="0"/>
              <w:bottom w:val="single" w:color="000000" w:sz="4" w:space="0"/>
              <w:right w:val="single" w:color="000000" w:sz="4" w:space="0"/>
            </w:tcBorders>
            <w:vAlign w:val="center"/>
          </w:tcPr>
          <w:p w14:paraId="2021F9E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为各应用申请和使用组件过程中遇到的技术问题提供解决方案。</w:t>
            </w:r>
          </w:p>
        </w:tc>
      </w:tr>
      <w:tr w14:paraId="3F252E6A">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BDEC642">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E9AAD18">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64B9D1C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组件使用推广服务-组件资源释放对接</w:t>
            </w:r>
          </w:p>
        </w:tc>
        <w:tc>
          <w:tcPr>
            <w:tcW w:w="3110" w:type="pct"/>
            <w:tcBorders>
              <w:top w:val="single" w:color="000000" w:sz="4" w:space="0"/>
              <w:left w:val="single" w:color="000000" w:sz="4" w:space="0"/>
              <w:bottom w:val="single" w:color="000000" w:sz="4" w:space="0"/>
              <w:right w:val="single" w:color="000000" w:sz="4" w:space="0"/>
            </w:tcBorders>
            <w:vAlign w:val="center"/>
          </w:tcPr>
          <w:p w14:paraId="4573E2AA">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针对区内各应用因业务变更、应用下架或应用合并等情况导致无需再使用组件，提供组件资源释放操作指导。</w:t>
            </w:r>
          </w:p>
        </w:tc>
      </w:tr>
      <w:tr w14:paraId="14B20A86">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02F7130">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69</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4FB74794">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050889D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组件使用推广服务-试运行应用组件使用监测和对接</w:t>
            </w:r>
          </w:p>
        </w:tc>
        <w:tc>
          <w:tcPr>
            <w:tcW w:w="3110" w:type="pct"/>
            <w:tcBorders>
              <w:top w:val="single" w:color="000000" w:sz="4" w:space="0"/>
              <w:left w:val="single" w:color="000000" w:sz="4" w:space="0"/>
              <w:bottom w:val="single" w:color="000000" w:sz="4" w:space="0"/>
              <w:right w:val="single" w:color="000000" w:sz="4" w:space="0"/>
            </w:tcBorders>
            <w:vAlign w:val="center"/>
          </w:tcPr>
          <w:p w14:paraId="08B3BE3F">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监测区内试运行应用的组件使用状态，为不符合规范的应用提供解决方案。</w:t>
            </w:r>
          </w:p>
        </w:tc>
      </w:tr>
      <w:tr w14:paraId="2DACAB1B">
        <w:tblPrEx>
          <w:tblCellMar>
            <w:top w:w="0" w:type="dxa"/>
            <w:left w:w="108" w:type="dxa"/>
            <w:bottom w:w="0" w:type="dxa"/>
            <w:right w:w="108" w:type="dxa"/>
          </w:tblCellMar>
        </w:tblPrEx>
        <w:trPr>
          <w:trHeight w:val="35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2FAD918D">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物联数据服务</w:t>
            </w:r>
          </w:p>
        </w:tc>
      </w:tr>
      <w:tr w14:paraId="044F2377">
        <w:tblPrEx>
          <w:tblCellMar>
            <w:top w:w="0" w:type="dxa"/>
            <w:left w:w="108" w:type="dxa"/>
            <w:bottom w:w="0" w:type="dxa"/>
            <w:right w:w="108" w:type="dxa"/>
          </w:tblCellMar>
        </w:tblPrEx>
        <w:trPr>
          <w:trHeight w:val="14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090C95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70</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3AE2BBF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物联网平台运维服务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33CAADAE">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系统服务器巡检</w:t>
            </w:r>
          </w:p>
        </w:tc>
        <w:tc>
          <w:tcPr>
            <w:tcW w:w="3110" w:type="pct"/>
            <w:tcBorders>
              <w:top w:val="single" w:color="000000" w:sz="4" w:space="0"/>
              <w:left w:val="single" w:color="000000" w:sz="4" w:space="0"/>
              <w:bottom w:val="single" w:color="000000" w:sz="4" w:space="0"/>
              <w:right w:val="single" w:color="000000" w:sz="4" w:space="0"/>
            </w:tcBorders>
            <w:vAlign w:val="center"/>
          </w:tcPr>
          <w:p w14:paraId="66D2C79C">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涉及服务器巡检内容包含数据库（响应时间、吞吐量、并发用户数等）、中间件（Nginx、kafak、zk、Apollo等）、主机（内存、CPU、磁盘、IO、进程使用率等使用监控）、k8s集群服务器节点（组成集群的节点需要关注集群的状态，网络的情况等），按月度输出服务器巡检报告。</w:t>
            </w:r>
          </w:p>
        </w:tc>
      </w:tr>
      <w:tr w14:paraId="0B4F982E">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C17DCE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CA7C96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13952261">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系统软件平台巡检</w:t>
            </w:r>
          </w:p>
        </w:tc>
        <w:tc>
          <w:tcPr>
            <w:tcW w:w="3110" w:type="pct"/>
            <w:tcBorders>
              <w:top w:val="single" w:color="000000" w:sz="4" w:space="0"/>
              <w:left w:val="single" w:color="000000" w:sz="4" w:space="0"/>
              <w:bottom w:val="single" w:color="000000" w:sz="4" w:space="0"/>
              <w:right w:val="single" w:color="000000" w:sz="4" w:space="0"/>
            </w:tcBorders>
            <w:vAlign w:val="center"/>
          </w:tcPr>
          <w:p w14:paraId="76CAA133">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涉及软件平台巡检内容包括web门户巡检、南北向接口巡检、工作流运行情况巡检、工作流日志巡检、产品设备数据验证、业务数据巡检，按月度输出软件平台巡检报告。</w:t>
            </w:r>
          </w:p>
        </w:tc>
      </w:tr>
      <w:tr w14:paraId="72C6FE48">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F1307C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A57517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446E20D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系统平台日常监控及重大时刻保障</w:t>
            </w:r>
          </w:p>
        </w:tc>
        <w:tc>
          <w:tcPr>
            <w:tcW w:w="3110" w:type="pct"/>
            <w:tcBorders>
              <w:top w:val="single" w:color="000000" w:sz="4" w:space="0"/>
              <w:left w:val="single" w:color="000000" w:sz="4" w:space="0"/>
              <w:bottom w:val="single" w:color="000000" w:sz="4" w:space="0"/>
              <w:right w:val="single" w:color="000000" w:sz="4" w:space="0"/>
            </w:tcBorders>
            <w:vAlign w:val="center"/>
          </w:tcPr>
          <w:p w14:paraId="5F6EC1C1">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执行5*8日常监控任务，紧急情况下提供7*24小时技术支撑。在重保、攻防演练等重大时刻按照要求开展系统安全检查，配合安全团队进行系统加固，支撑安全护网工作。</w:t>
            </w:r>
          </w:p>
        </w:tc>
      </w:tr>
      <w:tr w14:paraId="47ACA570">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84AE8A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70FD8F6">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701814D7">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系统故障处理</w:t>
            </w:r>
          </w:p>
        </w:tc>
        <w:tc>
          <w:tcPr>
            <w:tcW w:w="3110" w:type="pct"/>
            <w:tcBorders>
              <w:top w:val="single" w:color="000000" w:sz="4" w:space="0"/>
              <w:left w:val="single" w:color="000000" w:sz="4" w:space="0"/>
              <w:bottom w:val="single" w:color="000000" w:sz="4" w:space="0"/>
              <w:right w:val="single" w:color="000000" w:sz="4" w:space="0"/>
            </w:tcBorders>
            <w:vAlign w:val="center"/>
          </w:tcPr>
          <w:p w14:paraId="4EB5B73D">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对系统运行过程中发生的应用故障、中间件故障、数据库故障、服务器故障、网络故障进行处理，第一时间恢复业务正常运行。</w:t>
            </w:r>
          </w:p>
        </w:tc>
      </w:tr>
      <w:tr w14:paraId="275D8BA2">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5A068DC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72737A0A">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601E75D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系统安全提升</w:t>
            </w:r>
          </w:p>
        </w:tc>
        <w:tc>
          <w:tcPr>
            <w:tcW w:w="3110" w:type="pct"/>
            <w:tcBorders>
              <w:top w:val="single" w:color="000000" w:sz="4" w:space="0"/>
              <w:left w:val="single" w:color="000000" w:sz="4" w:space="0"/>
              <w:bottom w:val="single" w:color="000000" w:sz="4" w:space="0"/>
              <w:right w:val="single" w:color="000000" w:sz="4" w:space="0"/>
            </w:tcBorders>
            <w:vAlign w:val="center"/>
          </w:tcPr>
          <w:p w14:paraId="0A0D1054">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发现操作系统、中间件、数据库安全漏洞，进行及时处理，包括打安全补丁；根据等保测评结果进行安全整改及提升、及时优化防火墙策略。</w:t>
            </w:r>
          </w:p>
        </w:tc>
      </w:tr>
      <w:tr w14:paraId="3A403B5C">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38C4292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0D679409">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1ACBAB4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系统性能优化</w:t>
            </w:r>
          </w:p>
        </w:tc>
        <w:tc>
          <w:tcPr>
            <w:tcW w:w="3110" w:type="pct"/>
            <w:tcBorders>
              <w:top w:val="single" w:color="000000" w:sz="4" w:space="0"/>
              <w:left w:val="single" w:color="000000" w:sz="4" w:space="0"/>
              <w:bottom w:val="single" w:color="000000" w:sz="4" w:space="0"/>
              <w:right w:val="single" w:color="000000" w:sz="4" w:space="0"/>
            </w:tcBorders>
            <w:vAlign w:val="center"/>
          </w:tcPr>
          <w:p w14:paraId="2A0DC9D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定期进行存储优化、网络优化、操作系统运行优化、中间件运行优化、数据库优化、容器运行优化，提升系统性能。</w:t>
            </w:r>
          </w:p>
        </w:tc>
      </w:tr>
      <w:tr w14:paraId="511266F2">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CA33354">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76</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5E36BEB3">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29C97837">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系统平台升级</w:t>
            </w:r>
          </w:p>
        </w:tc>
        <w:tc>
          <w:tcPr>
            <w:tcW w:w="3110" w:type="pct"/>
            <w:tcBorders>
              <w:top w:val="single" w:color="000000" w:sz="4" w:space="0"/>
              <w:left w:val="single" w:color="000000" w:sz="4" w:space="0"/>
              <w:bottom w:val="single" w:color="000000" w:sz="4" w:space="0"/>
              <w:right w:val="single" w:color="000000" w:sz="4" w:space="0"/>
            </w:tcBorders>
            <w:vAlign w:val="center"/>
          </w:tcPr>
          <w:p w14:paraId="18CB1DE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根据新版本发布情况及时进行服务器升级，对平台功能模块进行升级操作，或者升级平台大版本。</w:t>
            </w:r>
          </w:p>
        </w:tc>
      </w:tr>
      <w:tr w14:paraId="4AFA7172">
        <w:tblPrEx>
          <w:tblCellMar>
            <w:top w:w="0" w:type="dxa"/>
            <w:left w:w="108" w:type="dxa"/>
            <w:bottom w:w="0" w:type="dxa"/>
            <w:right w:w="108" w:type="dxa"/>
          </w:tblCellMar>
        </w:tblPrEx>
        <w:trPr>
          <w:trHeight w:val="696"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615D15C5">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77</w:t>
            </w:r>
          </w:p>
        </w:tc>
        <w:tc>
          <w:tcPr>
            <w:tcW w:w="533" w:type="pct"/>
            <w:vMerge w:val="restart"/>
            <w:tcBorders>
              <w:top w:val="single" w:color="000000" w:sz="4" w:space="0"/>
              <w:left w:val="single" w:color="000000" w:sz="4" w:space="0"/>
              <w:bottom w:val="single" w:color="000000" w:sz="4" w:space="0"/>
              <w:right w:val="single" w:color="000000" w:sz="4" w:space="0"/>
            </w:tcBorders>
            <w:vAlign w:val="center"/>
          </w:tcPr>
          <w:p w14:paraId="1E4AF74E">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物联设备数据服务</w:t>
            </w:r>
          </w:p>
        </w:tc>
        <w:tc>
          <w:tcPr>
            <w:tcW w:w="978" w:type="pct"/>
            <w:tcBorders>
              <w:top w:val="single" w:color="000000" w:sz="4" w:space="0"/>
              <w:left w:val="single" w:color="000000" w:sz="4" w:space="0"/>
              <w:bottom w:val="single" w:color="000000" w:sz="4" w:space="0"/>
              <w:right w:val="single" w:color="000000" w:sz="4" w:space="0"/>
            </w:tcBorders>
            <w:vAlign w:val="center"/>
          </w:tcPr>
          <w:p w14:paraId="661B524F">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数据备份</w:t>
            </w:r>
          </w:p>
        </w:tc>
        <w:tc>
          <w:tcPr>
            <w:tcW w:w="3110" w:type="pct"/>
            <w:tcBorders>
              <w:top w:val="single" w:color="000000" w:sz="4" w:space="0"/>
              <w:left w:val="single" w:color="000000" w:sz="4" w:space="0"/>
              <w:bottom w:val="single" w:color="000000" w:sz="4" w:space="0"/>
              <w:right w:val="single" w:color="000000" w:sz="4" w:space="0"/>
            </w:tcBorders>
            <w:vAlign w:val="center"/>
          </w:tcPr>
          <w:p w14:paraId="2985459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定期对平台设备数据、业务数据进行备份。</w:t>
            </w:r>
          </w:p>
        </w:tc>
      </w:tr>
      <w:tr w14:paraId="67E4E75C">
        <w:tblPrEx>
          <w:tblCellMar>
            <w:top w:w="0" w:type="dxa"/>
            <w:left w:w="108" w:type="dxa"/>
            <w:bottom w:w="0" w:type="dxa"/>
            <w:right w:w="108" w:type="dxa"/>
          </w:tblCellMar>
        </w:tblPrEx>
        <w:trPr>
          <w:trHeight w:val="720"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7BF45A7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78</w:t>
            </w:r>
          </w:p>
        </w:tc>
        <w:tc>
          <w:tcPr>
            <w:tcW w:w="533" w:type="pct"/>
            <w:vMerge w:val="continue"/>
            <w:tcBorders>
              <w:top w:val="single" w:color="000000" w:sz="4" w:space="0"/>
              <w:left w:val="single" w:color="000000" w:sz="4" w:space="0"/>
              <w:bottom w:val="single" w:color="000000" w:sz="4" w:space="0"/>
              <w:right w:val="single" w:color="000000" w:sz="4" w:space="0"/>
            </w:tcBorders>
            <w:vAlign w:val="center"/>
          </w:tcPr>
          <w:p w14:paraId="17A9BB67">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vAlign w:val="center"/>
          </w:tcPr>
          <w:p w14:paraId="254022D3">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数据服务</w:t>
            </w:r>
          </w:p>
        </w:tc>
        <w:tc>
          <w:tcPr>
            <w:tcW w:w="3110" w:type="pct"/>
            <w:tcBorders>
              <w:top w:val="single" w:color="000000" w:sz="4" w:space="0"/>
              <w:left w:val="single" w:color="000000" w:sz="4" w:space="0"/>
              <w:bottom w:val="single" w:color="000000" w:sz="4" w:space="0"/>
              <w:right w:val="single" w:color="000000" w:sz="4" w:space="0"/>
            </w:tcBorders>
            <w:vAlign w:val="center"/>
          </w:tcPr>
          <w:p w14:paraId="672F6C19">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按社区物联设备增加情况，更新&amp;接入不少于16个社区客流照相机、电表、车闸、门禁、气感、烟感、摄像头、门禁主机设备。</w:t>
            </w:r>
          </w:p>
        </w:tc>
      </w:tr>
    </w:tbl>
    <w:p w14:paraId="779E28C4">
      <w:pPr>
        <w:spacing w:line="360" w:lineRule="auto"/>
        <w:rPr>
          <w:rFonts w:ascii="宋体" w:hAnsi="宋体" w:cs="宋体"/>
          <w:color w:val="000000" w:themeColor="text1"/>
          <w:sz w:val="24"/>
          <w:highlight w:val="none"/>
          <w14:textFill>
            <w14:solidFill>
              <w14:schemeClr w14:val="tx1"/>
            </w14:solidFill>
          </w14:textFill>
        </w:rPr>
      </w:pPr>
    </w:p>
    <w:p w14:paraId="360CC7C5">
      <w:pPr>
        <w:spacing w:line="360" w:lineRule="auto"/>
        <w:rPr>
          <w:rFonts w:ascii="宋体" w:hAnsi="宋体" w:cs="宋体"/>
          <w:color w:val="000000" w:themeColor="text1"/>
          <w:sz w:val="24"/>
          <w:highlight w:val="none"/>
          <w14:textFill>
            <w14:solidFill>
              <w14:schemeClr w14:val="tx1"/>
            </w14:solidFill>
          </w14:textFill>
        </w:rPr>
      </w:pPr>
    </w:p>
    <w:p w14:paraId="46932B41">
      <w:pPr>
        <w:spacing w:line="360" w:lineRule="auto"/>
        <w:rPr>
          <w:rFonts w:ascii="宋体" w:hAnsi="宋体" w:cs="宋体"/>
          <w:vanish/>
          <w:color w:val="000000" w:themeColor="text1"/>
          <w:sz w:val="24"/>
          <w:highlight w:val="none"/>
          <w14:textFill>
            <w14:solidFill>
              <w14:schemeClr w14:val="tx1"/>
            </w14:solidFill>
          </w14:textFill>
        </w:rPr>
      </w:pPr>
    </w:p>
    <w:p w14:paraId="536F132D">
      <w:pPr>
        <w:pStyle w:val="4"/>
        <w:tabs>
          <w:tab w:val="left" w:pos="-945"/>
          <w:tab w:val="left" w:pos="0"/>
          <w:tab w:val="clear" w:pos="900"/>
        </w:tabs>
        <w:spacing w:before="0" w:after="0"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五、项目实施</w:t>
      </w:r>
    </w:p>
    <w:p w14:paraId="728EE0EA">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（一）实施要求</w:t>
      </w:r>
    </w:p>
    <w:p w14:paraId="7CE8953D">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1.实施周期</w:t>
      </w:r>
    </w:p>
    <w:p w14:paraId="60097FE6">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自合同签订日起，供应商提供12个月的技术服务（滨江区一体化智能化公共数据平台2025年度数据服务），服务期满后组织项目验收。</w:t>
      </w:r>
    </w:p>
    <w:p w14:paraId="5FE198BC">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2.实施地点</w:t>
      </w:r>
    </w:p>
    <w:p w14:paraId="36975F69">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杭州市滨江区。</w:t>
      </w:r>
    </w:p>
    <w:p w14:paraId="6745A27E">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3.成果要求</w:t>
      </w:r>
    </w:p>
    <w:p w14:paraId="3D1E91BB">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成果必须符合国家有关法律、法规和标准规范，并承诺本项目满足招标文件中的服务内容和质量等要求，依托国家相关建设标准和浙江省已有的标准开展。</w:t>
      </w:r>
    </w:p>
    <w:p w14:paraId="4B1862CD">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（二）人员要求</w:t>
      </w:r>
    </w:p>
    <w:p w14:paraId="2BEDEF1B">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供应商应根据项目范围，配置具有相关丰富经验的项目管理人员和技术人员，驻场总人数不少于5人，要求项目团队成员充足、专业能力突出，参与的项目案例丰富。团队组成方案能有力支撑本项目工作效率，保障服务成果质量。</w:t>
      </w:r>
    </w:p>
    <w:p w14:paraId="184CE3F2">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（三）验收要求</w:t>
      </w:r>
    </w:p>
    <w:p w14:paraId="5EEDB018">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由采购人根据合同和采购文件组织验收，项目验收指在项目建设目标达成之后开展相关验收工作，验收合格后双方将签署验收合格证书并形成书面报告。</w:t>
      </w:r>
    </w:p>
    <w:p w14:paraId="1D754D0C">
      <w:pPr>
        <w:pStyle w:val="4"/>
        <w:tabs>
          <w:tab w:val="left" w:pos="-945"/>
          <w:tab w:val="left" w:pos="0"/>
          <w:tab w:val="clear" w:pos="900"/>
        </w:tabs>
        <w:spacing w:before="0" w:after="0"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六、付款方式</w:t>
      </w:r>
    </w:p>
    <w:p w14:paraId="26EF1BA9">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本项目为服务项目，合同签订后，中标供应商办结所有手续开始支付费用，本项目服务费用分两次支付。</w:t>
      </w:r>
    </w:p>
    <w:p w14:paraId="40D39E68">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第一次付款：采购合同签订生效且具备支付条件后5个工作日内，采购人支付合同总价60%的预付款项；</w:t>
      </w:r>
    </w:p>
    <w:p w14:paraId="721318ED">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第二次付款：服务期满且验收合格且具备支付条件后5个工作日内，采购人支付剩余40%的合同款项。</w:t>
      </w:r>
    </w:p>
    <w:p w14:paraId="692E78A0">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14:paraId="751F14A3">
      <w:pPr>
        <w:spacing w:line="360" w:lineRule="auto"/>
        <w:rPr>
          <w:rFonts w:ascii="宋体" w:hAnsi="宋体" w:cs="宋体"/>
          <w:color w:val="000000" w:themeColor="text1"/>
          <w:sz w:val="24"/>
          <w:highlight w:val="none"/>
          <w14:textFill>
            <w14:solidFill>
              <w14:schemeClr w14:val="tx1"/>
            </w14:solidFill>
          </w14:textFill>
        </w:rPr>
      </w:pPr>
    </w:p>
    <w:p w14:paraId="4FED806A">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3D2678B3">
      <w:pPr>
        <w:rPr>
          <w:rFonts w:ascii="宋体" w:hAnsi="宋体" w:cs="宋体"/>
          <w:snapToGrid w:val="0"/>
          <w:color w:val="000000" w:themeColor="text1"/>
          <w:kern w:val="0"/>
          <w:sz w:val="24"/>
          <w:highlight w:val="none"/>
          <w14:textFill>
            <w14:solidFill>
              <w14:schemeClr w14:val="tx1"/>
            </w14:solidFill>
          </w14:textFill>
        </w:rPr>
      </w:pPr>
    </w:p>
    <w:p w14:paraId="3E6A091D">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08047"/>
      <w:bookmarkEnd w:id="28"/>
      <w:bookmarkStart w:id="29" w:name="_Toc184313272"/>
      <w:bookmarkEnd w:id="29"/>
      <w:bookmarkStart w:id="30" w:name="_Toc184312067"/>
      <w:bookmarkEnd w:id="30"/>
      <w:bookmarkStart w:id="31" w:name="_Toc184308078"/>
      <w:bookmarkEnd w:id="31"/>
      <w:bookmarkStart w:id="32" w:name="_Toc184313295"/>
      <w:bookmarkEnd w:id="32"/>
      <w:bookmarkStart w:id="33" w:name="_Toc184310313"/>
      <w:bookmarkEnd w:id="33"/>
      <w:bookmarkStart w:id="34" w:name="_Toc184308103"/>
      <w:bookmarkEnd w:id="34"/>
      <w:bookmarkStart w:id="35" w:name="_Toc184313254"/>
      <w:bookmarkEnd w:id="35"/>
      <w:bookmarkStart w:id="36" w:name="_Toc184312103"/>
      <w:bookmarkEnd w:id="36"/>
      <w:bookmarkStart w:id="37" w:name="_Toc184308087"/>
      <w:bookmarkEnd w:id="37"/>
      <w:bookmarkStart w:id="38" w:name="_Toc184308050"/>
      <w:bookmarkEnd w:id="38"/>
      <w:bookmarkStart w:id="39" w:name="_Toc184313268"/>
      <w:bookmarkEnd w:id="39"/>
      <w:bookmarkStart w:id="40" w:name="_Toc184310319"/>
      <w:bookmarkEnd w:id="40"/>
      <w:bookmarkStart w:id="41" w:name="_Toc184308046"/>
      <w:bookmarkEnd w:id="41"/>
      <w:bookmarkStart w:id="42" w:name="_Toc184310306"/>
      <w:bookmarkEnd w:id="42"/>
      <w:bookmarkStart w:id="43" w:name="_Toc184313258"/>
      <w:bookmarkEnd w:id="43"/>
      <w:bookmarkStart w:id="44" w:name="_Toc184312094"/>
      <w:bookmarkEnd w:id="44"/>
      <w:bookmarkStart w:id="45" w:name="_Toc184312074"/>
      <w:bookmarkEnd w:id="45"/>
      <w:bookmarkStart w:id="46" w:name="_Toc184313291"/>
      <w:bookmarkEnd w:id="46"/>
      <w:bookmarkStart w:id="47" w:name="_Toc184310332"/>
      <w:bookmarkEnd w:id="47"/>
      <w:bookmarkStart w:id="48" w:name="_Toc184308065"/>
      <w:bookmarkEnd w:id="48"/>
      <w:bookmarkStart w:id="49" w:name="_Toc184314411"/>
      <w:bookmarkEnd w:id="49"/>
      <w:bookmarkStart w:id="50" w:name="_Toc184313244"/>
      <w:bookmarkEnd w:id="50"/>
      <w:bookmarkStart w:id="51" w:name="_Toc184310300"/>
      <w:bookmarkEnd w:id="51"/>
      <w:bookmarkStart w:id="52" w:name="_Toc184313276"/>
      <w:bookmarkEnd w:id="52"/>
      <w:bookmarkStart w:id="53" w:name="_Toc184310284"/>
      <w:bookmarkEnd w:id="53"/>
      <w:bookmarkStart w:id="54" w:name="_Toc184313259"/>
      <w:bookmarkEnd w:id="54"/>
      <w:bookmarkStart w:id="55" w:name="_Toc184314452"/>
      <w:bookmarkEnd w:id="55"/>
      <w:bookmarkStart w:id="56" w:name="_Toc184313262"/>
      <w:bookmarkEnd w:id="56"/>
      <w:bookmarkStart w:id="57" w:name="_Toc184308043"/>
      <w:bookmarkEnd w:id="57"/>
      <w:bookmarkStart w:id="58" w:name="_Toc184310288"/>
      <w:bookmarkEnd w:id="58"/>
      <w:bookmarkStart w:id="59" w:name="_Toc184308041"/>
      <w:bookmarkEnd w:id="59"/>
      <w:bookmarkStart w:id="60" w:name="_Toc184310344"/>
      <w:bookmarkEnd w:id="60"/>
      <w:bookmarkStart w:id="61" w:name="_Toc184308051"/>
      <w:bookmarkEnd w:id="61"/>
      <w:bookmarkStart w:id="62" w:name="_Toc184312070"/>
      <w:bookmarkEnd w:id="62"/>
      <w:bookmarkStart w:id="63" w:name="_Toc184308048"/>
      <w:bookmarkEnd w:id="63"/>
      <w:bookmarkStart w:id="64" w:name="_Toc184310304"/>
      <w:bookmarkEnd w:id="64"/>
      <w:bookmarkStart w:id="65" w:name="_Toc184313252"/>
      <w:bookmarkEnd w:id="65"/>
      <w:bookmarkStart w:id="66" w:name="_Toc184312092"/>
      <w:bookmarkEnd w:id="66"/>
      <w:bookmarkStart w:id="67" w:name="_Toc184314426"/>
      <w:bookmarkEnd w:id="67"/>
      <w:bookmarkStart w:id="68" w:name="_Toc184308064"/>
      <w:bookmarkEnd w:id="68"/>
      <w:bookmarkStart w:id="69" w:name="_Toc184310329"/>
      <w:bookmarkEnd w:id="69"/>
      <w:bookmarkStart w:id="70" w:name="_Toc184310305"/>
      <w:bookmarkEnd w:id="70"/>
      <w:bookmarkStart w:id="71" w:name="_Toc184314465"/>
      <w:bookmarkEnd w:id="71"/>
      <w:bookmarkStart w:id="72" w:name="_Toc184308039"/>
      <w:bookmarkEnd w:id="72"/>
      <w:bookmarkStart w:id="73" w:name="_Toc184313240"/>
      <w:bookmarkEnd w:id="73"/>
      <w:bookmarkStart w:id="74" w:name="_Toc184314447"/>
      <w:bookmarkEnd w:id="74"/>
      <w:bookmarkStart w:id="75" w:name="_Toc184313265"/>
      <w:bookmarkEnd w:id="75"/>
      <w:bookmarkStart w:id="76" w:name="_Toc184314454"/>
      <w:bookmarkEnd w:id="76"/>
      <w:bookmarkStart w:id="77" w:name="_Toc184313287"/>
      <w:bookmarkEnd w:id="77"/>
      <w:bookmarkStart w:id="78" w:name="_Toc184312115"/>
      <w:bookmarkEnd w:id="78"/>
      <w:bookmarkStart w:id="79" w:name="_Toc184308054"/>
      <w:bookmarkEnd w:id="79"/>
      <w:bookmarkStart w:id="80" w:name="_Toc184314414"/>
      <w:bookmarkEnd w:id="80"/>
      <w:bookmarkStart w:id="81" w:name="_Toc184314464"/>
      <w:bookmarkEnd w:id="81"/>
      <w:bookmarkStart w:id="82" w:name="_Toc184312076"/>
      <w:bookmarkEnd w:id="82"/>
      <w:bookmarkStart w:id="83" w:name="_Toc184312098"/>
      <w:bookmarkEnd w:id="83"/>
      <w:bookmarkStart w:id="84" w:name="_Toc184310343"/>
      <w:bookmarkEnd w:id="84"/>
      <w:bookmarkStart w:id="85" w:name="_Toc184312124"/>
      <w:bookmarkEnd w:id="85"/>
      <w:bookmarkStart w:id="86" w:name="_Toc184308075"/>
      <w:bookmarkEnd w:id="86"/>
      <w:bookmarkStart w:id="87" w:name="_Toc184308107"/>
      <w:bookmarkEnd w:id="87"/>
      <w:bookmarkStart w:id="88" w:name="_Toc184310326"/>
      <w:bookmarkEnd w:id="88"/>
      <w:bookmarkStart w:id="89" w:name="_Toc184310340"/>
      <w:bookmarkEnd w:id="89"/>
      <w:bookmarkStart w:id="90" w:name="_Toc184312110"/>
      <w:bookmarkEnd w:id="90"/>
      <w:bookmarkStart w:id="91" w:name="_Toc184314431"/>
      <w:bookmarkEnd w:id="91"/>
      <w:bookmarkStart w:id="92" w:name="_Toc184313280"/>
      <w:bookmarkEnd w:id="92"/>
      <w:bookmarkStart w:id="93" w:name="_Toc184310290"/>
      <w:bookmarkEnd w:id="93"/>
      <w:bookmarkStart w:id="94" w:name="_Toc184310307"/>
      <w:bookmarkEnd w:id="94"/>
      <w:bookmarkStart w:id="95" w:name="_Toc184312072"/>
      <w:bookmarkEnd w:id="95"/>
      <w:bookmarkStart w:id="96" w:name="_Toc184313303"/>
      <w:bookmarkEnd w:id="96"/>
      <w:bookmarkStart w:id="97" w:name="_Toc184314450"/>
      <w:bookmarkEnd w:id="97"/>
      <w:bookmarkStart w:id="98" w:name="_Toc184312130"/>
      <w:bookmarkEnd w:id="98"/>
      <w:bookmarkStart w:id="99" w:name="_Toc184312090"/>
      <w:bookmarkEnd w:id="99"/>
      <w:bookmarkStart w:id="100" w:name="_Toc184314417"/>
      <w:bookmarkEnd w:id="100"/>
      <w:bookmarkStart w:id="101" w:name="_Toc184313269"/>
      <w:bookmarkEnd w:id="101"/>
      <w:bookmarkStart w:id="102" w:name="_Toc184308045"/>
      <w:bookmarkEnd w:id="102"/>
      <w:bookmarkStart w:id="103" w:name="_Toc184314446"/>
      <w:bookmarkEnd w:id="103"/>
      <w:bookmarkStart w:id="104" w:name="_Toc184312113"/>
      <w:bookmarkEnd w:id="104"/>
      <w:bookmarkStart w:id="105" w:name="_Toc184312107"/>
      <w:bookmarkEnd w:id="105"/>
      <w:bookmarkStart w:id="106" w:name="_Toc184314425"/>
      <w:bookmarkEnd w:id="106"/>
      <w:bookmarkStart w:id="107" w:name="_Toc184312093"/>
      <w:bookmarkEnd w:id="107"/>
      <w:bookmarkStart w:id="108" w:name="_Toc184312102"/>
      <w:bookmarkEnd w:id="108"/>
      <w:bookmarkStart w:id="109" w:name="_Toc184314429"/>
      <w:bookmarkEnd w:id="109"/>
      <w:bookmarkStart w:id="110" w:name="_Toc184308055"/>
      <w:bookmarkEnd w:id="110"/>
      <w:bookmarkStart w:id="111" w:name="_Toc184313241"/>
      <w:bookmarkEnd w:id="111"/>
      <w:bookmarkStart w:id="112" w:name="_Toc184312099"/>
      <w:bookmarkEnd w:id="112"/>
      <w:bookmarkStart w:id="113" w:name="_Toc184314466"/>
      <w:bookmarkEnd w:id="113"/>
      <w:bookmarkStart w:id="114" w:name="_Toc184312085"/>
      <w:bookmarkEnd w:id="114"/>
      <w:bookmarkStart w:id="115" w:name="_Toc184310312"/>
      <w:bookmarkEnd w:id="115"/>
      <w:bookmarkStart w:id="116" w:name="_Toc184313299"/>
      <w:bookmarkEnd w:id="116"/>
      <w:bookmarkStart w:id="117" w:name="_Toc184308105"/>
      <w:bookmarkEnd w:id="117"/>
      <w:bookmarkStart w:id="118" w:name="_Toc184308082"/>
      <w:bookmarkEnd w:id="118"/>
      <w:bookmarkStart w:id="119" w:name="_Toc184310277"/>
      <w:bookmarkEnd w:id="119"/>
      <w:bookmarkStart w:id="120" w:name="_Toc184310318"/>
      <w:bookmarkEnd w:id="120"/>
      <w:bookmarkStart w:id="121" w:name="_Toc184313257"/>
      <w:bookmarkEnd w:id="121"/>
      <w:bookmarkStart w:id="122" w:name="_Toc184314449"/>
      <w:bookmarkEnd w:id="122"/>
      <w:bookmarkStart w:id="123" w:name="_Toc184314481"/>
      <w:bookmarkEnd w:id="123"/>
      <w:bookmarkStart w:id="124" w:name="_Toc184314463"/>
      <w:bookmarkEnd w:id="124"/>
      <w:bookmarkStart w:id="125" w:name="_Toc184313289"/>
      <w:bookmarkEnd w:id="125"/>
      <w:bookmarkStart w:id="126" w:name="_Toc184308093"/>
      <w:bookmarkEnd w:id="126"/>
      <w:bookmarkStart w:id="127" w:name="_Toc184310309"/>
      <w:bookmarkEnd w:id="127"/>
      <w:bookmarkStart w:id="128" w:name="_Toc184310289"/>
      <w:bookmarkEnd w:id="128"/>
      <w:bookmarkStart w:id="129" w:name="_Toc184313284"/>
      <w:bookmarkEnd w:id="129"/>
      <w:bookmarkStart w:id="130" w:name="_Toc184308081"/>
      <w:bookmarkEnd w:id="130"/>
      <w:bookmarkStart w:id="131" w:name="_Toc184310335"/>
      <w:bookmarkEnd w:id="131"/>
      <w:bookmarkStart w:id="132" w:name="_Toc184308091"/>
      <w:bookmarkEnd w:id="132"/>
      <w:bookmarkStart w:id="133" w:name="_Toc184314451"/>
      <w:bookmarkEnd w:id="133"/>
      <w:bookmarkStart w:id="134" w:name="_Toc184312084"/>
      <w:bookmarkEnd w:id="134"/>
      <w:bookmarkStart w:id="135" w:name="_Toc184313263"/>
      <w:bookmarkEnd w:id="135"/>
      <w:bookmarkStart w:id="136" w:name="_Toc184310286"/>
      <w:bookmarkEnd w:id="136"/>
      <w:bookmarkStart w:id="137" w:name="_Toc184312132"/>
      <w:bookmarkEnd w:id="137"/>
      <w:bookmarkStart w:id="138" w:name="_Toc184313273"/>
      <w:bookmarkEnd w:id="138"/>
      <w:bookmarkStart w:id="139" w:name="_Toc184314475"/>
      <w:bookmarkEnd w:id="139"/>
      <w:bookmarkStart w:id="140" w:name="_Toc184314473"/>
      <w:bookmarkEnd w:id="140"/>
      <w:bookmarkStart w:id="141" w:name="_Toc184314412"/>
      <w:bookmarkEnd w:id="141"/>
      <w:bookmarkStart w:id="142" w:name="_Toc184313246"/>
      <w:bookmarkEnd w:id="142"/>
      <w:bookmarkStart w:id="143" w:name="_Toc184314442"/>
      <w:bookmarkEnd w:id="143"/>
      <w:bookmarkStart w:id="144" w:name="_Toc184312131"/>
      <w:bookmarkEnd w:id="144"/>
      <w:bookmarkStart w:id="145" w:name="_Toc184312121"/>
      <w:bookmarkEnd w:id="145"/>
      <w:bookmarkStart w:id="146" w:name="_Toc184310321"/>
      <w:bookmarkEnd w:id="146"/>
      <w:bookmarkStart w:id="147" w:name="_Toc184310311"/>
      <w:bookmarkEnd w:id="147"/>
      <w:bookmarkStart w:id="148" w:name="_Toc184313278"/>
      <w:bookmarkEnd w:id="148"/>
      <w:bookmarkStart w:id="149" w:name="_Toc184314415"/>
      <w:bookmarkEnd w:id="149"/>
      <w:bookmarkStart w:id="150" w:name="_Toc184312108"/>
      <w:bookmarkEnd w:id="150"/>
      <w:bookmarkStart w:id="151" w:name="_Toc184310334"/>
      <w:bookmarkEnd w:id="151"/>
      <w:bookmarkStart w:id="152" w:name="_Toc184312129"/>
      <w:bookmarkEnd w:id="152"/>
      <w:bookmarkStart w:id="153" w:name="_Toc184308090"/>
      <w:bookmarkEnd w:id="153"/>
      <w:bookmarkStart w:id="154" w:name="_Toc184314416"/>
      <w:bookmarkEnd w:id="154"/>
      <w:bookmarkStart w:id="155" w:name="_Toc184310330"/>
      <w:bookmarkEnd w:id="155"/>
      <w:bookmarkStart w:id="156" w:name="_Toc184312077"/>
      <w:bookmarkEnd w:id="156"/>
      <w:bookmarkStart w:id="157" w:name="_Toc184313243"/>
      <w:bookmarkEnd w:id="157"/>
      <w:bookmarkStart w:id="158" w:name="_Toc184310314"/>
      <w:bookmarkEnd w:id="158"/>
      <w:bookmarkStart w:id="159" w:name="_Toc184314438"/>
      <w:bookmarkEnd w:id="159"/>
      <w:bookmarkStart w:id="160" w:name="_Toc184312095"/>
      <w:bookmarkEnd w:id="160"/>
      <w:bookmarkStart w:id="161" w:name="_Toc184308094"/>
      <w:bookmarkEnd w:id="161"/>
      <w:bookmarkStart w:id="162" w:name="_Toc184308037"/>
      <w:bookmarkEnd w:id="162"/>
      <w:bookmarkStart w:id="163" w:name="_Toc184312122"/>
      <w:bookmarkEnd w:id="163"/>
      <w:bookmarkStart w:id="164" w:name="_Toc184314434"/>
      <w:bookmarkEnd w:id="164"/>
      <w:bookmarkStart w:id="165" w:name="_Toc184314469"/>
      <w:bookmarkEnd w:id="165"/>
      <w:bookmarkStart w:id="166" w:name="_Toc184313306"/>
      <w:bookmarkEnd w:id="166"/>
      <w:bookmarkStart w:id="167" w:name="_Toc184314440"/>
      <w:bookmarkEnd w:id="167"/>
      <w:bookmarkStart w:id="168" w:name="_Toc184308099"/>
      <w:bookmarkEnd w:id="168"/>
      <w:bookmarkStart w:id="169" w:name="_Toc184314439"/>
      <w:bookmarkEnd w:id="169"/>
      <w:bookmarkStart w:id="170" w:name="_Toc184313305"/>
      <w:bookmarkEnd w:id="170"/>
      <w:bookmarkStart w:id="171" w:name="_Toc184312075"/>
      <w:bookmarkEnd w:id="171"/>
      <w:bookmarkStart w:id="172" w:name="_Toc184310327"/>
      <w:bookmarkEnd w:id="172"/>
      <w:bookmarkStart w:id="173" w:name="_Toc184314445"/>
      <w:bookmarkEnd w:id="173"/>
      <w:bookmarkStart w:id="174" w:name="_Toc184308042"/>
      <w:bookmarkEnd w:id="174"/>
      <w:bookmarkStart w:id="175" w:name="_Toc184314472"/>
      <w:bookmarkEnd w:id="175"/>
      <w:bookmarkStart w:id="176" w:name="_Toc184312081"/>
      <w:bookmarkEnd w:id="176"/>
      <w:bookmarkStart w:id="177" w:name="_Toc184308070"/>
      <w:bookmarkEnd w:id="177"/>
      <w:bookmarkStart w:id="178" w:name="_Toc184313270"/>
      <w:bookmarkEnd w:id="178"/>
      <w:bookmarkStart w:id="179" w:name="_Toc184314424"/>
      <w:bookmarkEnd w:id="179"/>
      <w:bookmarkStart w:id="180" w:name="_Toc184312071"/>
      <w:bookmarkEnd w:id="180"/>
      <w:bookmarkStart w:id="181" w:name="_Toc184313297"/>
      <w:bookmarkEnd w:id="181"/>
      <w:bookmarkStart w:id="182" w:name="_Toc184308067"/>
      <w:bookmarkEnd w:id="182"/>
      <w:bookmarkStart w:id="183" w:name="_Toc184312135"/>
      <w:bookmarkEnd w:id="183"/>
      <w:bookmarkStart w:id="184" w:name="_Toc184312117"/>
      <w:bookmarkEnd w:id="184"/>
      <w:bookmarkStart w:id="185" w:name="_Toc184310328"/>
      <w:bookmarkEnd w:id="185"/>
      <w:bookmarkStart w:id="186" w:name="_Toc184314444"/>
      <w:bookmarkEnd w:id="186"/>
      <w:bookmarkStart w:id="187" w:name="_Toc184312114"/>
      <w:bookmarkEnd w:id="187"/>
      <w:bookmarkStart w:id="188" w:name="_Toc184313290"/>
      <w:bookmarkEnd w:id="188"/>
      <w:bookmarkStart w:id="189" w:name="_Toc184314457"/>
      <w:bookmarkEnd w:id="189"/>
      <w:bookmarkStart w:id="190" w:name="_Toc184314458"/>
      <w:bookmarkEnd w:id="190"/>
      <w:bookmarkStart w:id="191" w:name="_Toc184308066"/>
      <w:bookmarkEnd w:id="191"/>
      <w:bookmarkStart w:id="192" w:name="_Toc184310310"/>
      <w:bookmarkEnd w:id="192"/>
      <w:bookmarkStart w:id="193" w:name="_Toc184312109"/>
      <w:bookmarkEnd w:id="193"/>
      <w:bookmarkStart w:id="194" w:name="_Toc184308084"/>
      <w:bookmarkEnd w:id="194"/>
      <w:bookmarkStart w:id="195" w:name="_Toc184314448"/>
      <w:bookmarkEnd w:id="195"/>
      <w:bookmarkStart w:id="196" w:name="_Toc184314459"/>
      <w:bookmarkEnd w:id="196"/>
      <w:bookmarkStart w:id="197" w:name="_Toc184308106"/>
      <w:bookmarkEnd w:id="197"/>
      <w:bookmarkStart w:id="198" w:name="_Toc184310323"/>
      <w:bookmarkEnd w:id="198"/>
      <w:bookmarkStart w:id="199" w:name="_Toc184308062"/>
      <w:bookmarkEnd w:id="199"/>
      <w:bookmarkStart w:id="200" w:name="_Toc184312128"/>
      <w:bookmarkEnd w:id="200"/>
      <w:bookmarkStart w:id="201" w:name="_Toc184313242"/>
      <w:bookmarkEnd w:id="201"/>
      <w:bookmarkStart w:id="202" w:name="_Toc184312127"/>
      <w:bookmarkEnd w:id="202"/>
      <w:bookmarkStart w:id="203" w:name="_Toc184308077"/>
      <w:bookmarkEnd w:id="203"/>
      <w:bookmarkStart w:id="204" w:name="_Toc184312139"/>
      <w:bookmarkEnd w:id="204"/>
      <w:bookmarkStart w:id="205" w:name="_Toc184312097"/>
      <w:bookmarkEnd w:id="205"/>
      <w:bookmarkStart w:id="206" w:name="_Toc184314480"/>
      <w:bookmarkEnd w:id="206"/>
      <w:bookmarkStart w:id="207" w:name="_Toc184310274"/>
      <w:bookmarkEnd w:id="207"/>
      <w:bookmarkStart w:id="208" w:name="_Toc184308089"/>
      <w:bookmarkEnd w:id="208"/>
      <w:bookmarkStart w:id="209" w:name="_Toc184308076"/>
      <w:bookmarkEnd w:id="209"/>
      <w:bookmarkStart w:id="210" w:name="_Toc184312126"/>
      <w:bookmarkEnd w:id="210"/>
      <w:bookmarkStart w:id="211" w:name="_Toc184314435"/>
      <w:bookmarkEnd w:id="211"/>
      <w:bookmarkStart w:id="212" w:name="_Toc184308040"/>
      <w:bookmarkEnd w:id="212"/>
      <w:bookmarkStart w:id="213" w:name="_Toc184312079"/>
      <w:bookmarkEnd w:id="213"/>
      <w:bookmarkStart w:id="214" w:name="_Toc184312100"/>
      <w:bookmarkEnd w:id="214"/>
      <w:bookmarkStart w:id="215" w:name="_Toc184308049"/>
      <w:bookmarkEnd w:id="215"/>
      <w:bookmarkStart w:id="216" w:name="_Toc184310275"/>
      <w:bookmarkEnd w:id="216"/>
      <w:bookmarkStart w:id="217" w:name="_Toc184313307"/>
      <w:bookmarkEnd w:id="217"/>
      <w:bookmarkStart w:id="218" w:name="_Toc184308071"/>
      <w:bookmarkEnd w:id="218"/>
      <w:bookmarkStart w:id="219" w:name="_Toc184310278"/>
      <w:bookmarkEnd w:id="219"/>
      <w:bookmarkStart w:id="220" w:name="_Toc184312088"/>
      <w:bookmarkEnd w:id="220"/>
      <w:bookmarkStart w:id="221" w:name="_Toc184308053"/>
      <w:bookmarkEnd w:id="221"/>
      <w:bookmarkStart w:id="222" w:name="_Toc184310299"/>
      <w:bookmarkEnd w:id="222"/>
      <w:bookmarkStart w:id="223" w:name="_Toc184308080"/>
      <w:bookmarkEnd w:id="223"/>
      <w:bookmarkStart w:id="224" w:name="_Toc184312089"/>
      <w:bookmarkEnd w:id="224"/>
      <w:bookmarkStart w:id="225" w:name="_Toc184313283"/>
      <w:bookmarkEnd w:id="225"/>
      <w:bookmarkStart w:id="226" w:name="_Toc184308083"/>
      <w:bookmarkEnd w:id="226"/>
      <w:bookmarkStart w:id="227" w:name="_Toc184314418"/>
      <w:bookmarkEnd w:id="227"/>
      <w:bookmarkStart w:id="228" w:name="_Toc184313277"/>
      <w:bookmarkEnd w:id="228"/>
      <w:bookmarkStart w:id="229" w:name="_Toc184314467"/>
      <w:bookmarkEnd w:id="229"/>
      <w:bookmarkStart w:id="230" w:name="_Toc184308086"/>
      <w:bookmarkEnd w:id="230"/>
      <w:bookmarkStart w:id="231" w:name="_Toc184313256"/>
      <w:bookmarkEnd w:id="231"/>
      <w:bookmarkStart w:id="232" w:name="_Toc184310298"/>
      <w:bookmarkEnd w:id="232"/>
      <w:bookmarkStart w:id="233" w:name="_Toc184314477"/>
      <w:bookmarkEnd w:id="233"/>
      <w:bookmarkStart w:id="234" w:name="_Toc184313239"/>
      <w:bookmarkEnd w:id="234"/>
      <w:bookmarkStart w:id="235" w:name="_Toc184314428"/>
      <w:bookmarkEnd w:id="235"/>
      <w:bookmarkStart w:id="236" w:name="_Toc184313266"/>
      <w:bookmarkEnd w:id="236"/>
      <w:bookmarkStart w:id="237" w:name="_Toc184314471"/>
      <w:bookmarkEnd w:id="237"/>
      <w:bookmarkStart w:id="238" w:name="_Toc184308061"/>
      <w:bookmarkEnd w:id="238"/>
      <w:bookmarkStart w:id="239" w:name="_Toc184313298"/>
      <w:bookmarkEnd w:id="239"/>
      <w:bookmarkStart w:id="240" w:name="_Toc184313302"/>
      <w:bookmarkEnd w:id="240"/>
      <w:bookmarkStart w:id="241" w:name="_Toc184313282"/>
      <w:bookmarkEnd w:id="241"/>
      <w:bookmarkStart w:id="242" w:name="_Toc184308060"/>
      <w:bookmarkEnd w:id="242"/>
      <w:bookmarkStart w:id="243" w:name="_Toc184313271"/>
      <w:bookmarkEnd w:id="243"/>
      <w:bookmarkStart w:id="244" w:name="_Toc184310292"/>
      <w:bookmarkEnd w:id="244"/>
      <w:bookmarkStart w:id="245" w:name="_Toc184310338"/>
      <w:bookmarkEnd w:id="245"/>
      <w:bookmarkStart w:id="246" w:name="_Toc184313247"/>
      <w:bookmarkEnd w:id="246"/>
      <w:bookmarkStart w:id="247" w:name="_Toc184308068"/>
      <w:bookmarkEnd w:id="247"/>
      <w:bookmarkStart w:id="248" w:name="_Toc184313261"/>
      <w:bookmarkEnd w:id="248"/>
      <w:bookmarkStart w:id="249" w:name="_Toc184308063"/>
      <w:bookmarkEnd w:id="249"/>
      <w:bookmarkStart w:id="250" w:name="_Toc184308108"/>
      <w:bookmarkEnd w:id="250"/>
      <w:bookmarkStart w:id="251" w:name="_Toc184310337"/>
      <w:bookmarkEnd w:id="251"/>
      <w:bookmarkStart w:id="252" w:name="_Toc184313255"/>
      <w:bookmarkEnd w:id="252"/>
      <w:bookmarkStart w:id="253" w:name="_Toc184312125"/>
      <w:bookmarkEnd w:id="253"/>
      <w:bookmarkStart w:id="254" w:name="_Toc184314413"/>
      <w:bookmarkEnd w:id="254"/>
      <w:bookmarkStart w:id="255" w:name="_Toc184310273"/>
      <w:bookmarkEnd w:id="255"/>
      <w:bookmarkStart w:id="256" w:name="_Toc184312116"/>
      <w:bookmarkEnd w:id="256"/>
      <w:bookmarkStart w:id="257" w:name="_Toc184312120"/>
      <w:bookmarkEnd w:id="257"/>
      <w:bookmarkStart w:id="258" w:name="_Toc184312118"/>
      <w:bookmarkEnd w:id="258"/>
      <w:bookmarkStart w:id="259" w:name="_Toc184312069"/>
      <w:bookmarkEnd w:id="259"/>
      <w:bookmarkStart w:id="260" w:name="_Toc184308072"/>
      <w:bookmarkEnd w:id="260"/>
      <w:bookmarkStart w:id="261" w:name="_Toc184310322"/>
      <w:bookmarkEnd w:id="261"/>
      <w:bookmarkStart w:id="262" w:name="_Toc184310282"/>
      <w:bookmarkEnd w:id="262"/>
      <w:bookmarkStart w:id="263" w:name="_Toc184308073"/>
      <w:bookmarkEnd w:id="263"/>
      <w:bookmarkStart w:id="264" w:name="_Toc184312134"/>
      <w:bookmarkEnd w:id="264"/>
      <w:bookmarkStart w:id="265" w:name="_Toc184313309"/>
      <w:bookmarkEnd w:id="265"/>
      <w:bookmarkStart w:id="266" w:name="_Toc184314456"/>
      <w:bookmarkEnd w:id="266"/>
      <w:bookmarkStart w:id="267" w:name="_Toc184313275"/>
      <w:bookmarkEnd w:id="267"/>
      <w:bookmarkStart w:id="268" w:name="_Toc184313304"/>
      <w:bookmarkEnd w:id="268"/>
      <w:bookmarkStart w:id="269" w:name="_Toc184313253"/>
      <w:bookmarkEnd w:id="269"/>
      <w:bookmarkStart w:id="270" w:name="_Toc184312138"/>
      <w:bookmarkEnd w:id="270"/>
      <w:bookmarkStart w:id="271" w:name="_Toc184312137"/>
      <w:bookmarkEnd w:id="271"/>
      <w:bookmarkStart w:id="272" w:name="_Toc184308057"/>
      <w:bookmarkEnd w:id="272"/>
      <w:bookmarkStart w:id="273" w:name="_Toc184312082"/>
      <w:bookmarkEnd w:id="273"/>
      <w:bookmarkStart w:id="274" w:name="_Toc184314437"/>
      <w:bookmarkEnd w:id="274"/>
      <w:bookmarkStart w:id="275" w:name="_Toc184310295"/>
      <w:bookmarkEnd w:id="275"/>
      <w:bookmarkStart w:id="276" w:name="_Toc184313260"/>
      <w:bookmarkEnd w:id="276"/>
      <w:bookmarkStart w:id="277" w:name="_Toc184310302"/>
      <w:bookmarkEnd w:id="277"/>
      <w:bookmarkStart w:id="278" w:name="_Toc184308052"/>
      <w:bookmarkEnd w:id="278"/>
      <w:bookmarkStart w:id="279" w:name="_Toc184312068"/>
      <w:bookmarkEnd w:id="279"/>
      <w:bookmarkStart w:id="280" w:name="_Toc184308056"/>
      <w:bookmarkEnd w:id="280"/>
      <w:bookmarkStart w:id="281" w:name="_Toc184314474"/>
      <w:bookmarkEnd w:id="281"/>
      <w:bookmarkStart w:id="282" w:name="_Toc184308038"/>
      <w:bookmarkEnd w:id="282"/>
      <w:bookmarkStart w:id="283" w:name="_Toc184314420"/>
      <w:bookmarkEnd w:id="283"/>
      <w:bookmarkStart w:id="284" w:name="_Toc184312112"/>
      <w:bookmarkEnd w:id="284"/>
      <w:bookmarkStart w:id="285" w:name="_Toc184310279"/>
      <w:bookmarkEnd w:id="285"/>
      <w:bookmarkStart w:id="286" w:name="_Toc184314441"/>
      <w:bookmarkEnd w:id="286"/>
      <w:bookmarkStart w:id="287" w:name="_Toc184313310"/>
      <w:bookmarkEnd w:id="287"/>
      <w:bookmarkStart w:id="288" w:name="_Toc184314468"/>
      <w:bookmarkEnd w:id="288"/>
      <w:bookmarkStart w:id="289" w:name="_Toc184310293"/>
      <w:bookmarkEnd w:id="289"/>
      <w:bookmarkStart w:id="290" w:name="_Toc184310303"/>
      <w:bookmarkEnd w:id="290"/>
      <w:bookmarkStart w:id="291" w:name="_Toc184313300"/>
      <w:bookmarkEnd w:id="291"/>
      <w:bookmarkStart w:id="292" w:name="_Toc184314478"/>
      <w:bookmarkEnd w:id="292"/>
      <w:bookmarkStart w:id="293" w:name="_Toc184314443"/>
      <w:bookmarkEnd w:id="293"/>
      <w:bookmarkStart w:id="294" w:name="_Toc184313286"/>
      <w:bookmarkEnd w:id="294"/>
      <w:bookmarkStart w:id="295" w:name="_Toc184310276"/>
      <w:bookmarkEnd w:id="295"/>
      <w:bookmarkStart w:id="296" w:name="_Toc184314436"/>
      <w:bookmarkEnd w:id="296"/>
      <w:bookmarkStart w:id="297" w:name="_Toc184310320"/>
      <w:bookmarkEnd w:id="297"/>
      <w:bookmarkStart w:id="298" w:name="_Toc184313292"/>
      <w:bookmarkEnd w:id="298"/>
      <w:bookmarkStart w:id="299" w:name="_Toc184314422"/>
      <w:bookmarkEnd w:id="299"/>
      <w:bookmarkStart w:id="300" w:name="_Toc184314476"/>
      <w:bookmarkEnd w:id="300"/>
      <w:bookmarkStart w:id="301" w:name="_Toc184313279"/>
      <w:bookmarkEnd w:id="301"/>
      <w:bookmarkStart w:id="302" w:name="_Toc184314462"/>
      <w:bookmarkEnd w:id="302"/>
      <w:bookmarkStart w:id="303" w:name="_Toc184310291"/>
      <w:bookmarkEnd w:id="303"/>
      <w:bookmarkStart w:id="304" w:name="_Toc184314461"/>
      <w:bookmarkEnd w:id="304"/>
      <w:bookmarkStart w:id="305" w:name="_Toc184314427"/>
      <w:bookmarkEnd w:id="305"/>
      <w:bookmarkStart w:id="306" w:name="_Toc184314423"/>
      <w:bookmarkEnd w:id="306"/>
      <w:bookmarkStart w:id="307" w:name="_Toc184314419"/>
      <w:bookmarkEnd w:id="307"/>
      <w:bookmarkStart w:id="308" w:name="_Toc184310283"/>
      <w:bookmarkEnd w:id="308"/>
      <w:bookmarkStart w:id="309" w:name="_Toc184310296"/>
      <w:bookmarkEnd w:id="309"/>
      <w:bookmarkStart w:id="310" w:name="_Toc184312096"/>
      <w:bookmarkEnd w:id="310"/>
      <w:bookmarkStart w:id="311" w:name="_Toc184313238"/>
      <w:bookmarkEnd w:id="311"/>
      <w:bookmarkStart w:id="312" w:name="_Toc184308069"/>
      <w:bookmarkEnd w:id="312"/>
      <w:bookmarkStart w:id="313" w:name="_Toc184310281"/>
      <w:bookmarkEnd w:id="313"/>
      <w:bookmarkStart w:id="314" w:name="_Toc184313296"/>
      <w:bookmarkEnd w:id="314"/>
      <w:bookmarkStart w:id="315" w:name="_Toc184312104"/>
      <w:bookmarkEnd w:id="315"/>
      <w:bookmarkStart w:id="316" w:name="_Toc184314433"/>
      <w:bookmarkEnd w:id="316"/>
      <w:bookmarkStart w:id="317" w:name="_Toc184310339"/>
      <w:bookmarkEnd w:id="317"/>
      <w:bookmarkStart w:id="318" w:name="_Toc184308101"/>
      <w:bookmarkEnd w:id="318"/>
      <w:bookmarkStart w:id="319" w:name="_Toc184310294"/>
      <w:bookmarkEnd w:id="319"/>
      <w:bookmarkStart w:id="320" w:name="_Toc184312080"/>
      <w:bookmarkEnd w:id="320"/>
      <w:bookmarkStart w:id="321" w:name="_Toc184314455"/>
      <w:bookmarkEnd w:id="321"/>
      <w:bookmarkStart w:id="322" w:name="_Toc184314460"/>
      <w:bookmarkEnd w:id="322"/>
      <w:bookmarkStart w:id="323" w:name="_Toc184308085"/>
      <w:bookmarkEnd w:id="323"/>
      <w:bookmarkStart w:id="324" w:name="_Toc184313288"/>
      <w:bookmarkEnd w:id="324"/>
      <w:bookmarkStart w:id="325" w:name="_Toc184308102"/>
      <w:bookmarkEnd w:id="325"/>
      <w:bookmarkStart w:id="326" w:name="_Toc184312078"/>
      <w:bookmarkEnd w:id="326"/>
      <w:bookmarkStart w:id="327" w:name="_Toc184312087"/>
      <w:bookmarkEnd w:id="327"/>
      <w:bookmarkStart w:id="328" w:name="_Toc184313294"/>
      <w:bookmarkEnd w:id="328"/>
      <w:bookmarkStart w:id="329" w:name="_Toc184312111"/>
      <w:bookmarkEnd w:id="329"/>
      <w:bookmarkStart w:id="330" w:name="_Toc184308059"/>
      <w:bookmarkEnd w:id="330"/>
      <w:bookmarkStart w:id="331" w:name="_Toc184312101"/>
      <w:bookmarkEnd w:id="331"/>
      <w:bookmarkStart w:id="332" w:name="_Toc184314470"/>
      <w:bookmarkEnd w:id="332"/>
      <w:bookmarkStart w:id="333" w:name="_Toc184313267"/>
      <w:bookmarkEnd w:id="333"/>
      <w:bookmarkStart w:id="334" w:name="_Toc184308104"/>
      <w:bookmarkEnd w:id="334"/>
      <w:bookmarkStart w:id="335" w:name="_Toc184308044"/>
      <w:bookmarkEnd w:id="335"/>
      <w:bookmarkStart w:id="336" w:name="_Toc184313249"/>
      <w:bookmarkEnd w:id="336"/>
      <w:bookmarkStart w:id="337" w:name="_Toc184308088"/>
      <w:bookmarkEnd w:id="337"/>
      <w:bookmarkStart w:id="338" w:name="_Toc184308096"/>
      <w:bookmarkEnd w:id="338"/>
      <w:bookmarkStart w:id="339" w:name="_Toc184310325"/>
      <w:bookmarkEnd w:id="339"/>
      <w:bookmarkStart w:id="340" w:name="_Toc184310272"/>
      <w:bookmarkEnd w:id="340"/>
      <w:bookmarkStart w:id="341" w:name="_Toc184314432"/>
      <w:bookmarkEnd w:id="341"/>
      <w:bookmarkStart w:id="342" w:name="_Toc184308058"/>
      <w:bookmarkEnd w:id="342"/>
      <w:bookmarkStart w:id="343" w:name="_Toc184313285"/>
      <w:bookmarkEnd w:id="343"/>
      <w:bookmarkStart w:id="344" w:name="_Toc184310333"/>
      <w:bookmarkEnd w:id="344"/>
      <w:bookmarkStart w:id="345" w:name="_Toc184312086"/>
      <w:bookmarkEnd w:id="345"/>
      <w:bookmarkStart w:id="346" w:name="_Toc184310317"/>
      <w:bookmarkEnd w:id="346"/>
      <w:bookmarkStart w:id="347" w:name="_Toc184308074"/>
      <w:bookmarkEnd w:id="347"/>
      <w:bookmarkStart w:id="348" w:name="_Toc184314430"/>
      <w:bookmarkEnd w:id="348"/>
      <w:bookmarkStart w:id="349" w:name="_Toc184312123"/>
      <w:bookmarkEnd w:id="349"/>
      <w:bookmarkStart w:id="350" w:name="_Toc184314410"/>
      <w:bookmarkEnd w:id="350"/>
      <w:bookmarkStart w:id="351" w:name="_Toc184313245"/>
      <w:bookmarkEnd w:id="351"/>
      <w:bookmarkStart w:id="352" w:name="_Toc184308098"/>
      <w:bookmarkEnd w:id="352"/>
      <w:bookmarkStart w:id="353" w:name="_Toc184310315"/>
      <w:bookmarkEnd w:id="353"/>
      <w:bookmarkStart w:id="354" w:name="_Toc184314421"/>
      <w:bookmarkEnd w:id="354"/>
      <w:bookmarkStart w:id="355" w:name="_Toc184308092"/>
      <w:bookmarkEnd w:id="355"/>
      <w:bookmarkStart w:id="356" w:name="_Toc184313251"/>
      <w:bookmarkEnd w:id="356"/>
      <w:bookmarkStart w:id="357" w:name="_Toc184314482"/>
      <w:bookmarkEnd w:id="357"/>
      <w:bookmarkStart w:id="358" w:name="_Toc184310342"/>
      <w:bookmarkEnd w:id="358"/>
      <w:bookmarkStart w:id="359" w:name="_Toc184312083"/>
      <w:bookmarkEnd w:id="359"/>
      <w:bookmarkStart w:id="360" w:name="_Toc184310324"/>
      <w:bookmarkEnd w:id="360"/>
      <w:bookmarkStart w:id="361" w:name="_Toc184313274"/>
      <w:bookmarkEnd w:id="361"/>
      <w:bookmarkStart w:id="362" w:name="_Toc184313293"/>
      <w:bookmarkEnd w:id="362"/>
      <w:bookmarkStart w:id="363" w:name="_Toc184312091"/>
      <w:bookmarkEnd w:id="363"/>
      <w:bookmarkStart w:id="364" w:name="_Toc184313301"/>
      <w:bookmarkEnd w:id="364"/>
      <w:bookmarkStart w:id="365" w:name="_Toc184312136"/>
      <w:bookmarkEnd w:id="365"/>
      <w:bookmarkStart w:id="366" w:name="_Toc184310308"/>
      <w:bookmarkEnd w:id="366"/>
      <w:bookmarkStart w:id="367" w:name="_Toc184308100"/>
      <w:bookmarkEnd w:id="367"/>
      <w:bookmarkStart w:id="368" w:name="_Toc184313308"/>
      <w:bookmarkEnd w:id="368"/>
      <w:bookmarkStart w:id="369" w:name="_Toc184310280"/>
      <w:bookmarkEnd w:id="369"/>
      <w:bookmarkStart w:id="370" w:name="_Toc184312106"/>
      <w:bookmarkEnd w:id="370"/>
      <w:bookmarkStart w:id="371" w:name="_Toc184308079"/>
      <w:bookmarkEnd w:id="371"/>
      <w:bookmarkStart w:id="372" w:name="_Toc184313248"/>
      <w:bookmarkEnd w:id="372"/>
      <w:bookmarkStart w:id="373" w:name="_Toc184313281"/>
      <w:bookmarkEnd w:id="373"/>
      <w:bookmarkStart w:id="374" w:name="_Toc184310331"/>
      <w:bookmarkEnd w:id="374"/>
      <w:bookmarkStart w:id="375" w:name="_Toc184314453"/>
      <w:bookmarkEnd w:id="375"/>
      <w:bookmarkStart w:id="376" w:name="_Toc184308095"/>
      <w:bookmarkEnd w:id="376"/>
      <w:bookmarkStart w:id="377" w:name="_Toc184313264"/>
      <w:bookmarkEnd w:id="377"/>
      <w:bookmarkStart w:id="378" w:name="_Toc184308097"/>
      <w:bookmarkEnd w:id="378"/>
      <w:bookmarkStart w:id="379" w:name="_Toc184312133"/>
      <w:bookmarkEnd w:id="379"/>
      <w:bookmarkStart w:id="380" w:name="_Toc184310341"/>
      <w:bookmarkEnd w:id="380"/>
      <w:bookmarkStart w:id="381" w:name="_Toc184310301"/>
      <w:bookmarkEnd w:id="381"/>
      <w:bookmarkStart w:id="382" w:name="_Toc184314479"/>
      <w:bookmarkEnd w:id="382"/>
      <w:bookmarkStart w:id="383" w:name="_Toc184310285"/>
      <w:bookmarkEnd w:id="383"/>
      <w:bookmarkStart w:id="384" w:name="_Toc184312073"/>
      <w:bookmarkEnd w:id="384"/>
      <w:bookmarkStart w:id="385" w:name="_Toc184310297"/>
      <w:bookmarkEnd w:id="385"/>
      <w:bookmarkStart w:id="386" w:name="_Toc184308036"/>
      <w:bookmarkEnd w:id="386"/>
      <w:bookmarkStart w:id="387" w:name="_Toc184310287"/>
      <w:bookmarkEnd w:id="387"/>
      <w:bookmarkStart w:id="388" w:name="_Toc184310336"/>
      <w:bookmarkEnd w:id="388"/>
      <w:bookmarkStart w:id="389" w:name="_Toc184312105"/>
      <w:bookmarkEnd w:id="389"/>
      <w:bookmarkStart w:id="390" w:name="_Toc184312119"/>
      <w:bookmarkEnd w:id="390"/>
      <w:bookmarkStart w:id="391" w:name="_Toc184310316"/>
      <w:bookmarkEnd w:id="391"/>
      <w:bookmarkStart w:id="392" w:name="_Toc184313250"/>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518DDB1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p w14:paraId="1F32073D">
      <w:pPr>
        <w:rPr>
          <w:color w:val="000000" w:themeColor="text1"/>
          <w:highlight w:val="none"/>
          <w14:textFill>
            <w14:solidFill>
              <w14:schemeClr w14:val="tx1"/>
            </w14:solidFill>
          </w14:textFill>
        </w:rPr>
      </w:pPr>
    </w:p>
    <w:tbl>
      <w:tblPr>
        <w:tblStyle w:val="62"/>
        <w:tblW w:w="5657" w:type="pct"/>
        <w:jc w:val="center"/>
        <w:tblLayout w:type="autofit"/>
        <w:tblCellMar>
          <w:top w:w="0" w:type="dxa"/>
          <w:left w:w="108" w:type="dxa"/>
          <w:bottom w:w="0" w:type="dxa"/>
          <w:right w:w="108" w:type="dxa"/>
        </w:tblCellMar>
      </w:tblPr>
      <w:tblGrid>
        <w:gridCol w:w="457"/>
        <w:gridCol w:w="1786"/>
        <w:gridCol w:w="3848"/>
        <w:gridCol w:w="617"/>
        <w:gridCol w:w="910"/>
        <w:gridCol w:w="1993"/>
      </w:tblGrid>
      <w:tr w14:paraId="7DF78189">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E018">
            <w:pPr>
              <w:widowControl/>
              <w:adjustRightInd/>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4657E">
            <w:pPr>
              <w:widowControl/>
              <w:adjustRightInd/>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评标标准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BF0C">
            <w:pPr>
              <w:widowControl/>
              <w:adjustRightInd/>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权重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18D5">
            <w:pPr>
              <w:widowControl/>
              <w:adjustRightInd/>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主观分/客观分属性</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6AEE">
            <w:pPr>
              <w:widowControl/>
              <w:adjustRightInd/>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投标文件中评标标准相应的商务技术资料目录*</w:t>
            </w:r>
          </w:p>
        </w:tc>
      </w:tr>
      <w:tr w14:paraId="6864F0B2">
        <w:tblPrEx>
          <w:tblCellMar>
            <w:top w:w="0" w:type="dxa"/>
            <w:left w:w="108" w:type="dxa"/>
            <w:bottom w:w="0" w:type="dxa"/>
            <w:right w:w="108" w:type="dxa"/>
          </w:tblCellMar>
        </w:tblPrEx>
        <w:trPr>
          <w:trHeight w:val="13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3BE0">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344A2">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投标人自2022年1月1日（时间以合同签订时间为准）起建设过政府服务类项目的合同业绩，提供1个得0.5分，最高得1分。</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证明材料：提供合同复</w:t>
            </w:r>
            <w:r>
              <w:rPr>
                <w:rFonts w:hint="eastAsia" w:ascii="宋体" w:hAnsi="宋体" w:cs="宋体"/>
                <w:b/>
                <w:bCs/>
                <w:color w:val="000000" w:themeColor="text1"/>
                <w:kern w:val="0"/>
                <w:sz w:val="24"/>
                <w:highlight w:val="none"/>
                <w:lang w:val="en-US" w:eastAsia="zh-CN"/>
                <w14:textFill>
                  <w14:solidFill>
                    <w14:schemeClr w14:val="tx1"/>
                  </w14:solidFill>
                </w14:textFill>
              </w:rPr>
              <w:t>制</w:t>
            </w:r>
            <w:r>
              <w:rPr>
                <w:rFonts w:ascii="宋体" w:hAnsi="宋体" w:cs="宋体"/>
                <w:b/>
                <w:bCs/>
                <w:color w:val="000000" w:themeColor="text1"/>
                <w:kern w:val="0"/>
                <w:sz w:val="24"/>
                <w:highlight w:val="none"/>
                <w14:textFill>
                  <w14:solidFill>
                    <w14:schemeClr w14:val="tx1"/>
                  </w14:solidFill>
                </w14:textFill>
              </w:rPr>
              <w:t>件并加盖投标人公章。</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FCD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5641">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273C">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43F87359">
        <w:tblPrEx>
          <w:tblCellMar>
            <w:top w:w="0" w:type="dxa"/>
            <w:left w:w="108" w:type="dxa"/>
            <w:bottom w:w="0" w:type="dxa"/>
            <w:right w:w="108" w:type="dxa"/>
          </w:tblCellMar>
        </w:tblPrEx>
        <w:trPr>
          <w:trHeight w:val="41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FF3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color w:val="000000" w:themeColor="text1"/>
                <w:kern w:val="0"/>
                <w:sz w:val="14"/>
                <w:szCs w:val="14"/>
                <w:highlight w:val="none"/>
                <w14:textFill>
                  <w14:solidFill>
                    <w14:schemeClr w14:val="tx1"/>
                  </w14:solidFill>
                </w14:textFill>
              </w:rPr>
              <w:t xml:space="preserve"> </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B3DE">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1.项目经理本科及以上学历，具有信息系统项目管理师资格证书，满足得2分，不满足不得分。</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证明材料：同时提供人员劳动合同、近三个月社保证明、资格证明、学历证明等。</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2.项目组服务团队人员（除项目经理外）本科及以上学历，具有省级或国家认证的数据相关（信息技术、信息系统、信息安全、数据库方向）中级及中级以上证书或职称的，得1分，最高得3分，不满足不得分。</w:t>
            </w:r>
          </w:p>
          <w:p w14:paraId="31E895CB">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证明材料：同时提供人员劳动合同、近三个月社保证明、资格证明、学历证明等，同一人员不重复计分。</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color w:val="000000" w:themeColor="text1"/>
                <w:kern w:val="0"/>
                <w:sz w:val="24"/>
                <w:highlight w:val="none"/>
                <w14:textFill>
                  <w14:solidFill>
                    <w14:schemeClr w14:val="tx1"/>
                  </w14:solidFill>
                </w14:textFill>
              </w:rPr>
              <w:t>3.投标人承诺提供驻场服务团队人员不少于5人的得1分，少于5人不得分。</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证明材料：格式自拟人员配置表。</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color w:val="000000" w:themeColor="text1"/>
                <w:kern w:val="0"/>
                <w:sz w:val="24"/>
                <w:highlight w:val="none"/>
                <w14:textFill>
                  <w14:solidFill>
                    <w14:schemeClr w14:val="tx1"/>
                  </w14:solidFill>
                </w14:textFill>
              </w:rPr>
              <w:t>4.投标人承诺项目组服务团队人员（含项目经理）能够在非工作时间（尤其是国定节假日、双休日）响应任务、及时到现场处置及响应效率情况。承诺的得1分，否则不得分。</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证明材料：格式自拟的承诺函。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A9DA">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9EE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D9C1">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708CEA20">
        <w:tblPrEx>
          <w:tblCellMar>
            <w:top w:w="0" w:type="dxa"/>
            <w:left w:w="108" w:type="dxa"/>
            <w:bottom w:w="0" w:type="dxa"/>
            <w:right w:w="108" w:type="dxa"/>
          </w:tblCellMar>
        </w:tblPrEx>
        <w:trPr>
          <w:trHeight w:val="17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9B8F">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color w:val="000000" w:themeColor="text1"/>
                <w:kern w:val="0"/>
                <w:sz w:val="14"/>
                <w:szCs w:val="14"/>
                <w:highlight w:val="none"/>
                <w14:textFill>
                  <w14:solidFill>
                    <w14:schemeClr w14:val="tx1"/>
                  </w14:solidFill>
                </w14:textFill>
              </w:rPr>
              <w:t xml:space="preserve"> </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5B171">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投标人具备有效期内的质量管理体系认证证书、信息技术服务管理体系认证证书、信息安全管理体系认证证书的，每个得1分，最高得3分，没有不得分。</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证明材料：认证证书复</w:t>
            </w:r>
            <w:r>
              <w:rPr>
                <w:rFonts w:hint="eastAsia" w:ascii="宋体" w:hAnsi="宋体" w:cs="宋体"/>
                <w:b/>
                <w:bCs/>
                <w:color w:val="000000" w:themeColor="text1"/>
                <w:kern w:val="0"/>
                <w:sz w:val="24"/>
                <w:highlight w:val="none"/>
                <w:lang w:val="en-US" w:eastAsia="zh-CN"/>
                <w14:textFill>
                  <w14:solidFill>
                    <w14:schemeClr w14:val="tx1"/>
                  </w14:solidFill>
                </w14:textFill>
              </w:rPr>
              <w:t>制</w:t>
            </w:r>
            <w:r>
              <w:rPr>
                <w:rFonts w:ascii="宋体" w:hAnsi="宋体" w:cs="宋体"/>
                <w:b/>
                <w:bCs/>
                <w:color w:val="000000" w:themeColor="text1"/>
                <w:kern w:val="0"/>
                <w:sz w:val="24"/>
                <w:highlight w:val="none"/>
                <w14:textFill>
                  <w14:solidFill>
                    <w14:schemeClr w14:val="tx1"/>
                  </w14:solidFill>
                </w14:textFill>
              </w:rPr>
              <w:t>件并加盖公章。</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D8E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10C0">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1A87">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598908E7">
        <w:tblPrEx>
          <w:tblCellMar>
            <w:top w:w="0" w:type="dxa"/>
            <w:left w:w="108" w:type="dxa"/>
            <w:bottom w:w="0" w:type="dxa"/>
            <w:right w:w="108" w:type="dxa"/>
          </w:tblCellMar>
        </w:tblPrEx>
        <w:trPr>
          <w:trHeight w:val="1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BD26">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color w:val="000000" w:themeColor="text1"/>
                <w:kern w:val="0"/>
                <w:sz w:val="14"/>
                <w:szCs w:val="14"/>
                <w:highlight w:val="none"/>
                <w14:textFill>
                  <w14:solidFill>
                    <w14:schemeClr w14:val="tx1"/>
                  </w14:solidFill>
                </w14:textFill>
              </w:rPr>
              <w:t xml:space="preserve"> </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187F2">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投标人承担过数据相关的地方标准、行业标准或国家标准起草，每具备一项得2分，最高得4分。</w:t>
            </w:r>
            <w:r>
              <w:rPr>
                <w:rFonts w:hint="eastAsia" w:ascii="宋体" w:hAnsi="宋体" w:cs="宋体"/>
                <w:color w:val="000000" w:themeColor="text1"/>
                <w:kern w:val="0"/>
                <w:sz w:val="24"/>
                <w:highlight w:val="none"/>
                <w14:textFill>
                  <w14:solidFill>
                    <w14:schemeClr w14:val="tx1"/>
                  </w14:solidFill>
                </w14:textFill>
              </w:rPr>
              <w:br w:type="textWrapping"/>
            </w:r>
            <w:r>
              <w:rPr>
                <w:rFonts w:ascii="宋体" w:hAnsi="宋体" w:cs="宋体"/>
                <w:b/>
                <w:bCs/>
                <w:color w:val="000000" w:themeColor="text1"/>
                <w:kern w:val="0"/>
                <w:sz w:val="24"/>
                <w:highlight w:val="none"/>
                <w14:textFill>
                  <w14:solidFill>
                    <w14:schemeClr w14:val="tx1"/>
                  </w14:solidFill>
                </w14:textFill>
              </w:rPr>
              <w:t>证明材料：地方标准、行业标准或</w:t>
            </w:r>
            <w:bookmarkStart w:id="519" w:name="_GoBack"/>
            <w:bookmarkEnd w:id="519"/>
            <w:r>
              <w:rPr>
                <w:rFonts w:ascii="宋体" w:hAnsi="宋体" w:cs="宋体"/>
                <w:b/>
                <w:bCs/>
                <w:color w:val="000000" w:themeColor="text1"/>
                <w:kern w:val="0"/>
                <w:sz w:val="24"/>
                <w:highlight w:val="none"/>
                <w14:textFill>
                  <w14:solidFill>
                    <w14:schemeClr w14:val="tx1"/>
                  </w14:solidFill>
                </w14:textFill>
              </w:rPr>
              <w:t>国家标准复</w:t>
            </w:r>
            <w:r>
              <w:rPr>
                <w:rFonts w:hint="eastAsia" w:ascii="宋体" w:hAnsi="宋体" w:cs="宋体"/>
                <w:b/>
                <w:bCs/>
                <w:color w:val="000000" w:themeColor="text1"/>
                <w:kern w:val="0"/>
                <w:sz w:val="24"/>
                <w:highlight w:val="none"/>
                <w:lang w:val="en-US" w:eastAsia="zh-CN"/>
                <w14:textFill>
                  <w14:solidFill>
                    <w14:schemeClr w14:val="tx1"/>
                  </w14:solidFill>
                </w14:textFill>
              </w:rPr>
              <w:t>制</w:t>
            </w:r>
            <w:r>
              <w:rPr>
                <w:rFonts w:ascii="宋体" w:hAnsi="宋体" w:cs="宋体"/>
                <w:b/>
                <w:bCs/>
                <w:color w:val="000000" w:themeColor="text1"/>
                <w:kern w:val="0"/>
                <w:sz w:val="24"/>
                <w:highlight w:val="none"/>
                <w14:textFill>
                  <w14:solidFill>
                    <w14:schemeClr w14:val="tx1"/>
                  </w14:solidFill>
                </w14:textFill>
              </w:rPr>
              <w:t xml:space="preserve">件并加盖公章。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6D1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F50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ED04">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1FF32022">
        <w:tblPrEx>
          <w:tblCellMar>
            <w:top w:w="0" w:type="dxa"/>
            <w:left w:w="108" w:type="dxa"/>
            <w:bottom w:w="0" w:type="dxa"/>
            <w:right w:w="108" w:type="dxa"/>
          </w:tblCellMar>
        </w:tblPrEx>
        <w:trPr>
          <w:trHeight w:val="1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F6D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color w:val="000000" w:themeColor="text1"/>
                <w:kern w:val="0"/>
                <w:sz w:val="14"/>
                <w:szCs w:val="14"/>
                <w:highlight w:val="none"/>
                <w14:textFill>
                  <w14:solidFill>
                    <w14:schemeClr w14:val="tx1"/>
                  </w14:solidFill>
                </w14:textFill>
              </w:rPr>
              <w:t xml:space="preserve"> </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4F4BC">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需求理解：投标人提供的项目整体方案对背景理解、目标、任务分析到位（0，1，2，3，4，5）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88F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1B58">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E12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1C05F633">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649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9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9F8C0">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数据资源服务方案</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4938">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投标人能提供数据目录服务方案，思路清晰、逻辑合理、内容详实（0，1，2，3，4）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1E3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59C6">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B8A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315A0F5C">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8E5F">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36C85D98">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C3D4">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投标人能提供数据归集服务方案，思路清晰、逻辑合理、内容详实（0，1，2，3，4）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D5A2">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EBC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424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2ED0C93C">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BFD5">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45E897CC">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A630">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投标人能提供数据治理服务方案，思路清晰、逻辑合理、内容详实（0，1，2，3，4）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A3C1">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7827">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F444">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4DD93F3F">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98E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29FA25DC">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BD2F">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投标人能提供数据共享服务方案，思路清晰、逻辑合理、内容详实（0，1，2，3，4）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085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BBB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EC45">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5F8DFDF6">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75A0">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0F6389E1">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BBF1">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投标人能提供专题数据上架服务方案，思路清晰、逻辑合理、内容详实（0，1，2，3）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87AC">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2946">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86C0">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6D450084">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F6D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0D756765">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5E91">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投标人能提供数据标准配置服务方案，思路清晰、逻辑合理、内容详实（0，1，2，3）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1EC0">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38F4">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0AAA">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1FC4757F">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D767">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18B2BBDC">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EF1C">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投标人能提供数据产品服务方案，思路清晰、逻辑合理、内容详实（0，1，2，3，4）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A395">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B68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D49C">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7E3DA426">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DEB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1005EAC8">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07E6">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投标人能提供数据安全支撑服务方案，思路清晰、逻辑合理、内容详实（0，1，2，3，4）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2466">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7D0F">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0C9F">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7CB50C15">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6F9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2BE2581F">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6504">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投标人能提供保障撑服务方案，思路清晰、逻辑合理、内容详实（0，1，2，3，4）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EFE5">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4C88">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994C">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4312A28E">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14A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w:t>
            </w:r>
            <w:r>
              <w:rPr>
                <w:color w:val="000000" w:themeColor="text1"/>
                <w:kern w:val="0"/>
                <w:sz w:val="14"/>
                <w:szCs w:val="14"/>
                <w:highlight w:val="none"/>
                <w14:textFill>
                  <w14:solidFill>
                    <w14:schemeClr w14:val="tx1"/>
                  </w14:solidFill>
                </w14:textFill>
              </w:rPr>
              <w:t xml:space="preserve"> </w:t>
            </w:r>
          </w:p>
        </w:tc>
        <w:tc>
          <w:tcPr>
            <w:tcW w:w="9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E2B1A">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组件支撑服务方案</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7FF3">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投标人能提供组件治理服务方案，思路清晰、逻辑合理、内容详实（0，1，2，3，4）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F109">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306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B0C4">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334F6F06">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D851">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6B6C9B7E">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95CC">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投标人能提供组件建设服务方案，思路清晰、逻辑合理、内容详实（0，1，2，3，4）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5091">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027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89A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76CC8860">
        <w:tblPrEx>
          <w:tblCellMar>
            <w:top w:w="0" w:type="dxa"/>
            <w:left w:w="108" w:type="dxa"/>
            <w:bottom w:w="0" w:type="dxa"/>
            <w:right w:w="108" w:type="dxa"/>
          </w:tblCellMar>
        </w:tblPrEx>
        <w:trPr>
          <w:trHeight w:val="10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7C47">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17</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5EC8118F">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06F7">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投标人能提供组件使用推广服务方案，思路清晰、逻辑合理、内容详实（0，1，2，3，4）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F0F1">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B0E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79E9">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14DC2EF6">
        <w:tblPrEx>
          <w:tblCellMar>
            <w:top w:w="0" w:type="dxa"/>
            <w:left w:w="108" w:type="dxa"/>
            <w:bottom w:w="0" w:type="dxa"/>
            <w:right w:w="108" w:type="dxa"/>
          </w:tblCellMar>
        </w:tblPrEx>
        <w:trPr>
          <w:trHeight w:val="10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A8FC">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w:t>
            </w:r>
            <w:r>
              <w:rPr>
                <w:color w:val="000000" w:themeColor="text1"/>
                <w:kern w:val="0"/>
                <w:sz w:val="14"/>
                <w:szCs w:val="14"/>
                <w:highlight w:val="none"/>
                <w14:textFill>
                  <w14:solidFill>
                    <w14:schemeClr w14:val="tx1"/>
                  </w14:solidFill>
                </w14:textFill>
              </w:rPr>
              <w:t xml:space="preserve"> </w:t>
            </w:r>
          </w:p>
        </w:tc>
        <w:tc>
          <w:tcPr>
            <w:tcW w:w="9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B3135">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物联数据服务方案</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30C6C">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投标人能提供物联网平台运维服务方案，思路清晰、逻辑合理、内容详实（0，1，2，3，4）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DB52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088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B064">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5F21D2F7">
        <w:tblPrEx>
          <w:tblCellMar>
            <w:top w:w="0" w:type="dxa"/>
            <w:left w:w="108" w:type="dxa"/>
            <w:bottom w:w="0" w:type="dxa"/>
            <w:right w:w="108" w:type="dxa"/>
          </w:tblCellMar>
        </w:tblPrEx>
        <w:trPr>
          <w:trHeight w:val="10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694C">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color w:val="000000" w:themeColor="text1"/>
                <w:kern w:val="0"/>
                <w:sz w:val="14"/>
                <w:szCs w:val="14"/>
                <w:highlight w:val="none"/>
                <w14:textFill>
                  <w14:solidFill>
                    <w14:schemeClr w14:val="tx1"/>
                  </w14:solidFill>
                </w14:textFill>
              </w:rPr>
              <w:t xml:space="preserve"> </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2D092B91">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E728">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投标人能提供物联网设备数据服务方案，思路清晰、逻辑合理、内容详实（0，1，2，3，4）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B186">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A6D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466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476B3C93">
        <w:tblPrEx>
          <w:tblCellMar>
            <w:top w:w="0" w:type="dxa"/>
            <w:left w:w="108" w:type="dxa"/>
            <w:bottom w:w="0" w:type="dxa"/>
            <w:right w:w="108" w:type="dxa"/>
          </w:tblCellMar>
        </w:tblPrEx>
        <w:trPr>
          <w:trHeight w:val="8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F17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w:t>
            </w:r>
            <w:r>
              <w:rPr>
                <w:color w:val="000000" w:themeColor="text1"/>
                <w:kern w:val="0"/>
                <w:sz w:val="14"/>
                <w:szCs w:val="14"/>
                <w:highlight w:val="none"/>
                <w14:textFill>
                  <w14:solidFill>
                    <w14:schemeClr w14:val="tx1"/>
                  </w14:solidFill>
                </w14:textFill>
              </w:rPr>
              <w:t xml:space="preserve"> </w:t>
            </w:r>
          </w:p>
        </w:tc>
        <w:tc>
          <w:tcPr>
            <w:tcW w:w="9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20082">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实施及保障方案</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EB71">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投标人提供的实施方案、实施计划的可行性及合理性（0，1，2，3，4）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37DB">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F0E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3D46">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42CDAD39">
        <w:tblPrEx>
          <w:tblCellMar>
            <w:top w:w="0" w:type="dxa"/>
            <w:left w:w="108" w:type="dxa"/>
            <w:bottom w:w="0" w:type="dxa"/>
            <w:right w:w="108" w:type="dxa"/>
          </w:tblCellMar>
        </w:tblPrEx>
        <w:trPr>
          <w:trHeight w:val="1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FA98">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w:t>
            </w:r>
          </w:p>
        </w:tc>
        <w:tc>
          <w:tcPr>
            <w:tcW w:w="929" w:type="pct"/>
            <w:vMerge w:val="continue"/>
            <w:tcBorders>
              <w:top w:val="single" w:color="000000" w:sz="4" w:space="0"/>
              <w:left w:val="single" w:color="000000" w:sz="4" w:space="0"/>
              <w:bottom w:val="single" w:color="000000" w:sz="4" w:space="0"/>
              <w:right w:val="single" w:color="000000" w:sz="4" w:space="0"/>
            </w:tcBorders>
            <w:vAlign w:val="center"/>
          </w:tcPr>
          <w:p w14:paraId="480C1119">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CE3E">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投标人需针对本项目制定内部安全保密制度和数据安全应急预案的可行性及合理性（0，1，2，3，4）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5DED">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BB29">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9F7A">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20D20D66">
        <w:tblPrEx>
          <w:tblCellMar>
            <w:top w:w="0" w:type="dxa"/>
            <w:left w:w="108" w:type="dxa"/>
            <w:bottom w:w="0" w:type="dxa"/>
            <w:right w:w="108" w:type="dxa"/>
          </w:tblCellMar>
        </w:tblPrEx>
        <w:trPr>
          <w:trHeight w:val="15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7C7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F5702">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投标人提供的售后服务方案及服务承诺的可行性、完整性（0，1，2，3，4）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BE67">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F25E">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C31C">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6A8BEC80">
        <w:tblPrEx>
          <w:tblCellMar>
            <w:top w:w="0" w:type="dxa"/>
            <w:left w:w="108" w:type="dxa"/>
            <w:bottom w:w="0" w:type="dxa"/>
            <w:right w:w="108" w:type="dxa"/>
          </w:tblCellMar>
        </w:tblPrEx>
        <w:trPr>
          <w:trHeight w:val="9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57E7">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w:t>
            </w:r>
            <w:r>
              <w:rPr>
                <w:color w:val="000000" w:themeColor="text1"/>
                <w:kern w:val="0"/>
                <w:sz w:val="14"/>
                <w:szCs w:val="14"/>
                <w:highlight w:val="none"/>
                <w14:textFill>
                  <w14:solidFill>
                    <w14:schemeClr w14:val="tx1"/>
                  </w14:solidFill>
                </w14:textFill>
              </w:rPr>
              <w:t xml:space="preserve"> </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15A7E">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投标人提供的培训方案的可行性、完整性（0，1，2，3，4）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56C9">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39B2">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2CAA">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r w14:paraId="4CA7C5BA">
        <w:tblPrEx>
          <w:tblCellMar>
            <w:top w:w="0" w:type="dxa"/>
            <w:left w:w="108" w:type="dxa"/>
            <w:bottom w:w="0" w:type="dxa"/>
            <w:right w:w="108" w:type="dxa"/>
          </w:tblCellMar>
        </w:tblPrEx>
        <w:trPr>
          <w:trHeight w:val="15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0653">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24</w:t>
            </w:r>
            <w:r>
              <w:rPr>
                <w:color w:val="000000" w:themeColor="text1"/>
                <w:kern w:val="0"/>
                <w:sz w:val="14"/>
                <w:szCs w:val="14"/>
                <w:highlight w:val="none"/>
                <w14:textFill>
                  <w14:solidFill>
                    <w14:schemeClr w14:val="tx1"/>
                  </w14:solidFill>
                </w14:textFill>
              </w:rPr>
              <w:t xml:space="preserve"> </w:t>
            </w:r>
          </w:p>
        </w:tc>
        <w:tc>
          <w:tcPr>
            <w:tcW w:w="2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8C3B3">
            <w:pPr>
              <w:widowControl/>
              <w:adjustRightInd/>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有效投标报价的最低价作为评标基准价，其最低报价为满分；按［投标报价得分=（评标基准价/投标报价）*10］的计算公式计算。</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评标过程中，不得去掉报价中的最高报价和最低报价。</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608F">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FC01">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客观分</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E010">
            <w:pPr>
              <w:widowControl/>
              <w:adjustRightInd/>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bl>
    <w:p w14:paraId="50D779B6">
      <w:pPr>
        <w:rPr>
          <w:color w:val="000000" w:themeColor="text1"/>
          <w:highlight w:val="none"/>
          <w14:textFill>
            <w14:solidFill>
              <w14:schemeClr w14:val="tx1"/>
            </w14:solidFill>
          </w14:textFill>
        </w:rPr>
      </w:pPr>
    </w:p>
    <w:p w14:paraId="0D36C5E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2635CF77">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E14CF7C">
      <w:pPr>
        <w:adjustRightInd/>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F0BD2F4">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5C5A1BF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38D130A8">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7758A371">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6994421">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57E3353">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D2B199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FE6801F">
      <w:pPr>
        <w:pStyle w:val="130"/>
        <w:spacing w:before="0"/>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7DBF1B0">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5F2EBFE">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0E5F88E4">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0BAEBA59">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44E8520">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4D7A23A">
      <w:pPr>
        <w:snapToGrid w:val="0"/>
        <w:spacing w:line="360" w:lineRule="auto"/>
        <w:ind w:firstLine="480" w:firstLineChars="200"/>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056BE67">
      <w:pPr>
        <w:snapToGrid w:val="0"/>
        <w:spacing w:line="360" w:lineRule="auto"/>
        <w:ind w:firstLine="480" w:firstLineChars="200"/>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3E67D310">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38D4AE">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183BD7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F04C14">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51DAEC">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1AD972">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FDC72C9">
      <w:pPr>
        <w:pStyle w:val="130"/>
        <w:spacing w:before="0"/>
        <w:ind w:firstLine="482" w:firstLineChars="20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B831DA">
      <w:pPr>
        <w:pStyle w:val="24"/>
        <w:spacing w:line="360" w:lineRule="auto"/>
        <w:ind w:left="0" w:leftChars="0" w:firstLine="482" w:firstLineChars="20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5C760B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76A81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7E89D0F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8C4C30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7C8D73B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18098C6">
      <w:pPr>
        <w:snapToGrid w:val="0"/>
        <w:spacing w:line="360" w:lineRule="auto"/>
        <w:ind w:firstLine="480" w:firstLineChars="200"/>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5F7DC2C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2EBDD5D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1260920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3CE910B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456FB39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08A4F7B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31D22663">
      <w:pPr>
        <w:snapToGrid w:val="0"/>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p>
    <w:p w14:paraId="1F1EAEF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ABF3C61">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BE2DFA1">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302DD2C2">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065328C">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01718C68">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619E1C31">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548B905">
      <w:pPr>
        <w:pStyle w:val="24"/>
        <w:snapToGrid w:val="0"/>
        <w:spacing w:line="360" w:lineRule="auto"/>
        <w:ind w:firstLine="482" w:firstLineChars="200"/>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C23218">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EB3B91E">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6327905A">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7D7A36F">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943B907">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58F8A5CD">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3A79D5F2">
      <w:pPr>
        <w:pStyle w:val="24"/>
        <w:snapToGrid w:val="0"/>
        <w:spacing w:line="360" w:lineRule="auto"/>
        <w:ind w:firstLine="0" w:firstLineChars="0"/>
        <w:rPr>
          <w:rFonts w:cs="宋体"/>
          <w:color w:val="000000" w:themeColor="text1"/>
          <w:highlight w:val="none"/>
          <w14:textFill>
            <w14:solidFill>
              <w14:schemeClr w14:val="tx1"/>
            </w14:solidFill>
          </w14:textFill>
        </w:rPr>
      </w:pPr>
    </w:p>
    <w:bookmarkEnd w:id="27"/>
    <w:p w14:paraId="726235DC">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3" w:name="第五部分"/>
      <w:bookmarkStart w:id="394" w:name="_Toc86217003"/>
    </w:p>
    <w:p w14:paraId="24BC31A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5F2EDAD2">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1164E3E3">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1F86A83E">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66065B6E">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6F3DE6C2">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2EF32CB9">
      <w:pPr>
        <w:widowControl/>
        <w:adjustRightInd/>
        <w:jc w:val="left"/>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1B95D9E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E6D4BAD">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0E8EF040">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091122A4">
      <w:pPr>
        <w:spacing w:line="480" w:lineRule="auto"/>
        <w:jc w:val="center"/>
        <w:rPr>
          <w:rFonts w:ascii="宋体" w:hAnsi="宋体" w:cs="宋体"/>
          <w:b/>
          <w:color w:val="000000" w:themeColor="text1"/>
          <w:sz w:val="24"/>
          <w:highlight w:val="none"/>
          <w14:textFill>
            <w14:solidFill>
              <w14:schemeClr w14:val="tx1"/>
            </w14:solidFill>
          </w14:textFill>
        </w:rPr>
      </w:pPr>
    </w:p>
    <w:p w14:paraId="34B72105">
      <w:pPr>
        <w:spacing w:line="480" w:lineRule="auto"/>
        <w:jc w:val="center"/>
        <w:rPr>
          <w:rFonts w:ascii="宋体" w:hAnsi="宋体" w:cs="宋体"/>
          <w:b/>
          <w:color w:val="000000" w:themeColor="text1"/>
          <w:sz w:val="24"/>
          <w:highlight w:val="none"/>
          <w14:textFill>
            <w14:solidFill>
              <w14:schemeClr w14:val="tx1"/>
            </w14:solidFill>
          </w14:textFill>
        </w:rPr>
      </w:pPr>
    </w:p>
    <w:p w14:paraId="6F9FC915">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481D05B5">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10A68FCF">
      <w:pPr>
        <w:pStyle w:val="701"/>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14B48AB7">
      <w:pPr>
        <w:spacing w:before="120" w:line="22" w:lineRule="atLeast"/>
        <w:rPr>
          <w:rFonts w:ascii="宋体" w:hAnsi="宋体" w:cs="宋体"/>
          <w:color w:val="000000" w:themeColor="text1"/>
          <w:sz w:val="24"/>
          <w:highlight w:val="none"/>
          <w14:textFill>
            <w14:solidFill>
              <w14:schemeClr w14:val="tx1"/>
            </w14:solidFill>
          </w14:textFill>
        </w:rPr>
      </w:pPr>
    </w:p>
    <w:p w14:paraId="1CF82189">
      <w:pPr>
        <w:pStyle w:val="3"/>
        <w:rPr>
          <w:color w:val="000000" w:themeColor="text1"/>
          <w:highlight w:val="none"/>
          <w14:textFill>
            <w14:solidFill>
              <w14:schemeClr w14:val="tx1"/>
            </w14:solidFill>
          </w14:textFill>
        </w:rPr>
      </w:pPr>
    </w:p>
    <w:p w14:paraId="355C9939">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滨江区一体化智能化公共数据平台2025年度数据服务项目</w:t>
      </w:r>
    </w:p>
    <w:p w14:paraId="2F8F5A1A">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14:paraId="37F6325E">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14:paraId="028DB6FB">
      <w:pPr>
        <w:rPr>
          <w:rFonts w:ascii="宋体" w:hAnsi="宋体" w:cs="宋体"/>
          <w:color w:val="000000" w:themeColor="text1"/>
          <w:sz w:val="24"/>
          <w:highlight w:val="none"/>
          <w14:textFill>
            <w14:solidFill>
              <w14:schemeClr w14:val="tx1"/>
            </w14:solidFill>
          </w14:textFill>
        </w:rPr>
      </w:pPr>
    </w:p>
    <w:p w14:paraId="5C94B763">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u w:val="single"/>
          <w14:textFill>
            <w14:solidFill>
              <w14:schemeClr w14:val="tx1"/>
            </w14:solidFill>
          </w14:textFill>
        </w:rPr>
        <w:t>杭州高新技术产业开发区（滨江）社会治理中心</w:t>
      </w:r>
    </w:p>
    <w:p w14:paraId="0AA19DAF">
      <w:pPr>
        <w:spacing w:before="120" w:line="22" w:lineRule="atLeast"/>
        <w:rPr>
          <w:rFonts w:ascii="宋体" w:hAnsi="宋体" w:cs="宋体"/>
          <w:color w:val="000000" w:themeColor="text1"/>
          <w:sz w:val="24"/>
          <w:highlight w:val="none"/>
          <w14:textFill>
            <w14:solidFill>
              <w14:schemeClr w14:val="tx1"/>
            </w14:solidFill>
          </w14:textFill>
        </w:rPr>
      </w:pPr>
    </w:p>
    <w:p w14:paraId="0AE2FA05">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13824FDD">
      <w:pPr>
        <w:spacing w:before="120" w:line="22" w:lineRule="atLeast"/>
        <w:rPr>
          <w:rFonts w:ascii="宋体" w:hAnsi="宋体" w:cs="宋体"/>
          <w:color w:val="000000" w:themeColor="text1"/>
          <w:sz w:val="24"/>
          <w:highlight w:val="none"/>
          <w14:textFill>
            <w14:solidFill>
              <w14:schemeClr w14:val="tx1"/>
            </w14:solidFill>
          </w14:textFill>
        </w:rPr>
      </w:pPr>
    </w:p>
    <w:p w14:paraId="470F600B">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0B618408">
      <w:pPr>
        <w:spacing w:before="120" w:line="22" w:lineRule="atLeast"/>
        <w:rPr>
          <w:rFonts w:ascii="宋体" w:hAnsi="宋体" w:cs="宋体"/>
          <w:color w:val="000000" w:themeColor="text1"/>
          <w:sz w:val="24"/>
          <w:highlight w:val="none"/>
          <w14:textFill>
            <w14:solidFill>
              <w14:schemeClr w14:val="tx1"/>
            </w14:solidFill>
          </w14:textFill>
        </w:rPr>
      </w:pPr>
    </w:p>
    <w:p w14:paraId="01DDC7D8">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7F4402A">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16B0B36A">
      <w:pPr>
        <w:rPr>
          <w:rFonts w:ascii="宋体" w:hAnsi="宋体" w:cs="宋体"/>
          <w:b/>
          <w:color w:val="000000" w:themeColor="text1"/>
          <w:sz w:val="24"/>
          <w:highlight w:val="none"/>
          <w14:textFill>
            <w14:solidFill>
              <w14:schemeClr w14:val="tx1"/>
            </w14:solidFill>
          </w14:textFill>
        </w:rPr>
      </w:pPr>
    </w:p>
    <w:p w14:paraId="0AA766D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杭州高新技术产业开发区（滨江）社会治理中心</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滨江区一体化智能化公共数据平台2025年度数据服务项目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02B2130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杭州高新技术产业开发区（滨江）社会治理中心</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08DA4311">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19273"/>
      <w:bookmarkStart w:id="396" w:name="_Toc28855"/>
      <w:bookmarkStart w:id="397" w:name="_Toc20421"/>
      <w:bookmarkStart w:id="398" w:name="_Toc22967"/>
      <w:bookmarkStart w:id="399" w:name="_Toc153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1AFCE6E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613D7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47786DA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07B44BD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76ACB52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07DF804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1F43023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2918"/>
      <w:bookmarkStart w:id="401" w:name="_Toc6311"/>
      <w:bookmarkStart w:id="402" w:name="_Toc6773"/>
      <w:bookmarkStart w:id="403" w:name="_Toc18585"/>
      <w:bookmarkStart w:id="404" w:name="_Toc221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7F29FFF8">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7B2A123">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60262F0D">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12FED8CA">
      <w:pPr>
        <w:snapToGrid w:val="0"/>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115CBAF">
      <w:pPr>
        <w:pStyle w:val="959"/>
        <w:snapToGrid w:val="0"/>
        <w:spacing w:before="0" w:beforeAutospacing="0" w:after="0" w:afterAutospacing="0" w:line="5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57B2A249">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5" w:name="_Toc21124"/>
      <w:bookmarkStart w:id="406" w:name="_Toc13918"/>
      <w:bookmarkStart w:id="407" w:name="_Toc4929"/>
      <w:bookmarkStart w:id="408" w:name="_Toc1386"/>
      <w:bookmarkStart w:id="409" w:name="_Toc5635"/>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2A5C66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D066D9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50C3DD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2F61F5F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0526320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468FBC24">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69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FF9C49">
            <w:pPr>
              <w:pStyle w:val="319"/>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1D2EA6ED">
            <w:pPr>
              <w:pStyle w:val="319"/>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7A1E0610">
            <w:pPr>
              <w:pStyle w:val="319"/>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53F0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48163F">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7C5C5FA8">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3EE35CF2">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4F93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527F9D">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749687B8">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2682B7F3">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5A1E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8709FD">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08FF3D4A">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73C2B32">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1FE0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745E8D">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21A28359">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A1E2FBB">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3412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044740">
            <w:pPr>
              <w:pStyle w:val="319"/>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23A8BFD3">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0FC8C843">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10" w:name="_Toc26916"/>
      <w:bookmarkStart w:id="411" w:name="_Toc30158"/>
      <w:bookmarkStart w:id="412" w:name="_Toc3654"/>
      <w:bookmarkStart w:id="413" w:name="_Toc14993"/>
      <w:bookmarkStart w:id="414" w:name="_Toc30506"/>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0489F449">
      <w:pPr>
        <w:pStyle w:val="3"/>
        <w:spacing w:line="560" w:lineRule="exact"/>
        <w:rPr>
          <w:color w:val="000000" w:themeColor="text1"/>
          <w:highlight w:val="none"/>
          <w:lang w:val="en-US"/>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0"/>
    <w:bookmarkEnd w:id="411"/>
    <w:bookmarkEnd w:id="412"/>
    <w:bookmarkEnd w:id="413"/>
    <w:bookmarkEnd w:id="414"/>
    <w:p w14:paraId="422A44C2">
      <w:pPr>
        <w:pStyle w:val="959"/>
        <w:spacing w:before="0" w:beforeAutospacing="0" w:after="0" w:afterAutospacing="0" w:line="560" w:lineRule="exact"/>
        <w:ind w:firstLine="480"/>
        <w:rPr>
          <w:b/>
          <w:color w:val="000000" w:themeColor="text1"/>
          <w:highlight w:val="none"/>
          <w14:textFill>
            <w14:solidFill>
              <w14:schemeClr w14:val="tx1"/>
            </w14:solidFill>
          </w14:textFill>
        </w:rPr>
      </w:pPr>
      <w:bookmarkStart w:id="415" w:name="_Toc10340"/>
      <w:bookmarkStart w:id="416" w:name="_Toc22618"/>
      <w:bookmarkStart w:id="417" w:name="_Toc1814"/>
      <w:bookmarkStart w:id="418" w:name="_Toc4760"/>
      <w:bookmarkStart w:id="419" w:name="_Toc31421"/>
      <w:bookmarkStart w:id="420" w:name="_Toc11108"/>
      <w:bookmarkStart w:id="421" w:name="_Toc3625"/>
      <w:bookmarkStart w:id="422" w:name="_Toc8772"/>
      <w:r>
        <w:rPr>
          <w:rFonts w:hint="eastAsia"/>
          <w:b/>
          <w:color w:val="000000" w:themeColor="text1"/>
          <w:highlight w:val="none"/>
          <w14:textFill>
            <w14:solidFill>
              <w14:schemeClr w14:val="tx1"/>
            </w14:solidFill>
          </w14:textFill>
        </w:rPr>
        <w:t>1.4履约保证金</w:t>
      </w:r>
    </w:p>
    <w:p w14:paraId="36B14BBA">
      <w:pPr>
        <w:pStyle w:val="959"/>
        <w:spacing w:before="0" w:beforeAutospacing="0" w:after="0" w:afterAutospacing="0" w:line="5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165744DA">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DA5DDD">
      <w:pPr>
        <w:spacing w:line="560" w:lineRule="exact"/>
        <w:ind w:firstLine="480" w:firstLineChars="200"/>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4DF86E1">
      <w:pPr>
        <w:snapToGrid w:val="0"/>
        <w:spacing w:line="56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28BB875">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172CF6E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5"/>
      <w:bookmarkEnd w:id="416"/>
      <w:bookmarkEnd w:id="417"/>
      <w:r>
        <w:rPr>
          <w:rFonts w:hint="eastAsia" w:ascii="宋体" w:hAnsi="宋体" w:cs="宋体"/>
          <w:b/>
          <w:color w:val="000000" w:themeColor="text1"/>
          <w:sz w:val="24"/>
          <w:highlight w:val="none"/>
          <w14:textFill>
            <w14:solidFill>
              <w14:schemeClr w14:val="tx1"/>
            </w14:solidFill>
          </w14:textFill>
        </w:rPr>
        <w:t>预付款</w:t>
      </w:r>
    </w:p>
    <w:p w14:paraId="48F6CF2C">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8C80422">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4CDFD81">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D94493E">
      <w:pPr>
        <w:pStyle w:val="95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994A098">
      <w:pPr>
        <w:pStyle w:val="95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40D10ECA">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DE7219">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202B08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8"/>
      <w:bookmarkEnd w:id="419"/>
      <w:bookmarkEnd w:id="420"/>
      <w:bookmarkEnd w:id="421"/>
      <w:bookmarkEnd w:id="422"/>
    </w:p>
    <w:p w14:paraId="1E598EA9">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C1AC89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7236E76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182015E7">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3" w:name="_Toc24662"/>
      <w:bookmarkStart w:id="424" w:name="_Toc8586"/>
      <w:bookmarkStart w:id="425" w:name="_Toc5698"/>
      <w:bookmarkStart w:id="426" w:name="_Toc2375"/>
      <w:bookmarkStart w:id="427" w:name="_Toc3079"/>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07A220C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8812FC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CBA71F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368F81A">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3"/>
      <w:bookmarkEnd w:id="424"/>
      <w:bookmarkEnd w:id="425"/>
      <w:bookmarkEnd w:id="426"/>
      <w:bookmarkEnd w:id="427"/>
    </w:p>
    <w:p w14:paraId="7194700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5FD87991">
      <w:pPr>
        <w:pStyle w:val="3"/>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48D8412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35960077">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8" w:name="_Toc26807"/>
      <w:bookmarkStart w:id="429" w:name="_Toc18683"/>
      <w:bookmarkStart w:id="430" w:name="_Toc32454"/>
      <w:bookmarkStart w:id="431" w:name="_Toc30329"/>
      <w:bookmarkStart w:id="432" w:name="_Toc9497"/>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73E5A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F59EA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48101E8">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8"/>
    <w:bookmarkEnd w:id="429"/>
    <w:bookmarkEnd w:id="430"/>
    <w:bookmarkEnd w:id="431"/>
    <w:bookmarkEnd w:id="432"/>
    <w:p w14:paraId="2DF5C1D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3" w:name="_Toc16021"/>
      <w:bookmarkStart w:id="434" w:name="_Toc28375"/>
      <w:bookmarkStart w:id="435" w:name="_Toc15583"/>
      <w:r>
        <w:rPr>
          <w:rFonts w:hint="eastAsia" w:ascii="宋体" w:hAnsi="宋体" w:cs="宋体"/>
          <w:b/>
          <w:color w:val="000000" w:themeColor="text1"/>
          <w:sz w:val="24"/>
          <w:highlight w:val="none"/>
          <w14:textFill>
            <w14:solidFill>
              <w14:schemeClr w14:val="tx1"/>
            </w14:solidFill>
          </w14:textFill>
        </w:rPr>
        <w:t>1.9合同争议的解决</w:t>
      </w:r>
      <w:bookmarkEnd w:id="433"/>
      <w:bookmarkEnd w:id="434"/>
      <w:bookmarkEnd w:id="435"/>
    </w:p>
    <w:p w14:paraId="2AE63522">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1732FEBE">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3624FA6E">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7538753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6" w:name="_Toc15322"/>
      <w:bookmarkStart w:id="437" w:name="_Toc11173"/>
      <w:bookmarkStart w:id="438" w:name="_Toc7245"/>
      <w:r>
        <w:rPr>
          <w:rFonts w:hint="eastAsia" w:ascii="宋体" w:hAnsi="宋体" w:cs="宋体"/>
          <w:b/>
          <w:color w:val="000000" w:themeColor="text1"/>
          <w:sz w:val="24"/>
          <w:highlight w:val="none"/>
          <w14:textFill>
            <w14:solidFill>
              <w14:schemeClr w14:val="tx1"/>
            </w14:solidFill>
          </w14:textFill>
        </w:rPr>
        <w:t>2.0 合同生效</w:t>
      </w:r>
      <w:bookmarkEnd w:id="436"/>
      <w:bookmarkEnd w:id="437"/>
      <w:bookmarkEnd w:id="438"/>
    </w:p>
    <w:p w14:paraId="09F603B5">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781AA26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5780BF40">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4D4744E4">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75EDD681">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5339C1FA">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17DBCFC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1BB1DCA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0A4B6EC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21AE01D9">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7E8971A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50C3C421">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79A520A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3D8FDECD">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24FA1A64">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0D443A5D">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472E55A0">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2D51FD34">
      <w:pPr>
        <w:widowControl/>
        <w:spacing w:line="560" w:lineRule="exact"/>
        <w:jc w:val="left"/>
        <w:rPr>
          <w:rFonts w:ascii="宋体" w:hAnsi="宋体"/>
          <w:b/>
          <w:color w:val="000000" w:themeColor="text1"/>
          <w:sz w:val="24"/>
          <w:highlight w:val="none"/>
          <w14:textFill>
            <w14:solidFill>
              <w14:schemeClr w14:val="tx1"/>
            </w14:solidFill>
          </w14:textFill>
        </w:rPr>
      </w:pPr>
    </w:p>
    <w:p w14:paraId="3EBF14E5">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1D71F240">
      <w:pPr>
        <w:pStyle w:val="701"/>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7738B7C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9" w:name="_Toc14021"/>
      <w:bookmarkStart w:id="440" w:name="_Toc25079"/>
      <w:bookmarkStart w:id="441" w:name="_Toc31297"/>
      <w:bookmarkStart w:id="442" w:name="_Toc5228"/>
      <w:bookmarkStart w:id="443" w:name="_Toc19680"/>
      <w:r>
        <w:rPr>
          <w:rFonts w:ascii="宋体" w:hAnsi="宋体"/>
          <w:b/>
          <w:color w:val="000000" w:themeColor="text1"/>
          <w:sz w:val="24"/>
          <w:highlight w:val="none"/>
          <w14:textFill>
            <w14:solidFill>
              <w14:schemeClr w14:val="tx1"/>
            </w14:solidFill>
          </w14:textFill>
        </w:rPr>
        <w:t>2.1 定义</w:t>
      </w:r>
      <w:bookmarkEnd w:id="439"/>
      <w:bookmarkEnd w:id="440"/>
      <w:bookmarkEnd w:id="441"/>
      <w:bookmarkEnd w:id="442"/>
      <w:bookmarkEnd w:id="443"/>
    </w:p>
    <w:p w14:paraId="630E2AC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3475B7A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2C2AE76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4C373C1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4CE9991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469A2A4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F3AF5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13F13E4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16752"/>
      <w:bookmarkStart w:id="445" w:name="_Toc3769"/>
      <w:bookmarkStart w:id="446" w:name="_Toc23289"/>
      <w:bookmarkStart w:id="447" w:name="_Toc19539"/>
      <w:bookmarkStart w:id="448" w:name="_Toc31402"/>
      <w:r>
        <w:rPr>
          <w:rFonts w:ascii="宋体" w:hAnsi="宋体"/>
          <w:b/>
          <w:color w:val="000000" w:themeColor="text1"/>
          <w:sz w:val="24"/>
          <w:highlight w:val="none"/>
          <w14:textFill>
            <w14:solidFill>
              <w14:schemeClr w14:val="tx1"/>
            </w14:solidFill>
          </w14:textFill>
        </w:rPr>
        <w:t>2.2 技术规范</w:t>
      </w:r>
      <w:bookmarkEnd w:id="444"/>
      <w:bookmarkEnd w:id="445"/>
      <w:bookmarkEnd w:id="446"/>
      <w:bookmarkEnd w:id="447"/>
      <w:bookmarkEnd w:id="448"/>
    </w:p>
    <w:p w14:paraId="2D1607C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3068497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9161"/>
      <w:bookmarkStart w:id="450" w:name="_Toc13673"/>
      <w:bookmarkStart w:id="451" w:name="_Toc27945"/>
      <w:bookmarkStart w:id="452" w:name="_Toc4133"/>
      <w:bookmarkStart w:id="453" w:name="_Toc12412"/>
      <w:r>
        <w:rPr>
          <w:rFonts w:ascii="宋体" w:hAnsi="宋体"/>
          <w:b/>
          <w:color w:val="000000" w:themeColor="text1"/>
          <w:sz w:val="24"/>
          <w:highlight w:val="none"/>
          <w14:textFill>
            <w14:solidFill>
              <w14:schemeClr w14:val="tx1"/>
            </w14:solidFill>
          </w14:textFill>
        </w:rPr>
        <w:t>2.3 知识产权</w:t>
      </w:r>
      <w:bookmarkEnd w:id="449"/>
      <w:bookmarkEnd w:id="450"/>
      <w:bookmarkEnd w:id="451"/>
      <w:bookmarkEnd w:id="452"/>
      <w:bookmarkEnd w:id="453"/>
    </w:p>
    <w:p w14:paraId="2EAEA34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47FEB1A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2CDF417C">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0B9A525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54F7C6C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02E140B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31233"/>
      <w:bookmarkStart w:id="455" w:name="_Toc26555"/>
      <w:bookmarkStart w:id="456" w:name="_Toc22011"/>
      <w:bookmarkStart w:id="457" w:name="_Toc15447"/>
      <w:bookmarkStart w:id="458" w:name="_Toc32670"/>
      <w:r>
        <w:rPr>
          <w:rFonts w:ascii="宋体" w:hAnsi="宋体"/>
          <w:b/>
          <w:color w:val="000000" w:themeColor="text1"/>
          <w:sz w:val="24"/>
          <w:highlight w:val="none"/>
          <w14:textFill>
            <w14:solidFill>
              <w14:schemeClr w14:val="tx1"/>
            </w14:solidFill>
          </w14:textFill>
        </w:rPr>
        <w:t>2.5 结算方式和付款条件</w:t>
      </w:r>
      <w:bookmarkEnd w:id="454"/>
      <w:bookmarkEnd w:id="455"/>
      <w:bookmarkEnd w:id="456"/>
      <w:bookmarkEnd w:id="457"/>
      <w:bookmarkEnd w:id="458"/>
    </w:p>
    <w:p w14:paraId="14F62AA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8FD5C5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18990"/>
      <w:bookmarkStart w:id="460" w:name="_Toc16163"/>
      <w:bookmarkStart w:id="461" w:name="_Toc30507"/>
      <w:bookmarkStart w:id="462" w:name="_Toc13154"/>
      <w:bookmarkStart w:id="463" w:name="_Toc13467"/>
      <w:r>
        <w:rPr>
          <w:rFonts w:ascii="宋体" w:hAnsi="宋体"/>
          <w:b/>
          <w:color w:val="000000" w:themeColor="text1"/>
          <w:sz w:val="24"/>
          <w:highlight w:val="none"/>
          <w14:textFill>
            <w14:solidFill>
              <w14:schemeClr w14:val="tx1"/>
            </w14:solidFill>
          </w14:textFill>
        </w:rPr>
        <w:t>2.6 技术资料和保密义务</w:t>
      </w:r>
      <w:bookmarkEnd w:id="459"/>
      <w:bookmarkEnd w:id="460"/>
      <w:bookmarkEnd w:id="461"/>
      <w:bookmarkEnd w:id="462"/>
      <w:bookmarkEnd w:id="463"/>
    </w:p>
    <w:p w14:paraId="384CAF5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3490863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03068E6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248B80A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4"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4"/>
    </w:p>
    <w:p w14:paraId="4EE002B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56D6325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3E7AD28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5"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5"/>
    </w:p>
    <w:p w14:paraId="66ECB15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1854DFB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6"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6"/>
    </w:p>
    <w:p w14:paraId="716FB02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F59584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23368"/>
      <w:bookmarkStart w:id="468" w:name="_Toc21830"/>
      <w:bookmarkStart w:id="469" w:name="_Toc42"/>
      <w:bookmarkStart w:id="470" w:name="_Toc10663"/>
      <w:bookmarkStart w:id="471" w:name="_Toc26689"/>
      <w:r>
        <w:rPr>
          <w:rFonts w:ascii="宋体" w:hAnsi="宋体"/>
          <w:b/>
          <w:color w:val="000000" w:themeColor="text1"/>
          <w:sz w:val="24"/>
          <w:highlight w:val="none"/>
          <w14:textFill>
            <w14:solidFill>
              <w14:schemeClr w14:val="tx1"/>
            </w14:solidFill>
          </w14:textFill>
        </w:rPr>
        <w:t>2.10 合同转让和分包</w:t>
      </w:r>
      <w:bookmarkEnd w:id="467"/>
      <w:bookmarkEnd w:id="468"/>
      <w:bookmarkEnd w:id="469"/>
      <w:bookmarkEnd w:id="470"/>
      <w:bookmarkEnd w:id="471"/>
    </w:p>
    <w:p w14:paraId="16B228C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10834DB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26633"/>
      <w:bookmarkStart w:id="473" w:name="_Toc4720"/>
      <w:bookmarkStart w:id="474" w:name="_Toc25571"/>
      <w:bookmarkStart w:id="475" w:name="_Toc14371"/>
      <w:bookmarkStart w:id="476" w:name="_Toc32494"/>
      <w:r>
        <w:rPr>
          <w:rFonts w:ascii="宋体" w:hAnsi="宋体"/>
          <w:b/>
          <w:color w:val="000000" w:themeColor="text1"/>
          <w:sz w:val="24"/>
          <w:highlight w:val="none"/>
          <w14:textFill>
            <w14:solidFill>
              <w14:schemeClr w14:val="tx1"/>
            </w14:solidFill>
          </w14:textFill>
        </w:rPr>
        <w:t>2.11 不可抗力</w:t>
      </w:r>
      <w:bookmarkEnd w:id="472"/>
      <w:bookmarkEnd w:id="473"/>
      <w:bookmarkEnd w:id="474"/>
      <w:bookmarkEnd w:id="475"/>
      <w:bookmarkEnd w:id="476"/>
    </w:p>
    <w:p w14:paraId="173CF3B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41007D2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0A0CA9B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3610D53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247EC6A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7" w:name="_Toc14115"/>
      <w:bookmarkStart w:id="478" w:name="_Toc23854"/>
      <w:bookmarkStart w:id="479" w:name="_Toc24465"/>
      <w:bookmarkStart w:id="480" w:name="_Toc3638"/>
      <w:bookmarkStart w:id="481" w:name="_Toc25783"/>
      <w:r>
        <w:rPr>
          <w:rFonts w:ascii="宋体" w:hAnsi="宋体"/>
          <w:b/>
          <w:color w:val="000000" w:themeColor="text1"/>
          <w:sz w:val="24"/>
          <w:highlight w:val="none"/>
          <w14:textFill>
            <w14:solidFill>
              <w14:schemeClr w14:val="tx1"/>
            </w14:solidFill>
          </w14:textFill>
        </w:rPr>
        <w:t>2.12 税费</w:t>
      </w:r>
      <w:bookmarkEnd w:id="477"/>
      <w:bookmarkEnd w:id="478"/>
      <w:bookmarkEnd w:id="479"/>
      <w:bookmarkEnd w:id="480"/>
      <w:bookmarkEnd w:id="481"/>
    </w:p>
    <w:p w14:paraId="76F12F7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6EE1FF4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30105"/>
      <w:bookmarkStart w:id="483" w:name="_Toc25525"/>
      <w:bookmarkStart w:id="484" w:name="_Toc26883"/>
      <w:bookmarkStart w:id="485" w:name="_Toc7315"/>
      <w:bookmarkStart w:id="486" w:name="_Toc14814"/>
      <w:r>
        <w:rPr>
          <w:rFonts w:ascii="宋体" w:hAnsi="宋体"/>
          <w:b/>
          <w:color w:val="000000" w:themeColor="text1"/>
          <w:sz w:val="24"/>
          <w:highlight w:val="none"/>
          <w14:textFill>
            <w14:solidFill>
              <w14:schemeClr w14:val="tx1"/>
            </w14:solidFill>
          </w14:textFill>
        </w:rPr>
        <w:t>2.13 乙方破产</w:t>
      </w:r>
      <w:bookmarkEnd w:id="482"/>
      <w:bookmarkEnd w:id="483"/>
      <w:bookmarkEnd w:id="484"/>
      <w:bookmarkEnd w:id="485"/>
      <w:bookmarkEnd w:id="486"/>
    </w:p>
    <w:p w14:paraId="54AC5F8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04A1970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7" w:name="_Toc23323"/>
      <w:bookmarkStart w:id="488" w:name="_Toc1123"/>
      <w:bookmarkStart w:id="489" w:name="_Toc2016"/>
      <w:r>
        <w:rPr>
          <w:rFonts w:ascii="宋体" w:hAnsi="宋体"/>
          <w:b/>
          <w:color w:val="000000" w:themeColor="text1"/>
          <w:sz w:val="24"/>
          <w:highlight w:val="none"/>
          <w14:textFill>
            <w14:solidFill>
              <w14:schemeClr w14:val="tx1"/>
            </w14:solidFill>
          </w14:textFill>
        </w:rPr>
        <w:t>2.14 合同中止、终止</w:t>
      </w:r>
      <w:bookmarkEnd w:id="487"/>
      <w:bookmarkEnd w:id="488"/>
      <w:bookmarkEnd w:id="489"/>
    </w:p>
    <w:p w14:paraId="142BBB0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0907C30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8ABB75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0" w:name="_Toc17363"/>
      <w:bookmarkStart w:id="491" w:name="_Toc14525"/>
      <w:bookmarkStart w:id="492" w:name="_Toc1969"/>
      <w:r>
        <w:rPr>
          <w:rFonts w:ascii="宋体" w:hAnsi="宋体"/>
          <w:b/>
          <w:color w:val="000000" w:themeColor="text1"/>
          <w:sz w:val="24"/>
          <w:highlight w:val="none"/>
          <w14:textFill>
            <w14:solidFill>
              <w14:schemeClr w14:val="tx1"/>
            </w14:solidFill>
          </w14:textFill>
        </w:rPr>
        <w:t>2.15 检验和验收</w:t>
      </w:r>
      <w:bookmarkEnd w:id="490"/>
      <w:bookmarkEnd w:id="491"/>
      <w:bookmarkEnd w:id="492"/>
    </w:p>
    <w:p w14:paraId="0CE8E326">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64717813">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612B685">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27D82D4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3" w:name="_Toc12666"/>
      <w:bookmarkStart w:id="494" w:name="_Toc2308"/>
      <w:bookmarkStart w:id="495" w:name="_Toc9808"/>
      <w:bookmarkStart w:id="496" w:name="_Toc25198"/>
      <w:bookmarkStart w:id="497" w:name="_Toc31892"/>
      <w:r>
        <w:rPr>
          <w:rFonts w:ascii="宋体" w:hAnsi="宋体"/>
          <w:b/>
          <w:color w:val="000000" w:themeColor="text1"/>
          <w:sz w:val="24"/>
          <w:highlight w:val="none"/>
          <w14:textFill>
            <w14:solidFill>
              <w14:schemeClr w14:val="tx1"/>
            </w14:solidFill>
          </w14:textFill>
        </w:rPr>
        <w:t>2.16 通知和送达</w:t>
      </w:r>
      <w:bookmarkEnd w:id="493"/>
      <w:bookmarkEnd w:id="494"/>
      <w:bookmarkEnd w:id="495"/>
      <w:bookmarkEnd w:id="496"/>
      <w:bookmarkEnd w:id="497"/>
    </w:p>
    <w:p w14:paraId="7B5B226D">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8" w:name="_Toc18401"/>
      <w:bookmarkStart w:id="499"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C32A7B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8"/>
      <w:bookmarkEnd w:id="499"/>
    </w:p>
    <w:p w14:paraId="14A85D6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500" w:name="_Toc27644"/>
      <w:bookmarkStart w:id="501" w:name="_Toc28906"/>
      <w:bookmarkStart w:id="502" w:name="_Toc5063"/>
      <w:bookmarkStart w:id="503" w:name="_Toc20808"/>
      <w:bookmarkStart w:id="504" w:name="_Toc12254"/>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00"/>
      <w:bookmarkEnd w:id="501"/>
      <w:bookmarkEnd w:id="502"/>
      <w:bookmarkEnd w:id="503"/>
      <w:bookmarkEnd w:id="504"/>
    </w:p>
    <w:p w14:paraId="544813D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4F1CA53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477A29A9">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5" w:name="_Toc4355"/>
      <w:bookmarkStart w:id="506" w:name="_Toc30599"/>
      <w:bookmarkStart w:id="507" w:name="_Toc18540"/>
      <w:r>
        <w:rPr>
          <w:rFonts w:hint="eastAsia" w:ascii="宋体" w:hAnsi="宋体" w:cs="宋体"/>
          <w:b/>
          <w:color w:val="000000" w:themeColor="text1"/>
          <w:sz w:val="24"/>
          <w:highlight w:val="none"/>
          <w14:textFill>
            <w14:solidFill>
              <w14:schemeClr w14:val="tx1"/>
            </w14:solidFill>
          </w14:textFill>
        </w:rPr>
        <w:t>2.18 计量单位</w:t>
      </w:r>
      <w:bookmarkEnd w:id="505"/>
      <w:bookmarkEnd w:id="506"/>
      <w:bookmarkEnd w:id="507"/>
    </w:p>
    <w:p w14:paraId="7917D2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EAA0581">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18CB2E0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56DA53C7">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08" w:name="_Toc331685784"/>
      <w:r>
        <w:rPr>
          <w:rFonts w:hint="eastAsia" w:ascii="宋体" w:hAnsi="宋体" w:cs="宋体"/>
          <w:b/>
          <w:color w:val="000000" w:themeColor="text1"/>
          <w:sz w:val="24"/>
          <w:highlight w:val="none"/>
          <w14:textFill>
            <w14:solidFill>
              <w14:schemeClr w14:val="tx1"/>
            </w14:solidFill>
          </w14:textFill>
        </w:rPr>
        <w:t xml:space="preserve"> </w:t>
      </w:r>
      <w:bookmarkEnd w:id="508"/>
      <w:r>
        <w:rPr>
          <w:rFonts w:hint="eastAsia" w:ascii="宋体" w:hAnsi="宋体" w:cs="宋体"/>
          <w:b/>
          <w:color w:val="000000" w:themeColor="text1"/>
          <w:sz w:val="24"/>
          <w:highlight w:val="none"/>
          <w14:textFill>
            <w14:solidFill>
              <w14:schemeClr w14:val="tx1"/>
            </w14:solidFill>
          </w14:textFill>
        </w:rPr>
        <w:t>第三部分  合同专用条款</w:t>
      </w:r>
    </w:p>
    <w:p w14:paraId="4BD8D215">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193"/>
      </w:tblGrid>
      <w:tr w14:paraId="3879C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321" w:type="dxa"/>
          </w:tcPr>
          <w:p w14:paraId="6B16363F">
            <w:pPr>
              <w:pStyle w:val="783"/>
              <w:widowControl w:val="0"/>
              <w:spacing w:line="460" w:lineRule="atLeast"/>
              <w:ind w:firstLine="181"/>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条款号</w:t>
            </w:r>
          </w:p>
        </w:tc>
        <w:tc>
          <w:tcPr>
            <w:tcW w:w="8193" w:type="dxa"/>
          </w:tcPr>
          <w:p w14:paraId="76737F2D">
            <w:pPr>
              <w:pStyle w:val="783"/>
              <w:widowControl w:val="0"/>
              <w:spacing w:line="460" w:lineRule="atLeast"/>
              <w:ind w:firstLine="181"/>
              <w:jc w:val="center"/>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约定内容</w:t>
            </w:r>
          </w:p>
        </w:tc>
      </w:tr>
      <w:tr w14:paraId="1BF0F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52FB9140">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1.3.2</w:t>
            </w:r>
          </w:p>
        </w:tc>
        <w:tc>
          <w:tcPr>
            <w:tcW w:w="8193" w:type="dxa"/>
            <w:vAlign w:val="center"/>
          </w:tcPr>
          <w:p w14:paraId="23AA3F9E">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单价合同</w:t>
            </w:r>
            <w:r>
              <w:rPr>
                <w:rFonts w:ascii="宋体" w:hAnsi="宋体" w:cs="宋体"/>
                <w:color w:val="000000" w:themeColor="text1"/>
                <w:sz w:val="24"/>
                <w:szCs w:val="24"/>
                <w:highlight w:val="none"/>
                <w:lang w:val="zh-TW" w:eastAsia="zh-TW"/>
                <w14:textFill>
                  <w14:solidFill>
                    <w14:schemeClr w14:val="tx1"/>
                  </w14:solidFill>
                </w14:textFill>
              </w:rPr>
              <w:t>服务工作量的计量方式</w:t>
            </w:r>
            <w:r>
              <w:rPr>
                <w:rFonts w:ascii="宋体" w:hAnsi="宋体" w:cs="宋体"/>
                <w:color w:val="000000" w:themeColor="text1"/>
                <w:sz w:val="24"/>
                <w:szCs w:val="24"/>
                <w:highlight w:val="none"/>
                <w:lang w:val="zh-TW"/>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本合同为总价合同</w:t>
            </w:r>
            <w:r>
              <w:rPr>
                <w:rFonts w:hint="eastAsia" w:ascii="宋体" w:hAnsi="宋体" w:cs="宋体"/>
                <w:color w:val="000000" w:themeColor="text1"/>
                <w:sz w:val="24"/>
                <w:szCs w:val="24"/>
                <w:highlight w:val="none"/>
                <w14:textFill>
                  <w14:solidFill>
                    <w14:schemeClr w14:val="tx1"/>
                  </w14:solidFill>
                </w14:textFill>
              </w:rPr>
              <w:t>。</w:t>
            </w:r>
          </w:p>
        </w:tc>
      </w:tr>
      <w:tr w14:paraId="705A3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210D9267">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1.4.2</w:t>
            </w:r>
          </w:p>
        </w:tc>
        <w:tc>
          <w:tcPr>
            <w:tcW w:w="8193" w:type="dxa"/>
            <w:vAlign w:val="center"/>
          </w:tcPr>
          <w:p w14:paraId="48CD588E">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zh-TW" w:eastAsia="zh-TW"/>
                <w14:textFill>
                  <w14:solidFill>
                    <w14:schemeClr w14:val="tx1"/>
                  </w14:solidFill>
                </w14:textFill>
              </w:rPr>
              <w:t>履约保证金支付方式</w:t>
            </w:r>
            <w:r>
              <w:rPr>
                <w:rFonts w:ascii="宋体" w:hAnsi="宋体" w:cs="宋体"/>
                <w:color w:val="000000" w:themeColor="text1"/>
                <w:sz w:val="24"/>
                <w:szCs w:val="24"/>
                <w:highlight w:val="none"/>
                <w:lang w:val="zh-TW"/>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本项目无需缴纳</w:t>
            </w:r>
            <w:r>
              <w:rPr>
                <w:rFonts w:hint="eastAsia" w:ascii="宋体" w:hAnsi="宋体" w:cs="宋体"/>
                <w:color w:val="000000" w:themeColor="text1"/>
                <w:sz w:val="24"/>
                <w:szCs w:val="24"/>
                <w:highlight w:val="none"/>
                <w14:textFill>
                  <w14:solidFill>
                    <w14:schemeClr w14:val="tx1"/>
                  </w14:solidFill>
                </w14:textFill>
              </w:rPr>
              <w:t>。</w:t>
            </w:r>
          </w:p>
        </w:tc>
      </w:tr>
      <w:tr w14:paraId="37AF4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533AD504">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1.5.1</w:t>
            </w:r>
          </w:p>
        </w:tc>
        <w:tc>
          <w:tcPr>
            <w:tcW w:w="8193" w:type="dxa"/>
            <w:vAlign w:val="center"/>
          </w:tcPr>
          <w:p w14:paraId="7D87FFED">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zh-TW" w:eastAsia="zh-TW"/>
                <w14:textFill>
                  <w14:solidFill>
                    <w14:schemeClr w14:val="tx1"/>
                  </w14:solidFill>
                </w14:textFill>
              </w:rPr>
              <w:t>预付款比例、支付方式、时间</w:t>
            </w:r>
            <w:r>
              <w:rPr>
                <w:rFonts w:ascii="宋体" w:hAnsi="宋体" w:cs="宋体"/>
                <w:color w:val="000000" w:themeColor="text1"/>
                <w:sz w:val="24"/>
                <w:szCs w:val="24"/>
                <w:highlight w:val="none"/>
                <w:lang w:val="zh-TW"/>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同1.6.2</w:t>
            </w:r>
            <w:r>
              <w:rPr>
                <w:rFonts w:hint="eastAsia" w:ascii="宋体" w:hAnsi="宋体" w:cs="宋体"/>
                <w:color w:val="000000" w:themeColor="text1"/>
                <w:sz w:val="24"/>
                <w:szCs w:val="24"/>
                <w:highlight w:val="none"/>
                <w14:textFill>
                  <w14:solidFill>
                    <w14:schemeClr w14:val="tx1"/>
                  </w14:solidFill>
                </w14:textFill>
              </w:rPr>
              <w:t>。</w:t>
            </w:r>
          </w:p>
        </w:tc>
      </w:tr>
      <w:tr w14:paraId="54C52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67635B67">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1.5.2</w:t>
            </w:r>
          </w:p>
        </w:tc>
        <w:tc>
          <w:tcPr>
            <w:tcW w:w="8193" w:type="dxa"/>
            <w:vAlign w:val="center"/>
          </w:tcPr>
          <w:p w14:paraId="2AA4B1EC">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zh-TW" w:eastAsia="zh-TW"/>
                <w14:textFill>
                  <w14:solidFill>
                    <w14:schemeClr w14:val="tx1"/>
                  </w14:solidFill>
                </w14:textFill>
              </w:rPr>
              <w:t>预付款的扣回方式</w:t>
            </w:r>
            <w:r>
              <w:rPr>
                <w:rFonts w:ascii="宋体" w:hAnsi="宋体" w:cs="宋体"/>
                <w:color w:val="000000" w:themeColor="text1"/>
                <w:sz w:val="24"/>
                <w:szCs w:val="24"/>
                <w:highlight w:val="none"/>
                <w:lang w:val="zh-TW"/>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w:t>
            </w:r>
          </w:p>
        </w:tc>
      </w:tr>
      <w:tr w14:paraId="72313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10C1B892">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1.5.3</w:t>
            </w:r>
          </w:p>
        </w:tc>
        <w:tc>
          <w:tcPr>
            <w:tcW w:w="8193" w:type="dxa"/>
            <w:vAlign w:val="center"/>
          </w:tcPr>
          <w:p w14:paraId="3258C5FC">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zh-TW" w:eastAsia="zh-TW"/>
                <w14:textFill>
                  <w14:solidFill>
                    <w14:schemeClr w14:val="tx1"/>
                  </w14:solidFill>
                </w14:textFill>
              </w:rPr>
              <w:t>预付款的担保措施：</w:t>
            </w:r>
            <w:r>
              <w:rPr>
                <w:rFonts w:ascii="宋体" w:hAnsi="宋体" w:cs="宋体"/>
                <w:color w:val="000000" w:themeColor="text1"/>
                <w:sz w:val="24"/>
                <w:szCs w:val="24"/>
                <w:highlight w:val="none"/>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w:t>
            </w:r>
          </w:p>
        </w:tc>
      </w:tr>
      <w:tr w14:paraId="59E0F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1D1B637A">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1.6.2</w:t>
            </w:r>
          </w:p>
        </w:tc>
        <w:tc>
          <w:tcPr>
            <w:tcW w:w="8193" w:type="dxa"/>
            <w:vAlign w:val="center"/>
          </w:tcPr>
          <w:p w14:paraId="07B71575">
            <w:pPr>
              <w:snapToGrid w:val="0"/>
              <w:spacing w:line="460" w:lineRule="atLeast"/>
              <w:rPr>
                <w:rFonts w:ascii="宋体" w:hAnsi="宋体" w:cs="宋体"/>
                <w:color w:val="000000" w:themeColor="text1"/>
                <w:sz w:val="24"/>
                <w:highlight w:val="none"/>
                <w:lang w:val="zh-TW"/>
                <w14:textFill>
                  <w14:solidFill>
                    <w14:schemeClr w14:val="tx1"/>
                  </w14:solidFill>
                </w14:textFill>
              </w:rPr>
            </w:pPr>
            <w:r>
              <w:rPr>
                <w:rFonts w:hint="eastAsia" w:ascii="宋体" w:hAnsi="宋体" w:cs="宋体"/>
                <w:color w:val="000000" w:themeColor="text1"/>
                <w:sz w:val="24"/>
                <w:highlight w:val="none"/>
                <w:lang w:val="zh-TW" w:eastAsia="zh-TW"/>
                <w14:textFill>
                  <w14:solidFill>
                    <w14:schemeClr w14:val="tx1"/>
                  </w14:solidFill>
                </w14:textFill>
              </w:rPr>
              <w:t>资金支付的方式、时间和条件</w:t>
            </w:r>
            <w:r>
              <w:rPr>
                <w:rFonts w:hint="eastAsia" w:ascii="宋体" w:hAnsi="宋体" w:cs="宋体"/>
                <w:color w:val="000000" w:themeColor="text1"/>
                <w:sz w:val="24"/>
                <w:highlight w:val="none"/>
                <w:lang w:val="zh-TW"/>
                <w14:textFill>
                  <w14:solidFill>
                    <w14:schemeClr w14:val="tx1"/>
                  </w14:solidFill>
                </w14:textFill>
              </w:rPr>
              <w:t>：</w:t>
            </w:r>
          </w:p>
          <w:p w14:paraId="4953ED1D">
            <w:pPr>
              <w:snapToGrid w:val="0"/>
              <w:spacing w:line="460" w:lineRule="atLeast"/>
              <w:rPr>
                <w:rFonts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 w:val="24"/>
                <w:highlight w:val="none"/>
                <w:lang w:eastAsia="zh-Hans"/>
                <w14:textFill>
                  <w14:solidFill>
                    <w14:schemeClr w14:val="tx1"/>
                  </w14:solidFill>
                </w14:textFill>
              </w:rPr>
              <w:t>本次项目合同总价（</w:t>
            </w:r>
            <w:r>
              <w:rPr>
                <w:rFonts w:hint="eastAsia" w:ascii="宋体" w:hAnsi="宋体" w:cs="宋体"/>
                <w:color w:val="000000" w:themeColor="text1"/>
                <w:sz w:val="24"/>
                <w:highlight w:val="none"/>
                <w14:textFill>
                  <w14:solidFill>
                    <w14:schemeClr w14:val="tx1"/>
                  </w14:solidFill>
                </w14:textFill>
              </w:rPr>
              <w:t>含税</w:t>
            </w:r>
            <w:r>
              <w:rPr>
                <w:rFonts w:hint="eastAsia" w:ascii="宋体" w:hAnsi="宋体" w:cs="宋体"/>
                <w:color w:val="000000" w:themeColor="text1"/>
                <w:sz w:val="24"/>
                <w:highlight w:val="none"/>
                <w:lang w:eastAsia="zh-Hans"/>
                <w14:textFill>
                  <w14:solidFill>
                    <w14:schemeClr w14:val="tx1"/>
                  </w14:solidFill>
                </w14:textFill>
              </w:rPr>
              <w:t>）为大写人民币</w:t>
            </w:r>
            <w:r>
              <w:rPr>
                <w:rFonts w:hint="eastAsia" w:ascii="宋体" w:hAnsi="宋体" w:cs="宋体"/>
                <w:color w:val="000000" w:themeColor="text1"/>
                <w:sz w:val="24"/>
                <w:highlight w:val="none"/>
                <w:u w:val="single"/>
                <w:lang w:eastAsia="zh-Hans"/>
                <w14:textFill>
                  <w14:solidFill>
                    <w14:schemeClr w14:val="tx1"/>
                  </w14:solidFill>
                </w14:textFill>
              </w:rPr>
              <w:t xml:space="preserve">           </w:t>
            </w:r>
            <w:r>
              <w:rPr>
                <w:rFonts w:hint="eastAsia" w:ascii="宋体" w:hAnsi="宋体" w:cs="宋体"/>
                <w:color w:val="000000" w:themeColor="text1"/>
                <w:sz w:val="24"/>
                <w:highlight w:val="none"/>
                <w:lang w:eastAsia="zh-Hans"/>
                <w14:textFill>
                  <w14:solidFill>
                    <w14:schemeClr w14:val="tx1"/>
                  </w14:solidFill>
                </w14:textFill>
              </w:rPr>
              <w:t>元整（￥</w:t>
            </w:r>
            <w:r>
              <w:rPr>
                <w:rFonts w:hint="eastAsia" w:ascii="宋体" w:hAnsi="宋体" w:cs="宋体"/>
                <w:color w:val="000000" w:themeColor="text1"/>
                <w:sz w:val="24"/>
                <w:highlight w:val="none"/>
                <w:u w:val="single"/>
                <w:lang w:eastAsia="zh-Hans"/>
                <w14:textFill>
                  <w14:solidFill>
                    <w14:schemeClr w14:val="tx1"/>
                  </w14:solidFill>
                </w14:textFill>
              </w:rPr>
              <w:t xml:space="preserve">           </w:t>
            </w:r>
            <w:r>
              <w:rPr>
                <w:rFonts w:hint="eastAsia" w:ascii="宋体" w:hAnsi="宋体" w:cs="宋体"/>
                <w:color w:val="000000" w:themeColor="text1"/>
                <w:sz w:val="24"/>
                <w:highlight w:val="none"/>
                <w:lang w:eastAsia="zh-Hans"/>
                <w14:textFill>
                  <w14:solidFill>
                    <w14:schemeClr w14:val="tx1"/>
                  </w14:solidFill>
                </w14:textFill>
              </w:rPr>
              <w:t>元），采用分期付款方式，具体如下：</w:t>
            </w:r>
          </w:p>
          <w:p w14:paraId="27293B54">
            <w:pPr>
              <w:pStyle w:val="61"/>
              <w:numPr>
                <w:ilvl w:val="255"/>
                <w:numId w:val="0"/>
              </w:numPr>
              <w:snapToGrid w:val="0"/>
              <w:spacing w:after="240" w:line="460" w:lineRule="atLeast"/>
              <w:rPr>
                <w:rFonts w:cs="宋体"/>
                <w:bCs/>
                <w:color w:val="000000" w:themeColor="text1"/>
                <w:sz w:val="24"/>
                <w:highlight w:val="none"/>
                <w:lang w:eastAsia="zh-Hans"/>
                <w14:textFill>
                  <w14:solidFill>
                    <w14:schemeClr w14:val="tx1"/>
                  </w14:solidFill>
                </w14:textFill>
              </w:rPr>
            </w:pPr>
            <w:r>
              <w:rPr>
                <w:rFonts w:hint="eastAsia" w:cs="宋体"/>
                <w:bCs/>
                <w:color w:val="000000" w:themeColor="text1"/>
                <w:sz w:val="24"/>
                <w:highlight w:val="none"/>
                <w14:textFill>
                  <w14:solidFill>
                    <w14:schemeClr w14:val="tx1"/>
                  </w14:solidFill>
                </w14:textFill>
              </w:rPr>
              <w:t>1、</w:t>
            </w:r>
            <w:r>
              <w:rPr>
                <w:rFonts w:hint="eastAsia" w:cs="宋体"/>
                <w:bCs/>
                <w:color w:val="000000" w:themeColor="text1"/>
                <w:sz w:val="24"/>
                <w:highlight w:val="none"/>
                <w:lang w:eastAsia="zh-Hans"/>
                <w14:textFill>
                  <w14:solidFill>
                    <w14:schemeClr w14:val="tx1"/>
                  </w14:solidFill>
                </w14:textFill>
              </w:rPr>
              <w:t>第一期付款：采购合同签订生效后</w:t>
            </w:r>
            <w:r>
              <w:rPr>
                <w:rFonts w:hint="eastAsia" w:cs="宋体"/>
                <w:bCs/>
                <w:color w:val="000000" w:themeColor="text1"/>
                <w:sz w:val="24"/>
                <w:highlight w:val="none"/>
                <w14:textFill>
                  <w14:solidFill>
                    <w14:schemeClr w14:val="tx1"/>
                  </w14:solidFill>
                </w14:textFill>
              </w:rPr>
              <w:t>，</w:t>
            </w:r>
            <w:r>
              <w:rPr>
                <w:rFonts w:hint="eastAsia" w:cs="宋体"/>
                <w:bCs/>
                <w:color w:val="000000" w:themeColor="text1"/>
                <w:sz w:val="24"/>
                <w:highlight w:val="none"/>
                <w:lang w:eastAsia="zh-Hans"/>
                <w14:textFill>
                  <w14:solidFill>
                    <w14:schemeClr w14:val="tx1"/>
                  </w14:solidFill>
                </w14:textFill>
              </w:rPr>
              <w:t>甲方于收到乙方开具的等额发票</w:t>
            </w:r>
            <w:r>
              <w:rPr>
                <w:rFonts w:cs="宋体"/>
                <w:bCs/>
                <w:color w:val="000000" w:themeColor="text1"/>
                <w:sz w:val="24"/>
                <w:highlight w:val="none"/>
                <w:lang w:eastAsia="zh-Hans"/>
                <w14:textFill>
                  <w14:solidFill>
                    <w14:schemeClr w14:val="tx1"/>
                  </w14:solidFill>
                </w14:textFill>
              </w:rPr>
              <w:t>5</w:t>
            </w:r>
            <w:r>
              <w:rPr>
                <w:rFonts w:hint="eastAsia" w:cs="宋体"/>
                <w:bCs/>
                <w:color w:val="000000" w:themeColor="text1"/>
                <w:sz w:val="24"/>
                <w:highlight w:val="none"/>
                <w:lang w:eastAsia="zh-Hans"/>
                <w14:textFill>
                  <w14:solidFill>
                    <w14:schemeClr w14:val="tx1"/>
                  </w14:solidFill>
                </w14:textFill>
              </w:rPr>
              <w:t>个工作日内支付合同总价</w:t>
            </w:r>
            <w:r>
              <w:rPr>
                <w:rFonts w:cs="宋体"/>
                <w:bCs/>
                <w:color w:val="000000" w:themeColor="text1"/>
                <w:sz w:val="24"/>
                <w:highlight w:val="none"/>
                <w14:textFill>
                  <w14:solidFill>
                    <w14:schemeClr w14:val="tx1"/>
                  </w14:solidFill>
                </w14:textFill>
              </w:rPr>
              <w:t>6</w:t>
            </w:r>
            <w:r>
              <w:rPr>
                <w:rFonts w:hint="eastAsia" w:cs="宋体"/>
                <w:bCs/>
                <w:color w:val="000000" w:themeColor="text1"/>
                <w:sz w:val="24"/>
                <w:highlight w:val="none"/>
                <w:lang w:eastAsia="zh-Hans"/>
                <w14:textFill>
                  <w14:solidFill>
                    <w14:schemeClr w14:val="tx1"/>
                  </w14:solidFill>
                </w14:textFill>
              </w:rPr>
              <w:t xml:space="preserve">0%的预付款项； </w:t>
            </w:r>
          </w:p>
          <w:p w14:paraId="0449BB15">
            <w:pPr>
              <w:pStyle w:val="61"/>
              <w:numPr>
                <w:ilvl w:val="255"/>
                <w:numId w:val="0"/>
              </w:numPr>
              <w:snapToGrid w:val="0"/>
              <w:spacing w:after="240" w:line="460" w:lineRule="atLeast"/>
              <w:rPr>
                <w:rFonts w:cs="宋体"/>
                <w:bCs/>
                <w:color w:val="000000" w:themeColor="text1"/>
                <w:sz w:val="24"/>
                <w:highlight w:val="none"/>
                <w:lang w:eastAsia="zh-Hans"/>
                <w14:textFill>
                  <w14:solidFill>
                    <w14:schemeClr w14:val="tx1"/>
                  </w14:solidFill>
                </w14:textFill>
              </w:rPr>
            </w:pPr>
            <w:r>
              <w:rPr>
                <w:rFonts w:hint="eastAsia" w:cs="宋体"/>
                <w:bCs/>
                <w:color w:val="000000" w:themeColor="text1"/>
                <w:sz w:val="24"/>
                <w:highlight w:val="none"/>
                <w14:textFill>
                  <w14:solidFill>
                    <w14:schemeClr w14:val="tx1"/>
                  </w14:solidFill>
                </w14:textFill>
              </w:rPr>
              <w:t>2、</w:t>
            </w:r>
            <w:r>
              <w:rPr>
                <w:rFonts w:hint="eastAsia" w:cs="宋体"/>
                <w:bCs/>
                <w:color w:val="000000" w:themeColor="text1"/>
                <w:sz w:val="24"/>
                <w:highlight w:val="none"/>
                <w:lang w:eastAsia="zh-Hans"/>
                <w14:textFill>
                  <w14:solidFill>
                    <w14:schemeClr w14:val="tx1"/>
                  </w14:solidFill>
                </w14:textFill>
              </w:rPr>
              <w:t>第二期付款：乙方在</w:t>
            </w:r>
            <w:r>
              <w:rPr>
                <w:rFonts w:hint="eastAsia" w:cs="宋体"/>
                <w:bCs/>
                <w:color w:val="000000" w:themeColor="text1"/>
                <w:sz w:val="24"/>
                <w:highlight w:val="none"/>
                <w14:textFill>
                  <w14:solidFill>
                    <w14:schemeClr w14:val="tx1"/>
                  </w14:solidFill>
                </w14:textFill>
              </w:rPr>
              <w:t>服务期满且验收合格后</w:t>
            </w:r>
            <w:r>
              <w:rPr>
                <w:rFonts w:hint="eastAsia" w:cs="宋体"/>
                <w:bCs/>
                <w:color w:val="000000" w:themeColor="text1"/>
                <w:sz w:val="24"/>
                <w:highlight w:val="none"/>
                <w:lang w:eastAsia="zh-Hans"/>
                <w14:textFill>
                  <w14:solidFill>
                    <w14:schemeClr w14:val="tx1"/>
                  </w14:solidFill>
                </w14:textFill>
              </w:rPr>
              <w:t>，甲方于收到乙方开具的等额发票5个工作日内支付</w:t>
            </w:r>
            <w:r>
              <w:rPr>
                <w:rFonts w:hint="eastAsia" w:cs="宋体"/>
                <w:bCs/>
                <w:color w:val="000000" w:themeColor="text1"/>
                <w:sz w:val="24"/>
                <w:highlight w:val="none"/>
                <w14:textFill>
                  <w14:solidFill>
                    <w14:schemeClr w14:val="tx1"/>
                  </w14:solidFill>
                </w14:textFill>
              </w:rPr>
              <w:t>剩余</w:t>
            </w:r>
            <w:r>
              <w:rPr>
                <w:rFonts w:cs="宋体"/>
                <w:bCs/>
                <w:color w:val="000000" w:themeColor="text1"/>
                <w:sz w:val="24"/>
                <w:highlight w:val="none"/>
                <w:lang w:eastAsia="zh-Hans"/>
                <w14:textFill>
                  <w14:solidFill>
                    <w14:schemeClr w14:val="tx1"/>
                  </w14:solidFill>
                </w14:textFill>
              </w:rPr>
              <w:t>40</w:t>
            </w:r>
            <w:r>
              <w:rPr>
                <w:rFonts w:hint="eastAsia" w:cs="宋体"/>
                <w:bCs/>
                <w:color w:val="000000" w:themeColor="text1"/>
                <w:sz w:val="24"/>
                <w:highlight w:val="none"/>
                <w:lang w:eastAsia="zh-Hans"/>
                <w14:textFill>
                  <w14:solidFill>
                    <w14:schemeClr w14:val="tx1"/>
                  </w14:solidFill>
                </w14:textFill>
              </w:rPr>
              <w:t>%</w:t>
            </w:r>
            <w:r>
              <w:rPr>
                <w:rFonts w:hint="eastAsia" w:cs="宋体"/>
                <w:bCs/>
                <w:color w:val="000000" w:themeColor="text1"/>
                <w:sz w:val="24"/>
                <w:highlight w:val="none"/>
                <w14:textFill>
                  <w14:solidFill>
                    <w14:schemeClr w14:val="tx1"/>
                  </w14:solidFill>
                </w14:textFill>
              </w:rPr>
              <w:t>的合同款项</w:t>
            </w:r>
            <w:r>
              <w:rPr>
                <w:rFonts w:hint="eastAsia" w:cs="宋体"/>
                <w:bCs/>
                <w:color w:val="000000" w:themeColor="text1"/>
                <w:sz w:val="24"/>
                <w:highlight w:val="none"/>
                <w:lang w:eastAsia="zh-Hans"/>
                <w14:textFill>
                  <w14:solidFill>
                    <w14:schemeClr w14:val="tx1"/>
                  </w14:solidFill>
                </w14:textFill>
              </w:rPr>
              <w:t>；</w:t>
            </w:r>
          </w:p>
          <w:p w14:paraId="756C7E52">
            <w:pPr>
              <w:pStyle w:val="783"/>
              <w:snapToGrid w:val="0"/>
              <w:spacing w:line="460" w:lineRule="atLeast"/>
              <w:ind w:firstLine="181"/>
              <w:rPr>
                <w:rFonts w:ascii="宋体" w:hAnsi="宋体" w:cs="宋体"/>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lang w:eastAsia="zh-Hans"/>
                <w14:textFill>
                  <w14:solidFill>
                    <w14:schemeClr w14:val="tx1"/>
                  </w14:solidFill>
                </w14:textFill>
              </w:rPr>
              <w:t>注：每次付款前，乙方提供甲方要求的正规发票。</w:t>
            </w:r>
          </w:p>
        </w:tc>
      </w:tr>
      <w:tr w14:paraId="49ED3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183C8C92">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1.7.1</w:t>
            </w:r>
          </w:p>
        </w:tc>
        <w:tc>
          <w:tcPr>
            <w:tcW w:w="8193" w:type="dxa"/>
            <w:vAlign w:val="center"/>
          </w:tcPr>
          <w:p w14:paraId="39E3BC0D">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zh-TW" w:eastAsia="zh-TW"/>
                <w14:textFill>
                  <w14:solidFill>
                    <w14:schemeClr w14:val="tx1"/>
                  </w14:solidFill>
                </w14:textFill>
              </w:rPr>
              <w:t>服务交付（实施）的时间（期限）</w:t>
            </w:r>
            <w:r>
              <w:rPr>
                <w:rFonts w:ascii="宋体" w:hAnsi="宋体" w:cs="宋体"/>
                <w:color w:val="000000" w:themeColor="text1"/>
                <w:sz w:val="24"/>
                <w:szCs w:val="24"/>
                <w:highlight w:val="none"/>
                <w:lang w:val="zh-TW"/>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1年</w:t>
            </w:r>
            <w:r>
              <w:rPr>
                <w:rFonts w:hint="eastAsia" w:ascii="宋体" w:hAnsi="宋体" w:cs="宋体"/>
                <w:color w:val="000000" w:themeColor="text1"/>
                <w:sz w:val="24"/>
                <w:szCs w:val="24"/>
                <w:highlight w:val="none"/>
                <w14:textFill>
                  <w14:solidFill>
                    <w14:schemeClr w14:val="tx1"/>
                  </w14:solidFill>
                </w14:textFill>
              </w:rPr>
              <w:t>。</w:t>
            </w:r>
          </w:p>
        </w:tc>
      </w:tr>
      <w:tr w14:paraId="48573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3B8A5E82">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1.7.2</w:t>
            </w:r>
          </w:p>
        </w:tc>
        <w:tc>
          <w:tcPr>
            <w:tcW w:w="8193" w:type="dxa"/>
            <w:vAlign w:val="center"/>
          </w:tcPr>
          <w:p w14:paraId="264C5A86">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zh-TW" w:eastAsia="zh-TW"/>
                <w14:textFill>
                  <w14:solidFill>
                    <w14:schemeClr w14:val="tx1"/>
                  </w14:solidFill>
                </w14:textFill>
              </w:rPr>
              <w:t>服务交付（实施）的地点（地域范围）：</w:t>
            </w:r>
            <w:r>
              <w:rPr>
                <w:rFonts w:ascii="宋体" w:hAnsi="宋体" w:cs="宋体"/>
                <w:color w:val="000000" w:themeColor="text1"/>
                <w:sz w:val="24"/>
                <w:szCs w:val="24"/>
                <w:highlight w:val="none"/>
                <w14:textFill>
                  <w14:solidFill>
                    <w14:schemeClr w14:val="tx1"/>
                  </w14:solidFill>
                </w14:textFill>
              </w:rPr>
              <w:t>杭州市滨江区</w:t>
            </w:r>
            <w:r>
              <w:rPr>
                <w:rFonts w:hint="eastAsia" w:ascii="宋体" w:hAnsi="宋体" w:cs="宋体"/>
                <w:color w:val="000000" w:themeColor="text1"/>
                <w:sz w:val="24"/>
                <w:szCs w:val="24"/>
                <w:highlight w:val="none"/>
                <w14:textFill>
                  <w14:solidFill>
                    <w14:schemeClr w14:val="tx1"/>
                  </w14:solidFill>
                </w14:textFill>
              </w:rPr>
              <w:t>。</w:t>
            </w:r>
          </w:p>
        </w:tc>
      </w:tr>
      <w:tr w14:paraId="2568B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71C0A478">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1.7.3</w:t>
            </w:r>
          </w:p>
        </w:tc>
        <w:tc>
          <w:tcPr>
            <w:tcW w:w="8193" w:type="dxa"/>
            <w:vAlign w:val="center"/>
          </w:tcPr>
          <w:p w14:paraId="5F22EF3B">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lang w:val="zh-TW" w:eastAsia="zh-TW"/>
                <w14:textFill>
                  <w14:solidFill>
                    <w14:schemeClr w14:val="tx1"/>
                  </w14:solidFill>
                </w14:textFill>
              </w:rPr>
              <w:t>服务交付（实施）的方式：</w:t>
            </w:r>
            <w:r>
              <w:rPr>
                <w:rFonts w:ascii="宋体" w:hAnsi="宋体" w:cs="宋体"/>
                <w:color w:val="000000" w:themeColor="text1"/>
                <w:sz w:val="24"/>
                <w:szCs w:val="24"/>
                <w:highlight w:val="none"/>
                <w14:textFill>
                  <w14:solidFill>
                    <w14:schemeClr w14:val="tx1"/>
                  </w14:solidFill>
                </w14:textFill>
              </w:rPr>
              <w:t>乙方应严格按照合同的有关约定和规定，提供符合合同要求的技术服务并通过甲方组织的验收。</w:t>
            </w:r>
          </w:p>
        </w:tc>
      </w:tr>
      <w:tr w14:paraId="250B0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157B1CFF">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1.7.4.1</w:t>
            </w:r>
          </w:p>
        </w:tc>
        <w:tc>
          <w:tcPr>
            <w:tcW w:w="8193" w:type="dxa"/>
            <w:vAlign w:val="center"/>
          </w:tcPr>
          <w:p w14:paraId="7DA5BD89">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项目涉及货物的</w:t>
            </w:r>
            <w:r>
              <w:rPr>
                <w:rFonts w:ascii="宋体" w:hAnsi="宋体" w:cs="宋体"/>
                <w:color w:val="000000" w:themeColor="text1"/>
                <w:sz w:val="24"/>
                <w:szCs w:val="24"/>
                <w:highlight w:val="none"/>
                <w:lang w:val="zh-TW" w:eastAsia="zh-TW"/>
                <w14:textFill>
                  <w14:solidFill>
                    <w14:schemeClr w14:val="tx1"/>
                  </w14:solidFill>
                </w14:textFill>
              </w:rPr>
              <w:t>交付期限：</w:t>
            </w:r>
            <w:r>
              <w:rPr>
                <w:rFonts w:ascii="宋体" w:hAnsi="宋体" w:cs="宋体"/>
                <w:color w:val="000000" w:themeColor="text1"/>
                <w:sz w:val="24"/>
                <w:szCs w:val="24"/>
                <w:highlight w:val="none"/>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w:t>
            </w:r>
          </w:p>
        </w:tc>
      </w:tr>
      <w:tr w14:paraId="36507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1DED3344">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1.7.4.2</w:t>
            </w:r>
          </w:p>
        </w:tc>
        <w:tc>
          <w:tcPr>
            <w:tcW w:w="8193" w:type="dxa"/>
            <w:vAlign w:val="center"/>
          </w:tcPr>
          <w:p w14:paraId="4E244154">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项目涉及货物的</w:t>
            </w:r>
            <w:r>
              <w:rPr>
                <w:rFonts w:ascii="宋体" w:hAnsi="宋体" w:cs="宋体"/>
                <w:color w:val="000000" w:themeColor="text1"/>
                <w:sz w:val="24"/>
                <w:szCs w:val="24"/>
                <w:highlight w:val="none"/>
                <w:lang w:val="zh-TW" w:eastAsia="zh-TW"/>
                <w14:textFill>
                  <w14:solidFill>
                    <w14:schemeClr w14:val="tx1"/>
                  </w14:solidFill>
                </w14:textFill>
              </w:rPr>
              <w:t>交付地点：</w:t>
            </w:r>
            <w:r>
              <w:rPr>
                <w:rFonts w:ascii="宋体" w:hAnsi="宋体" w:cs="宋体"/>
                <w:color w:val="000000" w:themeColor="text1"/>
                <w:sz w:val="24"/>
                <w:szCs w:val="24"/>
                <w:highlight w:val="none"/>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w:t>
            </w:r>
          </w:p>
        </w:tc>
      </w:tr>
      <w:tr w14:paraId="4CE84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13621589">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1.7.4.3</w:t>
            </w:r>
          </w:p>
        </w:tc>
        <w:tc>
          <w:tcPr>
            <w:tcW w:w="8193" w:type="dxa"/>
            <w:vAlign w:val="center"/>
          </w:tcPr>
          <w:p w14:paraId="10A9BC2E">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项目涉及货物的</w:t>
            </w:r>
            <w:r>
              <w:rPr>
                <w:rFonts w:ascii="宋体" w:hAnsi="宋体" w:cs="宋体"/>
                <w:color w:val="000000" w:themeColor="text1"/>
                <w:sz w:val="24"/>
                <w:szCs w:val="24"/>
                <w:highlight w:val="none"/>
                <w:lang w:val="zh-TW" w:eastAsia="zh-TW"/>
                <w14:textFill>
                  <w14:solidFill>
                    <w14:schemeClr w14:val="tx1"/>
                  </w14:solidFill>
                </w14:textFill>
              </w:rPr>
              <w:t>交付方式：</w:t>
            </w:r>
            <w:r>
              <w:rPr>
                <w:rFonts w:ascii="宋体" w:hAnsi="宋体" w:cs="宋体"/>
                <w:color w:val="000000" w:themeColor="text1"/>
                <w:sz w:val="24"/>
                <w:szCs w:val="24"/>
                <w:highlight w:val="none"/>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w:t>
            </w:r>
          </w:p>
        </w:tc>
      </w:tr>
      <w:tr w14:paraId="4FAB7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59A6BD4B">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1.8.7</w:t>
            </w:r>
          </w:p>
        </w:tc>
        <w:tc>
          <w:tcPr>
            <w:tcW w:w="8193" w:type="dxa"/>
            <w:vAlign w:val="center"/>
          </w:tcPr>
          <w:p w14:paraId="2123A416">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违约责任：</w:t>
            </w:r>
          </w:p>
          <w:p w14:paraId="232A743D">
            <w:pPr>
              <w:pStyle w:val="24"/>
              <w:numPr>
                <w:ilvl w:val="0"/>
                <w:numId w:val="1"/>
              </w:numPr>
              <w:snapToGrid w:val="0"/>
              <w:spacing w:line="460" w:lineRule="atLeast"/>
              <w:ind w:left="0" w:firstLine="0" w:firstLineChars="0"/>
              <w:rPr>
                <w:rFonts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20%。</w:t>
            </w:r>
          </w:p>
          <w:p w14:paraId="78B020F2">
            <w:pPr>
              <w:pStyle w:val="24"/>
              <w:numPr>
                <w:ilvl w:val="0"/>
                <w:numId w:val="1"/>
              </w:numPr>
              <w:snapToGrid w:val="0"/>
              <w:spacing w:line="460" w:lineRule="atLeast"/>
              <w:ind w:left="0" w:firstLine="0" w:firstLineChars="0"/>
              <w:rPr>
                <w:rFonts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当乙方无正当理由，未履行本合同项下的义务时，甲方可向乙方发出指明其未履行义务的通知。若甲方发出通知后15个工作日内未收到乙方答复，甲方有权单方面解除合同，乙方负责赔偿所造成的损失和违约责任。</w:t>
            </w:r>
          </w:p>
          <w:p w14:paraId="7F725C3D">
            <w:pPr>
              <w:pStyle w:val="24"/>
              <w:numPr>
                <w:ilvl w:val="0"/>
                <w:numId w:val="1"/>
              </w:numPr>
              <w:snapToGrid w:val="0"/>
              <w:spacing w:line="460" w:lineRule="atLeast"/>
              <w:ind w:left="0" w:firstLine="0" w:firstLineChars="0"/>
              <w:rPr>
                <w:rFonts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若乙方因自身原因未按约定时间提供与合同相关的相应服务或出具成果性文件的，除不可抗力因素外，每逾期一天，乙方按照合同总价的1%乘以对应成果交付物的权重比例缴纳违约金。超过15个工作日的，甲方有权单方面解除合同，且无需承担违约责任。乙方完成的有效工作以甲乙双方认可的内容或委托第三方专业机构鉴定结果内容进行结算，有效工作内容归甲方所有</w:t>
            </w:r>
            <w:r>
              <w:rPr>
                <w:rFonts w:hint="eastAsia" w:cs="宋体"/>
                <w:color w:val="000000" w:themeColor="text1"/>
                <w:highlight w:val="none"/>
                <w14:textFill>
                  <w14:solidFill>
                    <w14:schemeClr w14:val="tx1"/>
                  </w14:solidFill>
                </w14:textFill>
              </w:rPr>
              <w:t>（包括2.3.2条款中的相关内容）</w:t>
            </w:r>
            <w:r>
              <w:rPr>
                <w:rFonts w:hint="eastAsia" w:cs="宋体"/>
                <w:iCs/>
                <w:color w:val="000000" w:themeColor="text1"/>
                <w:highlight w:val="none"/>
                <w14:textFill>
                  <w14:solidFill>
                    <w14:schemeClr w14:val="tx1"/>
                  </w14:solidFill>
                </w14:textFill>
              </w:rPr>
              <w:t>。由此造成的甲方的损失，违约金不足以弥补的，乙方还需继续承担赔偿责任。</w:t>
            </w:r>
          </w:p>
          <w:p w14:paraId="155FCBFF">
            <w:pPr>
              <w:pStyle w:val="24"/>
              <w:numPr>
                <w:ilvl w:val="0"/>
                <w:numId w:val="1"/>
              </w:numPr>
              <w:snapToGrid w:val="0"/>
              <w:spacing w:line="460" w:lineRule="atLeast"/>
              <w:ind w:left="0" w:firstLine="0" w:firstLineChars="0"/>
              <w:rPr>
                <w:rFonts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482B5F39">
            <w:pPr>
              <w:pStyle w:val="24"/>
              <w:numPr>
                <w:ilvl w:val="0"/>
                <w:numId w:val="1"/>
              </w:numPr>
              <w:snapToGrid w:val="0"/>
              <w:spacing w:line="460" w:lineRule="atLeast"/>
              <w:ind w:left="0" w:firstLine="0" w:firstLineChars="0"/>
              <w:rPr>
                <w:rFonts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7087FD9D">
            <w:pPr>
              <w:pStyle w:val="24"/>
              <w:numPr>
                <w:ilvl w:val="0"/>
                <w:numId w:val="1"/>
              </w:numPr>
              <w:snapToGrid w:val="0"/>
              <w:spacing w:line="460" w:lineRule="atLeast"/>
              <w:ind w:left="0" w:firstLine="0" w:firstLineChars="0"/>
              <w:rPr>
                <w:rFonts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任意一方违反保密义务的，应向相对方赔偿合同总价5％的违约金，违约金不足以弥补相对方损失的，则应继续承担赔偿责任。</w:t>
            </w:r>
          </w:p>
          <w:p w14:paraId="5F1B8D40">
            <w:pPr>
              <w:pStyle w:val="24"/>
              <w:numPr>
                <w:ilvl w:val="0"/>
                <w:numId w:val="1"/>
              </w:numPr>
              <w:snapToGrid w:val="0"/>
              <w:spacing w:line="460" w:lineRule="atLeast"/>
              <w:ind w:left="0" w:firstLine="0" w:firstLineChars="0"/>
              <w:rPr>
                <w:rFonts w:cs="宋体"/>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乙方及乙方职员不得接受各子项目供应商提供的任何报酬或经济利益。乙方不得参与合同规定及甲方的利益相冲突的任何活动。</w:t>
            </w:r>
          </w:p>
          <w:p w14:paraId="46DD50F6">
            <w:pPr>
              <w:pStyle w:val="24"/>
              <w:numPr>
                <w:ilvl w:val="0"/>
                <w:numId w:val="1"/>
              </w:numPr>
              <w:snapToGrid w:val="0"/>
              <w:spacing w:line="460" w:lineRule="atLeast"/>
              <w:ind w:left="0" w:firstLine="0" w:firstLineChars="0"/>
              <w:rPr>
                <w:rFonts w:cs="宋体"/>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14:paraId="2085B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09135C27">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1.9.1</w:t>
            </w:r>
          </w:p>
        </w:tc>
        <w:tc>
          <w:tcPr>
            <w:tcW w:w="8193" w:type="dxa"/>
            <w:vAlign w:val="center"/>
          </w:tcPr>
          <w:p w14:paraId="5CF5426E">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仲裁机构：将争议提交</w:t>
            </w:r>
            <w:r>
              <w:rPr>
                <w:rFonts w:ascii="宋体" w:hAnsi="宋体" w:cs="宋体"/>
                <w:b/>
                <w:i/>
                <w:color w:val="000000" w:themeColor="text1"/>
                <w:sz w:val="24"/>
                <w:szCs w:val="24"/>
                <w:highlight w:val="none"/>
                <w:u w:val="single"/>
                <w14:textFill>
                  <w14:solidFill>
                    <w14:schemeClr w14:val="tx1"/>
                  </w14:solidFill>
                </w14:textFill>
              </w:rPr>
              <w:t>杭州市</w:t>
            </w:r>
            <w:r>
              <w:rPr>
                <w:rFonts w:ascii="宋体" w:hAnsi="宋体" w:cs="宋体"/>
                <w:color w:val="000000" w:themeColor="text1"/>
                <w:sz w:val="24"/>
                <w:szCs w:val="24"/>
                <w:highlight w:val="none"/>
                <w14:textFill>
                  <w14:solidFill>
                    <w14:schemeClr w14:val="tx1"/>
                  </w14:solidFill>
                </w14:textFill>
              </w:rPr>
              <w:t>仲裁委员会依申请仲裁时其现行有效的仲裁规则裁决。</w:t>
            </w:r>
          </w:p>
        </w:tc>
      </w:tr>
      <w:tr w14:paraId="77BF9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0194A48A">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1.9.2</w:t>
            </w:r>
          </w:p>
        </w:tc>
        <w:tc>
          <w:tcPr>
            <w:tcW w:w="8193" w:type="dxa"/>
            <w:vAlign w:val="center"/>
          </w:tcPr>
          <w:p w14:paraId="333634E6">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诉讼法院：向杭州市滨江区人民法院起诉。</w:t>
            </w:r>
          </w:p>
        </w:tc>
      </w:tr>
      <w:tr w14:paraId="17CC7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715A6C6C">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2.3.2</w:t>
            </w:r>
          </w:p>
        </w:tc>
        <w:tc>
          <w:tcPr>
            <w:tcW w:w="8193" w:type="dxa"/>
            <w:vAlign w:val="center"/>
          </w:tcPr>
          <w:p w14:paraId="6EC13604">
            <w:pPr>
              <w:pStyle w:val="783"/>
              <w:adjustRightInd w:val="0"/>
              <w:snapToGrid w:val="0"/>
              <w:spacing w:line="460" w:lineRule="atLeast"/>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合同涉及技术成果的归属和收益的分成办法：</w:t>
            </w:r>
          </w:p>
          <w:p w14:paraId="442F0005">
            <w:pPr>
              <w:snapToGrid w:val="0"/>
              <w:spacing w:line="460" w:lineRule="atLeast"/>
              <w:rPr>
                <w:rFonts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归甲方所有</w:t>
            </w:r>
            <w:r>
              <w:rPr>
                <w:rFonts w:hint="eastAsia" w:ascii="宋体" w:hAnsi="宋体" w:cs="宋体"/>
                <w:color w:val="000000" w:themeColor="text1"/>
                <w:sz w:val="24"/>
                <w:highlight w:val="none"/>
                <w:lang w:eastAsia="zh-Hans"/>
                <w14:textFill>
                  <w14:solidFill>
                    <w14:schemeClr w14:val="tx1"/>
                  </w14:solidFill>
                </w14:textFill>
              </w:rPr>
              <w:t>。</w:t>
            </w:r>
          </w:p>
          <w:p w14:paraId="0C9BAFF7">
            <w:pPr>
              <w:snapToGrid w:val="0"/>
              <w:spacing w:line="460" w:lineRule="atLeas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（1）供应商应保证所提供的系统或其任何一部分均不会侵犯任何第三方的知识产权；</w:t>
            </w:r>
          </w:p>
          <w:p w14:paraId="3F9B43F9">
            <w:pPr>
              <w:snapToGrid w:val="0"/>
              <w:spacing w:line="460" w:lineRule="atLeas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（2）本项目所有成果知识产权归采购人所有，采购人有权在其他项目上运用该项目成果。未经采购人书面同意，成果不得擅自扩散或提供给第三方使用。</w:t>
            </w:r>
          </w:p>
          <w:p w14:paraId="0B132A96">
            <w:pPr>
              <w:pStyle w:val="783"/>
              <w:adjustRightInd w:val="0"/>
              <w:snapToGrid w:val="0"/>
              <w:spacing w:line="460" w:lineRule="atLeast"/>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（3）供应商应保证采购人在软件使用过程中，免受第三方提出的侵权起诉。如发生此类纠纷，由供应商承担一切责任并负责解决。</w:t>
            </w:r>
          </w:p>
        </w:tc>
      </w:tr>
      <w:tr w14:paraId="0E613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29BE7A31">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2.5</w:t>
            </w:r>
          </w:p>
        </w:tc>
        <w:tc>
          <w:tcPr>
            <w:tcW w:w="8193" w:type="dxa"/>
            <w:vAlign w:val="center"/>
          </w:tcPr>
          <w:p w14:paraId="664AD1C6">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结算方式和付款条件：同1.6.2</w:t>
            </w:r>
            <w:r>
              <w:rPr>
                <w:rFonts w:hint="eastAsia" w:ascii="宋体" w:hAnsi="宋体" w:cs="宋体"/>
                <w:color w:val="000000" w:themeColor="text1"/>
                <w:sz w:val="24"/>
                <w:szCs w:val="24"/>
                <w:highlight w:val="none"/>
                <w14:textFill>
                  <w14:solidFill>
                    <w14:schemeClr w14:val="tx1"/>
                  </w14:solidFill>
                </w14:textFill>
              </w:rPr>
              <w:t>条。</w:t>
            </w:r>
          </w:p>
        </w:tc>
      </w:tr>
      <w:tr w14:paraId="18955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1" w:type="dxa"/>
            <w:vAlign w:val="center"/>
          </w:tcPr>
          <w:p w14:paraId="13B8E9AA">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2.11.3</w:t>
            </w:r>
          </w:p>
        </w:tc>
        <w:tc>
          <w:tcPr>
            <w:tcW w:w="8193" w:type="dxa"/>
            <w:vAlign w:val="center"/>
          </w:tcPr>
          <w:p w14:paraId="176323A2">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不可抗力合同变更：因不可抗力致使合同有变更必要的，双方当事人应在</w:t>
            </w:r>
            <w:r>
              <w:rPr>
                <w:rFonts w:ascii="宋体" w:hAnsi="宋体" w:cs="宋体"/>
                <w:color w:val="000000" w:themeColor="text1"/>
                <w:sz w:val="24"/>
                <w:szCs w:val="24"/>
                <w:highlight w:val="none"/>
                <w:u w:val="single"/>
                <w14:textFill>
                  <w14:solidFill>
                    <w14:schemeClr w14:val="tx1"/>
                  </w14:solidFill>
                </w14:textFill>
              </w:rPr>
              <w:t>15</w:t>
            </w:r>
            <w:r>
              <w:rPr>
                <w:rFonts w:ascii="宋体" w:hAnsi="宋体" w:cs="宋体"/>
                <w:color w:val="000000" w:themeColor="text1"/>
                <w:sz w:val="24"/>
                <w:szCs w:val="24"/>
                <w:highlight w:val="none"/>
                <w14:textFill>
                  <w14:solidFill>
                    <w14:schemeClr w14:val="tx1"/>
                  </w14:solidFill>
                </w14:textFill>
              </w:rPr>
              <w:t>日内以书面形式变更合同。</w:t>
            </w:r>
          </w:p>
        </w:tc>
      </w:tr>
      <w:tr w14:paraId="0B0C2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tcPr>
          <w:p w14:paraId="482DD6EA">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2.11.4</w:t>
            </w:r>
          </w:p>
        </w:tc>
        <w:tc>
          <w:tcPr>
            <w:tcW w:w="8193" w:type="dxa"/>
            <w:vAlign w:val="center"/>
          </w:tcPr>
          <w:p w14:paraId="74E5E1EF">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不可抗力通知和送达：受不可抗力影响的一方在不可抗力发生后，应在</w:t>
            </w:r>
            <w:r>
              <w:rPr>
                <w:rFonts w:ascii="宋体" w:hAnsi="宋体" w:cs="宋体"/>
                <w:color w:val="000000" w:themeColor="text1"/>
                <w:sz w:val="24"/>
                <w:szCs w:val="24"/>
                <w:highlight w:val="none"/>
                <w:u w:val="single"/>
                <w14:textFill>
                  <w14:solidFill>
                    <w14:schemeClr w14:val="tx1"/>
                  </w14:solidFill>
                </w14:textFill>
              </w:rPr>
              <w:t xml:space="preserve"> 15</w:t>
            </w:r>
            <w:r>
              <w:rPr>
                <w:rFonts w:ascii="宋体" w:hAnsi="宋体" w:cs="宋体"/>
                <w:color w:val="000000" w:themeColor="text1"/>
                <w:sz w:val="24"/>
                <w:szCs w:val="24"/>
                <w:highlight w:val="none"/>
                <w14:textFill>
                  <w14:solidFill>
                    <w14:schemeClr w14:val="tx1"/>
                  </w14:solidFill>
                </w14:textFill>
              </w:rPr>
              <w:t>日内以书面形式通知对方当事人，并在</w:t>
            </w:r>
            <w:r>
              <w:rPr>
                <w:rFonts w:ascii="宋体" w:hAnsi="宋体" w:cs="宋体"/>
                <w:color w:val="000000" w:themeColor="text1"/>
                <w:sz w:val="24"/>
                <w:szCs w:val="24"/>
                <w:highlight w:val="none"/>
                <w:u w:val="single"/>
                <w14:textFill>
                  <w14:solidFill>
                    <w14:schemeClr w14:val="tx1"/>
                  </w14:solidFill>
                </w14:textFill>
              </w:rPr>
              <w:t xml:space="preserve"> 15</w:t>
            </w:r>
            <w:r>
              <w:rPr>
                <w:rFonts w:ascii="宋体" w:hAnsi="宋体" w:cs="宋体"/>
                <w:color w:val="000000" w:themeColor="text1"/>
                <w:sz w:val="24"/>
                <w:szCs w:val="24"/>
                <w:highlight w:val="none"/>
                <w14:textFill>
                  <w14:solidFill>
                    <w14:schemeClr w14:val="tx1"/>
                  </w14:solidFill>
                </w14:textFill>
              </w:rPr>
              <w:t>日内，将有关部门出具的证明文件送达对方当事人。</w:t>
            </w:r>
          </w:p>
        </w:tc>
      </w:tr>
      <w:tr w14:paraId="287A9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03B3EDB4">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2.15.1</w:t>
            </w:r>
          </w:p>
        </w:tc>
        <w:tc>
          <w:tcPr>
            <w:tcW w:w="8193" w:type="dxa"/>
            <w:vAlign w:val="center"/>
          </w:tcPr>
          <w:p w14:paraId="00172C80">
            <w:pPr>
              <w:pStyle w:val="783"/>
              <w:widowControl w:val="0"/>
              <w:spacing w:line="460" w:lineRule="atLeast"/>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乙方按照服务要求提供相关服务并提交服务报告，经甲方及监理审核确认后，甲方组织人员对项目进行验收。</w:t>
            </w:r>
          </w:p>
        </w:tc>
      </w:tr>
      <w:tr w14:paraId="52482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580FA146">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2.15.3</w:t>
            </w:r>
          </w:p>
        </w:tc>
        <w:tc>
          <w:tcPr>
            <w:tcW w:w="8193" w:type="dxa"/>
            <w:vAlign w:val="center"/>
          </w:tcPr>
          <w:p w14:paraId="6789C524">
            <w:pPr>
              <w:pStyle w:val="783"/>
              <w:widowControl w:val="0"/>
              <w:spacing w:line="460" w:lineRule="atLeast"/>
              <w:rPr>
                <w:rFonts w:ascii="宋体" w:hAnsi="宋体" w:cs="宋体"/>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检验和验收标准、程序等具体内容以及前述验收书的效力：采用本行业通用标准</w:t>
            </w:r>
            <w:r>
              <w:rPr>
                <w:rFonts w:ascii="宋体" w:hAnsi="宋体" w:cs="宋体"/>
                <w:color w:val="000000" w:themeColor="text1"/>
                <w:sz w:val="24"/>
                <w:szCs w:val="24"/>
                <w:highlight w:val="none"/>
                <w:lang w:eastAsia="zh-Hans"/>
                <w14:textFill>
                  <w14:solidFill>
                    <w14:schemeClr w14:val="tx1"/>
                  </w14:solidFill>
                </w14:textFill>
              </w:rPr>
              <w:t>及</w:t>
            </w:r>
            <w:r>
              <w:rPr>
                <w:rFonts w:ascii="宋体" w:hAnsi="宋体" w:cs="宋体"/>
                <w:bCs/>
                <w:color w:val="000000" w:themeColor="text1"/>
                <w:sz w:val="24"/>
                <w:szCs w:val="24"/>
                <w:highlight w:val="none"/>
                <w14:textFill>
                  <w14:solidFill>
                    <w14:schemeClr w14:val="tx1"/>
                  </w14:solidFill>
                </w14:textFill>
              </w:rPr>
              <w:t>《杭州市政府采购履约验收暂行办法》</w:t>
            </w:r>
            <w:r>
              <w:rPr>
                <w:rFonts w:ascii="宋体" w:hAnsi="宋体" w:cs="宋体"/>
                <w:bCs/>
                <w:color w:val="000000" w:themeColor="text1"/>
                <w:sz w:val="24"/>
                <w:szCs w:val="24"/>
                <w:highlight w:val="none"/>
                <w:lang w:eastAsia="zh-Hans"/>
                <w14:textFill>
                  <w14:solidFill>
                    <w14:schemeClr w14:val="tx1"/>
                  </w14:solidFill>
                </w14:textFill>
              </w:rPr>
              <w:t>，有最新标准的按最新标准进行。</w:t>
            </w:r>
          </w:p>
        </w:tc>
      </w:tr>
      <w:tr w14:paraId="10BD0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270EDEBA">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2.19</w:t>
            </w:r>
          </w:p>
        </w:tc>
        <w:tc>
          <w:tcPr>
            <w:tcW w:w="8193" w:type="dxa"/>
            <w:vAlign w:val="center"/>
          </w:tcPr>
          <w:p w14:paraId="60A19980">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合同份数：本合同壹式</w:t>
            </w:r>
            <w:r>
              <w:rPr>
                <w:rFonts w:ascii="宋体" w:hAnsi="宋体" w:cs="宋体"/>
                <w:color w:val="000000" w:themeColor="text1"/>
                <w:sz w:val="24"/>
                <w:szCs w:val="24"/>
                <w:highlight w:val="none"/>
                <w:u w:val="single"/>
                <w14:textFill>
                  <w14:solidFill>
                    <w14:schemeClr w14:val="tx1"/>
                  </w14:solidFill>
                </w14:textFill>
              </w:rPr>
              <w:t xml:space="preserve"> 陆 </w:t>
            </w:r>
            <w:r>
              <w:rPr>
                <w:rFonts w:ascii="宋体" w:hAnsi="宋体" w:cs="宋体"/>
                <w:color w:val="000000" w:themeColor="text1"/>
                <w:sz w:val="24"/>
                <w:szCs w:val="24"/>
                <w:highlight w:val="none"/>
                <w14:textFill>
                  <w14:solidFill>
                    <w14:schemeClr w14:val="tx1"/>
                  </w14:solidFill>
                </w14:textFill>
              </w:rPr>
              <w:t>份，甲方执</w:t>
            </w:r>
            <w:r>
              <w:rPr>
                <w:rFonts w:ascii="宋体" w:hAnsi="宋体" w:cs="宋体"/>
                <w:color w:val="000000" w:themeColor="text1"/>
                <w:sz w:val="24"/>
                <w:szCs w:val="24"/>
                <w:highlight w:val="none"/>
                <w:u w:val="single"/>
                <w14:textFill>
                  <w14:solidFill>
                    <w14:schemeClr w14:val="tx1"/>
                  </w14:solidFill>
                </w14:textFill>
              </w:rPr>
              <w:t xml:space="preserve"> 叁 </w:t>
            </w:r>
            <w:r>
              <w:rPr>
                <w:rFonts w:ascii="宋体" w:hAnsi="宋体" w:cs="宋体"/>
                <w:color w:val="000000" w:themeColor="text1"/>
                <w:sz w:val="24"/>
                <w:szCs w:val="24"/>
                <w:highlight w:val="none"/>
                <w14:textFill>
                  <w14:solidFill>
                    <w14:schemeClr w14:val="tx1"/>
                  </w14:solidFill>
                </w14:textFill>
              </w:rPr>
              <w:t>份，乙方执</w:t>
            </w:r>
            <w:r>
              <w:rPr>
                <w:rFonts w:ascii="宋体" w:hAnsi="宋体" w:cs="宋体"/>
                <w:color w:val="000000" w:themeColor="text1"/>
                <w:sz w:val="24"/>
                <w:szCs w:val="24"/>
                <w:highlight w:val="none"/>
                <w:u w:val="single"/>
                <w14:textFill>
                  <w14:solidFill>
                    <w14:schemeClr w14:val="tx1"/>
                  </w14:solidFill>
                </w14:textFill>
              </w:rPr>
              <w:t xml:space="preserve"> 叁 </w:t>
            </w:r>
            <w:r>
              <w:rPr>
                <w:rFonts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14:textFill>
                  <w14:solidFill>
                    <w14:schemeClr w14:val="tx1"/>
                  </w14:solidFill>
                </w14:textFill>
              </w:rPr>
              <w:t>各</w:t>
            </w:r>
            <w:r>
              <w:rPr>
                <w:rFonts w:ascii="宋体" w:hAnsi="宋体" w:cs="宋体"/>
                <w:color w:val="000000" w:themeColor="text1"/>
                <w:sz w:val="24"/>
                <w:szCs w:val="24"/>
                <w:highlight w:val="none"/>
                <w14:textFill>
                  <w14:solidFill>
                    <w14:schemeClr w14:val="tx1"/>
                  </w14:solidFill>
                </w14:textFill>
              </w:rPr>
              <w:t>份均具有同等法律效力</w:t>
            </w:r>
            <w:r>
              <w:rPr>
                <w:rFonts w:hint="eastAsia" w:ascii="宋体" w:hAnsi="宋体" w:cs="宋体"/>
                <w:color w:val="000000" w:themeColor="text1"/>
                <w:sz w:val="24"/>
                <w:szCs w:val="24"/>
                <w:highlight w:val="none"/>
                <w14:textFill>
                  <w14:solidFill>
                    <w14:schemeClr w14:val="tx1"/>
                  </w14:solidFill>
                </w14:textFill>
              </w:rPr>
              <w:t>。</w:t>
            </w:r>
          </w:p>
        </w:tc>
      </w:tr>
      <w:tr w14:paraId="57578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052420D2">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2.20</w:t>
            </w:r>
          </w:p>
        </w:tc>
        <w:tc>
          <w:tcPr>
            <w:tcW w:w="8193" w:type="dxa"/>
            <w:vAlign w:val="center"/>
          </w:tcPr>
          <w:p w14:paraId="4CCAE955">
            <w:pPr>
              <w:spacing w:line="460" w:lineRule="atLeas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乙方安全责任</w:t>
            </w:r>
          </w:p>
          <w:p w14:paraId="1016E5F5">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（1）乙方应按照《中华人民共和国网络安全法》《中华人民共和国数据安全法》《中华人民共和国个人信息保护法》等法律法规及规章制度的要求，履行网络和数据安全保护义务。</w:t>
            </w:r>
          </w:p>
          <w:p w14:paraId="63393975">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（2）本项目所涉及的乙方工作人员均需签订《保密承诺书》，且乙方应对项目涉及工作人员进行背景审查，存在泄密风险的乙方工作人员不得接触项目。乙方应做好人员保密教育工作。</w:t>
            </w:r>
          </w:p>
          <w:p w14:paraId="1C3A4B07">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684F3666">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（4）项目中所包含的建设、运营、运维的信息系统、应用、数据库等，乙方开通相关账号、权限等必须经过甲方审批允许，不得私开账号、擅自更改权限等。</w:t>
            </w:r>
          </w:p>
          <w:p w14:paraId="3D4C43A0">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（5）乙方应合理使用操作账号，严禁乙方存在多名（2人及以上）工作人员共用一个操作账号的情形，同时操作账号应采用高强度的密码，乙方应妥善保管密码并定期更新账号密码。</w:t>
            </w:r>
          </w:p>
          <w:p w14:paraId="524F4F6E">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（6）未经甲方允许，乙方不得对项目云资源私开端口，不得利用项目资源进行与该项目无关的工作，不得将政务网和互联网私自打通。</w:t>
            </w:r>
          </w:p>
          <w:p w14:paraId="1A89CC0C">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5D9B6DC4">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（8）乙方应认真组织开展各项数据处理活动，查找项目数据安全隐患和漏洞，对薄弱环节和潜在威胁采取有力措施并进行及时整改，避免和消除数据安全风险，履行数据安全保护义务。</w:t>
            </w:r>
          </w:p>
          <w:p w14:paraId="3BBC50FA">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58D5EAA8">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（10）乙方应及时响应、处置甲方布置的安全工作，对其主管的数据资源、组件资源、物联资源等所属安全事件、隐患及时发现、阻断、排查、处置、溯源（包括但不限于攻防演练等相关活动中发现的）。</w:t>
            </w:r>
          </w:p>
          <w:p w14:paraId="74D0EF76">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）乙方派驻的驻场人员应按照甲方要求办理入场、离场等手续，并且遵守甲方劳动、工作纪律，按照甲方要求的工作时间进行出勤。</w:t>
            </w:r>
          </w:p>
          <w:p w14:paraId="4AD0AA95">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）乙方应配合甲方对项目涉及的资源、系统等常态化安全漏洞扫描，并且及时修复漏洞。</w:t>
            </w:r>
          </w:p>
          <w:p w14:paraId="60663737">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）乙方应配合甲方完成项目中所建设、运营的应用系统、服务等的网络数据安全检查，并且按要求及时完成检查中发现问题的整改。</w:t>
            </w:r>
          </w:p>
          <w:p w14:paraId="027DE4E4">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）未经甲方允许，乙方不得擅自将项目中涉及的数据拷贝、转移出指定数据区域外进行开发、调试等，包括不限于乙方公司、第三方公司的服务器等。</w:t>
            </w:r>
          </w:p>
          <w:p w14:paraId="29725493">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）每次通报后，乙方应当及时解决并向甲方提交整改报告并根据整改报告内容进行及时整改。</w:t>
            </w:r>
          </w:p>
          <w:p w14:paraId="49348032">
            <w:pPr>
              <w:pStyle w:val="783"/>
              <w:widowControl w:val="0"/>
              <w:spacing w:line="460" w:lineRule="atLeas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（16）乙方应承担在项目运维期中的安全责任，履行运维期的数据资源、组件、物联数据的安全义务。</w:t>
            </w:r>
          </w:p>
        </w:tc>
      </w:tr>
      <w:tr w14:paraId="6A2A0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14:paraId="7B05BC2B">
            <w:pPr>
              <w:pStyle w:val="783"/>
              <w:widowControl w:val="0"/>
              <w:spacing w:line="460" w:lineRule="atLeast"/>
              <w:ind w:firstLine="181"/>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2.21</w:t>
            </w:r>
          </w:p>
        </w:tc>
        <w:tc>
          <w:tcPr>
            <w:tcW w:w="8193" w:type="dxa"/>
            <w:vAlign w:val="center"/>
          </w:tcPr>
          <w:p w14:paraId="727465AE">
            <w:pPr>
              <w:spacing w:line="460" w:lineRule="atLeas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乙方安全违约责任</w:t>
            </w:r>
          </w:p>
          <w:p w14:paraId="5B753F0A">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（1）由于乙方原因，受到国家级安全问题通报的、或造成特别重大事故的，每通报一个问题或发生一次事故，从合同总价内扣除</w:t>
            </w:r>
            <w:r>
              <w:rPr>
                <w:rFonts w:hint="eastAsia" w:ascii="宋体" w:hAnsi="宋体" w:cs="宋体"/>
                <w:color w:val="000000" w:themeColor="text1"/>
                <w:sz w:val="24"/>
                <w:highlight w:val="none"/>
                <w:u w:val="single"/>
                <w14:textFill>
                  <w14:solidFill>
                    <w14:schemeClr w14:val="tx1"/>
                  </w14:solidFill>
                </w14:textFill>
              </w:rPr>
              <w:t>10万</w:t>
            </w:r>
            <w:r>
              <w:rPr>
                <w:rFonts w:hint="eastAsia" w:ascii="宋体" w:hAnsi="宋体" w:cs="宋体"/>
                <w:color w:val="000000" w:themeColor="text1"/>
                <w:sz w:val="24"/>
                <w:highlight w:val="none"/>
                <w14:textFill>
                  <w14:solidFill>
                    <w14:schemeClr w14:val="tx1"/>
                  </w14:solidFill>
                </w14:textFill>
              </w:rPr>
              <w:t>元。</w:t>
            </w:r>
          </w:p>
          <w:p w14:paraId="7B96123E">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（2）由于乙方原因，受到省级安全问题通报的、或造成重大事故的，每通报一个问题或发生一次事故，从合同总价扣除</w:t>
            </w:r>
            <w:r>
              <w:rPr>
                <w:rFonts w:hint="eastAsia" w:ascii="宋体" w:hAnsi="宋体" w:cs="宋体"/>
                <w:color w:val="000000" w:themeColor="text1"/>
                <w:sz w:val="24"/>
                <w:highlight w:val="none"/>
                <w:u w:val="single"/>
                <w14:textFill>
                  <w14:solidFill>
                    <w14:schemeClr w14:val="tx1"/>
                  </w14:solidFill>
                </w14:textFill>
              </w:rPr>
              <w:t>5万</w:t>
            </w:r>
            <w:r>
              <w:rPr>
                <w:rFonts w:hint="eastAsia" w:ascii="宋体" w:hAnsi="宋体" w:cs="宋体"/>
                <w:color w:val="000000" w:themeColor="text1"/>
                <w:sz w:val="24"/>
                <w:highlight w:val="none"/>
                <w14:textFill>
                  <w14:solidFill>
                    <w14:schemeClr w14:val="tx1"/>
                  </w14:solidFill>
                </w14:textFill>
              </w:rPr>
              <w:t>元。</w:t>
            </w:r>
          </w:p>
          <w:p w14:paraId="1F0FD9F6">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（3）由于乙方原因，受到市级安全问题通报的、或造成较大事故（一般事故）的，每通报一个问题或发生一次事故，从合同总价扣除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59CC51A9">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（4）乙方未按照甲方要求及时处置所属安全事件、隐患的，每发生一次，从合同总价扣除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49A5EB11">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（5）乙方存在多名（2人及以上）工作人员共用一个操作账户的，或所主管的系统、云资源等账号出现弱口令的（强口令需至少包含数字、大小写字母、特殊字符等，且无明显规律），每出现1次，从合同总价扣除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670B7F84">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（6）未经甲方审批允许，乙方不得私开账号、擅自更改权限，不得对项目云资源私开端口，不得利用项目资源进行与该项目无关的工作，不得将政务网和互联网私自打通的。每出现一次，从合同总价中扣除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3EED12C5">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（7）乙方发现数据安全缺陷、漏洞等风险时，未立即采取补救措施的；或发生数字安全事件时，未立即采取处置措施的；相关情况未第一时间向甲方报告的；每出现一次，从合同总价中扣除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6C4C88F8">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（8）若乙方未按需提供日志，或提供的操作记录、安全日志等不完整、存在缺失的，每发现一次，每次从合同总价扣除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19D78A67">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（9）乙方拒不配合网络数据安全检查或经检查后拒不进行整改的，每出现一次从合同总价中扣除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034E23E8">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（10）项目结束后，乙方未按约删除其在项目过程中获取的数据资料并擅自使用或许可他人使用的，按项目合同总价</w:t>
            </w:r>
            <w:r>
              <w:rPr>
                <w:rFonts w:hint="eastAsia" w:ascii="宋体" w:hAnsi="宋体" w:cs="宋体"/>
                <w:color w:val="000000" w:themeColor="text1"/>
                <w:sz w:val="24"/>
                <w:highlight w:val="none"/>
                <w:u w:val="singl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的支付违约金。</w:t>
            </w:r>
          </w:p>
          <w:p w14:paraId="711C837C">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（11）乙方未配合甲方对项目涉及的资源、系统等常态化安全漏洞扫描，或未及时修复漏洞的，每出现一次，从合同总价中扣除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3897DCFA">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（12）乙方未按照甲方相关要求办理入场、离场手续的，出现1人次，每人次从合同总价扣除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51E9248E">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（13）乙方派驻的驻场人员未按照甲方工作要求进行出勤的，每出现1人次从合同总价扣除</w:t>
            </w:r>
            <w:r>
              <w:rPr>
                <w:rFonts w:hint="eastAsia" w:ascii="宋体" w:hAnsi="宋体" w:cs="宋体"/>
                <w:color w:val="000000" w:themeColor="text1"/>
                <w:sz w:val="24"/>
                <w:highlight w:val="none"/>
                <w:u w:val="single"/>
                <w14:textFill>
                  <w14:solidFill>
                    <w14:schemeClr w14:val="tx1"/>
                  </w14:solidFill>
                </w14:textFill>
              </w:rPr>
              <w:t>500</w:t>
            </w:r>
            <w:r>
              <w:rPr>
                <w:rFonts w:hint="eastAsia" w:ascii="宋体" w:hAnsi="宋体" w:cs="宋体"/>
                <w:color w:val="000000" w:themeColor="text1"/>
                <w:sz w:val="24"/>
                <w:highlight w:val="none"/>
                <w14:textFill>
                  <w14:solidFill>
                    <w14:schemeClr w14:val="tx1"/>
                  </w14:solidFill>
                </w14:textFill>
              </w:rPr>
              <w:t>元。</w:t>
            </w:r>
          </w:p>
          <w:p w14:paraId="1019B962">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（14）乙方不得擅自将项目中涉及的数据拷贝、转移出指定数据区域外进行开发、调试等，包括不限于乙方公司、第三方公司的服务器等，每出现一次，从合同总价扣除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06EE7D20">
            <w:pPr>
              <w:spacing w:line="46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（15）每次通报后，若乙方未及时提供整改报告的；或未根据通报内容及时进行整改的，每出现一次，从合同总价扣除</w:t>
            </w:r>
            <w:r>
              <w:rPr>
                <w:rFonts w:hint="eastAsia" w:ascii="宋体" w:hAnsi="宋体" w:cs="宋体"/>
                <w:color w:val="000000" w:themeColor="text1"/>
                <w:sz w:val="24"/>
                <w:highlight w:val="none"/>
                <w:u w:val="single"/>
                <w14:textFill>
                  <w14:solidFill>
                    <w14:schemeClr w14:val="tx1"/>
                  </w14:solidFill>
                </w14:textFill>
              </w:rPr>
              <w:t>1万</w:t>
            </w:r>
            <w:r>
              <w:rPr>
                <w:rFonts w:hint="eastAsia" w:ascii="宋体" w:hAnsi="宋体" w:cs="宋体"/>
                <w:color w:val="000000" w:themeColor="text1"/>
                <w:sz w:val="24"/>
                <w:highlight w:val="none"/>
                <w14:textFill>
                  <w14:solidFill>
                    <w14:schemeClr w14:val="tx1"/>
                  </w14:solidFill>
                </w14:textFill>
              </w:rPr>
              <w:t>元。</w:t>
            </w:r>
          </w:p>
          <w:p w14:paraId="6E659D3B">
            <w:pPr>
              <w:pStyle w:val="783"/>
              <w:widowControl w:val="0"/>
              <w:spacing w:line="460" w:lineRule="atLeast"/>
              <w:ind w:firstLine="18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16）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责任。</w:t>
            </w:r>
          </w:p>
        </w:tc>
      </w:tr>
    </w:tbl>
    <w:p w14:paraId="6DA32468">
      <w:pPr>
        <w:rPr>
          <w:color w:val="000000" w:themeColor="text1"/>
          <w:highlight w:val="none"/>
          <w14:textFill>
            <w14:solidFill>
              <w14:schemeClr w14:val="tx1"/>
            </w14:solidFill>
          </w14:textFill>
        </w:rPr>
      </w:pPr>
    </w:p>
    <w:p w14:paraId="7B7D86F0">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2ADB347C">
      <w:pPr>
        <w:widowControl/>
        <w:adjustRightInd/>
        <w:jc w:val="center"/>
        <w:rPr>
          <w:rFonts w:ascii="宋体" w:hAnsi="宋体" w:cs="宋体"/>
          <w:b/>
          <w:color w:val="000000" w:themeColor="text1"/>
          <w:sz w:val="36"/>
          <w:szCs w:val="20"/>
          <w:highlight w:val="none"/>
          <w14:textFill>
            <w14:solidFill>
              <w14:schemeClr w14:val="tx1"/>
            </w14:solidFill>
          </w14:textFill>
        </w:rPr>
      </w:pPr>
    </w:p>
    <w:p w14:paraId="518E4F58">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8BE9F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DE5C9EB">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2BC7714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43C287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31B237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392F2FF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7112FF6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1AFBB4A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40B7EC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897D6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9E319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6052677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杭州高新技术产业开发区（滨江）社会治理中心、城市建设技术集团（浙江）有限公司：</w:t>
      </w:r>
    </w:p>
    <w:p w14:paraId="5C53B78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我方参与滨江区一体化智能化公共数据平台2025年度数据服务项目 【招标编号：CJJS-2025007】政府采购活动，郑重承诺：</w:t>
      </w:r>
    </w:p>
    <w:p w14:paraId="33795429">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600D0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6869A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09149D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F5AED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0B6989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70518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546ED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E0B7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288DA2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75880C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849180C">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777CB14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01F3B3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CCD2F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1D89FE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38DF70">
      <w:pPr>
        <w:rPr>
          <w:rFonts w:ascii="宋体" w:hAnsi="宋体" w:cs="宋体"/>
          <w:color w:val="000000" w:themeColor="text1"/>
          <w:highlight w:val="none"/>
          <w14:textFill>
            <w14:solidFill>
              <w14:schemeClr w14:val="tx1"/>
            </w14:solidFill>
          </w14:textFill>
        </w:rPr>
      </w:pPr>
    </w:p>
    <w:p w14:paraId="21C229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28DFA2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9B1CE6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DDCCE88">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B62067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3A5D8B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329EB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8A1229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6B03BA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40E8A49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3D6C0A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6BE86D27">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6FE3E65">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7584D93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57351144">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66BFDE">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570CF3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C3822A6">
      <w:pPr>
        <w:rPr>
          <w:rFonts w:ascii="宋体" w:hAnsi="宋体" w:cs="宋体"/>
          <w:color w:val="000000" w:themeColor="text1"/>
          <w:highlight w:val="none"/>
          <w14:textFill>
            <w14:solidFill>
              <w14:schemeClr w14:val="tx1"/>
            </w14:solidFill>
          </w14:textFill>
        </w:rPr>
      </w:pPr>
    </w:p>
    <w:p w14:paraId="73F149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83A8AAA">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15A68FF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5A62464C">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434068B3">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3589016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7176A321">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5E9EFD64">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789ED15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5F8120D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4321DD3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F34AAD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502102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8A948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FD60DA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FEAA1F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61C9CA1">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999550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5685D3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A474CE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1D79A8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EA146B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8C72EFC">
      <w:pPr>
        <w:rPr>
          <w:rFonts w:ascii="宋体" w:hAnsi="宋体" w:cs="宋体"/>
          <w:b/>
          <w:color w:val="000000" w:themeColor="text1"/>
          <w:kern w:val="0"/>
          <w:sz w:val="32"/>
          <w:szCs w:val="32"/>
          <w:highlight w:val="none"/>
          <w:lang w:val="zh-CN"/>
          <w14:textFill>
            <w14:solidFill>
              <w14:schemeClr w14:val="tx1"/>
            </w14:solidFill>
          </w14:textFill>
        </w:rPr>
      </w:pPr>
    </w:p>
    <w:p w14:paraId="6DD51408">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4CEB85">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99808A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杭州高新技术产业开发区（滨江）社会治理中心、城市建设技术集团（浙江）有限公司：</w:t>
      </w:r>
    </w:p>
    <w:p w14:paraId="5577B65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我方参加你方组织的滨江区一体化智能化公共数据平台2025年度数据服务项目 【招标编号：CJJS-2025007】招标的有关活动，并对此项目进行投标。为此：</w:t>
      </w:r>
    </w:p>
    <w:p w14:paraId="2D9823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79702E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2AEA4D4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5748EFE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0E61539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9" w:name="_Hlk101257010"/>
      <w:r>
        <w:rPr>
          <w:rFonts w:hint="eastAsia" w:ascii="宋体" w:hAnsi="宋体" w:cs="宋体"/>
          <w:color w:val="000000" w:themeColor="text1"/>
          <w:sz w:val="24"/>
          <w:highlight w:val="none"/>
          <w14:textFill>
            <w14:solidFill>
              <w14:schemeClr w14:val="tx1"/>
            </w14:solidFill>
          </w14:textFill>
        </w:rPr>
        <w:t>（如果有)</w:t>
      </w:r>
      <w:bookmarkEnd w:id="509"/>
      <w:r>
        <w:rPr>
          <w:rFonts w:hint="eastAsia" w:ascii="宋体" w:hAnsi="宋体" w:cs="宋体"/>
          <w:snapToGrid w:val="0"/>
          <w:color w:val="000000" w:themeColor="text1"/>
          <w:kern w:val="28"/>
          <w:sz w:val="24"/>
          <w:szCs w:val="20"/>
          <w:highlight w:val="none"/>
          <w14:textFill>
            <w14:solidFill>
              <w14:schemeClr w14:val="tx1"/>
            </w14:solidFill>
          </w14:textFill>
        </w:rPr>
        <w:t>；</w:t>
      </w:r>
    </w:p>
    <w:p w14:paraId="6EF7494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54920DE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5B384113">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1AB730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C8DF53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5C31730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1D66843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7FF6AE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183FB5C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277302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6D5B6D83">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209704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1FC8AD59">
      <w:pPr>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FD6DD82">
      <w:pPr>
        <w:spacing w:line="360" w:lineRule="auto"/>
        <w:ind w:left="420" w:leftChars="200" w:firstLine="480" w:firstLineChars="200"/>
        <w:rPr>
          <w:rFonts w:eastAsia="仿宋_GB2312"/>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报价情况说明（如果有）</w:t>
      </w:r>
    </w:p>
    <w:p w14:paraId="52EDBD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中小企业声明函（如果有）。</w:t>
      </w:r>
    </w:p>
    <w:p w14:paraId="206087AC">
      <w:pPr>
        <w:pStyle w:val="79"/>
        <w:spacing w:line="360" w:lineRule="auto"/>
        <w:ind w:firstLine="960" w:firstLineChars="4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168AE9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3AE8083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23EEF6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662AAE3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921876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0CF5CD1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C993CA6">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E84F8E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BCCEDA2">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7A6D1AA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D90D96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1475AD87">
      <w:pPr>
        <w:snapToGrid w:val="0"/>
        <w:spacing w:line="360" w:lineRule="auto"/>
        <w:rPr>
          <w:rFonts w:ascii="宋体" w:hAnsi="宋体" w:cs="宋体"/>
          <w:color w:val="000000" w:themeColor="text1"/>
          <w:sz w:val="24"/>
          <w:highlight w:val="none"/>
          <w14:textFill>
            <w14:solidFill>
              <w14:schemeClr w14:val="tx1"/>
            </w14:solidFill>
          </w14:textFill>
        </w:rPr>
      </w:pPr>
    </w:p>
    <w:p w14:paraId="12615947">
      <w:pPr>
        <w:jc w:val="center"/>
        <w:rPr>
          <w:rFonts w:ascii="宋体" w:hAnsi="宋体" w:cs="宋体"/>
          <w:b/>
          <w:color w:val="000000" w:themeColor="text1"/>
          <w:kern w:val="0"/>
          <w:sz w:val="32"/>
          <w:szCs w:val="32"/>
          <w:highlight w:val="none"/>
          <w14:textFill>
            <w14:solidFill>
              <w14:schemeClr w14:val="tx1"/>
            </w14:solidFill>
          </w14:textFill>
        </w:rPr>
      </w:pPr>
    </w:p>
    <w:p w14:paraId="7EC4987B">
      <w:pPr>
        <w:jc w:val="center"/>
        <w:rPr>
          <w:rFonts w:ascii="宋体" w:hAnsi="宋体" w:cs="宋体"/>
          <w:b/>
          <w:color w:val="000000" w:themeColor="text1"/>
          <w:kern w:val="0"/>
          <w:sz w:val="32"/>
          <w:szCs w:val="32"/>
          <w:highlight w:val="none"/>
          <w14:textFill>
            <w14:solidFill>
              <w14:schemeClr w14:val="tx1"/>
            </w14:solidFill>
          </w14:textFill>
        </w:rPr>
      </w:pPr>
    </w:p>
    <w:p w14:paraId="04014D41">
      <w:pPr>
        <w:jc w:val="center"/>
        <w:rPr>
          <w:rFonts w:ascii="宋体" w:hAnsi="宋体" w:cs="宋体"/>
          <w:b/>
          <w:color w:val="000000" w:themeColor="text1"/>
          <w:kern w:val="0"/>
          <w:sz w:val="32"/>
          <w:szCs w:val="32"/>
          <w:highlight w:val="none"/>
          <w14:textFill>
            <w14:solidFill>
              <w14:schemeClr w14:val="tx1"/>
            </w14:solidFill>
          </w14:textFill>
        </w:rPr>
      </w:pPr>
    </w:p>
    <w:p w14:paraId="6A0C81A5">
      <w:pPr>
        <w:jc w:val="center"/>
        <w:rPr>
          <w:rFonts w:ascii="宋体" w:hAnsi="宋体" w:cs="宋体"/>
          <w:b/>
          <w:color w:val="000000" w:themeColor="text1"/>
          <w:kern w:val="0"/>
          <w:sz w:val="32"/>
          <w:szCs w:val="32"/>
          <w:highlight w:val="none"/>
          <w14:textFill>
            <w14:solidFill>
              <w14:schemeClr w14:val="tx1"/>
            </w14:solidFill>
          </w14:textFill>
        </w:rPr>
      </w:pPr>
    </w:p>
    <w:p w14:paraId="37E4D875">
      <w:pPr>
        <w:jc w:val="center"/>
        <w:rPr>
          <w:rFonts w:ascii="宋体" w:hAnsi="宋体" w:cs="宋体"/>
          <w:b/>
          <w:color w:val="000000" w:themeColor="text1"/>
          <w:kern w:val="0"/>
          <w:sz w:val="32"/>
          <w:szCs w:val="32"/>
          <w:highlight w:val="none"/>
          <w14:textFill>
            <w14:solidFill>
              <w14:schemeClr w14:val="tx1"/>
            </w14:solidFill>
          </w14:textFill>
        </w:rPr>
      </w:pPr>
    </w:p>
    <w:p w14:paraId="1B5541D0">
      <w:pPr>
        <w:jc w:val="center"/>
        <w:rPr>
          <w:rFonts w:ascii="宋体" w:hAnsi="宋体" w:cs="宋体"/>
          <w:b/>
          <w:color w:val="000000" w:themeColor="text1"/>
          <w:kern w:val="0"/>
          <w:sz w:val="32"/>
          <w:szCs w:val="32"/>
          <w:highlight w:val="none"/>
          <w14:textFill>
            <w14:solidFill>
              <w14:schemeClr w14:val="tx1"/>
            </w14:solidFill>
          </w14:textFill>
        </w:rPr>
      </w:pPr>
    </w:p>
    <w:p w14:paraId="51200EB5">
      <w:pPr>
        <w:jc w:val="center"/>
        <w:rPr>
          <w:rFonts w:ascii="宋体" w:hAnsi="宋体" w:cs="宋体"/>
          <w:b/>
          <w:color w:val="000000" w:themeColor="text1"/>
          <w:kern w:val="0"/>
          <w:sz w:val="32"/>
          <w:szCs w:val="32"/>
          <w:highlight w:val="none"/>
          <w14:textFill>
            <w14:solidFill>
              <w14:schemeClr w14:val="tx1"/>
            </w14:solidFill>
          </w14:textFill>
        </w:rPr>
      </w:pPr>
    </w:p>
    <w:p w14:paraId="545E8D8E">
      <w:pPr>
        <w:jc w:val="center"/>
        <w:rPr>
          <w:rFonts w:ascii="宋体" w:hAnsi="宋体" w:cs="宋体"/>
          <w:b/>
          <w:color w:val="000000" w:themeColor="text1"/>
          <w:kern w:val="0"/>
          <w:sz w:val="32"/>
          <w:szCs w:val="32"/>
          <w:highlight w:val="none"/>
          <w14:textFill>
            <w14:solidFill>
              <w14:schemeClr w14:val="tx1"/>
            </w14:solidFill>
          </w14:textFill>
        </w:rPr>
      </w:pPr>
    </w:p>
    <w:p w14:paraId="6D6D854C">
      <w:pPr>
        <w:jc w:val="center"/>
        <w:rPr>
          <w:rFonts w:ascii="宋体" w:hAnsi="宋体" w:cs="宋体"/>
          <w:b/>
          <w:color w:val="000000" w:themeColor="text1"/>
          <w:kern w:val="0"/>
          <w:sz w:val="32"/>
          <w:szCs w:val="32"/>
          <w:highlight w:val="none"/>
          <w14:textFill>
            <w14:solidFill>
              <w14:schemeClr w14:val="tx1"/>
            </w14:solidFill>
          </w14:textFill>
        </w:rPr>
      </w:pPr>
    </w:p>
    <w:p w14:paraId="361E5707">
      <w:pPr>
        <w:jc w:val="center"/>
        <w:rPr>
          <w:rFonts w:ascii="宋体" w:hAnsi="宋体" w:cs="宋体"/>
          <w:b/>
          <w:color w:val="000000" w:themeColor="text1"/>
          <w:kern w:val="0"/>
          <w:sz w:val="32"/>
          <w:szCs w:val="32"/>
          <w:highlight w:val="none"/>
          <w14:textFill>
            <w14:solidFill>
              <w14:schemeClr w14:val="tx1"/>
            </w14:solidFill>
          </w14:textFill>
        </w:rPr>
      </w:pPr>
    </w:p>
    <w:p w14:paraId="410BBC0D">
      <w:pPr>
        <w:jc w:val="center"/>
        <w:rPr>
          <w:rFonts w:ascii="宋体" w:hAnsi="宋体" w:cs="宋体"/>
          <w:b/>
          <w:color w:val="000000" w:themeColor="text1"/>
          <w:kern w:val="0"/>
          <w:sz w:val="32"/>
          <w:szCs w:val="32"/>
          <w:highlight w:val="none"/>
          <w14:textFill>
            <w14:solidFill>
              <w14:schemeClr w14:val="tx1"/>
            </w14:solidFill>
          </w14:textFill>
        </w:rPr>
      </w:pPr>
    </w:p>
    <w:p w14:paraId="4DD4DA62">
      <w:pPr>
        <w:jc w:val="center"/>
        <w:rPr>
          <w:rFonts w:ascii="宋体" w:hAnsi="宋体" w:cs="宋体"/>
          <w:b/>
          <w:color w:val="000000" w:themeColor="text1"/>
          <w:kern w:val="0"/>
          <w:sz w:val="32"/>
          <w:szCs w:val="32"/>
          <w:highlight w:val="none"/>
          <w14:textFill>
            <w14:solidFill>
              <w14:schemeClr w14:val="tx1"/>
            </w14:solidFill>
          </w14:textFill>
        </w:rPr>
      </w:pPr>
    </w:p>
    <w:p w14:paraId="20D3B396">
      <w:pPr>
        <w:jc w:val="center"/>
        <w:rPr>
          <w:rFonts w:ascii="宋体" w:hAnsi="宋体" w:cs="宋体"/>
          <w:b/>
          <w:color w:val="000000" w:themeColor="text1"/>
          <w:kern w:val="0"/>
          <w:sz w:val="32"/>
          <w:szCs w:val="32"/>
          <w:highlight w:val="none"/>
          <w14:textFill>
            <w14:solidFill>
              <w14:schemeClr w14:val="tx1"/>
            </w14:solidFill>
          </w14:textFill>
        </w:rPr>
      </w:pPr>
    </w:p>
    <w:p w14:paraId="7ADE183C">
      <w:pPr>
        <w:jc w:val="center"/>
        <w:rPr>
          <w:rFonts w:ascii="宋体" w:hAnsi="宋体" w:cs="宋体"/>
          <w:b/>
          <w:color w:val="000000" w:themeColor="text1"/>
          <w:kern w:val="0"/>
          <w:sz w:val="32"/>
          <w:szCs w:val="32"/>
          <w:highlight w:val="none"/>
          <w14:textFill>
            <w14:solidFill>
              <w14:schemeClr w14:val="tx1"/>
            </w14:solidFill>
          </w14:textFill>
        </w:rPr>
      </w:pPr>
    </w:p>
    <w:p w14:paraId="7AF8CCBC">
      <w:pPr>
        <w:jc w:val="center"/>
        <w:rPr>
          <w:rFonts w:ascii="宋体" w:hAnsi="宋体" w:cs="宋体"/>
          <w:b/>
          <w:color w:val="000000" w:themeColor="text1"/>
          <w:kern w:val="0"/>
          <w:sz w:val="32"/>
          <w:szCs w:val="32"/>
          <w:highlight w:val="none"/>
          <w14:textFill>
            <w14:solidFill>
              <w14:schemeClr w14:val="tx1"/>
            </w14:solidFill>
          </w14:textFill>
        </w:rPr>
      </w:pPr>
    </w:p>
    <w:p w14:paraId="7ABA0A7F">
      <w:pPr>
        <w:jc w:val="center"/>
        <w:rPr>
          <w:rFonts w:ascii="宋体" w:hAnsi="宋体" w:cs="宋体"/>
          <w:b/>
          <w:color w:val="000000" w:themeColor="text1"/>
          <w:kern w:val="0"/>
          <w:sz w:val="32"/>
          <w:szCs w:val="32"/>
          <w:highlight w:val="none"/>
          <w14:textFill>
            <w14:solidFill>
              <w14:schemeClr w14:val="tx1"/>
            </w14:solidFill>
          </w14:textFill>
        </w:rPr>
      </w:pPr>
    </w:p>
    <w:p w14:paraId="5A8931FF">
      <w:pPr>
        <w:jc w:val="center"/>
        <w:rPr>
          <w:rFonts w:ascii="宋体" w:hAnsi="宋体" w:cs="宋体"/>
          <w:b/>
          <w:color w:val="000000" w:themeColor="text1"/>
          <w:kern w:val="0"/>
          <w:sz w:val="32"/>
          <w:szCs w:val="32"/>
          <w:highlight w:val="none"/>
          <w14:textFill>
            <w14:solidFill>
              <w14:schemeClr w14:val="tx1"/>
            </w14:solidFill>
          </w14:textFill>
        </w:rPr>
      </w:pPr>
    </w:p>
    <w:p w14:paraId="038061CA">
      <w:pPr>
        <w:jc w:val="center"/>
        <w:rPr>
          <w:rFonts w:ascii="宋体" w:hAnsi="宋体" w:cs="宋体"/>
          <w:b/>
          <w:color w:val="000000" w:themeColor="text1"/>
          <w:kern w:val="0"/>
          <w:sz w:val="32"/>
          <w:szCs w:val="32"/>
          <w:highlight w:val="none"/>
          <w14:textFill>
            <w14:solidFill>
              <w14:schemeClr w14:val="tx1"/>
            </w14:solidFill>
          </w14:textFill>
        </w:rPr>
      </w:pPr>
    </w:p>
    <w:p w14:paraId="264BE9D8">
      <w:pPr>
        <w:jc w:val="center"/>
        <w:rPr>
          <w:rFonts w:ascii="宋体" w:hAnsi="宋体" w:cs="宋体"/>
          <w:b/>
          <w:color w:val="000000" w:themeColor="text1"/>
          <w:kern w:val="0"/>
          <w:sz w:val="32"/>
          <w:szCs w:val="32"/>
          <w:highlight w:val="none"/>
          <w14:textFill>
            <w14:solidFill>
              <w14:schemeClr w14:val="tx1"/>
            </w14:solidFill>
          </w14:textFill>
        </w:rPr>
      </w:pPr>
    </w:p>
    <w:p w14:paraId="31F37FEC">
      <w:pPr>
        <w:jc w:val="center"/>
        <w:rPr>
          <w:rFonts w:ascii="宋体" w:hAnsi="宋体" w:cs="宋体"/>
          <w:b/>
          <w:color w:val="000000" w:themeColor="text1"/>
          <w:kern w:val="0"/>
          <w:sz w:val="32"/>
          <w:szCs w:val="32"/>
          <w:highlight w:val="none"/>
          <w14:textFill>
            <w14:solidFill>
              <w14:schemeClr w14:val="tx1"/>
            </w14:solidFill>
          </w14:textFill>
        </w:rPr>
      </w:pPr>
    </w:p>
    <w:p w14:paraId="0B64F5EC">
      <w:pPr>
        <w:pStyle w:val="3"/>
        <w:rPr>
          <w:color w:val="000000" w:themeColor="text1"/>
          <w:highlight w:val="none"/>
          <w:lang w:val="en-US"/>
          <w14:textFill>
            <w14:solidFill>
              <w14:schemeClr w14:val="tx1"/>
            </w14:solidFill>
          </w14:textFill>
        </w:rPr>
      </w:pPr>
    </w:p>
    <w:p w14:paraId="485D62ED">
      <w:pPr>
        <w:jc w:val="center"/>
        <w:rPr>
          <w:rFonts w:ascii="宋体" w:hAnsi="宋体" w:cs="宋体"/>
          <w:b/>
          <w:color w:val="000000" w:themeColor="text1"/>
          <w:kern w:val="0"/>
          <w:sz w:val="32"/>
          <w:szCs w:val="32"/>
          <w:highlight w:val="none"/>
          <w14:textFill>
            <w14:solidFill>
              <w14:schemeClr w14:val="tx1"/>
            </w14:solidFill>
          </w14:textFill>
        </w:rPr>
      </w:pPr>
    </w:p>
    <w:p w14:paraId="034394BE">
      <w:pPr>
        <w:jc w:val="center"/>
        <w:rPr>
          <w:rFonts w:ascii="宋体" w:hAnsi="宋体" w:cs="宋体"/>
          <w:b/>
          <w:color w:val="000000" w:themeColor="text1"/>
          <w:kern w:val="0"/>
          <w:sz w:val="32"/>
          <w:szCs w:val="32"/>
          <w:highlight w:val="none"/>
          <w14:textFill>
            <w14:solidFill>
              <w14:schemeClr w14:val="tx1"/>
            </w14:solidFill>
          </w14:textFill>
        </w:rPr>
      </w:pPr>
    </w:p>
    <w:p w14:paraId="1492A90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E181E3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52F4CA3">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666C57D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杭州高新技术产业开发区（滨江）社会治理中心、城市建设技术集团（浙江）有限公司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2C1C9260">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滨江区一体化智能化公共数据平台2025年度数据服务项目 【招标编号：CJJS-2025007】</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1822764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02AF5A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7E6B84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07FC1DAE">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543E493">
      <w:pPr>
        <w:snapToGrid w:val="0"/>
        <w:spacing w:line="360" w:lineRule="auto"/>
        <w:rPr>
          <w:rFonts w:ascii="宋体" w:hAnsi="宋体" w:cs="宋体"/>
          <w:color w:val="000000" w:themeColor="text1"/>
          <w:sz w:val="24"/>
          <w:highlight w:val="none"/>
          <w14:textFill>
            <w14:solidFill>
              <w14:schemeClr w14:val="tx1"/>
            </w14:solidFill>
          </w14:textFill>
        </w:rPr>
      </w:pPr>
    </w:p>
    <w:p w14:paraId="750EE76D">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72071FB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杭州高新技术产业开发区（滨江）社会治理中心、城市建设技术集团（浙江）有限公司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6C5C1153">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滨江区一体化智能化公共数据平台2025年度数据服务项目 【招标编号：CJJS-2025007】</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40CBB9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FC4178F">
      <w:pPr>
        <w:snapToGrid w:val="0"/>
        <w:spacing w:line="360" w:lineRule="auto"/>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66803110">
      <w:pPr>
        <w:rPr>
          <w:rFonts w:ascii="宋体" w:hAnsi="宋体" w:cs="宋体"/>
          <w:color w:val="000000" w:themeColor="text1"/>
          <w:highlight w:val="none"/>
          <w14:textFill>
            <w14:solidFill>
              <w14:schemeClr w14:val="tx1"/>
            </w14:solidFill>
          </w14:textFill>
        </w:rPr>
      </w:pPr>
    </w:p>
    <w:p w14:paraId="059D09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766F1B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AC669A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D1BB221">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D4EF79B">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73062F3">
      <w:pPr>
        <w:pStyle w:val="148"/>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35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BB5EDD">
            <w:pPr>
              <w:pStyle w:val="148"/>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2DB88313">
            <w:pPr>
              <w:pStyle w:val="148"/>
              <w:adjustRightInd w:val="0"/>
              <w:spacing w:line="360" w:lineRule="auto"/>
              <w:rPr>
                <w:rFonts w:hAnsi="宋体" w:cs="宋体"/>
                <w:bCs/>
                <w:color w:val="000000" w:themeColor="text1"/>
                <w:sz w:val="24"/>
                <w:highlight w:val="none"/>
                <w14:textFill>
                  <w14:solidFill>
                    <w14:schemeClr w14:val="tx1"/>
                  </w14:solidFill>
                </w14:textFill>
              </w:rPr>
            </w:pPr>
          </w:p>
        </w:tc>
      </w:tr>
    </w:tbl>
    <w:p w14:paraId="2866F00C">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EB92068">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51D9059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B7E7B66">
      <w:pPr>
        <w:jc w:val="center"/>
        <w:rPr>
          <w:rFonts w:ascii="宋体" w:hAnsi="宋体" w:cs="宋体"/>
          <w:b/>
          <w:color w:val="000000" w:themeColor="text1"/>
          <w:kern w:val="0"/>
          <w:sz w:val="32"/>
          <w:szCs w:val="32"/>
          <w:highlight w:val="none"/>
          <w14:textFill>
            <w14:solidFill>
              <w14:schemeClr w14:val="tx1"/>
            </w14:solidFill>
          </w14:textFill>
        </w:rPr>
      </w:pPr>
    </w:p>
    <w:p w14:paraId="7B3EAF2E">
      <w:pPr>
        <w:jc w:val="center"/>
        <w:rPr>
          <w:rFonts w:ascii="宋体" w:hAnsi="宋体" w:cs="宋体"/>
          <w:b/>
          <w:color w:val="000000" w:themeColor="text1"/>
          <w:kern w:val="0"/>
          <w:sz w:val="32"/>
          <w:szCs w:val="32"/>
          <w:highlight w:val="none"/>
          <w14:textFill>
            <w14:solidFill>
              <w14:schemeClr w14:val="tx1"/>
            </w14:solidFill>
          </w14:textFill>
        </w:rPr>
      </w:pPr>
    </w:p>
    <w:p w14:paraId="5C2BFB7B">
      <w:pPr>
        <w:jc w:val="center"/>
        <w:rPr>
          <w:rFonts w:ascii="宋体" w:hAnsi="宋体" w:cs="宋体"/>
          <w:b/>
          <w:color w:val="000000" w:themeColor="text1"/>
          <w:kern w:val="0"/>
          <w:sz w:val="32"/>
          <w:szCs w:val="32"/>
          <w:highlight w:val="none"/>
          <w14:textFill>
            <w14:solidFill>
              <w14:schemeClr w14:val="tx1"/>
            </w14:solidFill>
          </w14:textFill>
        </w:rPr>
      </w:pPr>
    </w:p>
    <w:p w14:paraId="53E0C636">
      <w:pPr>
        <w:jc w:val="center"/>
        <w:rPr>
          <w:rFonts w:ascii="宋体" w:hAnsi="宋体" w:cs="宋体"/>
          <w:b/>
          <w:color w:val="000000" w:themeColor="text1"/>
          <w:kern w:val="0"/>
          <w:sz w:val="32"/>
          <w:szCs w:val="32"/>
          <w:highlight w:val="none"/>
          <w14:textFill>
            <w14:solidFill>
              <w14:schemeClr w14:val="tx1"/>
            </w14:solidFill>
          </w14:textFill>
        </w:rPr>
      </w:pPr>
    </w:p>
    <w:p w14:paraId="34109484">
      <w:pPr>
        <w:jc w:val="center"/>
        <w:rPr>
          <w:rFonts w:ascii="宋体" w:hAnsi="宋体" w:cs="宋体"/>
          <w:b/>
          <w:color w:val="000000" w:themeColor="text1"/>
          <w:kern w:val="0"/>
          <w:sz w:val="32"/>
          <w:szCs w:val="32"/>
          <w:highlight w:val="none"/>
          <w14:textFill>
            <w14:solidFill>
              <w14:schemeClr w14:val="tx1"/>
            </w14:solidFill>
          </w14:textFill>
        </w:rPr>
      </w:pPr>
    </w:p>
    <w:p w14:paraId="1446DBA5">
      <w:pPr>
        <w:jc w:val="center"/>
        <w:rPr>
          <w:rFonts w:ascii="宋体" w:hAnsi="宋体" w:cs="宋体"/>
          <w:b/>
          <w:color w:val="000000" w:themeColor="text1"/>
          <w:kern w:val="0"/>
          <w:sz w:val="32"/>
          <w:szCs w:val="32"/>
          <w:highlight w:val="none"/>
          <w14:textFill>
            <w14:solidFill>
              <w14:schemeClr w14:val="tx1"/>
            </w14:solidFill>
          </w14:textFill>
        </w:rPr>
      </w:pPr>
    </w:p>
    <w:p w14:paraId="12F42539">
      <w:pPr>
        <w:jc w:val="center"/>
        <w:rPr>
          <w:rFonts w:ascii="宋体" w:hAnsi="宋体" w:cs="宋体"/>
          <w:b/>
          <w:color w:val="000000" w:themeColor="text1"/>
          <w:kern w:val="0"/>
          <w:sz w:val="32"/>
          <w:szCs w:val="32"/>
          <w:highlight w:val="none"/>
          <w14:textFill>
            <w14:solidFill>
              <w14:schemeClr w14:val="tx1"/>
            </w14:solidFill>
          </w14:textFill>
        </w:rPr>
      </w:pPr>
    </w:p>
    <w:p w14:paraId="6FF31157">
      <w:pPr>
        <w:jc w:val="center"/>
        <w:rPr>
          <w:rFonts w:ascii="宋体" w:hAnsi="宋体" w:cs="宋体"/>
          <w:b/>
          <w:color w:val="000000" w:themeColor="text1"/>
          <w:kern w:val="0"/>
          <w:sz w:val="32"/>
          <w:szCs w:val="32"/>
          <w:highlight w:val="none"/>
          <w14:textFill>
            <w14:solidFill>
              <w14:schemeClr w14:val="tx1"/>
            </w14:solidFill>
          </w14:textFill>
        </w:rPr>
      </w:pPr>
    </w:p>
    <w:p w14:paraId="6901E9F6">
      <w:pPr>
        <w:jc w:val="center"/>
        <w:rPr>
          <w:rFonts w:ascii="宋体" w:hAnsi="宋体" w:cs="宋体"/>
          <w:b/>
          <w:color w:val="000000" w:themeColor="text1"/>
          <w:kern w:val="0"/>
          <w:sz w:val="32"/>
          <w:szCs w:val="32"/>
          <w:highlight w:val="none"/>
          <w14:textFill>
            <w14:solidFill>
              <w14:schemeClr w14:val="tx1"/>
            </w14:solidFill>
          </w14:textFill>
        </w:rPr>
      </w:pPr>
    </w:p>
    <w:p w14:paraId="5FA3FB29">
      <w:pPr>
        <w:jc w:val="center"/>
        <w:rPr>
          <w:rFonts w:ascii="宋体" w:hAnsi="宋体" w:cs="宋体"/>
          <w:b/>
          <w:color w:val="000000" w:themeColor="text1"/>
          <w:kern w:val="0"/>
          <w:sz w:val="32"/>
          <w:szCs w:val="32"/>
          <w:highlight w:val="none"/>
          <w14:textFill>
            <w14:solidFill>
              <w14:schemeClr w14:val="tx1"/>
            </w14:solidFill>
          </w14:textFill>
        </w:rPr>
      </w:pPr>
    </w:p>
    <w:p w14:paraId="627EF549">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3E1C15F">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56F5CEB9">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6DEFB73">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0285F2BE">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3AD274EA">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2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8DE12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6DDC063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4D830555">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610DAD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4AC83491">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4F68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B1634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653C4C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16E635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4A6AE96F">
            <w:pPr>
              <w:rPr>
                <w:rFonts w:ascii="宋体" w:hAnsi="宋体" w:cs="宋体"/>
                <w:color w:val="000000" w:themeColor="text1"/>
                <w:sz w:val="24"/>
                <w:highlight w:val="none"/>
                <w14:textFill>
                  <w14:solidFill>
                    <w14:schemeClr w14:val="tx1"/>
                  </w14:solidFill>
                </w14:textFill>
              </w:rPr>
            </w:pPr>
          </w:p>
          <w:p w14:paraId="767633C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81C9CE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5E9F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2D40B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3C67DA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160CCE4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0A3909A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456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13A4D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76C5850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0B46FD2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6AAE249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73BA083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BDE61B3">
      <w:pPr>
        <w:jc w:val="center"/>
        <w:rPr>
          <w:rFonts w:ascii="宋体" w:hAnsi="宋体" w:cs="宋体"/>
          <w:b/>
          <w:color w:val="000000" w:themeColor="text1"/>
          <w:kern w:val="0"/>
          <w:sz w:val="32"/>
          <w:szCs w:val="32"/>
          <w:highlight w:val="none"/>
          <w14:textFill>
            <w14:solidFill>
              <w14:schemeClr w14:val="tx1"/>
            </w14:solidFill>
          </w14:textFill>
        </w:rPr>
      </w:pPr>
    </w:p>
    <w:p w14:paraId="3868D544">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3EEAE78C">
      <w:pPr>
        <w:jc w:val="center"/>
        <w:rPr>
          <w:rFonts w:ascii="宋体" w:hAnsi="宋体" w:cs="宋体"/>
          <w:b/>
          <w:color w:val="000000" w:themeColor="text1"/>
          <w:kern w:val="0"/>
          <w:sz w:val="32"/>
          <w:szCs w:val="32"/>
          <w:highlight w:val="none"/>
          <w14:textFill>
            <w14:solidFill>
              <w14:schemeClr w14:val="tx1"/>
            </w14:solidFill>
          </w14:textFill>
        </w:rPr>
      </w:pPr>
    </w:p>
    <w:p w14:paraId="22576CDE">
      <w:pPr>
        <w:jc w:val="center"/>
        <w:rPr>
          <w:rFonts w:ascii="宋体" w:hAnsi="宋体" w:cs="宋体"/>
          <w:b/>
          <w:color w:val="000000" w:themeColor="text1"/>
          <w:kern w:val="0"/>
          <w:sz w:val="32"/>
          <w:szCs w:val="32"/>
          <w:highlight w:val="none"/>
          <w14:textFill>
            <w14:solidFill>
              <w14:schemeClr w14:val="tx1"/>
            </w14:solidFill>
          </w14:textFill>
        </w:rPr>
      </w:pPr>
    </w:p>
    <w:p w14:paraId="114D4023">
      <w:pPr>
        <w:jc w:val="center"/>
        <w:rPr>
          <w:rFonts w:ascii="宋体" w:hAnsi="宋体" w:cs="宋体"/>
          <w:b/>
          <w:color w:val="000000" w:themeColor="text1"/>
          <w:kern w:val="0"/>
          <w:sz w:val="32"/>
          <w:szCs w:val="32"/>
          <w:highlight w:val="none"/>
          <w14:textFill>
            <w14:solidFill>
              <w14:schemeClr w14:val="tx1"/>
            </w14:solidFill>
          </w14:textFill>
        </w:rPr>
      </w:pPr>
    </w:p>
    <w:p w14:paraId="1C08F627">
      <w:pPr>
        <w:jc w:val="center"/>
        <w:rPr>
          <w:rFonts w:ascii="宋体" w:hAnsi="宋体" w:cs="宋体"/>
          <w:b/>
          <w:color w:val="000000" w:themeColor="text1"/>
          <w:kern w:val="0"/>
          <w:sz w:val="32"/>
          <w:szCs w:val="32"/>
          <w:highlight w:val="none"/>
          <w14:textFill>
            <w14:solidFill>
              <w14:schemeClr w14:val="tx1"/>
            </w14:solidFill>
          </w14:textFill>
        </w:rPr>
      </w:pPr>
    </w:p>
    <w:p w14:paraId="522FDC97">
      <w:pPr>
        <w:jc w:val="center"/>
        <w:rPr>
          <w:rFonts w:ascii="宋体" w:hAnsi="宋体" w:cs="宋体"/>
          <w:b/>
          <w:color w:val="000000" w:themeColor="text1"/>
          <w:kern w:val="0"/>
          <w:sz w:val="32"/>
          <w:szCs w:val="32"/>
          <w:highlight w:val="none"/>
          <w14:textFill>
            <w14:solidFill>
              <w14:schemeClr w14:val="tx1"/>
            </w14:solidFill>
          </w14:textFill>
        </w:rPr>
      </w:pPr>
    </w:p>
    <w:p w14:paraId="52E80DFB">
      <w:pPr>
        <w:jc w:val="center"/>
        <w:rPr>
          <w:rFonts w:ascii="宋体" w:hAnsi="宋体" w:cs="宋体"/>
          <w:b/>
          <w:color w:val="000000" w:themeColor="text1"/>
          <w:kern w:val="0"/>
          <w:sz w:val="32"/>
          <w:szCs w:val="32"/>
          <w:highlight w:val="none"/>
          <w14:textFill>
            <w14:solidFill>
              <w14:schemeClr w14:val="tx1"/>
            </w14:solidFill>
          </w14:textFill>
        </w:rPr>
      </w:pPr>
    </w:p>
    <w:p w14:paraId="4761E70F">
      <w:pPr>
        <w:jc w:val="center"/>
        <w:rPr>
          <w:rFonts w:ascii="宋体" w:hAnsi="宋体" w:cs="宋体"/>
          <w:b/>
          <w:color w:val="000000" w:themeColor="text1"/>
          <w:kern w:val="0"/>
          <w:sz w:val="32"/>
          <w:szCs w:val="32"/>
          <w:highlight w:val="none"/>
          <w14:textFill>
            <w14:solidFill>
              <w14:schemeClr w14:val="tx1"/>
            </w14:solidFill>
          </w14:textFill>
        </w:rPr>
      </w:pPr>
    </w:p>
    <w:p w14:paraId="149D1B0F">
      <w:pPr>
        <w:jc w:val="center"/>
        <w:rPr>
          <w:rFonts w:ascii="宋体" w:hAnsi="宋体" w:cs="宋体"/>
          <w:b/>
          <w:color w:val="000000" w:themeColor="text1"/>
          <w:kern w:val="0"/>
          <w:sz w:val="32"/>
          <w:szCs w:val="32"/>
          <w:highlight w:val="none"/>
          <w14:textFill>
            <w14:solidFill>
              <w14:schemeClr w14:val="tx1"/>
            </w14:solidFill>
          </w14:textFill>
        </w:rPr>
      </w:pPr>
    </w:p>
    <w:p w14:paraId="4D0C1D9B">
      <w:pPr>
        <w:jc w:val="center"/>
        <w:rPr>
          <w:rFonts w:ascii="宋体" w:hAnsi="宋体" w:cs="宋体"/>
          <w:b/>
          <w:color w:val="000000" w:themeColor="text1"/>
          <w:kern w:val="0"/>
          <w:sz w:val="32"/>
          <w:szCs w:val="32"/>
          <w:highlight w:val="none"/>
          <w14:textFill>
            <w14:solidFill>
              <w14:schemeClr w14:val="tx1"/>
            </w14:solidFill>
          </w14:textFill>
        </w:rPr>
      </w:pPr>
    </w:p>
    <w:p w14:paraId="3389BD41">
      <w:pPr>
        <w:jc w:val="center"/>
        <w:rPr>
          <w:rFonts w:ascii="宋体" w:hAnsi="宋体" w:cs="宋体"/>
          <w:b/>
          <w:color w:val="000000" w:themeColor="text1"/>
          <w:kern w:val="0"/>
          <w:sz w:val="32"/>
          <w:szCs w:val="32"/>
          <w:highlight w:val="none"/>
          <w14:textFill>
            <w14:solidFill>
              <w14:schemeClr w14:val="tx1"/>
            </w14:solidFill>
          </w14:textFill>
        </w:rPr>
      </w:pPr>
    </w:p>
    <w:p w14:paraId="40721ABA">
      <w:pPr>
        <w:jc w:val="center"/>
        <w:rPr>
          <w:rFonts w:ascii="宋体" w:hAnsi="宋体" w:cs="宋体"/>
          <w:b/>
          <w:color w:val="000000" w:themeColor="text1"/>
          <w:kern w:val="0"/>
          <w:sz w:val="32"/>
          <w:szCs w:val="32"/>
          <w:highlight w:val="none"/>
          <w14:textFill>
            <w14:solidFill>
              <w14:schemeClr w14:val="tx1"/>
            </w14:solidFill>
          </w14:textFill>
        </w:rPr>
      </w:pPr>
    </w:p>
    <w:p w14:paraId="11D12F66">
      <w:pPr>
        <w:jc w:val="center"/>
        <w:rPr>
          <w:rFonts w:ascii="宋体" w:hAnsi="宋体" w:cs="宋体"/>
          <w:b/>
          <w:color w:val="000000" w:themeColor="text1"/>
          <w:kern w:val="0"/>
          <w:sz w:val="32"/>
          <w:szCs w:val="32"/>
          <w:highlight w:val="none"/>
          <w14:textFill>
            <w14:solidFill>
              <w14:schemeClr w14:val="tx1"/>
            </w14:solidFill>
          </w14:textFill>
        </w:rPr>
      </w:pPr>
    </w:p>
    <w:p w14:paraId="65430A8C">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9FE592F">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676B2EFA">
      <w:pPr>
        <w:jc w:val="center"/>
        <w:rPr>
          <w:rFonts w:ascii="宋体" w:hAnsi="宋体" w:cs="宋体"/>
          <w:b/>
          <w:color w:val="000000" w:themeColor="text1"/>
          <w:kern w:val="0"/>
          <w:sz w:val="32"/>
          <w:szCs w:val="32"/>
          <w:highlight w:val="none"/>
          <w14:textFill>
            <w14:solidFill>
              <w14:schemeClr w14:val="tx1"/>
            </w14:solidFill>
          </w14:textFill>
        </w:rPr>
      </w:pPr>
    </w:p>
    <w:p w14:paraId="63B8BF49">
      <w:pPr>
        <w:jc w:val="center"/>
        <w:rPr>
          <w:rFonts w:ascii="宋体" w:hAnsi="宋体" w:cs="宋体"/>
          <w:b/>
          <w:color w:val="000000" w:themeColor="text1"/>
          <w:kern w:val="0"/>
          <w:sz w:val="32"/>
          <w:szCs w:val="32"/>
          <w:highlight w:val="none"/>
          <w14:textFill>
            <w14:solidFill>
              <w14:schemeClr w14:val="tx1"/>
            </w14:solidFill>
          </w14:textFill>
        </w:rPr>
      </w:pPr>
    </w:p>
    <w:p w14:paraId="49793FA2">
      <w:pPr>
        <w:jc w:val="center"/>
        <w:rPr>
          <w:rFonts w:ascii="宋体" w:hAnsi="宋体" w:cs="宋体"/>
          <w:b/>
          <w:color w:val="000000" w:themeColor="text1"/>
          <w:kern w:val="0"/>
          <w:sz w:val="32"/>
          <w:szCs w:val="32"/>
          <w:highlight w:val="none"/>
          <w14:textFill>
            <w14:solidFill>
              <w14:schemeClr w14:val="tx1"/>
            </w14:solidFill>
          </w14:textFill>
        </w:rPr>
      </w:pPr>
    </w:p>
    <w:p w14:paraId="36353956">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E4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5213A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7566C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3CE1F7A0">
            <w:pPr>
              <w:spacing w:line="360" w:lineRule="auto"/>
              <w:jc w:val="center"/>
              <w:rPr>
                <w:rFonts w:ascii="宋体" w:hAnsi="宋体" w:cs="宋体"/>
                <w:b/>
                <w:color w:val="000000" w:themeColor="text1"/>
                <w:sz w:val="24"/>
                <w:highlight w:val="none"/>
                <w14:textFill>
                  <w14:solidFill>
                    <w14:schemeClr w14:val="tx1"/>
                  </w14:solidFill>
                </w14:textFill>
              </w:rPr>
            </w:pPr>
          </w:p>
          <w:p w14:paraId="3632410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A2A58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E3CCD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3BAB3A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608A561">
            <w:pPr>
              <w:spacing w:line="360" w:lineRule="auto"/>
              <w:jc w:val="center"/>
              <w:rPr>
                <w:rFonts w:ascii="宋体" w:hAnsi="宋体" w:cs="宋体"/>
                <w:b/>
                <w:color w:val="000000" w:themeColor="text1"/>
                <w:sz w:val="24"/>
                <w:highlight w:val="none"/>
                <w14:textFill>
                  <w14:solidFill>
                    <w14:schemeClr w14:val="tx1"/>
                  </w14:solidFill>
                </w14:textFill>
              </w:rPr>
            </w:pPr>
          </w:p>
          <w:p w14:paraId="0897836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161CF389">
            <w:pPr>
              <w:spacing w:line="360" w:lineRule="auto"/>
              <w:jc w:val="center"/>
              <w:rPr>
                <w:rFonts w:ascii="宋体" w:hAnsi="宋体" w:cs="宋体"/>
                <w:b/>
                <w:color w:val="000000" w:themeColor="text1"/>
                <w:sz w:val="24"/>
                <w:highlight w:val="none"/>
                <w14:textFill>
                  <w14:solidFill>
                    <w14:schemeClr w14:val="tx1"/>
                  </w14:solidFill>
                </w14:textFill>
              </w:rPr>
            </w:pPr>
          </w:p>
        </w:tc>
      </w:tr>
      <w:tr w14:paraId="6011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759B5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F77D0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45435B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78AB08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DD462D1">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CAAB364">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5E7CCF2">
            <w:pPr>
              <w:spacing w:line="360" w:lineRule="auto"/>
              <w:jc w:val="center"/>
              <w:rPr>
                <w:rFonts w:ascii="宋体" w:hAnsi="宋体" w:cs="宋体"/>
                <w:color w:val="000000" w:themeColor="text1"/>
                <w:sz w:val="24"/>
                <w:highlight w:val="none"/>
                <w14:textFill>
                  <w14:solidFill>
                    <w14:schemeClr w14:val="tx1"/>
                  </w14:solidFill>
                </w14:textFill>
              </w:rPr>
            </w:pPr>
          </w:p>
        </w:tc>
      </w:tr>
      <w:tr w14:paraId="3D85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2096A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EBF62B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B25324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5871F4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E70D398">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2C8CA8C">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347CE49">
            <w:pPr>
              <w:spacing w:line="360" w:lineRule="auto"/>
              <w:jc w:val="center"/>
              <w:rPr>
                <w:rFonts w:ascii="宋体" w:hAnsi="宋体" w:cs="宋体"/>
                <w:color w:val="000000" w:themeColor="text1"/>
                <w:sz w:val="24"/>
                <w:highlight w:val="none"/>
                <w14:textFill>
                  <w14:solidFill>
                    <w14:schemeClr w14:val="tx1"/>
                  </w14:solidFill>
                </w14:textFill>
              </w:rPr>
            </w:pPr>
          </w:p>
        </w:tc>
      </w:tr>
      <w:tr w14:paraId="4863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A966A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B099E6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29298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3D9E3B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E532ACF">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BF727CB">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E00EE9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AB57BF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2CF67BA">
      <w:pPr>
        <w:jc w:val="center"/>
        <w:rPr>
          <w:rFonts w:ascii="宋体" w:hAnsi="宋体" w:cs="宋体"/>
          <w:b/>
          <w:color w:val="000000" w:themeColor="text1"/>
          <w:kern w:val="0"/>
          <w:sz w:val="32"/>
          <w:szCs w:val="32"/>
          <w:highlight w:val="none"/>
          <w14:textFill>
            <w14:solidFill>
              <w14:schemeClr w14:val="tx1"/>
            </w14:solidFill>
          </w14:textFill>
        </w:rPr>
      </w:pPr>
    </w:p>
    <w:p w14:paraId="7192683A">
      <w:pPr>
        <w:jc w:val="center"/>
        <w:rPr>
          <w:rFonts w:ascii="宋体" w:hAnsi="宋体" w:cs="宋体"/>
          <w:b/>
          <w:color w:val="000000" w:themeColor="text1"/>
          <w:kern w:val="0"/>
          <w:sz w:val="32"/>
          <w:szCs w:val="32"/>
          <w:highlight w:val="none"/>
          <w14:textFill>
            <w14:solidFill>
              <w14:schemeClr w14:val="tx1"/>
            </w14:solidFill>
          </w14:textFill>
        </w:rPr>
      </w:pPr>
    </w:p>
    <w:p w14:paraId="39A26B5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AD4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DF144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6B249BC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08FA1465">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24727A25">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14CA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DDD9B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65706D0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A2652E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F724189">
            <w:pPr>
              <w:jc w:val="center"/>
              <w:rPr>
                <w:rFonts w:ascii="宋体" w:hAnsi="宋体" w:cs="宋体"/>
                <w:b/>
                <w:color w:val="000000" w:themeColor="text1"/>
                <w:kern w:val="0"/>
                <w:sz w:val="32"/>
                <w:szCs w:val="32"/>
                <w:highlight w:val="none"/>
                <w14:textFill>
                  <w14:solidFill>
                    <w14:schemeClr w14:val="tx1"/>
                  </w14:solidFill>
                </w14:textFill>
              </w:rPr>
            </w:pPr>
          </w:p>
        </w:tc>
      </w:tr>
      <w:tr w14:paraId="2595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2BB65B">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0A395029">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9243D1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3BFF873B">
            <w:pPr>
              <w:jc w:val="center"/>
              <w:rPr>
                <w:rFonts w:ascii="宋体" w:hAnsi="宋体" w:cs="宋体"/>
                <w:b/>
                <w:color w:val="000000" w:themeColor="text1"/>
                <w:kern w:val="0"/>
                <w:sz w:val="32"/>
                <w:szCs w:val="32"/>
                <w:highlight w:val="none"/>
                <w14:textFill>
                  <w14:solidFill>
                    <w14:schemeClr w14:val="tx1"/>
                  </w14:solidFill>
                </w14:textFill>
              </w:rPr>
            </w:pPr>
          </w:p>
        </w:tc>
      </w:tr>
      <w:tr w14:paraId="0190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A1F8A7">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E95C0FD">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F0463A8">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C2F12F6">
            <w:pPr>
              <w:jc w:val="center"/>
              <w:rPr>
                <w:rFonts w:ascii="宋体" w:hAnsi="宋体" w:cs="宋体"/>
                <w:b/>
                <w:color w:val="000000" w:themeColor="text1"/>
                <w:kern w:val="0"/>
                <w:sz w:val="32"/>
                <w:szCs w:val="32"/>
                <w:highlight w:val="none"/>
                <w14:textFill>
                  <w14:solidFill>
                    <w14:schemeClr w14:val="tx1"/>
                  </w14:solidFill>
                </w14:textFill>
              </w:rPr>
            </w:pPr>
          </w:p>
        </w:tc>
      </w:tr>
    </w:tbl>
    <w:p w14:paraId="3805359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762B6910">
      <w:pPr>
        <w:jc w:val="center"/>
        <w:rPr>
          <w:rFonts w:ascii="宋体" w:hAnsi="宋体" w:cs="宋体"/>
          <w:b/>
          <w:color w:val="000000" w:themeColor="text1"/>
          <w:kern w:val="0"/>
          <w:sz w:val="32"/>
          <w:szCs w:val="32"/>
          <w:highlight w:val="none"/>
          <w14:textFill>
            <w14:solidFill>
              <w14:schemeClr w14:val="tx1"/>
            </w14:solidFill>
          </w14:textFill>
        </w:rPr>
      </w:pPr>
    </w:p>
    <w:p w14:paraId="01C1502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883E692">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CD2E23C">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BFED742">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A16A626">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238A95A5">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D3B42EA">
      <w:pPr>
        <w:snapToGrid w:val="0"/>
        <w:spacing w:line="360" w:lineRule="auto"/>
        <w:rPr>
          <w:rFonts w:ascii="宋体" w:hAnsi="宋体" w:cs="宋体"/>
          <w:color w:val="000000" w:themeColor="text1"/>
          <w:sz w:val="24"/>
          <w:highlight w:val="none"/>
          <w14:textFill>
            <w14:solidFill>
              <w14:schemeClr w14:val="tx1"/>
            </w14:solidFill>
          </w14:textFill>
        </w:rPr>
      </w:pPr>
    </w:p>
    <w:p w14:paraId="3952244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杭州高新技术产业开发区（滨江）社会治理中心、城市建设技术集团（浙江）有限公司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0920CAE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CC469B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775194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1ADD67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8AAC37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4792E2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E3C0CA0">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61885C91">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D3170B4">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D6EE621">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2FF76D1">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97AA8F4">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6419F3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8FF30AD">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6937F51">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77BD9B2F">
      <w:pPr>
        <w:spacing w:line="360" w:lineRule="auto"/>
        <w:jc w:val="center"/>
        <w:rPr>
          <w:rFonts w:ascii="宋体" w:hAnsi="宋体" w:cs="宋体"/>
          <w:b/>
          <w:bCs/>
          <w:color w:val="000000" w:themeColor="text1"/>
          <w:sz w:val="24"/>
          <w:highlight w:val="none"/>
          <w14:textFill>
            <w14:solidFill>
              <w14:schemeClr w14:val="tx1"/>
            </w14:solidFill>
          </w14:textFill>
        </w:rPr>
      </w:pPr>
    </w:p>
    <w:p w14:paraId="74CCABE1">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4D4C4E3">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8FFB6A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3AD6B2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D8B8CB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342D6DDC">
      <w:pPr>
        <w:numPr>
          <w:ilvl w:val="0"/>
          <w:numId w:val="2"/>
        </w:num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202DF804">
      <w:pPr>
        <w:spacing w:line="360" w:lineRule="auto"/>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hAnsi="仿宋_GB2312" w:cs="仿宋_GB2312"/>
          <w:bCs/>
          <w:snapToGrid w:val="0"/>
          <w:color w:val="000000" w:themeColor="text1"/>
          <w:sz w:val="24"/>
          <w:highlight w:val="none"/>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……………………………………………………………（页码）</w:t>
      </w:r>
    </w:p>
    <w:p w14:paraId="30A07AE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（3）中小企业声明函………………………………………………………………（页码）</w:t>
      </w:r>
    </w:p>
    <w:p w14:paraId="0FC9110E">
      <w:pPr>
        <w:pStyle w:val="79"/>
        <w:rPr>
          <w:color w:val="000000" w:themeColor="text1"/>
          <w:highlight w:val="none"/>
          <w14:textFill>
            <w14:solidFill>
              <w14:schemeClr w14:val="tx1"/>
            </w14:solidFill>
          </w14:textFill>
        </w:rPr>
      </w:pPr>
    </w:p>
    <w:p w14:paraId="74B0D107">
      <w:pPr>
        <w:pStyle w:val="79"/>
        <w:rPr>
          <w:color w:val="000000" w:themeColor="text1"/>
          <w:highlight w:val="none"/>
          <w14:textFill>
            <w14:solidFill>
              <w14:schemeClr w14:val="tx1"/>
            </w14:solidFill>
          </w14:textFill>
        </w:rPr>
      </w:pPr>
    </w:p>
    <w:p w14:paraId="2A067C2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DFBD3E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77C981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8F94E7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1BB6A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0EF338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DBA997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1AF5D5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C11115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8CEC2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EF8403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C57D7C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60FD77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E9C045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844892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4A612BD">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BFFB764">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1DBA8A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杭州高新技术产业开发区（滨江）社会治理中心、城市建设技术集团（浙江）有限公司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1D73B88B">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 xml:space="preserve">滨江区一体化智能化公共数据平台2025年度数据服务项目 </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CJJS-2025007】的实施</w:t>
      </w:r>
      <w:r>
        <w:rPr>
          <w:rFonts w:hint="eastAsia" w:ascii="宋体" w:hAnsi="宋体" w:cs="宋体"/>
          <w:color w:val="000000" w:themeColor="text1"/>
          <w:kern w:val="0"/>
          <w:sz w:val="24"/>
          <w:highlight w:val="none"/>
          <w:lang w:val="zh-CN"/>
          <w14:textFill>
            <w14:solidFill>
              <w14:schemeClr w14:val="tx1"/>
            </w14:solidFill>
          </w14:textFill>
        </w:rPr>
        <w:t>。</w:t>
      </w:r>
    </w:p>
    <w:p w14:paraId="648EE277">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p w14:paraId="16BC63BE">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p>
    <w:tbl>
      <w:tblPr>
        <w:tblStyle w:val="62"/>
        <w:tblW w:w="5000" w:type="pct"/>
        <w:jc w:val="center"/>
        <w:tblLayout w:type="autofit"/>
        <w:tblCellMar>
          <w:top w:w="0" w:type="dxa"/>
          <w:left w:w="108" w:type="dxa"/>
          <w:bottom w:w="0" w:type="dxa"/>
          <w:right w:w="108" w:type="dxa"/>
        </w:tblCellMar>
      </w:tblPr>
      <w:tblGrid>
        <w:gridCol w:w="2420"/>
        <w:gridCol w:w="2421"/>
        <w:gridCol w:w="2424"/>
        <w:gridCol w:w="2424"/>
        <w:gridCol w:w="2424"/>
        <w:gridCol w:w="2418"/>
      </w:tblGrid>
      <w:tr w14:paraId="764857B8">
        <w:tblPrEx>
          <w:tblCellMar>
            <w:top w:w="0" w:type="dxa"/>
            <w:left w:w="108" w:type="dxa"/>
            <w:bottom w:w="0" w:type="dxa"/>
            <w:right w:w="108" w:type="dxa"/>
          </w:tblCellMar>
        </w:tblPrEx>
        <w:trPr>
          <w:trHeight w:val="71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34B8C64A">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vAlign w:val="center"/>
          </w:tcPr>
          <w:p w14:paraId="757EA9F2">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名称</w:t>
            </w:r>
          </w:p>
        </w:tc>
        <w:tc>
          <w:tcPr>
            <w:tcW w:w="834" w:type="pct"/>
            <w:tcBorders>
              <w:top w:val="single" w:color="000000" w:sz="4" w:space="0"/>
              <w:left w:val="single" w:color="000000" w:sz="4" w:space="0"/>
              <w:bottom w:val="single" w:color="000000" w:sz="4" w:space="0"/>
              <w:right w:val="single" w:color="000000" w:sz="4" w:space="0"/>
            </w:tcBorders>
            <w:vAlign w:val="center"/>
          </w:tcPr>
          <w:p w14:paraId="14886750">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服务要求</w:t>
            </w:r>
          </w:p>
        </w:tc>
        <w:tc>
          <w:tcPr>
            <w:tcW w:w="834" w:type="pct"/>
            <w:tcBorders>
              <w:top w:val="single" w:color="000000" w:sz="4" w:space="0"/>
              <w:left w:val="single" w:color="000000" w:sz="4" w:space="0"/>
              <w:bottom w:val="single" w:color="000000" w:sz="4" w:space="0"/>
              <w:right w:val="single" w:color="000000" w:sz="4" w:space="0"/>
            </w:tcBorders>
            <w:vAlign w:val="center"/>
          </w:tcPr>
          <w:p w14:paraId="0EBA1B64">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服务时间</w:t>
            </w:r>
          </w:p>
        </w:tc>
        <w:tc>
          <w:tcPr>
            <w:tcW w:w="834" w:type="pct"/>
            <w:tcBorders>
              <w:top w:val="single" w:color="000000" w:sz="4" w:space="0"/>
              <w:left w:val="single" w:color="000000" w:sz="4" w:space="0"/>
              <w:bottom w:val="single" w:color="000000" w:sz="4" w:space="0"/>
              <w:right w:val="single" w:color="000000" w:sz="4" w:space="0"/>
            </w:tcBorders>
            <w:vAlign w:val="center"/>
          </w:tcPr>
          <w:p w14:paraId="41594017">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报价</w:t>
            </w:r>
          </w:p>
        </w:tc>
        <w:tc>
          <w:tcPr>
            <w:tcW w:w="834" w:type="pct"/>
            <w:tcBorders>
              <w:top w:val="single" w:color="000000" w:sz="4" w:space="0"/>
              <w:left w:val="single" w:color="000000" w:sz="4" w:space="0"/>
              <w:bottom w:val="single" w:color="000000" w:sz="4" w:space="0"/>
              <w:right w:val="single" w:color="000000" w:sz="4" w:space="0"/>
            </w:tcBorders>
            <w:vAlign w:val="center"/>
          </w:tcPr>
          <w:p w14:paraId="7A5CCD5A">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备注（如果有）</w:t>
            </w:r>
          </w:p>
        </w:tc>
      </w:tr>
      <w:tr w14:paraId="240876E1">
        <w:tblPrEx>
          <w:tblCellMar>
            <w:top w:w="0" w:type="dxa"/>
            <w:left w:w="108" w:type="dxa"/>
            <w:bottom w:w="0" w:type="dxa"/>
            <w:right w:w="108" w:type="dxa"/>
          </w:tblCellMar>
        </w:tblPrEx>
        <w:trPr>
          <w:trHeight w:val="382"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14DEBB59">
            <w:pPr>
              <w:widowControl/>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p>
        </w:tc>
        <w:tc>
          <w:tcPr>
            <w:tcW w:w="833" w:type="pct"/>
            <w:tcBorders>
              <w:top w:val="single" w:color="000000" w:sz="4" w:space="0"/>
              <w:left w:val="single" w:color="000000" w:sz="4" w:space="0"/>
              <w:bottom w:val="single" w:color="000000" w:sz="4" w:space="0"/>
              <w:right w:val="single" w:color="000000" w:sz="4" w:space="0"/>
            </w:tcBorders>
            <w:vAlign w:val="center"/>
          </w:tcPr>
          <w:p w14:paraId="5F4A0A34">
            <w:pPr>
              <w:widowControl/>
              <w:jc w:val="center"/>
              <w:rPr>
                <w:rFonts w:ascii="宋体" w:hAnsi="宋体" w:cs="宋体"/>
                <w:color w:val="000000" w:themeColor="text1"/>
                <w:kern w:val="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7BD6761E">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29CDCBA2">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58919EAA">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09C98B8A">
            <w:pPr>
              <w:widowControl/>
              <w:jc w:val="center"/>
              <w:rPr>
                <w:rFonts w:eastAsia="Times New Roman"/>
                <w:color w:val="000000" w:themeColor="text1"/>
                <w:kern w:val="0"/>
                <w:sz w:val="20"/>
                <w:highlight w:val="none"/>
                <w14:textFill>
                  <w14:solidFill>
                    <w14:schemeClr w14:val="tx1"/>
                  </w14:solidFill>
                </w14:textFill>
              </w:rPr>
            </w:pPr>
          </w:p>
        </w:tc>
      </w:tr>
      <w:tr w14:paraId="786968E2">
        <w:tblPrEx>
          <w:tblCellMar>
            <w:top w:w="0" w:type="dxa"/>
            <w:left w:w="108" w:type="dxa"/>
            <w:bottom w:w="0" w:type="dxa"/>
            <w:right w:w="108" w:type="dxa"/>
          </w:tblCellMar>
        </w:tblPrEx>
        <w:trPr>
          <w:trHeight w:val="382"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5457CFDE">
            <w:pPr>
              <w:widowControl/>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p>
        </w:tc>
        <w:tc>
          <w:tcPr>
            <w:tcW w:w="833" w:type="pct"/>
            <w:tcBorders>
              <w:top w:val="single" w:color="000000" w:sz="4" w:space="0"/>
              <w:left w:val="single" w:color="000000" w:sz="4" w:space="0"/>
              <w:bottom w:val="single" w:color="000000" w:sz="4" w:space="0"/>
              <w:right w:val="single" w:color="000000" w:sz="4" w:space="0"/>
            </w:tcBorders>
            <w:vAlign w:val="center"/>
          </w:tcPr>
          <w:p w14:paraId="6572FC38">
            <w:pPr>
              <w:widowControl/>
              <w:jc w:val="center"/>
              <w:rPr>
                <w:rFonts w:ascii="宋体" w:hAnsi="宋体" w:cs="宋体"/>
                <w:color w:val="000000" w:themeColor="text1"/>
                <w:kern w:val="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606981C9">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754C449A">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263DF443">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0A1F2D1C">
            <w:pPr>
              <w:widowControl/>
              <w:jc w:val="center"/>
              <w:rPr>
                <w:rFonts w:eastAsia="Times New Roman"/>
                <w:color w:val="000000" w:themeColor="text1"/>
                <w:kern w:val="0"/>
                <w:sz w:val="20"/>
                <w:highlight w:val="none"/>
                <w14:textFill>
                  <w14:solidFill>
                    <w14:schemeClr w14:val="tx1"/>
                  </w14:solidFill>
                </w14:textFill>
              </w:rPr>
            </w:pPr>
          </w:p>
        </w:tc>
      </w:tr>
      <w:tr w14:paraId="7A4B1694">
        <w:tblPrEx>
          <w:tblCellMar>
            <w:top w:w="0" w:type="dxa"/>
            <w:left w:w="108" w:type="dxa"/>
            <w:bottom w:w="0" w:type="dxa"/>
            <w:right w:w="108" w:type="dxa"/>
          </w:tblCellMar>
        </w:tblPrEx>
        <w:trPr>
          <w:trHeight w:val="382"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392FF7A8">
            <w:pPr>
              <w:widowControl/>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p>
        </w:tc>
        <w:tc>
          <w:tcPr>
            <w:tcW w:w="833" w:type="pct"/>
            <w:tcBorders>
              <w:top w:val="single" w:color="000000" w:sz="4" w:space="0"/>
              <w:left w:val="single" w:color="000000" w:sz="4" w:space="0"/>
              <w:bottom w:val="single" w:color="000000" w:sz="4" w:space="0"/>
              <w:right w:val="single" w:color="000000" w:sz="4" w:space="0"/>
            </w:tcBorders>
            <w:vAlign w:val="center"/>
          </w:tcPr>
          <w:p w14:paraId="3DFB9D7F">
            <w:pPr>
              <w:widowControl/>
              <w:jc w:val="center"/>
              <w:rPr>
                <w:rFonts w:ascii="宋体" w:hAnsi="宋体" w:cs="宋体"/>
                <w:color w:val="000000" w:themeColor="text1"/>
                <w:kern w:val="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4C1BA4A2">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3770A476">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7210DFAE">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43E97411">
            <w:pPr>
              <w:widowControl/>
              <w:jc w:val="center"/>
              <w:rPr>
                <w:rFonts w:eastAsia="Times New Roman"/>
                <w:color w:val="000000" w:themeColor="text1"/>
                <w:kern w:val="0"/>
                <w:sz w:val="20"/>
                <w:highlight w:val="none"/>
                <w14:textFill>
                  <w14:solidFill>
                    <w14:schemeClr w14:val="tx1"/>
                  </w14:solidFill>
                </w14:textFill>
              </w:rPr>
            </w:pPr>
          </w:p>
        </w:tc>
      </w:tr>
      <w:tr w14:paraId="3D26ED02">
        <w:tblPrEx>
          <w:tblCellMar>
            <w:top w:w="0" w:type="dxa"/>
            <w:left w:w="108" w:type="dxa"/>
            <w:bottom w:w="0" w:type="dxa"/>
            <w:right w:w="108" w:type="dxa"/>
          </w:tblCellMar>
        </w:tblPrEx>
        <w:trPr>
          <w:trHeight w:val="382"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3D126DDB">
            <w:pPr>
              <w:widowControl/>
              <w:jc w:val="center"/>
              <w:rPr>
                <w:rFonts w:eastAsia="Times New Roman"/>
                <w:color w:val="000000" w:themeColor="text1"/>
                <w:kern w:val="0"/>
                <w:sz w:val="20"/>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13177675">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36F8304D">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6B66939A">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3B0AAC98">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561C79E9">
            <w:pPr>
              <w:widowControl/>
              <w:jc w:val="center"/>
              <w:rPr>
                <w:rFonts w:eastAsia="Times New Roman"/>
                <w:color w:val="000000" w:themeColor="text1"/>
                <w:kern w:val="0"/>
                <w:sz w:val="20"/>
                <w:highlight w:val="none"/>
                <w14:textFill>
                  <w14:solidFill>
                    <w14:schemeClr w14:val="tx1"/>
                  </w14:solidFill>
                </w14:textFill>
              </w:rPr>
            </w:pPr>
          </w:p>
        </w:tc>
      </w:tr>
      <w:tr w14:paraId="35C96638">
        <w:tblPrEx>
          <w:tblCellMar>
            <w:top w:w="0" w:type="dxa"/>
            <w:left w:w="108" w:type="dxa"/>
            <w:bottom w:w="0" w:type="dxa"/>
            <w:right w:w="108" w:type="dxa"/>
          </w:tblCellMar>
        </w:tblPrEx>
        <w:trPr>
          <w:trHeight w:val="382"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6F7D2233">
            <w:pPr>
              <w:widowControl/>
              <w:jc w:val="center"/>
              <w:rPr>
                <w:rFonts w:eastAsia="Times New Roman"/>
                <w:color w:val="000000" w:themeColor="text1"/>
                <w:kern w:val="0"/>
                <w:sz w:val="20"/>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3B84310">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322DF925">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01DC2D37">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00B1ACC9">
            <w:pPr>
              <w:widowControl/>
              <w:jc w:val="center"/>
              <w:rPr>
                <w:rFonts w:eastAsia="Times New Roman"/>
                <w:color w:val="000000" w:themeColor="text1"/>
                <w:kern w:val="0"/>
                <w:sz w:val="20"/>
                <w:highlight w:val="none"/>
                <w14:textFill>
                  <w14:solidFill>
                    <w14:schemeClr w14:val="tx1"/>
                  </w14:solidFill>
                </w14:textFill>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35286EDE">
            <w:pPr>
              <w:widowControl/>
              <w:jc w:val="center"/>
              <w:rPr>
                <w:rFonts w:eastAsia="Times New Roman"/>
                <w:color w:val="000000" w:themeColor="text1"/>
                <w:kern w:val="0"/>
                <w:sz w:val="20"/>
                <w:highlight w:val="none"/>
                <w14:textFill>
                  <w14:solidFill>
                    <w14:schemeClr w14:val="tx1"/>
                  </w14:solidFill>
                </w14:textFill>
              </w:rPr>
            </w:pPr>
          </w:p>
        </w:tc>
      </w:tr>
      <w:tr w14:paraId="3F171847">
        <w:trPr>
          <w:trHeight w:val="710" w:hRule="atLeast"/>
          <w:jc w:val="center"/>
        </w:trPr>
        <w:tc>
          <w:tcPr>
            <w:tcW w:w="2499" w:type="pct"/>
            <w:gridSpan w:val="3"/>
            <w:tcBorders>
              <w:top w:val="single" w:color="000000" w:sz="4" w:space="0"/>
              <w:left w:val="single" w:color="000000" w:sz="4" w:space="0"/>
              <w:bottom w:val="single" w:color="000000" w:sz="4" w:space="0"/>
              <w:right w:val="single" w:color="000000" w:sz="4" w:space="0"/>
            </w:tcBorders>
            <w:vAlign w:val="center"/>
          </w:tcPr>
          <w:p w14:paraId="7E1E430B">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投标报价（小写）</w:t>
            </w:r>
          </w:p>
        </w:tc>
        <w:tc>
          <w:tcPr>
            <w:tcW w:w="2501" w:type="pct"/>
            <w:gridSpan w:val="3"/>
            <w:tcBorders>
              <w:top w:val="single" w:color="000000" w:sz="4" w:space="0"/>
              <w:left w:val="single" w:color="000000" w:sz="4" w:space="0"/>
              <w:bottom w:val="single" w:color="000000" w:sz="4" w:space="0"/>
              <w:right w:val="single" w:color="000000" w:sz="4" w:space="0"/>
            </w:tcBorders>
            <w:vAlign w:val="center"/>
          </w:tcPr>
          <w:p w14:paraId="6F26EEDB">
            <w:pPr>
              <w:widowControl/>
              <w:jc w:val="center"/>
              <w:rPr>
                <w:rFonts w:ascii="宋体" w:hAnsi="宋体" w:cs="宋体"/>
                <w:b/>
                <w:bCs/>
                <w:color w:val="000000" w:themeColor="text1"/>
                <w:kern w:val="0"/>
                <w:highlight w:val="none"/>
                <w14:textFill>
                  <w14:solidFill>
                    <w14:schemeClr w14:val="tx1"/>
                  </w14:solidFill>
                </w14:textFill>
              </w:rPr>
            </w:pPr>
          </w:p>
        </w:tc>
      </w:tr>
      <w:tr w14:paraId="5E2FC5AD">
        <w:tblPrEx>
          <w:tblCellMar>
            <w:top w:w="0" w:type="dxa"/>
            <w:left w:w="108" w:type="dxa"/>
            <w:bottom w:w="0" w:type="dxa"/>
            <w:right w:w="108" w:type="dxa"/>
          </w:tblCellMar>
        </w:tblPrEx>
        <w:trPr>
          <w:trHeight w:val="397" w:hRule="atLeast"/>
          <w:jc w:val="center"/>
        </w:trPr>
        <w:tc>
          <w:tcPr>
            <w:tcW w:w="2499" w:type="pct"/>
            <w:gridSpan w:val="3"/>
            <w:tcBorders>
              <w:top w:val="single" w:color="000000" w:sz="4" w:space="0"/>
              <w:left w:val="single" w:color="000000" w:sz="4" w:space="0"/>
              <w:bottom w:val="single" w:color="000000" w:sz="4" w:space="0"/>
              <w:right w:val="single" w:color="000000" w:sz="4" w:space="0"/>
            </w:tcBorders>
            <w:vAlign w:val="center"/>
          </w:tcPr>
          <w:p w14:paraId="0E3B9DAC">
            <w:pPr>
              <w:widowControl/>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投标报价（大写）</w:t>
            </w:r>
          </w:p>
        </w:tc>
        <w:tc>
          <w:tcPr>
            <w:tcW w:w="2501" w:type="pct"/>
            <w:gridSpan w:val="3"/>
            <w:tcBorders>
              <w:top w:val="single" w:color="000000" w:sz="4" w:space="0"/>
              <w:left w:val="single" w:color="000000" w:sz="4" w:space="0"/>
              <w:bottom w:val="single" w:color="000000" w:sz="4" w:space="0"/>
              <w:right w:val="single" w:color="000000" w:sz="4" w:space="0"/>
            </w:tcBorders>
            <w:vAlign w:val="center"/>
          </w:tcPr>
          <w:p w14:paraId="4DA9EBFA">
            <w:pPr>
              <w:widowControl/>
              <w:jc w:val="center"/>
              <w:rPr>
                <w:rFonts w:ascii="宋体" w:hAnsi="宋体" w:cs="宋体"/>
                <w:b/>
                <w:bCs/>
                <w:color w:val="000000" w:themeColor="text1"/>
                <w:kern w:val="0"/>
                <w:highlight w:val="none"/>
                <w14:textFill>
                  <w14:solidFill>
                    <w14:schemeClr w14:val="tx1"/>
                  </w14:solidFill>
                </w14:textFill>
              </w:rPr>
            </w:pPr>
          </w:p>
        </w:tc>
      </w:tr>
    </w:tbl>
    <w:p w14:paraId="489B90C8">
      <w:pPr>
        <w:snapToGrid w:val="0"/>
        <w:spacing w:line="360" w:lineRule="auto"/>
        <w:ind w:left="0"/>
        <w:rPr>
          <w:rFonts w:ascii="宋体" w:hAnsi="宋体" w:cs="宋体"/>
          <w:b/>
          <w:color w:val="000000" w:themeColor="text1"/>
          <w:kern w:val="0"/>
          <w:sz w:val="24"/>
          <w:highlight w:val="none"/>
          <w:lang w:val="zh-CN"/>
          <w14:textFill>
            <w14:solidFill>
              <w14:schemeClr w14:val="tx1"/>
            </w14:solidFill>
          </w14:textFill>
        </w:rPr>
      </w:pPr>
    </w:p>
    <w:p w14:paraId="7F45E95F">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5FA6E42F">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3C581EC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1EA59D3A">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BEBB1C7">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D1DCC0">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4D522D65">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7F241972">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8C4AAF2">
      <w:pPr>
        <w:pStyle w:val="692"/>
        <w:keepNext w:val="0"/>
        <w:numPr>
          <w:ilvl w:val="0"/>
          <w:numId w:val="3"/>
        </w:numPr>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报价情况说明（如果有）</w:t>
      </w:r>
    </w:p>
    <w:p w14:paraId="09C571E3">
      <w:pPr>
        <w:pStyle w:val="3"/>
        <w:keepNext w:val="0"/>
        <w:numPr>
          <w:ilvl w:val="255"/>
          <w:numId w:val="0"/>
        </w:numPr>
        <w:snapToGrid w:val="0"/>
        <w:spacing w:before="120" w:after="120"/>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p>
    <w:p w14:paraId="548813FB">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376F4490">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BEDB38C">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53967EB">
      <w:pPr>
        <w:pStyle w:val="79"/>
        <w:ind w:firstLine="482"/>
        <w:rPr>
          <w:rFonts w:ascii="宋体" w:hAnsi="宋体" w:cs="宋体"/>
          <w:b/>
          <w:color w:val="000000" w:themeColor="text1"/>
          <w:sz w:val="24"/>
          <w:highlight w:val="none"/>
          <w14:textFill>
            <w14:solidFill>
              <w14:schemeClr w14:val="tx1"/>
            </w14:solidFill>
          </w14:textFill>
        </w:rPr>
      </w:pPr>
    </w:p>
    <w:p w14:paraId="7C5D5268">
      <w:pPr>
        <w:pStyle w:val="79"/>
        <w:ind w:firstLine="482"/>
        <w:rPr>
          <w:rFonts w:ascii="宋体" w:hAnsi="宋体" w:cs="宋体"/>
          <w:b/>
          <w:color w:val="000000" w:themeColor="text1"/>
          <w:sz w:val="24"/>
          <w:highlight w:val="none"/>
          <w14:textFill>
            <w14:solidFill>
              <w14:schemeClr w14:val="tx1"/>
            </w14:solidFill>
          </w14:textFill>
        </w:rPr>
      </w:pPr>
    </w:p>
    <w:p w14:paraId="424D8AD5">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35B25C2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C5C70B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FA8353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E0D4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712544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5532F1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B39CB8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0E749A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9371A4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F57FF6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ABA39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ED62A2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12D38FAB">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1DFB0B6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10" w:name="OLE_LINK13"/>
      <w:bookmarkStart w:id="511"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10"/>
    <w:bookmarkEnd w:id="511"/>
    <w:p w14:paraId="0B42639E">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2ADC09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 xml:space="preserve">滨江区一体化智能化公共数据平台2025年度数据服务项目 </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BF5251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60D592F">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425813F">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279262">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0C4046F4">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BEC835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99AB8B2">
      <w:pPr>
        <w:spacing w:line="360" w:lineRule="auto"/>
        <w:ind w:firstLine="420" w:firstLineChars="200"/>
        <w:rPr>
          <w:rFonts w:ascii="宋体" w:hAnsi="宋体" w:cs="宋体"/>
          <w:color w:val="000000" w:themeColor="text1"/>
          <w:highlight w:val="none"/>
          <w14:textFill>
            <w14:solidFill>
              <w14:schemeClr w14:val="tx1"/>
            </w14:solidFill>
          </w14:textFill>
        </w:rPr>
      </w:pPr>
    </w:p>
    <w:p w14:paraId="37AAB52F">
      <w:pPr>
        <w:spacing w:line="360" w:lineRule="auto"/>
        <w:ind w:firstLine="420" w:firstLineChars="200"/>
        <w:rPr>
          <w:rFonts w:ascii="宋体" w:hAnsi="宋体" w:cs="宋体"/>
          <w:color w:val="000000" w:themeColor="text1"/>
          <w:highlight w:val="none"/>
          <w14:textFill>
            <w14:solidFill>
              <w14:schemeClr w14:val="tx1"/>
            </w14:solidFill>
          </w14:textFill>
        </w:rPr>
      </w:pPr>
    </w:p>
    <w:p w14:paraId="4D903CA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0A8D1B9">
      <w:pPr>
        <w:spacing w:line="360" w:lineRule="auto"/>
        <w:ind w:firstLine="420" w:firstLineChars="200"/>
        <w:rPr>
          <w:rFonts w:ascii="宋体" w:hAnsi="宋体" w:cs="宋体"/>
          <w:color w:val="000000" w:themeColor="text1"/>
          <w:highlight w:val="none"/>
          <w14:textFill>
            <w14:solidFill>
              <w14:schemeClr w14:val="tx1"/>
            </w14:solidFill>
          </w14:textFill>
        </w:rPr>
      </w:pPr>
    </w:p>
    <w:p w14:paraId="065EF9A6">
      <w:pPr>
        <w:spacing w:line="360" w:lineRule="auto"/>
        <w:rPr>
          <w:rFonts w:ascii="宋体" w:hAnsi="宋体" w:cs="宋体"/>
          <w:b/>
          <w:color w:val="000000" w:themeColor="text1"/>
          <w:sz w:val="24"/>
          <w:highlight w:val="none"/>
          <w14:textFill>
            <w14:solidFill>
              <w14:schemeClr w14:val="tx1"/>
            </w14:solidFill>
          </w14:textFill>
        </w:rPr>
      </w:pPr>
    </w:p>
    <w:p w14:paraId="724E671A">
      <w:pPr>
        <w:spacing w:line="360" w:lineRule="auto"/>
        <w:rPr>
          <w:rFonts w:ascii="宋体" w:hAnsi="宋体" w:cs="宋体"/>
          <w:b/>
          <w:color w:val="000000" w:themeColor="text1"/>
          <w:sz w:val="24"/>
          <w:highlight w:val="none"/>
          <w14:textFill>
            <w14:solidFill>
              <w14:schemeClr w14:val="tx1"/>
            </w14:solidFill>
          </w14:textFill>
        </w:rPr>
      </w:pPr>
    </w:p>
    <w:p w14:paraId="3B6FD2E8">
      <w:pPr>
        <w:spacing w:line="360" w:lineRule="auto"/>
        <w:rPr>
          <w:rFonts w:ascii="宋体" w:hAnsi="宋体" w:cs="宋体"/>
          <w:b/>
          <w:color w:val="000000" w:themeColor="text1"/>
          <w:sz w:val="24"/>
          <w:highlight w:val="none"/>
          <w14:textFill>
            <w14:solidFill>
              <w14:schemeClr w14:val="tx1"/>
            </w14:solidFill>
          </w14:textFill>
        </w:rPr>
      </w:pPr>
    </w:p>
    <w:p w14:paraId="4622BCD3">
      <w:pPr>
        <w:spacing w:line="360" w:lineRule="auto"/>
        <w:rPr>
          <w:rFonts w:ascii="宋体" w:hAnsi="宋体" w:cs="宋体"/>
          <w:b/>
          <w:color w:val="000000" w:themeColor="text1"/>
          <w:sz w:val="24"/>
          <w:highlight w:val="none"/>
          <w14:textFill>
            <w14:solidFill>
              <w14:schemeClr w14:val="tx1"/>
            </w14:solidFill>
          </w14:textFill>
        </w:rPr>
      </w:pPr>
    </w:p>
    <w:p w14:paraId="5B71ED8E">
      <w:pPr>
        <w:spacing w:line="360" w:lineRule="auto"/>
        <w:rPr>
          <w:rFonts w:ascii="宋体" w:hAnsi="宋体" w:cs="宋体"/>
          <w:b/>
          <w:color w:val="000000" w:themeColor="text1"/>
          <w:sz w:val="24"/>
          <w:highlight w:val="none"/>
          <w14:textFill>
            <w14:solidFill>
              <w14:schemeClr w14:val="tx1"/>
            </w14:solidFill>
          </w14:textFill>
        </w:rPr>
      </w:pPr>
    </w:p>
    <w:p w14:paraId="50A6CD26">
      <w:pPr>
        <w:spacing w:line="360" w:lineRule="auto"/>
        <w:rPr>
          <w:rFonts w:ascii="宋体" w:hAnsi="宋体" w:cs="宋体"/>
          <w:b/>
          <w:color w:val="000000" w:themeColor="text1"/>
          <w:sz w:val="24"/>
          <w:highlight w:val="none"/>
          <w14:textFill>
            <w14:solidFill>
              <w14:schemeClr w14:val="tx1"/>
            </w14:solidFill>
          </w14:textFill>
        </w:rPr>
      </w:pPr>
    </w:p>
    <w:p w14:paraId="216F0B81">
      <w:pPr>
        <w:spacing w:line="360" w:lineRule="auto"/>
        <w:rPr>
          <w:rFonts w:ascii="宋体" w:hAnsi="宋体" w:cs="宋体"/>
          <w:b/>
          <w:color w:val="000000" w:themeColor="text1"/>
          <w:sz w:val="24"/>
          <w:highlight w:val="none"/>
          <w14:textFill>
            <w14:solidFill>
              <w14:schemeClr w14:val="tx1"/>
            </w14:solidFill>
          </w14:textFill>
        </w:rPr>
      </w:pPr>
    </w:p>
    <w:p w14:paraId="61A1919E">
      <w:pPr>
        <w:spacing w:line="360" w:lineRule="auto"/>
        <w:rPr>
          <w:rFonts w:ascii="宋体" w:hAnsi="宋体" w:cs="宋体"/>
          <w:b/>
          <w:color w:val="000000" w:themeColor="text1"/>
          <w:sz w:val="24"/>
          <w:highlight w:val="none"/>
          <w14:textFill>
            <w14:solidFill>
              <w14:schemeClr w14:val="tx1"/>
            </w14:solidFill>
          </w14:textFill>
        </w:rPr>
      </w:pPr>
    </w:p>
    <w:p w14:paraId="030F9F0C">
      <w:pPr>
        <w:spacing w:line="360" w:lineRule="auto"/>
        <w:rPr>
          <w:rFonts w:ascii="宋体" w:hAnsi="宋体" w:cs="宋体"/>
          <w:b/>
          <w:color w:val="000000" w:themeColor="text1"/>
          <w:sz w:val="24"/>
          <w:highlight w:val="none"/>
          <w14:textFill>
            <w14:solidFill>
              <w14:schemeClr w14:val="tx1"/>
            </w14:solidFill>
          </w14:textFill>
        </w:rPr>
      </w:pPr>
    </w:p>
    <w:p w14:paraId="2FC0A929">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705FC0F5">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A9E68F4">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1A094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EF33F6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39F06D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BDEC22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72C2904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A0773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E13F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2D0DC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BFDD23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9BE5EA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87A3AF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15807A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D65CA1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9A1C94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23C73E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62FCF8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3E4CC4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8190B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5F1E783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B3E84F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7C891B6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999861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4CF91F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A771141">
      <w:pPr>
        <w:spacing w:line="360" w:lineRule="auto"/>
        <w:jc w:val="center"/>
        <w:rPr>
          <w:rFonts w:ascii="宋体" w:hAnsi="宋体" w:cs="宋体"/>
          <w:b/>
          <w:bCs/>
          <w:color w:val="000000" w:themeColor="text1"/>
          <w:sz w:val="24"/>
          <w:highlight w:val="none"/>
          <w14:textFill>
            <w14:solidFill>
              <w14:schemeClr w14:val="tx1"/>
            </w14:solidFill>
          </w14:textFill>
        </w:rPr>
      </w:pPr>
    </w:p>
    <w:p w14:paraId="55AF5370">
      <w:pPr>
        <w:spacing w:line="360" w:lineRule="auto"/>
        <w:rPr>
          <w:rFonts w:ascii="宋体" w:hAnsi="宋体" w:cs="宋体"/>
          <w:b/>
          <w:color w:val="000000" w:themeColor="text1"/>
          <w:sz w:val="24"/>
          <w:highlight w:val="none"/>
          <w14:textFill>
            <w14:solidFill>
              <w14:schemeClr w14:val="tx1"/>
            </w14:solidFill>
          </w14:textFill>
        </w:rPr>
      </w:pPr>
    </w:p>
    <w:p w14:paraId="52391502">
      <w:pPr>
        <w:spacing w:line="360" w:lineRule="auto"/>
        <w:rPr>
          <w:rFonts w:ascii="宋体" w:hAnsi="宋体" w:cs="宋体"/>
          <w:b/>
          <w:color w:val="000000" w:themeColor="text1"/>
          <w:sz w:val="24"/>
          <w:highlight w:val="none"/>
          <w14:textFill>
            <w14:solidFill>
              <w14:schemeClr w14:val="tx1"/>
            </w14:solidFill>
          </w14:textFill>
        </w:rPr>
      </w:pPr>
    </w:p>
    <w:p w14:paraId="1703C0CF">
      <w:pPr>
        <w:spacing w:line="360" w:lineRule="auto"/>
        <w:rPr>
          <w:rFonts w:ascii="宋体" w:hAnsi="宋体" w:cs="宋体"/>
          <w:b/>
          <w:color w:val="000000" w:themeColor="text1"/>
          <w:sz w:val="24"/>
          <w:highlight w:val="none"/>
          <w14:textFill>
            <w14:solidFill>
              <w14:schemeClr w14:val="tx1"/>
            </w14:solidFill>
          </w14:textFill>
        </w:rPr>
      </w:pPr>
    </w:p>
    <w:p w14:paraId="6E68E24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17FB82A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E6F559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1E73E4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7DDD9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1EE2B40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7117D22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A8A0951">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4C47719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38531C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8FD31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3223D4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703CEA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BF387D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013DF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1AE6F5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BDF651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82C6115">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51EB2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9D4B2E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A9D59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CB24A5C">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0958271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25BB043">
      <w:pPr>
        <w:spacing w:line="360" w:lineRule="auto"/>
        <w:jc w:val="center"/>
        <w:rPr>
          <w:rFonts w:ascii="宋体" w:hAnsi="宋体" w:cs="宋体"/>
          <w:b/>
          <w:color w:val="000000" w:themeColor="text1"/>
          <w:sz w:val="24"/>
          <w:highlight w:val="none"/>
          <w14:textFill>
            <w14:solidFill>
              <w14:schemeClr w14:val="tx1"/>
            </w14:solidFill>
          </w14:textFill>
        </w:rPr>
      </w:pPr>
    </w:p>
    <w:p w14:paraId="23BB23C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03932A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74169A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22090FF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A7B4E45">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8693D0">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898BB3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098832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BA3FE7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B48DF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592E57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72DB8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C0BA0C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FC251F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3ED5EF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19BD0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A33A63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2FF1E08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10B44E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30F752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720D31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7CEE69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AEC9C0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7BEAFC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D575DB8">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470B290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CB27DC3">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8FDF0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78054FF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759785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8D4D40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F5A4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F735A2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3446B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0C8A3CE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443F0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201D19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BBC4B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438805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B149E7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8212C4A">
      <w:pPr>
        <w:spacing w:line="360" w:lineRule="auto"/>
        <w:rPr>
          <w:rFonts w:ascii="宋体" w:hAnsi="宋体" w:cs="宋体"/>
          <w:b/>
          <w:color w:val="000000" w:themeColor="text1"/>
          <w:sz w:val="24"/>
          <w:highlight w:val="none"/>
          <w14:textFill>
            <w14:solidFill>
              <w14:schemeClr w14:val="tx1"/>
            </w14:solidFill>
          </w14:textFill>
        </w:rPr>
      </w:pPr>
    </w:p>
    <w:p w14:paraId="5BA49E68">
      <w:pPr>
        <w:spacing w:line="360" w:lineRule="auto"/>
        <w:rPr>
          <w:rFonts w:ascii="宋体" w:hAnsi="宋体" w:cs="宋体"/>
          <w:b/>
          <w:color w:val="000000" w:themeColor="text1"/>
          <w:sz w:val="24"/>
          <w:highlight w:val="none"/>
          <w14:textFill>
            <w14:solidFill>
              <w14:schemeClr w14:val="tx1"/>
            </w14:solidFill>
          </w14:textFill>
        </w:rPr>
      </w:pPr>
    </w:p>
    <w:p w14:paraId="78B72DC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696FFFFA">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AE4A98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6D655C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631773E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7AD53B9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59051F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7FC5C8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17B0682">
      <w:pPr>
        <w:spacing w:line="360" w:lineRule="auto"/>
        <w:rPr>
          <w:rFonts w:ascii="宋体" w:hAnsi="宋体" w:cs="宋体"/>
          <w:b/>
          <w:color w:val="000000" w:themeColor="text1"/>
          <w:sz w:val="24"/>
          <w:highlight w:val="none"/>
          <w14:textFill>
            <w14:solidFill>
              <w14:schemeClr w14:val="tx1"/>
            </w14:solidFill>
          </w14:textFill>
        </w:rPr>
      </w:pPr>
    </w:p>
    <w:p w14:paraId="76D1F7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A100C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439ED6">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5A6FC61">
      <w:pPr>
        <w:spacing w:line="360" w:lineRule="auto"/>
        <w:rPr>
          <w:rFonts w:ascii="宋体" w:hAnsi="宋体" w:cs="宋体"/>
          <w:color w:val="000000" w:themeColor="text1"/>
          <w:sz w:val="24"/>
          <w:highlight w:val="none"/>
          <w:u w:val="single"/>
          <w14:textFill>
            <w14:solidFill>
              <w14:schemeClr w14:val="tx1"/>
            </w14:solidFill>
          </w14:textFill>
        </w:rPr>
      </w:pPr>
    </w:p>
    <w:p w14:paraId="28AF41F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杭州高新技术产业开发区（滨江）社会治理中心、城市建设技术集团（浙江）有限公司：</w:t>
      </w:r>
    </w:p>
    <w:p w14:paraId="0A2DF1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你方组织的滨江区一体化智能化公共数据平台2025年度数据服务项目 【招标编号：CJJS-2025007】</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57E3D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44CF31D5">
      <w:pPr>
        <w:spacing w:line="360" w:lineRule="auto"/>
        <w:ind w:firstLine="494"/>
        <w:rPr>
          <w:rFonts w:ascii="宋体" w:hAnsi="宋体" w:cs="宋体"/>
          <w:color w:val="000000" w:themeColor="text1"/>
          <w:sz w:val="24"/>
          <w:highlight w:val="none"/>
          <w14:textFill>
            <w14:solidFill>
              <w14:schemeClr w14:val="tx1"/>
            </w14:solidFill>
          </w14:textFill>
        </w:rPr>
      </w:pPr>
    </w:p>
    <w:p w14:paraId="271F6043">
      <w:pPr>
        <w:spacing w:line="360" w:lineRule="auto"/>
        <w:ind w:firstLine="494"/>
        <w:rPr>
          <w:rFonts w:ascii="宋体" w:hAnsi="宋体" w:cs="宋体"/>
          <w:color w:val="000000" w:themeColor="text1"/>
          <w:sz w:val="24"/>
          <w:highlight w:val="none"/>
          <w14:textFill>
            <w14:solidFill>
              <w14:schemeClr w14:val="tx1"/>
            </w14:solidFill>
          </w14:textFill>
        </w:rPr>
      </w:pPr>
    </w:p>
    <w:p w14:paraId="5C472D77">
      <w:pPr>
        <w:spacing w:line="360" w:lineRule="auto"/>
        <w:ind w:firstLine="494"/>
        <w:rPr>
          <w:rFonts w:ascii="宋体" w:hAnsi="宋体" w:cs="宋体"/>
          <w:color w:val="000000" w:themeColor="text1"/>
          <w:sz w:val="24"/>
          <w:highlight w:val="none"/>
          <w14:textFill>
            <w14:solidFill>
              <w14:schemeClr w14:val="tx1"/>
            </w14:solidFill>
          </w14:textFill>
        </w:rPr>
      </w:pPr>
    </w:p>
    <w:p w14:paraId="3241A388">
      <w:pPr>
        <w:spacing w:line="360" w:lineRule="auto"/>
        <w:ind w:firstLine="494"/>
        <w:rPr>
          <w:rFonts w:ascii="宋体" w:hAnsi="宋体" w:cs="宋体"/>
          <w:color w:val="000000" w:themeColor="text1"/>
          <w:sz w:val="24"/>
          <w:highlight w:val="none"/>
          <w14:textFill>
            <w14:solidFill>
              <w14:schemeClr w14:val="tx1"/>
            </w14:solidFill>
          </w14:textFill>
        </w:rPr>
      </w:pPr>
    </w:p>
    <w:p w14:paraId="0B311943">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4A1DF656">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1921F15">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7BAF0D5F">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4F65972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E5AA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757BD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280D1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766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C72BF9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BFC5C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7A5D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77822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A1746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A6077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54C8E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9470B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3F04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19FF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D885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78AE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34E788">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10C45BF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70C728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滨江区一体化智能化公共数据平台2025年度数据服务项目 【招标编号：CJJS-2025007】</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313948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AC086A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A4C73B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1352D2F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13D560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0B9FE7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9B9050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E71FA66">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12"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12"/>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13"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13"/>
      <w:r>
        <w:rPr>
          <w:rFonts w:hint="eastAsia" w:ascii="宋体" w:hAnsi="宋体" w:cs="宋体"/>
          <w:b/>
          <w:color w:val="000000" w:themeColor="text1"/>
          <w:kern w:val="0"/>
          <w:sz w:val="24"/>
          <w:highlight w:val="none"/>
          <w:lang w:val="zh-CN"/>
          <w14:textFill>
            <w14:solidFill>
              <w14:schemeClr w14:val="tx1"/>
            </w14:solidFill>
          </w14:textFill>
        </w:rPr>
        <w:t>）</w:t>
      </w:r>
    </w:p>
    <w:p w14:paraId="77BFE838">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14"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14"/>
    </w:p>
    <w:p w14:paraId="67EC4C5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B1A328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232C538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0A3DF5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01CE3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C4B8BD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0D00E8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D05A441">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DA5E1D">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DEC511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DA3D20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4A688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42D61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05E2E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52312E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DE221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9A4D3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F1F1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2D0C4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FD859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4ABC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C9037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157B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2EEB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9D7E65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340EB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916A5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B2E22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8A8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610F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B364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2E0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B01BCB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123292C">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14:paraId="603C2496">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1CA2E802">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A33429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滨江区一体化智能化公共数据平台2025年度数据服务项目 【招标编号：CJJS-2025007】</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E78CD8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875DCA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5D2BFF09">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67403FBA">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1D8456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5FA5B2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1E9D6F3">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5B44476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269C27D">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90EFE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3C34ECC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B6D65F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7F81B7B">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FDD0576">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3A318F8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B48E1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0D0A42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0C1ECC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54C4C5AA">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1E64AB47">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5EA382C8">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6B6F3D22">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5A41090">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AE43C0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5B0FC2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B44A7E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D66B1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14B8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ECD66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662A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EF0D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028BF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3F5E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8219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D49E86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66CC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4A201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FE24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EBF8C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0996B6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CF7A1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56AC2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3D8E1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D1EF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1471C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1C9C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4A2FCD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44C91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81B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221D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B7D43BC">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7A7E754C">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6D642CC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1504F540">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杭州高新技术产业开发区（滨江）社会治理中心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滨江区一体化智能化公共数据平台2025年度数据服务项目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E331E1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滨江区一体化智能化公共数据平台2025年度数据服务项目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软件和信息技术服务业 </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42D2184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CB8ECC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05C5B3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DE93F0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D004F85">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0E06ECB6">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3429BD6D">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6D65A70A">
      <w:pPr>
        <w:spacing w:line="360" w:lineRule="auto"/>
        <w:ind w:right="420"/>
        <w:rPr>
          <w:rFonts w:ascii="宋体" w:hAnsi="宋体" w:cs="宋体"/>
          <w:color w:val="000000" w:themeColor="text1"/>
          <w:sz w:val="24"/>
          <w:highlight w:val="none"/>
          <w14:textFill>
            <w14:solidFill>
              <w14:schemeClr w14:val="tx1"/>
            </w14:solidFill>
          </w14:textFill>
        </w:rPr>
      </w:pPr>
    </w:p>
    <w:p w14:paraId="29102CDC">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311ADA4A">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37EF765">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370E02">
      <w:pPr>
        <w:pStyle w:val="3"/>
        <w:rPr>
          <w:rFonts w:ascii="宋体" w:hAnsi="宋体" w:eastAsia="宋体" w:cs="宋体"/>
          <w:color w:val="000000" w:themeColor="text1"/>
          <w:highlight w:val="none"/>
          <w:lang w:val="en-US"/>
          <w14:textFill>
            <w14:solidFill>
              <w14:schemeClr w14:val="tx1"/>
            </w14:solidFill>
          </w14:textFill>
        </w:rPr>
      </w:pPr>
    </w:p>
    <w:p w14:paraId="5EF6F861">
      <w:pPr>
        <w:spacing w:line="360" w:lineRule="auto"/>
        <w:ind w:right="420"/>
        <w:rPr>
          <w:rFonts w:ascii="宋体" w:hAnsi="宋体" w:cs="宋体"/>
          <w:color w:val="000000" w:themeColor="text1"/>
          <w:highlight w:val="none"/>
          <w14:textFill>
            <w14:solidFill>
              <w14:schemeClr w14:val="tx1"/>
            </w14:solidFill>
          </w14:textFill>
        </w:rPr>
      </w:pPr>
    </w:p>
    <w:p w14:paraId="7F796E44">
      <w:pPr>
        <w:spacing w:line="360" w:lineRule="auto"/>
        <w:rPr>
          <w:rFonts w:ascii="宋体" w:hAnsi="宋体" w:cs="宋体"/>
          <w:bCs/>
          <w:color w:val="000000" w:themeColor="text1"/>
          <w:sz w:val="24"/>
          <w:highlight w:val="none"/>
          <w14:textFill>
            <w14:solidFill>
              <w14:schemeClr w14:val="tx1"/>
            </w14:solidFill>
          </w14:textFill>
        </w:rPr>
      </w:pPr>
    </w:p>
    <w:p w14:paraId="039B77EB">
      <w:pPr>
        <w:rPr>
          <w:color w:val="000000" w:themeColor="text1"/>
          <w:highlight w:val="none"/>
          <w14:textFill>
            <w14:solidFill>
              <w14:schemeClr w14:val="tx1"/>
            </w14:solidFill>
          </w14:textFill>
        </w:rPr>
      </w:pPr>
    </w:p>
    <w:p w14:paraId="3A62E788">
      <w:pPr>
        <w:rPr>
          <w:color w:val="000000" w:themeColor="text1"/>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8A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4B0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7DAE">
    <w:pPr>
      <w:pStyle w:val="39"/>
      <w:framePr w:wrap="around" w:vAnchor="text" w:hAnchor="margin" w:xAlign="right" w:y="1"/>
      <w:rPr>
        <w:rStyle w:val="72"/>
      </w:rPr>
    </w:pPr>
    <w:r>
      <w:fldChar w:fldCharType="begin"/>
    </w:r>
    <w:r>
      <w:rPr>
        <w:rStyle w:val="72"/>
      </w:rPr>
      <w:instrText xml:space="preserve">PAGE  </w:instrText>
    </w:r>
    <w:r>
      <w:fldChar w:fldCharType="end"/>
    </w:r>
  </w:p>
  <w:p w14:paraId="33A993E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C51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7CCD">
    <w:pPr>
      <w:pStyle w:val="39"/>
      <w:framePr w:wrap="around" w:vAnchor="text" w:hAnchor="margin" w:xAlign="right" w:y="1"/>
      <w:rPr>
        <w:rStyle w:val="72"/>
      </w:rPr>
    </w:pPr>
    <w:r>
      <w:fldChar w:fldCharType="begin"/>
    </w:r>
    <w:r>
      <w:rPr>
        <w:rStyle w:val="72"/>
      </w:rPr>
      <w:instrText xml:space="preserve">PAGE  </w:instrText>
    </w:r>
    <w:r>
      <w:fldChar w:fldCharType="end"/>
    </w:r>
  </w:p>
  <w:p w14:paraId="6AE8626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37F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28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2E6F19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7D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3C92E69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FE7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64D232B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9FA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7F3DBE1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50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6EA89F6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BB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1B1EC26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11AB">
    <w:pPr>
      <w:pStyle w:val="40"/>
      <w:pBdr>
        <w:bottom w:val="single" w:color="auto" w:sz="6" w:space="4"/>
      </w:pBdr>
      <w:jc w:val="right"/>
    </w:pPr>
    <w:r>
      <w:t></w:t>
    </w:r>
    <w:r>
      <w:rPr>
        <w:rFonts w:hint="eastAsia"/>
      </w:rPr>
      <w:t xml:space="preserve">             </w:t>
    </w:r>
    <w:r>
      <w:t>杭州市政府采购公开招标文件</w:t>
    </w:r>
  </w:p>
  <w:p w14:paraId="0B4CEDF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025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3CA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266E">
    <w:pPr>
      <w:pStyle w:val="40"/>
      <w:rPr>
        <w:rFonts w:ascii="仿宋_GB2312" w:eastAsia="仿宋_GB2312"/>
        <w:b/>
        <w:i/>
        <w:u w:val="single"/>
      </w:rPr>
    </w:pPr>
    <w:r>
      <w:t></w:t>
    </w:r>
    <w:r>
      <w:rPr>
        <w:rFonts w:hint="eastAsia"/>
      </w:rPr>
      <w:t xml:space="preserve">                                                  </w:t>
    </w:r>
    <w:r>
      <w:t xml:space="preserve">             杭州市政府采购公开招标文件</w:t>
    </w:r>
  </w:p>
  <w:p w14:paraId="2CDE57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CA36D">
    <w:pPr>
      <w:pStyle w:val="40"/>
    </w:pPr>
    <w:r>
      <w:t></w:t>
    </w:r>
    <w:r>
      <w:rPr>
        <w:rFonts w:hint="eastAsia"/>
      </w:rPr>
      <w:t xml:space="preserve">         </w:t>
    </w:r>
  </w:p>
  <w:p w14:paraId="1C5D369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C96D">
    <w:pPr>
      <w:pStyle w:val="40"/>
      <w:rPr>
        <w:rFonts w:ascii="仿宋_GB2312" w:eastAsia="仿宋_GB2312"/>
        <w:b/>
        <w:i/>
        <w:u w:val="single"/>
      </w:rPr>
    </w:pPr>
    <w:r>
      <w:t></w:t>
    </w:r>
    <w:r>
      <w:rPr>
        <w:rFonts w:hint="eastAsia"/>
      </w:rPr>
      <w:t xml:space="preserve">                                                  </w:t>
    </w:r>
    <w:r>
      <w:t>杭州市政府采购公开招标文件</w:t>
    </w:r>
  </w:p>
  <w:p w14:paraId="79FDDFD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91F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37A0">
    <w:pPr>
      <w:pStyle w:val="40"/>
      <w:jc w:val="right"/>
      <w:rPr>
        <w:rFonts w:ascii="仿宋_GB2312" w:eastAsia="仿宋_GB2312"/>
        <w:b/>
        <w:i/>
        <w:u w:val="single"/>
      </w:rPr>
    </w:pPr>
    <w:r>
      <w:rPr>
        <w:rFonts w:hint="eastAsia"/>
      </w:rPr>
      <w:t xml:space="preserve">                                  </w:t>
    </w:r>
    <w:r>
      <w:t>杭州市政府采购公开招标文件</w:t>
    </w:r>
  </w:p>
  <w:p w14:paraId="28F7AC5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A3B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4A1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BC"/>
    <w:rsid w:val="00047354"/>
    <w:rsid w:val="00047702"/>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D9"/>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8FD"/>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230"/>
    <w:rsid w:val="001303C1"/>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4E4"/>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909"/>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AAF"/>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672"/>
    <w:rsid w:val="003A03D0"/>
    <w:rsid w:val="003A08C1"/>
    <w:rsid w:val="003A0F6B"/>
    <w:rsid w:val="003A12B6"/>
    <w:rsid w:val="003A1C44"/>
    <w:rsid w:val="003A20D5"/>
    <w:rsid w:val="003A21B3"/>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1CBD"/>
    <w:rsid w:val="003C247B"/>
    <w:rsid w:val="003C3292"/>
    <w:rsid w:val="003C3C1E"/>
    <w:rsid w:val="003C3D88"/>
    <w:rsid w:val="003C4134"/>
    <w:rsid w:val="003C435B"/>
    <w:rsid w:val="003C4EBE"/>
    <w:rsid w:val="003C57ED"/>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3FA"/>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0F2C"/>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2D86"/>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9E"/>
    <w:rsid w:val="004F5DBB"/>
    <w:rsid w:val="004F60B4"/>
    <w:rsid w:val="004F61A3"/>
    <w:rsid w:val="004F6874"/>
    <w:rsid w:val="004F7922"/>
    <w:rsid w:val="004F7A1F"/>
    <w:rsid w:val="004F7B47"/>
    <w:rsid w:val="0050079C"/>
    <w:rsid w:val="0050106A"/>
    <w:rsid w:val="005010BC"/>
    <w:rsid w:val="00501848"/>
    <w:rsid w:val="00502721"/>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6E2"/>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713"/>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09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13B"/>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C8"/>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A2D"/>
    <w:rsid w:val="006F71A6"/>
    <w:rsid w:val="006F7974"/>
    <w:rsid w:val="006F7C2C"/>
    <w:rsid w:val="006F7FD5"/>
    <w:rsid w:val="00700405"/>
    <w:rsid w:val="00700D18"/>
    <w:rsid w:val="0070168D"/>
    <w:rsid w:val="00701C36"/>
    <w:rsid w:val="00702F2D"/>
    <w:rsid w:val="0070353F"/>
    <w:rsid w:val="0070415E"/>
    <w:rsid w:val="007045AB"/>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9A"/>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120"/>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1B4"/>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BC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312"/>
    <w:rsid w:val="008B25F1"/>
    <w:rsid w:val="008B2D9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31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1E36"/>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4C"/>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D10"/>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246"/>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42"/>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1E78"/>
    <w:rsid w:val="00B12082"/>
    <w:rsid w:val="00B125D6"/>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5B5"/>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BE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1AD"/>
    <w:rsid w:val="00B6677F"/>
    <w:rsid w:val="00B66C7A"/>
    <w:rsid w:val="00B672EA"/>
    <w:rsid w:val="00B6747B"/>
    <w:rsid w:val="00B70200"/>
    <w:rsid w:val="00B702D7"/>
    <w:rsid w:val="00B70389"/>
    <w:rsid w:val="00B70E01"/>
    <w:rsid w:val="00B7187D"/>
    <w:rsid w:val="00B718FA"/>
    <w:rsid w:val="00B723AE"/>
    <w:rsid w:val="00B72A0B"/>
    <w:rsid w:val="00B72CF0"/>
    <w:rsid w:val="00B7380E"/>
    <w:rsid w:val="00B73FEA"/>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E20"/>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E33"/>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2C5"/>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665"/>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735"/>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051"/>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54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5A"/>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2B4"/>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8A4"/>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8A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2DB6"/>
    <w:rsid w:val="00E8357D"/>
    <w:rsid w:val="00E83C4F"/>
    <w:rsid w:val="00E84158"/>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599"/>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ACC"/>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BC"/>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A0A"/>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CAF"/>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C46"/>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4ECA8"/>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0352F"/>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A56B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9F188"/>
    <w:rsid w:val="20034907"/>
    <w:rsid w:val="20173E4B"/>
    <w:rsid w:val="204E48BC"/>
    <w:rsid w:val="208921B3"/>
    <w:rsid w:val="20973DEB"/>
    <w:rsid w:val="20B26522"/>
    <w:rsid w:val="20B44310"/>
    <w:rsid w:val="211116EB"/>
    <w:rsid w:val="216133FC"/>
    <w:rsid w:val="21885788"/>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7E1762"/>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F8E3C"/>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5EA79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78678"/>
    <w:rsid w:val="3FFFCDD8"/>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B0024"/>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F0014"/>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D535D"/>
    <w:rsid w:val="63FE5DB1"/>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BB1DE"/>
    <w:rsid w:val="67011F07"/>
    <w:rsid w:val="672F3F24"/>
    <w:rsid w:val="673E055F"/>
    <w:rsid w:val="67551CE3"/>
    <w:rsid w:val="679F240D"/>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A82F0"/>
    <w:rsid w:val="6DF43C2E"/>
    <w:rsid w:val="6DF51CA3"/>
    <w:rsid w:val="6E8335BD"/>
    <w:rsid w:val="6E8E12EF"/>
    <w:rsid w:val="6E972936"/>
    <w:rsid w:val="6ED446C5"/>
    <w:rsid w:val="6EF7B866"/>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74968"/>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F0881"/>
    <w:rsid w:val="7A8B602E"/>
    <w:rsid w:val="7AAB1D04"/>
    <w:rsid w:val="7ABA4368"/>
    <w:rsid w:val="7AC596B1"/>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F9DE5"/>
    <w:rsid w:val="7DE60973"/>
    <w:rsid w:val="7DEF0916"/>
    <w:rsid w:val="7E1E5218"/>
    <w:rsid w:val="7E9A4E1F"/>
    <w:rsid w:val="7EA7723A"/>
    <w:rsid w:val="7ECCFBD7"/>
    <w:rsid w:val="7EF56FBB"/>
    <w:rsid w:val="7F0768EB"/>
    <w:rsid w:val="7F143BEC"/>
    <w:rsid w:val="7F671F3E"/>
    <w:rsid w:val="7F6D2624"/>
    <w:rsid w:val="7F715AF2"/>
    <w:rsid w:val="7F886E69"/>
    <w:rsid w:val="7FF7ADD4"/>
    <w:rsid w:val="7FFCA68B"/>
    <w:rsid w:val="81FF8B80"/>
    <w:rsid w:val="9FFE149E"/>
    <w:rsid w:val="BB7FA927"/>
    <w:rsid w:val="CD4773AA"/>
    <w:rsid w:val="D81F4F1C"/>
    <w:rsid w:val="DA7FEBD7"/>
    <w:rsid w:val="DDFE69BB"/>
    <w:rsid w:val="DEFF2B1A"/>
    <w:rsid w:val="DF5ECDB2"/>
    <w:rsid w:val="DFFE1F83"/>
    <w:rsid w:val="EA7B70B2"/>
    <w:rsid w:val="EDAEEB6F"/>
    <w:rsid w:val="EDB63AB6"/>
    <w:rsid w:val="EFF7C400"/>
    <w:rsid w:val="F3C9CCB1"/>
    <w:rsid w:val="F3DF7AC2"/>
    <w:rsid w:val="F5FFD31F"/>
    <w:rsid w:val="F7AF4F05"/>
    <w:rsid w:val="F7EFFE72"/>
    <w:rsid w:val="F9ED7E25"/>
    <w:rsid w:val="FBEFAEB3"/>
    <w:rsid w:val="FD370C08"/>
    <w:rsid w:val="FF6F8463"/>
    <w:rsid w:val="FF753325"/>
    <w:rsid w:val="FFD5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1758</Words>
  <Characters>2020</Characters>
  <Lines>410</Lines>
  <Paragraphs>115</Paragraphs>
  <TotalTime>0</TotalTime>
  <ScaleCrop>false</ScaleCrop>
  <LinksUpToDate>false</LinksUpToDate>
  <CharactersWithSpaces>2146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久旧</cp:lastModifiedBy>
  <cp:lastPrinted>2021-12-29T03:06:00Z</cp:lastPrinted>
  <dcterms:modified xsi:type="dcterms:W3CDTF">2025-03-03T09:19:06Z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eyJoZGlkIjoiNDgxYzY4NjJlOWY1YzMyMzg4NDY3NjViNjkwNTY2NjIiLCJ1c2VySWQiOiI0OTM1NjYwNjgifQ==</vt:lpwstr>
  </property>
</Properties>
</file>