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3A2B">
      <w:pPr>
        <w:tabs>
          <w:tab w:val="left" w:pos="1276"/>
        </w:tabs>
        <w:jc w:val="center"/>
        <w:rPr>
          <w:rFonts w:ascii="宋体" w:hAnsi="宋体"/>
          <w:b/>
          <w:sz w:val="36"/>
          <w:szCs w:val="36"/>
        </w:rPr>
      </w:pPr>
    </w:p>
    <w:p w14:paraId="6A0D05D8">
      <w:pPr>
        <w:tabs>
          <w:tab w:val="left" w:pos="1276"/>
        </w:tabs>
        <w:jc w:val="center"/>
        <w:rPr>
          <w:rFonts w:hint="eastAsia" w:ascii="宋体" w:hAnsi="宋体" w:eastAsia="宋体" w:cs="宋体"/>
          <w:b/>
          <w:szCs w:val="21"/>
          <w:lang w:eastAsia="zh-CN"/>
        </w:rPr>
      </w:pPr>
      <w:r>
        <w:rPr>
          <w:rFonts w:hint="eastAsia" w:ascii="宋体" w:hAnsi="宋体"/>
          <w:b/>
          <w:sz w:val="36"/>
          <w:szCs w:val="36"/>
          <w:lang w:eastAsia="zh-CN"/>
        </w:rPr>
        <w:t>台州市仙居县浙南山地生态系统综合治理及生物多样性保护项目（淡竹乡）</w:t>
      </w:r>
    </w:p>
    <w:p w14:paraId="09758355">
      <w:pPr>
        <w:tabs>
          <w:tab w:val="left" w:pos="1276"/>
        </w:tabs>
        <w:rPr>
          <w:rFonts w:ascii="宋体" w:hAnsi="宋体" w:cs="宋体"/>
          <w:b/>
          <w:szCs w:val="21"/>
        </w:rPr>
      </w:pPr>
    </w:p>
    <w:p w14:paraId="27DDC062">
      <w:pPr>
        <w:tabs>
          <w:tab w:val="left" w:pos="1276"/>
        </w:tabs>
        <w:rPr>
          <w:rFonts w:ascii="宋体" w:hAnsi="宋体" w:cs="宋体"/>
          <w:b/>
          <w:szCs w:val="21"/>
        </w:rPr>
      </w:pPr>
    </w:p>
    <w:p w14:paraId="327BCA71">
      <w:pPr>
        <w:tabs>
          <w:tab w:val="left" w:pos="1276"/>
        </w:tabs>
        <w:rPr>
          <w:rFonts w:ascii="宋体" w:hAnsi="宋体" w:cs="宋体"/>
          <w:b/>
          <w:szCs w:val="21"/>
        </w:rPr>
      </w:pPr>
    </w:p>
    <w:p w14:paraId="0176613F">
      <w:pPr>
        <w:pStyle w:val="12"/>
      </w:pPr>
    </w:p>
    <w:p w14:paraId="3C63B4D3">
      <w:pPr>
        <w:tabs>
          <w:tab w:val="left" w:pos="1276"/>
        </w:tabs>
        <w:rPr>
          <w:rFonts w:ascii="宋体" w:hAnsi="宋体" w:cs="宋体"/>
          <w:b/>
          <w:szCs w:val="21"/>
        </w:rPr>
      </w:pPr>
    </w:p>
    <w:p w14:paraId="40DBC51E">
      <w:pPr>
        <w:tabs>
          <w:tab w:val="left" w:pos="1276"/>
        </w:tabs>
        <w:rPr>
          <w:rFonts w:ascii="宋体" w:hAnsi="宋体" w:cs="宋体"/>
          <w:b/>
          <w:szCs w:val="21"/>
        </w:rPr>
      </w:pPr>
    </w:p>
    <w:p w14:paraId="70DB8020">
      <w:pPr>
        <w:tabs>
          <w:tab w:val="left" w:pos="1276"/>
        </w:tabs>
        <w:rPr>
          <w:rFonts w:ascii="宋体" w:hAnsi="宋体" w:cs="宋体"/>
          <w:b/>
          <w:szCs w:val="21"/>
        </w:rPr>
      </w:pPr>
    </w:p>
    <w:p w14:paraId="030DB1D9">
      <w:pPr>
        <w:tabs>
          <w:tab w:val="left" w:pos="1276"/>
        </w:tabs>
        <w:rPr>
          <w:rFonts w:ascii="宋体" w:hAnsi="宋体" w:cs="宋体"/>
          <w:b/>
          <w:szCs w:val="21"/>
        </w:rPr>
      </w:pPr>
    </w:p>
    <w:p w14:paraId="38FBDD4A">
      <w:pPr>
        <w:tabs>
          <w:tab w:val="left" w:pos="1276"/>
        </w:tabs>
        <w:spacing w:line="360" w:lineRule="auto"/>
        <w:jc w:val="center"/>
        <w:rPr>
          <w:rFonts w:ascii="仿宋" w:hAnsi="仿宋" w:eastAsia="仿宋"/>
          <w:b/>
          <w:spacing w:val="-28"/>
          <w:sz w:val="84"/>
          <w:szCs w:val="84"/>
        </w:rPr>
      </w:pPr>
      <w:r>
        <w:rPr>
          <w:rFonts w:hint="eastAsia" w:ascii="仿宋" w:hAnsi="仿宋" w:eastAsia="仿宋"/>
          <w:b/>
          <w:spacing w:val="-28"/>
          <w:sz w:val="84"/>
          <w:szCs w:val="84"/>
        </w:rPr>
        <w:t>竞争性磋商</w:t>
      </w:r>
    </w:p>
    <w:p w14:paraId="7F5BDCAE">
      <w:pPr>
        <w:tabs>
          <w:tab w:val="left" w:pos="1276"/>
        </w:tabs>
        <w:spacing w:line="360" w:lineRule="auto"/>
        <w:jc w:val="center"/>
        <w:rPr>
          <w:rFonts w:ascii="仿宋" w:hAnsi="仿宋" w:eastAsia="仿宋"/>
          <w:b/>
          <w:spacing w:val="-20"/>
          <w:sz w:val="84"/>
          <w:szCs w:val="84"/>
        </w:rPr>
      </w:pPr>
      <w:r>
        <w:rPr>
          <w:rFonts w:hint="eastAsia" w:ascii="仿宋" w:hAnsi="仿宋" w:eastAsia="仿宋"/>
          <w:b/>
          <w:spacing w:val="-28"/>
          <w:sz w:val="84"/>
          <w:szCs w:val="84"/>
        </w:rPr>
        <w:t>采购文件</w:t>
      </w:r>
    </w:p>
    <w:p w14:paraId="42D02086">
      <w:pPr>
        <w:jc w:val="center"/>
        <w:rPr>
          <w:rFonts w:ascii="宋体" w:hAnsi="宋体" w:cs="宋体"/>
          <w:b/>
          <w:szCs w:val="21"/>
        </w:rPr>
      </w:pPr>
    </w:p>
    <w:p w14:paraId="11004966">
      <w:pPr>
        <w:rPr>
          <w:rFonts w:ascii="宋体" w:hAnsi="宋体" w:cs="宋体"/>
          <w:b/>
          <w:szCs w:val="21"/>
        </w:rPr>
      </w:pPr>
    </w:p>
    <w:p w14:paraId="5C68A7D1">
      <w:pPr>
        <w:jc w:val="center"/>
        <w:rPr>
          <w:rFonts w:ascii="宋体" w:hAnsi="宋体" w:cs="宋体"/>
          <w:b/>
          <w:szCs w:val="21"/>
        </w:rPr>
      </w:pPr>
    </w:p>
    <w:p w14:paraId="74AA0E98">
      <w:pPr>
        <w:jc w:val="center"/>
        <w:rPr>
          <w:rFonts w:ascii="宋体" w:hAnsi="宋体" w:cs="宋体"/>
          <w:b/>
          <w:szCs w:val="21"/>
        </w:rPr>
      </w:pPr>
    </w:p>
    <w:p w14:paraId="3E65FF4F">
      <w:pPr>
        <w:pStyle w:val="12"/>
        <w:ind w:firstLine="602"/>
        <w:rPr>
          <w:rFonts w:ascii="宋体" w:eastAsia="宋体" w:cs="宋体"/>
          <w:b/>
          <w:szCs w:val="21"/>
        </w:rPr>
      </w:pPr>
    </w:p>
    <w:p w14:paraId="302B9167">
      <w:pPr>
        <w:pStyle w:val="13"/>
        <w:ind w:firstLine="600"/>
      </w:pPr>
    </w:p>
    <w:p w14:paraId="1C04D2A3">
      <w:pPr>
        <w:rPr>
          <w:rFonts w:ascii="宋体" w:hAnsi="宋体" w:cs="宋体"/>
          <w:b/>
          <w:szCs w:val="21"/>
        </w:rPr>
      </w:pPr>
    </w:p>
    <w:p w14:paraId="57122DD3">
      <w:pPr>
        <w:rPr>
          <w:rFonts w:ascii="宋体" w:hAnsi="宋体" w:cs="宋体"/>
          <w:b/>
          <w:szCs w:val="21"/>
        </w:rPr>
      </w:pPr>
    </w:p>
    <w:p w14:paraId="23964770">
      <w:pPr>
        <w:jc w:val="center"/>
        <w:rPr>
          <w:rFonts w:ascii="宋体" w:hAnsi="宋体" w:cs="宋体"/>
          <w:b/>
          <w:szCs w:val="21"/>
        </w:rPr>
      </w:pPr>
    </w:p>
    <w:p w14:paraId="18311057">
      <w:pPr>
        <w:jc w:val="center"/>
        <w:rPr>
          <w:rFonts w:ascii="宋体" w:hAnsi="宋体" w:cs="宋体"/>
          <w:b/>
          <w:szCs w:val="21"/>
        </w:rPr>
      </w:pPr>
    </w:p>
    <w:p w14:paraId="5EF63215">
      <w:pPr>
        <w:jc w:val="center"/>
        <w:rPr>
          <w:rFonts w:ascii="宋体" w:hAnsi="宋体" w:cs="宋体"/>
          <w:b/>
          <w:szCs w:val="21"/>
        </w:rPr>
      </w:pPr>
    </w:p>
    <w:p w14:paraId="680AB292">
      <w:pPr>
        <w:jc w:val="center"/>
        <w:rPr>
          <w:rFonts w:ascii="宋体" w:hAnsi="宋体" w:cs="宋体"/>
          <w:b/>
          <w:szCs w:val="21"/>
        </w:rPr>
      </w:pPr>
    </w:p>
    <w:p w14:paraId="158A8FE0">
      <w:pPr>
        <w:spacing w:before="153" w:beforeLines="50" w:after="153" w:afterLines="50" w:line="480" w:lineRule="auto"/>
        <w:ind w:firstLine="900" w:firstLineChars="300"/>
        <w:rPr>
          <w:rFonts w:ascii="宋体" w:hAnsi="宋体" w:cs="宋体"/>
          <w:spacing w:val="20"/>
          <w:sz w:val="30"/>
          <w:szCs w:val="30"/>
        </w:rPr>
      </w:pPr>
      <w:r>
        <w:rPr>
          <w:rFonts w:hint="eastAsia" w:ascii="宋体" w:hAnsi="宋体" w:cs="宋体"/>
          <w:sz w:val="30"/>
          <w:szCs w:val="30"/>
        </w:rPr>
        <w:t>采购单位：仙居县</w:t>
      </w:r>
      <w:r>
        <w:rPr>
          <w:rFonts w:hint="eastAsia" w:ascii="宋体" w:hAnsi="宋体" w:cs="宋体"/>
          <w:sz w:val="30"/>
          <w:szCs w:val="30"/>
          <w:lang w:eastAsia="zh-CN"/>
        </w:rPr>
        <w:t>淡竹乡</w:t>
      </w:r>
      <w:r>
        <w:rPr>
          <w:rFonts w:hint="eastAsia" w:ascii="宋体" w:hAnsi="宋体" w:cs="宋体"/>
          <w:sz w:val="30"/>
          <w:szCs w:val="30"/>
        </w:rPr>
        <w:t>人民政府</w:t>
      </w:r>
      <w:r>
        <w:rPr>
          <w:rFonts w:hint="eastAsia" w:ascii="宋体" w:hAnsi="宋体" w:cs="宋体"/>
          <w:spacing w:val="20"/>
          <w:sz w:val="30"/>
          <w:szCs w:val="30"/>
        </w:rPr>
        <w:t>（盖章）</w:t>
      </w:r>
    </w:p>
    <w:p w14:paraId="4A317ED4">
      <w:pPr>
        <w:spacing w:before="153" w:beforeLines="50" w:after="153" w:afterLines="50" w:line="480" w:lineRule="auto"/>
        <w:ind w:firstLine="900" w:firstLineChars="300"/>
        <w:rPr>
          <w:rFonts w:ascii="宋体" w:hAnsi="宋体" w:cs="宋体"/>
          <w:sz w:val="30"/>
          <w:szCs w:val="30"/>
        </w:rPr>
      </w:pPr>
      <w:r>
        <w:rPr>
          <w:rFonts w:hint="eastAsia" w:ascii="宋体" w:hAnsi="宋体" w:cs="宋体"/>
          <w:sz w:val="30"/>
          <w:szCs w:val="30"/>
        </w:rPr>
        <w:t>代理机构：浙江广利工程</w:t>
      </w:r>
      <w:r>
        <w:rPr>
          <w:rFonts w:hint="eastAsia" w:ascii="宋体" w:hAnsi="宋体" w:cs="宋体"/>
          <w:sz w:val="30"/>
          <w:szCs w:val="30"/>
          <w:lang w:eastAsia="zh-CN"/>
        </w:rPr>
        <w:t>咨询有限公司</w:t>
      </w:r>
      <w:r>
        <w:rPr>
          <w:rFonts w:hint="eastAsia" w:ascii="宋体" w:hAnsi="宋体" w:cs="宋体"/>
          <w:sz w:val="30"/>
          <w:szCs w:val="30"/>
        </w:rPr>
        <w:t>（盖章）</w:t>
      </w:r>
    </w:p>
    <w:p w14:paraId="74EC427C">
      <w:pPr>
        <w:spacing w:before="153" w:beforeLines="50" w:after="153" w:afterLines="50" w:line="480" w:lineRule="auto"/>
        <w:jc w:val="center"/>
        <w:rPr>
          <w:rFonts w:ascii="宋体" w:hAnsi="宋体" w:cs="宋体"/>
          <w:sz w:val="30"/>
          <w:szCs w:val="30"/>
        </w:rPr>
      </w:pPr>
      <w:r>
        <w:rPr>
          <w:rFonts w:hint="eastAsia" w:ascii="宋体" w:hAnsi="宋体" w:cs="宋体"/>
          <w:sz w:val="30"/>
          <w:szCs w:val="30"/>
        </w:rPr>
        <w:t xml:space="preserve">二〇二四年十二月 </w:t>
      </w:r>
    </w:p>
    <w:p w14:paraId="1782D144">
      <w:pPr>
        <w:tabs>
          <w:tab w:val="center" w:pos="4422"/>
          <w:tab w:val="left" w:pos="5310"/>
        </w:tabs>
        <w:spacing w:line="360" w:lineRule="auto"/>
        <w:jc w:val="left"/>
        <w:rPr>
          <w:rFonts w:ascii="宋体" w:hAnsi="宋体" w:cs="宋体"/>
          <w:b/>
          <w:sz w:val="44"/>
          <w:szCs w:val="44"/>
        </w:rPr>
        <w:sectPr>
          <w:headerReference r:id="rId4" w:type="first"/>
          <w:headerReference r:id="rId3" w:type="default"/>
          <w:pgSz w:w="11905" w:h="16838"/>
          <w:pgMar w:top="1361" w:right="1587" w:bottom="1361" w:left="1587" w:header="850" w:footer="811" w:gutter="0"/>
          <w:cols w:space="720" w:num="1"/>
          <w:titlePg/>
          <w:docGrid w:type="lines" w:linePitch="306" w:charSpace="0"/>
        </w:sectPr>
      </w:pPr>
      <w:r>
        <w:rPr>
          <w:rFonts w:hint="eastAsia" w:ascii="宋体" w:hAnsi="宋体" w:cs="宋体"/>
          <w:b/>
          <w:sz w:val="44"/>
          <w:szCs w:val="44"/>
        </w:rPr>
        <w:tab/>
      </w:r>
      <w:r>
        <w:rPr>
          <w:rFonts w:hint="eastAsia" w:ascii="宋体" w:hAnsi="宋体" w:cs="宋体"/>
          <w:b/>
          <w:sz w:val="44"/>
          <w:szCs w:val="44"/>
        </w:rPr>
        <w:tab/>
      </w:r>
    </w:p>
    <w:p w14:paraId="0B556BDB">
      <w:pPr>
        <w:spacing w:line="480" w:lineRule="auto"/>
        <w:jc w:val="center"/>
        <w:rPr>
          <w:rFonts w:ascii="宋体" w:hAnsi="宋体" w:cs="宋体"/>
          <w:b/>
          <w:sz w:val="32"/>
          <w:szCs w:val="32"/>
        </w:rPr>
      </w:pPr>
      <w:r>
        <w:rPr>
          <w:rFonts w:hint="eastAsia" w:ascii="宋体" w:hAnsi="宋体" w:cs="宋体"/>
          <w:b/>
          <w:sz w:val="32"/>
          <w:szCs w:val="32"/>
        </w:rPr>
        <w:t>目   录</w:t>
      </w:r>
    </w:p>
    <w:p w14:paraId="6EE02ABB">
      <w:pPr>
        <w:pStyle w:val="23"/>
        <w:tabs>
          <w:tab w:val="right" w:leader="hyphen" w:pos="8732"/>
          <w:tab w:val="clear" w:pos="8494"/>
        </w:tabs>
      </w:pPr>
      <w:r>
        <w:rPr>
          <w:rFonts w:hint="eastAsia" w:cs="宋体"/>
          <w:sz w:val="21"/>
          <w:szCs w:val="21"/>
        </w:rPr>
        <w:fldChar w:fldCharType="begin"/>
      </w:r>
      <w:r>
        <w:rPr>
          <w:rFonts w:hint="eastAsia" w:cs="宋体"/>
          <w:sz w:val="21"/>
          <w:szCs w:val="21"/>
        </w:rPr>
        <w:instrText xml:space="preserve"> TOC \o "1-2" \h \z \u </w:instrText>
      </w:r>
      <w:r>
        <w:rPr>
          <w:rFonts w:hint="eastAsia" w:cs="宋体"/>
          <w:sz w:val="21"/>
          <w:szCs w:val="21"/>
        </w:rPr>
        <w:fldChar w:fldCharType="separate"/>
      </w:r>
      <w:r>
        <w:fldChar w:fldCharType="begin"/>
      </w:r>
      <w:r>
        <w:instrText xml:space="preserve"> HYPERLINK \l "_Toc28552" </w:instrText>
      </w:r>
      <w:r>
        <w:fldChar w:fldCharType="separate"/>
      </w:r>
      <w:r>
        <w:rPr>
          <w:rFonts w:hint="eastAsia" w:cs="宋体"/>
          <w:szCs w:val="32"/>
        </w:rPr>
        <w:t>第一章 竞争性磋商公告</w:t>
      </w:r>
      <w:r>
        <w:tab/>
      </w:r>
      <w:r>
        <w:rPr>
          <w:rFonts w:hint="eastAsia"/>
          <w:lang w:val="en-US" w:eastAsia="zh-CN"/>
        </w:rPr>
        <w:t>1</w:t>
      </w:r>
      <w:r>
        <w:fldChar w:fldCharType="end"/>
      </w:r>
    </w:p>
    <w:p w14:paraId="4A140353">
      <w:pPr>
        <w:pStyle w:val="23"/>
        <w:tabs>
          <w:tab w:val="right" w:leader="hyphen" w:pos="8732"/>
          <w:tab w:val="clear" w:pos="8494"/>
        </w:tabs>
      </w:pPr>
      <w:r>
        <w:fldChar w:fldCharType="begin"/>
      </w:r>
      <w:r>
        <w:instrText xml:space="preserve"> HYPERLINK \l "_Toc18295" </w:instrText>
      </w:r>
      <w:r>
        <w:fldChar w:fldCharType="separate"/>
      </w:r>
      <w:r>
        <w:rPr>
          <w:rFonts w:hint="eastAsia" w:cs="宋体"/>
          <w:szCs w:val="32"/>
        </w:rPr>
        <w:t>第二章  采购需求</w:t>
      </w:r>
      <w:r>
        <w:tab/>
      </w:r>
      <w:r>
        <w:rPr>
          <w:rFonts w:hint="eastAsia"/>
          <w:lang w:val="en-US" w:eastAsia="zh-CN"/>
        </w:rPr>
        <w:t>4</w:t>
      </w:r>
      <w:r>
        <w:rPr>
          <w:rFonts w:hint="eastAsia"/>
        </w:rPr>
        <w:fldChar w:fldCharType="end"/>
      </w:r>
    </w:p>
    <w:p w14:paraId="0C13249A">
      <w:pPr>
        <w:pStyle w:val="23"/>
        <w:tabs>
          <w:tab w:val="right" w:leader="hyphen" w:pos="8732"/>
          <w:tab w:val="clear" w:pos="8494"/>
        </w:tabs>
        <w:rPr>
          <w:rFonts w:hint="default" w:eastAsia="宋体"/>
          <w:lang w:val="en-US" w:eastAsia="zh-CN"/>
        </w:rPr>
      </w:pPr>
      <w:r>
        <w:fldChar w:fldCharType="begin"/>
      </w:r>
      <w:r>
        <w:instrText xml:space="preserve"> HYPERLINK \l "_Toc636" </w:instrText>
      </w:r>
      <w:r>
        <w:fldChar w:fldCharType="separate"/>
      </w:r>
      <w:r>
        <w:rPr>
          <w:rFonts w:hint="eastAsia" w:cs="宋体"/>
          <w:szCs w:val="32"/>
        </w:rPr>
        <w:t>第三章  投标须知</w:t>
      </w:r>
      <w:r>
        <w:tab/>
      </w:r>
      <w:r>
        <w:rPr>
          <w:rFonts w:hint="eastAsia"/>
        </w:rPr>
        <w:fldChar w:fldCharType="end"/>
      </w:r>
      <w:r>
        <w:rPr>
          <w:rFonts w:hint="eastAsia"/>
          <w:lang w:val="en-US" w:eastAsia="zh-CN"/>
        </w:rPr>
        <w:t>16</w:t>
      </w:r>
    </w:p>
    <w:p w14:paraId="15EEB59F">
      <w:pPr>
        <w:pStyle w:val="23"/>
        <w:tabs>
          <w:tab w:val="right" w:leader="hyphen" w:pos="8732"/>
          <w:tab w:val="clear" w:pos="8494"/>
        </w:tabs>
        <w:rPr>
          <w:rFonts w:hint="default" w:eastAsia="宋体"/>
          <w:lang w:val="en-US" w:eastAsia="zh-CN"/>
        </w:rPr>
      </w:pPr>
      <w:r>
        <w:fldChar w:fldCharType="begin"/>
      </w:r>
      <w:r>
        <w:instrText xml:space="preserve"> HYPERLINK \l "_Toc9657" </w:instrText>
      </w:r>
      <w:r>
        <w:fldChar w:fldCharType="separate"/>
      </w:r>
      <w:r>
        <w:rPr>
          <w:rFonts w:hint="eastAsia" w:cs="宋体"/>
          <w:szCs w:val="32"/>
        </w:rPr>
        <w:t>第四章  磋商评审办法</w:t>
      </w:r>
      <w:r>
        <w:tab/>
      </w:r>
      <w:r>
        <w:rPr>
          <w:rFonts w:hint="eastAsia"/>
        </w:rPr>
        <w:fldChar w:fldCharType="end"/>
      </w:r>
      <w:r>
        <w:rPr>
          <w:rFonts w:hint="eastAsia"/>
          <w:lang w:val="en-US" w:eastAsia="zh-CN"/>
        </w:rPr>
        <w:t>39</w:t>
      </w:r>
    </w:p>
    <w:p w14:paraId="4C33B38A">
      <w:pPr>
        <w:pStyle w:val="23"/>
        <w:tabs>
          <w:tab w:val="right" w:leader="hyphen" w:pos="8732"/>
          <w:tab w:val="clear" w:pos="8494"/>
        </w:tabs>
        <w:rPr>
          <w:rFonts w:hint="eastAsia" w:eastAsia="宋体"/>
          <w:lang w:val="en-US" w:eastAsia="zh-CN"/>
        </w:rPr>
      </w:pPr>
      <w:r>
        <w:fldChar w:fldCharType="begin"/>
      </w:r>
      <w:r>
        <w:instrText xml:space="preserve"> HYPERLINK \l "_Toc9850" </w:instrText>
      </w:r>
      <w:r>
        <w:fldChar w:fldCharType="separate"/>
      </w:r>
      <w:r>
        <w:rPr>
          <w:rFonts w:hint="eastAsia" w:cs="宋体"/>
          <w:szCs w:val="32"/>
        </w:rPr>
        <w:t>第五章  合同条款及格式</w:t>
      </w:r>
      <w:r>
        <w:tab/>
      </w:r>
      <w:r>
        <w:rPr>
          <w:rFonts w:hint="eastAsia"/>
          <w:lang w:val="en-US" w:eastAsia="zh-CN"/>
        </w:rPr>
        <w:t>4</w:t>
      </w:r>
      <w:r>
        <w:rPr>
          <w:rFonts w:hint="eastAsia"/>
        </w:rPr>
        <w:fldChar w:fldCharType="end"/>
      </w:r>
      <w:r>
        <w:rPr>
          <w:rFonts w:hint="eastAsia"/>
          <w:lang w:val="en-US" w:eastAsia="zh-CN"/>
        </w:rPr>
        <w:t>6</w:t>
      </w:r>
    </w:p>
    <w:p w14:paraId="5B4B5B3B">
      <w:pPr>
        <w:pStyle w:val="23"/>
        <w:tabs>
          <w:tab w:val="right" w:leader="hyphen" w:pos="8732"/>
          <w:tab w:val="clear" w:pos="8494"/>
        </w:tabs>
        <w:rPr>
          <w:rFonts w:hint="default" w:eastAsia="宋体"/>
          <w:lang w:val="en-US" w:eastAsia="zh-CN"/>
        </w:rPr>
        <w:sectPr>
          <w:pgSz w:w="11905" w:h="16837"/>
          <w:pgMar w:top="1032" w:right="1100" w:bottom="1020" w:left="1070" w:header="0" w:footer="283" w:gutter="0"/>
          <w:cols w:space="720" w:num="1"/>
        </w:sectPr>
      </w:pPr>
      <w:r>
        <w:fldChar w:fldCharType="begin"/>
      </w:r>
      <w:r>
        <w:instrText xml:space="preserve"> HYPERLINK \l "_Toc9902" </w:instrText>
      </w:r>
      <w:r>
        <w:fldChar w:fldCharType="separate"/>
      </w:r>
      <w:r>
        <w:rPr>
          <w:rFonts w:hint="eastAsia" w:cs="宋体"/>
          <w:szCs w:val="32"/>
        </w:rPr>
        <w:t>第六章　响应文件格式</w:t>
      </w:r>
      <w:r>
        <w:tab/>
      </w:r>
      <w:r>
        <w:fldChar w:fldCharType="end"/>
      </w:r>
      <w:r>
        <w:rPr>
          <w:rFonts w:hint="eastAsia"/>
          <w:lang w:val="en-US" w:eastAsia="zh-CN"/>
        </w:rPr>
        <w:t>59</w:t>
      </w:r>
    </w:p>
    <w:p w14:paraId="04D4CB53">
      <w:pPr>
        <w:pStyle w:val="3"/>
        <w:spacing w:before="0" w:after="0" w:line="360" w:lineRule="auto"/>
        <w:jc w:val="both"/>
        <w:rPr>
          <w:rFonts w:ascii="宋体" w:hAnsi="宋体" w:cs="宋体"/>
          <w:szCs w:val="21"/>
        </w:rPr>
      </w:pPr>
      <w:r>
        <w:rPr>
          <w:rFonts w:hint="eastAsia" w:ascii="宋体" w:hAnsi="宋体" w:cs="宋体"/>
          <w:szCs w:val="21"/>
        </w:rPr>
        <w:fldChar w:fldCharType="end"/>
      </w:r>
    </w:p>
    <w:p w14:paraId="5AB5D0A8">
      <w:pPr>
        <w:pStyle w:val="3"/>
        <w:spacing w:before="0" w:after="0" w:line="360" w:lineRule="auto"/>
        <w:jc w:val="center"/>
        <w:rPr>
          <w:rFonts w:ascii="宋体" w:hAnsi="宋体" w:cs="宋体"/>
          <w:szCs w:val="21"/>
        </w:rPr>
      </w:pPr>
    </w:p>
    <w:p w14:paraId="6180A902">
      <w:pPr>
        <w:pStyle w:val="3"/>
        <w:spacing w:before="0" w:after="0" w:line="360" w:lineRule="auto"/>
        <w:jc w:val="center"/>
        <w:rPr>
          <w:rFonts w:ascii="宋体" w:hAnsi="宋体" w:cs="宋体"/>
          <w:szCs w:val="21"/>
        </w:rPr>
      </w:pPr>
    </w:p>
    <w:p w14:paraId="69EA84E1">
      <w:pPr>
        <w:pStyle w:val="3"/>
        <w:spacing w:before="0" w:after="0" w:line="360" w:lineRule="auto"/>
        <w:jc w:val="center"/>
        <w:rPr>
          <w:rFonts w:ascii="宋体" w:hAnsi="宋体" w:cs="宋体"/>
          <w:szCs w:val="21"/>
        </w:rPr>
      </w:pPr>
    </w:p>
    <w:p w14:paraId="43984402">
      <w:pPr>
        <w:pStyle w:val="3"/>
        <w:spacing w:before="0" w:after="0" w:line="360" w:lineRule="auto"/>
        <w:jc w:val="center"/>
        <w:rPr>
          <w:rFonts w:ascii="宋体" w:hAnsi="宋体" w:cs="宋体"/>
          <w:szCs w:val="21"/>
        </w:rPr>
      </w:pPr>
    </w:p>
    <w:p w14:paraId="16DB8F11">
      <w:pPr>
        <w:pStyle w:val="3"/>
        <w:spacing w:before="0" w:after="0" w:line="360" w:lineRule="auto"/>
        <w:jc w:val="center"/>
        <w:rPr>
          <w:rFonts w:ascii="宋体" w:hAnsi="宋体" w:cs="宋体"/>
          <w:szCs w:val="21"/>
        </w:rPr>
      </w:pPr>
    </w:p>
    <w:p w14:paraId="21CF4D5E">
      <w:pPr>
        <w:pStyle w:val="3"/>
        <w:spacing w:before="0" w:after="0" w:line="360" w:lineRule="auto"/>
        <w:jc w:val="center"/>
        <w:rPr>
          <w:rFonts w:ascii="宋体" w:hAnsi="宋体" w:cs="宋体"/>
          <w:szCs w:val="21"/>
        </w:rPr>
      </w:pPr>
    </w:p>
    <w:p w14:paraId="5BDF8339">
      <w:pPr>
        <w:pStyle w:val="3"/>
        <w:spacing w:before="0" w:after="0" w:line="360" w:lineRule="auto"/>
        <w:jc w:val="center"/>
        <w:rPr>
          <w:rFonts w:ascii="宋体" w:hAnsi="宋体" w:cs="宋体"/>
          <w:szCs w:val="21"/>
        </w:rPr>
      </w:pPr>
    </w:p>
    <w:p w14:paraId="24819CD9">
      <w:pPr>
        <w:pStyle w:val="3"/>
        <w:spacing w:before="0" w:after="0" w:line="360" w:lineRule="auto"/>
        <w:jc w:val="center"/>
        <w:rPr>
          <w:rFonts w:ascii="宋体" w:hAnsi="宋体" w:cs="宋体"/>
          <w:szCs w:val="21"/>
        </w:rPr>
      </w:pPr>
    </w:p>
    <w:p w14:paraId="41345414">
      <w:pPr>
        <w:pStyle w:val="3"/>
        <w:spacing w:before="0" w:after="0" w:line="360" w:lineRule="auto"/>
        <w:jc w:val="center"/>
        <w:rPr>
          <w:rFonts w:ascii="宋体" w:hAnsi="宋体" w:cs="宋体"/>
          <w:szCs w:val="21"/>
        </w:rPr>
      </w:pPr>
    </w:p>
    <w:p w14:paraId="76B635E6">
      <w:pPr>
        <w:pStyle w:val="3"/>
        <w:spacing w:before="0" w:after="0" w:line="360" w:lineRule="auto"/>
        <w:jc w:val="center"/>
        <w:rPr>
          <w:rFonts w:hint="eastAsia" w:ascii="宋体" w:hAnsi="宋体" w:cs="宋体"/>
          <w:sz w:val="32"/>
          <w:szCs w:val="32"/>
        </w:rPr>
        <w:sectPr>
          <w:pgSz w:w="11905" w:h="16837"/>
          <w:pgMar w:top="1032" w:right="1100" w:bottom="1020" w:left="1070" w:header="0" w:footer="283" w:gutter="0"/>
          <w:cols w:space="720" w:num="1"/>
        </w:sectPr>
      </w:pPr>
      <w:bookmarkStart w:id="0" w:name="_Toc28552"/>
    </w:p>
    <w:p w14:paraId="0126B2C5">
      <w:pPr>
        <w:pStyle w:val="3"/>
        <w:spacing w:before="0" w:after="0" w:line="360" w:lineRule="auto"/>
        <w:jc w:val="center"/>
        <w:rPr>
          <w:rFonts w:ascii="宋体" w:hAnsi="宋体" w:cs="宋体"/>
          <w:sz w:val="32"/>
          <w:szCs w:val="32"/>
        </w:rPr>
      </w:pPr>
      <w:r>
        <w:rPr>
          <w:rFonts w:hint="eastAsia" w:ascii="宋体" w:hAnsi="宋体" w:cs="宋体"/>
          <w:sz w:val="32"/>
          <w:szCs w:val="32"/>
        </w:rPr>
        <w:t>第一章 竞争性磋商公告</w:t>
      </w:r>
      <w:bookmarkEnd w:id="0"/>
    </w:p>
    <w:p w14:paraId="3B2A5E5F">
      <w:pPr>
        <w:rPr>
          <w:rFonts w:ascii="宋体" w:hAnsi="宋体" w:cs="宋体"/>
          <w:kern w:val="0"/>
          <w:szCs w:val="21"/>
        </w:rPr>
      </w:pPr>
      <w:bookmarkStart w:id="1" w:name="_Toc508888794"/>
      <w:bookmarkStart w:id="2" w:name="_Toc528927405"/>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1"/>
      </w:tblGrid>
      <w:tr w14:paraId="2DFB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trPr>
        <w:tc>
          <w:tcPr>
            <w:tcW w:w="9761" w:type="dxa"/>
          </w:tcPr>
          <w:p w14:paraId="680C7E35">
            <w:pPr>
              <w:pStyle w:val="30"/>
              <w:spacing w:before="0" w:beforeAutospacing="0" w:after="0" w:afterAutospacing="0" w:line="360" w:lineRule="auto"/>
              <w:rPr>
                <w:rFonts w:cs="宋体"/>
                <w:sz w:val="21"/>
                <w:szCs w:val="21"/>
              </w:rPr>
            </w:pPr>
            <w:r>
              <w:rPr>
                <w:rFonts w:hint="eastAsia" w:ascii="微软雅黑" w:hAnsi="微软雅黑" w:eastAsia="微软雅黑" w:cs="微软雅黑"/>
                <w:sz w:val="31"/>
                <w:szCs w:val="31"/>
              </w:rPr>
              <w:t> </w:t>
            </w:r>
            <w:r>
              <w:rPr>
                <w:rFonts w:hint="eastAsia" w:cs="宋体"/>
                <w:sz w:val="21"/>
                <w:szCs w:val="21"/>
              </w:rPr>
              <w:t> 项目概况</w:t>
            </w:r>
          </w:p>
          <w:p w14:paraId="143D5069">
            <w:pPr>
              <w:pStyle w:val="30"/>
              <w:spacing w:before="0" w:beforeAutospacing="0" w:after="0" w:afterAutospacing="0" w:line="360" w:lineRule="auto"/>
              <w:rPr>
                <w:rFonts w:cs="宋体"/>
                <w:b/>
                <w:kern w:val="2"/>
                <w:sz w:val="21"/>
                <w:szCs w:val="21"/>
                <w:lang w:bidi="ar"/>
              </w:rPr>
            </w:pPr>
            <w:r>
              <w:rPr>
                <w:rFonts w:hint="eastAsia" w:cs="宋体"/>
                <w:sz w:val="21"/>
                <w:szCs w:val="21"/>
              </w:rPr>
              <w:t> </w:t>
            </w:r>
            <w:r>
              <w:rPr>
                <w:rFonts w:hint="eastAsia" w:cs="宋体"/>
                <w:sz w:val="21"/>
                <w:szCs w:val="21"/>
                <w:lang w:eastAsia="zh-CN"/>
              </w:rPr>
              <w:t>台州市仙居县浙南山地生态系统综合治理及生物多样性保护项目（淡竹乡）</w:t>
            </w:r>
            <w:r>
              <w:rPr>
                <w:rFonts w:hint="eastAsia" w:cs="宋体"/>
                <w:sz w:val="21"/>
                <w:szCs w:val="21"/>
              </w:rPr>
              <w:t>采购项目的潜在供应商应在浙江政府采购网（http://zfcg.czt.zj.gov.cn）线上获取（下载）采购文件，并于</w:t>
            </w:r>
            <w:r>
              <w:rPr>
                <w:rFonts w:hint="eastAsia" w:cs="宋体"/>
                <w:sz w:val="21"/>
                <w:szCs w:val="21"/>
                <w:lang w:eastAsia="zh-CN"/>
              </w:rPr>
              <w:t>202</w:t>
            </w:r>
            <w:r>
              <w:rPr>
                <w:rFonts w:hint="eastAsia" w:cs="宋体"/>
                <w:sz w:val="21"/>
                <w:szCs w:val="21"/>
                <w:lang w:val="en-US" w:eastAsia="zh-CN"/>
              </w:rPr>
              <w:t>5</w:t>
            </w:r>
            <w:r>
              <w:rPr>
                <w:rFonts w:hint="eastAsia" w:cs="宋体"/>
                <w:sz w:val="21"/>
                <w:szCs w:val="21"/>
              </w:rPr>
              <w:t>年</w:t>
            </w:r>
            <w:r>
              <w:rPr>
                <w:rFonts w:hint="eastAsia" w:cs="宋体"/>
                <w:sz w:val="21"/>
                <w:szCs w:val="21"/>
                <w:lang w:val="en-US" w:eastAsia="zh-CN"/>
              </w:rPr>
              <w:t xml:space="preserve">   </w:t>
            </w:r>
            <w:r>
              <w:rPr>
                <w:rFonts w:hint="eastAsia" w:cs="宋体"/>
                <w:sz w:val="21"/>
                <w:szCs w:val="21"/>
              </w:rPr>
              <w:t>月</w:t>
            </w:r>
            <w:r>
              <w:rPr>
                <w:rFonts w:hint="eastAsia" w:cs="宋体"/>
                <w:sz w:val="21"/>
                <w:szCs w:val="21"/>
                <w:lang w:val="en-US" w:eastAsia="zh-CN"/>
              </w:rPr>
              <w:t xml:space="preserve">   </w:t>
            </w:r>
            <w:r>
              <w:rPr>
                <w:rFonts w:hint="eastAsia" w:cs="宋体"/>
                <w:sz w:val="21"/>
                <w:szCs w:val="21"/>
              </w:rPr>
              <w:t>日 09:00 （北京时间）前提交（上传）响应文件。</w:t>
            </w:r>
          </w:p>
        </w:tc>
      </w:tr>
    </w:tbl>
    <w:p w14:paraId="666D2AFC">
      <w:pPr>
        <w:pStyle w:val="30"/>
        <w:widowControl w:val="0"/>
        <w:spacing w:before="0" w:beforeAutospacing="0" w:after="0" w:afterAutospacing="0" w:line="360" w:lineRule="auto"/>
        <w:ind w:left="420"/>
        <w:jc w:val="both"/>
        <w:rPr>
          <w:rFonts w:cs="宋体"/>
          <w:b/>
          <w:kern w:val="2"/>
          <w:sz w:val="21"/>
          <w:szCs w:val="21"/>
          <w:lang w:bidi="ar"/>
        </w:rPr>
      </w:pPr>
    </w:p>
    <w:p w14:paraId="5F218FA4">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hint="eastAsia" w:cs="宋体"/>
          <w:b/>
          <w:kern w:val="2"/>
          <w:sz w:val="21"/>
          <w:szCs w:val="21"/>
          <w:lang w:bidi="ar"/>
        </w:rPr>
        <w:t>项目基本情况</w:t>
      </w:r>
    </w:p>
    <w:p w14:paraId="3DAF4F11">
      <w:pPr>
        <w:spacing w:line="360" w:lineRule="auto"/>
        <w:ind w:firstLine="420" w:firstLineChars="200"/>
        <w:rPr>
          <w:rFonts w:hint="eastAsia" w:ascii="宋体" w:hAnsi="宋体" w:eastAsia="宋体" w:cs="宋体"/>
          <w:kern w:val="0"/>
          <w:szCs w:val="21"/>
          <w:highlight w:val="yellow"/>
          <w:lang w:eastAsia="zh-CN"/>
        </w:rPr>
      </w:pPr>
      <w:r>
        <w:rPr>
          <w:rFonts w:hint="eastAsia" w:ascii="宋体" w:hAnsi="宋体" w:cs="宋体"/>
          <w:kern w:val="0"/>
          <w:szCs w:val="21"/>
        </w:rPr>
        <w:t>1.项目编号：</w:t>
      </w:r>
      <w:r>
        <w:rPr>
          <w:rFonts w:hint="eastAsia" w:ascii="宋体" w:hAnsi="宋体" w:cs="宋体"/>
          <w:kern w:val="0"/>
          <w:szCs w:val="21"/>
          <w:lang w:eastAsia="zh-CN"/>
        </w:rPr>
        <w:t>ZJGL（202412）002</w:t>
      </w:r>
    </w:p>
    <w:p w14:paraId="4F27805F">
      <w:pPr>
        <w:spacing w:line="360" w:lineRule="auto"/>
        <w:ind w:firstLine="420" w:firstLineChars="200"/>
        <w:rPr>
          <w:rFonts w:hint="eastAsia" w:ascii="宋体" w:hAnsi="宋体" w:cs="宋体"/>
          <w:kern w:val="0"/>
          <w:szCs w:val="21"/>
          <w:lang w:eastAsia="zh-CN"/>
        </w:rPr>
      </w:pPr>
      <w:r>
        <w:rPr>
          <w:rFonts w:hint="eastAsia" w:ascii="宋体" w:hAnsi="宋体" w:cs="宋体"/>
          <w:kern w:val="0"/>
          <w:szCs w:val="21"/>
        </w:rPr>
        <w:t>2.项目名称：</w:t>
      </w:r>
      <w:r>
        <w:rPr>
          <w:rFonts w:hint="eastAsia" w:ascii="宋体" w:hAnsi="宋体" w:cs="宋体"/>
          <w:kern w:val="0"/>
          <w:szCs w:val="21"/>
          <w:lang w:eastAsia="zh-CN"/>
        </w:rPr>
        <w:t>台州市仙居县浙南山地生态系统综合治理及生物多样性保护项目（淡竹乡）</w:t>
      </w:r>
    </w:p>
    <w:p w14:paraId="3D00011B">
      <w:pPr>
        <w:spacing w:line="360" w:lineRule="auto"/>
        <w:ind w:firstLine="420" w:firstLineChars="200"/>
        <w:rPr>
          <w:rFonts w:hint="eastAsia" w:ascii="宋体" w:hAnsi="宋体" w:cs="宋体"/>
          <w:kern w:val="0"/>
          <w:szCs w:val="21"/>
        </w:rPr>
      </w:pPr>
      <w:r>
        <w:rPr>
          <w:rFonts w:hint="eastAsia" w:ascii="宋体" w:hAnsi="宋体" w:cs="宋体"/>
          <w:kern w:val="0"/>
          <w:szCs w:val="21"/>
        </w:rPr>
        <w:t>3.采购方式：竞争性磋商</w:t>
      </w:r>
    </w:p>
    <w:p w14:paraId="3C8706A3">
      <w:pPr>
        <w:spacing w:line="360" w:lineRule="auto"/>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4.预算金额：2395342元</w:t>
      </w:r>
    </w:p>
    <w:p w14:paraId="3D270AC1">
      <w:pPr>
        <w:spacing w:line="360" w:lineRule="auto"/>
        <w:ind w:firstLine="420" w:firstLineChars="200"/>
        <w:rPr>
          <w:rFonts w:hint="default" w:ascii="宋体" w:hAnsi="宋体" w:cs="宋体"/>
          <w:kern w:val="0"/>
          <w:szCs w:val="21"/>
          <w:lang w:val="en-US" w:eastAsia="zh-CN"/>
        </w:rPr>
      </w:pPr>
      <w:r>
        <w:rPr>
          <w:rFonts w:hint="eastAsia" w:ascii="宋体" w:hAnsi="宋体" w:cs="宋体"/>
          <w:kern w:val="0"/>
          <w:szCs w:val="21"/>
          <w:lang w:val="en-US" w:eastAsia="zh-CN"/>
        </w:rPr>
        <w:t>5最高限价：标一 416670元   标二1667278元</w:t>
      </w:r>
    </w:p>
    <w:p w14:paraId="235FD32F">
      <w:pPr>
        <w:spacing w:line="400" w:lineRule="exact"/>
        <w:ind w:firstLine="420" w:firstLineChars="200"/>
        <w:rPr>
          <w:rFonts w:ascii="宋体" w:hAnsi="宋体" w:cs="宋体"/>
          <w:kern w:val="0"/>
          <w:szCs w:val="21"/>
        </w:rPr>
      </w:pPr>
      <w:r>
        <w:rPr>
          <w:rFonts w:hint="eastAsia" w:ascii="宋体" w:hAnsi="宋体" w:cs="宋体"/>
          <w:kern w:val="0"/>
          <w:szCs w:val="21"/>
          <w:lang w:val="en-US" w:eastAsia="zh-CN"/>
        </w:rPr>
        <w:t>6</w:t>
      </w:r>
      <w:r>
        <w:rPr>
          <w:rFonts w:hint="eastAsia" w:ascii="宋体" w:hAnsi="宋体" w:cs="宋体"/>
          <w:kern w:val="0"/>
          <w:szCs w:val="21"/>
        </w:rPr>
        <w:t>.采购需求：</w:t>
      </w:r>
    </w:p>
    <w:tbl>
      <w:tblPr>
        <w:tblStyle w:val="32"/>
        <w:tblpPr w:leftFromText="180" w:rightFromText="180" w:vertAnchor="text" w:horzAnchor="page" w:tblpXSpec="center" w:tblpY="144"/>
        <w:tblOverlap w:val="never"/>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96"/>
        <w:gridCol w:w="480"/>
        <w:gridCol w:w="570"/>
        <w:gridCol w:w="1138"/>
        <w:gridCol w:w="1145"/>
        <w:gridCol w:w="2451"/>
        <w:gridCol w:w="1663"/>
      </w:tblGrid>
      <w:tr w14:paraId="474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09" w:type="dxa"/>
            <w:vAlign w:val="center"/>
          </w:tcPr>
          <w:p w14:paraId="1904C577">
            <w:pPr>
              <w:widowControl/>
              <w:wordWrap w:val="0"/>
              <w:jc w:val="center"/>
              <w:rPr>
                <w:rFonts w:ascii="宋体" w:hAnsi="宋体"/>
                <w:szCs w:val="21"/>
              </w:rPr>
            </w:pPr>
            <w:r>
              <w:rPr>
                <w:rFonts w:ascii="宋体" w:hAnsi="宋体" w:cs="宋体"/>
                <w:kern w:val="0"/>
                <w:szCs w:val="21"/>
                <w:lang w:bidi="ar"/>
              </w:rPr>
              <w:t>标项序号</w:t>
            </w:r>
          </w:p>
        </w:tc>
        <w:tc>
          <w:tcPr>
            <w:tcW w:w="1796" w:type="dxa"/>
            <w:vAlign w:val="center"/>
          </w:tcPr>
          <w:p w14:paraId="1586884E">
            <w:pPr>
              <w:widowControl/>
              <w:wordWrap w:val="0"/>
              <w:jc w:val="center"/>
              <w:rPr>
                <w:rFonts w:ascii="宋体" w:hAnsi="宋体"/>
                <w:szCs w:val="21"/>
              </w:rPr>
            </w:pPr>
            <w:r>
              <w:rPr>
                <w:rFonts w:ascii="宋体" w:hAnsi="宋体" w:cs="宋体"/>
                <w:kern w:val="0"/>
                <w:szCs w:val="21"/>
                <w:lang w:bidi="ar"/>
              </w:rPr>
              <w:t>标项名称</w:t>
            </w:r>
          </w:p>
        </w:tc>
        <w:tc>
          <w:tcPr>
            <w:tcW w:w="480" w:type="dxa"/>
            <w:vAlign w:val="center"/>
          </w:tcPr>
          <w:p w14:paraId="58458D60">
            <w:pPr>
              <w:widowControl/>
              <w:wordWrap w:val="0"/>
              <w:jc w:val="center"/>
              <w:rPr>
                <w:rFonts w:ascii="宋体" w:hAnsi="宋体"/>
                <w:szCs w:val="21"/>
              </w:rPr>
            </w:pPr>
            <w:r>
              <w:rPr>
                <w:rFonts w:ascii="宋体" w:hAnsi="宋体" w:cs="宋体"/>
                <w:kern w:val="0"/>
                <w:szCs w:val="21"/>
                <w:lang w:bidi="ar"/>
              </w:rPr>
              <w:t>数量</w:t>
            </w:r>
          </w:p>
        </w:tc>
        <w:tc>
          <w:tcPr>
            <w:tcW w:w="570" w:type="dxa"/>
            <w:vAlign w:val="center"/>
          </w:tcPr>
          <w:p w14:paraId="63B8944A">
            <w:pPr>
              <w:widowControl/>
              <w:wordWrap w:val="0"/>
              <w:jc w:val="center"/>
              <w:rPr>
                <w:rFonts w:ascii="宋体" w:hAnsi="宋体" w:cs="宋体"/>
                <w:kern w:val="0"/>
                <w:szCs w:val="21"/>
                <w:lang w:bidi="ar"/>
              </w:rPr>
            </w:pPr>
            <w:r>
              <w:rPr>
                <w:rFonts w:ascii="宋体" w:hAnsi="宋体" w:cs="宋体"/>
                <w:kern w:val="0"/>
                <w:szCs w:val="21"/>
                <w:lang w:bidi="ar"/>
              </w:rPr>
              <w:t>单位</w:t>
            </w:r>
          </w:p>
        </w:tc>
        <w:tc>
          <w:tcPr>
            <w:tcW w:w="1138" w:type="dxa"/>
            <w:vAlign w:val="center"/>
          </w:tcPr>
          <w:p w14:paraId="4304E99A">
            <w:pPr>
              <w:widowControl/>
              <w:wordWrap w:val="0"/>
              <w:jc w:val="center"/>
              <w:rPr>
                <w:rFonts w:ascii="宋体" w:hAnsi="宋体"/>
                <w:szCs w:val="21"/>
              </w:rPr>
            </w:pPr>
            <w:r>
              <w:rPr>
                <w:rFonts w:ascii="宋体" w:hAnsi="宋体" w:cs="宋体"/>
                <w:kern w:val="0"/>
                <w:szCs w:val="21"/>
                <w:lang w:bidi="ar"/>
              </w:rPr>
              <w:t>预算金额(元)</w:t>
            </w:r>
          </w:p>
        </w:tc>
        <w:tc>
          <w:tcPr>
            <w:tcW w:w="1145" w:type="dxa"/>
            <w:vAlign w:val="center"/>
          </w:tcPr>
          <w:p w14:paraId="3FC9E600">
            <w:pPr>
              <w:widowControl/>
              <w:wordWrap w:val="0"/>
              <w:jc w:val="center"/>
              <w:rPr>
                <w:rFonts w:ascii="宋体" w:hAnsi="宋体" w:cs="宋体"/>
                <w:kern w:val="0"/>
                <w:szCs w:val="21"/>
                <w:lang w:bidi="ar"/>
              </w:rPr>
            </w:pPr>
            <w:r>
              <w:rPr>
                <w:rFonts w:hint="eastAsia" w:ascii="宋体" w:hAnsi="宋体" w:cs="宋体"/>
                <w:kern w:val="0"/>
                <w:szCs w:val="21"/>
                <w:lang w:bidi="ar"/>
              </w:rPr>
              <w:t>最高限价（元）</w:t>
            </w:r>
          </w:p>
        </w:tc>
        <w:tc>
          <w:tcPr>
            <w:tcW w:w="2451" w:type="dxa"/>
            <w:vAlign w:val="center"/>
          </w:tcPr>
          <w:p w14:paraId="6258845E">
            <w:pPr>
              <w:widowControl/>
              <w:wordWrap w:val="0"/>
              <w:jc w:val="center"/>
              <w:rPr>
                <w:rFonts w:ascii="宋体" w:hAnsi="宋体"/>
                <w:szCs w:val="21"/>
              </w:rPr>
            </w:pPr>
            <w:r>
              <w:rPr>
                <w:rFonts w:ascii="宋体" w:hAnsi="宋体" w:cs="宋体"/>
                <w:kern w:val="0"/>
                <w:szCs w:val="21"/>
                <w:lang w:bidi="ar"/>
              </w:rPr>
              <w:t>简要规格描述</w:t>
            </w:r>
          </w:p>
        </w:tc>
        <w:tc>
          <w:tcPr>
            <w:tcW w:w="1663" w:type="dxa"/>
            <w:vAlign w:val="center"/>
          </w:tcPr>
          <w:p w14:paraId="0AB9B2E3">
            <w:pPr>
              <w:widowControl/>
              <w:wordWrap w:val="0"/>
              <w:jc w:val="center"/>
              <w:rPr>
                <w:rFonts w:ascii="宋体" w:hAnsi="宋体"/>
                <w:szCs w:val="21"/>
              </w:rPr>
            </w:pPr>
            <w:r>
              <w:rPr>
                <w:rFonts w:ascii="宋体" w:hAnsi="宋体" w:cs="宋体"/>
                <w:kern w:val="0"/>
                <w:szCs w:val="21"/>
                <w:lang w:bidi="ar"/>
              </w:rPr>
              <w:t>备注</w:t>
            </w:r>
          </w:p>
        </w:tc>
      </w:tr>
      <w:tr w14:paraId="261A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09" w:type="dxa"/>
            <w:vAlign w:val="center"/>
          </w:tcPr>
          <w:p w14:paraId="7491FD5A">
            <w:pPr>
              <w:spacing w:line="360" w:lineRule="auto"/>
              <w:jc w:val="center"/>
              <w:rPr>
                <w:rFonts w:ascii="宋体" w:hAnsi="宋体"/>
                <w:szCs w:val="21"/>
              </w:rPr>
            </w:pPr>
            <w:r>
              <w:rPr>
                <w:rFonts w:hint="eastAsia" w:ascii="宋体" w:hAnsi="宋体"/>
                <w:szCs w:val="21"/>
              </w:rPr>
              <w:t>1</w:t>
            </w:r>
          </w:p>
        </w:tc>
        <w:tc>
          <w:tcPr>
            <w:tcW w:w="1796" w:type="dxa"/>
            <w:vAlign w:val="center"/>
          </w:tcPr>
          <w:p w14:paraId="415D75AA">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台州市仙居县浙南山地生态系统综合治理及生物多样性保护项目（淡竹乡）标一</w:t>
            </w:r>
          </w:p>
        </w:tc>
        <w:tc>
          <w:tcPr>
            <w:tcW w:w="480" w:type="dxa"/>
            <w:vAlign w:val="center"/>
          </w:tcPr>
          <w:p w14:paraId="4E27B563">
            <w:pPr>
              <w:spacing w:line="360" w:lineRule="auto"/>
              <w:jc w:val="center"/>
              <w:rPr>
                <w:rFonts w:hAnsi="宋体"/>
                <w:szCs w:val="21"/>
              </w:rPr>
            </w:pPr>
            <w:r>
              <w:rPr>
                <w:rFonts w:hint="eastAsia" w:hAnsi="宋体"/>
                <w:szCs w:val="21"/>
              </w:rPr>
              <w:t>1</w:t>
            </w:r>
          </w:p>
        </w:tc>
        <w:tc>
          <w:tcPr>
            <w:tcW w:w="570" w:type="dxa"/>
            <w:vAlign w:val="center"/>
          </w:tcPr>
          <w:p w14:paraId="4937B751">
            <w:pPr>
              <w:spacing w:line="360" w:lineRule="auto"/>
              <w:jc w:val="center"/>
              <w:rPr>
                <w:rFonts w:ascii="宋体" w:hAnsi="宋体"/>
                <w:szCs w:val="21"/>
              </w:rPr>
            </w:pPr>
            <w:r>
              <w:rPr>
                <w:rFonts w:hint="eastAsia" w:ascii="宋体" w:hAnsi="宋体"/>
                <w:szCs w:val="21"/>
              </w:rPr>
              <w:t>项</w:t>
            </w:r>
          </w:p>
        </w:tc>
        <w:tc>
          <w:tcPr>
            <w:tcW w:w="1138" w:type="dxa"/>
            <w:vAlign w:val="center"/>
          </w:tcPr>
          <w:p w14:paraId="1A852C13">
            <w:pPr>
              <w:tabs>
                <w:tab w:val="left" w:pos="8280"/>
              </w:tabs>
              <w:autoSpaceDE w:val="0"/>
              <w:autoSpaceDN w:val="0"/>
              <w:adjustRightInd w:val="0"/>
              <w:spacing w:line="360" w:lineRule="auto"/>
              <w:ind w:right="25"/>
              <w:jc w:val="center"/>
              <w:rPr>
                <w:rFonts w:hint="default" w:ascii="宋体" w:hAnsi="宋体" w:eastAsia="宋体"/>
                <w:szCs w:val="21"/>
                <w:lang w:val="en-US" w:eastAsia="zh-CN"/>
              </w:rPr>
            </w:pPr>
            <w:r>
              <w:rPr>
                <w:rFonts w:hint="eastAsia" w:ascii="宋体" w:hAnsi="宋体"/>
                <w:szCs w:val="21"/>
                <w:lang w:val="en-US" w:eastAsia="zh-CN"/>
              </w:rPr>
              <w:t>478931</w:t>
            </w:r>
          </w:p>
        </w:tc>
        <w:tc>
          <w:tcPr>
            <w:tcW w:w="1145" w:type="dxa"/>
            <w:vAlign w:val="center"/>
          </w:tcPr>
          <w:p w14:paraId="25D58B21">
            <w:pPr>
              <w:widowControl/>
              <w:spacing w:line="360" w:lineRule="auto"/>
              <w:jc w:val="center"/>
              <w:textAlignment w:val="center"/>
              <w:rPr>
                <w:rFonts w:hint="default" w:ascii="宋体" w:hAnsi="宋体" w:eastAsia="宋体"/>
                <w:szCs w:val="21"/>
                <w:lang w:val="en-US" w:eastAsia="zh-CN"/>
              </w:rPr>
            </w:pPr>
            <w:r>
              <w:rPr>
                <w:rFonts w:hint="eastAsia" w:ascii="宋体" w:hAnsi="宋体"/>
                <w:szCs w:val="21"/>
                <w:lang w:val="en-US" w:eastAsia="zh-CN"/>
              </w:rPr>
              <w:t>416670</w:t>
            </w:r>
          </w:p>
        </w:tc>
        <w:tc>
          <w:tcPr>
            <w:tcW w:w="2451" w:type="dxa"/>
            <w:vAlign w:val="center"/>
          </w:tcPr>
          <w:p w14:paraId="38705CFC">
            <w:pPr>
              <w:pStyle w:val="15"/>
              <w:spacing w:beforeLines="0" w:afterLines="0" w:line="360" w:lineRule="auto"/>
              <w:jc w:val="center"/>
              <w:rPr>
                <w:rFonts w:hAnsi="宋体"/>
                <w:sz w:val="21"/>
                <w:szCs w:val="21"/>
              </w:rPr>
            </w:pPr>
            <w:r>
              <w:rPr>
                <w:rFonts w:hint="eastAsia" w:ascii="宋体" w:hAnsi="宋体" w:cs="宋体"/>
                <w:color w:val="000000"/>
                <w:sz w:val="21"/>
                <w:szCs w:val="21"/>
                <w:lang w:val="en-US" w:eastAsia="zh-CN"/>
              </w:rPr>
              <w:t>建设面积707亩，建设范围</w:t>
            </w:r>
            <w:r>
              <w:rPr>
                <w:rFonts w:hint="eastAsia" w:hAnsi="宋体" w:cs="宋体"/>
                <w:color w:val="000000"/>
                <w:sz w:val="21"/>
                <w:szCs w:val="21"/>
                <w:lang w:val="en-US" w:eastAsia="zh-CN"/>
              </w:rPr>
              <w:t>涉及下叶村。详</w:t>
            </w:r>
            <w:r>
              <w:rPr>
                <w:rFonts w:hint="eastAsia" w:ascii="宋体" w:hAnsi="宋体" w:cs="宋体"/>
                <w:color w:val="000000"/>
                <w:sz w:val="21"/>
                <w:szCs w:val="21"/>
                <w:lang w:val="en-US" w:eastAsia="zh-CN"/>
              </w:rPr>
              <w:t>见本采购文件第6页。</w:t>
            </w:r>
          </w:p>
        </w:tc>
        <w:tc>
          <w:tcPr>
            <w:tcW w:w="1663" w:type="dxa"/>
            <w:vAlign w:val="center"/>
          </w:tcPr>
          <w:p w14:paraId="5AFD351F">
            <w:pPr>
              <w:jc w:val="left"/>
              <w:rPr>
                <w:rFonts w:hint="default" w:ascii="宋体" w:hAnsi="宋体" w:eastAsia="宋体" w:cs="宋体"/>
                <w:color w:val="000000"/>
                <w:sz w:val="24"/>
                <w:lang w:val="en-US" w:eastAsia="zh-CN"/>
              </w:rPr>
            </w:pPr>
            <w:r>
              <w:rPr>
                <w:rFonts w:hint="eastAsia" w:ascii="宋体" w:hAnsi="宋体" w:eastAsia="宋体" w:cs="宋体"/>
                <w:color w:val="000000"/>
                <w:kern w:val="2"/>
                <w:sz w:val="21"/>
                <w:szCs w:val="21"/>
                <w:lang w:val="en-US" w:eastAsia="zh-CN" w:bidi="ar-SA"/>
              </w:rPr>
              <w:t>修复苗木种类：榉树、红豆树、赤皮青冈、枫香</w:t>
            </w:r>
            <w:r>
              <w:rPr>
                <w:rFonts w:hint="eastAsia" w:ascii="宋体" w:hAnsi="宋体" w:cs="宋体"/>
                <w:color w:val="000000"/>
                <w:kern w:val="2"/>
                <w:sz w:val="21"/>
                <w:szCs w:val="21"/>
                <w:lang w:val="en-US" w:eastAsia="zh-CN" w:bidi="ar-SA"/>
              </w:rPr>
              <w:t>等共计16640株。</w:t>
            </w:r>
          </w:p>
        </w:tc>
      </w:tr>
      <w:tr w14:paraId="6859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09" w:type="dxa"/>
            <w:vAlign w:val="center"/>
          </w:tcPr>
          <w:p w14:paraId="3B92A9D7">
            <w:pPr>
              <w:spacing w:line="360" w:lineRule="auto"/>
              <w:jc w:val="center"/>
              <w:rPr>
                <w:rFonts w:hint="eastAsia" w:ascii="宋体" w:hAnsi="宋体" w:eastAsia="宋体"/>
                <w:szCs w:val="21"/>
                <w:lang w:val="en-US" w:eastAsia="zh-CN"/>
              </w:rPr>
            </w:pPr>
            <w:r>
              <w:rPr>
                <w:rFonts w:hint="eastAsia" w:ascii="宋体" w:hAnsi="宋体"/>
                <w:szCs w:val="21"/>
                <w:lang w:val="en-US" w:eastAsia="zh-CN"/>
              </w:rPr>
              <w:t>2</w:t>
            </w:r>
          </w:p>
        </w:tc>
        <w:tc>
          <w:tcPr>
            <w:tcW w:w="1796" w:type="dxa"/>
            <w:vAlign w:val="center"/>
          </w:tcPr>
          <w:p w14:paraId="4506347C">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台州市仙居县浙南山地生态系统综合治理及生物多样性保护项目（淡竹乡）标二</w:t>
            </w:r>
          </w:p>
        </w:tc>
        <w:tc>
          <w:tcPr>
            <w:tcW w:w="480" w:type="dxa"/>
            <w:vAlign w:val="center"/>
          </w:tcPr>
          <w:p w14:paraId="0934463C">
            <w:pPr>
              <w:spacing w:line="360" w:lineRule="auto"/>
              <w:jc w:val="center"/>
              <w:rPr>
                <w:rFonts w:hint="eastAsia" w:hAnsi="宋体" w:eastAsia="宋体"/>
                <w:szCs w:val="21"/>
                <w:lang w:val="en-US" w:eastAsia="zh-CN"/>
              </w:rPr>
            </w:pPr>
            <w:r>
              <w:rPr>
                <w:rFonts w:hint="eastAsia" w:hAnsi="宋体"/>
                <w:szCs w:val="21"/>
                <w:lang w:val="en-US" w:eastAsia="zh-CN"/>
              </w:rPr>
              <w:t>1</w:t>
            </w:r>
          </w:p>
        </w:tc>
        <w:tc>
          <w:tcPr>
            <w:tcW w:w="570" w:type="dxa"/>
            <w:vAlign w:val="center"/>
          </w:tcPr>
          <w:p w14:paraId="0F2A7C01">
            <w:pPr>
              <w:spacing w:line="360" w:lineRule="auto"/>
              <w:jc w:val="center"/>
              <w:rPr>
                <w:rFonts w:hint="default" w:ascii="宋体" w:hAnsi="宋体" w:eastAsia="宋体"/>
                <w:szCs w:val="21"/>
                <w:lang w:val="en-US" w:eastAsia="zh-CN"/>
              </w:rPr>
            </w:pPr>
            <w:r>
              <w:rPr>
                <w:rFonts w:hint="eastAsia" w:ascii="宋体" w:hAnsi="宋体"/>
                <w:szCs w:val="21"/>
                <w:lang w:val="en-US" w:eastAsia="zh-CN"/>
              </w:rPr>
              <w:t>项</w:t>
            </w:r>
          </w:p>
        </w:tc>
        <w:tc>
          <w:tcPr>
            <w:tcW w:w="1138" w:type="dxa"/>
            <w:vAlign w:val="center"/>
          </w:tcPr>
          <w:p w14:paraId="43769EF6">
            <w:pPr>
              <w:tabs>
                <w:tab w:val="left" w:pos="8280"/>
              </w:tabs>
              <w:autoSpaceDE w:val="0"/>
              <w:autoSpaceDN w:val="0"/>
              <w:adjustRightInd w:val="0"/>
              <w:spacing w:line="360" w:lineRule="auto"/>
              <w:ind w:right="25"/>
              <w:jc w:val="center"/>
              <w:rPr>
                <w:rFonts w:hint="default" w:ascii="宋体" w:hAnsi="宋体" w:eastAsia="宋体" w:cs="宋体"/>
                <w:szCs w:val="21"/>
                <w:lang w:val="en-US" w:eastAsia="zh-CN"/>
              </w:rPr>
            </w:pPr>
            <w:r>
              <w:rPr>
                <w:rFonts w:hint="eastAsia" w:ascii="宋体" w:hAnsi="宋体" w:cs="宋体"/>
                <w:szCs w:val="21"/>
                <w:lang w:val="en-US" w:eastAsia="zh-CN"/>
              </w:rPr>
              <w:t>1916411</w:t>
            </w:r>
          </w:p>
        </w:tc>
        <w:tc>
          <w:tcPr>
            <w:tcW w:w="1145" w:type="dxa"/>
            <w:vAlign w:val="center"/>
          </w:tcPr>
          <w:p w14:paraId="0DF16077">
            <w:pPr>
              <w:widowControl/>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1667278</w:t>
            </w:r>
          </w:p>
        </w:tc>
        <w:tc>
          <w:tcPr>
            <w:tcW w:w="2451" w:type="dxa"/>
            <w:vAlign w:val="center"/>
          </w:tcPr>
          <w:p w14:paraId="03FBCD5A">
            <w:pPr>
              <w:pStyle w:val="15"/>
              <w:spacing w:beforeLines="0" w:afterLines="0" w:line="360" w:lineRule="auto"/>
              <w:jc w:val="center"/>
              <w:rPr>
                <w:rFonts w:hint="eastAsia" w:hAnsi="宋体"/>
                <w:sz w:val="21"/>
                <w:szCs w:val="21"/>
              </w:rPr>
            </w:pPr>
            <w:r>
              <w:rPr>
                <w:rFonts w:hint="eastAsia" w:ascii="宋体" w:hAnsi="宋体" w:cs="宋体"/>
                <w:color w:val="000000"/>
                <w:sz w:val="21"/>
                <w:szCs w:val="21"/>
                <w:lang w:val="en-US" w:eastAsia="zh-CN"/>
              </w:rPr>
              <w:t>建设面积2322亩，建设范围</w:t>
            </w:r>
            <w:r>
              <w:rPr>
                <w:rFonts w:hint="eastAsia" w:hAnsi="宋体" w:cs="宋体"/>
                <w:color w:val="000000"/>
                <w:sz w:val="21"/>
                <w:szCs w:val="21"/>
                <w:lang w:val="en-US" w:eastAsia="zh-CN"/>
              </w:rPr>
              <w:t>涉及大源村、尚仁村、下叶村。详</w:t>
            </w:r>
            <w:r>
              <w:rPr>
                <w:rFonts w:hint="eastAsia" w:ascii="宋体" w:hAnsi="宋体" w:cs="宋体"/>
                <w:color w:val="000000"/>
                <w:sz w:val="21"/>
                <w:szCs w:val="21"/>
                <w:lang w:val="en-US" w:eastAsia="zh-CN"/>
              </w:rPr>
              <w:t>见本采购文件第7-10页。</w:t>
            </w:r>
          </w:p>
        </w:tc>
        <w:tc>
          <w:tcPr>
            <w:tcW w:w="1663" w:type="dxa"/>
            <w:vAlign w:val="center"/>
          </w:tcPr>
          <w:p w14:paraId="24065FF7">
            <w:pPr>
              <w:jc w:val="left"/>
              <w:rPr>
                <w:rFonts w:hint="default" w:ascii="宋体" w:hAnsi="宋体" w:cs="宋体"/>
                <w:color w:val="000000"/>
                <w:sz w:val="24"/>
                <w:lang w:val="en-US"/>
              </w:rPr>
            </w:pPr>
            <w:r>
              <w:rPr>
                <w:rFonts w:hint="eastAsia" w:ascii="宋体" w:hAnsi="宋体" w:cs="宋体"/>
                <w:color w:val="000000"/>
                <w:kern w:val="2"/>
                <w:sz w:val="21"/>
                <w:szCs w:val="21"/>
                <w:lang w:val="en-US" w:eastAsia="zh-CN" w:bidi="ar-SA"/>
              </w:rPr>
              <w:t>补植</w:t>
            </w:r>
            <w:r>
              <w:rPr>
                <w:rFonts w:hint="eastAsia" w:ascii="宋体" w:hAnsi="宋体" w:eastAsia="宋体" w:cs="宋体"/>
                <w:color w:val="000000"/>
                <w:kern w:val="2"/>
                <w:sz w:val="21"/>
                <w:szCs w:val="21"/>
                <w:lang w:val="en-US" w:eastAsia="zh-CN" w:bidi="ar-SA"/>
              </w:rPr>
              <w:t>苗木种类：</w:t>
            </w:r>
            <w:r>
              <w:rPr>
                <w:rFonts w:hint="eastAsia" w:ascii="宋体" w:hAnsi="宋体" w:cs="宋体"/>
                <w:color w:val="000000"/>
                <w:kern w:val="2"/>
                <w:sz w:val="21"/>
                <w:szCs w:val="21"/>
                <w:lang w:val="en-US" w:eastAsia="zh-CN" w:bidi="ar-SA"/>
              </w:rPr>
              <w:t>枫香、红豆树、榉树、青冈、枫香（省送苗）、山樱花（省送苗）等共计44685株。</w:t>
            </w:r>
          </w:p>
        </w:tc>
      </w:tr>
    </w:tbl>
    <w:p w14:paraId="59AA223C">
      <w:pPr>
        <w:widowControl/>
        <w:jc w:val="left"/>
        <w:rPr>
          <w:rFonts w:ascii="宋体" w:hAnsi="宋体" w:cs="宋体"/>
          <w:kern w:val="0"/>
          <w:szCs w:val="21"/>
        </w:rPr>
      </w:pPr>
    </w:p>
    <w:p w14:paraId="676655EF">
      <w:pPr>
        <w:widowControl/>
        <w:ind w:firstLine="420" w:firstLineChars="200"/>
        <w:jc w:val="left"/>
        <w:rPr>
          <w:rFonts w:ascii="宋体" w:hAnsi="宋体" w:cs="宋体"/>
        </w:rPr>
      </w:pPr>
      <w:r>
        <w:rPr>
          <w:rFonts w:hint="eastAsia" w:ascii="宋体" w:hAnsi="宋体" w:cs="宋体"/>
          <w:kern w:val="0"/>
          <w:szCs w:val="21"/>
        </w:rPr>
        <w:t>5.合同履行期限：</w:t>
      </w:r>
      <w:r>
        <w:rPr>
          <w:rFonts w:hint="eastAsia" w:ascii="宋体" w:hAnsi="宋体" w:cs="宋体"/>
          <w:kern w:val="0"/>
          <w:szCs w:val="21"/>
          <w:lang w:eastAsia="zh-CN"/>
        </w:rPr>
        <w:t>202</w:t>
      </w:r>
      <w:r>
        <w:rPr>
          <w:rFonts w:hint="eastAsia" w:ascii="宋体" w:hAnsi="宋体" w:cs="宋体"/>
          <w:kern w:val="0"/>
          <w:szCs w:val="21"/>
          <w:lang w:val="en-US" w:eastAsia="zh-CN"/>
        </w:rPr>
        <w:t>5</w:t>
      </w:r>
      <w:r>
        <w:rPr>
          <w:rFonts w:hint="eastAsia" w:ascii="宋体" w:hAnsi="宋体" w:cs="宋体"/>
          <w:kern w:val="0"/>
          <w:szCs w:val="21"/>
        </w:rPr>
        <w:t>年</w:t>
      </w:r>
      <w:r>
        <w:rPr>
          <w:rFonts w:hint="eastAsia" w:ascii="宋体" w:hAnsi="宋体" w:cs="宋体"/>
          <w:kern w:val="0"/>
          <w:szCs w:val="21"/>
          <w:lang w:val="en-US" w:eastAsia="zh-CN"/>
        </w:rPr>
        <w:t>4</w:t>
      </w:r>
      <w:r>
        <w:rPr>
          <w:rFonts w:hint="eastAsia" w:ascii="宋体" w:hAnsi="宋体" w:cs="宋体"/>
          <w:kern w:val="0"/>
          <w:szCs w:val="21"/>
        </w:rPr>
        <w:t>月3</w:t>
      </w:r>
      <w:r>
        <w:rPr>
          <w:rFonts w:hint="eastAsia" w:ascii="宋体" w:hAnsi="宋体" w:cs="宋体"/>
          <w:kern w:val="0"/>
          <w:szCs w:val="21"/>
          <w:lang w:val="en-US" w:eastAsia="zh-CN"/>
        </w:rPr>
        <w:t>0</w:t>
      </w:r>
      <w:r>
        <w:rPr>
          <w:rFonts w:hint="eastAsia" w:ascii="宋体" w:hAnsi="宋体" w:cs="宋体"/>
          <w:kern w:val="0"/>
          <w:szCs w:val="21"/>
        </w:rPr>
        <w:t>日前完成清理种植任务。</w:t>
      </w:r>
    </w:p>
    <w:p w14:paraId="364173DE">
      <w:pPr>
        <w:spacing w:line="360" w:lineRule="auto"/>
        <w:ind w:firstLine="420" w:firstLineChars="200"/>
        <w:rPr>
          <w:rFonts w:cs="宋体"/>
          <w:b/>
          <w:szCs w:val="21"/>
          <w:lang w:bidi="ar"/>
        </w:rPr>
      </w:pPr>
      <w:r>
        <w:rPr>
          <w:rFonts w:hint="eastAsia" w:ascii="宋体" w:hAnsi="宋体" w:cs="宋体"/>
          <w:kern w:val="0"/>
          <w:szCs w:val="21"/>
        </w:rPr>
        <w:t>6.本项目（否）接受联合体投标。</w:t>
      </w:r>
    </w:p>
    <w:p w14:paraId="67E2241C">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cs="宋体"/>
          <w:b/>
          <w:kern w:val="2"/>
          <w:sz w:val="21"/>
          <w:szCs w:val="21"/>
          <w:lang w:bidi="ar"/>
        </w:rPr>
        <w:t>申请人的资格要求：</w:t>
      </w:r>
    </w:p>
    <w:p w14:paraId="1C78CE37">
      <w:pPr>
        <w:spacing w:line="360" w:lineRule="auto"/>
        <w:ind w:firstLine="420" w:firstLineChars="200"/>
        <w:rPr>
          <w:rFonts w:ascii="宋体" w:hAnsi="宋体" w:cs="宋体"/>
          <w:kern w:val="0"/>
          <w:szCs w:val="21"/>
        </w:rPr>
      </w:pPr>
      <w:r>
        <w:rPr>
          <w:rFonts w:hint="eastAsia" w:ascii="宋体" w:hAnsi="宋体" w:cs="宋体"/>
          <w:kern w:val="0"/>
          <w:szCs w:val="21"/>
        </w:rPr>
        <w:t>1.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宋体" w:hAnsi="宋体" w:cs="宋体"/>
          <w:szCs w:val="21"/>
        </w:rPr>
        <w:t>。</w:t>
      </w:r>
    </w:p>
    <w:p w14:paraId="27716EC4">
      <w:pPr>
        <w:spacing w:line="360" w:lineRule="auto"/>
        <w:ind w:firstLine="420" w:firstLineChars="200"/>
        <w:rPr>
          <w:rFonts w:ascii="宋体" w:hAnsi="宋体" w:cs="宋体"/>
          <w:kern w:val="0"/>
          <w:szCs w:val="21"/>
        </w:rPr>
      </w:pPr>
      <w:r>
        <w:rPr>
          <w:rFonts w:hint="eastAsia" w:ascii="宋体" w:hAnsi="宋体" w:cs="宋体"/>
          <w:kern w:val="0"/>
          <w:szCs w:val="21"/>
        </w:rPr>
        <w:t>2.落实政府采购政策需满足的资格要求：</w:t>
      </w:r>
      <w:r>
        <w:rPr>
          <w:rFonts w:hint="eastAsia" w:ascii="宋体" w:hAnsi="宋体" w:cs="宋体"/>
          <w:b/>
          <w:bCs/>
          <w:kern w:val="0"/>
          <w:szCs w:val="21"/>
        </w:rPr>
        <w:t>本项目供应商须为中小企业/小微企业或监狱企业或残疾人福利性单位。</w:t>
      </w:r>
    </w:p>
    <w:p w14:paraId="00B34CA9">
      <w:pPr>
        <w:spacing w:line="360" w:lineRule="auto"/>
        <w:ind w:firstLine="420" w:firstLineChars="200"/>
        <w:rPr>
          <w:rFonts w:hint="eastAsia" w:ascii="宋体" w:hAnsi="宋体" w:eastAsia="宋体" w:cs="宋体"/>
          <w:szCs w:val="21"/>
          <w:lang w:val="en-US" w:eastAsia="zh-CN"/>
        </w:rPr>
      </w:pPr>
      <w:r>
        <w:rPr>
          <w:rFonts w:hint="eastAsia" w:ascii="宋体" w:hAnsi="宋体" w:cs="宋体"/>
          <w:szCs w:val="21"/>
        </w:rPr>
        <w:t>3.本项目的特定资格要求：</w:t>
      </w:r>
      <w:r>
        <w:rPr>
          <w:rFonts w:hint="eastAsia" w:ascii="宋体" w:hAnsi="宋体" w:cs="宋体"/>
          <w:szCs w:val="21"/>
          <w:lang w:val="en-US" w:eastAsia="zh-CN"/>
        </w:rPr>
        <w:t>/</w:t>
      </w:r>
    </w:p>
    <w:p w14:paraId="5F5DD33D">
      <w:pPr>
        <w:pStyle w:val="30"/>
        <w:widowControl w:val="0"/>
        <w:numPr>
          <w:ilvl w:val="0"/>
          <w:numId w:val="1"/>
        </w:numPr>
        <w:spacing w:before="0" w:beforeAutospacing="0" w:after="0" w:afterAutospacing="0" w:line="360" w:lineRule="auto"/>
        <w:ind w:left="0" w:firstLine="420"/>
        <w:jc w:val="both"/>
        <w:rPr>
          <w:rFonts w:cs="宋体"/>
          <w:b/>
          <w:color w:val="0000FF"/>
          <w:kern w:val="2"/>
          <w:sz w:val="21"/>
          <w:szCs w:val="21"/>
          <w:lang w:bidi="ar"/>
        </w:rPr>
      </w:pPr>
      <w:r>
        <w:rPr>
          <w:rFonts w:cs="宋体"/>
          <w:b/>
          <w:color w:val="auto"/>
          <w:kern w:val="2"/>
          <w:sz w:val="21"/>
          <w:szCs w:val="21"/>
          <w:lang w:bidi="ar"/>
        </w:rPr>
        <w:t>获取（下载）采购文件</w:t>
      </w:r>
    </w:p>
    <w:p w14:paraId="4C8EC04D">
      <w:pPr>
        <w:spacing w:line="360" w:lineRule="auto"/>
        <w:ind w:firstLine="420" w:firstLineChars="200"/>
        <w:rPr>
          <w:rFonts w:ascii="宋体" w:hAnsi="宋体" w:cs="宋体"/>
          <w:kern w:val="0"/>
          <w:szCs w:val="21"/>
        </w:rPr>
      </w:pPr>
      <w:r>
        <w:rPr>
          <w:rFonts w:hint="eastAsia" w:ascii="宋体" w:hAnsi="宋体" w:cs="宋体"/>
          <w:kern w:val="0"/>
          <w:szCs w:val="21"/>
        </w:rPr>
        <w:t>1.时间：</w:t>
      </w:r>
      <w:r>
        <w:rPr>
          <w:rFonts w:hint="eastAsia" w:ascii="宋体" w:hAnsi="宋体" w:cs="宋体"/>
          <w:kern w:val="0"/>
          <w:szCs w:val="21"/>
          <w:u w:val="single"/>
        </w:rPr>
        <w:t>/ 至</w:t>
      </w:r>
      <w:r>
        <w:rPr>
          <w:rFonts w:hint="eastAsia" w:ascii="宋体" w:hAnsi="宋体" w:cs="宋体"/>
          <w:color w:val="0000FF"/>
          <w:kern w:val="0"/>
          <w:szCs w:val="21"/>
          <w:u w:val="single"/>
          <w:lang w:eastAsia="zh-CN"/>
        </w:rPr>
        <w:t>202</w:t>
      </w:r>
      <w:r>
        <w:rPr>
          <w:rFonts w:hint="eastAsia" w:ascii="宋体" w:hAnsi="宋体" w:cs="宋体"/>
          <w:color w:val="0000FF"/>
          <w:kern w:val="0"/>
          <w:szCs w:val="21"/>
          <w:u w:val="single"/>
          <w:lang w:val="en-US" w:eastAsia="zh-CN"/>
        </w:rPr>
        <w:t>5</w:t>
      </w:r>
      <w:r>
        <w:rPr>
          <w:rFonts w:hint="eastAsia" w:ascii="宋体" w:hAnsi="宋体" w:cs="宋体"/>
          <w:color w:val="0000FF"/>
          <w:kern w:val="0"/>
          <w:szCs w:val="21"/>
          <w:u w:val="single"/>
        </w:rPr>
        <w:t>年</w:t>
      </w:r>
      <w:r>
        <w:rPr>
          <w:rFonts w:hint="eastAsia" w:ascii="宋体" w:hAnsi="宋体" w:cs="宋体"/>
          <w:color w:val="0000FF"/>
          <w:kern w:val="0"/>
          <w:szCs w:val="21"/>
          <w:u w:val="single"/>
          <w:lang w:val="en-US" w:eastAsia="zh-CN"/>
        </w:rPr>
        <w:t xml:space="preserve"> 01  </w:t>
      </w:r>
      <w:r>
        <w:rPr>
          <w:rFonts w:hint="eastAsia" w:ascii="宋体" w:hAnsi="宋体" w:cs="宋体"/>
          <w:color w:val="0000FF"/>
          <w:kern w:val="0"/>
          <w:szCs w:val="21"/>
          <w:u w:val="single"/>
        </w:rPr>
        <w:t>月</w:t>
      </w:r>
      <w:r>
        <w:rPr>
          <w:rFonts w:hint="eastAsia" w:ascii="宋体" w:hAnsi="宋体" w:cs="宋体"/>
          <w:color w:val="0000FF"/>
          <w:kern w:val="0"/>
          <w:szCs w:val="21"/>
          <w:u w:val="single"/>
          <w:lang w:val="en-US" w:eastAsia="zh-CN"/>
        </w:rPr>
        <w:t xml:space="preserve"> 06  </w:t>
      </w:r>
      <w:r>
        <w:rPr>
          <w:rFonts w:hint="eastAsia" w:ascii="宋体" w:hAnsi="宋体" w:cs="宋体"/>
          <w:color w:val="0000FF"/>
          <w:kern w:val="0"/>
          <w:szCs w:val="21"/>
          <w:u w:val="single"/>
        </w:rPr>
        <w:t>日</w:t>
      </w:r>
      <w:r>
        <w:rPr>
          <w:rFonts w:hint="eastAsia" w:ascii="宋体" w:hAnsi="宋体" w:cs="宋体"/>
          <w:kern w:val="0"/>
          <w:szCs w:val="21"/>
          <w:u w:val="single"/>
        </w:rPr>
        <w:t xml:space="preserve"> </w:t>
      </w:r>
      <w:r>
        <w:rPr>
          <w:rFonts w:hint="eastAsia" w:ascii="宋体" w:hAnsi="宋体" w:cs="宋体"/>
          <w:kern w:val="0"/>
          <w:szCs w:val="21"/>
        </w:rPr>
        <w:t>，每天上午</w:t>
      </w:r>
      <w:r>
        <w:rPr>
          <w:rFonts w:hint="eastAsia" w:ascii="宋体" w:hAnsi="宋体" w:cs="宋体"/>
          <w:kern w:val="0"/>
          <w:szCs w:val="21"/>
          <w:u w:val="single"/>
        </w:rPr>
        <w:t>00:00至12:00</w:t>
      </w:r>
      <w:r>
        <w:rPr>
          <w:rFonts w:hint="eastAsia" w:ascii="宋体" w:hAnsi="宋体" w:cs="宋体"/>
          <w:kern w:val="0"/>
          <w:szCs w:val="21"/>
        </w:rPr>
        <w:t>，下午</w:t>
      </w:r>
      <w:r>
        <w:rPr>
          <w:rFonts w:hint="eastAsia" w:ascii="宋体" w:hAnsi="宋体" w:cs="宋体"/>
          <w:kern w:val="0"/>
          <w:szCs w:val="21"/>
          <w:u w:val="single"/>
        </w:rPr>
        <w:t>12:00至23:59</w:t>
      </w:r>
      <w:r>
        <w:rPr>
          <w:rFonts w:hint="eastAsia" w:ascii="宋体" w:hAnsi="宋体" w:cs="宋体"/>
          <w:kern w:val="0"/>
          <w:szCs w:val="21"/>
        </w:rPr>
        <w:t>（北京时间，线上获取法定节假日均可，线下获取文件法定节假日除外）</w:t>
      </w:r>
    </w:p>
    <w:p w14:paraId="4F830616">
      <w:pPr>
        <w:spacing w:line="360" w:lineRule="auto"/>
        <w:ind w:firstLine="420" w:firstLineChars="200"/>
        <w:rPr>
          <w:rFonts w:ascii="宋体" w:hAnsi="宋体" w:cs="宋体"/>
          <w:kern w:val="0"/>
          <w:szCs w:val="21"/>
        </w:rPr>
      </w:pPr>
      <w:r>
        <w:rPr>
          <w:rFonts w:hint="eastAsia" w:ascii="宋体" w:hAnsi="宋体" w:cs="宋体"/>
          <w:kern w:val="0"/>
          <w:szCs w:val="21"/>
        </w:rPr>
        <w:t>2.地点（网址）：浙江政府采购网（http://zfcg.czt.zj.gov.cn） </w:t>
      </w:r>
    </w:p>
    <w:p w14:paraId="470F29D8">
      <w:pPr>
        <w:spacing w:line="360" w:lineRule="auto"/>
        <w:ind w:firstLine="420" w:firstLineChars="200"/>
        <w:rPr>
          <w:rFonts w:ascii="宋体" w:hAnsi="宋体" w:cs="宋体"/>
          <w:kern w:val="0"/>
          <w:szCs w:val="21"/>
        </w:rPr>
      </w:pPr>
      <w:r>
        <w:rPr>
          <w:rFonts w:hint="eastAsia" w:ascii="宋体" w:hAnsi="宋体" w:cs="宋体"/>
          <w:kern w:val="0"/>
          <w:szCs w:val="21"/>
        </w:rPr>
        <w:t>3.方式：实行网上获取，获取路径：浙江政府采购网—用户入驻/登录—用户登录—项目采购—获取采购文件管理（或者直接在公告下方选择“潜在供应商→获取采购文件”）。在浙江政府采购网采购公告附件中以“游客”身份（或仙居县人民政府 仙居县公共资源交易网）获取的采购文件仅供阅览，潜在供应商必须按已明确的“获取路径”获取采购文件，否则不得对采购文件提起质疑。</w:t>
      </w:r>
    </w:p>
    <w:p w14:paraId="16F6EC78">
      <w:pPr>
        <w:spacing w:line="360" w:lineRule="auto"/>
        <w:ind w:firstLine="420" w:firstLineChars="200"/>
        <w:rPr>
          <w:rFonts w:ascii="宋体" w:hAnsi="宋体" w:cs="宋体"/>
          <w:kern w:val="0"/>
          <w:szCs w:val="21"/>
        </w:rPr>
      </w:pPr>
      <w:r>
        <w:rPr>
          <w:rFonts w:hint="eastAsia" w:ascii="宋体" w:hAnsi="宋体" w:cs="宋体"/>
          <w:kern w:val="0"/>
          <w:szCs w:val="21"/>
        </w:rPr>
        <w:t>4.售价（元）：0 </w:t>
      </w:r>
    </w:p>
    <w:p w14:paraId="1D356DAE">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cs="宋体"/>
          <w:b/>
          <w:kern w:val="2"/>
          <w:sz w:val="21"/>
          <w:szCs w:val="21"/>
          <w:lang w:bidi="ar"/>
        </w:rPr>
        <w:t>响应文件提交（上传）</w:t>
      </w:r>
    </w:p>
    <w:p w14:paraId="46CA9111">
      <w:pPr>
        <w:pStyle w:val="30"/>
        <w:spacing w:before="0" w:beforeAutospacing="0" w:after="0" w:afterAutospacing="0" w:line="360" w:lineRule="auto"/>
        <w:ind w:firstLine="420" w:firstLineChars="200"/>
        <w:rPr>
          <w:sz w:val="21"/>
          <w:szCs w:val="21"/>
        </w:rPr>
      </w:pPr>
      <w:r>
        <w:rPr>
          <w:rFonts w:hint="eastAsia"/>
          <w:sz w:val="21"/>
          <w:szCs w:val="21"/>
        </w:rPr>
        <w:t>1.截止时间：</w:t>
      </w:r>
      <w:r>
        <w:rPr>
          <w:rFonts w:hint="eastAsia"/>
          <w:color w:val="0000FF"/>
          <w:sz w:val="21"/>
          <w:szCs w:val="21"/>
          <w:u w:val="single"/>
          <w:lang w:eastAsia="zh-CN"/>
        </w:rPr>
        <w:t>202</w:t>
      </w:r>
      <w:r>
        <w:rPr>
          <w:rFonts w:hint="eastAsia"/>
          <w:color w:val="0000FF"/>
          <w:sz w:val="21"/>
          <w:szCs w:val="21"/>
          <w:u w:val="single"/>
          <w:lang w:val="en-US" w:eastAsia="zh-CN"/>
        </w:rPr>
        <w:t>5</w:t>
      </w:r>
      <w:r>
        <w:rPr>
          <w:rFonts w:hint="eastAsia"/>
          <w:color w:val="0000FF"/>
          <w:sz w:val="21"/>
          <w:szCs w:val="21"/>
          <w:u w:val="single"/>
        </w:rPr>
        <w:t>年</w:t>
      </w:r>
      <w:r>
        <w:rPr>
          <w:rFonts w:hint="eastAsia"/>
          <w:color w:val="0000FF"/>
          <w:sz w:val="21"/>
          <w:szCs w:val="21"/>
          <w:u w:val="single"/>
          <w:lang w:val="en-US" w:eastAsia="zh-CN"/>
        </w:rPr>
        <w:t xml:space="preserve"> 01 </w:t>
      </w:r>
      <w:r>
        <w:rPr>
          <w:rFonts w:hint="eastAsia"/>
          <w:color w:val="0000FF"/>
          <w:sz w:val="21"/>
          <w:szCs w:val="21"/>
          <w:u w:val="single"/>
        </w:rPr>
        <w:t>月</w:t>
      </w:r>
      <w:r>
        <w:rPr>
          <w:rFonts w:hint="eastAsia"/>
          <w:color w:val="0000FF"/>
          <w:sz w:val="21"/>
          <w:szCs w:val="21"/>
          <w:u w:val="single"/>
          <w:lang w:val="en-US" w:eastAsia="zh-CN"/>
        </w:rPr>
        <w:t xml:space="preserve"> 07 </w:t>
      </w:r>
      <w:r>
        <w:rPr>
          <w:rFonts w:hint="eastAsia"/>
          <w:color w:val="0000FF"/>
          <w:sz w:val="21"/>
          <w:szCs w:val="21"/>
          <w:u w:val="single"/>
        </w:rPr>
        <w:t xml:space="preserve">日 </w:t>
      </w:r>
      <w:r>
        <w:rPr>
          <w:rFonts w:hint="eastAsia"/>
          <w:sz w:val="21"/>
          <w:szCs w:val="21"/>
          <w:u w:val="single"/>
        </w:rPr>
        <w:t>09:00 </w:t>
      </w:r>
      <w:r>
        <w:rPr>
          <w:rFonts w:hint="eastAsia"/>
          <w:sz w:val="21"/>
          <w:szCs w:val="21"/>
        </w:rPr>
        <w:t>（北京时间）</w:t>
      </w:r>
    </w:p>
    <w:p w14:paraId="70DD04FA">
      <w:pPr>
        <w:pStyle w:val="30"/>
        <w:spacing w:before="0" w:beforeAutospacing="0" w:after="0" w:afterAutospacing="0" w:line="360" w:lineRule="auto"/>
        <w:ind w:firstLine="420" w:firstLineChars="200"/>
        <w:rPr>
          <w:sz w:val="21"/>
          <w:szCs w:val="21"/>
        </w:rPr>
      </w:pPr>
      <w:r>
        <w:rPr>
          <w:rFonts w:hint="eastAsia"/>
          <w:sz w:val="21"/>
          <w:szCs w:val="21"/>
        </w:rPr>
        <w:t>2.地点（网址）：</w:t>
      </w:r>
    </w:p>
    <w:p w14:paraId="62DC2E1F">
      <w:pPr>
        <w:pStyle w:val="30"/>
        <w:spacing w:before="0" w:beforeAutospacing="0" w:after="0" w:afterAutospacing="0" w:line="360" w:lineRule="auto"/>
        <w:ind w:firstLine="420" w:firstLineChars="200"/>
        <w:rPr>
          <w:sz w:val="21"/>
          <w:szCs w:val="21"/>
          <w:u w:val="single"/>
        </w:rPr>
      </w:pPr>
      <w:r>
        <w:rPr>
          <w:rFonts w:hint="eastAsia"/>
          <w:sz w:val="21"/>
          <w:szCs w:val="21"/>
          <w:u w:val="single"/>
        </w:rPr>
        <w:t>（1）</w:t>
      </w:r>
      <w:r>
        <w:rPr>
          <w:sz w:val="21"/>
          <w:szCs w:val="21"/>
          <w:u w:val="single"/>
        </w:rPr>
        <w:t>电子</w:t>
      </w:r>
      <w:r>
        <w:rPr>
          <w:rFonts w:hint="eastAsia"/>
          <w:sz w:val="21"/>
          <w:szCs w:val="21"/>
          <w:u w:val="single"/>
        </w:rPr>
        <w:t>响应</w:t>
      </w:r>
      <w:r>
        <w:rPr>
          <w:sz w:val="21"/>
          <w:szCs w:val="21"/>
          <w:u w:val="single"/>
        </w:rPr>
        <w:t xml:space="preserve">文件：政府采购云平台在线递交。 </w:t>
      </w:r>
    </w:p>
    <w:p w14:paraId="10D7FECF">
      <w:pPr>
        <w:pStyle w:val="30"/>
        <w:spacing w:before="0" w:beforeAutospacing="0" w:after="0" w:afterAutospacing="0" w:line="360" w:lineRule="auto"/>
        <w:ind w:firstLine="420" w:firstLineChars="200"/>
        <w:rPr>
          <w:sz w:val="21"/>
          <w:szCs w:val="21"/>
        </w:rPr>
      </w:pPr>
      <w:r>
        <w:rPr>
          <w:rFonts w:hint="eastAsia"/>
          <w:sz w:val="21"/>
          <w:szCs w:val="21"/>
          <w:u w:val="single"/>
        </w:rPr>
        <w:t>（2）</w:t>
      </w:r>
      <w:r>
        <w:rPr>
          <w:sz w:val="21"/>
          <w:szCs w:val="21"/>
          <w:u w:val="single"/>
        </w:rPr>
        <w:t>备份电子</w:t>
      </w:r>
      <w:r>
        <w:rPr>
          <w:rFonts w:hint="eastAsia"/>
          <w:sz w:val="21"/>
          <w:szCs w:val="21"/>
          <w:u w:val="single"/>
        </w:rPr>
        <w:t>响应</w:t>
      </w:r>
      <w:r>
        <w:rPr>
          <w:sz w:val="21"/>
          <w:szCs w:val="21"/>
          <w:u w:val="single"/>
        </w:rPr>
        <w:t>文件：</w:t>
      </w:r>
      <w:r>
        <w:fldChar w:fldCharType="begin"/>
      </w:r>
      <w:r>
        <w:instrText xml:space="preserve"> HYPERLINK "mailto:供应商自行确定是否提交；若提交请将备份电子投标文件打包压缩加密（未加密造成泄密的由供应商自行承担）后以电子邮件的形式发送至272285461@qq.com" </w:instrText>
      </w:r>
      <w:r>
        <w:fldChar w:fldCharType="separate"/>
      </w:r>
      <w:r>
        <w:rPr>
          <w:rStyle w:val="35"/>
          <w:rFonts w:hint="eastAsia"/>
          <w:sz w:val="21"/>
          <w:szCs w:val="21"/>
        </w:rPr>
        <w:t>供应商自行确定是否提交；若提交请将备份电子投标文件打包压缩加密（未加密造成泄密的由供应商自行承担）后以电子邮件的形式发送至</w:t>
      </w:r>
      <w:r>
        <w:rPr>
          <w:rStyle w:val="35"/>
          <w:rFonts w:hint="eastAsia"/>
          <w:sz w:val="21"/>
          <w:szCs w:val="21"/>
          <w:lang w:eastAsia="zh-CN"/>
        </w:rPr>
        <w:t>2831419607</w:t>
      </w:r>
      <w:r>
        <w:rPr>
          <w:rStyle w:val="35"/>
          <w:rFonts w:hint="eastAsia"/>
          <w:sz w:val="21"/>
          <w:szCs w:val="21"/>
        </w:rPr>
        <w:t>@qq.com</w:t>
      </w:r>
      <w:r>
        <w:rPr>
          <w:rStyle w:val="35"/>
          <w:rFonts w:hint="eastAsia"/>
          <w:sz w:val="21"/>
          <w:szCs w:val="21"/>
        </w:rPr>
        <w:fldChar w:fldCharType="end"/>
      </w:r>
      <w:r>
        <w:rPr>
          <w:rFonts w:hint="eastAsia"/>
          <w:sz w:val="21"/>
          <w:szCs w:val="21"/>
          <w:u w:val="single"/>
        </w:rPr>
        <w:t xml:space="preserve"> </w:t>
      </w:r>
    </w:p>
    <w:p w14:paraId="4EA83AEB">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cs="宋体"/>
          <w:b/>
          <w:kern w:val="2"/>
          <w:sz w:val="21"/>
          <w:szCs w:val="21"/>
          <w:lang w:bidi="ar"/>
        </w:rPr>
        <w:t>响应文件开启</w:t>
      </w:r>
    </w:p>
    <w:p w14:paraId="5F183A78">
      <w:pPr>
        <w:pStyle w:val="30"/>
        <w:spacing w:before="0" w:beforeAutospacing="0" w:after="0" w:afterAutospacing="0" w:line="360" w:lineRule="auto"/>
        <w:ind w:firstLine="420" w:firstLineChars="200"/>
        <w:rPr>
          <w:sz w:val="21"/>
          <w:szCs w:val="21"/>
        </w:rPr>
      </w:pPr>
      <w:r>
        <w:rPr>
          <w:rFonts w:hint="eastAsia"/>
          <w:sz w:val="21"/>
          <w:szCs w:val="21"/>
        </w:rPr>
        <w:t>1.</w:t>
      </w:r>
      <w:r>
        <w:rPr>
          <w:sz w:val="21"/>
          <w:szCs w:val="21"/>
        </w:rPr>
        <w:t>开</w:t>
      </w:r>
      <w:r>
        <w:rPr>
          <w:rFonts w:hint="eastAsia"/>
          <w:sz w:val="21"/>
          <w:szCs w:val="21"/>
        </w:rPr>
        <w:t>启</w:t>
      </w:r>
      <w:r>
        <w:rPr>
          <w:sz w:val="21"/>
          <w:szCs w:val="21"/>
        </w:rPr>
        <w:t>时间：</w:t>
      </w:r>
      <w:r>
        <w:rPr>
          <w:rFonts w:hint="eastAsia"/>
          <w:color w:val="0000FF"/>
          <w:sz w:val="21"/>
          <w:szCs w:val="21"/>
          <w:u w:val="single"/>
          <w:lang w:eastAsia="zh-CN"/>
        </w:rPr>
        <w:t>202</w:t>
      </w:r>
      <w:r>
        <w:rPr>
          <w:rFonts w:hint="eastAsia"/>
          <w:color w:val="0000FF"/>
          <w:sz w:val="21"/>
          <w:szCs w:val="21"/>
          <w:u w:val="single"/>
          <w:lang w:val="en-US" w:eastAsia="zh-CN"/>
        </w:rPr>
        <w:t>5</w:t>
      </w:r>
      <w:r>
        <w:rPr>
          <w:rFonts w:hint="eastAsia"/>
          <w:color w:val="0000FF"/>
          <w:sz w:val="21"/>
          <w:szCs w:val="21"/>
          <w:u w:val="single"/>
        </w:rPr>
        <w:t>年</w:t>
      </w:r>
      <w:r>
        <w:rPr>
          <w:rFonts w:hint="eastAsia"/>
          <w:color w:val="0000FF"/>
          <w:sz w:val="21"/>
          <w:szCs w:val="21"/>
          <w:u w:val="single"/>
          <w:lang w:val="en-US" w:eastAsia="zh-CN"/>
        </w:rPr>
        <w:t xml:space="preserve"> 01 </w:t>
      </w:r>
      <w:r>
        <w:rPr>
          <w:rFonts w:hint="eastAsia"/>
          <w:color w:val="0000FF"/>
          <w:sz w:val="21"/>
          <w:szCs w:val="21"/>
          <w:u w:val="single"/>
        </w:rPr>
        <w:t>月</w:t>
      </w:r>
      <w:r>
        <w:rPr>
          <w:rFonts w:hint="eastAsia"/>
          <w:color w:val="0000FF"/>
          <w:sz w:val="21"/>
          <w:szCs w:val="21"/>
          <w:u w:val="single"/>
          <w:lang w:val="en-US" w:eastAsia="zh-CN"/>
        </w:rPr>
        <w:t xml:space="preserve"> 07 </w:t>
      </w:r>
      <w:r>
        <w:rPr>
          <w:rFonts w:hint="eastAsia"/>
          <w:color w:val="0000FF"/>
          <w:sz w:val="21"/>
          <w:szCs w:val="21"/>
          <w:u w:val="single"/>
        </w:rPr>
        <w:t xml:space="preserve">日 </w:t>
      </w:r>
      <w:r>
        <w:rPr>
          <w:rFonts w:hint="eastAsia"/>
          <w:sz w:val="21"/>
          <w:szCs w:val="21"/>
          <w:u w:val="single"/>
        </w:rPr>
        <w:t>09:00 </w:t>
      </w:r>
      <w:r>
        <w:rPr>
          <w:sz w:val="21"/>
          <w:szCs w:val="21"/>
          <w:u w:val="single"/>
        </w:rPr>
        <w:t> </w:t>
      </w:r>
    </w:p>
    <w:p w14:paraId="01926FBA">
      <w:pPr>
        <w:pStyle w:val="30"/>
        <w:spacing w:before="0" w:beforeAutospacing="0" w:after="0" w:afterAutospacing="0" w:line="360" w:lineRule="auto"/>
        <w:ind w:firstLine="420" w:firstLineChars="200"/>
        <w:rPr>
          <w:sz w:val="21"/>
          <w:szCs w:val="21"/>
        </w:rPr>
      </w:pPr>
      <w:r>
        <w:rPr>
          <w:rFonts w:hint="eastAsia"/>
          <w:sz w:val="21"/>
          <w:szCs w:val="21"/>
        </w:rPr>
        <w:t>2.</w:t>
      </w:r>
      <w:r>
        <w:rPr>
          <w:sz w:val="21"/>
          <w:szCs w:val="21"/>
        </w:rPr>
        <w:t>地点（网址）：</w:t>
      </w:r>
      <w:r>
        <w:rPr>
          <w:rFonts w:hint="eastAsia"/>
          <w:sz w:val="21"/>
          <w:szCs w:val="21"/>
          <w:u w:val="single"/>
        </w:rPr>
        <w:t>浙江广利工程</w:t>
      </w:r>
      <w:r>
        <w:rPr>
          <w:rFonts w:hint="eastAsia"/>
          <w:sz w:val="21"/>
          <w:szCs w:val="21"/>
          <w:u w:val="single"/>
          <w:lang w:eastAsia="zh-CN"/>
        </w:rPr>
        <w:t>咨询有限公司</w:t>
      </w:r>
      <w:r>
        <w:rPr>
          <w:rFonts w:hint="eastAsia"/>
          <w:sz w:val="21"/>
          <w:szCs w:val="21"/>
          <w:u w:val="single"/>
        </w:rPr>
        <w:t>仙居分公司（浙江省仙居县环城北路63号7楼）开标室。投标人无需在开标当天到达开标现场，但须准时在线（政府采购云平台）参加，直至项目磋商结束。</w:t>
      </w:r>
      <w:r>
        <w:rPr>
          <w:sz w:val="21"/>
          <w:szCs w:val="21"/>
          <w:u w:val="single"/>
        </w:rPr>
        <w:t> </w:t>
      </w:r>
    </w:p>
    <w:p w14:paraId="0A22D6FA">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cs="宋体"/>
          <w:b/>
          <w:kern w:val="2"/>
          <w:sz w:val="21"/>
          <w:szCs w:val="21"/>
          <w:lang w:bidi="ar"/>
        </w:rPr>
        <w:t>公告期限</w:t>
      </w:r>
    </w:p>
    <w:p w14:paraId="04F3F0B8">
      <w:pPr>
        <w:pStyle w:val="30"/>
        <w:spacing w:before="0" w:beforeAutospacing="0" w:after="0" w:afterAutospacing="0" w:line="360" w:lineRule="auto"/>
        <w:ind w:firstLine="420" w:firstLineChars="200"/>
        <w:rPr>
          <w:sz w:val="21"/>
          <w:szCs w:val="21"/>
        </w:rPr>
      </w:pPr>
      <w:r>
        <w:rPr>
          <w:rFonts w:hint="eastAsia"/>
          <w:sz w:val="21"/>
          <w:szCs w:val="21"/>
        </w:rPr>
        <w:t>自本公告发布之日起3个工作日。</w:t>
      </w:r>
    </w:p>
    <w:p w14:paraId="6FF985C1">
      <w:pPr>
        <w:pStyle w:val="30"/>
        <w:widowControl w:val="0"/>
        <w:numPr>
          <w:ilvl w:val="0"/>
          <w:numId w:val="1"/>
        </w:numPr>
        <w:spacing w:before="0" w:beforeAutospacing="0" w:after="0" w:afterAutospacing="0" w:line="360" w:lineRule="auto"/>
        <w:ind w:left="0" w:firstLine="420"/>
        <w:jc w:val="both"/>
        <w:rPr>
          <w:sz w:val="21"/>
          <w:szCs w:val="21"/>
        </w:rPr>
      </w:pPr>
      <w:r>
        <w:rPr>
          <w:rFonts w:cs="宋体"/>
          <w:b/>
          <w:kern w:val="2"/>
          <w:sz w:val="21"/>
          <w:szCs w:val="21"/>
          <w:lang w:bidi="ar"/>
        </w:rPr>
        <w:t>其他补充事宜</w:t>
      </w:r>
    </w:p>
    <w:p w14:paraId="52B98AB5">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452F04F">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D4B7E7F">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C3195B">
      <w:pPr>
        <w:spacing w:line="360" w:lineRule="auto"/>
        <w:ind w:firstLine="422" w:firstLineChars="200"/>
        <w:rPr>
          <w:rFonts w:ascii="宋体" w:hAnsi="宋体"/>
          <w:b/>
          <w:bCs/>
          <w:color w:val="000000"/>
          <w:kern w:val="0"/>
          <w:szCs w:val="21"/>
        </w:rPr>
      </w:pPr>
      <w:r>
        <w:rPr>
          <w:rFonts w:hint="eastAsia"/>
          <w:b/>
          <w:bCs/>
          <w:szCs w:val="21"/>
        </w:rPr>
        <w:t>4.其他事项</w:t>
      </w:r>
    </w:p>
    <w:p w14:paraId="73506290">
      <w:pPr>
        <w:spacing w:line="360" w:lineRule="auto"/>
        <w:ind w:firstLine="420" w:firstLineChars="200"/>
        <w:rPr>
          <w:rFonts w:ascii="宋体" w:hAnsi="宋体"/>
          <w:color w:val="000000"/>
          <w:kern w:val="0"/>
          <w:szCs w:val="21"/>
        </w:rPr>
      </w:pPr>
      <w:r>
        <w:rPr>
          <w:rFonts w:hint="eastAsia" w:ascii="宋体" w:hAnsi="宋体"/>
          <w:color w:val="000000"/>
          <w:kern w:val="0"/>
          <w:szCs w:val="21"/>
        </w:rPr>
        <w:t>（1）本项目不需要缴纳投标保证金。</w:t>
      </w:r>
    </w:p>
    <w:p w14:paraId="6B0FEB5F">
      <w:pPr>
        <w:spacing w:line="360" w:lineRule="auto"/>
        <w:ind w:firstLine="420" w:firstLineChars="200"/>
        <w:rPr>
          <w:rFonts w:ascii="宋体" w:hAnsi="宋体"/>
          <w:color w:val="000000"/>
          <w:kern w:val="0"/>
          <w:szCs w:val="21"/>
        </w:rPr>
      </w:pPr>
      <w:r>
        <w:rPr>
          <w:rFonts w:hint="eastAsia" w:ascii="宋体" w:hAnsi="宋体"/>
          <w:color w:val="000000"/>
          <w:kern w:val="0"/>
          <w:szCs w:val="21"/>
        </w:rPr>
        <w:t>（2）响应文件解密时间：向各供应商发出电子加密投标文件【开始解密】通知后60分钟内供应商可以登录“政府采购云平台”的“项目采购-开标评标”，用制作电子标书的CA锁对电子加密投标文件进行解密。若供应商在规定时间内投标文件无法解密，或解密失败且备份文件读取失败（含未提交），则投标无效；</w:t>
      </w:r>
    </w:p>
    <w:p w14:paraId="42B3BA3C">
      <w:pPr>
        <w:spacing w:line="360" w:lineRule="auto"/>
        <w:ind w:firstLine="420" w:firstLineChars="200"/>
        <w:rPr>
          <w:rFonts w:ascii="宋体" w:hAnsi="宋体"/>
          <w:color w:val="000000"/>
          <w:kern w:val="0"/>
          <w:szCs w:val="21"/>
        </w:rPr>
      </w:pPr>
      <w:r>
        <w:rPr>
          <w:rFonts w:hint="eastAsia" w:ascii="宋体" w:hAnsi="宋体"/>
          <w:color w:val="000000"/>
          <w:kern w:val="0"/>
          <w:szCs w:val="21"/>
        </w:rPr>
        <w:t>（3）成交供应商应在合同签订前完成政府采购云平台全部注册步骤并成为正式注册入库供应商，否则将导致合同款无法正常支付，责任由成交供应商承担。“浙江省政府采购供应商”注册事宜详见浙江省政府采购网官网介绍，客服、技术支持：400-881-7190。</w:t>
      </w:r>
    </w:p>
    <w:p w14:paraId="6520E8E4">
      <w:pPr>
        <w:spacing w:line="360" w:lineRule="auto"/>
        <w:ind w:firstLine="420" w:firstLineChars="200"/>
        <w:rPr>
          <w:rFonts w:ascii="宋体" w:hAnsi="宋体"/>
          <w:color w:val="000000"/>
          <w:kern w:val="0"/>
          <w:szCs w:val="21"/>
        </w:rPr>
      </w:pPr>
      <w:r>
        <w:rPr>
          <w:rFonts w:hint="eastAsia" w:ascii="宋体" w:hAnsi="宋体"/>
          <w:color w:val="000000"/>
          <w:kern w:val="0"/>
          <w:szCs w:val="21"/>
        </w:rPr>
        <w:t>（4）本项目所有公告发布网站：浙江政府采购网、仙居县公共资源交易网。项目如有更正或澄清公告，请各供应商自行及时登录上述网站查看，采购代理机构不再作出书面通知。</w:t>
      </w:r>
    </w:p>
    <w:p w14:paraId="21F78FE6">
      <w:pPr>
        <w:spacing w:line="360" w:lineRule="auto"/>
        <w:ind w:firstLine="420" w:firstLineChars="200"/>
        <w:rPr>
          <w:rFonts w:ascii="宋体" w:hAnsi="宋体" w:cs="宋体"/>
          <w:color w:val="0000FF"/>
          <w:kern w:val="0"/>
          <w:szCs w:val="21"/>
        </w:rPr>
      </w:pPr>
      <w:r>
        <w:rPr>
          <w:rFonts w:hint="eastAsia" w:ascii="宋体" w:hAnsi="宋体"/>
          <w:color w:val="000000"/>
          <w:kern w:val="0"/>
          <w:szCs w:val="21"/>
        </w:rPr>
        <w:t>（5）中标结果公告发出后，采购监管部门如发现供应商出现投标硬件异常的，若查证后存在违法事实的，将取消该供应商的中标资格，剩余供应商达3家及以上的，由采购人决定是否按中标顺位替补；不足3家的，该项目作废标处理。</w:t>
      </w:r>
      <w:r>
        <w:rPr>
          <w:rFonts w:hint="eastAsia" w:ascii="宋体" w:hAnsi="宋体" w:cs="宋体"/>
          <w:color w:val="0000FF"/>
          <w:kern w:val="0"/>
          <w:szCs w:val="21"/>
        </w:rPr>
        <w:t>  </w:t>
      </w:r>
    </w:p>
    <w:p w14:paraId="5D9BA4DE">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cs="宋体"/>
          <w:b/>
          <w:kern w:val="2"/>
          <w:sz w:val="21"/>
          <w:szCs w:val="21"/>
          <w:lang w:bidi="ar"/>
        </w:rPr>
        <w:t>对本次</w:t>
      </w:r>
      <w:r>
        <w:rPr>
          <w:rFonts w:hint="eastAsia" w:cs="宋体"/>
          <w:b/>
          <w:kern w:val="2"/>
          <w:sz w:val="21"/>
          <w:szCs w:val="21"/>
          <w:lang w:bidi="ar"/>
        </w:rPr>
        <w:t>采购</w:t>
      </w:r>
      <w:r>
        <w:rPr>
          <w:rFonts w:cs="宋体"/>
          <w:b/>
          <w:kern w:val="2"/>
          <w:sz w:val="21"/>
          <w:szCs w:val="21"/>
          <w:lang w:bidi="ar"/>
        </w:rPr>
        <w:t>提出询问、质疑、投诉，请按以下方式联系</w:t>
      </w:r>
    </w:p>
    <w:p w14:paraId="20AF1933">
      <w:pPr>
        <w:pStyle w:val="30"/>
        <w:spacing w:before="0" w:beforeAutospacing="0" w:after="0" w:afterAutospacing="0" w:line="360" w:lineRule="auto"/>
        <w:ind w:firstLine="420" w:firstLineChars="200"/>
        <w:rPr>
          <w:rFonts w:cs="宋体"/>
          <w:sz w:val="21"/>
          <w:szCs w:val="21"/>
        </w:rPr>
      </w:pPr>
      <w:r>
        <w:rPr>
          <w:rFonts w:hint="eastAsia" w:cs="宋体"/>
          <w:sz w:val="21"/>
          <w:szCs w:val="21"/>
        </w:rPr>
        <w:t>1.采购人信息</w:t>
      </w:r>
    </w:p>
    <w:p w14:paraId="46E02CDD">
      <w:pPr>
        <w:pStyle w:val="30"/>
        <w:spacing w:before="0" w:beforeAutospacing="0" w:after="0" w:afterAutospacing="0" w:line="360" w:lineRule="auto"/>
        <w:ind w:firstLine="630" w:firstLineChars="300"/>
        <w:rPr>
          <w:rFonts w:cs="宋体"/>
          <w:sz w:val="21"/>
          <w:szCs w:val="21"/>
        </w:rPr>
      </w:pPr>
      <w:r>
        <w:rPr>
          <w:rFonts w:hint="eastAsia" w:cs="宋体"/>
          <w:sz w:val="21"/>
          <w:szCs w:val="21"/>
        </w:rPr>
        <w:t>名   称：</w:t>
      </w:r>
      <w:r>
        <w:rPr>
          <w:rFonts w:hint="eastAsia" w:cs="宋体"/>
          <w:sz w:val="21"/>
          <w:szCs w:val="21"/>
          <w:u w:val="single"/>
        </w:rPr>
        <w:t xml:space="preserve"> 仙居县</w:t>
      </w:r>
      <w:r>
        <w:rPr>
          <w:rFonts w:hint="eastAsia" w:cs="宋体"/>
          <w:sz w:val="21"/>
          <w:szCs w:val="21"/>
          <w:u w:val="single"/>
          <w:lang w:eastAsia="zh-CN"/>
        </w:rPr>
        <w:t>淡竹乡</w:t>
      </w:r>
      <w:r>
        <w:rPr>
          <w:rFonts w:hint="eastAsia" w:cs="宋体"/>
          <w:sz w:val="21"/>
          <w:szCs w:val="21"/>
          <w:u w:val="single"/>
        </w:rPr>
        <w:t xml:space="preserve">人民政府  </w:t>
      </w:r>
    </w:p>
    <w:p w14:paraId="01A8CEBC">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 xml:space="preserve"> 仙居县            </w:t>
      </w:r>
    </w:p>
    <w:p w14:paraId="01F57236">
      <w:pPr>
        <w:pStyle w:val="30"/>
        <w:spacing w:before="0" w:beforeAutospacing="0" w:after="0" w:afterAutospacing="0" w:line="360" w:lineRule="auto"/>
        <w:ind w:firstLine="630" w:firstLineChars="300"/>
        <w:rPr>
          <w:rFonts w:cs="宋体"/>
          <w:color w:val="auto"/>
          <w:sz w:val="21"/>
          <w:szCs w:val="21"/>
        </w:rPr>
      </w:pPr>
      <w:r>
        <w:rPr>
          <w:rFonts w:hint="eastAsia" w:cs="宋体"/>
          <w:color w:val="auto"/>
          <w:sz w:val="21"/>
          <w:szCs w:val="21"/>
        </w:rPr>
        <w:t>项目联系人（询问）：</w:t>
      </w:r>
      <w:r>
        <w:rPr>
          <w:rFonts w:hint="eastAsia" w:cs="宋体"/>
          <w:color w:val="auto"/>
          <w:sz w:val="21"/>
          <w:szCs w:val="21"/>
          <w:u w:val="single"/>
          <w:lang w:eastAsia="zh-CN"/>
        </w:rPr>
        <w:t>吴梦霞</w:t>
      </w:r>
      <w:r>
        <w:rPr>
          <w:rFonts w:hint="eastAsia" w:cs="宋体"/>
          <w:color w:val="auto"/>
          <w:sz w:val="21"/>
          <w:szCs w:val="21"/>
        </w:rPr>
        <w:t>　　　　　　　　</w:t>
      </w:r>
    </w:p>
    <w:p w14:paraId="50029AA4">
      <w:pPr>
        <w:pStyle w:val="30"/>
        <w:spacing w:before="0" w:beforeAutospacing="0" w:after="0" w:afterAutospacing="0" w:line="360" w:lineRule="auto"/>
        <w:ind w:firstLine="630" w:firstLineChars="300"/>
        <w:jc w:val="both"/>
        <w:rPr>
          <w:rFonts w:cs="宋体"/>
          <w:color w:val="auto"/>
          <w:sz w:val="21"/>
          <w:szCs w:val="21"/>
        </w:rPr>
      </w:pPr>
      <w:r>
        <w:rPr>
          <w:rFonts w:hint="eastAsia" w:cs="宋体"/>
          <w:color w:val="auto"/>
          <w:sz w:val="21"/>
          <w:szCs w:val="21"/>
        </w:rPr>
        <w:t>项目联系方式（询问）：</w:t>
      </w:r>
      <w:r>
        <w:rPr>
          <w:rFonts w:hint="eastAsia" w:cs="宋体"/>
          <w:color w:val="auto"/>
          <w:sz w:val="21"/>
          <w:szCs w:val="21"/>
          <w:u w:val="single"/>
          <w:lang w:val="en-US" w:eastAsia="zh-CN"/>
        </w:rPr>
        <w:t>17388170612</w:t>
      </w:r>
      <w:r>
        <w:rPr>
          <w:rFonts w:hint="eastAsia" w:cs="宋体"/>
          <w:color w:val="auto"/>
          <w:sz w:val="21"/>
          <w:szCs w:val="21"/>
          <w:u w:val="single"/>
        </w:rPr>
        <w:t xml:space="preserve">  </w:t>
      </w:r>
    </w:p>
    <w:p w14:paraId="6F84BF2E">
      <w:pPr>
        <w:pStyle w:val="30"/>
        <w:spacing w:before="0" w:beforeAutospacing="0" w:after="0" w:afterAutospacing="0" w:line="360" w:lineRule="auto"/>
        <w:ind w:firstLine="630" w:firstLineChars="300"/>
        <w:rPr>
          <w:rFonts w:cs="宋体"/>
          <w:color w:val="auto"/>
          <w:sz w:val="21"/>
          <w:szCs w:val="21"/>
        </w:rPr>
      </w:pPr>
      <w:r>
        <w:rPr>
          <w:rFonts w:hint="eastAsia" w:cs="宋体"/>
          <w:color w:val="auto"/>
          <w:sz w:val="21"/>
          <w:szCs w:val="21"/>
        </w:rPr>
        <w:t>质疑联系人：</w:t>
      </w:r>
      <w:r>
        <w:rPr>
          <w:rFonts w:hint="eastAsia" w:cs="宋体"/>
          <w:color w:val="auto"/>
          <w:sz w:val="21"/>
          <w:szCs w:val="21"/>
          <w:u w:val="single"/>
        </w:rPr>
        <w:t xml:space="preserve"> </w:t>
      </w:r>
      <w:r>
        <w:rPr>
          <w:rFonts w:hint="eastAsia" w:cs="宋体"/>
          <w:color w:val="auto"/>
          <w:sz w:val="21"/>
          <w:szCs w:val="21"/>
          <w:u w:val="single"/>
          <w:lang w:val="en-US" w:eastAsia="zh-CN"/>
        </w:rPr>
        <w:t>杨先生</w:t>
      </w:r>
      <w:r>
        <w:rPr>
          <w:rFonts w:hint="eastAsia" w:cs="宋体"/>
          <w:color w:val="auto"/>
          <w:sz w:val="21"/>
          <w:szCs w:val="21"/>
          <w:u w:val="single"/>
        </w:rPr>
        <w:t xml:space="preserve">        </w:t>
      </w:r>
      <w:r>
        <w:rPr>
          <w:rFonts w:hint="eastAsia" w:cs="宋体"/>
          <w:color w:val="auto"/>
          <w:sz w:val="21"/>
          <w:szCs w:val="21"/>
        </w:rPr>
        <w:t>　</w:t>
      </w:r>
    </w:p>
    <w:p w14:paraId="026C767C">
      <w:pPr>
        <w:pStyle w:val="30"/>
        <w:spacing w:before="0" w:beforeAutospacing="0" w:after="0" w:afterAutospacing="0" w:line="360" w:lineRule="auto"/>
        <w:ind w:firstLine="630" w:firstLineChars="300"/>
        <w:rPr>
          <w:rFonts w:cs="宋体"/>
          <w:sz w:val="21"/>
          <w:szCs w:val="21"/>
        </w:rPr>
      </w:pPr>
      <w:r>
        <w:rPr>
          <w:rFonts w:hint="eastAsia" w:cs="宋体"/>
          <w:color w:val="auto"/>
          <w:sz w:val="21"/>
          <w:szCs w:val="21"/>
        </w:rPr>
        <w:t>质疑联系方式：</w:t>
      </w:r>
      <w:r>
        <w:rPr>
          <w:rFonts w:hint="eastAsia" w:cs="宋体"/>
          <w:color w:val="auto"/>
          <w:sz w:val="21"/>
          <w:szCs w:val="21"/>
          <w:u w:val="single"/>
          <w:lang w:val="en-US" w:eastAsia="zh-CN"/>
        </w:rPr>
        <w:t>13586286676</w:t>
      </w:r>
      <w:r>
        <w:rPr>
          <w:rFonts w:hint="eastAsia" w:cs="宋体"/>
          <w:color w:val="auto"/>
          <w:sz w:val="21"/>
          <w:szCs w:val="21"/>
          <w:u w:val="single"/>
        </w:rPr>
        <w:t>　　</w:t>
      </w:r>
      <w:r>
        <w:rPr>
          <w:rFonts w:hint="eastAsia" w:cs="宋体"/>
          <w:color w:val="auto"/>
          <w:sz w:val="21"/>
          <w:szCs w:val="21"/>
        </w:rPr>
        <w:t>　　　　　</w:t>
      </w:r>
    </w:p>
    <w:p w14:paraId="097F71E8">
      <w:pPr>
        <w:pStyle w:val="30"/>
        <w:spacing w:before="0" w:beforeAutospacing="0" w:after="0" w:afterAutospacing="0" w:line="360" w:lineRule="auto"/>
        <w:ind w:left="420" w:leftChars="200"/>
        <w:rPr>
          <w:rFonts w:cs="宋体"/>
          <w:sz w:val="21"/>
          <w:szCs w:val="21"/>
        </w:rPr>
      </w:pPr>
      <w:r>
        <w:rPr>
          <w:rFonts w:hint="eastAsia" w:cs="宋体"/>
          <w:sz w:val="21"/>
          <w:szCs w:val="21"/>
        </w:rPr>
        <w:t>2.采购代理机构信息</w:t>
      </w:r>
    </w:p>
    <w:p w14:paraId="2509BD0F">
      <w:pPr>
        <w:pStyle w:val="30"/>
        <w:spacing w:before="0" w:beforeAutospacing="0" w:after="0" w:afterAutospacing="0" w:line="360" w:lineRule="auto"/>
        <w:ind w:firstLine="630" w:firstLineChars="300"/>
        <w:rPr>
          <w:rFonts w:cs="宋体"/>
          <w:sz w:val="21"/>
          <w:szCs w:val="21"/>
          <w:u w:val="single"/>
        </w:rPr>
      </w:pPr>
      <w:r>
        <w:rPr>
          <w:rFonts w:hint="eastAsia" w:cs="宋体"/>
          <w:sz w:val="21"/>
          <w:szCs w:val="21"/>
        </w:rPr>
        <w:t>名   称：</w:t>
      </w:r>
      <w:r>
        <w:rPr>
          <w:rFonts w:hint="eastAsia" w:cs="宋体"/>
          <w:sz w:val="21"/>
          <w:szCs w:val="21"/>
          <w:u w:val="single"/>
        </w:rPr>
        <w:t xml:space="preserve"> 浙江广利工程</w:t>
      </w:r>
      <w:r>
        <w:rPr>
          <w:rFonts w:hint="eastAsia" w:cs="宋体"/>
          <w:sz w:val="21"/>
          <w:szCs w:val="21"/>
          <w:u w:val="single"/>
          <w:lang w:eastAsia="zh-CN"/>
        </w:rPr>
        <w:t>咨询有限公司</w:t>
      </w:r>
      <w:r>
        <w:rPr>
          <w:rFonts w:hint="eastAsia" w:cs="宋体"/>
          <w:sz w:val="21"/>
          <w:szCs w:val="21"/>
          <w:u w:val="single"/>
        </w:rPr>
        <w:t xml:space="preserve"> </w:t>
      </w:r>
    </w:p>
    <w:p w14:paraId="5A376927">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 xml:space="preserve"> 仙居县环城北路63号7楼 </w:t>
      </w:r>
    </w:p>
    <w:p w14:paraId="0D67C655">
      <w:pPr>
        <w:pStyle w:val="30"/>
        <w:spacing w:before="0" w:beforeAutospacing="0" w:after="0" w:afterAutospacing="0" w:line="360" w:lineRule="auto"/>
        <w:ind w:firstLine="630" w:firstLineChars="300"/>
        <w:rPr>
          <w:rFonts w:cs="宋体"/>
          <w:sz w:val="21"/>
          <w:szCs w:val="21"/>
        </w:rPr>
      </w:pPr>
      <w:r>
        <w:rPr>
          <w:rFonts w:hint="eastAsia" w:cs="宋体"/>
          <w:sz w:val="21"/>
          <w:szCs w:val="21"/>
        </w:rPr>
        <w:t>项目联系人（询问）：</w:t>
      </w:r>
      <w:r>
        <w:rPr>
          <w:rFonts w:hint="eastAsia" w:cs="宋体"/>
          <w:sz w:val="21"/>
          <w:szCs w:val="21"/>
          <w:u w:val="single"/>
        </w:rPr>
        <w:t xml:space="preserve">潘先生 </w:t>
      </w:r>
    </w:p>
    <w:p w14:paraId="0DD42B9A">
      <w:pPr>
        <w:pStyle w:val="30"/>
        <w:spacing w:before="0" w:beforeAutospacing="0" w:after="0" w:afterAutospacing="0" w:line="360" w:lineRule="auto"/>
        <w:ind w:firstLine="420" w:firstLineChars="200"/>
        <w:rPr>
          <w:rFonts w:cs="宋体"/>
          <w:sz w:val="21"/>
          <w:szCs w:val="21"/>
          <w:u w:val="single"/>
        </w:rPr>
      </w:pPr>
      <w:r>
        <w:rPr>
          <w:rFonts w:hint="eastAsia" w:cs="宋体"/>
          <w:sz w:val="21"/>
          <w:szCs w:val="21"/>
        </w:rPr>
        <w:t> 项目联系方式（询问）：</w:t>
      </w:r>
      <w:r>
        <w:rPr>
          <w:rFonts w:hint="eastAsia" w:cs="宋体"/>
          <w:sz w:val="21"/>
          <w:szCs w:val="21"/>
          <w:u w:val="single"/>
        </w:rPr>
        <w:t xml:space="preserve">18067702898 </w:t>
      </w:r>
    </w:p>
    <w:p w14:paraId="2A2C9CAA">
      <w:pPr>
        <w:pStyle w:val="30"/>
        <w:spacing w:before="0" w:beforeAutospacing="0" w:after="0" w:afterAutospacing="0" w:line="360" w:lineRule="auto"/>
        <w:ind w:firstLine="420" w:firstLineChars="200"/>
        <w:rPr>
          <w:rFonts w:cs="宋体"/>
          <w:sz w:val="21"/>
          <w:szCs w:val="21"/>
        </w:rPr>
      </w:pPr>
      <w:r>
        <w:rPr>
          <w:rFonts w:hint="eastAsia" w:cs="宋体"/>
          <w:sz w:val="21"/>
          <w:szCs w:val="21"/>
        </w:rPr>
        <w:t> 质疑联系人：</w:t>
      </w:r>
      <w:r>
        <w:rPr>
          <w:rFonts w:hint="eastAsia" w:cs="宋体"/>
          <w:sz w:val="21"/>
          <w:szCs w:val="21"/>
          <w:u w:val="single"/>
        </w:rPr>
        <w:t xml:space="preserve"> 陶</w:t>
      </w:r>
      <w:r>
        <w:rPr>
          <w:rFonts w:hint="eastAsia" w:cs="宋体"/>
          <w:sz w:val="21"/>
          <w:szCs w:val="21"/>
          <w:u w:val="single"/>
          <w:lang w:val="en-US" w:eastAsia="zh-CN"/>
        </w:rPr>
        <w:t>先生</w:t>
      </w:r>
      <w:r>
        <w:rPr>
          <w:rFonts w:hint="eastAsia" w:cs="宋体"/>
          <w:sz w:val="21"/>
          <w:szCs w:val="21"/>
          <w:u w:val="single"/>
        </w:rPr>
        <w:t xml:space="preserve"> </w:t>
      </w:r>
    </w:p>
    <w:p w14:paraId="5947E46F">
      <w:pPr>
        <w:pStyle w:val="30"/>
        <w:spacing w:before="0" w:beforeAutospacing="0" w:after="0" w:afterAutospacing="0" w:line="360" w:lineRule="auto"/>
        <w:ind w:firstLine="420" w:firstLineChars="200"/>
        <w:rPr>
          <w:rFonts w:cs="宋体"/>
          <w:sz w:val="21"/>
          <w:szCs w:val="21"/>
        </w:rPr>
      </w:pPr>
      <w:r>
        <w:rPr>
          <w:rFonts w:hint="eastAsia" w:cs="宋体"/>
          <w:sz w:val="21"/>
          <w:szCs w:val="21"/>
        </w:rPr>
        <w:t> 质疑联系方式：</w:t>
      </w:r>
      <w:r>
        <w:rPr>
          <w:rFonts w:hint="eastAsia" w:cs="宋体"/>
          <w:sz w:val="21"/>
          <w:szCs w:val="21"/>
          <w:u w:val="single"/>
        </w:rPr>
        <w:t xml:space="preserve">18157500329 </w:t>
      </w:r>
    </w:p>
    <w:p w14:paraId="3AD71CD9">
      <w:pPr>
        <w:pStyle w:val="30"/>
        <w:spacing w:before="0" w:beforeAutospacing="0" w:after="0" w:afterAutospacing="0" w:line="360" w:lineRule="auto"/>
        <w:ind w:left="630" w:leftChars="200" w:hanging="210" w:hangingChars="100"/>
        <w:rPr>
          <w:rFonts w:cs="宋体"/>
          <w:sz w:val="21"/>
          <w:szCs w:val="21"/>
        </w:rPr>
      </w:pPr>
      <w:r>
        <w:rPr>
          <w:rFonts w:hint="eastAsia" w:cs="宋体"/>
          <w:sz w:val="21"/>
          <w:szCs w:val="21"/>
        </w:rPr>
        <w:t>3.同级政府采购监督管理部门</w:t>
      </w:r>
    </w:p>
    <w:p w14:paraId="1B80DC2F">
      <w:pPr>
        <w:pStyle w:val="30"/>
        <w:spacing w:before="0" w:beforeAutospacing="0" w:after="0" w:afterAutospacing="0" w:line="360" w:lineRule="auto"/>
        <w:ind w:firstLine="630" w:firstLineChars="300"/>
        <w:rPr>
          <w:rFonts w:cs="宋体"/>
          <w:sz w:val="21"/>
          <w:szCs w:val="21"/>
        </w:rPr>
      </w:pPr>
      <w:r>
        <w:rPr>
          <w:rFonts w:hint="eastAsia" w:cs="宋体"/>
          <w:sz w:val="21"/>
          <w:szCs w:val="21"/>
        </w:rPr>
        <w:t>名   称：</w:t>
      </w:r>
      <w:r>
        <w:rPr>
          <w:rFonts w:hint="eastAsia" w:cs="宋体"/>
          <w:sz w:val="21"/>
          <w:szCs w:val="21"/>
          <w:u w:val="single"/>
        </w:rPr>
        <w:t>仙居县财政局 </w:t>
      </w:r>
    </w:p>
    <w:p w14:paraId="6BF65112">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仙居县南峰街道环城南路500号7楼 </w:t>
      </w:r>
    </w:p>
    <w:p w14:paraId="3F030670">
      <w:pPr>
        <w:pStyle w:val="30"/>
        <w:spacing w:before="0" w:beforeAutospacing="0" w:after="0" w:afterAutospacing="0" w:line="360" w:lineRule="auto"/>
        <w:ind w:firstLine="630" w:firstLineChars="300"/>
        <w:rPr>
          <w:rFonts w:cs="宋体"/>
          <w:sz w:val="21"/>
          <w:szCs w:val="21"/>
        </w:rPr>
      </w:pPr>
      <w:r>
        <w:rPr>
          <w:rFonts w:hint="eastAsia" w:cs="宋体"/>
          <w:sz w:val="21"/>
          <w:szCs w:val="21"/>
        </w:rPr>
        <w:t>联 系 人：陈</w:t>
      </w:r>
      <w:r>
        <w:rPr>
          <w:rFonts w:hint="eastAsia" w:cs="宋体"/>
          <w:sz w:val="21"/>
          <w:szCs w:val="21"/>
          <w:u w:val="single"/>
        </w:rPr>
        <w:t>先生 </w:t>
      </w:r>
    </w:p>
    <w:p w14:paraId="62007424">
      <w:pPr>
        <w:pStyle w:val="30"/>
        <w:spacing w:before="0" w:beforeAutospacing="0" w:after="0" w:afterAutospacing="0" w:line="360" w:lineRule="auto"/>
        <w:ind w:firstLine="420" w:firstLineChars="200"/>
        <w:rPr>
          <w:rFonts w:cs="宋体"/>
          <w:sz w:val="21"/>
          <w:szCs w:val="21"/>
        </w:rPr>
      </w:pPr>
      <w:r>
        <w:rPr>
          <w:rFonts w:hint="eastAsia" w:cs="宋体"/>
          <w:sz w:val="21"/>
          <w:szCs w:val="21"/>
        </w:rPr>
        <w:t> 监督投诉电话：</w:t>
      </w:r>
      <w:r>
        <w:rPr>
          <w:rFonts w:hint="eastAsia" w:cs="宋体"/>
          <w:sz w:val="21"/>
          <w:szCs w:val="21"/>
          <w:u w:val="single"/>
        </w:rPr>
        <w:t>0576-87720209 </w:t>
      </w:r>
    </w:p>
    <w:p w14:paraId="2A3AA306"/>
    <w:bookmarkEnd w:id="1"/>
    <w:bookmarkEnd w:id="2"/>
    <w:p w14:paraId="5C3CE424">
      <w:pPr>
        <w:pStyle w:val="3"/>
        <w:spacing w:before="0" w:after="0" w:line="360" w:lineRule="auto"/>
        <w:jc w:val="center"/>
        <w:rPr>
          <w:rFonts w:ascii="宋体" w:hAnsi="宋体" w:cs="宋体"/>
          <w:sz w:val="32"/>
          <w:szCs w:val="32"/>
        </w:rPr>
      </w:pPr>
      <w:bookmarkStart w:id="3" w:name="_Toc6609"/>
      <w:bookmarkStart w:id="4" w:name="_Toc636"/>
      <w:bookmarkStart w:id="5" w:name="_Toc12006"/>
      <w:r>
        <w:rPr>
          <w:rFonts w:hint="eastAsia" w:ascii="宋体" w:hAnsi="宋体" w:cs="宋体"/>
          <w:sz w:val="32"/>
          <w:szCs w:val="32"/>
        </w:rPr>
        <w:t>第二章  采购需求</w:t>
      </w:r>
      <w:bookmarkEnd w:id="3"/>
    </w:p>
    <w:p w14:paraId="72074413">
      <w:pPr>
        <w:spacing w:line="360" w:lineRule="auto"/>
        <w:ind w:firstLine="422" w:firstLineChars="200"/>
        <w:rPr>
          <w:rFonts w:ascii="宋体" w:hAnsi="宋体" w:cs="宋体"/>
          <w:b/>
          <w:szCs w:val="21"/>
        </w:rPr>
      </w:pPr>
      <w:bookmarkStart w:id="6" w:name="_Toc11082"/>
      <w:bookmarkStart w:id="7" w:name="_Toc359860065"/>
      <w:bookmarkStart w:id="8" w:name="_Toc30830"/>
      <w:bookmarkStart w:id="9" w:name="_Toc31923"/>
      <w:bookmarkStart w:id="10" w:name="_Toc8240"/>
      <w:bookmarkStart w:id="11" w:name="_Toc18363"/>
      <w:bookmarkStart w:id="12" w:name="_Toc324836660"/>
      <w:bookmarkStart w:id="13" w:name="_Toc13823"/>
      <w:bookmarkStart w:id="14" w:name="_Toc339013709"/>
      <w:bookmarkStart w:id="15" w:name="_Toc293917013"/>
      <w:bookmarkStart w:id="16" w:name="_Toc293916349"/>
      <w:bookmarkStart w:id="17" w:name="_Toc293915998"/>
      <w:bookmarkStart w:id="18" w:name="_Toc293916867"/>
      <w:bookmarkStart w:id="19" w:name="_Toc438384212"/>
      <w:r>
        <w:rPr>
          <w:rFonts w:hint="eastAsia" w:ascii="宋体" w:hAnsi="宋体" w:cs="宋体"/>
          <w:b/>
          <w:szCs w:val="21"/>
        </w:rPr>
        <w:t>特别提醒：</w:t>
      </w:r>
    </w:p>
    <w:p w14:paraId="713E9529">
      <w:pPr>
        <w:spacing w:line="360" w:lineRule="auto"/>
        <w:ind w:firstLine="422" w:firstLineChars="200"/>
        <w:rPr>
          <w:szCs w:val="21"/>
        </w:rPr>
      </w:pPr>
      <w:r>
        <w:rPr>
          <w:rFonts w:hint="eastAsia" w:ascii="宋体" w:hAnsi="宋体" w:cs="宋体"/>
          <w:b/>
          <w:kern w:val="0"/>
          <w:szCs w:val="21"/>
        </w:rPr>
        <w:t>▲中标单位在签订合同时，若坚持提出附加条件和不合理要求，成交资格将被取消，该中标人对由此产生的一切后果负责。</w:t>
      </w:r>
      <w:r>
        <w:rPr>
          <w:rFonts w:hint="eastAsia" w:ascii="宋体" w:hAnsi="宋体" w:cs="宋体"/>
          <w:b/>
          <w:szCs w:val="21"/>
        </w:rPr>
        <w:t>加“▲”的技术要求或商务要求为实质性要求，投标人应特别注意，所提供的技术响应必须完全满足或优于这些要求，否则视为不满足。不满足实质性要求的投标文件将按无效标处理。</w:t>
      </w:r>
    </w:p>
    <w:bookmarkEnd w:id="6"/>
    <w:bookmarkEnd w:id="7"/>
    <w:bookmarkEnd w:id="8"/>
    <w:bookmarkEnd w:id="9"/>
    <w:bookmarkEnd w:id="10"/>
    <w:bookmarkEnd w:id="11"/>
    <w:bookmarkEnd w:id="12"/>
    <w:bookmarkEnd w:id="13"/>
    <w:p w14:paraId="18D8E178">
      <w:pPr>
        <w:tabs>
          <w:tab w:val="left" w:pos="8280"/>
        </w:tabs>
        <w:autoSpaceDE w:val="0"/>
        <w:autoSpaceDN w:val="0"/>
        <w:adjustRightInd w:val="0"/>
        <w:spacing w:line="360" w:lineRule="auto"/>
        <w:ind w:firstLine="482" w:firstLineChars="200"/>
        <w:rPr>
          <w:rFonts w:ascii="宋体" w:hAnsi="宋体" w:cs="宋体"/>
          <w:b/>
          <w:szCs w:val="21"/>
        </w:rPr>
      </w:pPr>
      <w:bookmarkStart w:id="20" w:name="_Toc28773"/>
      <w:bookmarkStart w:id="21" w:name="_Toc65052969"/>
      <w:r>
        <w:rPr>
          <w:rFonts w:hint="eastAsia" w:ascii="宋体" w:hAnsi="宋体" w:cs="宋体"/>
          <w:b/>
          <w:sz w:val="24"/>
        </w:rPr>
        <w:t>一、招标项目一览表</w:t>
      </w:r>
    </w:p>
    <w:p w14:paraId="0CEC3A1E">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本次招标共</w:t>
      </w:r>
      <w:r>
        <w:rPr>
          <w:rFonts w:hint="eastAsia" w:ascii="宋体" w:hAnsi="宋体" w:cs="宋体"/>
          <w:szCs w:val="21"/>
          <w:u w:val="single"/>
          <w:lang w:val="en-US" w:eastAsia="zh-CN"/>
        </w:rPr>
        <w:t xml:space="preserve"> 2 </w:t>
      </w:r>
      <w:r>
        <w:rPr>
          <w:rFonts w:hint="eastAsia" w:ascii="宋体" w:hAnsi="宋体" w:cs="宋体"/>
          <w:szCs w:val="21"/>
        </w:rPr>
        <w:t>个标项，具体内容如下表：</w:t>
      </w:r>
    </w:p>
    <w:tbl>
      <w:tblPr>
        <w:tblStyle w:val="32"/>
        <w:tblpPr w:leftFromText="180" w:rightFromText="180" w:vertAnchor="text" w:horzAnchor="page" w:tblpXSpec="center" w:tblpY="144"/>
        <w:tblOverlap w:val="never"/>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725"/>
        <w:gridCol w:w="480"/>
        <w:gridCol w:w="457"/>
        <w:gridCol w:w="1129"/>
        <w:gridCol w:w="1065"/>
        <w:gridCol w:w="2483"/>
        <w:gridCol w:w="1984"/>
      </w:tblGrid>
      <w:tr w14:paraId="58BF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80" w:type="dxa"/>
            <w:vAlign w:val="center"/>
          </w:tcPr>
          <w:p w14:paraId="3D90D151">
            <w:pPr>
              <w:widowControl/>
              <w:wordWrap w:val="0"/>
              <w:jc w:val="center"/>
              <w:rPr>
                <w:rFonts w:ascii="宋体" w:hAnsi="宋体"/>
                <w:szCs w:val="21"/>
              </w:rPr>
            </w:pPr>
            <w:r>
              <w:rPr>
                <w:rFonts w:ascii="宋体" w:hAnsi="宋体" w:cs="宋体"/>
                <w:kern w:val="0"/>
                <w:szCs w:val="21"/>
                <w:lang w:bidi="ar"/>
              </w:rPr>
              <w:t>标项序号</w:t>
            </w:r>
          </w:p>
        </w:tc>
        <w:tc>
          <w:tcPr>
            <w:tcW w:w="1725" w:type="dxa"/>
            <w:vAlign w:val="center"/>
          </w:tcPr>
          <w:p w14:paraId="28425246">
            <w:pPr>
              <w:widowControl/>
              <w:wordWrap w:val="0"/>
              <w:jc w:val="center"/>
              <w:rPr>
                <w:rFonts w:ascii="宋体" w:hAnsi="宋体"/>
                <w:szCs w:val="21"/>
              </w:rPr>
            </w:pPr>
            <w:r>
              <w:rPr>
                <w:rFonts w:ascii="宋体" w:hAnsi="宋体" w:cs="宋体"/>
                <w:kern w:val="0"/>
                <w:szCs w:val="21"/>
                <w:lang w:bidi="ar"/>
              </w:rPr>
              <w:t>标项名称</w:t>
            </w:r>
          </w:p>
        </w:tc>
        <w:tc>
          <w:tcPr>
            <w:tcW w:w="480" w:type="dxa"/>
            <w:vAlign w:val="center"/>
          </w:tcPr>
          <w:p w14:paraId="7D0F8DAB">
            <w:pPr>
              <w:widowControl/>
              <w:wordWrap w:val="0"/>
              <w:jc w:val="center"/>
              <w:rPr>
                <w:rFonts w:ascii="宋体" w:hAnsi="宋体"/>
                <w:szCs w:val="21"/>
              </w:rPr>
            </w:pPr>
            <w:r>
              <w:rPr>
                <w:rFonts w:ascii="宋体" w:hAnsi="宋体" w:cs="宋体"/>
                <w:kern w:val="0"/>
                <w:szCs w:val="21"/>
                <w:lang w:bidi="ar"/>
              </w:rPr>
              <w:t>数量</w:t>
            </w:r>
          </w:p>
        </w:tc>
        <w:tc>
          <w:tcPr>
            <w:tcW w:w="457" w:type="dxa"/>
            <w:vAlign w:val="center"/>
          </w:tcPr>
          <w:p w14:paraId="2F0DB3C0">
            <w:pPr>
              <w:widowControl/>
              <w:wordWrap w:val="0"/>
              <w:jc w:val="center"/>
              <w:rPr>
                <w:rFonts w:ascii="宋体" w:hAnsi="宋体" w:cs="宋体"/>
                <w:kern w:val="0"/>
                <w:szCs w:val="21"/>
                <w:lang w:bidi="ar"/>
              </w:rPr>
            </w:pPr>
            <w:r>
              <w:rPr>
                <w:rFonts w:ascii="宋体" w:hAnsi="宋体" w:cs="宋体"/>
                <w:kern w:val="0"/>
                <w:szCs w:val="21"/>
                <w:lang w:bidi="ar"/>
              </w:rPr>
              <w:t>单位</w:t>
            </w:r>
          </w:p>
        </w:tc>
        <w:tc>
          <w:tcPr>
            <w:tcW w:w="1129" w:type="dxa"/>
            <w:vAlign w:val="center"/>
          </w:tcPr>
          <w:p w14:paraId="1D34CEED">
            <w:pPr>
              <w:widowControl/>
              <w:wordWrap w:val="0"/>
              <w:jc w:val="center"/>
              <w:rPr>
                <w:rFonts w:ascii="宋体" w:hAnsi="宋体"/>
                <w:szCs w:val="21"/>
              </w:rPr>
            </w:pPr>
            <w:r>
              <w:rPr>
                <w:rFonts w:ascii="宋体" w:hAnsi="宋体" w:cs="宋体"/>
                <w:kern w:val="0"/>
                <w:szCs w:val="21"/>
                <w:lang w:bidi="ar"/>
              </w:rPr>
              <w:t>预算金额(元)</w:t>
            </w:r>
          </w:p>
        </w:tc>
        <w:tc>
          <w:tcPr>
            <w:tcW w:w="1065" w:type="dxa"/>
            <w:vAlign w:val="center"/>
          </w:tcPr>
          <w:p w14:paraId="2CA6FDAF">
            <w:pPr>
              <w:widowControl/>
              <w:wordWrap w:val="0"/>
              <w:jc w:val="center"/>
              <w:rPr>
                <w:rFonts w:ascii="宋体" w:hAnsi="宋体" w:cs="宋体"/>
                <w:kern w:val="0"/>
                <w:szCs w:val="21"/>
                <w:lang w:bidi="ar"/>
              </w:rPr>
            </w:pPr>
            <w:r>
              <w:rPr>
                <w:rFonts w:hint="eastAsia" w:ascii="宋体" w:hAnsi="宋体" w:cs="宋体"/>
                <w:kern w:val="0"/>
                <w:szCs w:val="21"/>
                <w:lang w:bidi="ar"/>
              </w:rPr>
              <w:t>最高限价（元）</w:t>
            </w:r>
          </w:p>
        </w:tc>
        <w:tc>
          <w:tcPr>
            <w:tcW w:w="2483" w:type="dxa"/>
            <w:vAlign w:val="center"/>
          </w:tcPr>
          <w:p w14:paraId="7C729D3D">
            <w:pPr>
              <w:widowControl/>
              <w:wordWrap w:val="0"/>
              <w:jc w:val="center"/>
              <w:rPr>
                <w:rFonts w:ascii="宋体" w:hAnsi="宋体"/>
                <w:szCs w:val="21"/>
              </w:rPr>
            </w:pPr>
            <w:r>
              <w:rPr>
                <w:rFonts w:ascii="宋体" w:hAnsi="宋体" w:cs="宋体"/>
                <w:kern w:val="0"/>
                <w:szCs w:val="21"/>
                <w:lang w:bidi="ar"/>
              </w:rPr>
              <w:t>简要规格描述</w:t>
            </w:r>
          </w:p>
        </w:tc>
        <w:tc>
          <w:tcPr>
            <w:tcW w:w="1984" w:type="dxa"/>
            <w:vAlign w:val="center"/>
          </w:tcPr>
          <w:p w14:paraId="2A9883CD">
            <w:pPr>
              <w:widowControl/>
              <w:wordWrap w:val="0"/>
              <w:jc w:val="center"/>
              <w:rPr>
                <w:rFonts w:ascii="宋体" w:hAnsi="宋体"/>
                <w:szCs w:val="21"/>
              </w:rPr>
            </w:pPr>
            <w:r>
              <w:rPr>
                <w:rFonts w:ascii="宋体" w:hAnsi="宋体" w:cs="宋体"/>
                <w:kern w:val="0"/>
                <w:szCs w:val="21"/>
                <w:lang w:bidi="ar"/>
              </w:rPr>
              <w:t>备注</w:t>
            </w:r>
          </w:p>
        </w:tc>
      </w:tr>
      <w:tr w14:paraId="548C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80" w:type="dxa"/>
            <w:vAlign w:val="center"/>
          </w:tcPr>
          <w:p w14:paraId="66B24CA4">
            <w:pPr>
              <w:spacing w:line="360" w:lineRule="auto"/>
              <w:jc w:val="center"/>
              <w:rPr>
                <w:rFonts w:ascii="宋体" w:hAnsi="宋体"/>
                <w:szCs w:val="21"/>
              </w:rPr>
            </w:pPr>
            <w:r>
              <w:rPr>
                <w:rFonts w:hint="eastAsia" w:ascii="宋体" w:hAnsi="宋体"/>
                <w:szCs w:val="21"/>
              </w:rPr>
              <w:t>1</w:t>
            </w:r>
          </w:p>
        </w:tc>
        <w:tc>
          <w:tcPr>
            <w:tcW w:w="1725" w:type="dxa"/>
            <w:vAlign w:val="center"/>
          </w:tcPr>
          <w:p w14:paraId="0E4FE18C">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台州市仙居县浙南山地生态系统综合治理及生物多样性保护项目（淡竹乡）标一</w:t>
            </w:r>
          </w:p>
        </w:tc>
        <w:tc>
          <w:tcPr>
            <w:tcW w:w="480" w:type="dxa"/>
            <w:vAlign w:val="center"/>
          </w:tcPr>
          <w:p w14:paraId="0FEEE917">
            <w:pPr>
              <w:spacing w:line="360" w:lineRule="auto"/>
              <w:jc w:val="center"/>
              <w:rPr>
                <w:rFonts w:hAnsi="宋体"/>
                <w:szCs w:val="21"/>
              </w:rPr>
            </w:pPr>
            <w:r>
              <w:rPr>
                <w:rFonts w:hint="eastAsia" w:hAnsi="宋体"/>
                <w:szCs w:val="21"/>
              </w:rPr>
              <w:t>1</w:t>
            </w:r>
          </w:p>
        </w:tc>
        <w:tc>
          <w:tcPr>
            <w:tcW w:w="457" w:type="dxa"/>
            <w:vAlign w:val="center"/>
          </w:tcPr>
          <w:p w14:paraId="1BCAEF69">
            <w:pPr>
              <w:spacing w:line="360" w:lineRule="auto"/>
              <w:jc w:val="center"/>
              <w:rPr>
                <w:rFonts w:ascii="宋体" w:hAnsi="宋体"/>
                <w:szCs w:val="21"/>
              </w:rPr>
            </w:pPr>
            <w:r>
              <w:rPr>
                <w:rFonts w:hint="eastAsia" w:ascii="宋体" w:hAnsi="宋体"/>
                <w:szCs w:val="21"/>
              </w:rPr>
              <w:t>项</w:t>
            </w:r>
          </w:p>
        </w:tc>
        <w:tc>
          <w:tcPr>
            <w:tcW w:w="1129" w:type="dxa"/>
            <w:vAlign w:val="center"/>
          </w:tcPr>
          <w:p w14:paraId="4FBEE0ED">
            <w:pPr>
              <w:tabs>
                <w:tab w:val="left" w:pos="8280"/>
              </w:tabs>
              <w:autoSpaceDE w:val="0"/>
              <w:autoSpaceDN w:val="0"/>
              <w:adjustRightInd w:val="0"/>
              <w:spacing w:line="360" w:lineRule="auto"/>
              <w:ind w:right="25"/>
              <w:jc w:val="center"/>
              <w:rPr>
                <w:rFonts w:hint="default" w:ascii="宋体" w:hAnsi="宋体" w:eastAsia="宋体"/>
                <w:szCs w:val="21"/>
                <w:lang w:val="en-US" w:eastAsia="zh-CN"/>
              </w:rPr>
            </w:pPr>
            <w:r>
              <w:rPr>
                <w:rFonts w:hint="eastAsia" w:ascii="宋体" w:hAnsi="宋体"/>
                <w:szCs w:val="21"/>
                <w:lang w:val="en-US" w:eastAsia="zh-CN"/>
              </w:rPr>
              <w:t>478931</w:t>
            </w:r>
          </w:p>
        </w:tc>
        <w:tc>
          <w:tcPr>
            <w:tcW w:w="1065" w:type="dxa"/>
            <w:vAlign w:val="center"/>
          </w:tcPr>
          <w:p w14:paraId="131B4A14">
            <w:pPr>
              <w:widowControl/>
              <w:spacing w:line="360" w:lineRule="auto"/>
              <w:jc w:val="center"/>
              <w:textAlignment w:val="center"/>
              <w:rPr>
                <w:rFonts w:hint="default" w:ascii="宋体" w:hAnsi="宋体" w:eastAsia="宋体"/>
                <w:szCs w:val="21"/>
                <w:lang w:val="en-US" w:eastAsia="zh-CN"/>
              </w:rPr>
            </w:pPr>
            <w:r>
              <w:rPr>
                <w:rFonts w:hint="eastAsia" w:ascii="宋体" w:hAnsi="宋体"/>
                <w:szCs w:val="21"/>
                <w:lang w:val="en-US" w:eastAsia="zh-CN"/>
              </w:rPr>
              <w:t>416670</w:t>
            </w:r>
          </w:p>
        </w:tc>
        <w:tc>
          <w:tcPr>
            <w:tcW w:w="2483" w:type="dxa"/>
            <w:vAlign w:val="center"/>
          </w:tcPr>
          <w:p w14:paraId="46784774">
            <w:pPr>
              <w:pStyle w:val="15"/>
              <w:spacing w:beforeLines="0" w:afterLines="0" w:line="360" w:lineRule="auto"/>
              <w:jc w:val="center"/>
              <w:rPr>
                <w:rFonts w:hAnsi="宋体"/>
                <w:sz w:val="21"/>
                <w:szCs w:val="21"/>
              </w:rPr>
            </w:pPr>
            <w:r>
              <w:rPr>
                <w:rFonts w:hint="eastAsia" w:ascii="宋体" w:hAnsi="宋体" w:cs="宋体"/>
                <w:color w:val="000000"/>
                <w:sz w:val="21"/>
                <w:szCs w:val="21"/>
                <w:lang w:val="en-US" w:eastAsia="zh-CN"/>
              </w:rPr>
              <w:t>建设面积707亩，建设范围</w:t>
            </w:r>
            <w:r>
              <w:rPr>
                <w:rFonts w:hint="eastAsia" w:hAnsi="宋体" w:cs="宋体"/>
                <w:color w:val="000000"/>
                <w:sz w:val="21"/>
                <w:szCs w:val="21"/>
                <w:lang w:val="en-US" w:eastAsia="zh-CN"/>
              </w:rPr>
              <w:t>涉及下叶村。详</w:t>
            </w:r>
            <w:r>
              <w:rPr>
                <w:rFonts w:hint="eastAsia" w:ascii="宋体" w:hAnsi="宋体" w:cs="宋体"/>
                <w:color w:val="000000"/>
                <w:sz w:val="21"/>
                <w:szCs w:val="21"/>
                <w:lang w:val="en-US" w:eastAsia="zh-CN"/>
              </w:rPr>
              <w:t>见本采购文件第6页。</w:t>
            </w:r>
          </w:p>
        </w:tc>
        <w:tc>
          <w:tcPr>
            <w:tcW w:w="1984" w:type="dxa"/>
            <w:vAlign w:val="center"/>
          </w:tcPr>
          <w:p w14:paraId="7755D54B">
            <w:pPr>
              <w:jc w:val="left"/>
              <w:rPr>
                <w:rFonts w:hint="default" w:ascii="宋体" w:hAnsi="宋体" w:eastAsia="宋体" w:cs="宋体"/>
                <w:color w:val="000000"/>
                <w:sz w:val="24"/>
                <w:lang w:val="en-US" w:eastAsia="zh-CN"/>
              </w:rPr>
            </w:pPr>
            <w:r>
              <w:rPr>
                <w:rFonts w:hint="eastAsia" w:ascii="宋体" w:hAnsi="宋体" w:eastAsia="宋体" w:cs="宋体"/>
                <w:color w:val="000000"/>
                <w:kern w:val="2"/>
                <w:sz w:val="21"/>
                <w:szCs w:val="21"/>
                <w:lang w:val="en-US" w:eastAsia="zh-CN" w:bidi="ar-SA"/>
              </w:rPr>
              <w:t>修复苗木种类：榉树、红豆树、赤皮青冈、枫香</w:t>
            </w:r>
            <w:r>
              <w:rPr>
                <w:rFonts w:hint="eastAsia" w:ascii="宋体" w:hAnsi="宋体" w:cs="宋体"/>
                <w:color w:val="000000"/>
                <w:kern w:val="2"/>
                <w:sz w:val="21"/>
                <w:szCs w:val="21"/>
                <w:lang w:val="en-US" w:eastAsia="zh-CN" w:bidi="ar-SA"/>
              </w:rPr>
              <w:t>等共计16640株。</w:t>
            </w:r>
          </w:p>
        </w:tc>
      </w:tr>
      <w:tr w14:paraId="3AB1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80" w:type="dxa"/>
            <w:vAlign w:val="center"/>
          </w:tcPr>
          <w:p w14:paraId="097CA58F">
            <w:pPr>
              <w:spacing w:line="360" w:lineRule="auto"/>
              <w:jc w:val="center"/>
              <w:rPr>
                <w:rFonts w:hint="eastAsia" w:ascii="宋体" w:hAnsi="宋体" w:eastAsia="宋体"/>
                <w:szCs w:val="21"/>
                <w:lang w:val="en-US" w:eastAsia="zh-CN"/>
              </w:rPr>
            </w:pPr>
            <w:r>
              <w:rPr>
                <w:rFonts w:hint="eastAsia" w:ascii="宋体" w:hAnsi="宋体"/>
                <w:szCs w:val="21"/>
                <w:lang w:val="en-US" w:eastAsia="zh-CN"/>
              </w:rPr>
              <w:t>2</w:t>
            </w:r>
          </w:p>
        </w:tc>
        <w:tc>
          <w:tcPr>
            <w:tcW w:w="1725" w:type="dxa"/>
            <w:vAlign w:val="center"/>
          </w:tcPr>
          <w:p w14:paraId="49EE3D39">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台州市仙居县浙南山地生态系统综合治理及生物多样性保护项目（淡竹乡）标二</w:t>
            </w:r>
          </w:p>
        </w:tc>
        <w:tc>
          <w:tcPr>
            <w:tcW w:w="480" w:type="dxa"/>
            <w:vAlign w:val="center"/>
          </w:tcPr>
          <w:p w14:paraId="3423D344">
            <w:pPr>
              <w:spacing w:line="360" w:lineRule="auto"/>
              <w:jc w:val="center"/>
              <w:rPr>
                <w:rFonts w:hint="eastAsia" w:hAnsi="宋体" w:eastAsia="宋体"/>
                <w:szCs w:val="21"/>
                <w:lang w:val="en-US" w:eastAsia="zh-CN"/>
              </w:rPr>
            </w:pPr>
            <w:r>
              <w:rPr>
                <w:rFonts w:hint="eastAsia" w:hAnsi="宋体"/>
                <w:szCs w:val="21"/>
                <w:lang w:val="en-US" w:eastAsia="zh-CN"/>
              </w:rPr>
              <w:t>1</w:t>
            </w:r>
          </w:p>
        </w:tc>
        <w:tc>
          <w:tcPr>
            <w:tcW w:w="457" w:type="dxa"/>
            <w:vAlign w:val="center"/>
          </w:tcPr>
          <w:p w14:paraId="24AFDD88">
            <w:pPr>
              <w:spacing w:line="360" w:lineRule="auto"/>
              <w:jc w:val="center"/>
              <w:rPr>
                <w:rFonts w:hint="default" w:ascii="宋体" w:hAnsi="宋体" w:eastAsia="宋体"/>
                <w:szCs w:val="21"/>
                <w:lang w:val="en-US" w:eastAsia="zh-CN"/>
              </w:rPr>
            </w:pPr>
            <w:r>
              <w:rPr>
                <w:rFonts w:hint="eastAsia" w:ascii="宋体" w:hAnsi="宋体"/>
                <w:szCs w:val="21"/>
                <w:lang w:val="en-US" w:eastAsia="zh-CN"/>
              </w:rPr>
              <w:t>项</w:t>
            </w:r>
          </w:p>
        </w:tc>
        <w:tc>
          <w:tcPr>
            <w:tcW w:w="1129" w:type="dxa"/>
            <w:vAlign w:val="center"/>
          </w:tcPr>
          <w:p w14:paraId="41D70F31">
            <w:pPr>
              <w:tabs>
                <w:tab w:val="left" w:pos="8280"/>
              </w:tabs>
              <w:autoSpaceDE w:val="0"/>
              <w:autoSpaceDN w:val="0"/>
              <w:adjustRightInd w:val="0"/>
              <w:spacing w:line="360" w:lineRule="auto"/>
              <w:ind w:right="25"/>
              <w:jc w:val="center"/>
              <w:rPr>
                <w:rFonts w:hint="default" w:ascii="宋体" w:hAnsi="宋体" w:eastAsia="宋体" w:cs="宋体"/>
                <w:szCs w:val="21"/>
                <w:lang w:val="en-US" w:eastAsia="zh-CN"/>
              </w:rPr>
            </w:pPr>
            <w:r>
              <w:rPr>
                <w:rFonts w:hint="eastAsia" w:ascii="宋体" w:hAnsi="宋体" w:cs="宋体"/>
                <w:szCs w:val="21"/>
                <w:lang w:val="en-US" w:eastAsia="zh-CN"/>
              </w:rPr>
              <w:t>1916411</w:t>
            </w:r>
          </w:p>
        </w:tc>
        <w:tc>
          <w:tcPr>
            <w:tcW w:w="1065" w:type="dxa"/>
            <w:vAlign w:val="center"/>
          </w:tcPr>
          <w:p w14:paraId="39749AE7">
            <w:pPr>
              <w:widowControl/>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1667278</w:t>
            </w:r>
          </w:p>
        </w:tc>
        <w:tc>
          <w:tcPr>
            <w:tcW w:w="2483" w:type="dxa"/>
            <w:vAlign w:val="center"/>
          </w:tcPr>
          <w:p w14:paraId="19839E7A">
            <w:pPr>
              <w:pStyle w:val="15"/>
              <w:spacing w:beforeLines="0" w:afterLines="0" w:line="360" w:lineRule="auto"/>
              <w:jc w:val="center"/>
              <w:rPr>
                <w:rFonts w:hint="eastAsia" w:hAnsi="宋体"/>
                <w:sz w:val="21"/>
                <w:szCs w:val="21"/>
              </w:rPr>
            </w:pPr>
            <w:r>
              <w:rPr>
                <w:rFonts w:hint="eastAsia" w:ascii="宋体" w:hAnsi="宋体" w:cs="宋体"/>
                <w:color w:val="000000"/>
                <w:sz w:val="21"/>
                <w:szCs w:val="21"/>
                <w:lang w:val="en-US" w:eastAsia="zh-CN"/>
              </w:rPr>
              <w:t>建设面积2322亩，建设范围</w:t>
            </w:r>
            <w:r>
              <w:rPr>
                <w:rFonts w:hint="eastAsia" w:hAnsi="宋体" w:cs="宋体"/>
                <w:color w:val="000000"/>
                <w:sz w:val="21"/>
                <w:szCs w:val="21"/>
                <w:lang w:val="en-US" w:eastAsia="zh-CN"/>
              </w:rPr>
              <w:t>涉及大源村、尚仁村、下叶村。详</w:t>
            </w:r>
            <w:r>
              <w:rPr>
                <w:rFonts w:hint="eastAsia" w:ascii="宋体" w:hAnsi="宋体" w:cs="宋体"/>
                <w:color w:val="000000"/>
                <w:sz w:val="21"/>
                <w:szCs w:val="21"/>
                <w:lang w:val="en-US" w:eastAsia="zh-CN"/>
              </w:rPr>
              <w:t>见本采购文件第7-10页。</w:t>
            </w:r>
          </w:p>
        </w:tc>
        <w:tc>
          <w:tcPr>
            <w:tcW w:w="1984" w:type="dxa"/>
            <w:vAlign w:val="center"/>
          </w:tcPr>
          <w:p w14:paraId="60259FE7">
            <w:pPr>
              <w:jc w:val="left"/>
              <w:rPr>
                <w:rFonts w:ascii="宋体" w:hAnsi="宋体" w:cs="宋体"/>
                <w:color w:val="000000"/>
                <w:sz w:val="24"/>
              </w:rPr>
            </w:pPr>
            <w:r>
              <w:rPr>
                <w:rFonts w:hint="eastAsia" w:ascii="宋体" w:hAnsi="宋体" w:cs="宋体"/>
                <w:color w:val="000000"/>
                <w:kern w:val="2"/>
                <w:sz w:val="21"/>
                <w:szCs w:val="21"/>
                <w:lang w:val="en-US" w:eastAsia="zh-CN" w:bidi="ar-SA"/>
              </w:rPr>
              <w:t>补植</w:t>
            </w:r>
            <w:r>
              <w:rPr>
                <w:rFonts w:hint="eastAsia" w:ascii="宋体" w:hAnsi="宋体" w:eastAsia="宋体" w:cs="宋体"/>
                <w:color w:val="000000"/>
                <w:kern w:val="2"/>
                <w:sz w:val="21"/>
                <w:szCs w:val="21"/>
                <w:lang w:val="en-US" w:eastAsia="zh-CN" w:bidi="ar-SA"/>
              </w:rPr>
              <w:t>苗木种类：</w:t>
            </w:r>
            <w:r>
              <w:rPr>
                <w:rFonts w:hint="eastAsia" w:ascii="宋体" w:hAnsi="宋体" w:cs="宋体"/>
                <w:color w:val="000000"/>
                <w:kern w:val="2"/>
                <w:sz w:val="21"/>
                <w:szCs w:val="21"/>
                <w:lang w:val="en-US" w:eastAsia="zh-CN" w:bidi="ar-SA"/>
              </w:rPr>
              <w:t>枫香、红豆树、榉树、青冈、枫香（省送苗）、山樱花（省送苗）等共计44685株。</w:t>
            </w:r>
          </w:p>
        </w:tc>
      </w:tr>
    </w:tbl>
    <w:p w14:paraId="74420E09">
      <w:pPr>
        <w:tabs>
          <w:tab w:val="left" w:pos="8280"/>
        </w:tabs>
        <w:autoSpaceDE w:val="0"/>
        <w:autoSpaceDN w:val="0"/>
        <w:adjustRightInd w:val="0"/>
        <w:spacing w:line="360" w:lineRule="auto"/>
        <w:ind w:firstLine="482" w:firstLineChars="200"/>
        <w:rPr>
          <w:rFonts w:ascii="宋体" w:hAnsi="宋体" w:cs="宋体"/>
          <w:b/>
          <w:szCs w:val="21"/>
        </w:rPr>
      </w:pPr>
      <w:r>
        <w:rPr>
          <w:rFonts w:hint="eastAsia" w:ascii="宋体" w:hAnsi="宋体" w:cs="宋体"/>
          <w:b/>
          <w:sz w:val="24"/>
        </w:rPr>
        <w:t>二、项目背景</w:t>
      </w:r>
    </w:p>
    <w:p w14:paraId="35C07924">
      <w:pPr>
        <w:tabs>
          <w:tab w:val="left" w:pos="8280"/>
        </w:tabs>
        <w:autoSpaceDE w:val="0"/>
        <w:autoSpaceDN w:val="0"/>
        <w:adjustRightInd w:val="0"/>
        <w:spacing w:line="360" w:lineRule="auto"/>
        <w:ind w:firstLine="420" w:firstLineChars="200"/>
        <w:rPr>
          <w:rFonts w:ascii="宋体" w:hAnsi="宋体" w:cs="宋体"/>
          <w:bCs/>
          <w:szCs w:val="21"/>
        </w:rPr>
      </w:pPr>
      <w:r>
        <w:rPr>
          <w:rFonts w:hint="eastAsia" w:ascii="宋体" w:cs="宋体"/>
          <w:color w:val="000000"/>
          <w:kern w:val="0"/>
          <w:szCs w:val="21"/>
        </w:rPr>
        <w:t>以绿水青山就是金山银山、科学发展观和可持续发展理论为指导，以提高林分质量和林地生产力为目标。从仙居的自然地理、资源环境和社会经济发展的客观实际出发，重点围绕建设“现代化中国山水画城市”战略部署及《仙居县千万亩森林质量精准提升工程五年实施方案（2021-</w:t>
      </w:r>
      <w:r>
        <w:rPr>
          <w:rFonts w:hint="eastAsia" w:ascii="宋体" w:cs="宋体"/>
          <w:color w:val="000000"/>
          <w:kern w:val="0"/>
          <w:szCs w:val="21"/>
          <w:lang w:eastAsia="zh-CN"/>
        </w:rPr>
        <w:t>2024</w:t>
      </w:r>
      <w:r>
        <w:rPr>
          <w:rFonts w:hint="eastAsia" w:ascii="宋体" w:cs="宋体"/>
          <w:color w:val="000000"/>
          <w:kern w:val="0"/>
          <w:szCs w:val="21"/>
        </w:rPr>
        <w:t>年）》，牢固树立“森林必须科学经营”理念，以提升森林质量和森林景观为目标，坚持面上推进和重点突破相结合，以通道沿线、城镇、景区周边等区域为重点，实行沿线连片整体推进，增加森林资源总量、提高林分质量、优化森林生态系统</w:t>
      </w:r>
      <w:r>
        <w:rPr>
          <w:rFonts w:hint="eastAsia" w:ascii="宋体" w:hAnsi="宋体" w:cs="宋体"/>
          <w:bCs/>
          <w:szCs w:val="21"/>
        </w:rPr>
        <w:t xml:space="preserve">。 </w:t>
      </w:r>
    </w:p>
    <w:p w14:paraId="56D2B5CF">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三、项目内容</w:t>
      </w:r>
    </w:p>
    <w:p w14:paraId="33F351ED">
      <w:pPr>
        <w:pStyle w:val="38"/>
        <w:spacing w:line="360" w:lineRule="auto"/>
        <w:ind w:firstLine="420" w:firstLineChars="200"/>
        <w:rPr>
          <w:rFonts w:hint="eastAsia"/>
          <w:sz w:val="21"/>
          <w:szCs w:val="21"/>
        </w:rPr>
      </w:pPr>
      <w:r>
        <w:rPr>
          <w:rFonts w:hint="eastAsia"/>
          <w:sz w:val="21"/>
          <w:szCs w:val="21"/>
        </w:rPr>
        <w:t>1、项目概况</w:t>
      </w:r>
    </w:p>
    <w:p w14:paraId="4577DE19">
      <w:pPr>
        <w:spacing w:before="91" w:line="390" w:lineRule="auto"/>
        <w:ind w:left="50" w:firstLine="553"/>
        <w:jc w:val="both"/>
      </w:pPr>
      <w:r>
        <w:rPr>
          <w:rFonts w:ascii="宋体" w:hAnsi="宋体" w:eastAsia="宋体" w:cs="宋体"/>
          <w:spacing w:val="-4"/>
          <w:sz w:val="21"/>
          <w:szCs w:val="21"/>
        </w:rPr>
        <w:t>根据《台州市仙居县浙南山地生态系统综合治理及生物多样性保</w:t>
      </w:r>
      <w:r>
        <w:rPr>
          <w:rFonts w:ascii="宋体" w:hAnsi="宋体" w:eastAsia="宋体" w:cs="宋体"/>
          <w:spacing w:val="2"/>
          <w:sz w:val="21"/>
          <w:szCs w:val="21"/>
        </w:rPr>
        <w:t xml:space="preserve"> </w:t>
      </w:r>
      <w:r>
        <w:rPr>
          <w:rFonts w:ascii="宋体" w:hAnsi="宋体" w:eastAsia="宋体" w:cs="宋体"/>
          <w:spacing w:val="-4"/>
          <w:sz w:val="21"/>
          <w:szCs w:val="21"/>
        </w:rPr>
        <w:t>护项目初步设计（作业设计）》的年度安排，台州市仙居县浙南山地</w:t>
      </w:r>
      <w:r>
        <w:rPr>
          <w:rFonts w:ascii="宋体" w:hAnsi="宋体" w:eastAsia="宋体" w:cs="宋体"/>
          <w:sz w:val="21"/>
          <w:szCs w:val="21"/>
        </w:rPr>
        <w:t>生态系统综合治理及生物多样性保护项目作业设计</w:t>
      </w:r>
      <w:r>
        <w:rPr>
          <w:rFonts w:hint="eastAsia" w:ascii="宋体" w:hAnsi="宋体" w:cs="宋体"/>
          <w:sz w:val="21"/>
          <w:szCs w:val="21"/>
          <w:lang w:val="en-US" w:eastAsia="zh-CN"/>
        </w:rPr>
        <w:t>淡竹乡标段一707亩，</w:t>
      </w:r>
      <w:r>
        <w:rPr>
          <w:rFonts w:ascii="宋体" w:hAnsi="宋体" w:eastAsia="宋体" w:cs="宋体"/>
          <w:sz w:val="21"/>
          <w:szCs w:val="21"/>
        </w:rPr>
        <w:t>淡竹乡标</w:t>
      </w:r>
      <w:r>
        <w:rPr>
          <w:rFonts w:ascii="宋体" w:hAnsi="宋体" w:eastAsia="宋体" w:cs="宋体"/>
          <w:spacing w:val="-4"/>
          <w:sz w:val="21"/>
          <w:szCs w:val="21"/>
        </w:rPr>
        <w:t>段</w:t>
      </w:r>
      <w:r>
        <w:rPr>
          <w:rFonts w:hint="eastAsia" w:ascii="宋体" w:hAnsi="宋体" w:cs="宋体"/>
          <w:spacing w:val="-4"/>
          <w:sz w:val="21"/>
          <w:szCs w:val="21"/>
          <w:lang w:val="en-US" w:eastAsia="zh-CN"/>
        </w:rPr>
        <w:t>二</w:t>
      </w:r>
      <w:r>
        <w:rPr>
          <w:rFonts w:ascii="宋体" w:hAnsi="宋体" w:eastAsia="宋体" w:cs="宋体"/>
          <w:spacing w:val="-4"/>
          <w:sz w:val="21"/>
          <w:szCs w:val="21"/>
        </w:rPr>
        <w:t>2322亩。</w:t>
      </w:r>
    </w:p>
    <w:p w14:paraId="48D14FB0">
      <w:pPr>
        <w:pStyle w:val="38"/>
        <w:spacing w:line="360" w:lineRule="auto"/>
        <w:ind w:firstLine="420" w:firstLineChars="200"/>
        <w:rPr>
          <w:rFonts w:hint="eastAsia"/>
          <w:sz w:val="21"/>
          <w:szCs w:val="21"/>
        </w:rPr>
      </w:pPr>
      <w:r>
        <w:rPr>
          <w:rFonts w:hint="eastAsia"/>
          <w:sz w:val="21"/>
          <w:szCs w:val="21"/>
        </w:rPr>
        <w:t>工程范围图如下：</w:t>
      </w:r>
    </w:p>
    <w:p w14:paraId="4D98D616">
      <w:pPr>
        <w:pStyle w:val="38"/>
        <w:spacing w:line="360" w:lineRule="auto"/>
        <w:ind w:firstLine="480" w:firstLineChars="200"/>
        <w:rPr>
          <w:rFonts w:hAnsi="宋体"/>
        </w:rPr>
        <w:sectPr>
          <w:footerReference r:id="rId5" w:type="default"/>
          <w:pgSz w:w="11905" w:h="16837"/>
          <w:pgMar w:top="1032" w:right="1100" w:bottom="1020" w:left="1070" w:header="0" w:footer="283" w:gutter="0"/>
          <w:pgNumType w:fmt="decimal" w:start="1"/>
          <w:cols w:space="720" w:num="1"/>
        </w:sectPr>
      </w:pPr>
    </w:p>
    <w:p w14:paraId="6124F998"/>
    <w:p w14:paraId="6CDFF2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32"/>
          <w:szCs w:val="32"/>
          <w:lang w:val="en-US" w:eastAsia="zh-CN"/>
        </w:rPr>
      </w:pPr>
      <w:r>
        <w:rPr>
          <w:rFonts w:hint="eastAsia"/>
          <w:b/>
          <w:bCs/>
          <w:sz w:val="32"/>
          <w:szCs w:val="32"/>
          <w:lang w:eastAsia="zh-CN"/>
        </w:rPr>
        <w:t>项目作业设计图</w:t>
      </w:r>
      <w:r>
        <w:rPr>
          <w:rFonts w:hint="eastAsia"/>
          <w:b/>
          <w:bCs/>
          <w:sz w:val="32"/>
          <w:szCs w:val="32"/>
          <w:lang w:val="en-US" w:eastAsia="zh-CN"/>
        </w:rPr>
        <w:t>2024淡竹下叶村1</w:t>
      </w:r>
    </w:p>
    <w:p w14:paraId="39E1B7FD">
      <w:pPr>
        <w:pStyle w:val="38"/>
        <w:spacing w:line="360" w:lineRule="auto"/>
      </w:pPr>
      <w:r>
        <w:drawing>
          <wp:inline distT="0" distB="0" distL="114300" distR="114300">
            <wp:extent cx="6271895" cy="3748405"/>
            <wp:effectExtent l="0" t="0" r="1460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6271895" cy="3748405"/>
                    </a:xfrm>
                    <a:prstGeom prst="rect">
                      <a:avLst/>
                    </a:prstGeom>
                    <a:noFill/>
                    <a:ln>
                      <a:noFill/>
                    </a:ln>
                  </pic:spPr>
                </pic:pic>
              </a:graphicData>
            </a:graphic>
          </wp:inline>
        </w:drawing>
      </w:r>
    </w:p>
    <w:p w14:paraId="582F0D1F">
      <w:pPr>
        <w:pStyle w:val="39"/>
        <w:ind w:left="0" w:leftChars="0" w:firstLine="0" w:firstLineChars="0"/>
      </w:pPr>
    </w:p>
    <w:p w14:paraId="291239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32"/>
          <w:szCs w:val="32"/>
          <w:lang w:val="en-US" w:eastAsia="zh-CN"/>
        </w:rPr>
      </w:pPr>
      <w:r>
        <w:rPr>
          <w:rFonts w:hint="eastAsia"/>
          <w:b/>
          <w:bCs/>
          <w:sz w:val="32"/>
          <w:szCs w:val="32"/>
          <w:lang w:eastAsia="zh-CN"/>
        </w:rPr>
        <w:t>项目作业设计图</w:t>
      </w:r>
      <w:r>
        <w:rPr>
          <w:rFonts w:hint="eastAsia"/>
          <w:b/>
          <w:bCs/>
          <w:sz w:val="32"/>
          <w:szCs w:val="32"/>
          <w:lang w:val="en-US" w:eastAsia="zh-CN"/>
        </w:rPr>
        <w:t>2024淡竹下叶村2</w:t>
      </w:r>
    </w:p>
    <w:p w14:paraId="238AA641">
      <w:pPr>
        <w:pStyle w:val="38"/>
        <w:spacing w:line="360" w:lineRule="auto"/>
        <w:rPr>
          <w:rFonts w:hAnsi="宋体"/>
        </w:rPr>
      </w:pPr>
      <w:r>
        <w:drawing>
          <wp:inline distT="0" distB="0" distL="114300" distR="114300">
            <wp:extent cx="6301105" cy="3473450"/>
            <wp:effectExtent l="0" t="0" r="444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6301105" cy="3473450"/>
                    </a:xfrm>
                    <a:prstGeom prst="rect">
                      <a:avLst/>
                    </a:prstGeom>
                    <a:noFill/>
                    <a:ln>
                      <a:noFill/>
                    </a:ln>
                  </pic:spPr>
                </pic:pic>
              </a:graphicData>
            </a:graphic>
          </wp:inline>
        </w:drawing>
      </w:r>
    </w:p>
    <w:p w14:paraId="5039A72D">
      <w:pPr>
        <w:pStyle w:val="38"/>
        <w:spacing w:line="360" w:lineRule="auto"/>
        <w:rPr>
          <w:sz w:val="21"/>
          <w:szCs w:val="21"/>
        </w:rPr>
        <w:sectPr>
          <w:pgSz w:w="11905" w:h="16837"/>
          <w:pgMar w:top="1032" w:right="1100" w:bottom="1020" w:left="1070" w:header="0" w:footer="283" w:gutter="0"/>
          <w:pgNumType w:fmt="decimal"/>
          <w:cols w:space="720" w:num="1"/>
        </w:sectPr>
      </w:pPr>
    </w:p>
    <w:p w14:paraId="03575F75">
      <w:pPr>
        <w:pStyle w:val="38"/>
        <w:spacing w:line="360" w:lineRule="auto"/>
        <w:rPr>
          <w:sz w:val="21"/>
          <w:szCs w:val="21"/>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-153035</wp:posOffset>
            </wp:positionH>
            <wp:positionV relativeFrom="paragraph">
              <wp:posOffset>151130</wp:posOffset>
            </wp:positionV>
            <wp:extent cx="6305550" cy="8919845"/>
            <wp:effectExtent l="0" t="0" r="0" b="14605"/>
            <wp:wrapNone/>
            <wp:docPr id="1" name="图片 1" descr="淡竹乡大源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淡竹乡大源村"/>
                    <pic:cNvPicPr>
                      <a:picLocks noChangeAspect="1"/>
                    </pic:cNvPicPr>
                  </pic:nvPicPr>
                  <pic:blipFill>
                    <a:blip r:embed="rId10"/>
                    <a:stretch>
                      <a:fillRect/>
                    </a:stretch>
                  </pic:blipFill>
                  <pic:spPr>
                    <a:xfrm>
                      <a:off x="0" y="0"/>
                      <a:ext cx="6305550" cy="8919845"/>
                    </a:xfrm>
                    <a:prstGeom prst="rect">
                      <a:avLst/>
                    </a:prstGeom>
                  </pic:spPr>
                </pic:pic>
              </a:graphicData>
            </a:graphic>
          </wp:anchor>
        </w:drawing>
      </w:r>
    </w:p>
    <w:p w14:paraId="75CEA01E">
      <w:pPr>
        <w:pStyle w:val="38"/>
        <w:spacing w:line="360" w:lineRule="auto"/>
        <w:ind w:firstLine="420" w:firstLineChars="200"/>
        <w:rPr>
          <w:sz w:val="21"/>
          <w:szCs w:val="21"/>
        </w:rPr>
      </w:pPr>
    </w:p>
    <w:p w14:paraId="3BD80EDD">
      <w:pPr>
        <w:pStyle w:val="38"/>
        <w:spacing w:line="360" w:lineRule="auto"/>
        <w:ind w:firstLine="420" w:firstLineChars="200"/>
        <w:rPr>
          <w:sz w:val="21"/>
          <w:szCs w:val="21"/>
        </w:rPr>
      </w:pPr>
    </w:p>
    <w:p w14:paraId="02BFB7E4">
      <w:pPr>
        <w:pStyle w:val="38"/>
        <w:spacing w:line="360" w:lineRule="auto"/>
        <w:ind w:firstLine="420" w:firstLineChars="200"/>
        <w:rPr>
          <w:sz w:val="21"/>
          <w:szCs w:val="21"/>
        </w:rPr>
      </w:pPr>
    </w:p>
    <w:p w14:paraId="24D6D3E1">
      <w:pPr>
        <w:pStyle w:val="38"/>
        <w:spacing w:line="360" w:lineRule="auto"/>
        <w:ind w:firstLine="420" w:firstLineChars="200"/>
        <w:rPr>
          <w:sz w:val="21"/>
          <w:szCs w:val="21"/>
        </w:rPr>
      </w:pPr>
    </w:p>
    <w:p w14:paraId="6CCD25A5">
      <w:pPr>
        <w:pStyle w:val="38"/>
        <w:spacing w:line="360" w:lineRule="auto"/>
        <w:ind w:firstLine="420" w:firstLineChars="200"/>
        <w:rPr>
          <w:sz w:val="21"/>
          <w:szCs w:val="21"/>
        </w:rPr>
      </w:pPr>
    </w:p>
    <w:p w14:paraId="22685DE0">
      <w:pPr>
        <w:pStyle w:val="38"/>
        <w:spacing w:line="360" w:lineRule="auto"/>
        <w:ind w:firstLine="420" w:firstLineChars="200"/>
        <w:rPr>
          <w:sz w:val="21"/>
          <w:szCs w:val="21"/>
        </w:rPr>
      </w:pPr>
    </w:p>
    <w:p w14:paraId="364130D2">
      <w:pPr>
        <w:pStyle w:val="38"/>
        <w:spacing w:line="360" w:lineRule="auto"/>
        <w:ind w:firstLine="420" w:firstLineChars="200"/>
        <w:rPr>
          <w:sz w:val="21"/>
          <w:szCs w:val="21"/>
        </w:rPr>
      </w:pPr>
    </w:p>
    <w:p w14:paraId="4EAF24FE">
      <w:pPr>
        <w:pStyle w:val="38"/>
        <w:spacing w:line="360" w:lineRule="auto"/>
        <w:ind w:firstLine="420" w:firstLineChars="200"/>
        <w:rPr>
          <w:sz w:val="21"/>
          <w:szCs w:val="21"/>
        </w:rPr>
      </w:pPr>
    </w:p>
    <w:p w14:paraId="0F9637BE">
      <w:pPr>
        <w:pStyle w:val="38"/>
        <w:spacing w:line="360" w:lineRule="auto"/>
        <w:ind w:firstLine="420" w:firstLineChars="200"/>
        <w:rPr>
          <w:sz w:val="21"/>
          <w:szCs w:val="21"/>
        </w:rPr>
      </w:pPr>
    </w:p>
    <w:p w14:paraId="293DB341">
      <w:pPr>
        <w:pStyle w:val="38"/>
        <w:spacing w:line="360" w:lineRule="auto"/>
        <w:ind w:firstLine="420" w:firstLineChars="200"/>
        <w:rPr>
          <w:sz w:val="21"/>
          <w:szCs w:val="21"/>
        </w:rPr>
      </w:pPr>
    </w:p>
    <w:p w14:paraId="61017A06">
      <w:pPr>
        <w:pStyle w:val="38"/>
        <w:spacing w:line="360" w:lineRule="auto"/>
        <w:ind w:firstLine="420" w:firstLineChars="200"/>
        <w:rPr>
          <w:sz w:val="21"/>
          <w:szCs w:val="21"/>
        </w:rPr>
      </w:pPr>
    </w:p>
    <w:p w14:paraId="1F8220FE">
      <w:pPr>
        <w:pStyle w:val="38"/>
        <w:spacing w:line="360" w:lineRule="auto"/>
        <w:ind w:firstLine="420" w:firstLineChars="200"/>
        <w:rPr>
          <w:sz w:val="21"/>
          <w:szCs w:val="21"/>
        </w:rPr>
      </w:pPr>
    </w:p>
    <w:p w14:paraId="082363EE">
      <w:pPr>
        <w:pStyle w:val="38"/>
        <w:spacing w:line="360" w:lineRule="auto"/>
        <w:ind w:firstLine="420" w:firstLineChars="200"/>
        <w:rPr>
          <w:sz w:val="21"/>
          <w:szCs w:val="21"/>
        </w:rPr>
      </w:pPr>
    </w:p>
    <w:p w14:paraId="7AC75AC0">
      <w:pPr>
        <w:pStyle w:val="38"/>
        <w:spacing w:line="360" w:lineRule="auto"/>
        <w:ind w:firstLine="420" w:firstLineChars="200"/>
        <w:rPr>
          <w:sz w:val="21"/>
          <w:szCs w:val="21"/>
        </w:rPr>
      </w:pPr>
    </w:p>
    <w:p w14:paraId="40DD8286">
      <w:pPr>
        <w:pStyle w:val="38"/>
        <w:spacing w:line="360" w:lineRule="auto"/>
        <w:ind w:firstLine="420" w:firstLineChars="200"/>
        <w:rPr>
          <w:sz w:val="21"/>
          <w:szCs w:val="21"/>
        </w:rPr>
      </w:pPr>
    </w:p>
    <w:p w14:paraId="2E7B2FCE">
      <w:pPr>
        <w:pStyle w:val="38"/>
        <w:spacing w:line="360" w:lineRule="auto"/>
        <w:ind w:firstLine="420" w:firstLineChars="200"/>
        <w:rPr>
          <w:sz w:val="21"/>
          <w:szCs w:val="21"/>
        </w:rPr>
      </w:pPr>
    </w:p>
    <w:p w14:paraId="06A57AB7">
      <w:pPr>
        <w:pStyle w:val="38"/>
        <w:spacing w:line="360" w:lineRule="auto"/>
        <w:ind w:firstLine="420" w:firstLineChars="200"/>
        <w:rPr>
          <w:sz w:val="21"/>
          <w:szCs w:val="21"/>
        </w:rPr>
      </w:pPr>
    </w:p>
    <w:p w14:paraId="794C4817">
      <w:pPr>
        <w:pStyle w:val="38"/>
        <w:spacing w:line="360" w:lineRule="auto"/>
        <w:ind w:firstLine="420" w:firstLineChars="200"/>
        <w:rPr>
          <w:sz w:val="21"/>
          <w:szCs w:val="21"/>
        </w:rPr>
      </w:pPr>
    </w:p>
    <w:p w14:paraId="57AF64D7">
      <w:pPr>
        <w:pStyle w:val="38"/>
        <w:spacing w:line="360" w:lineRule="auto"/>
        <w:ind w:firstLine="420" w:firstLineChars="200"/>
        <w:rPr>
          <w:sz w:val="21"/>
          <w:szCs w:val="21"/>
        </w:rPr>
      </w:pPr>
    </w:p>
    <w:p w14:paraId="2D121DE3">
      <w:pPr>
        <w:pStyle w:val="38"/>
        <w:spacing w:line="360" w:lineRule="auto"/>
        <w:ind w:firstLine="420" w:firstLineChars="200"/>
        <w:rPr>
          <w:sz w:val="21"/>
          <w:szCs w:val="21"/>
        </w:rPr>
      </w:pPr>
    </w:p>
    <w:p w14:paraId="71F47855">
      <w:pPr>
        <w:pStyle w:val="38"/>
        <w:spacing w:line="360" w:lineRule="auto"/>
        <w:ind w:firstLine="420" w:firstLineChars="200"/>
        <w:rPr>
          <w:sz w:val="21"/>
          <w:szCs w:val="21"/>
        </w:rPr>
      </w:pPr>
    </w:p>
    <w:p w14:paraId="5A3395A3">
      <w:pPr>
        <w:pStyle w:val="38"/>
        <w:spacing w:line="360" w:lineRule="auto"/>
        <w:ind w:firstLine="420" w:firstLineChars="200"/>
        <w:rPr>
          <w:sz w:val="21"/>
          <w:szCs w:val="21"/>
        </w:rPr>
      </w:pPr>
    </w:p>
    <w:p w14:paraId="0E68E60D">
      <w:pPr>
        <w:pStyle w:val="38"/>
        <w:spacing w:line="360" w:lineRule="auto"/>
        <w:ind w:firstLine="420" w:firstLineChars="200"/>
        <w:rPr>
          <w:sz w:val="21"/>
          <w:szCs w:val="21"/>
        </w:rPr>
      </w:pPr>
    </w:p>
    <w:p w14:paraId="1FD1B1F0">
      <w:pPr>
        <w:pStyle w:val="38"/>
        <w:spacing w:line="360" w:lineRule="auto"/>
        <w:ind w:firstLine="420" w:firstLineChars="200"/>
        <w:rPr>
          <w:sz w:val="21"/>
          <w:szCs w:val="21"/>
        </w:rPr>
      </w:pPr>
    </w:p>
    <w:p w14:paraId="3822AA5D">
      <w:pPr>
        <w:pStyle w:val="38"/>
        <w:spacing w:line="360" w:lineRule="auto"/>
        <w:ind w:firstLine="420" w:firstLineChars="200"/>
        <w:rPr>
          <w:sz w:val="21"/>
          <w:szCs w:val="21"/>
        </w:rPr>
      </w:pPr>
    </w:p>
    <w:p w14:paraId="64E02025">
      <w:pPr>
        <w:pStyle w:val="38"/>
        <w:spacing w:line="360" w:lineRule="auto"/>
        <w:ind w:firstLine="420" w:firstLineChars="200"/>
        <w:rPr>
          <w:sz w:val="21"/>
          <w:szCs w:val="21"/>
        </w:rPr>
      </w:pPr>
    </w:p>
    <w:p w14:paraId="4606C178">
      <w:pPr>
        <w:pStyle w:val="38"/>
        <w:spacing w:line="360" w:lineRule="auto"/>
        <w:ind w:firstLine="420" w:firstLineChars="200"/>
        <w:rPr>
          <w:sz w:val="21"/>
          <w:szCs w:val="21"/>
        </w:rPr>
      </w:pPr>
    </w:p>
    <w:p w14:paraId="4217CA54">
      <w:pPr>
        <w:pStyle w:val="38"/>
        <w:spacing w:line="360" w:lineRule="auto"/>
        <w:ind w:firstLine="420" w:firstLineChars="200"/>
        <w:rPr>
          <w:sz w:val="21"/>
          <w:szCs w:val="21"/>
        </w:rPr>
      </w:pPr>
    </w:p>
    <w:p w14:paraId="7863F7DC">
      <w:pPr>
        <w:pStyle w:val="38"/>
        <w:spacing w:line="360" w:lineRule="auto"/>
        <w:ind w:firstLine="420" w:firstLineChars="200"/>
        <w:rPr>
          <w:sz w:val="21"/>
          <w:szCs w:val="21"/>
        </w:rPr>
      </w:pPr>
    </w:p>
    <w:p w14:paraId="01D97151">
      <w:pPr>
        <w:pStyle w:val="38"/>
        <w:spacing w:line="360" w:lineRule="auto"/>
        <w:ind w:firstLine="420" w:firstLineChars="200"/>
        <w:rPr>
          <w:sz w:val="21"/>
          <w:szCs w:val="21"/>
        </w:rPr>
      </w:pPr>
    </w:p>
    <w:p w14:paraId="5CB19C97">
      <w:pPr>
        <w:pStyle w:val="38"/>
        <w:spacing w:line="360" w:lineRule="auto"/>
        <w:ind w:firstLine="420" w:firstLineChars="200"/>
        <w:rPr>
          <w:sz w:val="21"/>
          <w:szCs w:val="21"/>
        </w:rPr>
      </w:pPr>
    </w:p>
    <w:p w14:paraId="31F5353B">
      <w:pPr>
        <w:pStyle w:val="38"/>
        <w:spacing w:line="360" w:lineRule="auto"/>
        <w:ind w:firstLine="420" w:firstLineChars="200"/>
        <w:rPr>
          <w:sz w:val="21"/>
          <w:szCs w:val="21"/>
        </w:rPr>
      </w:pPr>
    </w:p>
    <w:p w14:paraId="467EBD72">
      <w:pPr>
        <w:pStyle w:val="38"/>
        <w:spacing w:line="360" w:lineRule="auto"/>
        <w:ind w:firstLine="420" w:firstLineChars="200"/>
        <w:rPr>
          <w:sz w:val="21"/>
          <w:szCs w:val="21"/>
        </w:rPr>
      </w:pPr>
    </w:p>
    <w:p w14:paraId="4160501B">
      <w:pPr>
        <w:pStyle w:val="38"/>
        <w:spacing w:line="360" w:lineRule="auto"/>
        <w:ind w:firstLine="420" w:firstLineChars="200"/>
        <w:rPr>
          <w:sz w:val="21"/>
          <w:szCs w:val="21"/>
        </w:rPr>
      </w:pPr>
    </w:p>
    <w:p w14:paraId="59893730">
      <w:pPr>
        <w:pStyle w:val="38"/>
        <w:spacing w:line="360" w:lineRule="auto"/>
        <w:rPr>
          <w:sz w:val="21"/>
          <w:szCs w:val="21"/>
        </w:rPr>
      </w:pPr>
    </w:p>
    <w:p w14:paraId="31978BB0">
      <w:pPr>
        <w:pStyle w:val="38"/>
        <w:spacing w:line="360" w:lineRule="auto"/>
        <w:rPr>
          <w:sz w:val="21"/>
          <w:szCs w:val="21"/>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-55245</wp:posOffset>
            </wp:positionH>
            <wp:positionV relativeFrom="paragraph">
              <wp:posOffset>107950</wp:posOffset>
            </wp:positionV>
            <wp:extent cx="6459855" cy="9030970"/>
            <wp:effectExtent l="0" t="0" r="17145" b="17780"/>
            <wp:wrapNone/>
            <wp:docPr id="3" name="图片 3" descr="淡竹乡尚仁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淡竹乡尚仁村"/>
                    <pic:cNvPicPr>
                      <a:picLocks noChangeAspect="1"/>
                    </pic:cNvPicPr>
                  </pic:nvPicPr>
                  <pic:blipFill>
                    <a:blip r:embed="rId11"/>
                    <a:stretch>
                      <a:fillRect/>
                    </a:stretch>
                  </pic:blipFill>
                  <pic:spPr>
                    <a:xfrm>
                      <a:off x="0" y="0"/>
                      <a:ext cx="6459855" cy="9030970"/>
                    </a:xfrm>
                    <a:prstGeom prst="rect">
                      <a:avLst/>
                    </a:prstGeom>
                  </pic:spPr>
                </pic:pic>
              </a:graphicData>
            </a:graphic>
          </wp:anchor>
        </w:drawing>
      </w:r>
    </w:p>
    <w:p w14:paraId="02F03E89">
      <w:pPr>
        <w:pStyle w:val="38"/>
        <w:spacing w:line="360" w:lineRule="auto"/>
        <w:ind w:firstLine="420" w:firstLineChars="200"/>
        <w:rPr>
          <w:sz w:val="21"/>
          <w:szCs w:val="21"/>
        </w:rPr>
      </w:pPr>
    </w:p>
    <w:p w14:paraId="3BD9DD3C">
      <w:pPr>
        <w:pStyle w:val="38"/>
        <w:spacing w:line="360" w:lineRule="auto"/>
        <w:ind w:firstLine="420" w:firstLineChars="200"/>
        <w:rPr>
          <w:sz w:val="21"/>
          <w:szCs w:val="21"/>
        </w:rPr>
      </w:pPr>
    </w:p>
    <w:p w14:paraId="666F325B">
      <w:pPr>
        <w:pStyle w:val="38"/>
        <w:spacing w:line="360" w:lineRule="auto"/>
        <w:ind w:firstLine="420" w:firstLineChars="200"/>
        <w:rPr>
          <w:sz w:val="21"/>
          <w:szCs w:val="21"/>
        </w:rPr>
      </w:pPr>
    </w:p>
    <w:p w14:paraId="5CB1E28F">
      <w:pPr>
        <w:pStyle w:val="38"/>
        <w:spacing w:line="360" w:lineRule="auto"/>
        <w:ind w:firstLine="420" w:firstLineChars="200"/>
        <w:rPr>
          <w:sz w:val="21"/>
          <w:szCs w:val="21"/>
        </w:rPr>
      </w:pPr>
    </w:p>
    <w:p w14:paraId="393DF239">
      <w:pPr>
        <w:pStyle w:val="38"/>
        <w:spacing w:line="360" w:lineRule="auto"/>
        <w:ind w:firstLine="420" w:firstLineChars="200"/>
        <w:rPr>
          <w:sz w:val="21"/>
          <w:szCs w:val="21"/>
        </w:rPr>
      </w:pPr>
    </w:p>
    <w:p w14:paraId="1D2B7B9B">
      <w:pPr>
        <w:pStyle w:val="38"/>
        <w:spacing w:line="360" w:lineRule="auto"/>
        <w:ind w:firstLine="420" w:firstLineChars="200"/>
        <w:rPr>
          <w:sz w:val="21"/>
          <w:szCs w:val="21"/>
        </w:rPr>
      </w:pPr>
    </w:p>
    <w:p w14:paraId="13B97D36">
      <w:pPr>
        <w:pStyle w:val="38"/>
        <w:spacing w:line="360" w:lineRule="auto"/>
        <w:ind w:firstLine="420" w:firstLineChars="200"/>
        <w:rPr>
          <w:sz w:val="21"/>
          <w:szCs w:val="21"/>
        </w:rPr>
      </w:pPr>
    </w:p>
    <w:p w14:paraId="168667D1">
      <w:pPr>
        <w:pStyle w:val="38"/>
        <w:spacing w:line="360" w:lineRule="auto"/>
        <w:ind w:firstLine="420" w:firstLineChars="200"/>
        <w:rPr>
          <w:sz w:val="21"/>
          <w:szCs w:val="21"/>
        </w:rPr>
      </w:pPr>
    </w:p>
    <w:p w14:paraId="241753B4">
      <w:pPr>
        <w:pStyle w:val="38"/>
        <w:spacing w:line="360" w:lineRule="auto"/>
        <w:rPr>
          <w:sz w:val="21"/>
          <w:szCs w:val="21"/>
        </w:rPr>
      </w:pPr>
    </w:p>
    <w:p w14:paraId="11FF6ED1">
      <w:pPr>
        <w:pStyle w:val="38"/>
        <w:spacing w:line="360" w:lineRule="auto"/>
        <w:ind w:firstLine="420" w:firstLineChars="200"/>
        <w:rPr>
          <w:sz w:val="21"/>
          <w:szCs w:val="21"/>
        </w:rPr>
      </w:pPr>
    </w:p>
    <w:p w14:paraId="464C9C49">
      <w:pPr>
        <w:pStyle w:val="38"/>
        <w:spacing w:line="360" w:lineRule="auto"/>
        <w:ind w:firstLine="420" w:firstLineChars="200"/>
        <w:rPr>
          <w:sz w:val="21"/>
          <w:szCs w:val="21"/>
        </w:rPr>
      </w:pPr>
    </w:p>
    <w:p w14:paraId="34A9C130">
      <w:pPr>
        <w:pStyle w:val="38"/>
        <w:spacing w:line="360" w:lineRule="auto"/>
        <w:ind w:firstLine="420" w:firstLineChars="200"/>
        <w:rPr>
          <w:sz w:val="21"/>
          <w:szCs w:val="21"/>
        </w:rPr>
      </w:pPr>
    </w:p>
    <w:p w14:paraId="5DF92303">
      <w:pPr>
        <w:pStyle w:val="38"/>
        <w:spacing w:line="360" w:lineRule="auto"/>
        <w:ind w:firstLine="420" w:firstLineChars="200"/>
        <w:rPr>
          <w:sz w:val="21"/>
          <w:szCs w:val="21"/>
        </w:rPr>
      </w:pPr>
    </w:p>
    <w:p w14:paraId="5087027E">
      <w:pPr>
        <w:pStyle w:val="38"/>
        <w:spacing w:line="360" w:lineRule="auto"/>
        <w:ind w:firstLine="420" w:firstLineChars="200"/>
        <w:rPr>
          <w:sz w:val="21"/>
          <w:szCs w:val="21"/>
        </w:rPr>
      </w:pPr>
    </w:p>
    <w:p w14:paraId="4F6AE985">
      <w:pPr>
        <w:pStyle w:val="38"/>
        <w:spacing w:line="360" w:lineRule="auto"/>
        <w:ind w:firstLine="420" w:firstLineChars="200"/>
        <w:rPr>
          <w:sz w:val="21"/>
          <w:szCs w:val="21"/>
        </w:rPr>
      </w:pPr>
    </w:p>
    <w:p w14:paraId="5F8A5E1A">
      <w:pPr>
        <w:pStyle w:val="38"/>
        <w:spacing w:line="360" w:lineRule="auto"/>
        <w:ind w:firstLine="420" w:firstLineChars="200"/>
        <w:rPr>
          <w:sz w:val="21"/>
          <w:szCs w:val="21"/>
        </w:rPr>
      </w:pPr>
    </w:p>
    <w:p w14:paraId="063567CB">
      <w:pPr>
        <w:pStyle w:val="38"/>
        <w:spacing w:line="360" w:lineRule="auto"/>
        <w:ind w:firstLine="420" w:firstLineChars="200"/>
        <w:rPr>
          <w:sz w:val="21"/>
          <w:szCs w:val="21"/>
        </w:rPr>
      </w:pPr>
    </w:p>
    <w:p w14:paraId="1872FE55">
      <w:pPr>
        <w:pStyle w:val="38"/>
        <w:spacing w:line="360" w:lineRule="auto"/>
        <w:ind w:firstLine="420" w:firstLineChars="200"/>
        <w:rPr>
          <w:sz w:val="21"/>
          <w:szCs w:val="21"/>
        </w:rPr>
      </w:pPr>
    </w:p>
    <w:p w14:paraId="6D384CF8">
      <w:pPr>
        <w:pStyle w:val="38"/>
        <w:spacing w:line="360" w:lineRule="auto"/>
        <w:ind w:firstLine="420" w:firstLineChars="200"/>
        <w:rPr>
          <w:sz w:val="21"/>
          <w:szCs w:val="21"/>
        </w:rPr>
      </w:pPr>
    </w:p>
    <w:p w14:paraId="60B60E4D">
      <w:pPr>
        <w:pStyle w:val="38"/>
        <w:spacing w:line="360" w:lineRule="auto"/>
        <w:ind w:firstLine="420" w:firstLineChars="200"/>
        <w:rPr>
          <w:sz w:val="21"/>
          <w:szCs w:val="21"/>
        </w:rPr>
      </w:pPr>
    </w:p>
    <w:p w14:paraId="2E7E3130">
      <w:pPr>
        <w:pStyle w:val="38"/>
        <w:spacing w:line="360" w:lineRule="auto"/>
        <w:ind w:firstLine="420" w:firstLineChars="200"/>
        <w:rPr>
          <w:sz w:val="21"/>
          <w:szCs w:val="21"/>
        </w:rPr>
      </w:pPr>
    </w:p>
    <w:p w14:paraId="6B77A2F0">
      <w:pPr>
        <w:pStyle w:val="38"/>
        <w:spacing w:line="360" w:lineRule="auto"/>
        <w:ind w:firstLine="420" w:firstLineChars="200"/>
        <w:rPr>
          <w:sz w:val="21"/>
          <w:szCs w:val="21"/>
        </w:rPr>
      </w:pPr>
    </w:p>
    <w:p w14:paraId="1055FA24">
      <w:pPr>
        <w:pStyle w:val="38"/>
        <w:spacing w:line="360" w:lineRule="auto"/>
        <w:ind w:firstLine="420" w:firstLineChars="200"/>
        <w:rPr>
          <w:sz w:val="21"/>
          <w:szCs w:val="21"/>
        </w:rPr>
      </w:pPr>
    </w:p>
    <w:p w14:paraId="76093DD1">
      <w:pPr>
        <w:pStyle w:val="38"/>
        <w:spacing w:line="360" w:lineRule="auto"/>
        <w:ind w:firstLine="420" w:firstLineChars="200"/>
        <w:rPr>
          <w:sz w:val="21"/>
          <w:szCs w:val="21"/>
        </w:rPr>
      </w:pPr>
    </w:p>
    <w:p w14:paraId="5D91BFD6">
      <w:pPr>
        <w:pStyle w:val="38"/>
        <w:spacing w:line="360" w:lineRule="auto"/>
        <w:ind w:firstLine="420" w:firstLineChars="200"/>
        <w:rPr>
          <w:sz w:val="21"/>
          <w:szCs w:val="21"/>
        </w:rPr>
      </w:pPr>
    </w:p>
    <w:p w14:paraId="1E3BB68E">
      <w:pPr>
        <w:pStyle w:val="38"/>
        <w:spacing w:line="360" w:lineRule="auto"/>
        <w:ind w:firstLine="420" w:firstLineChars="200"/>
        <w:rPr>
          <w:sz w:val="21"/>
          <w:szCs w:val="21"/>
        </w:rPr>
      </w:pPr>
    </w:p>
    <w:p w14:paraId="2CFAF87D">
      <w:pPr>
        <w:pStyle w:val="38"/>
        <w:spacing w:line="360" w:lineRule="auto"/>
        <w:ind w:firstLine="420" w:firstLineChars="200"/>
        <w:rPr>
          <w:sz w:val="21"/>
          <w:szCs w:val="21"/>
        </w:rPr>
      </w:pPr>
    </w:p>
    <w:p w14:paraId="443C68C8">
      <w:pPr>
        <w:pStyle w:val="38"/>
        <w:spacing w:line="360" w:lineRule="auto"/>
        <w:ind w:firstLine="420" w:firstLineChars="200"/>
        <w:rPr>
          <w:sz w:val="21"/>
          <w:szCs w:val="21"/>
        </w:rPr>
      </w:pPr>
    </w:p>
    <w:p w14:paraId="5E4197CE">
      <w:pPr>
        <w:pStyle w:val="38"/>
        <w:spacing w:line="360" w:lineRule="auto"/>
        <w:ind w:firstLine="420" w:firstLineChars="200"/>
        <w:rPr>
          <w:sz w:val="21"/>
          <w:szCs w:val="21"/>
        </w:rPr>
      </w:pPr>
    </w:p>
    <w:p w14:paraId="464951AB">
      <w:pPr>
        <w:pStyle w:val="38"/>
        <w:spacing w:line="360" w:lineRule="auto"/>
        <w:ind w:firstLine="420" w:firstLineChars="200"/>
        <w:rPr>
          <w:sz w:val="21"/>
          <w:szCs w:val="21"/>
        </w:rPr>
      </w:pPr>
    </w:p>
    <w:p w14:paraId="734A50E9">
      <w:pPr>
        <w:pStyle w:val="38"/>
        <w:spacing w:line="360" w:lineRule="auto"/>
        <w:ind w:firstLine="420" w:firstLineChars="200"/>
        <w:rPr>
          <w:sz w:val="21"/>
          <w:szCs w:val="21"/>
        </w:rPr>
      </w:pPr>
    </w:p>
    <w:p w14:paraId="5BBE5E10">
      <w:pPr>
        <w:pStyle w:val="38"/>
        <w:spacing w:line="360" w:lineRule="auto"/>
        <w:ind w:firstLine="420" w:firstLineChars="200"/>
        <w:rPr>
          <w:sz w:val="21"/>
          <w:szCs w:val="21"/>
        </w:rPr>
      </w:pPr>
    </w:p>
    <w:p w14:paraId="792E914E">
      <w:pPr>
        <w:pStyle w:val="38"/>
        <w:spacing w:line="360" w:lineRule="auto"/>
        <w:ind w:firstLine="420" w:firstLineChars="200"/>
        <w:rPr>
          <w:sz w:val="21"/>
          <w:szCs w:val="21"/>
        </w:rPr>
      </w:pPr>
    </w:p>
    <w:p w14:paraId="21D3DDA4">
      <w:pPr>
        <w:pStyle w:val="38"/>
        <w:spacing w:line="360" w:lineRule="auto"/>
        <w:ind w:firstLine="420" w:firstLineChars="200"/>
        <w:rPr>
          <w:sz w:val="21"/>
          <w:szCs w:val="21"/>
        </w:rPr>
      </w:pPr>
    </w:p>
    <w:p w14:paraId="161F5603">
      <w:pPr>
        <w:pStyle w:val="38"/>
        <w:spacing w:line="360" w:lineRule="auto"/>
        <w:rPr>
          <w:sz w:val="21"/>
          <w:szCs w:val="21"/>
        </w:rPr>
      </w:pPr>
    </w:p>
    <w:p w14:paraId="2928C52E">
      <w:pPr>
        <w:pStyle w:val="38"/>
        <w:spacing w:line="360" w:lineRule="auto"/>
        <w:ind w:firstLine="480" w:firstLineChars="200"/>
        <w:rPr>
          <w:sz w:val="21"/>
          <w:szCs w:val="21"/>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-20320</wp:posOffset>
            </wp:positionH>
            <wp:positionV relativeFrom="paragraph">
              <wp:posOffset>25400</wp:posOffset>
            </wp:positionV>
            <wp:extent cx="6417945" cy="9079230"/>
            <wp:effectExtent l="0" t="0" r="1905" b="7620"/>
            <wp:wrapNone/>
            <wp:docPr id="7" name="图片 7" descr="淡竹乡下叶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淡竹乡下叶村-1"/>
                    <pic:cNvPicPr>
                      <a:picLocks noChangeAspect="1"/>
                    </pic:cNvPicPr>
                  </pic:nvPicPr>
                  <pic:blipFill>
                    <a:blip r:embed="rId12"/>
                    <a:stretch>
                      <a:fillRect/>
                    </a:stretch>
                  </pic:blipFill>
                  <pic:spPr>
                    <a:xfrm>
                      <a:off x="0" y="0"/>
                      <a:ext cx="6417945" cy="9079230"/>
                    </a:xfrm>
                    <a:prstGeom prst="rect">
                      <a:avLst/>
                    </a:prstGeom>
                  </pic:spPr>
                </pic:pic>
              </a:graphicData>
            </a:graphic>
          </wp:anchor>
        </w:drawing>
      </w:r>
    </w:p>
    <w:p w14:paraId="34B76610">
      <w:pPr>
        <w:pStyle w:val="38"/>
        <w:spacing w:line="360" w:lineRule="auto"/>
        <w:ind w:firstLine="420" w:firstLineChars="200"/>
        <w:rPr>
          <w:sz w:val="21"/>
          <w:szCs w:val="21"/>
        </w:rPr>
      </w:pPr>
    </w:p>
    <w:p w14:paraId="286D4435">
      <w:pPr>
        <w:pStyle w:val="38"/>
        <w:spacing w:line="360" w:lineRule="auto"/>
        <w:rPr>
          <w:sz w:val="21"/>
          <w:szCs w:val="21"/>
        </w:rPr>
      </w:pPr>
    </w:p>
    <w:p w14:paraId="5064B602">
      <w:pPr>
        <w:pStyle w:val="38"/>
        <w:spacing w:line="360" w:lineRule="auto"/>
        <w:ind w:firstLine="420" w:firstLineChars="200"/>
        <w:rPr>
          <w:sz w:val="21"/>
          <w:szCs w:val="21"/>
        </w:rPr>
      </w:pPr>
    </w:p>
    <w:p w14:paraId="027584B8">
      <w:pPr>
        <w:pStyle w:val="38"/>
        <w:spacing w:line="360" w:lineRule="auto"/>
        <w:ind w:firstLine="420" w:firstLineChars="200"/>
        <w:rPr>
          <w:sz w:val="21"/>
          <w:szCs w:val="21"/>
        </w:rPr>
      </w:pPr>
    </w:p>
    <w:p w14:paraId="16D1AACF">
      <w:pPr>
        <w:pStyle w:val="38"/>
        <w:spacing w:line="360" w:lineRule="auto"/>
        <w:ind w:firstLine="420" w:firstLineChars="200"/>
        <w:rPr>
          <w:sz w:val="21"/>
          <w:szCs w:val="21"/>
        </w:rPr>
      </w:pPr>
    </w:p>
    <w:p w14:paraId="563A8752">
      <w:pPr>
        <w:pStyle w:val="38"/>
        <w:spacing w:line="360" w:lineRule="auto"/>
        <w:ind w:firstLine="420" w:firstLineChars="200"/>
        <w:rPr>
          <w:sz w:val="21"/>
          <w:szCs w:val="21"/>
        </w:rPr>
      </w:pPr>
    </w:p>
    <w:p w14:paraId="5D3CE105">
      <w:pPr>
        <w:pStyle w:val="38"/>
        <w:spacing w:line="360" w:lineRule="auto"/>
        <w:ind w:firstLine="420" w:firstLineChars="200"/>
        <w:rPr>
          <w:sz w:val="21"/>
          <w:szCs w:val="21"/>
        </w:rPr>
      </w:pPr>
    </w:p>
    <w:p w14:paraId="3C76A263">
      <w:pPr>
        <w:pStyle w:val="39"/>
        <w:rPr>
          <w:szCs w:val="21"/>
        </w:rPr>
      </w:pPr>
    </w:p>
    <w:p w14:paraId="07A5C128">
      <w:pPr>
        <w:rPr>
          <w:szCs w:val="21"/>
        </w:rPr>
      </w:pPr>
    </w:p>
    <w:p w14:paraId="3768DACD">
      <w:pPr>
        <w:rPr>
          <w:szCs w:val="21"/>
        </w:rPr>
      </w:pPr>
    </w:p>
    <w:p w14:paraId="2BAFE299">
      <w:pPr>
        <w:rPr>
          <w:szCs w:val="21"/>
        </w:rPr>
      </w:pPr>
    </w:p>
    <w:p w14:paraId="6CA34A9C">
      <w:pPr>
        <w:rPr>
          <w:szCs w:val="21"/>
        </w:rPr>
      </w:pPr>
    </w:p>
    <w:p w14:paraId="04E38301">
      <w:pPr>
        <w:rPr>
          <w:szCs w:val="21"/>
        </w:rPr>
      </w:pPr>
    </w:p>
    <w:p w14:paraId="5F131046">
      <w:pPr>
        <w:rPr>
          <w:szCs w:val="21"/>
        </w:rPr>
      </w:pPr>
    </w:p>
    <w:p w14:paraId="782EFE16">
      <w:pPr>
        <w:rPr>
          <w:szCs w:val="21"/>
        </w:rPr>
      </w:pPr>
    </w:p>
    <w:p w14:paraId="408CA346">
      <w:pPr>
        <w:rPr>
          <w:szCs w:val="21"/>
        </w:rPr>
      </w:pPr>
    </w:p>
    <w:p w14:paraId="38226C97">
      <w:pPr>
        <w:rPr>
          <w:szCs w:val="21"/>
        </w:rPr>
      </w:pPr>
    </w:p>
    <w:p w14:paraId="58037143">
      <w:pPr>
        <w:rPr>
          <w:szCs w:val="21"/>
        </w:rPr>
      </w:pPr>
    </w:p>
    <w:p w14:paraId="6FFD4CF6">
      <w:pPr>
        <w:rPr>
          <w:szCs w:val="21"/>
        </w:rPr>
      </w:pPr>
    </w:p>
    <w:p w14:paraId="0B87502E">
      <w:pPr>
        <w:rPr>
          <w:szCs w:val="21"/>
        </w:rPr>
      </w:pPr>
    </w:p>
    <w:p w14:paraId="76DA14DE">
      <w:pPr>
        <w:pStyle w:val="38"/>
        <w:spacing w:line="360" w:lineRule="auto"/>
        <w:ind w:firstLine="420" w:firstLineChars="200"/>
        <w:rPr>
          <w:sz w:val="21"/>
          <w:szCs w:val="21"/>
        </w:rPr>
      </w:pPr>
    </w:p>
    <w:p w14:paraId="1C343EF0">
      <w:pPr>
        <w:pStyle w:val="38"/>
        <w:spacing w:line="360" w:lineRule="auto"/>
        <w:ind w:firstLine="420" w:firstLineChars="200"/>
        <w:rPr>
          <w:sz w:val="21"/>
          <w:szCs w:val="21"/>
        </w:rPr>
      </w:pPr>
    </w:p>
    <w:p w14:paraId="60396504">
      <w:pPr>
        <w:pStyle w:val="38"/>
        <w:spacing w:line="360" w:lineRule="auto"/>
        <w:ind w:firstLine="420" w:firstLineChars="200"/>
        <w:rPr>
          <w:sz w:val="21"/>
          <w:szCs w:val="21"/>
        </w:rPr>
      </w:pPr>
    </w:p>
    <w:p w14:paraId="492D03E1">
      <w:pPr>
        <w:pStyle w:val="38"/>
        <w:spacing w:line="360" w:lineRule="auto"/>
        <w:ind w:firstLine="420" w:firstLineChars="200"/>
        <w:rPr>
          <w:sz w:val="21"/>
          <w:szCs w:val="21"/>
        </w:rPr>
      </w:pPr>
    </w:p>
    <w:p w14:paraId="00C136BA">
      <w:pPr>
        <w:pStyle w:val="38"/>
        <w:spacing w:line="360" w:lineRule="auto"/>
        <w:ind w:firstLine="420" w:firstLineChars="200"/>
        <w:rPr>
          <w:sz w:val="21"/>
          <w:szCs w:val="21"/>
        </w:rPr>
      </w:pPr>
    </w:p>
    <w:p w14:paraId="4CEF5CE6">
      <w:pPr>
        <w:pStyle w:val="38"/>
        <w:spacing w:line="360" w:lineRule="auto"/>
        <w:ind w:firstLine="420" w:firstLineChars="200"/>
        <w:rPr>
          <w:sz w:val="21"/>
          <w:szCs w:val="21"/>
        </w:rPr>
      </w:pPr>
    </w:p>
    <w:p w14:paraId="7BB28C3E">
      <w:pPr>
        <w:pStyle w:val="38"/>
        <w:spacing w:line="360" w:lineRule="auto"/>
        <w:ind w:firstLine="420" w:firstLineChars="200"/>
        <w:rPr>
          <w:sz w:val="21"/>
          <w:szCs w:val="21"/>
        </w:rPr>
      </w:pPr>
    </w:p>
    <w:p w14:paraId="664AF1BA">
      <w:pPr>
        <w:pStyle w:val="38"/>
        <w:spacing w:line="360" w:lineRule="auto"/>
        <w:ind w:firstLine="420" w:firstLineChars="200"/>
        <w:rPr>
          <w:sz w:val="21"/>
          <w:szCs w:val="21"/>
        </w:rPr>
      </w:pPr>
    </w:p>
    <w:p w14:paraId="11292D09">
      <w:pPr>
        <w:pStyle w:val="38"/>
        <w:spacing w:line="360" w:lineRule="auto"/>
        <w:ind w:firstLine="420" w:firstLineChars="200"/>
        <w:rPr>
          <w:sz w:val="21"/>
          <w:szCs w:val="21"/>
        </w:rPr>
      </w:pPr>
    </w:p>
    <w:p w14:paraId="640D8746">
      <w:pPr>
        <w:pStyle w:val="38"/>
        <w:spacing w:line="360" w:lineRule="auto"/>
        <w:ind w:firstLine="420" w:firstLineChars="200"/>
        <w:rPr>
          <w:sz w:val="21"/>
          <w:szCs w:val="21"/>
        </w:rPr>
      </w:pPr>
    </w:p>
    <w:p w14:paraId="252D0881">
      <w:pPr>
        <w:pStyle w:val="38"/>
        <w:spacing w:line="360" w:lineRule="auto"/>
        <w:ind w:firstLine="420" w:firstLineChars="200"/>
        <w:rPr>
          <w:sz w:val="21"/>
          <w:szCs w:val="21"/>
        </w:rPr>
      </w:pPr>
    </w:p>
    <w:p w14:paraId="6DC78FB2">
      <w:pPr>
        <w:pStyle w:val="38"/>
        <w:spacing w:line="360" w:lineRule="auto"/>
        <w:ind w:firstLine="420" w:firstLineChars="200"/>
        <w:rPr>
          <w:sz w:val="21"/>
          <w:szCs w:val="21"/>
        </w:rPr>
      </w:pPr>
    </w:p>
    <w:p w14:paraId="1CD315C1">
      <w:pPr>
        <w:pStyle w:val="38"/>
        <w:spacing w:line="360" w:lineRule="auto"/>
        <w:ind w:firstLine="420" w:firstLineChars="200"/>
        <w:rPr>
          <w:sz w:val="21"/>
          <w:szCs w:val="21"/>
        </w:rPr>
      </w:pPr>
    </w:p>
    <w:p w14:paraId="61F975E8">
      <w:pPr>
        <w:pStyle w:val="38"/>
        <w:spacing w:line="360" w:lineRule="auto"/>
        <w:ind w:firstLine="420" w:firstLineChars="200"/>
        <w:rPr>
          <w:sz w:val="21"/>
          <w:szCs w:val="21"/>
        </w:rPr>
      </w:pPr>
    </w:p>
    <w:p w14:paraId="377B8115">
      <w:pPr>
        <w:pStyle w:val="38"/>
        <w:spacing w:line="360" w:lineRule="auto"/>
        <w:ind w:firstLine="420" w:firstLineChars="200"/>
        <w:rPr>
          <w:sz w:val="21"/>
          <w:szCs w:val="21"/>
        </w:rPr>
      </w:pPr>
    </w:p>
    <w:p w14:paraId="64CE39AC">
      <w:pPr>
        <w:pStyle w:val="38"/>
        <w:spacing w:line="360" w:lineRule="auto"/>
        <w:ind w:firstLine="420" w:firstLineChars="200"/>
        <w:rPr>
          <w:sz w:val="21"/>
          <w:szCs w:val="21"/>
        </w:rPr>
      </w:pPr>
    </w:p>
    <w:p w14:paraId="675BDB41">
      <w:pPr>
        <w:pStyle w:val="38"/>
        <w:spacing w:line="360" w:lineRule="auto"/>
        <w:ind w:firstLine="420" w:firstLineChars="200"/>
        <w:rPr>
          <w:sz w:val="21"/>
          <w:szCs w:val="21"/>
        </w:rPr>
      </w:pPr>
    </w:p>
    <w:p w14:paraId="50594457">
      <w:pPr>
        <w:pStyle w:val="38"/>
        <w:spacing w:line="360" w:lineRule="auto"/>
        <w:ind w:firstLine="420" w:firstLineChars="200"/>
        <w:rPr>
          <w:sz w:val="21"/>
          <w:szCs w:val="21"/>
        </w:rPr>
      </w:pPr>
    </w:p>
    <w:p w14:paraId="0691275D">
      <w:pPr>
        <w:pStyle w:val="38"/>
        <w:spacing w:line="360" w:lineRule="auto"/>
        <w:ind w:firstLine="420" w:firstLineChars="200"/>
        <w:rPr>
          <w:sz w:val="21"/>
          <w:szCs w:val="21"/>
        </w:rPr>
      </w:pPr>
    </w:p>
    <w:p w14:paraId="1887FC56">
      <w:pPr>
        <w:pStyle w:val="39"/>
        <w:rPr>
          <w:szCs w:val="21"/>
        </w:rPr>
      </w:pPr>
    </w:p>
    <w:p w14:paraId="191ED4F6">
      <w:pPr>
        <w:rPr>
          <w:szCs w:val="21"/>
        </w:rPr>
      </w:pPr>
    </w:p>
    <w:p w14:paraId="44E73221">
      <w:pPr>
        <w:rPr>
          <w:szCs w:val="21"/>
        </w:rPr>
      </w:pPr>
    </w:p>
    <w:p w14:paraId="5863F190">
      <w:pPr>
        <w:rPr>
          <w:szCs w:val="21"/>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-149225</wp:posOffset>
            </wp:positionH>
            <wp:positionV relativeFrom="paragraph">
              <wp:posOffset>13970</wp:posOffset>
            </wp:positionV>
            <wp:extent cx="6561455" cy="9283700"/>
            <wp:effectExtent l="0" t="0" r="10795" b="12700"/>
            <wp:wrapNone/>
            <wp:docPr id="5" name="图片 5" descr="E:/仙居2024/仙居双重按村导出图片/淡竹/淡竹乡下叶村-2.jpg淡竹乡下叶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仙居2024/仙居双重按村导出图片/淡竹/淡竹乡下叶村-2.jpg淡竹乡下叶村-2"/>
                    <pic:cNvPicPr>
                      <a:picLocks noChangeAspect="1"/>
                    </pic:cNvPicPr>
                  </pic:nvPicPr>
                  <pic:blipFill>
                    <a:blip r:embed="rId13"/>
                    <a:srcRect l="12" r="12"/>
                    <a:stretch>
                      <a:fillRect/>
                    </a:stretch>
                  </pic:blipFill>
                  <pic:spPr>
                    <a:xfrm>
                      <a:off x="0" y="0"/>
                      <a:ext cx="6561455" cy="9283700"/>
                    </a:xfrm>
                    <a:prstGeom prst="rect">
                      <a:avLst/>
                    </a:prstGeom>
                  </pic:spPr>
                </pic:pic>
              </a:graphicData>
            </a:graphic>
          </wp:anchor>
        </w:drawing>
      </w:r>
    </w:p>
    <w:p w14:paraId="5A103F16">
      <w:pPr>
        <w:rPr>
          <w:szCs w:val="21"/>
        </w:rPr>
      </w:pPr>
    </w:p>
    <w:p w14:paraId="18974352">
      <w:pPr>
        <w:rPr>
          <w:szCs w:val="21"/>
        </w:rPr>
      </w:pPr>
    </w:p>
    <w:p w14:paraId="56BCE86F">
      <w:pPr>
        <w:rPr>
          <w:szCs w:val="21"/>
        </w:rPr>
      </w:pPr>
    </w:p>
    <w:p w14:paraId="51FFF524">
      <w:pPr>
        <w:rPr>
          <w:szCs w:val="21"/>
        </w:rPr>
      </w:pPr>
    </w:p>
    <w:p w14:paraId="4317985B">
      <w:pPr>
        <w:rPr>
          <w:szCs w:val="21"/>
        </w:rPr>
      </w:pPr>
    </w:p>
    <w:p w14:paraId="68461627">
      <w:pPr>
        <w:rPr>
          <w:szCs w:val="21"/>
        </w:rPr>
      </w:pPr>
    </w:p>
    <w:p w14:paraId="63BE1005">
      <w:pPr>
        <w:rPr>
          <w:szCs w:val="21"/>
        </w:rPr>
      </w:pPr>
    </w:p>
    <w:p w14:paraId="39070EF7">
      <w:pPr>
        <w:rPr>
          <w:szCs w:val="21"/>
        </w:rPr>
      </w:pPr>
    </w:p>
    <w:p w14:paraId="71C6D384">
      <w:pPr>
        <w:rPr>
          <w:szCs w:val="21"/>
        </w:rPr>
      </w:pPr>
    </w:p>
    <w:p w14:paraId="3FA46961">
      <w:pPr>
        <w:rPr>
          <w:szCs w:val="21"/>
        </w:rPr>
      </w:pPr>
    </w:p>
    <w:p w14:paraId="51D8EB18">
      <w:pPr>
        <w:rPr>
          <w:szCs w:val="21"/>
        </w:rPr>
      </w:pPr>
    </w:p>
    <w:p w14:paraId="19E31CE6">
      <w:pPr>
        <w:rPr>
          <w:szCs w:val="21"/>
        </w:rPr>
      </w:pPr>
    </w:p>
    <w:p w14:paraId="5FDEB14D">
      <w:pPr>
        <w:rPr>
          <w:szCs w:val="21"/>
        </w:rPr>
      </w:pPr>
    </w:p>
    <w:p w14:paraId="0D34E295">
      <w:pPr>
        <w:spacing w:before="132" w:line="227" w:lineRule="auto"/>
        <w:sectPr>
          <w:pgSz w:w="11905" w:h="16837"/>
          <w:pgMar w:top="1032" w:right="1100" w:bottom="1020" w:left="1070" w:header="0" w:footer="283" w:gutter="0"/>
          <w:pgNumType w:fmt="decimal"/>
          <w:cols w:space="720" w:num="1"/>
        </w:sectPr>
      </w:pPr>
    </w:p>
    <w:p w14:paraId="1C238837">
      <w:pPr>
        <w:tabs>
          <w:tab w:val="left" w:pos="8280"/>
        </w:tabs>
        <w:autoSpaceDE w:val="0"/>
        <w:autoSpaceDN w:val="0"/>
        <w:adjustRightInd w:val="0"/>
        <w:spacing w:line="360" w:lineRule="auto"/>
        <w:rPr>
          <w:rFonts w:ascii="宋体" w:hAnsi="宋体" w:cs="宋体"/>
          <w:b/>
          <w:szCs w:val="21"/>
        </w:rPr>
      </w:pPr>
      <w:r>
        <w:rPr>
          <w:rFonts w:hint="eastAsia" w:ascii="宋体" w:hAnsi="宋体" w:cs="宋体"/>
          <w:b/>
          <w:szCs w:val="21"/>
        </w:rPr>
        <w:t>四、技术规范</w:t>
      </w:r>
    </w:p>
    <w:p w14:paraId="1D07FC11">
      <w:pPr>
        <w:pStyle w:val="40"/>
        <w:spacing w:line="360" w:lineRule="auto"/>
        <w:ind w:firstLine="420" w:firstLineChars="200"/>
      </w:pPr>
      <w:r>
        <w:rPr>
          <w:rFonts w:hint="eastAsia"/>
          <w:lang w:val="en-US"/>
        </w:rPr>
        <w:t>详见作业设计。</w:t>
      </w:r>
      <w:r>
        <w:rPr>
          <w:rFonts w:hint="eastAsia"/>
        </w:rPr>
        <w:t xml:space="preserve"> </w:t>
      </w:r>
    </w:p>
    <w:p w14:paraId="43590CD3">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五、报价要求</w:t>
      </w:r>
    </w:p>
    <w:p w14:paraId="238066D8">
      <w:pPr>
        <w:pStyle w:val="40"/>
        <w:spacing w:line="360" w:lineRule="auto"/>
        <w:ind w:firstLine="420" w:firstLineChars="200"/>
        <w:rPr>
          <w:lang w:val="en-US"/>
        </w:rPr>
      </w:pPr>
      <w:r>
        <w:rPr>
          <w:rFonts w:hint="eastAsia"/>
          <w:lang w:val="en-US"/>
        </w:rPr>
        <w:t>1、承包方式</w:t>
      </w:r>
    </w:p>
    <w:p w14:paraId="6EC39046">
      <w:pPr>
        <w:pStyle w:val="40"/>
        <w:spacing w:line="360" w:lineRule="auto"/>
        <w:ind w:firstLine="420" w:firstLineChars="200"/>
        <w:rPr>
          <w:lang w:val="en-US"/>
        </w:rPr>
      </w:pPr>
      <w:r>
        <w:rPr>
          <w:rFonts w:hint="eastAsia"/>
          <w:lang w:val="en-US"/>
        </w:rPr>
        <w:t>包工、包料、包工期、包质量、包安全文明施工、验收合格等。</w:t>
      </w:r>
    </w:p>
    <w:p w14:paraId="60C492FF">
      <w:pPr>
        <w:pStyle w:val="40"/>
        <w:spacing w:line="360" w:lineRule="auto"/>
        <w:ind w:firstLine="420" w:firstLineChars="200"/>
        <w:rPr>
          <w:lang w:val="en-US"/>
        </w:rPr>
      </w:pPr>
      <w:r>
        <w:rPr>
          <w:rFonts w:hint="eastAsia"/>
          <w:lang w:val="en-US"/>
        </w:rPr>
        <w:t>2、计价方式</w:t>
      </w:r>
    </w:p>
    <w:p w14:paraId="109484E8">
      <w:pPr>
        <w:pStyle w:val="40"/>
        <w:spacing w:line="360" w:lineRule="auto"/>
        <w:ind w:firstLine="420" w:firstLineChars="200"/>
        <w:rPr>
          <w:lang w:val="en-US"/>
        </w:rPr>
      </w:pPr>
      <w:r>
        <w:rPr>
          <w:rFonts w:hint="eastAsia"/>
          <w:lang w:val="en-US"/>
        </w:rPr>
        <w:t>采用固定综合单价计价方式。</w:t>
      </w:r>
    </w:p>
    <w:p w14:paraId="36398F48">
      <w:pPr>
        <w:pStyle w:val="40"/>
        <w:spacing w:line="360" w:lineRule="auto"/>
        <w:ind w:firstLine="420" w:firstLineChars="200"/>
        <w:rPr>
          <w:lang w:val="en-US"/>
        </w:rPr>
      </w:pPr>
      <w:r>
        <w:rPr>
          <w:rFonts w:hint="eastAsia"/>
          <w:lang w:val="en-US"/>
        </w:rPr>
        <w:t>在合同执行期内直接费的综合单价及间接费的费率固定不变，工程量按实结算。</w:t>
      </w:r>
    </w:p>
    <w:p w14:paraId="2D4B0183">
      <w:pPr>
        <w:pStyle w:val="40"/>
        <w:spacing w:line="360" w:lineRule="auto"/>
        <w:ind w:firstLine="420" w:firstLineChars="200"/>
        <w:rPr>
          <w:lang w:val="en-US"/>
        </w:rPr>
      </w:pPr>
      <w:r>
        <w:rPr>
          <w:rFonts w:hint="eastAsia"/>
        </w:rPr>
        <w:t>直接工程费是指工程中的人工费、材料费（苗木、肥料、支撑架、遮荫棚等原材料和辅助材料的费用）、机械费</w:t>
      </w:r>
      <w:r>
        <w:rPr>
          <w:rFonts w:hint="eastAsia"/>
          <w:lang w:val="en-US"/>
        </w:rPr>
        <w:t>等。</w:t>
      </w:r>
    </w:p>
    <w:p w14:paraId="068405FF">
      <w:pPr>
        <w:pStyle w:val="40"/>
        <w:spacing w:line="360" w:lineRule="auto"/>
        <w:ind w:firstLine="420" w:firstLineChars="200"/>
      </w:pPr>
      <w:r>
        <w:rPr>
          <w:rFonts w:hint="eastAsia"/>
        </w:rPr>
        <w:t>施工组织措施费是指为完成营造林工程项目施工，发生于该工程施工前和施工过程中非工程实体项目的费用，包括安全防护与文明施工费（含文明施工费、环境保护费、临时设施费和安全施工费）、夜间施工增加费、材料二次搬运费（不包括材料上山和过河费用）、已完工程及设备保护费、冬雨季施工增加费等。</w:t>
      </w:r>
    </w:p>
    <w:p w14:paraId="6E7C573A">
      <w:pPr>
        <w:pStyle w:val="40"/>
        <w:spacing w:line="360" w:lineRule="auto"/>
        <w:ind w:firstLine="420" w:firstLineChars="200"/>
        <w:rPr>
          <w:lang w:val="en-US"/>
        </w:rPr>
      </w:pPr>
      <w:r>
        <w:rPr>
          <w:rFonts w:hint="eastAsia"/>
        </w:rPr>
        <w:t>企业管理费是指施工企业为组织和管理营造林工程项目施工所发生的各项经营管理费用，包括管理人员工资、办公费、差旅费、劳动保险费、固定资产使用费、职工培训费、工会费、财务费和咨询费等。</w:t>
      </w:r>
    </w:p>
    <w:p w14:paraId="6D97AD74">
      <w:pPr>
        <w:pStyle w:val="40"/>
        <w:spacing w:line="360" w:lineRule="auto"/>
        <w:ind w:firstLine="420" w:firstLineChars="200"/>
        <w:rPr>
          <w:lang w:val="en-US"/>
        </w:rPr>
      </w:pPr>
      <w:r>
        <w:rPr>
          <w:rFonts w:hint="eastAsia"/>
        </w:rPr>
        <w:t>规费指施工企业按照国家和地方政府有关部门规定必须缴纳或计取的费用，包括社会保障费（含养老保险费、失业保险费、医疗保险费、生育保险费、工伤保险费）、住房公积金等（简称“五险一金”）</w:t>
      </w:r>
      <w:r>
        <w:rPr>
          <w:rFonts w:hint="eastAsia"/>
          <w:lang w:val="en-US"/>
        </w:rPr>
        <w:t>。</w:t>
      </w:r>
    </w:p>
    <w:p w14:paraId="10B17A47">
      <w:pPr>
        <w:pStyle w:val="40"/>
        <w:spacing w:line="360" w:lineRule="auto"/>
        <w:ind w:firstLine="420" w:firstLineChars="200"/>
        <w:rPr>
          <w:lang w:val="en-US"/>
        </w:rPr>
      </w:pPr>
      <w:r>
        <w:rPr>
          <w:rFonts w:hint="eastAsia"/>
        </w:rPr>
        <w:t>利润是指营造林施工企业完成所承包工程应获得的盈利。</w:t>
      </w:r>
    </w:p>
    <w:p w14:paraId="12072021">
      <w:pPr>
        <w:pStyle w:val="40"/>
        <w:spacing w:line="360" w:lineRule="auto"/>
        <w:ind w:firstLine="420" w:firstLineChars="200"/>
        <w:rPr>
          <w:lang w:val="en-US"/>
        </w:rPr>
      </w:pPr>
      <w:r>
        <w:rPr>
          <w:rFonts w:hint="eastAsia"/>
        </w:rPr>
        <w:t>税金应根据国家税法规定的税率计取，本项目按小规模纳税人3%</w:t>
      </w:r>
      <w:r>
        <w:rPr>
          <w:rFonts w:hint="eastAsia"/>
          <w:lang w:val="en-US"/>
        </w:rPr>
        <w:t>计取。</w:t>
      </w:r>
    </w:p>
    <w:p w14:paraId="56C9019C">
      <w:pPr>
        <w:pStyle w:val="40"/>
        <w:spacing w:line="360" w:lineRule="auto"/>
        <w:ind w:firstLine="420" w:firstLineChars="200"/>
        <w:rPr>
          <w:lang w:val="en-US"/>
        </w:rPr>
      </w:pPr>
      <w:r>
        <w:rPr>
          <w:rFonts w:hint="eastAsia"/>
          <w:lang w:val="en-US"/>
        </w:rPr>
        <w:t>具体采购数量按实结算，采购人有权单方面做出决定增加或减少或取消数量，但不得调整综合单价。引起承包总价变化，最终以经审核的结算为准。</w:t>
      </w:r>
    </w:p>
    <w:p w14:paraId="52385755">
      <w:pPr>
        <w:numPr>
          <w:ilvl w:val="0"/>
          <w:numId w:val="2"/>
        </w:numPr>
        <w:tabs>
          <w:tab w:val="left" w:pos="8280"/>
        </w:tabs>
        <w:autoSpaceDE w:val="0"/>
        <w:autoSpaceDN w:val="0"/>
        <w:adjustRightInd w:val="0"/>
        <w:spacing w:line="360" w:lineRule="auto"/>
        <w:ind w:firstLine="422" w:firstLineChars="200"/>
        <w:rPr>
          <w:rFonts w:hint="eastAsia" w:ascii="宋体" w:hAnsi="宋体" w:cs="宋体"/>
          <w:b/>
          <w:szCs w:val="21"/>
        </w:rPr>
      </w:pPr>
      <w:r>
        <w:rPr>
          <w:rFonts w:hint="eastAsia" w:ascii="宋体" w:hAnsi="宋体" w:cs="宋体"/>
          <w:b/>
          <w:szCs w:val="21"/>
        </w:rPr>
        <w:t>施工要求</w:t>
      </w:r>
    </w:p>
    <w:p w14:paraId="0DBE37BC">
      <w:pPr>
        <w:spacing w:before="98" w:line="220" w:lineRule="auto"/>
        <w:ind w:left="702"/>
        <w:outlineLvl w:val="0"/>
        <w:rPr>
          <w:rFonts w:hint="eastAsia" w:ascii="Times New Roman" w:hAnsi="Times New Roman" w:eastAsia="宋体" w:cs="Times New Roman"/>
          <w:b/>
          <w:bCs/>
          <w:kern w:val="2"/>
          <w:sz w:val="21"/>
          <w:szCs w:val="24"/>
          <w:lang w:val="zh-CN" w:eastAsia="zh-CN" w:bidi="ar-SA"/>
        </w:rPr>
      </w:pPr>
      <w:bookmarkStart w:id="22" w:name="5.5.3_苗木质量管理"/>
      <w:bookmarkEnd w:id="22"/>
      <w:bookmarkStart w:id="23" w:name="_Toc9501"/>
      <w:bookmarkStart w:id="24" w:name="_Toc653"/>
      <w:r>
        <w:rPr>
          <w:rFonts w:hint="eastAsia" w:ascii="Times New Roman" w:hAnsi="Times New Roman" w:eastAsia="宋体" w:cs="Times New Roman"/>
          <w:b/>
          <w:bCs/>
          <w:kern w:val="2"/>
          <w:sz w:val="21"/>
          <w:szCs w:val="24"/>
          <w:lang w:val="en-US" w:eastAsia="zh-CN" w:bidi="ar-SA"/>
        </w:rPr>
        <w:t>1、</w:t>
      </w:r>
      <w:r>
        <w:rPr>
          <w:rFonts w:hint="eastAsia" w:ascii="Times New Roman" w:hAnsi="Times New Roman" w:eastAsia="宋体" w:cs="Times New Roman"/>
          <w:b/>
          <w:bCs/>
          <w:kern w:val="2"/>
          <w:sz w:val="21"/>
          <w:szCs w:val="24"/>
          <w:lang w:val="zh-CN" w:eastAsia="zh-CN" w:bidi="ar-SA"/>
        </w:rPr>
        <w:t>实施地点</w:t>
      </w:r>
      <w:bookmarkEnd w:id="23"/>
    </w:p>
    <w:p w14:paraId="1E173AE0">
      <w:pPr>
        <w:spacing w:before="91" w:line="390" w:lineRule="auto"/>
        <w:ind w:left="50" w:firstLine="553"/>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根据《台州市仙居县浙南山地生态系统综合治理及生物多样性保护项目初步设计（作业设计）》的年度安排，台州市仙居县浙南山地生态系统综合治理及生物多样性保护项目作业设计</w:t>
      </w:r>
      <w:r>
        <w:rPr>
          <w:rFonts w:hint="eastAsia" w:ascii="Times New Roman" w:hAnsi="Times New Roman" w:eastAsia="宋体" w:cs="Times New Roman"/>
          <w:kern w:val="2"/>
          <w:sz w:val="21"/>
          <w:szCs w:val="24"/>
          <w:lang w:val="en-US" w:eastAsia="zh-CN" w:bidi="ar-SA"/>
        </w:rPr>
        <w:t>淡竹乡标段</w:t>
      </w:r>
      <w:r>
        <w:rPr>
          <w:rFonts w:hint="eastAsia" w:cs="Times New Roman"/>
          <w:kern w:val="2"/>
          <w:sz w:val="21"/>
          <w:szCs w:val="24"/>
          <w:lang w:val="en-US" w:eastAsia="zh-CN" w:bidi="ar-SA"/>
        </w:rPr>
        <w:t>一</w:t>
      </w:r>
      <w:r>
        <w:rPr>
          <w:rFonts w:hint="eastAsia" w:ascii="Times New Roman" w:hAnsi="Times New Roman" w:eastAsia="宋体" w:cs="Times New Roman"/>
          <w:kern w:val="2"/>
          <w:sz w:val="21"/>
          <w:szCs w:val="24"/>
          <w:lang w:val="en-US" w:eastAsia="zh-CN" w:bidi="ar-SA"/>
        </w:rPr>
        <w:t>707亩，</w:t>
      </w:r>
      <w:r>
        <w:rPr>
          <w:rFonts w:hint="eastAsia" w:ascii="Times New Roman" w:hAnsi="Times New Roman" w:eastAsia="宋体" w:cs="Times New Roman"/>
          <w:kern w:val="2"/>
          <w:sz w:val="21"/>
          <w:szCs w:val="24"/>
          <w:lang w:val="zh-CN" w:eastAsia="zh-CN" w:bidi="ar-SA"/>
        </w:rPr>
        <w:t xml:space="preserve"> 淡竹乡标段</w:t>
      </w:r>
      <w:r>
        <w:rPr>
          <w:rFonts w:hint="eastAsia"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2322亩。</w:t>
      </w:r>
    </w:p>
    <w:p w14:paraId="1378FED2">
      <w:pPr>
        <w:spacing w:before="91" w:line="390" w:lineRule="auto"/>
        <w:ind w:left="50" w:firstLine="553"/>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本标段各实施小班基本情况详见附表。 本标段各实施小班范围详见附图。</w:t>
      </w:r>
    </w:p>
    <w:p w14:paraId="636788EC">
      <w:pPr>
        <w:spacing w:before="98" w:line="220" w:lineRule="auto"/>
        <w:ind w:left="688"/>
        <w:outlineLvl w:val="0"/>
        <w:rPr>
          <w:rFonts w:hint="eastAsia" w:ascii="Times New Roman" w:hAnsi="Times New Roman" w:eastAsia="宋体" w:cs="Times New Roman"/>
          <w:b/>
          <w:bCs/>
          <w:kern w:val="2"/>
          <w:sz w:val="21"/>
          <w:szCs w:val="24"/>
          <w:lang w:val="zh-CN" w:eastAsia="zh-CN" w:bidi="ar-SA"/>
        </w:rPr>
      </w:pPr>
      <w:bookmarkStart w:id="25" w:name="bookmark7"/>
      <w:bookmarkEnd w:id="25"/>
      <w:bookmarkStart w:id="26" w:name="_Toc32440"/>
      <w:r>
        <w:rPr>
          <w:rFonts w:hint="eastAsia" w:ascii="Times New Roman" w:hAnsi="Times New Roman" w:eastAsia="宋体" w:cs="Times New Roman"/>
          <w:b/>
          <w:bCs/>
          <w:kern w:val="2"/>
          <w:sz w:val="21"/>
          <w:szCs w:val="24"/>
          <w:lang w:val="en-US" w:eastAsia="zh-CN" w:bidi="ar-SA"/>
        </w:rPr>
        <w:t>2、</w:t>
      </w:r>
      <w:r>
        <w:rPr>
          <w:rFonts w:hint="eastAsia" w:ascii="Times New Roman" w:hAnsi="Times New Roman" w:eastAsia="宋体" w:cs="Times New Roman"/>
          <w:b/>
          <w:bCs/>
          <w:kern w:val="2"/>
          <w:sz w:val="21"/>
          <w:szCs w:val="24"/>
          <w:lang w:val="zh-CN" w:eastAsia="zh-CN" w:bidi="ar-SA"/>
        </w:rPr>
        <w:t>工程措施</w:t>
      </w:r>
      <w:bookmarkEnd w:id="26"/>
    </w:p>
    <w:p w14:paraId="2B3F8720">
      <w:pPr>
        <w:pStyle w:val="10"/>
        <w:spacing w:line="360" w:lineRule="auto"/>
        <w:ind w:firstLine="630" w:firstLineChars="300"/>
        <w:jc w:val="both"/>
        <w:rPr>
          <w:spacing w:val="-7"/>
        </w:rPr>
      </w:pPr>
      <w:r>
        <w:rPr>
          <w:rFonts w:hint="eastAsia" w:ascii="Times New Roman" w:hAnsi="Times New Roman" w:eastAsia="宋体" w:cs="Times New Roman"/>
          <w:kern w:val="2"/>
          <w:sz w:val="21"/>
          <w:szCs w:val="24"/>
          <w:lang w:val="en-US" w:eastAsia="zh-CN" w:bidi="ar-SA"/>
        </w:rPr>
        <w:t>标段</w:t>
      </w:r>
      <w:r>
        <w:rPr>
          <w:rFonts w:hint="eastAsia" w:cs="Times New Roman"/>
          <w:kern w:val="2"/>
          <w:sz w:val="21"/>
          <w:szCs w:val="24"/>
          <w:lang w:val="en-US" w:eastAsia="zh-CN" w:bidi="ar-SA"/>
        </w:rPr>
        <w:t>一</w:t>
      </w:r>
      <w:r>
        <w:rPr>
          <w:rFonts w:hint="eastAsia" w:ascii="Times New Roman" w:hAnsi="Times New Roman" w:eastAsia="宋体" w:cs="Times New Roman"/>
          <w:kern w:val="2"/>
          <w:sz w:val="21"/>
          <w:szCs w:val="24"/>
          <w:lang w:val="en-US" w:eastAsia="zh-CN" w:bidi="ar-SA"/>
        </w:rPr>
        <w:t>——</w:t>
      </w:r>
      <w:r>
        <w:rPr>
          <w:rFonts w:hint="eastAsia"/>
          <w:spacing w:val="-7"/>
          <w:lang w:eastAsia="zh-CN"/>
        </w:rPr>
        <w:t>全部</w:t>
      </w:r>
      <w:r>
        <w:rPr>
          <w:rFonts w:hint="eastAsia"/>
          <w:spacing w:val="-7"/>
        </w:rPr>
        <w:t>采取补植补播</w:t>
      </w:r>
      <w:r>
        <w:rPr>
          <w:rFonts w:hint="eastAsia"/>
          <w:spacing w:val="-7"/>
          <w:lang w:eastAsia="zh-CN"/>
        </w:rPr>
        <w:t>修复，</w:t>
      </w:r>
      <w:r>
        <w:rPr>
          <w:rFonts w:hint="eastAsia"/>
          <w:spacing w:val="-7"/>
        </w:rPr>
        <w:t>面积</w:t>
      </w:r>
      <w:r>
        <w:rPr>
          <w:rFonts w:hint="eastAsia"/>
          <w:spacing w:val="-7"/>
          <w:lang w:val="en-US" w:eastAsia="zh-CN"/>
        </w:rPr>
        <w:t>707</w:t>
      </w:r>
      <w:r>
        <w:rPr>
          <w:rFonts w:hint="eastAsia"/>
          <w:spacing w:val="-7"/>
        </w:rPr>
        <w:t>亩。</w:t>
      </w:r>
    </w:p>
    <w:p w14:paraId="242D4544">
      <w:pPr>
        <w:spacing w:before="91" w:line="368" w:lineRule="auto"/>
        <w:ind w:left="61" w:right="19" w:firstLine="54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标段</w:t>
      </w:r>
      <w:r>
        <w:rPr>
          <w:rFonts w:hint="eastAsia" w:cs="Times New Roman"/>
          <w:kern w:val="2"/>
          <w:sz w:val="21"/>
          <w:szCs w:val="24"/>
          <w:lang w:val="en-US" w:eastAsia="zh-CN" w:bidi="ar-SA"/>
        </w:rPr>
        <w:t>二</w:t>
      </w:r>
      <w:r>
        <w:rPr>
          <w:rFonts w:hint="eastAsia"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zh-CN" w:eastAsia="zh-CN" w:bidi="ar-SA"/>
        </w:rPr>
        <w:t>根据作业区块实际，采取补植补播的地块面积 1308 亩；综合修复 （采伐修复+补植补播）的面积 768 亩；更替修复的面积246亩。</w:t>
      </w:r>
    </w:p>
    <w:p w14:paraId="2D9020B6">
      <w:pPr>
        <w:spacing w:before="92" w:line="220" w:lineRule="auto"/>
        <w:ind w:left="667"/>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一</w:t>
      </w:r>
      <w:r>
        <w:rPr>
          <w:rFonts w:hint="eastAsia" w:ascii="Times New Roman" w:hAnsi="Times New Roman" w:eastAsia="宋体" w:cs="Times New Roman"/>
          <w:kern w:val="2"/>
          <w:sz w:val="21"/>
          <w:szCs w:val="24"/>
          <w:lang w:val="zh-CN" w:eastAsia="zh-CN" w:bidi="ar-SA"/>
        </w:rPr>
        <w:t>）补植补播</w:t>
      </w:r>
    </w:p>
    <w:p w14:paraId="5B20FA77">
      <w:pPr>
        <w:spacing w:before="91" w:line="387" w:lineRule="auto"/>
        <w:ind w:left="15" w:right="4" w:firstLine="608"/>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结合培育目标，选择与现有树种互利相容，且能够从林下生长到主林层的树种；合理选择补植补播树种，优先采用良种壮苗；合理配置补植树种和补植点；补植补播后适时开展抚育管护。</w:t>
      </w:r>
    </w:p>
    <w:p w14:paraId="3C587B6E">
      <w:pPr>
        <w:spacing w:before="91" w:line="219" w:lineRule="auto"/>
        <w:ind w:left="759"/>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）采伐修复</w:t>
      </w:r>
    </w:p>
    <w:p w14:paraId="45108163">
      <w:pPr>
        <w:spacing w:before="91" w:line="370" w:lineRule="auto"/>
        <w:ind w:left="272" w:right="230" w:firstLine="47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采伐方式不包括皆伐，采伐技术按 LY/T 1646 执行。采伐后郁闭度低于0.4，或出现林窗时，应及时补植补播。</w:t>
      </w:r>
    </w:p>
    <w:p w14:paraId="35F08175">
      <w:pPr>
        <w:spacing w:before="97" w:line="219" w:lineRule="auto"/>
        <w:ind w:left="921"/>
        <w:outlineLvl w:val="0"/>
        <w:rPr>
          <w:rFonts w:hint="eastAsia" w:ascii="Times New Roman" w:hAnsi="Times New Roman" w:eastAsia="宋体" w:cs="Times New Roman"/>
          <w:b/>
          <w:bCs/>
          <w:kern w:val="2"/>
          <w:sz w:val="21"/>
          <w:szCs w:val="24"/>
          <w:lang w:val="zh-CN" w:eastAsia="zh-CN" w:bidi="ar-SA"/>
        </w:rPr>
      </w:pPr>
      <w:bookmarkStart w:id="27" w:name="bookmark9"/>
      <w:bookmarkEnd w:id="27"/>
      <w:bookmarkStart w:id="28" w:name="_Toc29591"/>
      <w:r>
        <w:rPr>
          <w:rFonts w:hint="eastAsia" w:ascii="Times New Roman" w:hAnsi="Times New Roman" w:eastAsia="宋体" w:cs="Times New Roman"/>
          <w:b/>
          <w:bCs/>
          <w:kern w:val="2"/>
          <w:sz w:val="21"/>
          <w:szCs w:val="24"/>
          <w:lang w:val="en-US" w:eastAsia="zh-CN" w:bidi="ar-SA"/>
        </w:rPr>
        <w:t>3、</w:t>
      </w:r>
      <w:r>
        <w:rPr>
          <w:rFonts w:hint="eastAsia" w:ascii="Times New Roman" w:hAnsi="Times New Roman" w:eastAsia="宋体" w:cs="Times New Roman"/>
          <w:b/>
          <w:bCs/>
          <w:kern w:val="2"/>
          <w:sz w:val="21"/>
          <w:szCs w:val="24"/>
          <w:lang w:val="zh-CN" w:eastAsia="zh-CN" w:bidi="ar-SA"/>
        </w:rPr>
        <w:t>施工技术要求</w:t>
      </w:r>
      <w:bookmarkEnd w:id="28"/>
    </w:p>
    <w:p w14:paraId="469F7145">
      <w:pPr>
        <w:spacing w:before="92" w:line="219" w:lineRule="auto"/>
        <w:ind w:left="759"/>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（一）抚育采伐</w:t>
      </w:r>
    </w:p>
    <w:p w14:paraId="1B1AB256">
      <w:pPr>
        <w:keepNext w:val="0"/>
        <w:keepLines w:val="0"/>
        <w:pageBreakBefore w:val="0"/>
        <w:widowControl w:val="0"/>
        <w:kinsoku/>
        <w:wordWrap/>
        <w:overflowPunct/>
        <w:topLinePunct w:val="0"/>
        <w:autoSpaceDE/>
        <w:autoSpaceDN/>
        <w:bidi w:val="0"/>
        <w:adjustRightInd/>
        <w:snapToGrid/>
        <w:spacing w:before="91" w:line="360" w:lineRule="auto"/>
        <w:ind w:left="186" w:right="262" w:firstLine="558"/>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从幼林郁闭起，到主伐前一个龄级为止，为促进留存林木的生长， 对部分林木进行的采伐。简称抚育伐。又称间伐或抚育间伐。</w:t>
      </w:r>
    </w:p>
    <w:p w14:paraId="707968FB">
      <w:pPr>
        <w:keepNext w:val="0"/>
        <w:keepLines w:val="0"/>
        <w:pageBreakBefore w:val="0"/>
        <w:widowControl w:val="0"/>
        <w:kinsoku/>
        <w:wordWrap/>
        <w:overflowPunct/>
        <w:topLinePunct w:val="0"/>
        <w:autoSpaceDE/>
        <w:autoSpaceDN/>
        <w:bidi w:val="0"/>
        <w:adjustRightInd/>
        <w:snapToGrid/>
        <w:spacing w:before="91" w:line="360" w:lineRule="auto"/>
        <w:ind w:left="800"/>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zh-CN" w:eastAsia="zh-CN" w:bidi="ar-SA"/>
        </w:rPr>
        <w:t>疏伐</w:t>
      </w:r>
    </w:p>
    <w:p w14:paraId="2827FB2A">
      <w:pPr>
        <w:keepNext w:val="0"/>
        <w:keepLines w:val="0"/>
        <w:pageBreakBefore w:val="0"/>
        <w:widowControl w:val="0"/>
        <w:kinsoku/>
        <w:wordWrap/>
        <w:overflowPunct/>
        <w:topLinePunct w:val="0"/>
        <w:autoSpaceDE/>
        <w:autoSpaceDN/>
        <w:bidi w:val="0"/>
        <w:adjustRightInd/>
        <w:snapToGrid/>
        <w:spacing w:before="91" w:line="360" w:lineRule="auto"/>
        <w:ind w:left="186" w:right="204" w:firstLine="558"/>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为使森林形成林冠梯级郁闭，林内大、中、小立木都能直接接受 阳光，诱导形成复层异龄林，增强森林生态系统的生态防护功能，而 在防护林和特用林中龄阶段进行的抚育采伐。</w:t>
      </w:r>
    </w:p>
    <w:p w14:paraId="3D5ECA17">
      <w:pPr>
        <w:keepNext w:val="0"/>
        <w:keepLines w:val="0"/>
        <w:pageBreakBefore w:val="0"/>
        <w:widowControl w:val="0"/>
        <w:kinsoku/>
        <w:wordWrap/>
        <w:overflowPunct/>
        <w:topLinePunct w:val="0"/>
        <w:autoSpaceDE/>
        <w:autoSpaceDN/>
        <w:bidi w:val="0"/>
        <w:adjustRightInd/>
        <w:snapToGrid/>
        <w:spacing w:before="91" w:line="360" w:lineRule="auto"/>
        <w:ind w:left="747"/>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zh-CN" w:eastAsia="zh-CN" w:bidi="ar-SA"/>
        </w:rPr>
        <w:t>透光伐</w:t>
      </w:r>
    </w:p>
    <w:p w14:paraId="0640EBBA">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xml:space="preserve">在用材林林分的幼林阶段，开始郁闭时进行的抚育采伐。对混交林，主要是调整林分组成，同时伐去目的树种中生长不良的林木，对纯林，主要是间密留匀、留优去劣。.  </w:t>
      </w:r>
    </w:p>
    <w:p w14:paraId="57B26E4D">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zh-CN" w:eastAsia="zh-CN" w:bidi="ar-SA"/>
        </w:rPr>
        <w:t>生长伐</w:t>
      </w:r>
    </w:p>
    <w:p w14:paraId="2A4FF6C0">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在中龄林阶段进行的抚育采伐，主要是为了加速林木生长和促进林木结实，伐除生长过密和生长不良的林木，提高林分的经济和防护效益。</w:t>
      </w:r>
    </w:p>
    <w:p w14:paraId="68019AD9">
      <w:pPr>
        <w:keepNext w:val="0"/>
        <w:keepLines w:val="0"/>
        <w:pageBreakBefore w:val="0"/>
        <w:widowControl w:val="0"/>
        <w:kinsoku/>
        <w:wordWrap/>
        <w:overflowPunct/>
        <w:topLinePunct w:val="0"/>
        <w:autoSpaceDE/>
        <w:autoSpaceDN/>
        <w:bidi w:val="0"/>
        <w:adjustRightInd/>
        <w:snapToGrid/>
        <w:spacing w:before="91" w:line="360" w:lineRule="auto"/>
        <w:ind w:left="58" w:firstLine="526"/>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抚育采伐作业具体强度和操作方式依据林业部门批准的采伐作业设计为准。项目实施范围内松枯死木清理由仙居县松枯死清理专班负责。</w:t>
      </w:r>
    </w:p>
    <w:p w14:paraId="7A045D02">
      <w:pPr>
        <w:keepNext w:val="0"/>
        <w:keepLines w:val="0"/>
        <w:pageBreakBefore w:val="0"/>
        <w:widowControl w:val="0"/>
        <w:kinsoku/>
        <w:wordWrap/>
        <w:overflowPunct/>
        <w:topLinePunct w:val="0"/>
        <w:autoSpaceDE/>
        <w:autoSpaceDN/>
        <w:bidi w:val="0"/>
        <w:adjustRightInd/>
        <w:snapToGrid/>
        <w:spacing w:before="91" w:line="360" w:lineRule="auto"/>
        <w:ind w:left="613"/>
        <w:textAlignment w:val="auto"/>
        <w:outlineLvl w:val="1"/>
        <w:rPr>
          <w:rFonts w:hint="eastAsia" w:ascii="Times New Roman" w:hAnsi="Times New Roman" w:eastAsia="宋体" w:cs="Times New Roman"/>
          <w:b/>
          <w:bCs/>
          <w:kern w:val="2"/>
          <w:sz w:val="21"/>
          <w:szCs w:val="24"/>
          <w:lang w:val="zh-CN" w:eastAsia="zh-CN" w:bidi="ar-SA"/>
        </w:rPr>
      </w:pPr>
      <w:r>
        <w:rPr>
          <w:rFonts w:hint="eastAsia" w:ascii="Times New Roman" w:hAnsi="Times New Roman" w:eastAsia="宋体" w:cs="Times New Roman"/>
          <w:b/>
          <w:bCs/>
          <w:kern w:val="2"/>
          <w:sz w:val="21"/>
          <w:szCs w:val="24"/>
          <w:lang w:val="en-US" w:eastAsia="zh-CN" w:bidi="ar-SA"/>
        </w:rPr>
        <w:t>4、</w:t>
      </w:r>
      <w:r>
        <w:rPr>
          <w:rFonts w:hint="eastAsia" w:ascii="Times New Roman" w:hAnsi="Times New Roman" w:eastAsia="宋体" w:cs="Times New Roman"/>
          <w:b/>
          <w:bCs/>
          <w:kern w:val="2"/>
          <w:sz w:val="21"/>
          <w:szCs w:val="24"/>
          <w:lang w:val="zh-CN" w:eastAsia="zh-CN" w:bidi="ar-SA"/>
        </w:rPr>
        <w:t>林地清理</w:t>
      </w:r>
    </w:p>
    <w:p w14:paraId="459865B5">
      <w:pPr>
        <w:keepNext w:val="0"/>
        <w:keepLines w:val="0"/>
        <w:pageBreakBefore w:val="0"/>
        <w:widowControl w:val="0"/>
        <w:kinsoku/>
        <w:wordWrap/>
        <w:overflowPunct/>
        <w:topLinePunct w:val="0"/>
        <w:autoSpaceDE/>
        <w:autoSpaceDN/>
        <w:bidi w:val="0"/>
        <w:adjustRightInd/>
        <w:snapToGrid/>
        <w:spacing w:before="91" w:line="360" w:lineRule="auto"/>
        <w:ind w:firstLine="630" w:firstLineChars="300"/>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（一）</w:t>
      </w:r>
      <w:r>
        <w:rPr>
          <w:rFonts w:hint="eastAsia" w:ascii="Times New Roman" w:hAnsi="Times New Roman" w:eastAsia="宋体" w:cs="Times New Roman"/>
          <w:kern w:val="2"/>
          <w:sz w:val="21"/>
          <w:szCs w:val="24"/>
          <w:lang w:val="zh-CN" w:eastAsia="zh-CN" w:bidi="ar-SA"/>
        </w:rPr>
        <w:t>块状清理</w:t>
      </w:r>
    </w:p>
    <w:p w14:paraId="07A867C0">
      <w:pPr>
        <w:keepNext w:val="0"/>
        <w:keepLines w:val="0"/>
        <w:pageBreakBefore w:val="0"/>
        <w:widowControl w:val="0"/>
        <w:kinsoku/>
        <w:wordWrap/>
        <w:overflowPunct/>
        <w:topLinePunct w:val="0"/>
        <w:autoSpaceDE/>
        <w:autoSpaceDN/>
        <w:bidi w:val="0"/>
        <w:adjustRightInd/>
        <w:snapToGrid/>
        <w:spacing w:before="91" w:line="360" w:lineRule="auto"/>
        <w:ind w:left="58" w:right="19" w:firstLine="530"/>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块状（1m×1m/块）劈、割除非目的乔木、杂灌、草本、藤本，留 茬高度≤10cm；将清理出的剩余物置于块状施工范围外侧。</w:t>
      </w:r>
    </w:p>
    <w:p w14:paraId="45D1613C">
      <w:pPr>
        <w:keepNext w:val="0"/>
        <w:keepLines w:val="0"/>
        <w:pageBreakBefore w:val="0"/>
        <w:widowControl w:val="0"/>
        <w:kinsoku/>
        <w:wordWrap/>
        <w:overflowPunct/>
        <w:topLinePunct w:val="0"/>
        <w:autoSpaceDE/>
        <w:autoSpaceDN/>
        <w:bidi w:val="0"/>
        <w:adjustRightInd/>
        <w:snapToGrid/>
        <w:spacing w:before="92" w:line="360" w:lineRule="auto"/>
        <w:ind w:left="599"/>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）带状清理</w:t>
      </w:r>
    </w:p>
    <w:p w14:paraId="460E7B8A">
      <w:pPr>
        <w:keepNext w:val="0"/>
        <w:keepLines w:val="0"/>
        <w:pageBreakBefore w:val="0"/>
        <w:widowControl w:val="0"/>
        <w:kinsoku/>
        <w:wordWrap/>
        <w:overflowPunct/>
        <w:topLinePunct w:val="0"/>
        <w:autoSpaceDE/>
        <w:autoSpaceDN/>
        <w:bidi w:val="0"/>
        <w:adjustRightInd/>
        <w:snapToGrid/>
        <w:spacing w:before="91" w:line="360" w:lineRule="auto"/>
        <w:ind w:left="37" w:right="39" w:firstLine="576"/>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带状劈、割劈除非目的乔木、杂灌、草本、藤本，留茬高度≤10cm； 将清理出的剩余物归集至种植带两侧。</w:t>
      </w:r>
    </w:p>
    <w:p w14:paraId="7FCB61BB">
      <w:pPr>
        <w:keepNext w:val="0"/>
        <w:keepLines w:val="0"/>
        <w:pageBreakBefore w:val="0"/>
        <w:widowControl w:val="0"/>
        <w:kinsoku/>
        <w:wordWrap/>
        <w:overflowPunct/>
        <w:topLinePunct w:val="0"/>
        <w:autoSpaceDE/>
        <w:autoSpaceDN/>
        <w:bidi w:val="0"/>
        <w:adjustRightInd/>
        <w:snapToGrid/>
        <w:spacing w:before="91" w:line="360" w:lineRule="auto"/>
        <w:ind w:left="613"/>
        <w:textAlignment w:val="auto"/>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（三）块状整地</w:t>
      </w:r>
    </w:p>
    <w:p w14:paraId="04755018">
      <w:pPr>
        <w:keepNext w:val="0"/>
        <w:keepLines w:val="0"/>
        <w:pageBreakBefore w:val="0"/>
        <w:widowControl w:val="0"/>
        <w:kinsoku/>
        <w:wordWrap/>
        <w:overflowPunct/>
        <w:topLinePunct w:val="0"/>
        <w:autoSpaceDE/>
        <w:autoSpaceDN/>
        <w:bidi w:val="0"/>
        <w:adjustRightInd/>
        <w:snapToGrid/>
        <w:spacing w:before="91" w:line="360" w:lineRule="auto"/>
        <w:ind w:left="37" w:right="149" w:firstLine="551"/>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块状（1m×1m/块）翻耕土壤，清理出粗壮灌草藤根系、大石块， 翻耕深度≥20cm。</w:t>
      </w:r>
    </w:p>
    <w:p w14:paraId="181141B3">
      <w:pPr>
        <w:keepNext w:val="0"/>
        <w:keepLines w:val="0"/>
        <w:pageBreakBefore w:val="0"/>
        <w:widowControl w:val="0"/>
        <w:kinsoku/>
        <w:wordWrap/>
        <w:overflowPunct/>
        <w:topLinePunct w:val="0"/>
        <w:autoSpaceDE/>
        <w:autoSpaceDN/>
        <w:bidi w:val="0"/>
        <w:adjustRightInd/>
        <w:snapToGrid/>
        <w:spacing w:before="92" w:line="360" w:lineRule="auto"/>
        <w:ind w:left="613"/>
        <w:textAlignment w:val="auto"/>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（四）人工促进天然更新</w:t>
      </w:r>
    </w:p>
    <w:p w14:paraId="1F7F8BE8">
      <w:pPr>
        <w:spacing w:before="91" w:line="383" w:lineRule="auto"/>
        <w:ind w:left="44" w:firstLine="706"/>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目的树种天然更新等级为中等以下、幼苗幼树株数占林分幼苗总 株数50%以下，且依靠其自然生长发育难以达到成林标准的，在幼苗幼 树稀疏处块状松土除草（1m*1m/块，深度5至10cm）以利于天然下种。</w:t>
      </w:r>
    </w:p>
    <w:p w14:paraId="6346FB4F">
      <w:pPr>
        <w:numPr>
          <w:ilvl w:val="0"/>
          <w:numId w:val="3"/>
        </w:numPr>
        <w:spacing w:before="91" w:line="220" w:lineRule="auto"/>
        <w:ind w:left="613"/>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补植补播</w:t>
      </w:r>
    </w:p>
    <w:p w14:paraId="12682AA8">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2024</w:t>
      </w:r>
      <w:r>
        <w:rPr>
          <w:rFonts w:hint="eastAsia" w:ascii="Times New Roman" w:hAnsi="Times New Roman" w:eastAsia="宋体" w:cs="Times New Roman"/>
          <w:kern w:val="2"/>
          <w:sz w:val="21"/>
          <w:szCs w:val="24"/>
          <w:lang w:val="en-US" w:eastAsia="zh-CN" w:bidi="ar-SA"/>
        </w:rPr>
        <w:t>年补植苗木：</w:t>
      </w:r>
    </w:p>
    <w:p w14:paraId="4310F172">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本次退化林修复共需苗木</w:t>
      </w:r>
      <w:r>
        <w:rPr>
          <w:rFonts w:hint="eastAsia" w:ascii="Times New Roman" w:hAnsi="Times New Roman" w:eastAsia="宋体" w:cs="Times New Roman"/>
          <w:kern w:val="2"/>
          <w:sz w:val="21"/>
          <w:szCs w:val="24"/>
          <w:lang w:val="en-US" w:eastAsia="zh-CN" w:bidi="ar-SA"/>
        </w:rPr>
        <w:t>16640</w:t>
      </w:r>
      <w:r>
        <w:rPr>
          <w:rFonts w:hint="eastAsia" w:ascii="Times New Roman" w:hAnsi="Times New Roman" w:eastAsia="宋体" w:cs="Times New Roman"/>
          <w:kern w:val="2"/>
          <w:sz w:val="21"/>
          <w:szCs w:val="24"/>
          <w:lang w:val="zh-CN" w:eastAsia="zh-CN" w:bidi="ar-SA"/>
        </w:rPr>
        <w:t>株。其中：榉树</w:t>
      </w:r>
      <w:r>
        <w:rPr>
          <w:rFonts w:hint="eastAsia" w:ascii="Times New Roman" w:hAnsi="Times New Roman" w:eastAsia="宋体" w:cs="Times New Roman"/>
          <w:kern w:val="2"/>
          <w:sz w:val="21"/>
          <w:szCs w:val="24"/>
          <w:lang w:val="en-US" w:eastAsia="zh-CN" w:bidi="ar-SA"/>
        </w:rPr>
        <w:t>6725</w:t>
      </w:r>
      <w:r>
        <w:rPr>
          <w:rFonts w:hint="eastAsia" w:ascii="Times New Roman" w:hAnsi="Times New Roman" w:eastAsia="宋体" w:cs="Times New Roman"/>
          <w:kern w:val="2"/>
          <w:sz w:val="21"/>
          <w:szCs w:val="24"/>
          <w:lang w:val="zh-CN" w:eastAsia="zh-CN" w:bidi="ar-SA"/>
        </w:rPr>
        <w:t>株，占珍贵彩色树种总数量的</w:t>
      </w:r>
      <w:r>
        <w:rPr>
          <w:rFonts w:hint="eastAsia" w:ascii="Times New Roman" w:hAnsi="Times New Roman" w:eastAsia="宋体" w:cs="Times New Roman"/>
          <w:kern w:val="2"/>
          <w:sz w:val="21"/>
          <w:szCs w:val="24"/>
          <w:lang w:val="en-US" w:eastAsia="zh-CN" w:bidi="ar-SA"/>
        </w:rPr>
        <w:t>40.41</w:t>
      </w:r>
      <w:r>
        <w:rPr>
          <w:rFonts w:hint="eastAsia" w:ascii="Times New Roman" w:hAnsi="Times New Roman" w:eastAsia="宋体" w:cs="Times New Roman"/>
          <w:kern w:val="2"/>
          <w:sz w:val="21"/>
          <w:szCs w:val="24"/>
          <w:lang w:val="zh-CN" w:eastAsia="zh-CN" w:bidi="ar-SA"/>
        </w:rPr>
        <w:t>%；红豆树</w:t>
      </w:r>
      <w:r>
        <w:rPr>
          <w:rFonts w:hint="eastAsia" w:ascii="Times New Roman" w:hAnsi="Times New Roman" w:eastAsia="宋体" w:cs="Times New Roman"/>
          <w:kern w:val="2"/>
          <w:sz w:val="21"/>
          <w:szCs w:val="24"/>
          <w:lang w:val="en-US" w:eastAsia="zh-CN" w:bidi="ar-SA"/>
        </w:rPr>
        <w:t>675株</w:t>
      </w:r>
      <w:r>
        <w:rPr>
          <w:rFonts w:hint="eastAsia" w:ascii="Times New Roman" w:hAnsi="Times New Roman" w:eastAsia="宋体" w:cs="Times New Roman"/>
          <w:kern w:val="2"/>
          <w:sz w:val="21"/>
          <w:szCs w:val="24"/>
          <w:lang w:val="zh-CN" w:eastAsia="zh-CN" w:bidi="ar-SA"/>
        </w:rPr>
        <w:t xml:space="preserve">，占 </w:t>
      </w:r>
      <w:r>
        <w:rPr>
          <w:rFonts w:hint="eastAsia" w:ascii="Times New Roman" w:hAnsi="Times New Roman" w:eastAsia="宋体" w:cs="Times New Roman"/>
          <w:kern w:val="2"/>
          <w:sz w:val="21"/>
          <w:szCs w:val="24"/>
          <w:lang w:val="en-US" w:eastAsia="zh-CN" w:bidi="ar-SA"/>
        </w:rPr>
        <w:t>4.06</w:t>
      </w: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赤皮青冈5720株</w:t>
      </w:r>
      <w:r>
        <w:rPr>
          <w:rFonts w:hint="eastAsia" w:ascii="Times New Roman" w:hAnsi="Times New Roman" w:eastAsia="宋体" w:cs="Times New Roman"/>
          <w:kern w:val="2"/>
          <w:sz w:val="21"/>
          <w:szCs w:val="24"/>
          <w:lang w:val="zh-CN" w:eastAsia="zh-CN" w:bidi="ar-SA"/>
        </w:rPr>
        <w:t xml:space="preserve">，占 </w:t>
      </w:r>
      <w:r>
        <w:rPr>
          <w:rFonts w:hint="eastAsia" w:ascii="Times New Roman" w:hAnsi="Times New Roman" w:eastAsia="宋体" w:cs="Times New Roman"/>
          <w:kern w:val="2"/>
          <w:sz w:val="21"/>
          <w:szCs w:val="24"/>
          <w:lang w:val="en-US" w:eastAsia="zh-CN" w:bidi="ar-SA"/>
        </w:rPr>
        <w:t>34.38</w:t>
      </w:r>
      <w:r>
        <w:rPr>
          <w:rFonts w:hint="eastAsia" w:ascii="Times New Roman" w:hAnsi="Times New Roman" w:eastAsia="宋体" w:cs="Times New Roman"/>
          <w:kern w:val="2"/>
          <w:sz w:val="21"/>
          <w:szCs w:val="24"/>
          <w:lang w:val="zh-CN" w:eastAsia="zh-CN" w:bidi="ar-SA"/>
        </w:rPr>
        <w:t>%；枫香</w:t>
      </w:r>
      <w:r>
        <w:rPr>
          <w:rFonts w:hint="eastAsia" w:ascii="Times New Roman" w:hAnsi="Times New Roman" w:eastAsia="宋体" w:cs="Times New Roman"/>
          <w:kern w:val="2"/>
          <w:sz w:val="21"/>
          <w:szCs w:val="24"/>
          <w:lang w:val="en-US" w:eastAsia="zh-CN" w:bidi="ar-SA"/>
        </w:rPr>
        <w:t>3190</w:t>
      </w:r>
      <w:r>
        <w:rPr>
          <w:rFonts w:hint="eastAsia" w:ascii="Times New Roman" w:hAnsi="Times New Roman" w:eastAsia="宋体" w:cs="Times New Roman"/>
          <w:kern w:val="2"/>
          <w:sz w:val="21"/>
          <w:szCs w:val="24"/>
          <w:lang w:val="zh-CN" w:eastAsia="zh-CN" w:bidi="ar-SA"/>
        </w:rPr>
        <w:t>株，占</w:t>
      </w:r>
      <w:r>
        <w:rPr>
          <w:rFonts w:hint="eastAsia" w:ascii="Times New Roman" w:hAnsi="Times New Roman" w:eastAsia="宋体" w:cs="Times New Roman"/>
          <w:kern w:val="2"/>
          <w:sz w:val="21"/>
          <w:szCs w:val="24"/>
          <w:lang w:val="en-US" w:eastAsia="zh-CN" w:bidi="ar-SA"/>
        </w:rPr>
        <w:t>19.17</w:t>
      </w:r>
      <w:r>
        <w:rPr>
          <w:rFonts w:hint="eastAsia" w:ascii="Times New Roman" w:hAnsi="Times New Roman" w:eastAsia="宋体" w:cs="Times New Roman"/>
          <w:kern w:val="2"/>
          <w:sz w:val="21"/>
          <w:szCs w:val="24"/>
          <w:lang w:val="zh-CN" w:eastAsia="zh-CN" w:bidi="ar-SA"/>
        </w:rPr>
        <w:t>%；南方红豆杉</w:t>
      </w:r>
      <w:r>
        <w:rPr>
          <w:rFonts w:hint="eastAsia" w:ascii="Times New Roman" w:hAnsi="Times New Roman" w:eastAsia="宋体" w:cs="Times New Roman"/>
          <w:kern w:val="2"/>
          <w:sz w:val="21"/>
          <w:szCs w:val="24"/>
          <w:lang w:val="en-US" w:eastAsia="zh-CN" w:bidi="ar-SA"/>
        </w:rPr>
        <w:t>330</w:t>
      </w:r>
      <w:r>
        <w:rPr>
          <w:rFonts w:hint="eastAsia" w:ascii="Times New Roman" w:hAnsi="Times New Roman" w:eastAsia="宋体" w:cs="Times New Roman"/>
          <w:kern w:val="2"/>
          <w:sz w:val="21"/>
          <w:szCs w:val="24"/>
          <w:lang w:val="zh-CN" w:eastAsia="zh-CN" w:bidi="ar-SA"/>
        </w:rPr>
        <w:t>株，占</w:t>
      </w:r>
      <w:r>
        <w:rPr>
          <w:rFonts w:hint="eastAsia" w:ascii="Times New Roman" w:hAnsi="Times New Roman" w:eastAsia="宋体" w:cs="Times New Roman"/>
          <w:kern w:val="2"/>
          <w:sz w:val="21"/>
          <w:szCs w:val="24"/>
          <w:lang w:val="en-US" w:eastAsia="zh-CN" w:bidi="ar-SA"/>
        </w:rPr>
        <w:t>1.98</w:t>
      </w:r>
      <w:r>
        <w:rPr>
          <w:rFonts w:hint="eastAsia" w:ascii="Times New Roman" w:hAnsi="Times New Roman" w:eastAsia="宋体" w:cs="Times New Roman"/>
          <w:kern w:val="2"/>
          <w:sz w:val="21"/>
          <w:szCs w:val="24"/>
          <w:lang w:val="zh-CN" w:eastAsia="zh-CN" w:bidi="ar-SA"/>
        </w:rPr>
        <w:t>%。</w:t>
      </w:r>
    </w:p>
    <w:p w14:paraId="10CB869C">
      <w:pPr>
        <w:pStyle w:val="6"/>
        <w:keepNext w:val="0"/>
        <w:keepLines w:val="0"/>
        <w:pageBreakBefore w:val="0"/>
        <w:widowControl w:val="0"/>
        <w:kinsoku/>
        <w:wordWrap/>
        <w:overflowPunct/>
        <w:topLinePunct w:val="0"/>
        <w:autoSpaceDE w:val="0"/>
        <w:autoSpaceDN w:val="0"/>
        <w:bidi w:val="0"/>
        <w:adjustRightInd/>
        <w:snapToGrid/>
        <w:spacing w:before="0" w:line="320" w:lineRule="exact"/>
        <w:ind w:left="0" w:right="0"/>
        <w:jc w:val="center"/>
        <w:textAlignment w:val="auto"/>
        <w:rPr>
          <w:b w:val="0"/>
          <w:bCs w:val="0"/>
          <w:color w:val="000000"/>
        </w:rPr>
      </w:pPr>
      <w:r>
        <w:rPr>
          <w:rFonts w:hint="eastAsia" w:ascii="Times New Roman" w:hAnsi="Times New Roman" w:eastAsia="宋体" w:cs="Times New Roman"/>
          <w:b w:val="0"/>
          <w:bCs w:val="0"/>
          <w:kern w:val="2"/>
          <w:sz w:val="21"/>
          <w:szCs w:val="24"/>
          <w:lang w:val="zh-CN" w:eastAsia="zh-CN" w:bidi="ar-SA"/>
        </w:rPr>
        <w:t>仙居县2024年退化林修复苗木数量统计表</w:t>
      </w:r>
    </w:p>
    <w:p w14:paraId="27651FA4">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both"/>
        <w:textAlignment w:val="auto"/>
        <w:rPr>
          <w:color w:val="auto"/>
          <w:sz w:val="21"/>
        </w:rPr>
      </w:pPr>
      <w:r>
        <w:rPr>
          <w:rFonts w:hint="eastAsia"/>
          <w:color w:val="auto"/>
          <w:sz w:val="21"/>
          <w:lang w:val="en-US" w:eastAsia="zh-CN"/>
        </w:rPr>
        <w:t xml:space="preserve">                                                                       </w:t>
      </w:r>
      <w:r>
        <w:rPr>
          <w:color w:val="auto"/>
          <w:sz w:val="21"/>
        </w:rPr>
        <w:t>单位：</w:t>
      </w:r>
      <w:r>
        <w:rPr>
          <w:rFonts w:hint="eastAsia"/>
          <w:color w:val="auto"/>
          <w:sz w:val="21"/>
          <w:lang w:eastAsia="zh-CN"/>
        </w:rPr>
        <w:t>株</w:t>
      </w:r>
    </w:p>
    <w:tbl>
      <w:tblPr>
        <w:tblStyle w:val="32"/>
        <w:tblW w:w="867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47"/>
        <w:gridCol w:w="1205"/>
        <w:gridCol w:w="1444"/>
        <w:gridCol w:w="1668"/>
        <w:gridCol w:w="1370"/>
        <w:gridCol w:w="1543"/>
      </w:tblGrid>
      <w:tr w14:paraId="74924D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1"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020EB64">
            <w:pPr>
              <w:keepNext w:val="0"/>
              <w:keepLines w:val="0"/>
              <w:widowControl/>
              <w:suppressLineNumbers w:val="0"/>
              <w:ind w:left="0" w:leftChars="0" w:right="0" w:rightChars="0"/>
              <w:jc w:val="center"/>
              <w:textAlignment w:val="center"/>
              <w:rPr>
                <w:rFonts w:hint="eastAsia" w:ascii="宋体" w:eastAsia="宋体"/>
                <w:b w:val="0"/>
                <w:bCs/>
                <w:color w:val="auto"/>
                <w:sz w:val="24"/>
                <w:szCs w:val="24"/>
              </w:rPr>
            </w:pPr>
            <w:bookmarkStart w:id="29" w:name="OLE_LINK1" w:colFirst="1" w:colLast="7"/>
            <w:r>
              <w:rPr>
                <w:rFonts w:hint="eastAsia" w:ascii="宋体" w:hAnsi="宋体" w:eastAsia="宋体" w:cs="宋体"/>
                <w:i w:val="0"/>
                <w:iCs w:val="0"/>
                <w:color w:val="000000"/>
                <w:kern w:val="0"/>
                <w:sz w:val="24"/>
                <w:szCs w:val="24"/>
                <w:u w:val="none"/>
                <w:lang w:val="en-US" w:eastAsia="zh-CN" w:bidi="ar"/>
              </w:rPr>
              <w:t>苗木种类</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422A9AE4">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榉树</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4B86560E">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红豆树</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0A4FF7F5">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赤皮青冈</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6710AE9E">
            <w:pPr>
              <w:keepNext w:val="0"/>
              <w:keepLines w:val="0"/>
              <w:widowControl/>
              <w:suppressLineNumbers w:val="0"/>
              <w:jc w:val="center"/>
              <w:textAlignment w:val="center"/>
              <w:rPr>
                <w:rFonts w:hint="eastAsia"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枫香</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371DB16B">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合计</w:t>
            </w:r>
          </w:p>
        </w:tc>
      </w:tr>
      <w:bookmarkEnd w:id="29"/>
      <w:tr w14:paraId="7F5FCE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9"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AFF15D3">
            <w:pPr>
              <w:keepNext w:val="0"/>
              <w:keepLines w:val="0"/>
              <w:widowControl/>
              <w:suppressLineNumbers w:val="0"/>
              <w:jc w:val="center"/>
              <w:textAlignment w:val="center"/>
              <w:rPr>
                <w:rFonts w:hint="eastAsia" w:ascii="宋体" w:hAnsi="宋体" w:eastAsia="宋体" w:cs="宋体"/>
                <w:b w:val="0"/>
                <w:bCs/>
                <w:color w:val="auto"/>
                <w:sz w:val="24"/>
                <w:szCs w:val="24"/>
                <w:lang w:val="zh-CN" w:eastAsia="zh-CN" w:bidi="zh-CN"/>
              </w:rPr>
            </w:pPr>
            <w:r>
              <w:rPr>
                <w:rFonts w:hint="eastAsia" w:cs="宋体"/>
                <w:b w:val="0"/>
                <w:bCs/>
                <w:color w:val="auto"/>
                <w:sz w:val="24"/>
                <w:szCs w:val="24"/>
                <w:lang w:val="zh-CN" w:eastAsia="zh-CN" w:bidi="zh-CN"/>
              </w:rPr>
              <w:t>数量</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76F25F8B">
            <w:pPr>
              <w:keepNext w:val="0"/>
              <w:keepLines w:val="0"/>
              <w:widowControl/>
              <w:suppressLineNumbers w:val="0"/>
              <w:jc w:val="center"/>
              <w:textAlignment w:val="center"/>
              <w:rPr>
                <w:rFonts w:hint="default" w:ascii="宋体" w:hAnsi="宋体" w:eastAsia="宋体" w:cs="宋体"/>
                <w:b w:val="0"/>
                <w:bCs w:val="0"/>
                <w:color w:val="auto"/>
                <w:sz w:val="24"/>
                <w:szCs w:val="24"/>
                <w:lang w:val="en-US" w:eastAsia="zh-CN" w:bidi="zh-CN"/>
              </w:rPr>
            </w:pPr>
            <w:r>
              <w:rPr>
                <w:rFonts w:hint="eastAsia" w:ascii="宋体" w:hAnsi="宋体" w:eastAsia="宋体" w:cs="宋体"/>
                <w:b w:val="0"/>
                <w:bCs w:val="0"/>
                <w:i w:val="0"/>
                <w:iCs w:val="0"/>
                <w:color w:val="000000"/>
                <w:kern w:val="0"/>
                <w:sz w:val="24"/>
                <w:szCs w:val="24"/>
                <w:u w:val="none"/>
                <w:lang w:val="en-US" w:eastAsia="zh-CN" w:bidi="ar"/>
              </w:rPr>
              <w:t>6725</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0CF15E8B">
            <w:pPr>
              <w:keepNext w:val="0"/>
              <w:keepLines w:val="0"/>
              <w:widowControl/>
              <w:suppressLineNumbers w:val="0"/>
              <w:jc w:val="center"/>
              <w:textAlignment w:val="center"/>
              <w:rPr>
                <w:rFonts w:hint="default" w:ascii="宋体" w:hAnsi="宋体" w:eastAsia="宋体" w:cs="宋体"/>
                <w:b w:val="0"/>
                <w:bCs w:val="0"/>
                <w:color w:val="auto"/>
                <w:sz w:val="24"/>
                <w:szCs w:val="24"/>
                <w:lang w:val="en-US" w:eastAsia="zh-CN" w:bidi="zh-CN"/>
              </w:rPr>
            </w:pPr>
            <w:r>
              <w:rPr>
                <w:rFonts w:hint="eastAsia" w:cs="宋体"/>
                <w:b w:val="0"/>
                <w:bCs w:val="0"/>
                <w:i w:val="0"/>
                <w:iCs w:val="0"/>
                <w:color w:val="000000"/>
                <w:kern w:val="0"/>
                <w:sz w:val="24"/>
                <w:szCs w:val="24"/>
                <w:u w:val="none"/>
                <w:lang w:val="en-US" w:eastAsia="zh-CN" w:bidi="ar"/>
              </w:rPr>
              <w:t>1005</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160CD334">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5720</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58658E40">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3190</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52A21757">
            <w:pPr>
              <w:keepNext w:val="0"/>
              <w:keepLines w:val="0"/>
              <w:widowControl/>
              <w:suppressLineNumbers w:val="0"/>
              <w:jc w:val="center"/>
              <w:textAlignment w:val="center"/>
              <w:rPr>
                <w:rFonts w:ascii="宋体" w:hAnsi="宋体" w:eastAsia="宋体" w:cs="宋体"/>
                <w:b w:val="0"/>
                <w:bCs w:val="0"/>
                <w:color w:val="auto"/>
                <w:sz w:val="24"/>
                <w:szCs w:val="24"/>
                <w:lang w:val="zh-CN" w:eastAsia="zh-CN" w:bidi="zh-CN"/>
              </w:rPr>
            </w:pPr>
            <w:r>
              <w:rPr>
                <w:rFonts w:hint="eastAsia" w:ascii="宋体" w:hAnsi="宋体" w:eastAsia="宋体" w:cs="宋体"/>
                <w:b w:val="0"/>
                <w:bCs w:val="0"/>
                <w:i w:val="0"/>
                <w:iCs w:val="0"/>
                <w:color w:val="000000"/>
                <w:kern w:val="0"/>
                <w:sz w:val="24"/>
                <w:szCs w:val="24"/>
                <w:u w:val="none"/>
                <w:lang w:val="en-US" w:eastAsia="zh-CN" w:bidi="ar"/>
              </w:rPr>
              <w:t>16640</w:t>
            </w:r>
          </w:p>
        </w:tc>
      </w:tr>
    </w:tbl>
    <w:p w14:paraId="2D04B5FA">
      <w:pPr>
        <w:pStyle w:val="37"/>
        <w:numPr>
          <w:ilvl w:val="0"/>
          <w:numId w:val="0"/>
        </w:numPr>
        <w:rPr>
          <w:rFonts w:hint="eastAsia"/>
          <w:lang w:val="zh-CN" w:eastAsia="zh-CN"/>
        </w:rPr>
      </w:pPr>
    </w:p>
    <w:p w14:paraId="5824D1E8">
      <w:pPr>
        <w:keepNext w:val="0"/>
        <w:keepLines w:val="0"/>
        <w:pageBreakBefore w:val="0"/>
        <w:widowControl w:val="0"/>
        <w:kinsoku/>
        <w:wordWrap/>
        <w:overflowPunct/>
        <w:topLinePunct w:val="0"/>
        <w:autoSpaceDE/>
        <w:autoSpaceDN/>
        <w:bidi w:val="0"/>
        <w:adjustRightInd/>
        <w:snapToGrid/>
        <w:spacing w:before="91" w:line="360" w:lineRule="auto"/>
        <w:ind w:firstLine="420" w:firstLineChars="200"/>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2025</w:t>
      </w:r>
      <w:r>
        <w:rPr>
          <w:rFonts w:hint="eastAsia" w:ascii="Times New Roman" w:hAnsi="Times New Roman" w:eastAsia="宋体" w:cs="Times New Roman"/>
          <w:kern w:val="2"/>
          <w:sz w:val="21"/>
          <w:szCs w:val="24"/>
          <w:lang w:val="en-US" w:eastAsia="zh-CN" w:bidi="ar-SA"/>
        </w:rPr>
        <w:t>年补植苗木：</w:t>
      </w:r>
    </w:p>
    <w:p w14:paraId="2949BFE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补植补播的所有种植穴规格均为40cm×40cm×30cm的穴状坑。在林中空地补植补播。本工程补植补播造林树种枫香、红豆树、榉树、青冈、山樱花、共</w:t>
      </w:r>
      <w:r>
        <w:rPr>
          <w:rFonts w:hint="eastAsia" w:ascii="Times New Roman" w:hAnsi="Times New Roman" w:eastAsia="宋体" w:cs="Times New Roman"/>
          <w:kern w:val="2"/>
          <w:sz w:val="21"/>
          <w:szCs w:val="24"/>
          <w:lang w:val="en-US" w:eastAsia="zh-CN" w:bidi="ar-SA"/>
        </w:rPr>
        <w:t>5</w:t>
      </w:r>
      <w:r>
        <w:rPr>
          <w:rFonts w:hint="eastAsia" w:ascii="Times New Roman" w:hAnsi="Times New Roman" w:eastAsia="宋体" w:cs="Times New Roman"/>
          <w:kern w:val="2"/>
          <w:sz w:val="21"/>
          <w:szCs w:val="24"/>
          <w:lang w:val="zh-CN" w:eastAsia="zh-CN" w:bidi="ar-SA"/>
        </w:rPr>
        <w:t>种。</w:t>
      </w:r>
    </w:p>
    <w:p w14:paraId="1145AAEB">
      <w:pPr>
        <w:spacing w:before="272" w:line="219" w:lineRule="auto"/>
        <w:jc w:val="center"/>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淡竹乡</w:t>
      </w:r>
      <w:r>
        <w:rPr>
          <w:rFonts w:hint="eastAsia" w:cs="Times New Roman"/>
          <w:kern w:val="2"/>
          <w:sz w:val="21"/>
          <w:szCs w:val="24"/>
          <w:lang w:val="zh-CN" w:eastAsia="zh-CN" w:bidi="ar-SA"/>
        </w:rPr>
        <w:t>202</w:t>
      </w:r>
      <w:r>
        <w:rPr>
          <w:rFonts w:hint="eastAsia" w:cs="Times New Roman"/>
          <w:kern w:val="2"/>
          <w:sz w:val="21"/>
          <w:szCs w:val="24"/>
          <w:lang w:val="en-US" w:eastAsia="zh-CN" w:bidi="ar-SA"/>
        </w:rPr>
        <w:t>5</w:t>
      </w:r>
      <w:r>
        <w:rPr>
          <w:rFonts w:hint="eastAsia" w:ascii="Times New Roman" w:hAnsi="Times New Roman" w:eastAsia="宋体" w:cs="Times New Roman"/>
          <w:kern w:val="2"/>
          <w:sz w:val="21"/>
          <w:szCs w:val="24"/>
          <w:lang w:val="zh-CN" w:eastAsia="zh-CN" w:bidi="ar-SA"/>
        </w:rPr>
        <w:t>年补植补播苗木数量统计表</w:t>
      </w:r>
    </w:p>
    <w:p w14:paraId="43ECDFA8">
      <w:pPr>
        <w:spacing w:before="47" w:line="219" w:lineRule="auto"/>
        <w:ind w:left="6929"/>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单位：株</w:t>
      </w:r>
    </w:p>
    <w:tbl>
      <w:tblPr>
        <w:tblStyle w:val="81"/>
        <w:tblW w:w="485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0"/>
        <w:gridCol w:w="667"/>
        <w:gridCol w:w="900"/>
        <w:gridCol w:w="836"/>
        <w:gridCol w:w="669"/>
        <w:gridCol w:w="2180"/>
        <w:gridCol w:w="1811"/>
        <w:gridCol w:w="1101"/>
      </w:tblGrid>
      <w:tr w14:paraId="14827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jc w:val="center"/>
        </w:trPr>
        <w:tc>
          <w:tcPr>
            <w:tcW w:w="640" w:type="pct"/>
            <w:vAlign w:val="center"/>
          </w:tcPr>
          <w:p w14:paraId="1ACD43C8">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苗木种类</w:t>
            </w:r>
          </w:p>
        </w:tc>
        <w:tc>
          <w:tcPr>
            <w:tcW w:w="356" w:type="pct"/>
            <w:vAlign w:val="center"/>
          </w:tcPr>
          <w:p w14:paraId="2991F56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枫香</w:t>
            </w:r>
          </w:p>
        </w:tc>
        <w:tc>
          <w:tcPr>
            <w:tcW w:w="480" w:type="pct"/>
            <w:vAlign w:val="center"/>
          </w:tcPr>
          <w:p w14:paraId="63F77EC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红豆树</w:t>
            </w:r>
          </w:p>
        </w:tc>
        <w:tc>
          <w:tcPr>
            <w:tcW w:w="446" w:type="pct"/>
            <w:vAlign w:val="center"/>
          </w:tcPr>
          <w:p w14:paraId="51712DE3">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榉树</w:t>
            </w:r>
          </w:p>
        </w:tc>
        <w:tc>
          <w:tcPr>
            <w:tcW w:w="357" w:type="pct"/>
            <w:vAlign w:val="center"/>
          </w:tcPr>
          <w:p w14:paraId="1BB52E1A">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青冈</w:t>
            </w:r>
          </w:p>
        </w:tc>
        <w:tc>
          <w:tcPr>
            <w:tcW w:w="1163" w:type="pct"/>
            <w:vAlign w:val="center"/>
          </w:tcPr>
          <w:p w14:paraId="6E90E28C">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枫香</w:t>
            </w:r>
          </w:p>
          <w:p w14:paraId="33DB4B30">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（省送苗）</w:t>
            </w:r>
          </w:p>
        </w:tc>
        <w:tc>
          <w:tcPr>
            <w:tcW w:w="966" w:type="pct"/>
            <w:vAlign w:val="center"/>
          </w:tcPr>
          <w:p w14:paraId="377775DB">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xml:space="preserve">山樱花 </w:t>
            </w:r>
          </w:p>
          <w:p w14:paraId="691A4D3E">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省送苗）</w:t>
            </w:r>
          </w:p>
        </w:tc>
        <w:tc>
          <w:tcPr>
            <w:tcW w:w="587" w:type="pct"/>
            <w:vAlign w:val="center"/>
          </w:tcPr>
          <w:p w14:paraId="62647E3C">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合计</w:t>
            </w:r>
          </w:p>
        </w:tc>
      </w:tr>
      <w:tr w14:paraId="54B02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640" w:type="pct"/>
            <w:vAlign w:val="center"/>
          </w:tcPr>
          <w:p w14:paraId="3E8156A2">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数量</w:t>
            </w:r>
          </w:p>
        </w:tc>
        <w:tc>
          <w:tcPr>
            <w:tcW w:w="356" w:type="pct"/>
            <w:vAlign w:val="center"/>
          </w:tcPr>
          <w:p w14:paraId="7CE6528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5290</w:t>
            </w:r>
          </w:p>
        </w:tc>
        <w:tc>
          <w:tcPr>
            <w:tcW w:w="480" w:type="pct"/>
            <w:vAlign w:val="center"/>
          </w:tcPr>
          <w:p w14:paraId="4EB36295">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10945</w:t>
            </w:r>
          </w:p>
        </w:tc>
        <w:tc>
          <w:tcPr>
            <w:tcW w:w="446" w:type="pct"/>
            <w:vAlign w:val="center"/>
          </w:tcPr>
          <w:p w14:paraId="03F5E150">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13475</w:t>
            </w:r>
          </w:p>
        </w:tc>
        <w:tc>
          <w:tcPr>
            <w:tcW w:w="357" w:type="pct"/>
            <w:vAlign w:val="center"/>
          </w:tcPr>
          <w:p w14:paraId="6199DD35">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5565</w:t>
            </w:r>
          </w:p>
        </w:tc>
        <w:tc>
          <w:tcPr>
            <w:tcW w:w="1163" w:type="pct"/>
            <w:vAlign w:val="center"/>
          </w:tcPr>
          <w:p w14:paraId="6002765A">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3330</w:t>
            </w:r>
          </w:p>
        </w:tc>
        <w:tc>
          <w:tcPr>
            <w:tcW w:w="966" w:type="pct"/>
            <w:vAlign w:val="center"/>
          </w:tcPr>
          <w:p w14:paraId="00D2BEE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6080</w:t>
            </w:r>
          </w:p>
        </w:tc>
        <w:tc>
          <w:tcPr>
            <w:tcW w:w="587" w:type="pct"/>
            <w:vAlign w:val="center"/>
          </w:tcPr>
          <w:p w14:paraId="40AD7961">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44685</w:t>
            </w:r>
          </w:p>
        </w:tc>
      </w:tr>
    </w:tbl>
    <w:p w14:paraId="2FC05840">
      <w:pPr>
        <w:spacing w:before="92" w:line="380" w:lineRule="auto"/>
        <w:ind w:left="50" w:right="9" w:firstLine="555"/>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项目工程所有补植补播用苗，须具备苗木质量“三证一签 ”制度 要求，即质量检验合格证（良种证）、植物检疫证、生产经营许可证 和苗木标签。项目监管单位应加强苗木检查验收，加大苗木批次检查力度，确保苗木质量，杜绝不合格苗木上山。</w:t>
      </w:r>
    </w:p>
    <w:p w14:paraId="793355F0">
      <w:pPr>
        <w:spacing w:before="92" w:line="380" w:lineRule="auto"/>
        <w:ind w:right="9" w:firstLine="420" w:firstLineChars="200"/>
        <w:jc w:val="both"/>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（六）补植苗木抚育</w:t>
      </w:r>
    </w:p>
    <w:p w14:paraId="635E4324">
      <w:pPr>
        <w:spacing w:before="92" w:line="380" w:lineRule="auto"/>
        <w:ind w:right="9" w:firstLine="420" w:firstLineChars="200"/>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管护期内对补植苗木进行块状松土除草（以栽植苗木为中心，半 径 0.5m，深度 5-10cm）。项目工程所有补植用苗，须具备苗木质量 “三证一签 ”制度要求，即质量检验合格证（良种证）、植物检疫证、 生产经营许可证和苗木标签。项目监管单位应加强苗木检查验收，加 大苗木批次检查力度，确保苗木质量，杜绝不合格苗木上山。</w:t>
      </w:r>
    </w:p>
    <w:p w14:paraId="6315D25E">
      <w:pPr>
        <w:spacing w:before="91" w:line="220" w:lineRule="auto"/>
        <w:ind w:left="680"/>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zh-CN" w:eastAsia="zh-CN" w:bidi="ar-SA"/>
        </w:rPr>
        <w:t>）造林树种设计</w:t>
      </w:r>
    </w:p>
    <w:p w14:paraId="361BBCDB">
      <w:pPr>
        <w:spacing w:before="91" w:line="394" w:lineRule="auto"/>
        <w:ind w:left="57" w:right="107" w:firstLine="567"/>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各树种合理搭配。本工程共设计使用 13 个树种，分别是榉树、 红豆树、浙江樟、赤皮青冈、枫香、南方红豆杉、山樱花和檫树，每个退化林修复小班选择 1-2 种乡土速生树种进行补植，对于土层深 厚、光照充足、立地条件较好的地块，可因地制宜选择浙江樟、红豆 树等珍贵树种造林；土壤瘠薄处使用枫香进行补植。</w:t>
      </w:r>
    </w:p>
    <w:p w14:paraId="5169B67F">
      <w:pPr>
        <w:spacing w:before="91" w:line="220" w:lineRule="auto"/>
        <w:ind w:left="627"/>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zh-CN" w:eastAsia="zh-CN" w:bidi="ar-SA"/>
        </w:rPr>
        <w:t>混交模式设计</w:t>
      </w:r>
    </w:p>
    <w:p w14:paraId="5956A26F">
      <w:pPr>
        <w:spacing w:before="91" w:line="382" w:lineRule="auto"/>
        <w:ind w:left="57" w:right="103" w:firstLine="562"/>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退化林修复补植平均密度根据地块现状的郁闭度设置为 10-60 株/亩。苗木栽植时要充分考虑树种特性，光照充足的地方优先种植 彩化落叶树种，立地条件较好的地方优先种植珍贵树种。地块内设计</w:t>
      </w:r>
      <w:bookmarkStart w:id="30" w:name="_Toc11098"/>
      <w:bookmarkStart w:id="31" w:name="_Toc3738"/>
      <w:r>
        <w:rPr>
          <w:rFonts w:hint="eastAsia" w:ascii="Times New Roman" w:hAnsi="Times New Roman" w:eastAsia="宋体" w:cs="Times New Roman"/>
          <w:kern w:val="2"/>
          <w:sz w:val="21"/>
          <w:szCs w:val="24"/>
          <w:lang w:val="zh-CN" w:eastAsia="zh-CN" w:bidi="ar-SA"/>
        </w:rPr>
        <w:t>补植的苗木株数不得减少。</w:t>
      </w:r>
      <w:bookmarkEnd w:id="30"/>
      <w:bookmarkEnd w:id="31"/>
    </w:p>
    <w:p w14:paraId="58DB651B">
      <w:pPr>
        <w:spacing w:before="91" w:line="220" w:lineRule="auto"/>
        <w:ind w:left="618"/>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zh-CN" w:eastAsia="zh-CN" w:bidi="ar-SA"/>
        </w:rPr>
        <w:t>栽植要求</w:t>
      </w:r>
    </w:p>
    <w:p w14:paraId="638BA660">
      <w:pPr>
        <w:spacing w:before="91" w:line="220"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a</w:t>
      </w:r>
      <w:r>
        <w:rPr>
          <w:rFonts w:hint="eastAsia" w:ascii="Times New Roman" w:hAnsi="Times New Roman" w:eastAsia="宋体" w:cs="Times New Roman"/>
          <w:kern w:val="2"/>
          <w:sz w:val="21"/>
          <w:szCs w:val="24"/>
          <w:lang w:val="zh-CN" w:eastAsia="zh-CN" w:bidi="ar-SA"/>
        </w:rPr>
        <w:t>、种植（补植）季节</w:t>
      </w:r>
    </w:p>
    <w:p w14:paraId="099F018B">
      <w:pPr>
        <w:spacing w:before="91" w:line="394" w:lineRule="auto"/>
        <w:ind w:left="44" w:firstLine="559"/>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应在各类植物适应栽植的季节种植。落叶树木种植应在春季（解冻以后）发芽以前，或秋季落叶后（冰冻以前）进行。常绿乔木种植应在春天（土壤解冻以后）树木发芽以前，或在秋季新稍停止生长后霜降以前进行。当气候及土壤条件不符合时不得种植。具体施工应避免夏季高温造林，宜选择在春季雨后无风的阴天进行。</w:t>
      </w:r>
    </w:p>
    <w:p w14:paraId="2DBC9D6B">
      <w:pPr>
        <w:spacing w:before="91" w:line="221"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b</w:t>
      </w:r>
      <w:r>
        <w:rPr>
          <w:rFonts w:hint="eastAsia" w:ascii="Times New Roman" w:hAnsi="Times New Roman" w:eastAsia="宋体" w:cs="Times New Roman"/>
          <w:kern w:val="2"/>
          <w:sz w:val="21"/>
          <w:szCs w:val="24"/>
          <w:lang w:val="zh-CN" w:eastAsia="zh-CN" w:bidi="ar-SA"/>
        </w:rPr>
        <w:t>、苗木准备</w:t>
      </w:r>
    </w:p>
    <w:p w14:paraId="57F26A5B">
      <w:pPr>
        <w:spacing w:before="91" w:line="397" w:lineRule="auto"/>
        <w:ind w:left="42" w:right="12" w:firstLine="56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本次修复所用到的苗木，都为省送Ⅱ类、Ⅲ类容器和市场采购2 年生大杯苗。苗木要求预先分级，用于补植造林的苗木必须符合浙江 省地方标准《主要 造林树种苗木等级》要求，同时要求冠幅完整， 不得截除主干。苗木 运输途中做好保湿措施，运抵目的地后无明显 萎焉、发热症状，运到的苗木必须及时种植。当日未栽完的苗木，用 稻草或树枝覆盖，减少水分散失或冻坏。</w:t>
      </w:r>
    </w:p>
    <w:p w14:paraId="54D45775">
      <w:pPr>
        <w:spacing w:before="91" w:line="220"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c</w:t>
      </w:r>
      <w:r>
        <w:rPr>
          <w:rFonts w:hint="eastAsia" w:ascii="Times New Roman" w:hAnsi="Times New Roman" w:eastAsia="宋体" w:cs="Times New Roman"/>
          <w:kern w:val="2"/>
          <w:sz w:val="21"/>
          <w:szCs w:val="24"/>
          <w:lang w:val="zh-CN" w:eastAsia="zh-CN" w:bidi="ar-SA"/>
        </w:rPr>
        <w:t>、苗木栽植</w:t>
      </w:r>
    </w:p>
    <w:p w14:paraId="1C728E7F">
      <w:pPr>
        <w:spacing w:before="91" w:line="382" w:lineRule="auto"/>
        <w:ind w:left="50" w:firstLine="560"/>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苗木搬运：装运应轻抬轻卸，保证容器不破碎，根盘无损伤。夯实：在种植时先在穴底松填厚5-15厘米的表土，将树苗放入坑穴填土后，分层填土，填土应夯实，夯实标准以脚踏无明显凹陷为准。栽</w:t>
      </w:r>
      <w:bookmarkStart w:id="32" w:name="_Toc5280"/>
      <w:bookmarkStart w:id="33" w:name="_Toc25084"/>
      <w:r>
        <w:rPr>
          <w:rFonts w:hint="eastAsia" w:ascii="Times New Roman" w:hAnsi="Times New Roman" w:eastAsia="宋体" w:cs="Times New Roman"/>
          <w:kern w:val="2"/>
          <w:sz w:val="21"/>
          <w:szCs w:val="24"/>
          <w:lang w:val="zh-CN" w:eastAsia="zh-CN" w:bidi="ar-SA"/>
        </w:rPr>
        <w:t>植深度应树种而异，一般应适度深栽，最后覆松土。</w:t>
      </w:r>
      <w:bookmarkEnd w:id="32"/>
      <w:bookmarkEnd w:id="33"/>
    </w:p>
    <w:p w14:paraId="54D7100A">
      <w:pPr>
        <w:pStyle w:val="5"/>
        <w:keepNext w:val="0"/>
        <w:keepLines w:val="0"/>
        <w:tabs>
          <w:tab w:val="left" w:pos="1329"/>
        </w:tabs>
        <w:autoSpaceDE w:val="0"/>
        <w:autoSpaceDN w:val="0"/>
        <w:spacing w:before="0" w:after="0" w:line="360" w:lineRule="auto"/>
        <w:ind w:firstLine="420" w:firstLineChars="200"/>
        <w:rPr>
          <w:b w:val="0"/>
          <w:bCs w:val="0"/>
          <w:color w:val="000000"/>
          <w:sz w:val="21"/>
          <w:szCs w:val="24"/>
        </w:rPr>
      </w:pPr>
      <w:r>
        <w:rPr>
          <w:rFonts w:hint="eastAsia"/>
          <w:b w:val="0"/>
          <w:bCs w:val="0"/>
          <w:color w:val="000000"/>
          <w:sz w:val="21"/>
          <w:szCs w:val="24"/>
          <w:lang w:val="en-US" w:eastAsia="zh-CN"/>
        </w:rPr>
        <w:t>d</w:t>
      </w:r>
      <w:r>
        <w:rPr>
          <w:rFonts w:hint="eastAsia"/>
          <w:b w:val="0"/>
          <w:bCs w:val="0"/>
          <w:color w:val="000000"/>
          <w:sz w:val="21"/>
          <w:szCs w:val="24"/>
          <w:lang w:eastAsia="zh-CN"/>
        </w:rPr>
        <w:t>、</w:t>
      </w:r>
      <w:r>
        <w:rPr>
          <w:rFonts w:hint="eastAsia"/>
          <w:b w:val="0"/>
          <w:bCs w:val="0"/>
          <w:color w:val="000000"/>
          <w:sz w:val="21"/>
          <w:szCs w:val="24"/>
        </w:rPr>
        <w:t>苗木质量管理</w:t>
      </w:r>
      <w:bookmarkEnd w:id="24"/>
    </w:p>
    <w:p w14:paraId="7537EB2D">
      <w:pPr>
        <w:pStyle w:val="58"/>
        <w:spacing w:beforeLines="0" w:afterLines="0" w:line="360" w:lineRule="auto"/>
        <w:ind w:firstLine="420"/>
        <w:rPr>
          <w:rFonts w:hint="eastAsia" w:ascii="Times New Roman" w:hAnsi="Times New Roman"/>
          <w:sz w:val="21"/>
          <w:szCs w:val="24"/>
        </w:rPr>
      </w:pPr>
      <w:r>
        <w:rPr>
          <w:rFonts w:hint="eastAsia" w:ascii="Times New Roman" w:hAnsi="Times New Roman"/>
          <w:sz w:val="21"/>
          <w:szCs w:val="24"/>
        </w:rPr>
        <w:t>项目工程所有补植用苗，须具备苗木质量“三证一签”制度要求，即质量检验合格证（良种证）、植物检疫证、生产经营许可证和苗木标签。乡镇（街道、林场）加强苗木检查验收，加大苗木批次检查力度，确保苗木质量，杜绝不合格苗木上山。在冬季施工时，当天不能种植的苗木，需要采用防冻和防失水覆盖措施，短期内无法种植的苗木要求进行就近假植。本次所需苗木全部为省送苗木。</w:t>
      </w:r>
    </w:p>
    <w:p w14:paraId="210C8849">
      <w:pPr>
        <w:pStyle w:val="58"/>
        <w:spacing w:beforeLines="0" w:afterLines="0" w:line="360" w:lineRule="auto"/>
        <w:ind w:firstLine="422"/>
        <w:rPr>
          <w:rFonts w:ascii="宋体" w:hAnsi="宋体" w:cs="宋体"/>
          <w:sz w:val="21"/>
        </w:rPr>
      </w:pPr>
      <w:r>
        <w:rPr>
          <w:rFonts w:hint="eastAsia" w:ascii="宋体" w:hAnsi="宋体" w:cs="宋体"/>
          <w:b/>
          <w:color w:val="auto"/>
          <w:sz w:val="21"/>
          <w:lang w:val="en-US" w:eastAsia="zh-CN"/>
        </w:rPr>
        <w:t>5</w:t>
      </w:r>
      <w:r>
        <w:rPr>
          <w:rFonts w:hint="eastAsia" w:ascii="宋体" w:hAnsi="宋体" w:cs="宋体"/>
          <w:b/>
          <w:color w:val="auto"/>
          <w:sz w:val="21"/>
        </w:rPr>
        <w:t>、技术培训</w:t>
      </w:r>
    </w:p>
    <w:p w14:paraId="09B1CA38">
      <w:pPr>
        <w:pStyle w:val="58"/>
        <w:spacing w:beforeLines="0" w:afterLines="0" w:line="360" w:lineRule="auto"/>
        <w:ind w:firstLine="420"/>
      </w:pPr>
      <w:r>
        <w:rPr>
          <w:rFonts w:hint="eastAsia" w:ascii="宋体" w:hAnsi="宋体" w:cs="宋体"/>
          <w:sz w:val="21"/>
        </w:rPr>
        <w:t>本工程需要请专业技术人员对施工人员进行种植与后期管护的技术培训，并进行现场指导，以保证造林质量。</w:t>
      </w:r>
    </w:p>
    <w:p w14:paraId="5CE21F74">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七、验收标准及方式</w:t>
      </w:r>
    </w:p>
    <w:p w14:paraId="4B4757C4">
      <w:pPr>
        <w:widowControl/>
        <w:spacing w:line="360" w:lineRule="auto"/>
        <w:ind w:firstLine="420" w:firstLineChars="200"/>
        <w:jc w:val="left"/>
      </w:pPr>
      <w:r>
        <w:rPr>
          <w:rFonts w:hint="eastAsia" w:ascii="宋体" w:hAnsi="宋体" w:cs="宋体"/>
          <w:szCs w:val="21"/>
        </w:rPr>
        <w:t>根据国家标准《森林抚育规程》、国家标准《造林技术规程》、《浙江省珍贵彩色树种省调控容器苗生产使用管理办法》、《仙居县2022年度森林抚育及珍贵彩色森林建设作业设计》以及合同约定，项目完成后，由项目发包人（乡镇）组织完工验收和抚育管护一次后及成活率验收。验收时施工单位需提供施工过程相关现场照片、施工说明、施工简图以及相关说明材料等装订成册备查。项目实施过程关键节点（包含但不限于：苗木到场、种植以及项目完工等）需及时告知验收单位。</w:t>
      </w:r>
    </w:p>
    <w:p w14:paraId="250A78B9">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八、其他要求</w:t>
      </w:r>
    </w:p>
    <w:p w14:paraId="3933DAE6">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1、本工程采购范围内的工程项目，未经采购人同意一律不得分包。一经发现立即取消承包资格，作违约处理，并承担由此引起的一切经济损失。</w:t>
      </w:r>
    </w:p>
    <w:p w14:paraId="3AC21D90">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2、林木采伐证手续审批及政策处理由中标人负责、采伐木严格按照相关规定处置。</w:t>
      </w:r>
    </w:p>
    <w:p w14:paraId="78116E89">
      <w:pPr>
        <w:tabs>
          <w:tab w:val="left" w:pos="8280"/>
        </w:tabs>
        <w:autoSpaceDE w:val="0"/>
        <w:autoSpaceDN w:val="0"/>
        <w:adjustRightInd w:val="0"/>
        <w:spacing w:line="360" w:lineRule="auto"/>
        <w:ind w:firstLine="420" w:firstLineChars="200"/>
        <w:rPr>
          <w:rFonts w:hint="eastAsia" w:ascii="宋体" w:hAnsi="宋体" w:cs="宋体"/>
          <w:szCs w:val="21"/>
        </w:rPr>
      </w:pPr>
      <w:r>
        <w:rPr>
          <w:rFonts w:hint="eastAsia" w:ascii="宋体" w:hAnsi="宋体" w:cs="宋体"/>
          <w:szCs w:val="21"/>
        </w:rPr>
        <w:t>3、安全责任：履约过程中的安全责任全部由中标单位承担。</w:t>
      </w:r>
    </w:p>
    <w:p w14:paraId="7DFD8889">
      <w:pPr>
        <w:pStyle w:val="2"/>
        <w:ind w:left="0" w:leftChars="0" w:firstLine="420" w:firstLineChars="200"/>
        <w:rPr>
          <w:rFonts w:hint="default" w:eastAsia="宋体"/>
          <w:lang w:val="en-US" w:eastAsia="zh-CN"/>
        </w:rPr>
      </w:pPr>
      <w:r>
        <w:rPr>
          <w:rFonts w:hint="eastAsia" w:ascii="宋体" w:hAnsi="宋体" w:cs="宋体"/>
          <w:szCs w:val="21"/>
          <w:lang w:val="en-US" w:eastAsia="zh-CN"/>
        </w:rPr>
        <w:t>4、项目派遣人数应不小于</w:t>
      </w:r>
      <w:r>
        <w:rPr>
          <w:rFonts w:hint="eastAsia" w:ascii="宋体" w:hAnsi="宋体" w:cs="宋体"/>
          <w:szCs w:val="21"/>
          <w:u w:val="single"/>
          <w:lang w:val="en-US" w:eastAsia="zh-CN"/>
        </w:rPr>
        <w:t xml:space="preserve"> 20 </w:t>
      </w:r>
      <w:r>
        <w:rPr>
          <w:rFonts w:hint="eastAsia" w:ascii="宋体" w:hAnsi="宋体" w:cs="宋体"/>
          <w:szCs w:val="21"/>
          <w:lang w:val="en-US" w:eastAsia="zh-CN"/>
        </w:rPr>
        <w:t>人，且应具有相应的专业作业能力并配备相应器具设施。</w:t>
      </w:r>
    </w:p>
    <w:p w14:paraId="4873F505">
      <w:pPr>
        <w:pStyle w:val="2"/>
      </w:pPr>
    </w:p>
    <w:p w14:paraId="4A07B690">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九、商务条款</w:t>
      </w:r>
    </w:p>
    <w:tbl>
      <w:tblPr>
        <w:tblStyle w:val="32"/>
        <w:tblW w:w="9099"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7569"/>
      </w:tblGrid>
      <w:tr w14:paraId="0FEB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06718062">
            <w:pPr>
              <w:spacing w:line="360" w:lineRule="auto"/>
              <w:jc w:val="center"/>
              <w:rPr>
                <w:rFonts w:ascii="宋体" w:hAnsi="宋体" w:cs="宋体"/>
                <w:b/>
                <w:szCs w:val="21"/>
              </w:rPr>
            </w:pPr>
            <w:r>
              <w:rPr>
                <w:rFonts w:hint="eastAsia" w:ascii="宋体" w:hAnsi="宋体" w:cs="宋体"/>
                <w:b/>
                <w:szCs w:val="21"/>
              </w:rPr>
              <w:t>质量标准</w:t>
            </w:r>
          </w:p>
        </w:tc>
        <w:tc>
          <w:tcPr>
            <w:tcW w:w="7569" w:type="dxa"/>
            <w:tcBorders>
              <w:top w:val="single" w:color="auto" w:sz="4" w:space="0"/>
              <w:left w:val="single" w:color="auto" w:sz="4" w:space="0"/>
              <w:bottom w:val="single" w:color="auto" w:sz="4" w:space="0"/>
              <w:right w:val="single" w:color="auto" w:sz="4" w:space="0"/>
            </w:tcBorders>
            <w:vAlign w:val="center"/>
          </w:tcPr>
          <w:p w14:paraId="24B7B164">
            <w:pPr>
              <w:pStyle w:val="37"/>
              <w:spacing w:before="0" w:after="0" w:line="360" w:lineRule="auto"/>
            </w:pPr>
            <w:r>
              <w:rPr>
                <w:rFonts w:hint="eastAsia" w:ascii="宋体" w:hAnsi="宋体" w:cs="宋体"/>
                <w:kern w:val="2"/>
                <w:sz w:val="21"/>
                <w:szCs w:val="21"/>
                <w:lang w:bidi="ar"/>
              </w:rPr>
              <w:t>合格。</w:t>
            </w:r>
          </w:p>
        </w:tc>
      </w:tr>
      <w:tr w14:paraId="3950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0" w:type="dxa"/>
            <w:tcBorders>
              <w:top w:val="single" w:color="auto" w:sz="4" w:space="0"/>
              <w:left w:val="single" w:color="auto" w:sz="4" w:space="0"/>
              <w:bottom w:val="single" w:color="auto" w:sz="4" w:space="0"/>
              <w:right w:val="single" w:color="auto" w:sz="4" w:space="0"/>
            </w:tcBorders>
            <w:vAlign w:val="center"/>
          </w:tcPr>
          <w:p w14:paraId="40EF67ED">
            <w:pPr>
              <w:spacing w:line="360" w:lineRule="auto"/>
              <w:jc w:val="center"/>
              <w:rPr>
                <w:rFonts w:ascii="宋体" w:hAnsi="宋体" w:cs="宋体"/>
                <w:b/>
                <w:szCs w:val="21"/>
              </w:rPr>
            </w:pPr>
            <w:r>
              <w:rPr>
                <w:rFonts w:hint="eastAsia" w:ascii="宋体" w:hAnsi="宋体" w:cs="宋体"/>
                <w:b/>
                <w:szCs w:val="21"/>
              </w:rPr>
              <w:t>进度要求</w:t>
            </w:r>
          </w:p>
        </w:tc>
        <w:tc>
          <w:tcPr>
            <w:tcW w:w="7569" w:type="dxa"/>
            <w:tcBorders>
              <w:top w:val="single" w:color="auto" w:sz="4" w:space="0"/>
              <w:left w:val="single" w:color="auto" w:sz="4" w:space="0"/>
              <w:bottom w:val="single" w:color="auto" w:sz="4" w:space="0"/>
              <w:right w:val="single" w:color="auto" w:sz="4" w:space="0"/>
            </w:tcBorders>
            <w:vAlign w:val="center"/>
          </w:tcPr>
          <w:p w14:paraId="64F72A1C">
            <w:pPr>
              <w:pStyle w:val="37"/>
              <w:spacing w:before="0" w:after="0" w:line="360" w:lineRule="auto"/>
              <w:rPr>
                <w:rFonts w:ascii="宋体" w:hAnsi="宋体" w:cs="宋体"/>
                <w:kern w:val="2"/>
                <w:sz w:val="21"/>
                <w:szCs w:val="21"/>
                <w:lang w:bidi="ar"/>
              </w:rPr>
            </w:pPr>
            <w:r>
              <w:rPr>
                <w:rFonts w:hint="eastAsia" w:ascii="宋体" w:hAnsi="宋体" w:cs="宋体"/>
                <w:color w:val="FF0000"/>
                <w:kern w:val="2"/>
                <w:sz w:val="21"/>
                <w:szCs w:val="21"/>
                <w:lang w:eastAsia="zh-CN" w:bidi="ar"/>
              </w:rPr>
              <w:t>202</w:t>
            </w:r>
            <w:r>
              <w:rPr>
                <w:rFonts w:hint="eastAsia" w:ascii="宋体" w:hAnsi="宋体" w:cs="宋体"/>
                <w:color w:val="FF0000"/>
                <w:kern w:val="2"/>
                <w:sz w:val="21"/>
                <w:szCs w:val="21"/>
                <w:lang w:val="en-US" w:eastAsia="zh-CN" w:bidi="ar"/>
              </w:rPr>
              <w:t>5</w:t>
            </w:r>
            <w:r>
              <w:rPr>
                <w:rFonts w:hint="eastAsia" w:ascii="宋体" w:hAnsi="宋体" w:cs="宋体"/>
                <w:color w:val="FF0000"/>
                <w:kern w:val="2"/>
                <w:sz w:val="21"/>
                <w:szCs w:val="21"/>
                <w:lang w:bidi="ar"/>
              </w:rPr>
              <w:t>年</w:t>
            </w:r>
            <w:r>
              <w:rPr>
                <w:rFonts w:hint="eastAsia" w:ascii="宋体" w:hAnsi="宋体" w:cs="宋体"/>
                <w:color w:val="FF0000"/>
                <w:kern w:val="2"/>
                <w:sz w:val="21"/>
                <w:szCs w:val="21"/>
                <w:lang w:val="en-US" w:eastAsia="zh-CN" w:bidi="ar"/>
              </w:rPr>
              <w:t>4</w:t>
            </w:r>
            <w:r>
              <w:rPr>
                <w:rFonts w:hint="eastAsia" w:ascii="宋体" w:hAnsi="宋体" w:cs="宋体"/>
                <w:color w:val="FF0000"/>
                <w:kern w:val="2"/>
                <w:sz w:val="21"/>
                <w:szCs w:val="21"/>
                <w:lang w:bidi="ar"/>
              </w:rPr>
              <w:t>月3</w:t>
            </w:r>
            <w:r>
              <w:rPr>
                <w:rFonts w:hint="eastAsia" w:ascii="宋体" w:hAnsi="宋体" w:cs="宋体"/>
                <w:color w:val="FF0000"/>
                <w:kern w:val="2"/>
                <w:sz w:val="21"/>
                <w:szCs w:val="21"/>
                <w:lang w:val="en-US" w:eastAsia="zh-CN" w:bidi="ar"/>
              </w:rPr>
              <w:t>0</w:t>
            </w:r>
            <w:r>
              <w:rPr>
                <w:rFonts w:hint="eastAsia" w:ascii="宋体" w:hAnsi="宋体" w:cs="宋体"/>
                <w:color w:val="FF0000"/>
                <w:kern w:val="2"/>
                <w:sz w:val="21"/>
                <w:szCs w:val="21"/>
                <w:lang w:bidi="ar"/>
              </w:rPr>
              <w:t>日前完成清理种植任务。</w:t>
            </w:r>
          </w:p>
        </w:tc>
      </w:tr>
      <w:tr w14:paraId="5532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4028013F">
            <w:pPr>
              <w:spacing w:line="360" w:lineRule="auto"/>
              <w:jc w:val="center"/>
              <w:rPr>
                <w:rFonts w:ascii="宋体" w:hAnsi="宋体" w:cs="宋体"/>
                <w:b/>
                <w:szCs w:val="21"/>
                <w:lang w:bidi="ar"/>
              </w:rPr>
            </w:pPr>
            <w:r>
              <w:rPr>
                <w:rFonts w:hint="eastAsia" w:ascii="宋体" w:hAnsi="宋体" w:cs="宋体"/>
                <w:b/>
                <w:szCs w:val="21"/>
                <w:lang w:bidi="ar"/>
              </w:rPr>
              <w:t>管护期限</w:t>
            </w:r>
          </w:p>
        </w:tc>
        <w:tc>
          <w:tcPr>
            <w:tcW w:w="7569" w:type="dxa"/>
            <w:tcBorders>
              <w:top w:val="single" w:color="auto" w:sz="4" w:space="0"/>
              <w:left w:val="single" w:color="auto" w:sz="4" w:space="0"/>
              <w:bottom w:val="single" w:color="auto" w:sz="4" w:space="0"/>
              <w:right w:val="single" w:color="auto" w:sz="4" w:space="0"/>
            </w:tcBorders>
            <w:vAlign w:val="center"/>
          </w:tcPr>
          <w:p w14:paraId="3D4BE44D">
            <w:pPr>
              <w:pStyle w:val="13"/>
              <w:ind w:firstLine="0" w:firstLineChars="0"/>
              <w:rPr>
                <w:rFonts w:ascii="宋体" w:eastAsia="宋体" w:cs="宋体"/>
                <w:sz w:val="21"/>
                <w:szCs w:val="21"/>
              </w:rPr>
            </w:pPr>
            <w:r>
              <w:rPr>
                <w:rFonts w:hint="eastAsia" w:ascii="宋体" w:eastAsia="宋体" w:cs="宋体"/>
                <w:sz w:val="21"/>
                <w:szCs w:val="21"/>
              </w:rPr>
              <w:t>完成清理及种植任务并经验收合格后由承包方负责养护一年，管护期内死亡的苗木由承包方及时免费补种，补种的苗木尚需按要求负责养护。</w:t>
            </w:r>
          </w:p>
        </w:tc>
      </w:tr>
      <w:tr w14:paraId="780A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15C694F3">
            <w:pPr>
              <w:spacing w:line="360" w:lineRule="auto"/>
              <w:jc w:val="center"/>
              <w:rPr>
                <w:rFonts w:ascii="宋体" w:hAnsi="宋体" w:cs="宋体"/>
                <w:b/>
                <w:szCs w:val="21"/>
                <w:lang w:bidi="ar"/>
              </w:rPr>
            </w:pPr>
            <w:r>
              <w:rPr>
                <w:rFonts w:hint="eastAsia" w:ascii="宋体" w:hAnsi="宋体" w:cs="宋体"/>
                <w:b/>
                <w:szCs w:val="21"/>
                <w:lang w:bidi="ar"/>
              </w:rPr>
              <w:t>付款方式</w:t>
            </w:r>
          </w:p>
        </w:tc>
        <w:tc>
          <w:tcPr>
            <w:tcW w:w="7569" w:type="dxa"/>
            <w:tcBorders>
              <w:top w:val="single" w:color="auto" w:sz="4" w:space="0"/>
              <w:left w:val="single" w:color="auto" w:sz="4" w:space="0"/>
              <w:bottom w:val="single" w:color="auto" w:sz="4" w:space="0"/>
              <w:right w:val="single" w:color="auto" w:sz="4" w:space="0"/>
            </w:tcBorders>
            <w:vAlign w:val="center"/>
          </w:tcPr>
          <w:p w14:paraId="17FEAE35">
            <w:pPr>
              <w:pStyle w:val="12"/>
              <w:ind w:firstLine="0" w:firstLineChars="0"/>
              <w:rPr>
                <w:rFonts w:ascii="宋体" w:eastAsia="宋体" w:cs="宋体"/>
                <w:sz w:val="21"/>
                <w:szCs w:val="21"/>
              </w:rPr>
            </w:pPr>
            <w:r>
              <w:rPr>
                <w:rFonts w:hint="eastAsia" w:ascii="宋体" w:eastAsia="宋体" w:cs="宋体"/>
                <w:color w:val="FF0000"/>
                <w:sz w:val="21"/>
                <w:szCs w:val="21"/>
              </w:rPr>
              <w:t>（1）合同签订后7个工作日内，支付合同总额40％预付款。</w:t>
            </w:r>
          </w:p>
          <w:p w14:paraId="5667FA62">
            <w:pPr>
              <w:pStyle w:val="12"/>
              <w:ind w:firstLine="0" w:firstLineChars="0"/>
              <w:rPr>
                <w:rFonts w:ascii="宋体" w:eastAsia="宋体" w:cs="宋体"/>
                <w:sz w:val="21"/>
                <w:szCs w:val="21"/>
              </w:rPr>
            </w:pPr>
            <w:r>
              <w:rPr>
                <w:rFonts w:hint="eastAsia" w:ascii="宋体" w:eastAsia="宋体" w:cs="宋体"/>
                <w:color w:val="FF0000"/>
                <w:sz w:val="21"/>
                <w:szCs w:val="21"/>
              </w:rPr>
              <w:t>（2）项目完成清理种植任务并经发包人（乡镇）验收合格后，支付至合同总额的60％（含40％预付款）。</w:t>
            </w:r>
          </w:p>
          <w:p w14:paraId="2358198E">
            <w:pPr>
              <w:pStyle w:val="12"/>
              <w:ind w:firstLine="0" w:firstLineChars="0"/>
              <w:rPr>
                <w:rFonts w:ascii="宋体" w:eastAsia="宋体" w:cs="宋体"/>
                <w:color w:val="FF0000"/>
                <w:sz w:val="21"/>
                <w:szCs w:val="21"/>
              </w:rPr>
            </w:pPr>
            <w:r>
              <w:rPr>
                <w:rFonts w:hint="eastAsia" w:ascii="宋体" w:eastAsia="宋体" w:cs="宋体"/>
                <w:color w:val="FF0000"/>
                <w:sz w:val="21"/>
                <w:szCs w:val="21"/>
              </w:rPr>
              <w:t>（3）项目实施完工（含养护期满）并经发包人（乡镇）验收合格和县级核查通过，发包人收到成交供应商递交的竣工结算报告及完整的结算资料，支付剩余应付款项。</w:t>
            </w:r>
          </w:p>
          <w:p w14:paraId="3A553A97">
            <w:pPr>
              <w:pStyle w:val="13"/>
              <w:ind w:firstLine="0" w:firstLineChars="0"/>
              <w:rPr>
                <w:rFonts w:ascii="宋体" w:eastAsia="宋体" w:cs="宋体"/>
                <w:sz w:val="21"/>
                <w:szCs w:val="21"/>
              </w:rPr>
            </w:pPr>
            <w:r>
              <w:rPr>
                <w:rFonts w:hint="eastAsia" w:ascii="宋体" w:eastAsia="宋体" w:cs="宋体"/>
                <w:color w:val="FF0000"/>
                <w:sz w:val="21"/>
                <w:szCs w:val="21"/>
              </w:rPr>
              <w:t>具体支付时间以财政拨款时间为准，申请每期付款必须开具正式税务发票。</w:t>
            </w:r>
          </w:p>
        </w:tc>
      </w:tr>
      <w:tr w14:paraId="05CB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530" w:type="dxa"/>
            <w:tcBorders>
              <w:top w:val="single" w:color="auto" w:sz="4" w:space="0"/>
              <w:left w:val="single" w:color="auto" w:sz="4" w:space="0"/>
              <w:bottom w:val="single" w:color="auto" w:sz="4" w:space="0"/>
              <w:right w:val="single" w:color="auto" w:sz="4" w:space="0"/>
            </w:tcBorders>
            <w:vAlign w:val="center"/>
          </w:tcPr>
          <w:p w14:paraId="2019AA68">
            <w:pPr>
              <w:spacing w:line="360" w:lineRule="auto"/>
              <w:jc w:val="center"/>
              <w:rPr>
                <w:rFonts w:ascii="宋体" w:hAnsi="宋体" w:cs="宋体"/>
                <w:b/>
                <w:szCs w:val="21"/>
                <w:lang w:bidi="ar"/>
              </w:rPr>
            </w:pPr>
            <w:r>
              <w:rPr>
                <w:rFonts w:hint="eastAsia" w:ascii="宋体" w:hAnsi="宋体" w:cs="宋体"/>
                <w:b/>
                <w:szCs w:val="21"/>
              </w:rPr>
              <w:t>履约保证金</w:t>
            </w:r>
          </w:p>
        </w:tc>
        <w:tc>
          <w:tcPr>
            <w:tcW w:w="7569" w:type="dxa"/>
            <w:tcBorders>
              <w:top w:val="single" w:color="auto" w:sz="4" w:space="0"/>
              <w:left w:val="single" w:color="auto" w:sz="4" w:space="0"/>
              <w:bottom w:val="single" w:color="auto" w:sz="4" w:space="0"/>
              <w:right w:val="single" w:color="auto" w:sz="4" w:space="0"/>
            </w:tcBorders>
            <w:vAlign w:val="center"/>
          </w:tcPr>
          <w:p w14:paraId="2DA1C1B5">
            <w:pPr>
              <w:spacing w:line="360" w:lineRule="auto"/>
              <w:rPr>
                <w:rFonts w:ascii="宋体" w:hAnsi="宋体" w:cs="宋体"/>
                <w:szCs w:val="21"/>
                <w:lang w:bidi="ar"/>
              </w:rPr>
            </w:pPr>
            <w:r>
              <w:rPr>
                <w:rFonts w:hint="eastAsia" w:ascii="宋体" w:hAnsi="宋体" w:cs="宋体"/>
                <w:szCs w:val="21"/>
                <w:lang w:bidi="ar"/>
              </w:rPr>
              <w:t>（1）成交供应商向采购人提供履约担保，担保方式为： 转账及采购人认可的包含形式（如银行保函、保险机构保证保险保单和融资担保公司保函 ），担保合同作为合同附件。担保额度：合同价的1%。成交供应商应按合同规定向采购人提交履约保证金。</w:t>
            </w:r>
          </w:p>
          <w:p w14:paraId="7478E0CF">
            <w:pPr>
              <w:spacing w:line="360" w:lineRule="auto"/>
              <w:rPr>
                <w:rFonts w:ascii="宋体" w:hAnsi="宋体" w:cs="宋体"/>
                <w:szCs w:val="21"/>
                <w:lang w:bidi="ar"/>
              </w:rPr>
            </w:pPr>
            <w:r>
              <w:rPr>
                <w:rFonts w:hint="eastAsia" w:ascii="宋体" w:hAnsi="宋体" w:cs="宋体"/>
                <w:szCs w:val="21"/>
                <w:lang w:bidi="ar"/>
              </w:rPr>
              <w:t>（2）管护期满后5个工作日内无息退还。如成交供应商原因造成合同终止，履约担保金不返还；如成交供应商不能按磋商承诺和合同要求履约，采购人将有权扣除相应甚至全部履约保证金。</w:t>
            </w:r>
          </w:p>
        </w:tc>
      </w:tr>
      <w:bookmarkEnd w:id="14"/>
      <w:bookmarkEnd w:id="15"/>
      <w:bookmarkEnd w:id="16"/>
      <w:bookmarkEnd w:id="17"/>
      <w:bookmarkEnd w:id="18"/>
      <w:bookmarkEnd w:id="19"/>
      <w:bookmarkEnd w:id="20"/>
      <w:bookmarkEnd w:id="21"/>
    </w:tbl>
    <w:p w14:paraId="2B407E30">
      <w:pPr>
        <w:tabs>
          <w:tab w:val="left" w:pos="8280"/>
        </w:tabs>
        <w:autoSpaceDE w:val="0"/>
        <w:autoSpaceDN w:val="0"/>
        <w:adjustRightInd w:val="0"/>
        <w:spacing w:line="360" w:lineRule="auto"/>
        <w:ind w:firstLine="422" w:firstLineChars="200"/>
        <w:rPr>
          <w:rFonts w:ascii="宋体" w:hAnsi="宋体" w:cs="宋体"/>
          <w:b/>
          <w:szCs w:val="21"/>
        </w:rPr>
      </w:pPr>
      <w:bookmarkStart w:id="34" w:name="_Toc32240"/>
      <w:r>
        <w:rPr>
          <w:rFonts w:hint="eastAsia" w:ascii="宋体" w:hAnsi="宋体" w:cs="宋体"/>
          <w:b/>
          <w:szCs w:val="21"/>
        </w:rPr>
        <w:t>十、注意事项</w:t>
      </w:r>
      <w:bookmarkEnd w:id="34"/>
    </w:p>
    <w:p w14:paraId="7C4BD53C">
      <w:pPr>
        <w:pStyle w:val="12"/>
        <w:widowControl/>
        <w:tabs>
          <w:tab w:val="left" w:pos="540"/>
        </w:tabs>
        <w:ind w:firstLine="420"/>
        <w:jc w:val="left"/>
        <w:rPr>
          <w:rFonts w:ascii="宋体" w:eastAsia="宋体" w:cs="宋体"/>
          <w:sz w:val="21"/>
          <w:szCs w:val="21"/>
        </w:rPr>
      </w:pPr>
      <w:r>
        <w:rPr>
          <w:rFonts w:hint="eastAsia" w:ascii="宋体" w:eastAsia="宋体" w:cs="宋体"/>
          <w:sz w:val="21"/>
          <w:szCs w:val="21"/>
        </w:rPr>
        <w:t>为了更好地实现采购目标，磋商小组可以修改竞争性磋商采购文件，对采购需求、合同草案作出实质性变动，并以书面形式通知所有参加磋商的供应商。供应商收到修改采购文件的通知后，可以决定是否继续参加磋商活动。</w:t>
      </w:r>
    </w:p>
    <w:p w14:paraId="46FF1154">
      <w:pPr>
        <w:rPr>
          <w:rFonts w:ascii="宋体" w:hAnsi="宋体" w:cs="宋体"/>
          <w:sz w:val="32"/>
          <w:szCs w:val="32"/>
        </w:rPr>
      </w:pPr>
      <w:r>
        <w:rPr>
          <w:rFonts w:hint="eastAsia" w:ascii="宋体" w:hAnsi="宋体" w:cs="宋体"/>
          <w:sz w:val="32"/>
          <w:szCs w:val="32"/>
        </w:rPr>
        <w:br w:type="page"/>
      </w:r>
    </w:p>
    <w:p w14:paraId="11D25CAC">
      <w:pPr>
        <w:pStyle w:val="3"/>
        <w:spacing w:before="0" w:after="0" w:line="360" w:lineRule="auto"/>
        <w:jc w:val="center"/>
        <w:rPr>
          <w:rFonts w:ascii="宋体" w:hAnsi="宋体" w:cs="宋体"/>
          <w:sz w:val="32"/>
          <w:szCs w:val="32"/>
        </w:rPr>
      </w:pPr>
      <w:r>
        <w:rPr>
          <w:rFonts w:hint="eastAsia" w:ascii="宋体" w:hAnsi="宋体" w:cs="宋体"/>
          <w:sz w:val="32"/>
          <w:szCs w:val="32"/>
        </w:rPr>
        <w:t xml:space="preserve">第三章  </w:t>
      </w:r>
      <w:r>
        <w:rPr>
          <w:rFonts w:hint="eastAsia" w:ascii="宋体" w:hAnsi="宋体" w:cs="宋体"/>
          <w:sz w:val="44"/>
          <w:szCs w:val="44"/>
          <w:lang w:val="en-US" w:eastAsia="zh-CN"/>
        </w:rPr>
        <w:t>磋商</w:t>
      </w:r>
      <w:r>
        <w:rPr>
          <w:rFonts w:hint="eastAsia" w:ascii="宋体" w:hAnsi="宋体" w:cs="宋体"/>
          <w:sz w:val="44"/>
          <w:szCs w:val="44"/>
        </w:rPr>
        <w:t>须知</w:t>
      </w:r>
      <w:bookmarkEnd w:id="4"/>
      <w:bookmarkEnd w:id="5"/>
    </w:p>
    <w:p w14:paraId="635F11AC">
      <w:pPr>
        <w:pStyle w:val="4"/>
        <w:spacing w:before="0" w:after="0" w:line="360" w:lineRule="auto"/>
        <w:jc w:val="center"/>
        <w:rPr>
          <w:rFonts w:ascii="宋体" w:hAnsi="宋体" w:eastAsia="宋体" w:cs="宋体"/>
          <w:sz w:val="32"/>
          <w:szCs w:val="32"/>
        </w:rPr>
      </w:pPr>
      <w:bookmarkStart w:id="35" w:name="_Toc528927413"/>
      <w:bookmarkStart w:id="36" w:name="_Toc23544"/>
      <w:bookmarkStart w:id="37" w:name="_Toc29209"/>
      <w:bookmarkStart w:id="38" w:name="_Toc508888785"/>
      <w:bookmarkStart w:id="39" w:name="_Toc25252"/>
      <w:r>
        <w:rPr>
          <w:rFonts w:hint="eastAsia" w:ascii="宋体" w:hAnsi="宋体" w:eastAsia="宋体" w:cs="宋体"/>
          <w:sz w:val="32"/>
          <w:szCs w:val="32"/>
        </w:rPr>
        <w:t>前 附 表</w:t>
      </w:r>
      <w:bookmarkEnd w:id="35"/>
      <w:bookmarkEnd w:id="36"/>
      <w:bookmarkEnd w:id="37"/>
      <w:bookmarkEnd w:id="38"/>
      <w:bookmarkEnd w:id="39"/>
    </w:p>
    <w:tbl>
      <w:tblPr>
        <w:tblStyle w:val="32"/>
        <w:tblW w:w="966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406"/>
        <w:gridCol w:w="7519"/>
      </w:tblGrid>
      <w:tr w14:paraId="4A3A70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trPr>
        <w:tc>
          <w:tcPr>
            <w:tcW w:w="738" w:type="dxa"/>
            <w:noWrap w:val="0"/>
            <w:vAlign w:val="center"/>
          </w:tcPr>
          <w:p w14:paraId="31298B43">
            <w:pPr>
              <w:keepNext w:val="0"/>
              <w:keepLines w:val="0"/>
              <w:pageBreakBefore w:val="0"/>
              <w:kinsoku/>
              <w:wordWrap/>
              <w:overflowPunct/>
              <w:topLinePunct w:val="0"/>
              <w:bidi w:val="0"/>
              <w:spacing w:line="300" w:lineRule="exact"/>
              <w:jc w:val="center"/>
              <w:textAlignment w:val="auto"/>
              <w:rPr>
                <w:rFonts w:hint="eastAsia" w:ascii="宋体" w:hAnsi="宋体"/>
                <w:b/>
                <w:color w:val="auto"/>
                <w:sz w:val="21"/>
                <w:szCs w:val="21"/>
              </w:rPr>
            </w:pPr>
            <w:bookmarkStart w:id="40" w:name="_Toc3040"/>
            <w:bookmarkStart w:id="41" w:name="_Toc528927414"/>
            <w:bookmarkStart w:id="42" w:name="_Toc3031"/>
            <w:r>
              <w:rPr>
                <w:rFonts w:hint="eastAsia" w:ascii="宋体" w:hAnsi="宋体"/>
                <w:b/>
                <w:color w:val="auto"/>
                <w:sz w:val="21"/>
                <w:szCs w:val="21"/>
              </w:rPr>
              <w:t>序号</w:t>
            </w:r>
          </w:p>
        </w:tc>
        <w:tc>
          <w:tcPr>
            <w:tcW w:w="1406" w:type="dxa"/>
            <w:noWrap w:val="0"/>
            <w:vAlign w:val="center"/>
          </w:tcPr>
          <w:p w14:paraId="16389D37">
            <w:pPr>
              <w:keepNext w:val="0"/>
              <w:keepLines w:val="0"/>
              <w:pageBreakBefore w:val="0"/>
              <w:kinsoku/>
              <w:wordWrap/>
              <w:overflowPunct/>
              <w:topLinePunct w:val="0"/>
              <w:bidi w:val="0"/>
              <w:spacing w:line="300" w:lineRule="exact"/>
              <w:ind w:firstLine="211" w:firstLineChars="100"/>
              <w:jc w:val="center"/>
              <w:textAlignment w:val="auto"/>
              <w:rPr>
                <w:rFonts w:hint="eastAsia" w:ascii="宋体" w:hAnsi="宋体"/>
                <w:b/>
                <w:color w:val="auto"/>
                <w:sz w:val="21"/>
                <w:szCs w:val="21"/>
              </w:rPr>
            </w:pPr>
            <w:r>
              <w:rPr>
                <w:rFonts w:hint="eastAsia" w:ascii="宋体" w:hAnsi="宋体"/>
                <w:b/>
                <w:color w:val="auto"/>
                <w:sz w:val="21"/>
                <w:szCs w:val="21"/>
              </w:rPr>
              <w:t>项   目</w:t>
            </w:r>
          </w:p>
        </w:tc>
        <w:tc>
          <w:tcPr>
            <w:tcW w:w="7519" w:type="dxa"/>
            <w:noWrap w:val="0"/>
            <w:vAlign w:val="center"/>
          </w:tcPr>
          <w:p w14:paraId="52867DA8">
            <w:pPr>
              <w:keepNext w:val="0"/>
              <w:keepLines w:val="0"/>
              <w:pageBreakBefore w:val="0"/>
              <w:kinsoku/>
              <w:wordWrap/>
              <w:overflowPunct/>
              <w:topLinePunct w:val="0"/>
              <w:bidi w:val="0"/>
              <w:spacing w:line="300" w:lineRule="exact"/>
              <w:jc w:val="center"/>
              <w:textAlignment w:val="auto"/>
              <w:rPr>
                <w:rFonts w:hint="eastAsia" w:ascii="宋体" w:hAnsi="宋体"/>
                <w:b/>
                <w:color w:val="auto"/>
                <w:sz w:val="21"/>
                <w:szCs w:val="21"/>
              </w:rPr>
            </w:pPr>
            <w:r>
              <w:rPr>
                <w:rFonts w:hint="eastAsia" w:ascii="宋体" w:hAnsi="宋体"/>
                <w:b/>
                <w:color w:val="auto"/>
                <w:sz w:val="21"/>
                <w:szCs w:val="21"/>
              </w:rPr>
              <w:t>内                容</w:t>
            </w:r>
          </w:p>
        </w:tc>
      </w:tr>
      <w:tr w14:paraId="334F1D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614763EB">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1</w:t>
            </w:r>
          </w:p>
        </w:tc>
        <w:tc>
          <w:tcPr>
            <w:tcW w:w="1406" w:type="dxa"/>
            <w:noWrap w:val="0"/>
            <w:vAlign w:val="center"/>
          </w:tcPr>
          <w:p w14:paraId="7535E8BA">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项目名称</w:t>
            </w:r>
          </w:p>
        </w:tc>
        <w:tc>
          <w:tcPr>
            <w:tcW w:w="7519" w:type="dxa"/>
            <w:noWrap w:val="0"/>
            <w:vAlign w:val="center"/>
          </w:tcPr>
          <w:p w14:paraId="5090BB0B">
            <w:pPr>
              <w:keepNext w:val="0"/>
              <w:keepLines w:val="0"/>
              <w:pageBreakBefore w:val="0"/>
              <w:kinsoku/>
              <w:wordWrap/>
              <w:overflowPunct/>
              <w:topLinePunct w:val="0"/>
              <w:bidi w:val="0"/>
              <w:spacing w:line="300" w:lineRule="exact"/>
              <w:ind w:left="-2" w:leftChars="-1" w:firstLine="2" w:firstLineChars="1"/>
              <w:textAlignment w:val="auto"/>
              <w:rPr>
                <w:rFonts w:hint="eastAsia" w:ascii="宋体" w:hAnsi="宋体" w:eastAsia="宋体"/>
                <w:bCs/>
                <w:color w:val="auto"/>
                <w:sz w:val="21"/>
                <w:szCs w:val="21"/>
                <w:lang w:eastAsia="zh-CN"/>
              </w:rPr>
            </w:pPr>
            <w:r>
              <w:rPr>
                <w:rFonts w:hint="eastAsia" w:ascii="宋体" w:hAnsi="宋体" w:eastAsia="宋体"/>
                <w:bCs/>
                <w:color w:val="auto"/>
                <w:sz w:val="21"/>
                <w:szCs w:val="21"/>
                <w:lang w:eastAsia="zh-CN"/>
              </w:rPr>
              <w:t>台州市仙居县浙南山地生态系统综合治理及生物多样性保护项目(</w:t>
            </w:r>
            <w:r>
              <w:rPr>
                <w:rFonts w:hint="eastAsia" w:ascii="宋体" w:hAnsi="宋体"/>
                <w:bCs/>
                <w:color w:val="auto"/>
                <w:sz w:val="21"/>
                <w:szCs w:val="21"/>
                <w:lang w:val="en-US" w:eastAsia="zh-CN"/>
              </w:rPr>
              <w:t>淡竹乡</w:t>
            </w:r>
            <w:r>
              <w:rPr>
                <w:rFonts w:hint="eastAsia" w:ascii="宋体" w:hAnsi="宋体" w:eastAsia="宋体"/>
                <w:bCs/>
                <w:color w:val="auto"/>
                <w:sz w:val="21"/>
                <w:szCs w:val="21"/>
                <w:lang w:eastAsia="zh-CN"/>
              </w:rPr>
              <w:t>)</w:t>
            </w:r>
          </w:p>
        </w:tc>
      </w:tr>
      <w:tr w14:paraId="653E23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27CA0114">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2</w:t>
            </w:r>
          </w:p>
        </w:tc>
        <w:tc>
          <w:tcPr>
            <w:tcW w:w="1406" w:type="dxa"/>
            <w:noWrap w:val="0"/>
            <w:vAlign w:val="center"/>
          </w:tcPr>
          <w:p w14:paraId="00786B16">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lang w:eastAsia="zh-CN"/>
              </w:rPr>
              <w:t>采购</w:t>
            </w:r>
            <w:r>
              <w:rPr>
                <w:rFonts w:hint="eastAsia" w:ascii="宋体" w:hAnsi="宋体"/>
                <w:bCs/>
                <w:color w:val="auto"/>
                <w:sz w:val="21"/>
                <w:szCs w:val="21"/>
              </w:rPr>
              <w:t>内容</w:t>
            </w:r>
          </w:p>
        </w:tc>
        <w:tc>
          <w:tcPr>
            <w:tcW w:w="7519" w:type="dxa"/>
            <w:noWrap w:val="0"/>
            <w:vAlign w:val="center"/>
          </w:tcPr>
          <w:p w14:paraId="51B94C08">
            <w:pPr>
              <w:keepNext w:val="0"/>
              <w:keepLines w:val="0"/>
              <w:pageBreakBefore w:val="0"/>
              <w:kinsoku/>
              <w:wordWrap/>
              <w:overflowPunct/>
              <w:topLinePunct w:val="0"/>
              <w:bidi w:val="0"/>
              <w:spacing w:line="300" w:lineRule="exact"/>
              <w:ind w:left="-2" w:leftChars="-1" w:firstLine="2" w:firstLineChars="1"/>
              <w:textAlignment w:val="auto"/>
              <w:rPr>
                <w:rFonts w:hint="eastAsia" w:ascii="宋体" w:hAnsi="宋体"/>
                <w:bCs/>
                <w:color w:val="auto"/>
                <w:sz w:val="21"/>
                <w:szCs w:val="21"/>
              </w:rPr>
            </w:pPr>
            <w:r>
              <w:rPr>
                <w:rFonts w:hint="eastAsia" w:ascii="宋体" w:hAnsi="宋体"/>
                <w:bCs/>
                <w:color w:val="auto"/>
                <w:sz w:val="21"/>
                <w:szCs w:val="21"/>
              </w:rPr>
              <w:t>详见</w:t>
            </w:r>
            <w:r>
              <w:rPr>
                <w:rFonts w:hint="eastAsia" w:ascii="宋体" w:hAnsi="宋体" w:eastAsia="宋体"/>
                <w:bCs/>
                <w:color w:val="auto"/>
                <w:sz w:val="21"/>
                <w:szCs w:val="21"/>
                <w:lang w:val="en-US" w:eastAsia="zh-CN"/>
              </w:rPr>
              <w:t>本采购文件</w:t>
            </w:r>
            <w:r>
              <w:rPr>
                <w:rFonts w:hint="eastAsia" w:ascii="宋体" w:hAnsi="宋体"/>
                <w:bCs/>
                <w:color w:val="auto"/>
                <w:sz w:val="21"/>
                <w:szCs w:val="21"/>
              </w:rPr>
              <w:t>“第二部分采购需求”内容</w:t>
            </w:r>
          </w:p>
        </w:tc>
      </w:tr>
      <w:tr w14:paraId="33A874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701459DD">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3</w:t>
            </w:r>
          </w:p>
        </w:tc>
        <w:tc>
          <w:tcPr>
            <w:tcW w:w="1406" w:type="dxa"/>
            <w:noWrap w:val="0"/>
            <w:vAlign w:val="center"/>
          </w:tcPr>
          <w:p w14:paraId="270115AC">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lang w:eastAsia="zh-CN"/>
              </w:rPr>
              <w:t>采购</w:t>
            </w:r>
            <w:r>
              <w:rPr>
                <w:rFonts w:hint="eastAsia" w:ascii="宋体" w:hAnsi="宋体"/>
                <w:bCs/>
                <w:color w:val="auto"/>
                <w:sz w:val="21"/>
                <w:szCs w:val="21"/>
              </w:rPr>
              <w:t>方式</w:t>
            </w:r>
          </w:p>
        </w:tc>
        <w:tc>
          <w:tcPr>
            <w:tcW w:w="7519" w:type="dxa"/>
            <w:noWrap w:val="0"/>
            <w:vAlign w:val="center"/>
          </w:tcPr>
          <w:p w14:paraId="7064E72F">
            <w:pPr>
              <w:keepNext w:val="0"/>
              <w:keepLines w:val="0"/>
              <w:pageBreakBefore w:val="0"/>
              <w:kinsoku/>
              <w:wordWrap/>
              <w:overflowPunct/>
              <w:topLinePunct w:val="0"/>
              <w:bidi w:val="0"/>
              <w:spacing w:line="300" w:lineRule="exact"/>
              <w:textAlignment w:val="auto"/>
              <w:rPr>
                <w:rFonts w:hint="eastAsia" w:ascii="宋体" w:hAnsi="宋体" w:eastAsia="宋体"/>
                <w:bCs/>
                <w:color w:val="auto"/>
                <w:sz w:val="21"/>
                <w:szCs w:val="21"/>
                <w:lang w:eastAsia="zh-CN"/>
              </w:rPr>
            </w:pPr>
            <w:r>
              <w:rPr>
                <w:rFonts w:hint="eastAsia" w:ascii="宋体" w:hAnsi="宋体"/>
                <w:bCs/>
                <w:color w:val="auto"/>
                <w:sz w:val="21"/>
                <w:szCs w:val="21"/>
                <w:lang w:eastAsia="zh-CN"/>
              </w:rPr>
              <w:t>竞争性磋商</w:t>
            </w:r>
          </w:p>
        </w:tc>
      </w:tr>
      <w:tr w14:paraId="5465DA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738" w:type="dxa"/>
            <w:noWrap w:val="0"/>
            <w:vAlign w:val="center"/>
          </w:tcPr>
          <w:p w14:paraId="739C2417">
            <w:pPr>
              <w:keepNext w:val="0"/>
              <w:keepLines w:val="0"/>
              <w:pageBreakBefore w:val="0"/>
              <w:kinsoku/>
              <w:wordWrap/>
              <w:overflowPunct/>
              <w:topLinePunct w:val="0"/>
              <w:bidi w:val="0"/>
              <w:spacing w:line="300" w:lineRule="exact"/>
              <w:jc w:val="center"/>
              <w:textAlignment w:val="auto"/>
              <w:rPr>
                <w:rFonts w:hint="eastAsia" w:ascii="宋体" w:hAnsi="宋体" w:eastAsia="Calibri" w:cs="Times New Roman"/>
                <w:color w:val="auto"/>
                <w:kern w:val="2"/>
                <w:sz w:val="24"/>
                <w:szCs w:val="24"/>
                <w:lang w:val="en-US" w:eastAsia="zh-CN" w:bidi="ar-SA"/>
              </w:rPr>
            </w:pPr>
            <w:r>
              <w:rPr>
                <w:rFonts w:hint="eastAsia" w:ascii="宋体" w:hAnsi="宋体"/>
                <w:color w:val="auto"/>
                <w:sz w:val="24"/>
              </w:rPr>
              <w:t>4</w:t>
            </w:r>
          </w:p>
        </w:tc>
        <w:tc>
          <w:tcPr>
            <w:tcW w:w="1406" w:type="dxa"/>
            <w:noWrap w:val="0"/>
            <w:vAlign w:val="center"/>
          </w:tcPr>
          <w:p w14:paraId="7C1FE32C">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评标办法</w:t>
            </w:r>
          </w:p>
        </w:tc>
        <w:tc>
          <w:tcPr>
            <w:tcW w:w="7519" w:type="dxa"/>
            <w:noWrap w:val="0"/>
            <w:vAlign w:val="center"/>
          </w:tcPr>
          <w:p w14:paraId="736E1B92">
            <w:pPr>
              <w:keepNext w:val="0"/>
              <w:keepLines w:val="0"/>
              <w:pageBreakBefore w:val="0"/>
              <w:kinsoku/>
              <w:wordWrap/>
              <w:overflowPunct/>
              <w:topLinePunct w:val="0"/>
              <w:bidi w:val="0"/>
              <w:spacing w:line="300" w:lineRule="exact"/>
              <w:jc w:val="left"/>
              <w:textAlignment w:val="auto"/>
              <w:rPr>
                <w:rFonts w:hint="eastAsia" w:ascii="宋体" w:hAnsi="宋体"/>
                <w:color w:val="auto"/>
                <w:sz w:val="21"/>
                <w:szCs w:val="21"/>
              </w:rPr>
            </w:pPr>
            <w:r>
              <w:rPr>
                <w:rFonts w:hint="eastAsia" w:ascii="宋体" w:hAnsi="宋体" w:cs="Arial"/>
                <w:bCs/>
                <w:color w:val="auto"/>
                <w:kern w:val="0"/>
                <w:sz w:val="21"/>
                <w:szCs w:val="21"/>
              </w:rPr>
              <w:t>综合评分法</w:t>
            </w:r>
          </w:p>
        </w:tc>
      </w:tr>
      <w:tr w14:paraId="3A6EED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8" w:type="dxa"/>
            <w:noWrap w:val="0"/>
            <w:vAlign w:val="center"/>
          </w:tcPr>
          <w:p w14:paraId="3DF2D8C2">
            <w:pPr>
              <w:keepNext w:val="0"/>
              <w:keepLines w:val="0"/>
              <w:pageBreakBefore w:val="0"/>
              <w:kinsoku/>
              <w:wordWrap/>
              <w:overflowPunct/>
              <w:topLinePunct w:val="0"/>
              <w:bidi w:val="0"/>
              <w:spacing w:line="300" w:lineRule="exact"/>
              <w:jc w:val="center"/>
              <w:textAlignment w:val="auto"/>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5</w:t>
            </w:r>
          </w:p>
        </w:tc>
        <w:tc>
          <w:tcPr>
            <w:tcW w:w="1406" w:type="dxa"/>
            <w:noWrap w:val="0"/>
            <w:vAlign w:val="center"/>
          </w:tcPr>
          <w:p w14:paraId="49651571">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磋商响应文件有效期</w:t>
            </w:r>
          </w:p>
        </w:tc>
        <w:tc>
          <w:tcPr>
            <w:tcW w:w="7519" w:type="dxa"/>
            <w:noWrap w:val="0"/>
            <w:vAlign w:val="center"/>
          </w:tcPr>
          <w:p w14:paraId="74D23840">
            <w:pPr>
              <w:pStyle w:val="30"/>
              <w:keepNext w:val="0"/>
              <w:keepLines w:val="0"/>
              <w:pageBreakBefore w:val="0"/>
              <w:kinsoku/>
              <w:wordWrap/>
              <w:overflowPunct/>
              <w:topLinePunct w:val="0"/>
              <w:bidi w:val="0"/>
              <w:snapToGrid w:val="0"/>
              <w:spacing w:line="300" w:lineRule="exact"/>
              <w:textAlignment w:val="auto"/>
              <w:rPr>
                <w:bCs/>
                <w:color w:val="auto"/>
                <w:sz w:val="21"/>
                <w:szCs w:val="21"/>
              </w:rPr>
            </w:pPr>
            <w:r>
              <w:rPr>
                <w:rFonts w:hint="eastAsia"/>
                <w:bCs/>
                <w:color w:val="auto"/>
                <w:sz w:val="21"/>
                <w:szCs w:val="21"/>
              </w:rPr>
              <w:t>磋商响应有效期为90天，磋商响应有效期从提交磋商响应文件的截止之日起算。</w:t>
            </w:r>
          </w:p>
        </w:tc>
      </w:tr>
      <w:tr w14:paraId="017556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738" w:type="dxa"/>
            <w:noWrap w:val="0"/>
            <w:vAlign w:val="center"/>
          </w:tcPr>
          <w:p w14:paraId="198E6D51">
            <w:pPr>
              <w:keepNext w:val="0"/>
              <w:keepLines w:val="0"/>
              <w:pageBreakBefore w:val="0"/>
              <w:kinsoku/>
              <w:wordWrap/>
              <w:overflowPunct/>
              <w:topLinePunct w:val="0"/>
              <w:bidi w:val="0"/>
              <w:spacing w:line="300" w:lineRule="exact"/>
              <w:jc w:val="center"/>
              <w:textAlignment w:val="auto"/>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6</w:t>
            </w:r>
          </w:p>
        </w:tc>
        <w:tc>
          <w:tcPr>
            <w:tcW w:w="1406" w:type="dxa"/>
            <w:noWrap w:val="0"/>
            <w:vAlign w:val="center"/>
          </w:tcPr>
          <w:p w14:paraId="2E6CE204">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履约保证金</w:t>
            </w:r>
          </w:p>
        </w:tc>
        <w:tc>
          <w:tcPr>
            <w:tcW w:w="7519" w:type="dxa"/>
            <w:noWrap w:val="0"/>
            <w:vAlign w:val="center"/>
          </w:tcPr>
          <w:p w14:paraId="250AAB82">
            <w:pPr>
              <w:keepNext w:val="0"/>
              <w:keepLines w:val="0"/>
              <w:pageBreakBefore w:val="0"/>
              <w:kinsoku/>
              <w:wordWrap/>
              <w:overflowPunct/>
              <w:topLinePunct w:val="0"/>
              <w:bidi w:val="0"/>
              <w:spacing w:line="300" w:lineRule="exact"/>
              <w:textAlignment w:val="auto"/>
              <w:rPr>
                <w:rFonts w:hint="eastAsia" w:ascii="宋体" w:hAnsi="宋体" w:eastAsia="宋体"/>
                <w:color w:val="0000FF"/>
                <w:sz w:val="21"/>
                <w:szCs w:val="21"/>
                <w:highlight w:val="none"/>
                <w:lang w:eastAsia="zh-CN"/>
              </w:rPr>
            </w:pPr>
            <w:r>
              <w:rPr>
                <w:rFonts w:hint="eastAsia" w:ascii="宋体" w:hAnsi="宋体"/>
                <w:color w:val="0000FF"/>
                <w:sz w:val="21"/>
                <w:szCs w:val="21"/>
                <w:highlight w:val="none"/>
              </w:rPr>
              <w:t>本项目履约保证金为合同</w:t>
            </w:r>
            <w:r>
              <w:rPr>
                <w:rFonts w:hint="eastAsia" w:ascii="宋体" w:hAnsi="宋体" w:eastAsia="宋体"/>
                <w:color w:val="0000FF"/>
                <w:sz w:val="21"/>
                <w:szCs w:val="21"/>
                <w:highlight w:val="none"/>
                <w:lang w:val="en-US" w:eastAsia="zh-CN"/>
              </w:rPr>
              <w:t>价</w:t>
            </w:r>
            <w:r>
              <w:rPr>
                <w:rFonts w:hint="eastAsia" w:ascii="宋体" w:hAnsi="宋体"/>
                <w:color w:val="0000FF"/>
                <w:sz w:val="21"/>
                <w:szCs w:val="21"/>
                <w:highlight w:val="none"/>
              </w:rPr>
              <w:t>的</w:t>
            </w:r>
            <w:r>
              <w:rPr>
                <w:rFonts w:hint="eastAsia" w:ascii="宋体" w:hAnsi="宋体" w:eastAsia="宋体"/>
                <w:color w:val="0000FF"/>
                <w:sz w:val="21"/>
                <w:szCs w:val="21"/>
                <w:highlight w:val="none"/>
                <w:lang w:val="en-US" w:eastAsia="zh-CN"/>
              </w:rPr>
              <w:t>1</w:t>
            </w:r>
            <w:r>
              <w:rPr>
                <w:rFonts w:hint="eastAsia" w:ascii="宋体" w:hAnsi="宋体"/>
                <w:color w:val="0000FF"/>
                <w:sz w:val="21"/>
                <w:szCs w:val="21"/>
                <w:highlight w:val="none"/>
              </w:rPr>
              <w:t>%</w:t>
            </w:r>
            <w:r>
              <w:rPr>
                <w:rFonts w:hint="eastAsia" w:ascii="宋体" w:hAnsi="宋体"/>
                <w:color w:val="0000FF"/>
                <w:sz w:val="21"/>
                <w:szCs w:val="21"/>
                <w:highlight w:val="none"/>
                <w:lang w:eastAsia="zh-CN"/>
              </w:rPr>
              <w:t>。</w:t>
            </w:r>
          </w:p>
          <w:p w14:paraId="1A3E013E">
            <w:pPr>
              <w:keepNext w:val="0"/>
              <w:keepLines w:val="0"/>
              <w:pageBreakBefore w:val="0"/>
              <w:kinsoku/>
              <w:wordWrap/>
              <w:overflowPunct/>
              <w:topLinePunct w:val="0"/>
              <w:bidi w:val="0"/>
              <w:spacing w:line="300" w:lineRule="exact"/>
              <w:textAlignment w:val="auto"/>
              <w:rPr>
                <w:rFonts w:hint="eastAsia" w:ascii="宋体" w:hAnsi="宋体"/>
                <w:color w:val="auto"/>
                <w:sz w:val="21"/>
                <w:szCs w:val="21"/>
              </w:rPr>
            </w:pPr>
            <w:r>
              <w:rPr>
                <w:rFonts w:hint="eastAsia" w:ascii="宋体" w:hAnsi="宋体"/>
                <w:color w:val="0000FF"/>
                <w:sz w:val="21"/>
                <w:szCs w:val="21"/>
                <w:highlight w:val="none"/>
              </w:rPr>
              <w:t>鼓励供应商开展政采贷、履约保函等政府采购金融服务，供应商以银行、保险公司、融资担保公司出具保函形式提交履约保证金的，采购单位不得拒收</w:t>
            </w:r>
            <w:r>
              <w:rPr>
                <w:rFonts w:hint="eastAsia" w:ascii="宋体" w:hAnsi="宋体" w:eastAsia="宋体" w:cs="宋体"/>
                <w:color w:val="auto"/>
                <w:sz w:val="21"/>
                <w:szCs w:val="21"/>
                <w:highlight w:val="none"/>
              </w:rPr>
              <w:t>。</w:t>
            </w:r>
          </w:p>
        </w:tc>
      </w:tr>
      <w:tr w14:paraId="275853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71" w:hRule="atLeast"/>
        </w:trPr>
        <w:tc>
          <w:tcPr>
            <w:tcW w:w="738" w:type="dxa"/>
            <w:noWrap w:val="0"/>
            <w:vAlign w:val="center"/>
          </w:tcPr>
          <w:p w14:paraId="43ECD955">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7</w:t>
            </w:r>
          </w:p>
        </w:tc>
        <w:tc>
          <w:tcPr>
            <w:tcW w:w="1406" w:type="dxa"/>
            <w:noWrap w:val="0"/>
            <w:vAlign w:val="center"/>
          </w:tcPr>
          <w:p w14:paraId="7483B6CD">
            <w:pPr>
              <w:keepNext w:val="0"/>
              <w:keepLines w:val="0"/>
              <w:pageBreakBefore w:val="0"/>
              <w:kinsoku/>
              <w:wordWrap/>
              <w:overflowPunct/>
              <w:topLinePunct w:val="0"/>
              <w:bidi w:val="0"/>
              <w:spacing w:line="300" w:lineRule="exact"/>
              <w:jc w:val="center"/>
              <w:textAlignment w:val="auto"/>
              <w:rPr>
                <w:rFonts w:hint="eastAsia" w:ascii="宋体" w:hAnsi="宋体" w:eastAsia="宋体"/>
                <w:color w:val="auto"/>
                <w:kern w:val="2"/>
                <w:sz w:val="21"/>
                <w:szCs w:val="21"/>
                <w:lang w:val="en-US" w:eastAsia="zh-CN" w:bidi="ar-SA"/>
              </w:rPr>
            </w:pPr>
            <w:r>
              <w:rPr>
                <w:rFonts w:hint="eastAsia" w:ascii="宋体" w:hAnsi="宋体"/>
                <w:color w:val="auto"/>
                <w:sz w:val="21"/>
                <w:szCs w:val="21"/>
                <w:lang w:val="en-US" w:eastAsia="zh-CN"/>
              </w:rPr>
              <w:t>响应</w:t>
            </w:r>
            <w:r>
              <w:rPr>
                <w:rFonts w:hint="eastAsia" w:ascii="宋体" w:hAnsi="宋体"/>
                <w:color w:val="auto"/>
                <w:sz w:val="21"/>
                <w:szCs w:val="21"/>
              </w:rPr>
              <w:t>文件</w:t>
            </w:r>
            <w:r>
              <w:rPr>
                <w:rFonts w:hint="eastAsia" w:ascii="宋体" w:hAnsi="宋体"/>
                <w:color w:val="auto"/>
                <w:sz w:val="21"/>
                <w:szCs w:val="21"/>
                <w:lang w:eastAsia="zh-CN"/>
              </w:rPr>
              <w:t>要求</w:t>
            </w:r>
          </w:p>
        </w:tc>
        <w:tc>
          <w:tcPr>
            <w:tcW w:w="7519" w:type="dxa"/>
            <w:noWrap w:val="0"/>
            <w:vAlign w:val="center"/>
          </w:tcPr>
          <w:p w14:paraId="6399B044">
            <w:pPr>
              <w:keepNext w:val="0"/>
              <w:keepLines w:val="0"/>
              <w:pageBreakBefore w:val="0"/>
              <w:kinsoku/>
              <w:wordWrap/>
              <w:overflowPunct/>
              <w:topLinePunct w:val="0"/>
              <w:bidi w:val="0"/>
              <w:spacing w:line="300" w:lineRule="exact"/>
              <w:textAlignment w:val="auto"/>
              <w:rPr>
                <w:rFonts w:hint="eastAsia" w:ascii="宋体" w:hAnsi="宋体" w:cs="Times New Roman"/>
                <w:color w:val="auto"/>
                <w:sz w:val="21"/>
                <w:szCs w:val="21"/>
              </w:rPr>
            </w:pPr>
            <w:r>
              <w:rPr>
                <w:rFonts w:hint="eastAsia" w:ascii="宋体" w:hAnsi="宋体" w:cs="Times New Roman"/>
                <w:color w:val="auto"/>
                <w:sz w:val="21"/>
                <w:szCs w:val="21"/>
                <w:lang w:val="en-US" w:eastAsia="zh-CN"/>
              </w:rPr>
              <w:t xml:space="preserve">（1）“电子加密响应文件”：在线上传递交一份。 </w:t>
            </w:r>
          </w:p>
          <w:p w14:paraId="3E1EBDCE">
            <w:pPr>
              <w:keepNext w:val="0"/>
              <w:keepLines w:val="0"/>
              <w:pageBreakBefore w:val="0"/>
              <w:kinsoku/>
              <w:wordWrap/>
              <w:overflowPunct/>
              <w:topLinePunct w:val="0"/>
              <w:bidi w:val="0"/>
              <w:spacing w:line="300" w:lineRule="exact"/>
              <w:textAlignment w:val="auto"/>
              <w:rPr>
                <w:rFonts w:hint="eastAsia" w:ascii="宋体" w:hAnsi="宋体" w:cs="Times New Roman"/>
                <w:color w:val="auto"/>
                <w:kern w:val="2"/>
                <w:sz w:val="21"/>
                <w:szCs w:val="21"/>
                <w:highlight w:val="none"/>
                <w:lang w:val="en-US" w:eastAsia="zh-CN" w:bidi="ar-SA"/>
              </w:rPr>
            </w:pPr>
            <w:r>
              <w:rPr>
                <w:rFonts w:hint="eastAsia" w:ascii="宋体" w:hAnsi="宋体" w:cs="Times New Roman"/>
                <w:color w:val="auto"/>
                <w:sz w:val="21"/>
                <w:szCs w:val="21"/>
                <w:lang w:val="en-US" w:eastAsia="zh-CN"/>
              </w:rPr>
              <w:t>（</w:t>
            </w:r>
            <w:r>
              <w:rPr>
                <w:rFonts w:hint="eastAsia" w:ascii="宋体" w:hAnsi="宋体" w:cs="Times New Roman"/>
                <w:color w:val="auto"/>
                <w:sz w:val="21"/>
                <w:szCs w:val="21"/>
                <w:highlight w:val="none"/>
                <w:lang w:val="en-US" w:eastAsia="zh-CN"/>
              </w:rPr>
              <w:t>2）</w:t>
            </w:r>
            <w:r>
              <w:rPr>
                <w:rFonts w:hint="eastAsia" w:ascii="宋体" w:hAnsi="宋体" w:cs="Times New Roman"/>
                <w:b/>
                <w:bCs/>
                <w:color w:val="auto"/>
                <w:sz w:val="21"/>
                <w:szCs w:val="21"/>
                <w:highlight w:val="none"/>
                <w:lang w:val="en-US" w:eastAsia="zh-CN"/>
              </w:rPr>
              <w:t>“备份响应文件”（如有）：</w:t>
            </w:r>
            <w:r>
              <w:rPr>
                <w:rFonts w:hint="eastAsia" w:ascii="宋体" w:hAnsi="宋体" w:eastAsia="Calibri" w:cs="Times New Roman"/>
                <w:color w:val="auto"/>
                <w:kern w:val="2"/>
                <w:sz w:val="21"/>
                <w:szCs w:val="21"/>
                <w:highlight w:val="none"/>
                <w:lang w:val="en-US" w:eastAsia="zh-CN" w:bidi="ar-SA"/>
              </w:rPr>
              <w:t>政采云平台上最后生成的具备电子签章的备份响应文件，文件名后缀为备份</w:t>
            </w:r>
            <w:r>
              <w:rPr>
                <w:rFonts w:hint="eastAsia" w:ascii="宋体" w:hAnsi="宋体" w:cs="Times New Roman"/>
                <w:color w:val="auto"/>
                <w:kern w:val="2"/>
                <w:sz w:val="21"/>
                <w:szCs w:val="21"/>
                <w:highlight w:val="none"/>
                <w:lang w:val="en-US" w:eastAsia="zh-CN" w:bidi="ar-SA"/>
              </w:rPr>
              <w:t>标书</w:t>
            </w:r>
            <w:r>
              <w:rPr>
                <w:rFonts w:hint="eastAsia" w:ascii="宋体" w:hAnsi="宋体" w:eastAsia="Calibri" w:cs="Times New Roman"/>
                <w:color w:val="auto"/>
                <w:kern w:val="2"/>
                <w:sz w:val="21"/>
                <w:szCs w:val="21"/>
                <w:highlight w:val="none"/>
                <w:lang w:val="en-US" w:eastAsia="zh-CN" w:bidi="ar-SA"/>
              </w:rPr>
              <w:t>四字的首字母）</w:t>
            </w:r>
            <w:r>
              <w:rPr>
                <w:rFonts w:hint="eastAsia" w:ascii="宋体" w:hAnsi="宋体" w:cs="Times New Roman"/>
                <w:color w:val="auto"/>
                <w:kern w:val="2"/>
                <w:sz w:val="21"/>
                <w:szCs w:val="21"/>
                <w:highlight w:val="none"/>
                <w:lang w:val="en-US" w:eastAsia="zh-CN" w:bidi="ar-SA"/>
              </w:rPr>
              <w:t>。</w:t>
            </w:r>
            <w:r>
              <w:rPr>
                <w:rFonts w:hint="eastAsia" w:eastAsia="宋体" w:cs="宋体"/>
                <w:color w:val="auto"/>
                <w:sz w:val="21"/>
                <w:szCs w:val="21"/>
                <w:highlight w:val="none"/>
                <w:u w:val="none"/>
                <w:lang w:eastAsia="zh-CN"/>
              </w:rPr>
              <w:t>供应商</w:t>
            </w:r>
            <w:r>
              <w:rPr>
                <w:rFonts w:hint="eastAsia" w:ascii="宋体" w:hAnsi="宋体" w:eastAsia="宋体" w:cs="宋体"/>
                <w:color w:val="auto"/>
                <w:sz w:val="21"/>
                <w:szCs w:val="21"/>
                <w:highlight w:val="none"/>
                <w:u w:val="none"/>
                <w:lang w:eastAsia="zh-CN"/>
              </w:rPr>
              <w:t>自行确定是否提交；若提交请</w:t>
            </w:r>
            <w:r>
              <w:rPr>
                <w:rFonts w:hint="eastAsia" w:eastAsia="宋体" w:cs="宋体"/>
                <w:b w:val="0"/>
                <w:bCs w:val="0"/>
                <w:color w:val="auto"/>
                <w:sz w:val="21"/>
                <w:szCs w:val="21"/>
                <w:highlight w:val="none"/>
                <w:u w:val="none"/>
                <w:lang w:eastAsia="zh-CN"/>
              </w:rPr>
              <w:t>在</w:t>
            </w:r>
            <w:r>
              <w:rPr>
                <w:rFonts w:hint="eastAsia" w:eastAsia="宋体" w:cs="宋体"/>
                <w:b w:val="0"/>
                <w:bCs w:val="0"/>
                <w:color w:val="auto"/>
                <w:sz w:val="21"/>
                <w:szCs w:val="21"/>
                <w:highlight w:val="none"/>
                <w:lang w:val="en-US" w:eastAsia="zh-CN"/>
              </w:rPr>
              <w:t>提交磋商响应文件</w:t>
            </w:r>
            <w:r>
              <w:rPr>
                <w:rFonts w:hint="eastAsia" w:ascii="宋体" w:hAnsi="宋体" w:eastAsia="宋体" w:cs="宋体"/>
                <w:b w:val="0"/>
                <w:bCs w:val="0"/>
                <w:color w:val="auto"/>
                <w:sz w:val="21"/>
                <w:szCs w:val="21"/>
                <w:highlight w:val="none"/>
                <w:lang w:val="en-US" w:eastAsia="zh-CN"/>
              </w:rPr>
              <w:t>截止时间</w:t>
            </w:r>
            <w:r>
              <w:rPr>
                <w:rFonts w:hint="eastAsia" w:eastAsia="宋体" w:cs="宋体"/>
                <w:b w:val="0"/>
                <w:bCs w:val="0"/>
                <w:color w:val="auto"/>
                <w:sz w:val="21"/>
                <w:szCs w:val="21"/>
                <w:highlight w:val="none"/>
                <w:lang w:val="en-US" w:eastAsia="zh-CN"/>
              </w:rPr>
              <w:t>前</w:t>
            </w:r>
            <w:r>
              <w:rPr>
                <w:rFonts w:hint="eastAsia" w:ascii="宋体" w:hAnsi="宋体" w:eastAsia="宋体" w:cs="宋体"/>
                <w:color w:val="auto"/>
                <w:sz w:val="21"/>
                <w:szCs w:val="21"/>
                <w:highlight w:val="none"/>
                <w:u w:val="none"/>
                <w:lang w:eastAsia="zh-CN"/>
              </w:rPr>
              <w:t>将备份响应文件打包压缩加密（未加密造成泄密的由投标人自行承担）后以电子邮件的形式发送至</w:t>
            </w:r>
            <w:r>
              <w:rPr>
                <w:rFonts w:hint="eastAsia" w:cs="宋体"/>
                <w:color w:val="auto"/>
                <w:sz w:val="21"/>
                <w:szCs w:val="21"/>
                <w:highlight w:val="none"/>
                <w:u w:val="none"/>
                <w:lang w:val="en-US" w:eastAsia="zh-CN"/>
              </w:rPr>
              <w:t>2831419607</w:t>
            </w:r>
            <w:r>
              <w:rPr>
                <w:rFonts w:hint="eastAsia" w:eastAsia="宋体" w:cs="宋体"/>
                <w:color w:val="auto"/>
                <w:sz w:val="21"/>
                <w:szCs w:val="21"/>
                <w:highlight w:val="none"/>
                <w:u w:val="none"/>
                <w:lang w:val="en-US" w:eastAsia="zh-CN"/>
              </w:rPr>
              <w:t>@qq.com</w:t>
            </w:r>
            <w:r>
              <w:rPr>
                <w:rFonts w:hint="eastAsia" w:eastAsia="宋体" w:cs="宋体"/>
                <w:color w:val="auto"/>
                <w:sz w:val="21"/>
                <w:szCs w:val="21"/>
                <w:highlight w:val="none"/>
                <w:u w:val="none"/>
                <w:lang w:eastAsia="zh-CN"/>
              </w:rPr>
              <w:t>，逾期</w:t>
            </w:r>
            <w:r>
              <w:rPr>
                <w:rFonts w:hint="eastAsia" w:ascii="宋体" w:hAnsi="宋体" w:eastAsia="宋体" w:cs="宋体"/>
                <w:color w:val="auto"/>
                <w:sz w:val="21"/>
                <w:szCs w:val="21"/>
                <w:highlight w:val="none"/>
                <w:u w:val="none"/>
                <w:lang w:eastAsia="zh-CN"/>
              </w:rPr>
              <w:t>发送</w:t>
            </w:r>
            <w:r>
              <w:rPr>
                <w:rFonts w:hint="eastAsia" w:eastAsia="宋体" w:cs="宋体"/>
                <w:color w:val="auto"/>
                <w:sz w:val="21"/>
                <w:szCs w:val="21"/>
                <w:highlight w:val="none"/>
                <w:u w:val="none"/>
                <w:lang w:eastAsia="zh-CN"/>
              </w:rPr>
              <w:t>的</w:t>
            </w:r>
            <w:r>
              <w:rPr>
                <w:rFonts w:hint="eastAsia" w:ascii="Arial" w:hAnsi="Arial" w:cs="Arial"/>
                <w:kern w:val="0"/>
                <w:sz w:val="21"/>
                <w:szCs w:val="21"/>
                <w:u w:val="none"/>
              </w:rPr>
              <w:t>将被</w:t>
            </w:r>
            <w:r>
              <w:rPr>
                <w:rFonts w:hint="eastAsia" w:ascii="Arial" w:hAnsi="Arial" w:eastAsia="宋体" w:cs="Arial"/>
                <w:kern w:val="0"/>
                <w:sz w:val="21"/>
                <w:szCs w:val="21"/>
                <w:u w:val="none"/>
                <w:lang w:eastAsia="zh-CN"/>
              </w:rPr>
              <w:t>视为未提交。</w:t>
            </w:r>
          </w:p>
          <w:p w14:paraId="0DA15814">
            <w:pPr>
              <w:keepNext w:val="0"/>
              <w:keepLines w:val="0"/>
              <w:pageBreakBefore w:val="0"/>
              <w:kinsoku/>
              <w:wordWrap/>
              <w:overflowPunct/>
              <w:topLinePunct w:val="0"/>
              <w:bidi w:val="0"/>
              <w:spacing w:line="300" w:lineRule="exact"/>
              <w:ind w:firstLine="420" w:firstLineChars="200"/>
              <w:textAlignment w:val="auto"/>
              <w:rPr>
                <w:rFonts w:hint="default"/>
                <w:i w:val="0"/>
                <w:iCs w:val="0"/>
                <w:color w:val="000000"/>
                <w:sz w:val="21"/>
                <w:szCs w:val="21"/>
                <w:u w:val="single"/>
                <w:lang w:val="en-US" w:eastAsia="zh-CN"/>
              </w:rPr>
            </w:pPr>
            <w:r>
              <w:rPr>
                <w:rFonts w:hint="eastAsia" w:ascii="宋体" w:hAnsi="宋体" w:eastAsia="Calibri" w:cs="Times New Roman"/>
                <w:color w:val="auto"/>
                <w:kern w:val="2"/>
                <w:sz w:val="21"/>
                <w:szCs w:val="21"/>
                <w:highlight w:val="none"/>
                <w:lang w:val="en-US" w:eastAsia="zh-CN" w:bidi="ar-SA"/>
              </w:rPr>
              <w:t>备份响应文件在“</w:t>
            </w:r>
            <w:r>
              <w:rPr>
                <w:rFonts w:hint="eastAsia" w:ascii="宋体" w:hAnsi="宋体" w:cs="Times New Roman"/>
                <w:color w:val="auto"/>
                <w:kern w:val="2"/>
                <w:sz w:val="21"/>
                <w:szCs w:val="21"/>
                <w:highlight w:val="none"/>
                <w:lang w:val="en-US" w:eastAsia="zh-CN" w:bidi="ar-SA"/>
              </w:rPr>
              <w:t>电子加密响应文件</w:t>
            </w:r>
            <w:r>
              <w:rPr>
                <w:rFonts w:hint="eastAsia" w:ascii="宋体" w:hAnsi="宋体" w:eastAsia="Calibri" w:cs="Times New Roman"/>
                <w:color w:val="auto"/>
                <w:kern w:val="2"/>
                <w:sz w:val="21"/>
                <w:szCs w:val="21"/>
                <w:highlight w:val="none"/>
                <w:lang w:val="en-US" w:eastAsia="zh-CN" w:bidi="ar-SA"/>
              </w:rPr>
              <w:t>”在线解密失败后启用，否则不予以启用；供应商确认“</w:t>
            </w:r>
            <w:r>
              <w:rPr>
                <w:rFonts w:hint="eastAsia" w:ascii="宋体" w:hAnsi="宋体" w:cs="Times New Roman"/>
                <w:color w:val="auto"/>
                <w:kern w:val="2"/>
                <w:sz w:val="21"/>
                <w:szCs w:val="21"/>
                <w:highlight w:val="none"/>
                <w:lang w:val="en-US" w:eastAsia="zh-CN" w:bidi="ar-SA"/>
              </w:rPr>
              <w:t>电子加密响应文件</w:t>
            </w:r>
            <w:r>
              <w:rPr>
                <w:rFonts w:hint="eastAsia" w:ascii="宋体" w:hAnsi="宋体" w:eastAsia="Calibri" w:cs="Times New Roman"/>
                <w:color w:val="auto"/>
                <w:kern w:val="2"/>
                <w:sz w:val="21"/>
                <w:szCs w:val="21"/>
                <w:highlight w:val="none"/>
                <w:lang w:val="en-US" w:eastAsia="zh-CN" w:bidi="ar-SA"/>
              </w:rPr>
              <w:t>”在线解密失败后，将打包压缩加密的备份响应文件的解密密码在解密规定的时间（</w:t>
            </w:r>
            <w:r>
              <w:rPr>
                <w:rFonts w:hint="eastAsia" w:ascii="宋体" w:hAnsi="宋体" w:cs="Times New Roman"/>
                <w:color w:val="0000FF"/>
                <w:kern w:val="2"/>
                <w:sz w:val="21"/>
                <w:szCs w:val="21"/>
                <w:highlight w:val="none"/>
                <w:lang w:val="en-US" w:eastAsia="zh-CN" w:bidi="ar-SA"/>
              </w:rPr>
              <w:t>发出解密通知后</w:t>
            </w:r>
            <w:r>
              <w:rPr>
                <w:rFonts w:hint="eastAsia" w:ascii="宋体" w:hAnsi="宋体" w:eastAsia="Calibri" w:cs="Times New Roman"/>
                <w:color w:val="0000FF"/>
                <w:kern w:val="2"/>
                <w:sz w:val="21"/>
                <w:szCs w:val="21"/>
                <w:highlight w:val="none"/>
                <w:lang w:val="en-US" w:eastAsia="zh-CN" w:bidi="ar-SA"/>
              </w:rPr>
              <w:t>60分钟内</w:t>
            </w:r>
            <w:r>
              <w:rPr>
                <w:rFonts w:hint="eastAsia" w:ascii="宋体" w:hAnsi="宋体" w:eastAsia="Calibri" w:cs="Times New Roman"/>
                <w:color w:val="auto"/>
                <w:kern w:val="2"/>
                <w:sz w:val="21"/>
                <w:szCs w:val="21"/>
                <w:highlight w:val="none"/>
                <w:lang w:val="en-US" w:eastAsia="zh-CN" w:bidi="ar-SA"/>
              </w:rPr>
              <w:t>）发送至上述邮箱内，未在规定时间内发送造成的投标无效或失败由</w:t>
            </w:r>
            <w:r>
              <w:rPr>
                <w:rFonts w:hint="eastAsia" w:ascii="宋体" w:hAnsi="宋体" w:cs="Times New Roman"/>
                <w:color w:val="auto"/>
                <w:kern w:val="2"/>
                <w:sz w:val="21"/>
                <w:szCs w:val="21"/>
                <w:highlight w:val="none"/>
                <w:lang w:val="en-US" w:eastAsia="zh-CN" w:bidi="ar-SA"/>
              </w:rPr>
              <w:t>供应商</w:t>
            </w:r>
            <w:r>
              <w:rPr>
                <w:rFonts w:hint="eastAsia" w:ascii="宋体" w:hAnsi="宋体" w:eastAsia="Calibri" w:cs="Times New Roman"/>
                <w:color w:val="auto"/>
                <w:kern w:val="2"/>
                <w:sz w:val="21"/>
                <w:szCs w:val="21"/>
                <w:highlight w:val="none"/>
                <w:lang w:val="en-US" w:eastAsia="zh-CN" w:bidi="ar-SA"/>
              </w:rPr>
              <w:t>人自行承担。</w:t>
            </w:r>
          </w:p>
        </w:tc>
      </w:tr>
      <w:tr w14:paraId="76893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98" w:hRule="atLeast"/>
        </w:trPr>
        <w:tc>
          <w:tcPr>
            <w:tcW w:w="738" w:type="dxa"/>
            <w:noWrap w:val="0"/>
            <w:vAlign w:val="center"/>
          </w:tcPr>
          <w:p w14:paraId="103465BA">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8</w:t>
            </w:r>
          </w:p>
        </w:tc>
        <w:tc>
          <w:tcPr>
            <w:tcW w:w="1406" w:type="dxa"/>
            <w:noWrap w:val="0"/>
            <w:vAlign w:val="center"/>
          </w:tcPr>
          <w:p w14:paraId="52A84532">
            <w:pPr>
              <w:keepNext w:val="0"/>
              <w:keepLines w:val="0"/>
              <w:pageBreakBefore w:val="0"/>
              <w:kinsoku/>
              <w:wordWrap/>
              <w:overflowPunct/>
              <w:topLinePunct w:val="0"/>
              <w:bidi w:val="0"/>
              <w:spacing w:line="300" w:lineRule="exact"/>
              <w:jc w:val="center"/>
              <w:textAlignment w:val="auto"/>
              <w:rPr>
                <w:rFonts w:hint="eastAsia" w:ascii="宋体" w:hAnsi="宋体"/>
                <w:color w:val="auto"/>
                <w:sz w:val="21"/>
                <w:szCs w:val="21"/>
                <w:lang w:val="en-US" w:eastAsia="zh-CN"/>
              </w:rPr>
            </w:pPr>
            <w:r>
              <w:rPr>
                <w:rFonts w:hint="eastAsia" w:ascii="宋体" w:hAnsi="宋体"/>
                <w:bCs/>
                <w:color w:val="auto"/>
                <w:sz w:val="21"/>
                <w:szCs w:val="21"/>
                <w:lang w:eastAsia="zh-CN"/>
              </w:rPr>
              <w:t>响应</w:t>
            </w:r>
            <w:r>
              <w:rPr>
                <w:rFonts w:hint="eastAsia" w:ascii="宋体" w:hAnsi="宋体"/>
                <w:bCs/>
                <w:color w:val="auto"/>
                <w:sz w:val="21"/>
                <w:szCs w:val="21"/>
              </w:rPr>
              <w:t>文件</w:t>
            </w:r>
            <w:r>
              <w:rPr>
                <w:rFonts w:hint="eastAsia" w:ascii="宋体" w:hAnsi="宋体"/>
                <w:bCs/>
                <w:color w:val="auto"/>
                <w:sz w:val="21"/>
                <w:szCs w:val="21"/>
                <w:lang w:eastAsia="zh-CN"/>
              </w:rPr>
              <w:t>磋商</w:t>
            </w:r>
            <w:r>
              <w:rPr>
                <w:rFonts w:hint="eastAsia" w:ascii="宋体" w:hAnsi="宋体"/>
                <w:bCs/>
                <w:color w:val="auto"/>
                <w:sz w:val="21"/>
                <w:szCs w:val="21"/>
              </w:rPr>
              <w:t>截止时间</w:t>
            </w:r>
          </w:p>
        </w:tc>
        <w:tc>
          <w:tcPr>
            <w:tcW w:w="7519" w:type="dxa"/>
            <w:noWrap w:val="0"/>
            <w:vAlign w:val="center"/>
          </w:tcPr>
          <w:p w14:paraId="24D3E2BC">
            <w:pPr>
              <w:keepNext w:val="0"/>
              <w:keepLines w:val="0"/>
              <w:pageBreakBefore w:val="0"/>
              <w:kinsoku/>
              <w:wordWrap/>
              <w:overflowPunct/>
              <w:topLinePunct w:val="0"/>
              <w:bidi w:val="0"/>
              <w:spacing w:line="300" w:lineRule="exact"/>
              <w:textAlignment w:val="auto"/>
              <w:rPr>
                <w:rFonts w:hint="eastAsia"/>
                <w:color w:val="auto"/>
                <w:lang w:val="en-US" w:eastAsia="zh-CN"/>
              </w:rPr>
            </w:pPr>
            <w:r>
              <w:rPr>
                <w:rFonts w:hint="eastAsia" w:ascii="宋体" w:hAnsi="宋体" w:eastAsia="宋体" w:cs="宋体"/>
                <w:b w:val="0"/>
                <w:bCs w:val="0"/>
                <w:color w:val="auto"/>
                <w:sz w:val="21"/>
                <w:szCs w:val="21"/>
                <w:lang w:eastAsia="zh-CN"/>
              </w:rPr>
              <w:t>供应商应当在</w:t>
            </w:r>
            <w:r>
              <w:rPr>
                <w:rFonts w:hint="eastAsia" w:ascii="宋体" w:hAnsi="宋体" w:eastAsia="宋体" w:cs="宋体"/>
                <w:b/>
                <w:bCs/>
                <w:color w:val="auto"/>
                <w:sz w:val="21"/>
                <w:szCs w:val="21"/>
                <w:lang w:eastAsia="zh-CN"/>
              </w:rPr>
              <w:t>磋商截止</w:t>
            </w:r>
            <w:r>
              <w:rPr>
                <w:rFonts w:hint="eastAsia" w:ascii="宋体" w:hAnsi="宋体" w:eastAsia="宋体" w:cs="宋体"/>
                <w:b/>
                <w:bCs/>
                <w:color w:val="auto"/>
                <w:sz w:val="21"/>
                <w:szCs w:val="21"/>
                <w:highlight w:val="none"/>
                <w:lang w:eastAsia="zh-CN"/>
              </w:rPr>
              <w:t>时间</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0000FF"/>
                <w:sz w:val="21"/>
                <w:szCs w:val="21"/>
                <w:highlight w:val="none"/>
                <w:lang w:val="en-US" w:eastAsia="zh-CN"/>
              </w:rPr>
              <w:t>2025</w:t>
            </w:r>
            <w:r>
              <w:rPr>
                <w:rFonts w:hint="eastAsia" w:ascii="宋体" w:hAnsi="宋体" w:eastAsia="宋体" w:cs="宋体"/>
                <w:b/>
                <w:bCs/>
                <w:color w:val="0000FF"/>
                <w:sz w:val="21"/>
                <w:szCs w:val="21"/>
                <w:highlight w:val="none"/>
                <w:lang w:val="en-US" w:eastAsia="zh-CN"/>
              </w:rPr>
              <w:t xml:space="preserve">年  </w:t>
            </w:r>
            <w:r>
              <w:rPr>
                <w:rFonts w:hint="eastAsia" w:ascii="宋体" w:hAnsi="宋体" w:cs="宋体"/>
                <w:b/>
                <w:bCs/>
                <w:color w:val="0000FF"/>
                <w:sz w:val="21"/>
                <w:szCs w:val="21"/>
                <w:highlight w:val="none"/>
                <w:lang w:val="en-US" w:eastAsia="zh-CN"/>
              </w:rPr>
              <w:t>01</w:t>
            </w:r>
            <w:r>
              <w:rPr>
                <w:rFonts w:hint="eastAsia" w:ascii="宋体" w:hAnsi="宋体" w:eastAsia="宋体" w:cs="宋体"/>
                <w:b/>
                <w:bCs/>
                <w:color w:val="0000FF"/>
                <w:sz w:val="21"/>
                <w:szCs w:val="21"/>
                <w:highlight w:val="none"/>
                <w:lang w:val="en-US" w:eastAsia="zh-CN"/>
              </w:rPr>
              <w:t xml:space="preserve"> 月  </w:t>
            </w:r>
            <w:r>
              <w:rPr>
                <w:rFonts w:hint="eastAsia" w:ascii="宋体" w:hAnsi="宋体" w:cs="宋体"/>
                <w:b/>
                <w:bCs/>
                <w:color w:val="0000FF"/>
                <w:sz w:val="21"/>
                <w:szCs w:val="21"/>
                <w:highlight w:val="none"/>
                <w:lang w:val="en-US" w:eastAsia="zh-CN"/>
              </w:rPr>
              <w:t>07</w:t>
            </w:r>
            <w:r>
              <w:rPr>
                <w:rFonts w:hint="eastAsia" w:ascii="宋体" w:hAnsi="宋体" w:eastAsia="宋体" w:cs="宋体"/>
                <w:b/>
                <w:bCs/>
                <w:color w:val="0000FF"/>
                <w:sz w:val="21"/>
                <w:szCs w:val="21"/>
                <w:highlight w:val="none"/>
                <w:lang w:val="en-US" w:eastAsia="zh-CN"/>
              </w:rPr>
              <w:t xml:space="preserve">  日09</w:t>
            </w:r>
            <w:r>
              <w:rPr>
                <w:rFonts w:hint="eastAsia" w:ascii="宋体" w:hAnsi="宋体" w:eastAsia="宋体" w:cs="宋体"/>
                <w:b/>
                <w:bCs/>
                <w:color w:val="0000FF"/>
                <w:sz w:val="21"/>
                <w:szCs w:val="21"/>
                <w:highlight w:val="none"/>
              </w:rPr>
              <w:t>：</w:t>
            </w:r>
            <w:r>
              <w:rPr>
                <w:rFonts w:hint="eastAsia" w:ascii="宋体" w:hAnsi="宋体" w:eastAsia="宋体" w:cs="宋体"/>
                <w:b/>
                <w:bCs/>
                <w:color w:val="0000FF"/>
                <w:sz w:val="21"/>
                <w:szCs w:val="21"/>
                <w:highlight w:val="none"/>
                <w:lang w:val="en-US" w:eastAsia="zh-CN"/>
              </w:rPr>
              <w:t>00</w:t>
            </w:r>
            <w:r>
              <w:rPr>
                <w:rFonts w:hint="eastAsia" w:ascii="宋体" w:hAnsi="宋体" w:eastAsia="宋体" w:cs="宋体"/>
                <w:b/>
                <w:bCs/>
                <w:color w:val="0000FF"/>
                <w:sz w:val="21"/>
                <w:szCs w:val="21"/>
                <w:highlight w:val="none"/>
              </w:rPr>
              <w:t>（北京时间）</w:t>
            </w:r>
            <w:r>
              <w:rPr>
                <w:rFonts w:hint="eastAsia" w:ascii="宋体" w:hAnsi="宋体" w:eastAsia="宋体" w:cs="宋体"/>
                <w:b/>
                <w:bCs/>
                <w:color w:val="auto"/>
                <w:sz w:val="21"/>
                <w:szCs w:val="21"/>
                <w:highlight w:val="none"/>
                <w:lang w:eastAsia="zh-CN"/>
              </w:rPr>
              <w:t>前</w:t>
            </w:r>
            <w:r>
              <w:rPr>
                <w:rFonts w:hint="eastAsia" w:ascii="宋体" w:hAnsi="宋体" w:eastAsia="宋体" w:cs="宋体"/>
                <w:color w:val="auto"/>
                <w:sz w:val="21"/>
                <w:szCs w:val="21"/>
                <w:highlight w:val="none"/>
                <w:lang w:eastAsia="zh-CN"/>
              </w:rPr>
              <w:t>完成</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highlight w:val="none"/>
                <w:lang w:eastAsia="zh-CN"/>
              </w:rPr>
              <w:t>的传输提交，磋商截止时间前可以补充、修改或者撤</w:t>
            </w:r>
            <w:r>
              <w:rPr>
                <w:rFonts w:hint="eastAsia" w:ascii="宋体" w:hAnsi="宋体" w:eastAsia="宋体" w:cs="宋体"/>
                <w:color w:val="auto"/>
                <w:sz w:val="21"/>
                <w:szCs w:val="21"/>
                <w:lang w:eastAsia="zh-CN"/>
              </w:rPr>
              <w:t>回</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。补充或者修改</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的，应当先行撤回原文件，补充、修改后重新传输提交。磋商截止时间前未完成传输的，视为撤回</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w:t>
            </w:r>
          </w:p>
        </w:tc>
      </w:tr>
      <w:tr w14:paraId="34A234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noWrap w:val="0"/>
            <w:vAlign w:val="center"/>
          </w:tcPr>
          <w:p w14:paraId="30116E50">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9</w:t>
            </w:r>
          </w:p>
        </w:tc>
        <w:tc>
          <w:tcPr>
            <w:tcW w:w="1406" w:type="dxa"/>
            <w:noWrap w:val="0"/>
            <w:vAlign w:val="center"/>
          </w:tcPr>
          <w:p w14:paraId="59EC03FB">
            <w:pPr>
              <w:keepNext w:val="0"/>
              <w:keepLines w:val="0"/>
              <w:pageBreakBefore w:val="0"/>
              <w:kinsoku/>
              <w:wordWrap/>
              <w:overflowPunct/>
              <w:topLinePunct w:val="0"/>
              <w:bidi w:val="0"/>
              <w:snapToGrid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开标时间及地点</w:t>
            </w:r>
          </w:p>
        </w:tc>
        <w:tc>
          <w:tcPr>
            <w:tcW w:w="7519" w:type="dxa"/>
            <w:noWrap w:val="0"/>
            <w:vAlign w:val="center"/>
          </w:tcPr>
          <w:p w14:paraId="1A5903A4">
            <w:pPr>
              <w:keepNext w:val="0"/>
              <w:keepLines w:val="0"/>
              <w:widowControl/>
              <w:suppressLineNumbers w:val="0"/>
              <w:jc w:val="left"/>
              <w:rPr>
                <w:rFonts w:hint="default"/>
                <w:color w:val="auto"/>
                <w:lang w:val="en-US"/>
              </w:rPr>
            </w:pPr>
            <w:r>
              <w:rPr>
                <w:rFonts w:hint="eastAsia" w:ascii="宋体" w:hAnsi="宋体" w:eastAsia="宋体" w:cs="宋体"/>
                <w:b/>
                <w:color w:val="auto"/>
                <w:kern w:val="0"/>
                <w:sz w:val="21"/>
                <w:szCs w:val="21"/>
                <w:lang w:val="en-US" w:eastAsia="zh-CN" w:bidi="ar"/>
              </w:rPr>
              <w:t>同磋商截止时间与地点。</w:t>
            </w:r>
          </w:p>
        </w:tc>
      </w:tr>
      <w:tr w14:paraId="502B08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noWrap w:val="0"/>
            <w:vAlign w:val="center"/>
          </w:tcPr>
          <w:p w14:paraId="10C1868A">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10</w:t>
            </w:r>
          </w:p>
        </w:tc>
        <w:tc>
          <w:tcPr>
            <w:tcW w:w="1406" w:type="dxa"/>
            <w:noWrap w:val="0"/>
            <w:vAlign w:val="center"/>
          </w:tcPr>
          <w:p w14:paraId="710C7A05">
            <w:pPr>
              <w:keepNext w:val="0"/>
              <w:keepLines w:val="0"/>
              <w:pageBreakBefore w:val="0"/>
              <w:kinsoku/>
              <w:wordWrap/>
              <w:overflowPunct/>
              <w:topLinePunct w:val="0"/>
              <w:bidi w:val="0"/>
              <w:snapToGrid w:val="0"/>
              <w:spacing w:line="300" w:lineRule="exact"/>
              <w:jc w:val="center"/>
              <w:textAlignment w:val="auto"/>
              <w:rPr>
                <w:rFonts w:hint="eastAsia" w:ascii="宋体" w:hAnsi="宋体"/>
                <w:bCs/>
                <w:color w:val="auto"/>
                <w:sz w:val="21"/>
                <w:szCs w:val="21"/>
              </w:rPr>
            </w:pPr>
            <w:r>
              <w:rPr>
                <w:rFonts w:hint="eastAsia" w:ascii="宋体" w:hAnsi="宋体"/>
                <w:color w:val="000000"/>
                <w:sz w:val="21"/>
                <w:szCs w:val="21"/>
                <w:lang w:val="en-US" w:eastAsia="zh-CN"/>
              </w:rPr>
              <w:t>电子加密</w:t>
            </w:r>
            <w:r>
              <w:rPr>
                <w:rFonts w:hint="eastAsia" w:ascii="宋体" w:hAnsi="宋体"/>
                <w:sz w:val="21"/>
                <w:lang w:eastAsia="zh-CN"/>
              </w:rPr>
              <w:t>响应</w:t>
            </w:r>
            <w:r>
              <w:rPr>
                <w:rFonts w:hint="eastAsia" w:ascii="宋体" w:hAnsi="宋体"/>
                <w:sz w:val="21"/>
              </w:rPr>
              <w:t>文件</w:t>
            </w:r>
            <w:r>
              <w:rPr>
                <w:rFonts w:hint="eastAsia" w:ascii="宋体" w:hAnsi="宋体"/>
                <w:color w:val="000000"/>
                <w:sz w:val="21"/>
                <w:szCs w:val="21"/>
                <w:lang w:val="en-US" w:eastAsia="zh-CN"/>
              </w:rPr>
              <w:t>的解密和异常情况处理</w:t>
            </w:r>
          </w:p>
        </w:tc>
        <w:tc>
          <w:tcPr>
            <w:tcW w:w="7519" w:type="dxa"/>
            <w:noWrap w:val="0"/>
            <w:vAlign w:val="center"/>
          </w:tcPr>
          <w:p w14:paraId="3A83CB6F">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 xml:space="preserve">（1）开标后，采购组织机构将向各投标供应商发出“电子加密响应文件”的解密通知，各投标供应商代表应当在接到解密通知后60分钟内自行完成“电子加密响应文件”的在线解密。 </w:t>
            </w:r>
          </w:p>
          <w:p w14:paraId="68264E49">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2）通过“政府采购云平台”成功上传递交的“电子加密响应文件”在线解密失败后，投标供应商如按规定递交了“备份响应文件”的，以“备份响应文件”为依据（由采购组织机构按“政府采购云平台”操作规范将“备份响应文件”上传至“政府采购云平台”，上传成功后，“电子加密响应文件”自动失效），否则视为响应文件撤回。</w:t>
            </w:r>
          </w:p>
          <w:p w14:paraId="2D2A63A0">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（3）若供应商在规定时间内响应文件无法解密，或解密失败且备份文件读取失败（含未提交），则投标无效。</w:t>
            </w:r>
          </w:p>
          <w:p w14:paraId="7117D498">
            <w:pPr>
              <w:keepNext w:val="0"/>
              <w:keepLines w:val="0"/>
              <w:widowControl/>
              <w:suppressLineNumbers w:val="0"/>
              <w:jc w:val="left"/>
              <w:rPr>
                <w:rFonts w:hint="eastAsia" w:ascii="宋体" w:hAnsi="宋体" w:eastAsia="宋体" w:cs="宋体"/>
                <w:b/>
                <w:color w:val="auto"/>
                <w:kern w:val="0"/>
                <w:sz w:val="21"/>
                <w:szCs w:val="21"/>
                <w:lang w:val="en-US" w:eastAsia="zh-CN" w:bidi="ar"/>
              </w:rPr>
            </w:pPr>
            <w:r>
              <w:rPr>
                <w:rFonts w:hint="eastAsia" w:ascii="宋体" w:hAnsi="宋体" w:eastAsia="宋体" w:cs="宋体"/>
                <w:b/>
                <w:bCs/>
                <w:color w:val="000000"/>
                <w:kern w:val="0"/>
                <w:sz w:val="21"/>
                <w:szCs w:val="21"/>
                <w:lang w:val="en-US" w:eastAsia="zh-CN" w:bidi="ar"/>
              </w:rPr>
              <w:t>（4）投标截止时间前，投标供应商仅递交了“备份响应文件”而未将电子加密响应文件上传至“政府采购云平台”的，投标无效。</w:t>
            </w:r>
          </w:p>
        </w:tc>
      </w:tr>
      <w:tr w14:paraId="43E4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tcBorders>
              <w:bottom w:val="single" w:color="auto" w:sz="4" w:space="0"/>
            </w:tcBorders>
            <w:noWrap w:val="0"/>
            <w:vAlign w:val="center"/>
          </w:tcPr>
          <w:p w14:paraId="18969265">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11</w:t>
            </w:r>
          </w:p>
        </w:tc>
        <w:tc>
          <w:tcPr>
            <w:tcW w:w="1406" w:type="dxa"/>
            <w:tcBorders>
              <w:bottom w:val="single" w:color="auto" w:sz="4" w:space="0"/>
            </w:tcBorders>
            <w:noWrap w:val="0"/>
            <w:vAlign w:val="center"/>
          </w:tcPr>
          <w:p w14:paraId="6FFD415A">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
                <w:color w:val="auto"/>
                <w:kern w:val="2"/>
                <w:sz w:val="21"/>
                <w:szCs w:val="21"/>
                <w:lang w:val="zh-CN" w:eastAsia="zh-CN" w:bidi="ar-SA"/>
              </w:rPr>
            </w:pPr>
            <w:r>
              <w:rPr>
                <w:rFonts w:hint="eastAsia" w:ascii="宋体" w:hAnsi="宋体"/>
                <w:bCs/>
                <w:color w:val="auto"/>
                <w:sz w:val="21"/>
                <w:szCs w:val="21"/>
              </w:rPr>
              <w:t>答疑与澄清</w:t>
            </w:r>
          </w:p>
        </w:tc>
        <w:tc>
          <w:tcPr>
            <w:tcW w:w="7519" w:type="dxa"/>
            <w:tcBorders>
              <w:bottom w:val="single" w:color="auto" w:sz="4" w:space="0"/>
            </w:tcBorders>
            <w:noWrap w:val="0"/>
            <w:vAlign w:val="center"/>
          </w:tcPr>
          <w:p w14:paraId="581C361C">
            <w:pPr>
              <w:rPr>
                <w:rFonts w:hint="eastAsia"/>
                <w:lang w:val="zh-CN" w:eastAsia="zh-CN"/>
              </w:rPr>
            </w:pPr>
            <w:r>
              <w:rPr>
                <w:rFonts w:hint="default"/>
                <w:color w:val="auto"/>
                <w:sz w:val="21"/>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default" w:ascii="宋体" w:eastAsia="宋体"/>
                <w:color w:val="auto"/>
                <w:sz w:val="21"/>
              </w:rPr>
              <w:t xml:space="preserve"> </w:t>
            </w:r>
          </w:p>
        </w:tc>
      </w:tr>
      <w:tr w14:paraId="7971F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4" w:hRule="atLeast"/>
        </w:trPr>
        <w:tc>
          <w:tcPr>
            <w:tcW w:w="738" w:type="dxa"/>
            <w:tcBorders>
              <w:bottom w:val="single" w:color="auto" w:sz="4" w:space="0"/>
            </w:tcBorders>
            <w:noWrap w:val="0"/>
            <w:vAlign w:val="center"/>
          </w:tcPr>
          <w:p w14:paraId="31078D96">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12</w:t>
            </w:r>
          </w:p>
        </w:tc>
        <w:tc>
          <w:tcPr>
            <w:tcW w:w="1406" w:type="dxa"/>
            <w:tcBorders>
              <w:bottom w:val="single" w:color="auto" w:sz="4" w:space="0"/>
            </w:tcBorders>
            <w:noWrap w:val="0"/>
            <w:vAlign w:val="center"/>
          </w:tcPr>
          <w:p w14:paraId="0A0595D4">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color w:val="auto"/>
                <w:kern w:val="2"/>
                <w:sz w:val="21"/>
                <w:szCs w:val="21"/>
                <w:lang w:val="zh-CN" w:eastAsia="zh-CN" w:bidi="ar-SA"/>
              </w:rPr>
            </w:pPr>
            <w:r>
              <w:rPr>
                <w:rFonts w:hint="eastAsia" w:ascii="宋体" w:hAnsi="宋体"/>
                <w:color w:val="auto"/>
                <w:sz w:val="21"/>
                <w:szCs w:val="21"/>
                <w:lang w:val="zh-CN"/>
              </w:rPr>
              <w:t>实质性条款</w:t>
            </w:r>
          </w:p>
        </w:tc>
        <w:tc>
          <w:tcPr>
            <w:tcW w:w="7519" w:type="dxa"/>
            <w:tcBorders>
              <w:bottom w:val="single" w:color="auto" w:sz="4" w:space="0"/>
            </w:tcBorders>
            <w:noWrap w:val="0"/>
            <w:vAlign w:val="center"/>
          </w:tcPr>
          <w:p w14:paraId="4791A6F7">
            <w:pPr>
              <w:keepNext w:val="0"/>
              <w:keepLines w:val="0"/>
              <w:pageBreakBefore w:val="0"/>
              <w:kinsoku/>
              <w:wordWrap/>
              <w:overflowPunct/>
              <w:topLinePunct w:val="0"/>
              <w:autoSpaceDE w:val="0"/>
              <w:autoSpaceDN w:val="0"/>
              <w:bidi w:val="0"/>
              <w:adjustRightInd w:val="0"/>
              <w:spacing w:line="300" w:lineRule="exact"/>
              <w:ind w:left="1050" w:leftChars="0" w:hanging="1050" w:firstLineChars="0"/>
              <w:textAlignment w:val="auto"/>
              <w:rPr>
                <w:rFonts w:hint="eastAsia" w:ascii="宋体" w:hAnsi="宋体"/>
                <w:color w:val="auto"/>
                <w:kern w:val="0"/>
                <w:sz w:val="21"/>
                <w:szCs w:val="21"/>
                <w:lang w:val="zh-CN" w:eastAsia="zh-CN" w:bidi="ar-SA"/>
              </w:rPr>
            </w:pPr>
            <w:r>
              <w:rPr>
                <w:rFonts w:hint="eastAsia" w:ascii="宋体" w:hAnsi="宋体"/>
                <w:color w:val="auto"/>
                <w:kern w:val="0"/>
                <w:sz w:val="21"/>
                <w:szCs w:val="21"/>
                <w:lang w:val="zh-CN"/>
              </w:rPr>
              <w:t>带</w:t>
            </w:r>
            <w:r>
              <w:rPr>
                <w:rFonts w:hint="eastAsia" w:ascii="宋体" w:hAnsi="宋体"/>
                <w:bCs/>
                <w:color w:val="auto"/>
                <w:sz w:val="21"/>
                <w:szCs w:val="21"/>
              </w:rPr>
              <w:t>▲是实质性条款，</w:t>
            </w:r>
            <w:r>
              <w:rPr>
                <w:rFonts w:hint="eastAsia" w:ascii="宋体" w:hAnsi="宋体"/>
                <w:bCs/>
                <w:color w:val="auto"/>
                <w:sz w:val="21"/>
                <w:szCs w:val="21"/>
                <w:lang w:eastAsia="zh-CN"/>
              </w:rPr>
              <w:t>磋商响应</w:t>
            </w:r>
            <w:r>
              <w:rPr>
                <w:rFonts w:hint="eastAsia" w:ascii="宋体" w:hAnsi="宋体"/>
                <w:bCs/>
                <w:color w:val="auto"/>
                <w:sz w:val="21"/>
                <w:szCs w:val="21"/>
              </w:rPr>
              <w:t>文件须作出实质性响应，否则作无效标处理。</w:t>
            </w:r>
          </w:p>
        </w:tc>
      </w:tr>
      <w:tr w14:paraId="1E260E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85" w:hRule="atLeast"/>
        </w:trPr>
        <w:tc>
          <w:tcPr>
            <w:tcW w:w="738" w:type="dxa"/>
            <w:tcBorders>
              <w:top w:val="single" w:color="auto" w:sz="4" w:space="0"/>
              <w:bottom w:val="single" w:color="auto" w:sz="4" w:space="0"/>
            </w:tcBorders>
            <w:noWrap w:val="0"/>
            <w:vAlign w:val="center"/>
          </w:tcPr>
          <w:p w14:paraId="7420C7CF">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13</w:t>
            </w:r>
          </w:p>
        </w:tc>
        <w:tc>
          <w:tcPr>
            <w:tcW w:w="1406" w:type="dxa"/>
            <w:tcBorders>
              <w:top w:val="single" w:color="auto" w:sz="4" w:space="0"/>
              <w:bottom w:val="single" w:color="auto" w:sz="4" w:space="0"/>
            </w:tcBorders>
            <w:noWrap w:val="0"/>
            <w:vAlign w:val="center"/>
          </w:tcPr>
          <w:p w14:paraId="69946A69">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Cs/>
                <w:color w:val="auto"/>
                <w:kern w:val="2"/>
                <w:sz w:val="21"/>
                <w:szCs w:val="21"/>
                <w:highlight w:val="none"/>
                <w:lang w:val="zh-CN" w:eastAsia="zh-CN" w:bidi="ar-SA"/>
              </w:rPr>
            </w:pPr>
            <w:r>
              <w:rPr>
                <w:rFonts w:hint="eastAsia" w:ascii="宋体" w:hAnsi="宋体"/>
                <w:bCs/>
                <w:color w:val="auto"/>
                <w:sz w:val="21"/>
                <w:szCs w:val="21"/>
                <w:highlight w:val="none"/>
              </w:rPr>
              <w:t>▲项目最高限价</w:t>
            </w:r>
          </w:p>
        </w:tc>
        <w:tc>
          <w:tcPr>
            <w:tcW w:w="7519" w:type="dxa"/>
            <w:tcBorders>
              <w:top w:val="single" w:color="auto" w:sz="4" w:space="0"/>
              <w:bottom w:val="single" w:color="auto" w:sz="4" w:space="0"/>
            </w:tcBorders>
            <w:noWrap w:val="0"/>
            <w:vAlign w:val="center"/>
          </w:tcPr>
          <w:p w14:paraId="76FA377F">
            <w:pPr>
              <w:keepNext w:val="0"/>
              <w:keepLines w:val="0"/>
              <w:pageBreakBefore w:val="0"/>
              <w:kinsoku/>
              <w:wordWrap/>
              <w:overflowPunct/>
              <w:topLinePunct w:val="0"/>
              <w:autoSpaceDE w:val="0"/>
              <w:autoSpaceDN w:val="0"/>
              <w:bidi w:val="0"/>
              <w:adjustRightInd w:val="0"/>
              <w:spacing w:line="300" w:lineRule="exact"/>
              <w:textAlignment w:val="auto"/>
              <w:rPr>
                <w:rFonts w:hint="eastAsia" w:ascii="宋体" w:hAnsi="宋体" w:eastAsia="宋体"/>
                <w:bCs/>
                <w:color w:val="auto"/>
                <w:kern w:val="2"/>
                <w:sz w:val="21"/>
                <w:szCs w:val="21"/>
                <w:highlight w:val="none"/>
                <w:lang w:val="zh-CN" w:eastAsia="zh-CN" w:bidi="ar-SA"/>
              </w:rPr>
            </w:pPr>
            <w:r>
              <w:rPr>
                <w:rFonts w:hint="eastAsia" w:ascii="宋体" w:hAnsi="宋体"/>
                <w:b/>
                <w:bCs w:val="0"/>
                <w:color w:val="auto"/>
                <w:sz w:val="21"/>
                <w:szCs w:val="21"/>
                <w:lang w:eastAsia="zh-CN"/>
              </w:rPr>
              <w:t>最高限价为</w:t>
            </w:r>
            <w:r>
              <w:rPr>
                <w:rFonts w:hint="eastAsia" w:ascii="宋体" w:hAnsi="宋体"/>
                <w:b/>
                <w:bCs w:val="0"/>
                <w:color w:val="auto"/>
                <w:sz w:val="21"/>
                <w:szCs w:val="21"/>
                <w:lang w:val="en-US" w:eastAsia="zh-CN"/>
              </w:rPr>
              <w:t>标项一：</w:t>
            </w:r>
            <w:r>
              <w:rPr>
                <w:rFonts w:hint="eastAsia" w:ascii="宋体" w:hAnsi="宋体"/>
                <w:b/>
                <w:bCs w:val="0"/>
                <w:color w:val="auto"/>
                <w:sz w:val="21"/>
                <w:szCs w:val="21"/>
                <w:u w:val="single"/>
                <w:lang w:val="en-US" w:eastAsia="zh-CN"/>
              </w:rPr>
              <w:t xml:space="preserve"> </w:t>
            </w:r>
            <w:r>
              <w:rPr>
                <w:rFonts w:hint="eastAsia" w:ascii="宋体" w:hAnsi="宋体"/>
                <w:b/>
                <w:bCs w:val="0"/>
                <w:szCs w:val="21"/>
                <w:u w:val="single"/>
                <w:lang w:val="en-US" w:eastAsia="zh-CN"/>
              </w:rPr>
              <w:t>416670</w:t>
            </w:r>
            <w:r>
              <w:rPr>
                <w:rFonts w:hint="eastAsia" w:ascii="宋体" w:hAnsi="宋体"/>
                <w:b/>
                <w:bCs w:val="0"/>
                <w:color w:val="auto"/>
                <w:sz w:val="21"/>
                <w:szCs w:val="21"/>
                <w:u w:val="single"/>
                <w:lang w:val="en-US" w:eastAsia="zh-CN"/>
              </w:rPr>
              <w:t xml:space="preserve"> </w:t>
            </w:r>
            <w:r>
              <w:rPr>
                <w:rFonts w:hint="eastAsia" w:ascii="宋体" w:hAnsi="宋体"/>
                <w:b/>
                <w:bCs w:val="0"/>
                <w:color w:val="auto"/>
                <w:sz w:val="21"/>
                <w:szCs w:val="21"/>
                <w:lang w:val="zh-CN" w:eastAsia="zh-CN"/>
              </w:rPr>
              <w:t>元，</w:t>
            </w:r>
            <w:r>
              <w:rPr>
                <w:rFonts w:hint="eastAsia" w:ascii="宋体" w:hAnsi="宋体"/>
                <w:b/>
                <w:bCs w:val="0"/>
                <w:color w:val="auto"/>
                <w:sz w:val="21"/>
                <w:szCs w:val="21"/>
                <w:lang w:val="en-US" w:eastAsia="zh-CN"/>
              </w:rPr>
              <w:t>标项二：</w:t>
            </w:r>
            <w:r>
              <w:rPr>
                <w:rFonts w:hint="eastAsia" w:ascii="宋体" w:hAnsi="宋体"/>
                <w:b/>
                <w:bCs w:val="0"/>
                <w:color w:val="auto"/>
                <w:sz w:val="21"/>
                <w:szCs w:val="21"/>
                <w:u w:val="single"/>
                <w:lang w:val="en-US" w:eastAsia="zh-CN"/>
              </w:rPr>
              <w:t xml:space="preserve"> </w:t>
            </w:r>
            <w:r>
              <w:rPr>
                <w:rFonts w:hint="eastAsia" w:ascii="宋体" w:hAnsi="宋体" w:cs="宋体"/>
                <w:b/>
                <w:bCs w:val="0"/>
                <w:szCs w:val="21"/>
                <w:u w:val="single"/>
                <w:lang w:val="en-US" w:eastAsia="zh-CN"/>
              </w:rPr>
              <w:t xml:space="preserve">1667278 </w:t>
            </w:r>
            <w:r>
              <w:rPr>
                <w:rFonts w:hint="eastAsia" w:ascii="宋体" w:hAnsi="宋体" w:cs="宋体"/>
                <w:b/>
                <w:bCs w:val="0"/>
                <w:szCs w:val="21"/>
                <w:lang w:val="en-US" w:eastAsia="zh-CN"/>
              </w:rPr>
              <w:t>元</w:t>
            </w:r>
            <w:r>
              <w:rPr>
                <w:rFonts w:hint="eastAsia" w:ascii="宋体" w:hAnsi="宋体"/>
                <w:b/>
                <w:bCs w:val="0"/>
                <w:color w:val="auto"/>
                <w:sz w:val="21"/>
                <w:szCs w:val="21"/>
                <w:lang w:eastAsia="zh-CN"/>
              </w:rPr>
              <w:t>。</w:t>
            </w:r>
            <w:r>
              <w:rPr>
                <w:rFonts w:hint="eastAsia" w:ascii="宋体" w:hAnsi="宋体" w:eastAsia="宋体"/>
                <w:bCs/>
                <w:color w:val="auto"/>
                <w:sz w:val="21"/>
                <w:szCs w:val="21"/>
                <w:highlight w:val="none"/>
              </w:rPr>
              <w:t>如</w:t>
            </w:r>
            <w:r>
              <w:rPr>
                <w:rFonts w:hint="eastAsia" w:ascii="宋体" w:hAnsi="宋体" w:eastAsia="宋体"/>
                <w:bCs/>
                <w:color w:val="auto"/>
                <w:sz w:val="21"/>
                <w:szCs w:val="21"/>
                <w:highlight w:val="none"/>
                <w:lang w:eastAsia="zh-CN"/>
              </w:rPr>
              <w:t>供应商</w:t>
            </w:r>
            <w:r>
              <w:rPr>
                <w:rFonts w:hint="eastAsia" w:ascii="宋体" w:hAnsi="宋体" w:eastAsia="宋体"/>
                <w:bCs/>
                <w:color w:val="auto"/>
                <w:sz w:val="21"/>
                <w:szCs w:val="21"/>
                <w:highlight w:val="none"/>
              </w:rPr>
              <w:t>的</w:t>
            </w:r>
            <w:r>
              <w:rPr>
                <w:rFonts w:hint="eastAsia" w:ascii="宋体" w:hAnsi="宋体" w:eastAsia="宋体"/>
                <w:bCs/>
                <w:color w:val="auto"/>
                <w:sz w:val="21"/>
                <w:szCs w:val="21"/>
                <w:highlight w:val="none"/>
                <w:lang w:eastAsia="zh-CN"/>
              </w:rPr>
              <w:t>磋商</w:t>
            </w:r>
            <w:r>
              <w:rPr>
                <w:rFonts w:hint="eastAsia" w:ascii="宋体" w:hAnsi="宋体" w:eastAsia="宋体"/>
                <w:bCs/>
                <w:color w:val="auto"/>
                <w:sz w:val="21"/>
                <w:szCs w:val="21"/>
                <w:highlight w:val="none"/>
              </w:rPr>
              <w:t>报价超过最高限价，其</w:t>
            </w:r>
            <w:r>
              <w:rPr>
                <w:rFonts w:hint="eastAsia" w:ascii="宋体" w:hAnsi="宋体" w:eastAsia="宋体"/>
                <w:bCs/>
                <w:color w:val="auto"/>
                <w:sz w:val="21"/>
                <w:szCs w:val="21"/>
                <w:highlight w:val="none"/>
                <w:lang w:eastAsia="zh-CN"/>
              </w:rPr>
              <w:t>磋商响应</w:t>
            </w:r>
            <w:r>
              <w:rPr>
                <w:rFonts w:hint="eastAsia" w:ascii="宋体" w:hAnsi="宋体" w:eastAsia="宋体"/>
                <w:bCs/>
                <w:color w:val="auto"/>
                <w:sz w:val="21"/>
                <w:szCs w:val="21"/>
                <w:highlight w:val="none"/>
              </w:rPr>
              <w:t xml:space="preserve">文件作无效标处理。 </w:t>
            </w:r>
          </w:p>
        </w:tc>
      </w:tr>
      <w:tr w14:paraId="3A46DE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738" w:type="dxa"/>
            <w:tcBorders>
              <w:top w:val="single" w:color="auto" w:sz="4" w:space="0"/>
              <w:bottom w:val="single" w:color="auto" w:sz="4" w:space="0"/>
            </w:tcBorders>
            <w:noWrap w:val="0"/>
            <w:vAlign w:val="center"/>
          </w:tcPr>
          <w:p w14:paraId="2B5731A8">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14</w:t>
            </w:r>
          </w:p>
        </w:tc>
        <w:tc>
          <w:tcPr>
            <w:tcW w:w="1406" w:type="dxa"/>
            <w:tcBorders>
              <w:top w:val="single" w:color="auto" w:sz="4" w:space="0"/>
              <w:bottom w:val="single" w:color="auto" w:sz="4" w:space="0"/>
            </w:tcBorders>
            <w:noWrap w:val="0"/>
            <w:vAlign w:val="center"/>
          </w:tcPr>
          <w:p w14:paraId="372C170A">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Cs/>
                <w:color w:val="auto"/>
                <w:sz w:val="21"/>
                <w:szCs w:val="21"/>
              </w:rPr>
            </w:pPr>
            <w:r>
              <w:rPr>
                <w:rFonts w:hint="eastAsia" w:ascii="宋体" w:hAnsi="宋体" w:eastAsia="宋体" w:cs="宋体"/>
                <w:color w:val="auto"/>
                <w:kern w:val="0"/>
                <w:sz w:val="21"/>
                <w:szCs w:val="21"/>
                <w:lang w:eastAsia="zh-CN"/>
              </w:rPr>
              <w:t>政采贷相关说明</w:t>
            </w:r>
          </w:p>
        </w:tc>
        <w:tc>
          <w:tcPr>
            <w:tcW w:w="7519" w:type="dxa"/>
            <w:tcBorders>
              <w:top w:val="single" w:color="auto" w:sz="4" w:space="0"/>
              <w:bottom w:val="single" w:color="auto" w:sz="4" w:space="0"/>
            </w:tcBorders>
            <w:noWrap w:val="0"/>
            <w:vAlign w:val="center"/>
          </w:tcPr>
          <w:p w14:paraId="7E4CE416">
            <w:pPr>
              <w:autoSpaceDE w:val="0"/>
              <w:autoSpaceDN w:val="0"/>
              <w:adjustRightInd w:val="0"/>
              <w:spacing w:line="360" w:lineRule="exact"/>
              <w:rPr>
                <w:rFonts w:hint="eastAsia" w:ascii="宋体" w:hAnsi="宋体" w:eastAsia="宋体" w:cs="宋体"/>
                <w:b/>
                <w:bCs/>
                <w:sz w:val="21"/>
                <w:szCs w:val="21"/>
              </w:rPr>
            </w:pPr>
            <w:r>
              <w:rPr>
                <w:rFonts w:hint="eastAsia" w:ascii="宋体" w:hAnsi="宋体" w:eastAsia="宋体" w:cs="宋体"/>
                <w:b/>
                <w:bCs/>
                <w:sz w:val="21"/>
                <w:szCs w:val="21"/>
              </w:rPr>
              <w:t>为优化政府采购营商环境，缓解供应商资金难题，政采云平台已推广“政采贷”服务，中标供应商如有融资需求，可使用以下银行的政采贷服务：</w:t>
            </w:r>
          </w:p>
          <w:tbl>
            <w:tblPr>
              <w:tblStyle w:val="32"/>
              <w:tblpPr w:leftFromText="180" w:rightFromText="180" w:vertAnchor="text" w:horzAnchor="page" w:tblpX="45" w:tblpY="263"/>
              <w:tblOverlap w:val="never"/>
              <w:tblW w:w="6578" w:type="dxa"/>
              <w:tblInd w:w="0" w:type="dxa"/>
              <w:tblLayout w:type="fixed"/>
              <w:tblCellMar>
                <w:top w:w="0" w:type="dxa"/>
                <w:left w:w="0" w:type="dxa"/>
                <w:bottom w:w="0" w:type="dxa"/>
                <w:right w:w="0" w:type="dxa"/>
              </w:tblCellMar>
            </w:tblPr>
            <w:tblGrid>
              <w:gridCol w:w="2337"/>
              <w:gridCol w:w="1658"/>
              <w:gridCol w:w="2583"/>
            </w:tblGrid>
            <w:tr w14:paraId="484E6E60">
              <w:tblPrEx>
                <w:tblCellMar>
                  <w:top w:w="0" w:type="dxa"/>
                  <w:left w:w="0" w:type="dxa"/>
                  <w:bottom w:w="0" w:type="dxa"/>
                  <w:right w:w="0" w:type="dxa"/>
                </w:tblCellMar>
              </w:tblPrEx>
              <w:trPr>
                <w:trHeight w:val="538"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2D942">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银行名称</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0427C">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联系人</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D8D3E">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联系方式</w:t>
                  </w:r>
                </w:p>
              </w:tc>
            </w:tr>
            <w:tr w14:paraId="119F16F6">
              <w:tblPrEx>
                <w:tblCellMar>
                  <w:top w:w="0" w:type="dxa"/>
                  <w:left w:w="0" w:type="dxa"/>
                  <w:bottom w:w="0" w:type="dxa"/>
                  <w:right w:w="0" w:type="dxa"/>
                </w:tblCellMar>
              </w:tblPrEx>
              <w:trPr>
                <w:trHeight w:val="497"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D32E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中国工商银行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30FBE">
                  <w:pPr>
                    <w:autoSpaceDE w:val="0"/>
                    <w:autoSpaceDN w:val="0"/>
                    <w:adjustRightInd w:val="0"/>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highlight w:val="none"/>
                    </w:rPr>
                    <w:t>王健永</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4CE59">
                  <w:pPr>
                    <w:autoSpaceDE w:val="0"/>
                    <w:autoSpaceDN w:val="0"/>
                    <w:adjustRightInd w:val="0"/>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highlight w:val="none"/>
                    </w:rPr>
                    <w:t>13967615120</w:t>
                  </w:r>
                </w:p>
              </w:tc>
            </w:tr>
            <w:tr w14:paraId="164A0F39">
              <w:tblPrEx>
                <w:tblCellMar>
                  <w:top w:w="0" w:type="dxa"/>
                  <w:left w:w="0" w:type="dxa"/>
                  <w:bottom w:w="0" w:type="dxa"/>
                  <w:right w:w="0" w:type="dxa"/>
                </w:tblCellMar>
              </w:tblPrEx>
              <w:trPr>
                <w:trHeight w:val="552"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98DA2">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浙江泰隆商业银行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7E276">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陈超</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E6E4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17858683697</w:t>
                  </w:r>
                </w:p>
              </w:tc>
            </w:tr>
            <w:tr w14:paraId="1FABA5F6">
              <w:tblPrEx>
                <w:tblCellMar>
                  <w:top w:w="0" w:type="dxa"/>
                  <w:left w:w="0" w:type="dxa"/>
                  <w:bottom w:w="0" w:type="dxa"/>
                  <w:right w:w="0" w:type="dxa"/>
                </w:tblCellMar>
              </w:tblPrEx>
              <w:trPr>
                <w:trHeight w:val="490"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08029">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浙江民泰商业银行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7220F">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朱祖优</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3C674">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13858602876</w:t>
                  </w:r>
                </w:p>
              </w:tc>
            </w:tr>
            <w:tr w14:paraId="18348694">
              <w:tblPrEx>
                <w:tblCellMar>
                  <w:top w:w="0" w:type="dxa"/>
                  <w:left w:w="0" w:type="dxa"/>
                  <w:bottom w:w="0" w:type="dxa"/>
                  <w:right w:w="0" w:type="dxa"/>
                </w:tblCellMar>
              </w:tblPrEx>
              <w:trPr>
                <w:trHeight w:val="481"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D543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中国建设银行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1C2F2">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徐旭霞</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78771">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15988932355</w:t>
                  </w:r>
                </w:p>
              </w:tc>
            </w:tr>
            <w:tr w14:paraId="74B7932A">
              <w:tblPrEx>
                <w:tblCellMar>
                  <w:top w:w="0" w:type="dxa"/>
                  <w:left w:w="0" w:type="dxa"/>
                  <w:bottom w:w="0" w:type="dxa"/>
                  <w:right w:w="0" w:type="dxa"/>
                </w:tblCellMar>
              </w:tblPrEx>
              <w:trPr>
                <w:trHeight w:val="459"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A721B">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中国邮政储蓄银行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F8813">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赵红芳</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0132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18968556112</w:t>
                  </w:r>
                </w:p>
              </w:tc>
            </w:tr>
            <w:tr w14:paraId="353B289C">
              <w:tblPrEx>
                <w:tblCellMar>
                  <w:top w:w="0" w:type="dxa"/>
                  <w:left w:w="0" w:type="dxa"/>
                  <w:bottom w:w="0" w:type="dxa"/>
                  <w:right w:w="0" w:type="dxa"/>
                </w:tblCellMar>
              </w:tblPrEx>
              <w:trPr>
                <w:trHeight w:val="500"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13F0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农村商业银行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21CD8">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叶斌昇</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180CB">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13806593583</w:t>
                  </w:r>
                </w:p>
              </w:tc>
            </w:tr>
            <w:tr w14:paraId="231CBA06">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AD99E">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中国农业银行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09564">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娄志伟</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EF9FE">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13958514828</w:t>
                  </w:r>
                </w:p>
              </w:tc>
            </w:tr>
            <w:tr w14:paraId="1D291431">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031F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台州银行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35A95">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朱翔</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4EBA9">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13819660917</w:t>
                  </w:r>
                </w:p>
              </w:tc>
            </w:tr>
            <w:tr w14:paraId="63707B6E">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9534D">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中国农业银行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4211">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娄志伟</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4B20E">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13958514828</w:t>
                  </w:r>
                </w:p>
              </w:tc>
            </w:tr>
          </w:tbl>
          <w:tbl>
            <w:tblPr>
              <w:tblStyle w:val="33"/>
              <w:tblpPr w:leftFromText="180" w:rightFromText="180" w:vertAnchor="page" w:horzAnchor="page" w:tblpX="6406" w:tblpY="2379"/>
              <w:tblOverlap w:val="never"/>
              <w:tblW w:w="7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3398"/>
              <w:gridCol w:w="1085"/>
            </w:tblGrid>
            <w:tr w14:paraId="2D57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584" w:type="dxa"/>
                  <w:noWrap w:val="0"/>
                  <w:vAlign w:val="top"/>
                </w:tcPr>
                <w:p w14:paraId="427AF5CA">
                  <w:pPr>
                    <w:widowControl w:val="0"/>
                    <w:rPr>
                      <w:rFonts w:hint="eastAsia" w:eastAsia="宋体"/>
                      <w:b/>
                      <w:bCs/>
                      <w:sz w:val="18"/>
                      <w:szCs w:val="18"/>
                      <w:vertAlign w:val="baseline"/>
                      <w:lang w:val="en-US" w:eastAsia="zh-CN"/>
                    </w:rPr>
                  </w:pPr>
                  <w:r>
                    <w:rPr>
                      <w:rFonts w:hint="eastAsia"/>
                      <w:b/>
                      <w:bCs/>
                      <w:sz w:val="18"/>
                      <w:szCs w:val="18"/>
                      <w:vertAlign w:val="baseline"/>
                      <w:lang w:val="en-US" w:eastAsia="zh-CN"/>
                    </w:rPr>
                    <w:t>金融机构名称及意愿承担保函（保单）种类</w:t>
                  </w:r>
                </w:p>
              </w:tc>
              <w:tc>
                <w:tcPr>
                  <w:tcW w:w="3398" w:type="dxa"/>
                  <w:noWrap w:val="0"/>
                  <w:vAlign w:val="top"/>
                </w:tcPr>
                <w:p w14:paraId="46604281">
                  <w:pPr>
                    <w:widowControl w:val="0"/>
                    <w:jc w:val="center"/>
                    <w:rPr>
                      <w:rFonts w:hint="eastAsia" w:eastAsia="宋体"/>
                      <w:b/>
                      <w:bCs/>
                      <w:sz w:val="18"/>
                      <w:szCs w:val="18"/>
                      <w:vertAlign w:val="baseline"/>
                      <w:lang w:eastAsia="zh-CN"/>
                    </w:rPr>
                  </w:pPr>
                  <w:r>
                    <w:rPr>
                      <w:rFonts w:hint="eastAsia"/>
                      <w:b/>
                      <w:bCs/>
                      <w:sz w:val="18"/>
                      <w:szCs w:val="18"/>
                      <w:vertAlign w:val="baseline"/>
                      <w:lang w:eastAsia="zh-CN"/>
                    </w:rPr>
                    <w:t>保函（保单）收费情况</w:t>
                  </w:r>
                </w:p>
              </w:tc>
              <w:tc>
                <w:tcPr>
                  <w:tcW w:w="1085" w:type="dxa"/>
                  <w:noWrap w:val="0"/>
                  <w:vAlign w:val="top"/>
                </w:tcPr>
                <w:p w14:paraId="54B30300">
                  <w:pPr>
                    <w:widowControl w:val="0"/>
                    <w:rPr>
                      <w:rFonts w:hint="eastAsia"/>
                      <w:b/>
                      <w:bCs/>
                      <w:sz w:val="18"/>
                      <w:szCs w:val="18"/>
                      <w:vertAlign w:val="baseline"/>
                      <w:lang w:eastAsia="zh-CN"/>
                    </w:rPr>
                  </w:pPr>
                  <w:r>
                    <w:rPr>
                      <w:rFonts w:hint="eastAsia"/>
                      <w:b/>
                      <w:bCs/>
                      <w:sz w:val="18"/>
                      <w:szCs w:val="18"/>
                      <w:vertAlign w:val="baseline"/>
                      <w:lang w:eastAsia="zh-CN"/>
                    </w:rPr>
                    <w:t>联系人及</w:t>
                  </w:r>
                </w:p>
                <w:p w14:paraId="7FAFCE1D">
                  <w:pPr>
                    <w:widowControl w:val="0"/>
                    <w:rPr>
                      <w:rFonts w:hint="eastAsia" w:eastAsia="宋体"/>
                      <w:b/>
                      <w:bCs/>
                      <w:sz w:val="18"/>
                      <w:szCs w:val="18"/>
                      <w:vertAlign w:val="baseline"/>
                      <w:lang w:val="en-US" w:eastAsia="zh-CN"/>
                    </w:rPr>
                  </w:pPr>
                  <w:r>
                    <w:rPr>
                      <w:rFonts w:hint="eastAsia"/>
                      <w:b/>
                      <w:bCs/>
                      <w:sz w:val="18"/>
                      <w:szCs w:val="18"/>
                      <w:vertAlign w:val="baseline"/>
                      <w:lang w:eastAsia="zh-CN"/>
                    </w:rPr>
                    <w:t>联系方式</w:t>
                  </w:r>
                </w:p>
              </w:tc>
            </w:tr>
            <w:tr w14:paraId="66C9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2584" w:type="dxa"/>
                  <w:noWrap w:val="0"/>
                  <w:vAlign w:val="center"/>
                </w:tcPr>
                <w:p w14:paraId="2899BE47">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机构名称：中国工商银行股份有限公司仙居支行</w:t>
                  </w:r>
                </w:p>
                <w:p w14:paraId="26FA9EC2">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履约保函： 是</w:t>
                  </w:r>
                </w:p>
                <w:p w14:paraId="3CED9EB3">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预付款保函： 是</w:t>
                  </w:r>
                </w:p>
                <w:p w14:paraId="780D99D4">
                  <w:pPr>
                    <w:widowControl w:val="0"/>
                    <w:jc w:val="both"/>
                    <w:rPr>
                      <w:rFonts w:hint="eastAsia" w:ascii="宋体" w:hAnsi="宋体" w:eastAsia="宋体" w:cs="宋体"/>
                      <w:kern w:val="2"/>
                      <w:sz w:val="18"/>
                      <w:szCs w:val="18"/>
                      <w:vertAlign w:val="baseline"/>
                      <w:lang w:val="en-US" w:eastAsia="zh-CN"/>
                    </w:rPr>
                  </w:pPr>
                </w:p>
              </w:tc>
              <w:tc>
                <w:tcPr>
                  <w:tcW w:w="3398" w:type="dxa"/>
                  <w:noWrap w:val="0"/>
                  <w:vAlign w:val="center"/>
                </w:tcPr>
                <w:p w14:paraId="1EB8F7C0">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对外保函服务</w:t>
                  </w:r>
                </w:p>
                <w:p w14:paraId="5CBA338C">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1.开立及展期费担保费率：</w:t>
                  </w:r>
                </w:p>
                <w:p w14:paraId="192143B1">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（1)融资性保函：期限在一年（含）以内，客户按担保额度0.05-0.25%/月计收。最小计费周期为实际月（按实际发生天数，从保函生效之日至失效日计算，30天为1月），期限不足1月的按1个月计收。最低500元／季。</w:t>
                  </w:r>
                </w:p>
                <w:p w14:paraId="16A6561E">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（2)非融资性保函：期限在一年（含）以内，客户按0.027-0.167%/月计收。最小计费周期为实际月（按实际发生天数，从保函生效之日至失效日计算，30天为1月），期限不足1月的按1个月计收。最低500元／季。</w:t>
                  </w:r>
                </w:p>
                <w:p w14:paraId="7A2733F6">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担保期限超过一年的，每增加一年整体费率提高10%（单利）。若担保文本未明确确定的到期日或含有自动延展性质条款的，我行可按根据基础合同和担保文本的有关约定推算出的担保最长有效期调整对应的费率。</w:t>
                  </w:r>
                </w:p>
                <w:p w14:paraId="62B068CF">
                  <w:pPr>
                    <w:widowControl w:val="0"/>
                    <w:jc w:val="both"/>
                    <w:rPr>
                      <w:rFonts w:hint="eastAsia" w:ascii="宋体" w:hAnsi="宋体" w:eastAsia="宋体" w:cs="宋体"/>
                      <w:kern w:val="2"/>
                      <w:sz w:val="18"/>
                      <w:szCs w:val="18"/>
                      <w:vertAlign w:val="baseline"/>
                      <w:lang w:val="en-US" w:eastAsia="zh-CN"/>
                    </w:rPr>
                  </w:pPr>
                  <w:r>
                    <w:rPr>
                      <w:rFonts w:hint="eastAsia" w:ascii="宋体" w:hAnsi="宋体" w:eastAsia="宋体" w:cs="宋体"/>
                      <w:sz w:val="18"/>
                      <w:szCs w:val="18"/>
                      <w:vertAlign w:val="baseline"/>
                      <w:lang w:val="en-US" w:eastAsia="zh-CN"/>
                    </w:rPr>
                    <w:t>如企业划型为小微企业的，以上手续费全免。</w:t>
                  </w:r>
                </w:p>
              </w:tc>
              <w:tc>
                <w:tcPr>
                  <w:tcW w:w="1085" w:type="dxa"/>
                  <w:noWrap w:val="0"/>
                  <w:vAlign w:val="center"/>
                </w:tcPr>
                <w:p w14:paraId="140AC1B6">
                  <w:pPr>
                    <w:widowControl w:val="0"/>
                    <w:jc w:val="both"/>
                    <w:rPr>
                      <w:rFonts w:hint="eastAsia" w:ascii="宋体" w:hAnsi="宋体" w:eastAsia="宋体" w:cs="宋体"/>
                      <w:kern w:val="2"/>
                      <w:sz w:val="18"/>
                      <w:szCs w:val="18"/>
                      <w:vertAlign w:val="baseline"/>
                      <w:lang w:val="en-US" w:eastAsia="zh-CN"/>
                    </w:rPr>
                  </w:pPr>
                  <w:r>
                    <w:rPr>
                      <w:rFonts w:hint="eastAsia" w:ascii="宋体" w:hAnsi="宋体" w:eastAsia="宋体" w:cs="宋体"/>
                      <w:sz w:val="18"/>
                      <w:szCs w:val="18"/>
                      <w:vertAlign w:val="baseline"/>
                      <w:lang w:val="en-US" w:eastAsia="zh-CN"/>
                    </w:rPr>
                    <w:t>王健永13967615120</w:t>
                  </w:r>
                </w:p>
              </w:tc>
            </w:tr>
            <w:tr w14:paraId="3E6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top"/>
                </w:tcPr>
                <w:p w14:paraId="67D7E95A">
                  <w:pPr>
                    <w:widowControl w:val="0"/>
                    <w:jc w:val="left"/>
                    <w:rPr>
                      <w:rFonts w:hint="eastAsia" w:ascii="宋体" w:hAnsi="宋体" w:eastAsia="宋体" w:cs="宋体"/>
                      <w:sz w:val="18"/>
                      <w:szCs w:val="18"/>
                      <w:lang w:eastAsia="zh-CN"/>
                    </w:rPr>
                  </w:pPr>
                </w:p>
                <w:p w14:paraId="166A26C8">
                  <w:pPr>
                    <w:widowControl w:val="0"/>
                    <w:jc w:val="left"/>
                    <w:rPr>
                      <w:rFonts w:hint="eastAsia" w:ascii="宋体" w:hAnsi="宋体" w:eastAsia="宋体" w:cs="宋体"/>
                      <w:sz w:val="18"/>
                      <w:szCs w:val="18"/>
                      <w:lang w:eastAsia="zh-CN"/>
                    </w:rPr>
                  </w:pPr>
                </w:p>
                <w:p w14:paraId="3784E049">
                  <w:pPr>
                    <w:widowControl w:val="0"/>
                    <w:jc w:val="left"/>
                    <w:rPr>
                      <w:rFonts w:hint="eastAsia" w:ascii="宋体" w:hAnsi="宋体" w:eastAsia="宋体" w:cs="宋体"/>
                      <w:sz w:val="18"/>
                      <w:szCs w:val="18"/>
                      <w:lang w:eastAsia="zh-CN"/>
                    </w:rPr>
                  </w:pPr>
                </w:p>
                <w:p w14:paraId="5D288702">
                  <w:pPr>
                    <w:widowControl w:val="0"/>
                    <w:jc w:val="left"/>
                    <w:rPr>
                      <w:rFonts w:hint="eastAsia" w:ascii="宋体" w:hAnsi="宋体" w:eastAsia="宋体" w:cs="宋体"/>
                      <w:sz w:val="18"/>
                      <w:szCs w:val="18"/>
                      <w:lang w:eastAsia="zh-CN"/>
                    </w:rPr>
                  </w:pPr>
                </w:p>
                <w:p w14:paraId="64C238BA">
                  <w:pPr>
                    <w:widowControl w:val="0"/>
                    <w:jc w:val="left"/>
                    <w:rPr>
                      <w:rFonts w:hint="eastAsia" w:ascii="宋体" w:hAnsi="宋体" w:eastAsia="宋体" w:cs="宋体"/>
                      <w:sz w:val="18"/>
                      <w:szCs w:val="18"/>
                      <w:lang w:eastAsia="zh-CN"/>
                    </w:rPr>
                  </w:pPr>
                </w:p>
                <w:p w14:paraId="4D994020">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机构名称：浙江泰隆商业银行台州仙居支行</w:t>
                  </w:r>
                </w:p>
                <w:p w14:paraId="70C03FEC">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履约保函：是</w:t>
                  </w:r>
                </w:p>
                <w:p w14:paraId="3EBAA6AB">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预付款保函：是</w:t>
                  </w:r>
                </w:p>
                <w:p w14:paraId="17D810F4">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lang w:eastAsia="zh-CN"/>
                    </w:rPr>
                    <w:t>备注：我行目前只有线下模式</w:t>
                  </w:r>
                </w:p>
              </w:tc>
              <w:tc>
                <w:tcPr>
                  <w:tcW w:w="3398" w:type="dxa"/>
                  <w:noWrap w:val="0"/>
                  <w:vAlign w:val="top"/>
                </w:tcPr>
                <w:p w14:paraId="41341D0A">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根据保证金比例不同，参照下述费率计收：</w:t>
                  </w:r>
                </w:p>
                <w:p w14:paraId="2229471D">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eastAsia="zh-CN"/>
                    </w:rPr>
                    <w:t>全额保证金，</w:t>
                  </w:r>
                  <w:r>
                    <w:rPr>
                      <w:rFonts w:hint="eastAsia" w:ascii="宋体" w:hAnsi="宋体" w:eastAsia="宋体" w:cs="宋体"/>
                      <w:sz w:val="18"/>
                      <w:szCs w:val="18"/>
                      <w:lang w:val="en-US" w:eastAsia="zh-CN"/>
                    </w:rPr>
                    <w:t>500一年；</w:t>
                  </w:r>
                </w:p>
                <w:p w14:paraId="7BD42D7A">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保证金比例50%以下，保函敞口金额的1.25‰/季，最低500元/季；</w:t>
                  </w:r>
                </w:p>
                <w:p w14:paraId="010502DB">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保证金比例50%（含）以上，保函敞口金额的1‰/季，最低500元/季。</w:t>
                  </w:r>
                </w:p>
                <w:p w14:paraId="185F7DDD">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涉及保函增额，增额部分参照开立保函收费标准另行收费，延期修改按照300/次的标准另行收费；</w:t>
                  </w:r>
                </w:p>
                <w:p w14:paraId="4B4DDA92">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按年收费项目不足一年按一年计收，超过一年三十天按照两年计收（从保函开立之日起390天（含）为一个年度三十天）</w:t>
                  </w:r>
                </w:p>
                <w:p w14:paraId="05B67FF9">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lang w:val="en-US" w:eastAsia="zh-CN"/>
                    </w:rPr>
                    <w:t>按季收费项目不足一季按一季度计收，超过一季度十天的按两季度计收（从保函开立之日起100天（含）为一个季度十天）</w:t>
                  </w:r>
                </w:p>
              </w:tc>
              <w:tc>
                <w:tcPr>
                  <w:tcW w:w="1085" w:type="dxa"/>
                  <w:noWrap w:val="0"/>
                  <w:vAlign w:val="top"/>
                </w:tcPr>
                <w:p w14:paraId="724CB9F8">
                  <w:pPr>
                    <w:widowControl w:val="0"/>
                    <w:jc w:val="left"/>
                    <w:rPr>
                      <w:rFonts w:hint="eastAsia" w:ascii="宋体" w:hAnsi="宋体" w:eastAsia="宋体" w:cs="宋体"/>
                      <w:sz w:val="18"/>
                      <w:szCs w:val="18"/>
                      <w:lang w:eastAsia="zh-CN"/>
                    </w:rPr>
                  </w:pPr>
                </w:p>
                <w:p w14:paraId="2B9F62B5">
                  <w:pPr>
                    <w:widowControl w:val="0"/>
                    <w:jc w:val="left"/>
                    <w:rPr>
                      <w:rFonts w:hint="eastAsia" w:ascii="宋体" w:hAnsi="宋体" w:eastAsia="宋体" w:cs="宋体"/>
                      <w:sz w:val="18"/>
                      <w:szCs w:val="18"/>
                      <w:lang w:eastAsia="zh-CN"/>
                    </w:rPr>
                  </w:pPr>
                </w:p>
                <w:p w14:paraId="665AA651">
                  <w:pPr>
                    <w:widowControl w:val="0"/>
                    <w:jc w:val="left"/>
                    <w:rPr>
                      <w:rFonts w:hint="eastAsia" w:ascii="宋体" w:hAnsi="宋体" w:eastAsia="宋体" w:cs="宋体"/>
                      <w:sz w:val="18"/>
                      <w:szCs w:val="18"/>
                      <w:lang w:eastAsia="zh-CN"/>
                    </w:rPr>
                  </w:pPr>
                </w:p>
                <w:p w14:paraId="5202B979">
                  <w:pPr>
                    <w:widowControl w:val="0"/>
                    <w:jc w:val="left"/>
                    <w:rPr>
                      <w:rFonts w:hint="eastAsia" w:ascii="宋体" w:hAnsi="宋体" w:eastAsia="宋体" w:cs="宋体"/>
                      <w:sz w:val="18"/>
                      <w:szCs w:val="18"/>
                      <w:lang w:eastAsia="zh-CN"/>
                    </w:rPr>
                  </w:pPr>
                </w:p>
                <w:p w14:paraId="54E80677">
                  <w:pPr>
                    <w:widowControl w:val="0"/>
                    <w:jc w:val="left"/>
                    <w:rPr>
                      <w:rFonts w:hint="eastAsia" w:ascii="宋体" w:hAnsi="宋体" w:eastAsia="宋体" w:cs="宋体"/>
                      <w:sz w:val="18"/>
                      <w:szCs w:val="18"/>
                      <w:lang w:eastAsia="zh-CN"/>
                    </w:rPr>
                  </w:pPr>
                </w:p>
                <w:p w14:paraId="6712F603">
                  <w:pPr>
                    <w:widowControl w:val="0"/>
                    <w:jc w:val="left"/>
                    <w:rPr>
                      <w:rFonts w:hint="default" w:ascii="宋体" w:hAnsi="宋体" w:eastAsia="宋体" w:cs="宋体"/>
                      <w:sz w:val="18"/>
                      <w:szCs w:val="18"/>
                      <w:lang w:val="en-US" w:eastAsia="zh-CN"/>
                    </w:rPr>
                  </w:pPr>
                  <w:r>
                    <w:rPr>
                      <w:rFonts w:hint="eastAsia" w:ascii="宋体" w:hAnsi="宋体" w:eastAsia="宋体" w:cs="宋体"/>
                      <w:sz w:val="18"/>
                      <w:szCs w:val="18"/>
                      <w:lang w:eastAsia="zh-CN"/>
                    </w:rPr>
                    <w:t>银行联系人：陈超</w:t>
                  </w:r>
                  <w:r>
                    <w:rPr>
                      <w:rFonts w:hint="eastAsia" w:ascii="宋体" w:hAnsi="宋体" w:eastAsia="宋体" w:cs="宋体"/>
                      <w:sz w:val="18"/>
                      <w:szCs w:val="18"/>
                      <w:lang w:val="en-US" w:eastAsia="zh-CN"/>
                    </w:rPr>
                    <w:t>17858683697</w:t>
                  </w:r>
                </w:p>
                <w:p w14:paraId="55784794">
                  <w:pPr>
                    <w:widowControl w:val="0"/>
                    <w:jc w:val="left"/>
                    <w:rPr>
                      <w:rFonts w:hint="default" w:ascii="宋体" w:hAnsi="宋体" w:eastAsia="宋体" w:cs="宋体"/>
                      <w:kern w:val="2"/>
                      <w:sz w:val="18"/>
                      <w:szCs w:val="18"/>
                      <w:lang w:val="en-US" w:eastAsia="zh-CN"/>
                    </w:rPr>
                  </w:pPr>
                  <w:r>
                    <w:rPr>
                      <w:rFonts w:hint="eastAsia" w:ascii="宋体" w:hAnsi="宋体" w:eastAsia="宋体" w:cs="宋体"/>
                      <w:sz w:val="18"/>
                      <w:szCs w:val="18"/>
                      <w:lang w:eastAsia="zh-CN"/>
                    </w:rPr>
                    <w:t>具体保函业务办理客户经理：王英</w:t>
                  </w:r>
                  <w:r>
                    <w:rPr>
                      <w:rFonts w:hint="eastAsia" w:ascii="宋体" w:hAnsi="宋体" w:eastAsia="宋体" w:cs="宋体"/>
                      <w:sz w:val="18"/>
                      <w:szCs w:val="18"/>
                      <w:lang w:val="en-US" w:eastAsia="zh-CN"/>
                    </w:rPr>
                    <w:t>15868677616</w:t>
                  </w:r>
                </w:p>
              </w:tc>
            </w:tr>
            <w:tr w14:paraId="7436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4" w:type="dxa"/>
                  <w:noWrap w:val="0"/>
                  <w:vAlign w:val="center"/>
                </w:tcPr>
                <w:p w14:paraId="226C9CE9">
                  <w:pPr>
                    <w:widowControl w:val="0"/>
                    <w:rPr>
                      <w:rFonts w:hint="eastAsia" w:ascii="宋体" w:hAnsi="宋体" w:eastAsia="宋体" w:cs="宋体"/>
                      <w:sz w:val="18"/>
                      <w:szCs w:val="18"/>
                    </w:rPr>
                  </w:pPr>
                  <w:r>
                    <w:rPr>
                      <w:rFonts w:hint="eastAsia" w:ascii="宋体" w:hAnsi="宋体" w:eastAsia="宋体" w:cs="宋体"/>
                      <w:sz w:val="18"/>
                      <w:szCs w:val="18"/>
                    </w:rPr>
                    <w:t>机构名称：仙居农商银行</w:t>
                  </w:r>
                </w:p>
                <w:p w14:paraId="3986AF37">
                  <w:pPr>
                    <w:widowControl w:val="0"/>
                    <w:rPr>
                      <w:rFonts w:hint="eastAsia" w:ascii="宋体" w:hAnsi="宋体" w:eastAsia="宋体" w:cs="宋体"/>
                      <w:sz w:val="18"/>
                      <w:szCs w:val="18"/>
                    </w:rPr>
                  </w:pPr>
                  <w:r>
                    <w:rPr>
                      <w:rFonts w:hint="eastAsia" w:ascii="宋体" w:hAnsi="宋体" w:eastAsia="宋体" w:cs="宋体"/>
                      <w:sz w:val="18"/>
                      <w:szCs w:val="18"/>
                    </w:rPr>
                    <w:t>履约保函：是</w:t>
                  </w:r>
                </w:p>
                <w:p w14:paraId="1A652ABF">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rPr>
                    <w:t>预付款保函：是</w:t>
                  </w:r>
                </w:p>
              </w:tc>
              <w:tc>
                <w:tcPr>
                  <w:tcW w:w="3398" w:type="dxa"/>
                  <w:noWrap w:val="0"/>
                  <w:vAlign w:val="center"/>
                </w:tcPr>
                <w:p w14:paraId="38545931">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rPr>
                    <w:t>万分之五，在出具保函前一次性收取。</w:t>
                  </w:r>
                </w:p>
              </w:tc>
              <w:tc>
                <w:tcPr>
                  <w:tcW w:w="1085" w:type="dxa"/>
                  <w:noWrap w:val="0"/>
                  <w:vAlign w:val="center"/>
                </w:tcPr>
                <w:p w14:paraId="158B6D1C">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rPr>
                    <w:t>李杭13586233529</w:t>
                  </w:r>
                </w:p>
              </w:tc>
            </w:tr>
            <w:tr w14:paraId="04A5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4" w:type="dxa"/>
                  <w:noWrap w:val="0"/>
                  <w:vAlign w:val="center"/>
                </w:tcPr>
                <w:p w14:paraId="13AA7DB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机构名称：仙居中国银行</w:t>
                  </w:r>
                </w:p>
                <w:p w14:paraId="57CD810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p w14:paraId="0FEC8D2A">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预付款保函：是</w:t>
                  </w:r>
                </w:p>
              </w:tc>
              <w:tc>
                <w:tcPr>
                  <w:tcW w:w="3398" w:type="dxa"/>
                  <w:noWrap w:val="0"/>
                  <w:vAlign w:val="center"/>
                </w:tcPr>
                <w:p w14:paraId="147D9904">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1.5%</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每单保函最低保险费为500</w:t>
                  </w:r>
                  <w:r>
                    <w:rPr>
                      <w:rFonts w:hint="eastAsia" w:ascii="宋体" w:hAnsi="宋体" w:eastAsia="宋体" w:cs="宋体"/>
                      <w:sz w:val="18"/>
                      <w:szCs w:val="18"/>
                      <w:lang w:eastAsia="zh-CN"/>
                    </w:rPr>
                    <w:t>元。</w:t>
                  </w:r>
                </w:p>
              </w:tc>
              <w:tc>
                <w:tcPr>
                  <w:tcW w:w="1085" w:type="dxa"/>
                  <w:noWrap w:val="0"/>
                  <w:vAlign w:val="center"/>
                </w:tcPr>
                <w:p w14:paraId="291FAD67">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张弥</w:t>
                  </w:r>
                  <w:r>
                    <w:rPr>
                      <w:rFonts w:hint="eastAsia" w:ascii="宋体" w:hAnsi="宋体" w:eastAsia="宋体" w:cs="宋体"/>
                      <w:sz w:val="18"/>
                      <w:szCs w:val="18"/>
                      <w:lang w:val="en-US" w:eastAsia="zh-CN"/>
                    </w:rPr>
                    <w:t>0576-87796908</w:t>
                  </w:r>
                </w:p>
              </w:tc>
            </w:tr>
            <w:tr w14:paraId="172A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top"/>
                </w:tcPr>
                <w:p w14:paraId="04900E55">
                  <w:pPr>
                    <w:widowControl w:val="0"/>
                    <w:jc w:val="left"/>
                    <w:rPr>
                      <w:rFonts w:hint="eastAsia" w:ascii="宋体" w:hAnsi="宋体" w:eastAsia="宋体" w:cs="宋体"/>
                      <w:sz w:val="18"/>
                      <w:szCs w:val="18"/>
                    </w:rPr>
                  </w:pPr>
                  <w:r>
                    <w:rPr>
                      <w:rFonts w:hint="eastAsia" w:ascii="宋体" w:hAnsi="宋体" w:eastAsia="宋体" w:cs="宋体"/>
                      <w:sz w:val="18"/>
                      <w:szCs w:val="18"/>
                    </w:rPr>
                    <w:t>机构名称：中国人民财产保险股份有限公司仙居支公司</w:t>
                  </w:r>
                </w:p>
                <w:p w14:paraId="54A8DAF6">
                  <w:pPr>
                    <w:widowControl w:val="0"/>
                    <w:jc w:val="left"/>
                    <w:rPr>
                      <w:rFonts w:hint="eastAsia" w:ascii="宋体" w:hAnsi="宋体" w:eastAsia="宋体" w:cs="宋体"/>
                      <w:sz w:val="18"/>
                      <w:szCs w:val="18"/>
                    </w:rPr>
                  </w:pPr>
                  <w:r>
                    <w:rPr>
                      <w:rFonts w:hint="eastAsia" w:ascii="宋体" w:hAnsi="宋体" w:eastAsia="宋体" w:cs="宋体"/>
                      <w:sz w:val="18"/>
                      <w:szCs w:val="18"/>
                    </w:rPr>
                    <w:t>履约保险：是</w:t>
                  </w:r>
                </w:p>
                <w:p w14:paraId="40E65A80">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rPr>
                    <w:t>预付款保函：是</w:t>
                  </w:r>
                </w:p>
              </w:tc>
              <w:tc>
                <w:tcPr>
                  <w:tcW w:w="3398" w:type="dxa"/>
                  <w:noWrap w:val="0"/>
                  <w:vAlign w:val="top"/>
                </w:tcPr>
                <w:p w14:paraId="68BFC04E">
                  <w:pPr>
                    <w:widowControl w:val="0"/>
                    <w:jc w:val="left"/>
                    <w:rPr>
                      <w:rFonts w:hint="eastAsia" w:ascii="宋体" w:hAnsi="宋体" w:eastAsia="宋体" w:cs="宋体"/>
                      <w:sz w:val="18"/>
                      <w:szCs w:val="18"/>
                    </w:rPr>
                  </w:pPr>
                  <w:r>
                    <w:rPr>
                      <w:rFonts w:hint="eastAsia" w:ascii="宋体" w:hAnsi="宋体" w:eastAsia="宋体" w:cs="宋体"/>
                      <w:sz w:val="18"/>
                      <w:szCs w:val="18"/>
                    </w:rPr>
                    <w:t>建设工程合同款支付保证保险，年费率1.2%，每单最低保险费为1000元。</w:t>
                  </w:r>
                </w:p>
                <w:p w14:paraId="5EC1E3E0">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rPr>
                    <w:t>建设工程预付款保证保险，年费率0.6%，每单最低保险费为1000元。</w:t>
                  </w:r>
                </w:p>
              </w:tc>
              <w:tc>
                <w:tcPr>
                  <w:tcW w:w="1085" w:type="dxa"/>
                  <w:noWrap w:val="0"/>
                  <w:vAlign w:val="top"/>
                </w:tcPr>
                <w:p w14:paraId="1A43A04F">
                  <w:pPr>
                    <w:widowControl w:val="0"/>
                    <w:jc w:val="left"/>
                    <w:rPr>
                      <w:rFonts w:hint="eastAsia" w:ascii="宋体" w:hAnsi="宋体" w:eastAsia="宋体" w:cs="宋体"/>
                      <w:sz w:val="18"/>
                      <w:szCs w:val="18"/>
                    </w:rPr>
                  </w:pPr>
                </w:p>
                <w:p w14:paraId="3A3AC3C0">
                  <w:pPr>
                    <w:widowControl w:val="0"/>
                    <w:jc w:val="left"/>
                    <w:rPr>
                      <w:rFonts w:hint="eastAsia" w:ascii="宋体" w:hAnsi="宋体" w:eastAsia="宋体" w:cs="宋体"/>
                      <w:sz w:val="18"/>
                      <w:szCs w:val="18"/>
                    </w:rPr>
                  </w:pPr>
                </w:p>
                <w:p w14:paraId="68635506">
                  <w:pPr>
                    <w:widowControl w:val="0"/>
                    <w:jc w:val="left"/>
                    <w:rPr>
                      <w:rFonts w:hint="eastAsia" w:ascii="宋体" w:hAnsi="宋体" w:eastAsia="宋体" w:cs="宋体"/>
                      <w:kern w:val="2"/>
                      <w:sz w:val="18"/>
                      <w:szCs w:val="18"/>
                      <w:lang w:eastAsia="zh-CN"/>
                    </w:rPr>
                  </w:pPr>
                  <w:r>
                    <w:rPr>
                      <w:rFonts w:hint="eastAsia" w:ascii="宋体" w:hAnsi="宋体" w:eastAsia="宋体" w:cs="宋体"/>
                      <w:sz w:val="18"/>
                      <w:szCs w:val="18"/>
                    </w:rPr>
                    <w:t>王巧红13968483573</w:t>
                  </w:r>
                </w:p>
              </w:tc>
            </w:tr>
            <w:tr w14:paraId="27B7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center"/>
                </w:tcPr>
                <w:p w14:paraId="56D6B1A4">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机构名称：中国大地财产保险股份有限公司仙居支公司</w:t>
                  </w:r>
                </w:p>
                <w:p w14:paraId="1E6BB4D5">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p w14:paraId="0EE8BA17">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lang w:val="en-US" w:eastAsia="zh-CN"/>
                    </w:rPr>
                    <w:t>预付款保函：否</w:t>
                  </w:r>
                </w:p>
              </w:tc>
              <w:tc>
                <w:tcPr>
                  <w:tcW w:w="3398" w:type="dxa"/>
                  <w:noWrap w:val="0"/>
                  <w:vAlign w:val="center"/>
                </w:tcPr>
                <w:p w14:paraId="2D0A057D">
                  <w:pPr>
                    <w:widowControl w:val="0"/>
                    <w:rPr>
                      <w:rFonts w:hint="eastAsia" w:ascii="宋体" w:hAnsi="宋体" w:eastAsia="宋体" w:cs="宋体"/>
                      <w:kern w:val="2"/>
                      <w:sz w:val="18"/>
                      <w:szCs w:val="18"/>
                      <w:lang w:eastAsia="zh-CN"/>
                    </w:rPr>
                  </w:pPr>
                  <w:r>
                    <w:rPr>
                      <w:rFonts w:hint="eastAsia" w:ascii="宋体" w:hAnsi="宋体" w:eastAsia="宋体" w:cs="宋体"/>
                      <w:sz w:val="18"/>
                      <w:szCs w:val="18"/>
                      <w:lang w:eastAsia="zh-CN"/>
                    </w:rPr>
                    <w:t>合同（质量）履约按履约保证金年费率最低0.5%，</w:t>
                  </w:r>
                  <w:r>
                    <w:rPr>
                      <w:rFonts w:hint="eastAsia" w:ascii="宋体" w:hAnsi="宋体" w:eastAsia="宋体" w:cs="宋体"/>
                      <w:sz w:val="18"/>
                      <w:szCs w:val="18"/>
                      <w:lang w:val="en-US" w:eastAsia="zh-CN"/>
                    </w:rPr>
                    <w:t>每单保函最低保险费为</w:t>
                  </w:r>
                  <w:r>
                    <w:rPr>
                      <w:rFonts w:hint="eastAsia" w:ascii="宋体" w:hAnsi="宋体" w:eastAsia="宋体" w:cs="宋体"/>
                      <w:sz w:val="18"/>
                      <w:szCs w:val="18"/>
                      <w:lang w:eastAsia="zh-CN"/>
                    </w:rPr>
                    <w:t>1000元。</w:t>
                  </w:r>
                </w:p>
              </w:tc>
              <w:tc>
                <w:tcPr>
                  <w:tcW w:w="1085" w:type="dxa"/>
                  <w:noWrap w:val="0"/>
                  <w:vAlign w:val="center"/>
                </w:tcPr>
                <w:p w14:paraId="414933B1">
                  <w:pPr>
                    <w:widowControl w:val="0"/>
                    <w:rPr>
                      <w:rFonts w:hint="eastAsia" w:ascii="宋体" w:hAnsi="宋体" w:eastAsia="宋体" w:cs="宋体"/>
                      <w:kern w:val="2"/>
                      <w:sz w:val="18"/>
                      <w:szCs w:val="18"/>
                      <w:lang w:eastAsia="zh-CN"/>
                    </w:rPr>
                  </w:pPr>
                  <w:r>
                    <w:rPr>
                      <w:rFonts w:hint="eastAsia" w:ascii="宋体" w:hAnsi="宋体" w:eastAsia="宋体" w:cs="宋体"/>
                      <w:sz w:val="18"/>
                      <w:szCs w:val="18"/>
                      <w:lang w:eastAsia="zh-CN"/>
                    </w:rPr>
                    <w:t>吴琼</w:t>
                  </w:r>
                  <w:r>
                    <w:rPr>
                      <w:rFonts w:hint="eastAsia" w:ascii="宋体" w:hAnsi="宋体" w:eastAsia="宋体" w:cs="宋体"/>
                      <w:sz w:val="18"/>
                      <w:szCs w:val="18"/>
                      <w:lang w:val="en-US" w:eastAsia="zh-CN"/>
                    </w:rPr>
                    <w:t>17858699170</w:t>
                  </w:r>
                </w:p>
              </w:tc>
            </w:tr>
            <w:tr w14:paraId="3B1F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584" w:type="dxa"/>
                  <w:noWrap w:val="0"/>
                  <w:vAlign w:val="center"/>
                </w:tcPr>
                <w:p w14:paraId="36329A3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机构名称：天安财产保险股份有限公司台州中心支公司仙居县营销服务部</w:t>
                  </w:r>
                </w:p>
                <w:p w14:paraId="1692720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履约保函：否</w:t>
                  </w:r>
                </w:p>
                <w:p w14:paraId="1951914A">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预付款保函：是</w:t>
                  </w:r>
                </w:p>
              </w:tc>
              <w:tc>
                <w:tcPr>
                  <w:tcW w:w="3398" w:type="dxa"/>
                  <w:noWrap w:val="0"/>
                  <w:vAlign w:val="center"/>
                </w:tcPr>
                <w:p w14:paraId="750323CF">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预付款保函：按预付款金额投保，年费率为1%-2%，每单保函最低保险费为500元；保险期限最长不超过5年。</w:t>
                  </w:r>
                </w:p>
              </w:tc>
              <w:tc>
                <w:tcPr>
                  <w:tcW w:w="1085" w:type="dxa"/>
                  <w:noWrap w:val="0"/>
                  <w:vAlign w:val="center"/>
                </w:tcPr>
                <w:p w14:paraId="4D5AE59F">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陶正鹏13858613668</w:t>
                  </w:r>
                </w:p>
              </w:tc>
            </w:tr>
            <w:tr w14:paraId="16C4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584" w:type="dxa"/>
                  <w:noWrap w:val="0"/>
                  <w:vAlign w:val="center"/>
                </w:tcPr>
                <w:p w14:paraId="235E736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机构名称：仙居县台融融资担保有限公司</w:t>
                  </w:r>
                </w:p>
                <w:p w14:paraId="3A97DDE7">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tc>
              <w:tc>
                <w:tcPr>
                  <w:tcW w:w="3398" w:type="dxa"/>
                  <w:noWrap w:val="0"/>
                  <w:vAlign w:val="center"/>
                </w:tcPr>
                <w:p w14:paraId="4163EA6A">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lang w:val="en-US" w:eastAsia="zh-CN"/>
                    </w:rPr>
                    <w:t>0.2%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每单保函最低保险费为800</w:t>
                  </w:r>
                  <w:r>
                    <w:rPr>
                      <w:rFonts w:hint="eastAsia" w:ascii="宋体" w:hAnsi="宋体" w:eastAsia="宋体" w:cs="宋体"/>
                      <w:sz w:val="18"/>
                      <w:szCs w:val="18"/>
                      <w:lang w:eastAsia="zh-CN"/>
                    </w:rPr>
                    <w:t>元。</w:t>
                  </w:r>
                </w:p>
              </w:tc>
              <w:tc>
                <w:tcPr>
                  <w:tcW w:w="1085" w:type="dxa"/>
                  <w:noWrap w:val="0"/>
                  <w:vAlign w:val="center"/>
                </w:tcPr>
                <w:p w14:paraId="3E6AE78F">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郭鹏飞</w:t>
                  </w:r>
                  <w:r>
                    <w:rPr>
                      <w:rFonts w:hint="eastAsia" w:ascii="宋体" w:hAnsi="宋体" w:eastAsia="宋体" w:cs="宋体"/>
                      <w:sz w:val="18"/>
                      <w:szCs w:val="18"/>
                      <w:lang w:val="en-US" w:eastAsia="zh-CN"/>
                    </w:rPr>
                    <w:t>13819645716</w:t>
                  </w:r>
                </w:p>
              </w:tc>
            </w:tr>
            <w:tr w14:paraId="08E1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584" w:type="dxa"/>
                  <w:noWrap w:val="0"/>
                  <w:vAlign w:val="center"/>
                </w:tcPr>
                <w:p w14:paraId="6C707E68">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机构名称:浙江商盈融资担保有限公司</w:t>
                  </w:r>
                </w:p>
                <w:p w14:paraId="600A04CF">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tc>
              <w:tc>
                <w:tcPr>
                  <w:tcW w:w="3398" w:type="dxa"/>
                  <w:noWrap w:val="0"/>
                  <w:vAlign w:val="center"/>
                </w:tcPr>
                <w:p w14:paraId="6814A379">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合同(质量)履约按履约保证金年费率 0.2%，每单保函最低保险费为 800元</w:t>
                  </w:r>
                </w:p>
              </w:tc>
              <w:tc>
                <w:tcPr>
                  <w:tcW w:w="1085" w:type="dxa"/>
                  <w:noWrap w:val="0"/>
                  <w:vAlign w:val="center"/>
                </w:tcPr>
                <w:p w14:paraId="67F227FC">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冯婳婳13586233988</w:t>
                  </w:r>
                </w:p>
              </w:tc>
            </w:tr>
          </w:tbl>
          <w:p w14:paraId="2C5926B1">
            <w:pPr>
              <w:autoSpaceDE w:val="0"/>
              <w:autoSpaceDN w:val="0"/>
              <w:adjustRightInd w:val="0"/>
              <w:spacing w:line="300" w:lineRule="exact"/>
              <w:rPr>
                <w:rFonts w:hint="eastAsia" w:ascii="宋体" w:hAnsi="宋体" w:eastAsia="宋体" w:cs="Times New Roman"/>
                <w:bCs/>
                <w:color w:val="000000"/>
                <w:kern w:val="2"/>
                <w:sz w:val="21"/>
                <w:szCs w:val="21"/>
                <w:lang w:val="en-US" w:eastAsia="zh-CN" w:bidi="ar-SA"/>
              </w:rPr>
            </w:pPr>
          </w:p>
        </w:tc>
      </w:tr>
      <w:tr w14:paraId="0586A0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738" w:type="dxa"/>
            <w:tcBorders>
              <w:top w:val="single" w:color="auto" w:sz="4" w:space="0"/>
            </w:tcBorders>
            <w:noWrap w:val="0"/>
            <w:vAlign w:val="center"/>
          </w:tcPr>
          <w:p w14:paraId="41DF0B39">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15</w:t>
            </w:r>
          </w:p>
        </w:tc>
        <w:tc>
          <w:tcPr>
            <w:tcW w:w="1406" w:type="dxa"/>
            <w:tcBorders>
              <w:top w:val="single" w:color="auto" w:sz="4" w:space="0"/>
            </w:tcBorders>
            <w:noWrap w:val="0"/>
            <w:vAlign w:val="center"/>
          </w:tcPr>
          <w:p w14:paraId="4DDE3D37">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color w:val="auto"/>
                <w:kern w:val="2"/>
                <w:sz w:val="21"/>
                <w:szCs w:val="21"/>
                <w:lang w:val="en-US" w:eastAsia="zh-CN" w:bidi="ar-SA"/>
              </w:rPr>
            </w:pPr>
            <w:r>
              <w:rPr>
                <w:rFonts w:hint="eastAsia" w:ascii="宋体" w:hAnsi="宋体"/>
                <w:color w:val="auto"/>
                <w:sz w:val="21"/>
                <w:szCs w:val="21"/>
              </w:rPr>
              <w:t>解释权</w:t>
            </w:r>
          </w:p>
        </w:tc>
        <w:tc>
          <w:tcPr>
            <w:tcW w:w="7519" w:type="dxa"/>
            <w:tcBorders>
              <w:top w:val="single" w:color="auto" w:sz="4" w:space="0"/>
            </w:tcBorders>
            <w:noWrap w:val="0"/>
            <w:vAlign w:val="center"/>
          </w:tcPr>
          <w:p w14:paraId="1CBB4115">
            <w:pPr>
              <w:keepNext w:val="0"/>
              <w:keepLines w:val="0"/>
              <w:pageBreakBefore w:val="0"/>
              <w:kinsoku/>
              <w:wordWrap/>
              <w:overflowPunct/>
              <w:topLinePunct w:val="0"/>
              <w:autoSpaceDE w:val="0"/>
              <w:autoSpaceDN w:val="0"/>
              <w:bidi w:val="0"/>
              <w:adjustRightInd w:val="0"/>
              <w:spacing w:line="300" w:lineRule="exact"/>
              <w:textAlignment w:val="auto"/>
              <w:rPr>
                <w:rFonts w:hint="eastAsia" w:ascii="宋体" w:hAnsi="宋体"/>
                <w:color w:val="auto"/>
                <w:kern w:val="2"/>
                <w:sz w:val="21"/>
                <w:szCs w:val="21"/>
                <w:lang w:val="en-US" w:eastAsia="zh-CN" w:bidi="ar-SA"/>
              </w:rPr>
            </w:pPr>
            <w:r>
              <w:rPr>
                <w:rFonts w:hint="eastAsia" w:ascii="宋体" w:hAnsi="宋体"/>
                <w:color w:val="auto"/>
                <w:sz w:val="21"/>
                <w:szCs w:val="21"/>
              </w:rPr>
              <w:t>本磋商文件解释权属于采购人和采购代理机构。</w:t>
            </w:r>
          </w:p>
        </w:tc>
      </w:tr>
    </w:tbl>
    <w:p w14:paraId="2FA4A709">
      <w:pPr>
        <w:pStyle w:val="31"/>
        <w:jc w:val="both"/>
        <w:rPr>
          <w:rFonts w:hint="eastAsia"/>
          <w:sz w:val="28"/>
          <w:szCs w:val="28"/>
        </w:rPr>
      </w:pPr>
    </w:p>
    <w:p w14:paraId="77A74094">
      <w:pPr>
        <w:rPr>
          <w:rFonts w:hint="eastAsia"/>
          <w:sz w:val="28"/>
          <w:szCs w:val="28"/>
        </w:rPr>
      </w:pPr>
    </w:p>
    <w:p w14:paraId="0727F717">
      <w:pPr>
        <w:pStyle w:val="2"/>
        <w:rPr>
          <w:rFonts w:hint="eastAsia"/>
          <w:sz w:val="28"/>
          <w:szCs w:val="28"/>
        </w:rPr>
      </w:pPr>
    </w:p>
    <w:p w14:paraId="42E14F3B">
      <w:pPr>
        <w:rPr>
          <w:rFonts w:hint="eastAsia"/>
          <w:sz w:val="28"/>
          <w:szCs w:val="28"/>
        </w:rPr>
      </w:pPr>
    </w:p>
    <w:p w14:paraId="2852312E">
      <w:pPr>
        <w:pStyle w:val="2"/>
        <w:rPr>
          <w:rFonts w:hint="eastAsia"/>
          <w:sz w:val="28"/>
          <w:szCs w:val="28"/>
        </w:rPr>
      </w:pPr>
    </w:p>
    <w:p w14:paraId="0544A1FE">
      <w:pPr>
        <w:rPr>
          <w:rFonts w:hint="eastAsia"/>
          <w:sz w:val="28"/>
          <w:szCs w:val="28"/>
        </w:rPr>
      </w:pPr>
    </w:p>
    <w:p w14:paraId="1CACB4FB">
      <w:pPr>
        <w:pStyle w:val="2"/>
        <w:rPr>
          <w:rFonts w:hint="eastAsia"/>
          <w:sz w:val="28"/>
          <w:szCs w:val="28"/>
        </w:rPr>
      </w:pPr>
    </w:p>
    <w:p w14:paraId="2488D82D">
      <w:pPr>
        <w:rPr>
          <w:rFonts w:hint="eastAsia"/>
          <w:sz w:val="28"/>
          <w:szCs w:val="28"/>
        </w:rPr>
      </w:pPr>
    </w:p>
    <w:p w14:paraId="154F955D">
      <w:pPr>
        <w:pStyle w:val="2"/>
        <w:rPr>
          <w:rFonts w:hint="eastAsia"/>
          <w:sz w:val="28"/>
          <w:szCs w:val="28"/>
        </w:rPr>
      </w:pPr>
    </w:p>
    <w:p w14:paraId="486F77E8">
      <w:pPr>
        <w:rPr>
          <w:rFonts w:hint="eastAsia"/>
          <w:sz w:val="28"/>
          <w:szCs w:val="28"/>
        </w:rPr>
      </w:pPr>
    </w:p>
    <w:p w14:paraId="3FAF52C8">
      <w:pPr>
        <w:pStyle w:val="2"/>
        <w:rPr>
          <w:rFonts w:hint="eastAsia"/>
          <w:sz w:val="28"/>
          <w:szCs w:val="28"/>
        </w:rPr>
      </w:pPr>
    </w:p>
    <w:p w14:paraId="2FCAE676">
      <w:pPr>
        <w:rPr>
          <w:rFonts w:hint="eastAsia"/>
          <w:sz w:val="28"/>
          <w:szCs w:val="28"/>
        </w:rPr>
      </w:pPr>
    </w:p>
    <w:p w14:paraId="6ECB935A">
      <w:pPr>
        <w:pStyle w:val="2"/>
        <w:rPr>
          <w:rFonts w:hint="eastAsia"/>
          <w:sz w:val="28"/>
          <w:szCs w:val="28"/>
        </w:rPr>
      </w:pPr>
    </w:p>
    <w:p w14:paraId="1C3A5288">
      <w:pPr>
        <w:rPr>
          <w:rFonts w:hint="eastAsia"/>
          <w:sz w:val="28"/>
          <w:szCs w:val="28"/>
        </w:rPr>
      </w:pPr>
    </w:p>
    <w:p w14:paraId="36C26676">
      <w:pPr>
        <w:pStyle w:val="2"/>
        <w:rPr>
          <w:rFonts w:hint="eastAsia"/>
          <w:sz w:val="28"/>
          <w:szCs w:val="28"/>
        </w:rPr>
      </w:pPr>
    </w:p>
    <w:p w14:paraId="17D881FD">
      <w:pPr>
        <w:rPr>
          <w:rFonts w:hint="eastAsia"/>
          <w:sz w:val="28"/>
          <w:szCs w:val="28"/>
        </w:rPr>
      </w:pPr>
    </w:p>
    <w:p w14:paraId="1E255BCF">
      <w:pPr>
        <w:pStyle w:val="2"/>
        <w:rPr>
          <w:rFonts w:hint="eastAsia"/>
          <w:sz w:val="28"/>
          <w:szCs w:val="28"/>
        </w:rPr>
      </w:pPr>
    </w:p>
    <w:p w14:paraId="2D7383BA">
      <w:pPr>
        <w:rPr>
          <w:rFonts w:hint="eastAsia"/>
          <w:sz w:val="28"/>
          <w:szCs w:val="28"/>
        </w:rPr>
      </w:pPr>
    </w:p>
    <w:p w14:paraId="10CF779E">
      <w:pPr>
        <w:pStyle w:val="2"/>
        <w:rPr>
          <w:rFonts w:hint="eastAsia"/>
        </w:rPr>
      </w:pPr>
    </w:p>
    <w:p w14:paraId="5369199D">
      <w:pPr>
        <w:bidi w:val="0"/>
        <w:rPr>
          <w:rFonts w:hint="eastAsia"/>
        </w:rPr>
      </w:pPr>
    </w:p>
    <w:p w14:paraId="225673FA">
      <w:pPr>
        <w:pStyle w:val="3"/>
        <w:jc w:val="center"/>
        <w:rPr>
          <w:sz w:val="28"/>
          <w:szCs w:val="28"/>
        </w:rPr>
      </w:pPr>
      <w:r>
        <w:rPr>
          <w:rFonts w:hint="eastAsia"/>
          <w:sz w:val="28"/>
          <w:szCs w:val="28"/>
        </w:rPr>
        <w:t>一、总则</w:t>
      </w:r>
      <w:bookmarkEnd w:id="40"/>
      <w:bookmarkEnd w:id="41"/>
    </w:p>
    <w:p w14:paraId="401ACAB2">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43" w:name="_Toc263676373"/>
      <w:bookmarkStart w:id="44" w:name="_Toc24302"/>
      <w:bookmarkStart w:id="45" w:name="_Toc3761"/>
      <w:bookmarkStart w:id="46" w:name="_Toc359860079"/>
      <w:bookmarkStart w:id="47" w:name="_Toc482195563"/>
      <w:bookmarkStart w:id="48" w:name="_Toc282640696"/>
      <w:bookmarkStart w:id="49" w:name="_Toc479667067"/>
      <w:bookmarkStart w:id="50" w:name="_Toc479667345"/>
      <w:r>
        <w:rPr>
          <w:rFonts w:hint="eastAsia" w:ascii="宋体" w:hAnsi="宋体" w:cs="宋体"/>
          <w:b/>
          <w:szCs w:val="21"/>
        </w:rPr>
        <w:t>采购依据</w:t>
      </w:r>
    </w:p>
    <w:p w14:paraId="45953C3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本次采购工作是按照《中华人民共和国政府采购法》、《中华人民共和国政府采购法实施条例》、《政府采购竞争性磋商采购方式管理暂行办法》等有关法律、法规、规章、文件等规定组织和实施。</w:t>
      </w:r>
    </w:p>
    <w:p w14:paraId="5B39596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适用范围</w:t>
      </w:r>
      <w:bookmarkEnd w:id="43"/>
      <w:bookmarkEnd w:id="44"/>
      <w:bookmarkEnd w:id="45"/>
      <w:bookmarkEnd w:id="46"/>
    </w:p>
    <w:bookmarkEnd w:id="47"/>
    <w:bookmarkEnd w:id="48"/>
    <w:bookmarkEnd w:id="49"/>
    <w:bookmarkEnd w:id="50"/>
    <w:p w14:paraId="72BD45D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本采购文件仅适用于本次竞争性磋商采购所叙述的工程、货物和服务（法律、法规另有规定的，从其规定）。</w:t>
      </w:r>
    </w:p>
    <w:p w14:paraId="2E00BA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本项目名称见“磋商须知前附表”。</w:t>
      </w:r>
    </w:p>
    <w:p w14:paraId="39EC0FD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本项目采购方式</w:t>
      </w:r>
    </w:p>
    <w:p w14:paraId="5240418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竞争性磋商采购方式是指采购人、采购代理机构通过组建竞争性磋商小组（以下简称磋商小组）与符合条件的供应商就采购货物、工程和服务事宜进行磋商，供应商按照采购文件的要求提交响应文件和报价，采购人从磋商小组评审后提出的候选供应商名单中确定成交供应商的采购方式。</w:t>
      </w:r>
    </w:p>
    <w:p w14:paraId="6597104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本项目的采购内容：详见“磋商须知前附表”。</w:t>
      </w:r>
    </w:p>
    <w:p w14:paraId="701A9B28">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51" w:name="_Toc479667068"/>
      <w:bookmarkStart w:id="52" w:name="_Toc482195564"/>
      <w:bookmarkStart w:id="53" w:name="_Toc282640697"/>
      <w:bookmarkStart w:id="54" w:name="_Toc479667346"/>
      <w:r>
        <w:rPr>
          <w:rFonts w:hint="eastAsia" w:ascii="宋体" w:hAnsi="宋体" w:cs="宋体"/>
          <w:b/>
          <w:szCs w:val="21"/>
        </w:rPr>
        <w:t>定义</w:t>
      </w:r>
      <w:bookmarkEnd w:id="51"/>
      <w:bookmarkEnd w:id="52"/>
      <w:bookmarkEnd w:id="53"/>
      <w:bookmarkEnd w:id="54"/>
    </w:p>
    <w:p w14:paraId="1176057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电子交易活动：是指以数据电文形式，依托政府采购项目电子交易平台进行的政府采购交易活动</w:t>
      </w:r>
    </w:p>
    <w:p w14:paraId="6C1AD6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采购人：是指依法进行政府采购的国家机关、事业单位、团体组织，见“磋商须知前附表”，本文件中招标人与采购人意思相同。</w:t>
      </w:r>
    </w:p>
    <w:p w14:paraId="376ABEF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采购代理机构：受采购人委托，在委托的范围内办理政府采购事宜的机构，见“磋商须知前附表”； </w:t>
      </w:r>
    </w:p>
    <w:p w14:paraId="29DD818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采购组织机构：指采购人和受采购人委托的采购代理机构； </w:t>
      </w:r>
    </w:p>
    <w:p w14:paraId="24F6DAD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供应商：是指参加本政府采购项目磋商、签订合同、实施的单位，按阶段不同，分别理解为潜在供应商、磋商供应商、成交候选供应商、成交供应商、乙方； </w:t>
      </w:r>
    </w:p>
    <w:p w14:paraId="3BD5239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竞争性磋商采购文件：指向供应商发出的采购需求文件，本文件中采购文件与竞争性磋商采购文件意思相同； </w:t>
      </w:r>
    </w:p>
    <w:p w14:paraId="2483CBE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响应文件：指供应商针对采购文件作出响应的文件，包括电子磋商响应文件、备份电子磋商响应文件、成交后提供的纸质磋商响应文件，所有磋商响应文件内容应保持一致。本文件中响应文件与磋商响应文件意思相同； </w:t>
      </w:r>
    </w:p>
    <w:p w14:paraId="783855F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磋商代表：是指参加本项目采购活动的供应商法定代表人或法定代表人授权代表； </w:t>
      </w:r>
    </w:p>
    <w:p w14:paraId="688CDC7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联合体：是指两个以上单位组成联合体，以一个供应商的身份参加磋商； </w:t>
      </w:r>
    </w:p>
    <w:p w14:paraId="502BD95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甲方（发包人）：是指合同签订的一方，一般与采购人相同； </w:t>
      </w:r>
    </w:p>
    <w:p w14:paraId="2F555C6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乙方（承包人）：是指合同签订的另一方，与成交供应商相同； </w:t>
      </w:r>
    </w:p>
    <w:p w14:paraId="27D531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同级政府采购监督管理部门：仙居县财政局政府采购监管处； </w:t>
      </w:r>
    </w:p>
    <w:p w14:paraId="6458829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中小企业（含中型、小型、微型）：符合中小企业划分标准（工信部联企业[2011]300号）的企业； </w:t>
      </w:r>
    </w:p>
    <w:p w14:paraId="65E0D0E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2E6ABC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残疾人福利性单位：符合《财政部、民政部、中国残疾人联合会关于促进残疾人就业政府采购政策的通知》（财库〔2017〕141号）的规定的单位； </w:t>
      </w:r>
    </w:p>
    <w:p w14:paraId="76954E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产品：是指供应商按采购文件规定，须向采购单位提供的一切设备、保险、税金、备品备件、工具、手册及其它有关技术资料和材料。</w:t>
      </w:r>
    </w:p>
    <w:p w14:paraId="0ADA50F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服务：是指按竞争性磋商采购文件要求的服务。</w:t>
      </w:r>
    </w:p>
    <w:p w14:paraId="0C1F968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项目：是指磋商响应方按采购文件规定向采购人提供的产品和服务。</w:t>
      </w:r>
    </w:p>
    <w:p w14:paraId="77CBE75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55" w:name="_Toc482195566"/>
      <w:bookmarkStart w:id="56" w:name="_Toc479667070"/>
      <w:bookmarkStart w:id="57" w:name="_Toc479667348"/>
      <w:r>
        <w:rPr>
          <w:rFonts w:hint="eastAsia" w:ascii="宋体" w:hAnsi="宋体" w:cs="宋体"/>
          <w:szCs w:val="21"/>
        </w:rPr>
        <w:t>书面形式：是指合同书、信件和数据电文(包括电报、电传、传真、电子数据交换和电子邮件)等可以有形地表现所载内容的形式。</w:t>
      </w:r>
    </w:p>
    <w:p w14:paraId="69CAFF5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商务与技术响应：除采购文件明确以承诺、声明或直观表现形式外，供应商应当尽可能提供投标产品的检测报告、产品使用说明书、用户手册、技术指标其他书面阐述等材料予以佐证。若佐证材料有矛盾或者前后不一致，优先按照检测报告、产品使用说明书、用户手册、技术指标其他书面阐述的先后解释或佐证材料为准。</w:t>
      </w:r>
    </w:p>
    <w:p w14:paraId="51C07B29">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费用</w:t>
      </w:r>
      <w:bookmarkEnd w:id="55"/>
      <w:bookmarkEnd w:id="56"/>
      <w:bookmarkEnd w:id="57"/>
    </w:p>
    <w:p w14:paraId="6A6C324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无论采购活动中的做法和结果如何，供应商自行承担采购活动中所发生的全部费用（采购文件有其他规定的除外）。</w:t>
      </w:r>
    </w:p>
    <w:p w14:paraId="379834B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58" w:name="_Toc482195567"/>
      <w:bookmarkStart w:id="59" w:name="_Toc479667071"/>
      <w:bookmarkStart w:id="60" w:name="_Toc479667349"/>
      <w:r>
        <w:rPr>
          <w:rFonts w:hint="eastAsia" w:ascii="宋体" w:hAnsi="宋体" w:cs="宋体"/>
          <w:b/>
          <w:szCs w:val="21"/>
        </w:rPr>
        <w:t>联合体</w:t>
      </w:r>
      <w:bookmarkEnd w:id="58"/>
      <w:bookmarkEnd w:id="59"/>
      <w:bookmarkEnd w:id="60"/>
    </w:p>
    <w:p w14:paraId="00C4134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本项目不接受联合体。</w:t>
      </w:r>
    </w:p>
    <w:p w14:paraId="6016D7C6">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61" w:name="_Toc479667350"/>
      <w:bookmarkStart w:id="62" w:name="_Toc482195568"/>
      <w:bookmarkStart w:id="63" w:name="_Toc479667072"/>
      <w:r>
        <w:rPr>
          <w:rFonts w:hint="eastAsia" w:ascii="宋体" w:hAnsi="宋体" w:cs="宋体"/>
          <w:b/>
          <w:szCs w:val="21"/>
        </w:rPr>
        <w:t>保密</w:t>
      </w:r>
    </w:p>
    <w:p w14:paraId="09CC0B9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参与采购活动的各方应对采购文件和磋商响应文件中的商业和技术等秘密保密，违者应对此造成的后果承担法律责任。 </w:t>
      </w:r>
    </w:p>
    <w:p w14:paraId="765574B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语言文字 </w:t>
      </w:r>
    </w:p>
    <w:p w14:paraId="59A5CA95">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除专用术语外，与采购有关的语言使用中文。专用术语应附有中文注释。 </w:t>
      </w:r>
    </w:p>
    <w:p w14:paraId="6C8A7A7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计量单位 </w:t>
      </w:r>
    </w:p>
    <w:p w14:paraId="5E1D29F1">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所有计量均采用中华人民共和国法定计量单位。 </w:t>
      </w:r>
    </w:p>
    <w:p w14:paraId="0C94AD6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踏勘现场 </w:t>
      </w:r>
    </w:p>
    <w:p w14:paraId="4AEC427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若“磋商须知前附表”规定组织踏勘现场的，采购人按磋商须知前附表规定的时间、地点组织供应商踏勘项目现场。 </w:t>
      </w:r>
    </w:p>
    <w:p w14:paraId="52C695F1">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供应商踏勘现场发生的费用自理。 </w:t>
      </w:r>
    </w:p>
    <w:p w14:paraId="02BBD1C5">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除采购人的原因外，供应商自行负责在踏勘现场中所发生的人员伤亡和财产损失。 </w:t>
      </w:r>
    </w:p>
    <w:p w14:paraId="14FA64EE">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采购人在踏勘现场中介绍的工程场地和相关的周边环境情况，供供应商在编制磋商响应文件时参考，采购人不对供应商据此作出的判断和决策负责。 </w:t>
      </w:r>
    </w:p>
    <w:p w14:paraId="4CCDE8DF">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答疑会 </w:t>
      </w:r>
    </w:p>
    <w:p w14:paraId="65619CCB">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若“磋商须知前附表”规定召开答疑会的，采购人按磋商须知前附表规定的时间和地点召开答疑会，澄清供应商提出的问题。 </w:t>
      </w:r>
    </w:p>
    <w:p w14:paraId="66A9FB90">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供应商应在答疑会时间的前一天，以书面形式将提出的问题送达采购人，以便采购人在会议期间澄清。</w:t>
      </w:r>
    </w:p>
    <w:p w14:paraId="38FF5C4D">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答疑会后，采购人按本章20.3款规定对供应商所提问题进行澄清答复。 </w:t>
      </w:r>
    </w:p>
    <w:p w14:paraId="4989D24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分包</w:t>
      </w:r>
      <w:bookmarkEnd w:id="61"/>
      <w:bookmarkEnd w:id="62"/>
      <w:bookmarkEnd w:id="63"/>
    </w:p>
    <w:p w14:paraId="31C83CAD">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分包要求详见“磋商须知前附表”。</w:t>
      </w:r>
    </w:p>
    <w:p w14:paraId="24883B8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偏离</w:t>
      </w:r>
    </w:p>
    <w:p w14:paraId="78BF984F">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带“▲”条款为实质性响应条款，必须响应。</w:t>
      </w:r>
    </w:p>
    <w:p w14:paraId="41807FB8">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64" w:name="_Toc482195569"/>
      <w:bookmarkStart w:id="65" w:name="_Toc479667073"/>
      <w:bookmarkStart w:id="66" w:name="_Toc479667351"/>
      <w:r>
        <w:rPr>
          <w:rFonts w:hint="eastAsia" w:ascii="宋体" w:hAnsi="宋体" w:cs="宋体"/>
          <w:b/>
          <w:szCs w:val="21"/>
        </w:rPr>
        <w:t>特别说明：</w:t>
      </w:r>
      <w:bookmarkEnd w:id="64"/>
      <w:bookmarkEnd w:id="65"/>
      <w:bookmarkEnd w:id="66"/>
    </w:p>
    <w:p w14:paraId="28E45C8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使用综合评分法的采购项目，提供相同品牌产品且通过资格审查、符合性审查的不同供应商参加同一合同项下磋商的，按一家供应商计算，评审后得分最高的同品牌供应商获得中标人推荐资格；评审得分相同的，按照采购文件“</w:t>
      </w:r>
      <w:r>
        <w:fldChar w:fldCharType="begin"/>
      </w:r>
      <w:r>
        <w:instrText xml:space="preserve"> HYPERLINK \l "_三、确定中标候选人" </w:instrText>
      </w:r>
      <w:r>
        <w:fldChar w:fldCharType="separate"/>
      </w:r>
      <w:r>
        <w:rPr>
          <w:rFonts w:hint="eastAsia" w:ascii="宋体" w:hAnsi="宋体" w:cs="宋体"/>
          <w:szCs w:val="21"/>
        </w:rPr>
        <w:t>第四章磋商评审办法</w:t>
      </w:r>
      <w:r>
        <w:rPr>
          <w:rFonts w:hint="eastAsia" w:ascii="宋体" w:hAnsi="宋体" w:cs="宋体"/>
          <w:szCs w:val="21"/>
        </w:rPr>
        <w:fldChar w:fldCharType="end"/>
      </w:r>
      <w:r>
        <w:rPr>
          <w:rFonts w:hint="eastAsia" w:ascii="宋体" w:hAnsi="宋体" w:cs="宋体"/>
          <w:szCs w:val="21"/>
        </w:rPr>
        <w:t>”中有关条款规定的方式推荐中标候选人，其他同品牌供应商不作为中标候选人。</w:t>
      </w:r>
    </w:p>
    <w:p w14:paraId="60C6657E">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非单一产品采购项目，多家供应商提供的核心产品品牌相同的，按前款规定处理。核心产品由采购人在采购文件采购需求中指定。</w:t>
      </w:r>
    </w:p>
    <w:p w14:paraId="16A5C87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供应商母公司（总机构）或者同一母公司下属的其他子公司（同一总机构下属的其他分支机构）的人员、业绩、荣誉、知识产权、项目案例等不作为供应商的资信文件。</w:t>
      </w:r>
    </w:p>
    <w:p w14:paraId="4217F15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u w:val="single"/>
        </w:rPr>
        <w:t>供应商磋商响应的产品或服务技术指标，除采购文件明确以承诺、声明或直观表现形式外，供应商应当尽可能提供投标产品的检测报告、产品使用说明书、用户手册、技术指标其他书面阐述等材料予以佐证。若佐证材料有矛盾或者前后不一致，优先按照检测报告、产品使用说明书、用户手册、技术指标其他书面阐述的先后解释或佐证材料为准。</w:t>
      </w:r>
    </w:p>
    <w:p w14:paraId="46511011">
      <w:pPr>
        <w:pStyle w:val="42"/>
        <w:tabs>
          <w:tab w:val="left" w:pos="0"/>
          <w:tab w:val="left" w:pos="420"/>
        </w:tabs>
        <w:autoSpaceDE w:val="0"/>
        <w:autoSpaceDN w:val="0"/>
        <w:spacing w:line="360" w:lineRule="auto"/>
        <w:ind w:firstLine="422"/>
        <w:textAlignment w:val="bottom"/>
        <w:outlineLvl w:val="2"/>
        <w:rPr>
          <w:rFonts w:ascii="宋体" w:hAnsi="宋体" w:cs="宋体"/>
          <w:szCs w:val="21"/>
        </w:rPr>
      </w:pPr>
      <w:r>
        <w:rPr>
          <w:rFonts w:hint="eastAsia" w:ascii="宋体" w:hAnsi="宋体" w:cs="宋体"/>
          <w:b/>
          <w:szCs w:val="21"/>
        </w:rPr>
        <w:t>磋商供应商对响应产品或服务的技术参数真实性承担法律责任。</w:t>
      </w:r>
      <w:r>
        <w:rPr>
          <w:rFonts w:hint="eastAsia" w:ascii="宋体" w:hAnsi="宋体" w:cs="宋体"/>
          <w:szCs w:val="21"/>
        </w:rPr>
        <w:t>项目磋商结束后、质疑期限内，如有质疑供应商认为成交供应商响应产品或服务、磋商响应文件技术参数与采购需求存在重大偏离、错误、甚至造假的情况，应提供具体有效的证明材料。</w:t>
      </w:r>
    </w:p>
    <w:p w14:paraId="350DD67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在采购活动中提供任何虚假材料,其磋商无效，并报监管部门查处。成交后发现的,成交人须依照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E7DC50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67" w:name="_Toc479667352"/>
      <w:bookmarkStart w:id="68" w:name="_Toc482195570"/>
      <w:bookmarkStart w:id="69" w:name="_Toc479667074"/>
      <w:r>
        <w:rPr>
          <w:rFonts w:hint="eastAsia" w:ascii="宋体" w:hAnsi="宋体" w:cs="宋体"/>
          <w:szCs w:val="21"/>
        </w:rPr>
        <w:t>根据《政府采购竞争性磋商采购方式管理暂行办法》财库〔2014〕214号第二十一条规定：磋商文件能够详细列明采购标的的技术、服务要求的，磋商结束后，磋商小组应当要求所有实质性响应的供应商在规定时间内提交最后报价，提交最后报价的供应商不得少于3家。</w:t>
      </w:r>
    </w:p>
    <w:p w14:paraId="0A2E55E1">
      <w:pPr>
        <w:pStyle w:val="42"/>
        <w:autoSpaceDE w:val="0"/>
        <w:autoSpaceDN w:val="0"/>
        <w:spacing w:line="360" w:lineRule="auto"/>
        <w:ind w:firstLine="422"/>
        <w:textAlignment w:val="bottom"/>
        <w:outlineLvl w:val="2"/>
        <w:rPr>
          <w:rFonts w:ascii="宋体" w:hAnsi="宋体" w:cs="宋体"/>
          <w:b/>
          <w:bCs/>
          <w:u w:val="single"/>
        </w:rPr>
      </w:pPr>
      <w:r>
        <w:rPr>
          <w:rFonts w:hint="eastAsia" w:ascii="宋体" w:hAnsi="宋体" w:cs="宋体"/>
          <w:b/>
          <w:bCs/>
          <w:szCs w:val="21"/>
          <w:u w:val="single"/>
        </w:rPr>
        <w:t>若符合以下情形之一在最终报价可以为2家（但</w:t>
      </w:r>
      <w:r>
        <w:rPr>
          <w:rFonts w:hint="eastAsia" w:ascii="宋体" w:hAnsi="宋体" w:cs="宋体"/>
          <w:b/>
          <w:bCs/>
          <w:u w:val="single"/>
        </w:rPr>
        <w:t>在进入磋商前符合资格条件并递交了响应文件的供应商不得少于3家，否则采购活动不能继续）：</w:t>
      </w:r>
    </w:p>
    <w:p w14:paraId="568B32C7">
      <w:pPr>
        <w:pStyle w:val="42"/>
        <w:numPr>
          <w:ilvl w:val="0"/>
          <w:numId w:val="5"/>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根据《政府采购竞争性磋商采购方式管理暂行办法》财库〔2014〕214号第二十一条规定的因市场竞争不充分的科研项目，以及需要扶持的科技成果转化项目，提交最后报价的供应商可以为2家；</w:t>
      </w:r>
    </w:p>
    <w:p w14:paraId="0A4F3370">
      <w:pPr>
        <w:pStyle w:val="42"/>
        <w:numPr>
          <w:ilvl w:val="0"/>
          <w:numId w:val="5"/>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根据《财政部关于政府采购竞争性磋商采购方式管理暂行办法有关问题的补充通知》（财库〔2015〕124号）规定，采用竞争性磋商采购方式采购的政府购买服务项目（含政府和社会资本合作项目），在采购过程中符合要求的供应商（社会资本）只有2家的，竞争性磋商采购活动可以继续进行。</w:t>
      </w:r>
    </w:p>
    <w:p w14:paraId="5BF8479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磋商供应商不得相互串通磋商报价，不得妨碍其他供应商的公平竞争，不得损害采购人或其他供应商的合法权益，磋商供应商不得以向采购人、磋商小组成员行贿或者采取其他不正当手段谋取中标。</w:t>
      </w:r>
    </w:p>
    <w:p w14:paraId="546F90A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▲为采购项目提供整体设计、规范编制或者项目管理、监理、检测等服务的供应商，不得再参加该采购项目的其他采购活动。否则所有相关供应商的磋商响应文件均无效。</w:t>
      </w:r>
    </w:p>
    <w:p w14:paraId="1FC7360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▲单位负责人为同一人或者存在直接控股、管理关系的不同供应商，不得参加同一合同项下的政府采购活动。否则所有相关供应商的磋商响应文件均无效。</w:t>
      </w:r>
    </w:p>
    <w:p w14:paraId="1615F2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▲供应商不得存在下列情形之一： </w:t>
      </w:r>
    </w:p>
    <w:p w14:paraId="49732BC4">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（1）为采购人不具有独立法人资格的附属机构（单位）； </w:t>
      </w:r>
    </w:p>
    <w:p w14:paraId="237DE8DE">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（2）为本项目前期准备提供设计或咨询服务的，但设计施工总承包的除外； </w:t>
      </w:r>
    </w:p>
    <w:p w14:paraId="5CC33BD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（3）为本项目的监理人； </w:t>
      </w:r>
    </w:p>
    <w:p w14:paraId="4A73B39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（4）为本项目的代建人； </w:t>
      </w:r>
    </w:p>
    <w:p w14:paraId="395AB36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（5）为本项目提供采购代理服务的； </w:t>
      </w:r>
    </w:p>
    <w:p w14:paraId="2D195692">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（6）与本项目的监理人或代建人或采购代理机构同为一个法定代表人的； </w:t>
      </w:r>
    </w:p>
    <w:p w14:paraId="445D1CF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（7）与本项目的监理人或代建人或采购代理机构相互控股或参股的； </w:t>
      </w:r>
    </w:p>
    <w:p w14:paraId="11AF49B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（8）与本项目的监理人或代建人或采购代理机构相互任职或工作的； </w:t>
      </w:r>
    </w:p>
    <w:p w14:paraId="73EF6E9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（9）被责令停业的； </w:t>
      </w:r>
    </w:p>
    <w:p w14:paraId="5F756F0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（10）被暂停或取消投标资格的； </w:t>
      </w:r>
    </w:p>
    <w:p w14:paraId="515C1A6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（11）财产被接管或冻结的； </w:t>
      </w:r>
    </w:p>
    <w:p w14:paraId="70EB3FB7">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（12）在最近三年内有骗取中标（成交）或严重违约或重大工程质量问题的。</w:t>
      </w:r>
    </w:p>
    <w:p w14:paraId="12573D93">
      <w:pPr>
        <w:pStyle w:val="42"/>
        <w:numPr>
          <w:ilvl w:val="1"/>
          <w:numId w:val="4"/>
        </w:numPr>
        <w:tabs>
          <w:tab w:val="left" w:pos="420"/>
        </w:tabs>
        <w:autoSpaceDE w:val="0"/>
        <w:autoSpaceDN w:val="0"/>
        <w:spacing w:line="360" w:lineRule="auto"/>
        <w:ind w:firstLine="420"/>
        <w:textAlignment w:val="bottom"/>
        <w:outlineLvl w:val="2"/>
        <w:rPr>
          <w:rFonts w:ascii="宋体" w:hAnsi="宋体" w:cs="宋体"/>
        </w:rPr>
      </w:pPr>
      <w:r>
        <w:rPr>
          <w:rFonts w:hint="eastAsia" w:ascii="宋体" w:hAnsi="宋体" w:cs="宋体"/>
        </w:rPr>
        <w:t>采购文件中所涉及的产品品牌或型号均为建议性要求或为档次选择要求或为代替部分技术指标描述，供应商可以选择其他品牌型号的产品参加响应但产品须具有相当于或优于采购文件要求的指标、性能、档次。</w:t>
      </w:r>
    </w:p>
    <w:p w14:paraId="2B1A6231">
      <w:pPr>
        <w:pStyle w:val="42"/>
        <w:numPr>
          <w:ilvl w:val="1"/>
          <w:numId w:val="4"/>
        </w:numPr>
        <w:tabs>
          <w:tab w:val="left" w:pos="420"/>
        </w:tabs>
        <w:autoSpaceDE w:val="0"/>
        <w:autoSpaceDN w:val="0"/>
        <w:spacing w:line="360" w:lineRule="auto"/>
        <w:ind w:firstLine="420"/>
        <w:textAlignment w:val="bottom"/>
        <w:outlineLvl w:val="2"/>
        <w:rPr>
          <w:rFonts w:ascii="宋体" w:hAnsi="宋体" w:cs="宋体"/>
        </w:rPr>
      </w:pPr>
      <w:r>
        <w:rPr>
          <w:rFonts w:hint="eastAsia" w:ascii="宋体" w:hAnsi="宋体" w:cs="宋体"/>
          <w:szCs w:val="21"/>
        </w:rPr>
        <w:t>投标人应仔细阅读采购文件的所有内容，按照采购文件的要求提交响应文件，并对所提供的全部资料的真实性承担法律责任。</w:t>
      </w:r>
    </w:p>
    <w:p w14:paraId="6D83B38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质疑和投诉</w:t>
      </w:r>
      <w:bookmarkEnd w:id="67"/>
      <w:bookmarkEnd w:id="68"/>
      <w:bookmarkEnd w:id="69"/>
    </w:p>
    <w:p w14:paraId="3596446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认为采购文件、采购过程和中标结果使自己的权益受到损害的，可以在知道或者应知其权益受到损害之日起七个工作日内，供应商应一次性提出针对同一采购程序环节向采购代理机构提出质疑，逾期提出不予受理以书面形式向采购代理机构提出质疑（质疑与投诉书应按照浙江省政府采购下载专区中模板格式要求填写，否则不予受理。</w:t>
      </w:r>
    </w:p>
    <w:p w14:paraId="7C8B5684">
      <w:pPr>
        <w:pStyle w:val="42"/>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供应商应知其权益受到损害之日，是指：</w:t>
      </w:r>
    </w:p>
    <w:p w14:paraId="1CC8108E">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1）对可以质疑的采购文件提出质疑的，为收到采购文件之日（获取截止日之后收到采购文件的，以获取截止日为准）或者采购文件公告期限届满之日（公告发布后的第6个工作日）起7个工作日内。收到采购文件之日起至响应截止时间止不足七个工作日的，应当在响应文件递交截止时间前提出。</w:t>
      </w:r>
    </w:p>
    <w:p w14:paraId="35F2C8FA">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（2）对采购过程提出质疑的，为各采购程序环节结束之日。</w:t>
      </w:r>
    </w:p>
    <w:p w14:paraId="4038B937">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（3）对采购结果提出质疑的，为成交结果公告期限届满之日。</w:t>
      </w:r>
    </w:p>
    <w:p w14:paraId="6947975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质疑书须包括以下内容： </w:t>
      </w:r>
    </w:p>
    <w:p w14:paraId="50E3BDC1">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（1）供应商的姓名或者名称、地址、邮编、联系人及联系电话； </w:t>
      </w:r>
    </w:p>
    <w:p w14:paraId="24A4DCA3">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（2）质疑项目的名称、编号； </w:t>
      </w:r>
    </w:p>
    <w:p w14:paraId="4738DFB0">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（3）具体、明确的质疑事项和与质疑事项相关的请求；</w:t>
      </w:r>
    </w:p>
    <w:p w14:paraId="5918B1D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（4）事实依据； </w:t>
      </w:r>
    </w:p>
    <w:p w14:paraId="453DDFFE">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（5）必要的法律依据； </w:t>
      </w:r>
    </w:p>
    <w:p w14:paraId="5E54E634">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（6）提出质疑的日期。 </w:t>
      </w:r>
    </w:p>
    <w:p w14:paraId="4988717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可直接提交、传真或邮寄方式提交质疑书（一式三份），以其他方式提出的质疑，采购代理机构可不予接受、答复。其中，以传真方式送达质疑书的，应及时将质疑书原件送达采购代理机构，采购代理机构以实际收到原件之日作为收到质疑的日期（在质疑期限届满前质疑书已经传真成功的，质疑不视为过期）；邮寄方式送达质疑书的，以采购代理机构实际收到邮件之日作为收到质疑的日期。</w:t>
      </w:r>
    </w:p>
    <w:p w14:paraId="526F627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如联合体参与采购活动，质疑应由组成联合体的所有供应商共同提出。 </w:t>
      </w:r>
    </w:p>
    <w:p w14:paraId="7FBD89D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代理机构在收到质疑供应商的书面质疑后7个工作日内作出书面答复（涉及项目采购需求内容的由采购人答复），质疑人在收到答复后应于1日内，以书面或传真形式（签署意见并加盖公章）向采购代理机构回复予以确认。过期未回复的，视为默认接受。</w:t>
      </w:r>
    </w:p>
    <w:p w14:paraId="62F8543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质疑供应商捏造事实、提供虚假材料进行质疑的，采购代理机构报告同级财政部门。情况属实的，列入不良行为记录并在指定的媒体上公告。</w:t>
      </w:r>
    </w:p>
    <w:p w14:paraId="2AC3B7C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质疑供应商对采购人、采购代理机构的答复不满意或者采购人、采购代理机构未在规定的时间内作出答复的，可以在答复期满后十五个工作日内向仙居县财政局投诉。</w:t>
      </w:r>
    </w:p>
    <w:p w14:paraId="15360D1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投诉</w:t>
      </w:r>
    </w:p>
    <w:p w14:paraId="737CAF9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对采购人、采购代理机构的答复不满意或者采购人、采购代理机构未在规定的时间内作出答复的，可以在答复期满后十五个工作日内根据《政府采购质疑和投诉办法》第六条规定的向仙居县财政部门提起投诉。</w:t>
      </w:r>
    </w:p>
    <w:p w14:paraId="3FD06C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供应商投诉的事项不得超出已质疑事项的范围，但基于质疑答复内容提出的投诉事项除外。</w:t>
      </w:r>
    </w:p>
    <w:p w14:paraId="7E10DAD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供应商提起投诉应当符合下列条件：</w:t>
      </w:r>
    </w:p>
    <w:p w14:paraId="492AFA82">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（1）提起投诉前已依法进行质疑；</w:t>
      </w:r>
    </w:p>
    <w:p w14:paraId="03E124D7">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（2）投诉书内容符合本办法的规定；</w:t>
      </w:r>
    </w:p>
    <w:p w14:paraId="4BD24F33">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（3）在投诉有效期限内提起投诉；</w:t>
      </w:r>
    </w:p>
    <w:p w14:paraId="13242AC8">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（4）同一投诉事项未经财政部门投诉处理；</w:t>
      </w:r>
    </w:p>
    <w:p w14:paraId="6531A933">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（5）财政部规定的其他条件。</w:t>
      </w:r>
    </w:p>
    <w:p w14:paraId="086B03F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投诉人在全国范围12个月内三次以上投诉查无实据的，由财政部门列入不良行为记录名单。</w:t>
      </w:r>
    </w:p>
    <w:p w14:paraId="0F6F22A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投诉人有下列行为之一的，属于虚假、恶意投诉，由财政部门列入不良行为记录名单，禁止其1至3年内参加政府采购活动：</w:t>
      </w:r>
    </w:p>
    <w:p w14:paraId="409EF46A">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（1）捏造事实；</w:t>
      </w:r>
    </w:p>
    <w:p w14:paraId="65837B6D">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（2）提供虚假材料；</w:t>
      </w:r>
    </w:p>
    <w:p w14:paraId="045353E8">
      <w:pPr>
        <w:pStyle w:val="42"/>
        <w:autoSpaceDE w:val="0"/>
        <w:autoSpaceDN w:val="0"/>
        <w:spacing w:line="360" w:lineRule="auto"/>
        <w:textAlignment w:val="bottom"/>
        <w:outlineLvl w:val="2"/>
        <w:rPr>
          <w:rFonts w:ascii="宋体" w:hAnsi="宋体" w:cs="宋体"/>
          <w:b/>
          <w:szCs w:val="21"/>
        </w:rPr>
      </w:pPr>
      <w:r>
        <w:rPr>
          <w:rFonts w:hint="eastAsia" w:ascii="宋体" w:hAnsi="宋体" w:cs="宋体"/>
          <w:bCs/>
          <w:szCs w:val="21"/>
        </w:rPr>
        <w:t>（3）以非法手段取得证明材料。证据来源的合法性存在明显疑问，投诉人无法证明其取得方式合法的，视为以非法手段取得证明材料。</w:t>
      </w:r>
    </w:p>
    <w:p w14:paraId="722A8734">
      <w:pPr>
        <w:pStyle w:val="4"/>
        <w:spacing w:before="156" w:beforeLines="50" w:after="156" w:afterLines="50" w:line="360" w:lineRule="auto"/>
        <w:jc w:val="center"/>
        <w:rPr>
          <w:rFonts w:ascii="宋体" w:hAnsi="宋体" w:eastAsia="宋体" w:cs="宋体"/>
          <w:sz w:val="24"/>
          <w:szCs w:val="24"/>
        </w:rPr>
      </w:pPr>
      <w:bookmarkStart w:id="70" w:name="_Toc508888787"/>
      <w:bookmarkStart w:id="71" w:name="_Toc528927415"/>
      <w:bookmarkStart w:id="72" w:name="_Toc28579"/>
      <w:r>
        <w:rPr>
          <w:rFonts w:hint="eastAsia" w:ascii="宋体" w:hAnsi="宋体" w:eastAsia="宋体" w:cs="宋体"/>
          <w:sz w:val="24"/>
          <w:szCs w:val="24"/>
        </w:rPr>
        <w:t>二、</w:t>
      </w:r>
      <w:bookmarkEnd w:id="70"/>
      <w:bookmarkEnd w:id="71"/>
      <w:r>
        <w:rPr>
          <w:rFonts w:hint="eastAsia" w:ascii="宋体" w:hAnsi="宋体" w:eastAsia="宋体" w:cs="宋体"/>
          <w:sz w:val="24"/>
          <w:szCs w:val="24"/>
        </w:rPr>
        <w:t>采购文件</w:t>
      </w:r>
      <w:bookmarkEnd w:id="72"/>
    </w:p>
    <w:p w14:paraId="4F30AE9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本采购文件由以下部分·组成：</w:t>
      </w:r>
    </w:p>
    <w:p w14:paraId="2D7AD80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本采购文件由采购文件总目录所列内容组成。包含本项目采购文件的澄清、答复、修改、补充的内容。</w:t>
      </w:r>
    </w:p>
    <w:p w14:paraId="4F123B2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采购文件的解释权 </w:t>
      </w:r>
    </w:p>
    <w:p w14:paraId="70A8359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采购文件的解释权归采购代理机构与采购人所有。</w:t>
      </w:r>
    </w:p>
    <w:p w14:paraId="0467DBB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供应商的风险</w:t>
      </w:r>
    </w:p>
    <w:p w14:paraId="188145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磋商响应方没有按照采购文件要求提供全部资料，或者磋商响应方没有对采购文件在各方面作出实质性响应是磋商响应方的风险，并可能导致其竞标被拒绝。</w:t>
      </w:r>
    </w:p>
    <w:p w14:paraId="7FE86AB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采购文件的澄清 </w:t>
      </w:r>
    </w:p>
    <w:p w14:paraId="464CBFB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对采购文件如有疑问要求澄清，供应商需将书面资料（加盖单位公章）传真或电子邮件或送达至采购代理机构，同时将电子文件发至“磋商须知前附表”注明的邮箱（电子邮件与书面文件有不一致的，以书面文件为准），并与采购代理机构进行确认。 </w:t>
      </w:r>
    </w:p>
    <w:p w14:paraId="5B95DFB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供应商要求澄清的资料应加盖单位公章、写明日期。 </w:t>
      </w:r>
    </w:p>
    <w:p w14:paraId="1734254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如有必要，采购代理机构和采购人对供应商所有要求澄清的问题都予以解答，澄清答复的文件为补充文件，作为采购文件的组成部分，补充文件将以网上公告等形式告知所有获取采购文件的供应商，补充文件对供应商均有约束力。 </w:t>
      </w:r>
    </w:p>
    <w:p w14:paraId="78D4142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澄清的内容影响磋商响应文件编制的，采购代理机构将顺延磋商响应文件提交截止时间，使之满足政府采购的相关规定。 </w:t>
      </w:r>
    </w:p>
    <w:p w14:paraId="7040BF6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供应商在收到补充文件后，应在24小时内以书面形式向采购代理机构确认已收到该补充文件。 </w:t>
      </w:r>
    </w:p>
    <w:p w14:paraId="39F71FC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供应商未对采购文件提出疑问的，采购代理机构将视其为无异议。 </w:t>
      </w:r>
    </w:p>
    <w:p w14:paraId="3854F96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当采购文件与补充文件就同一内容的表述不一致时，以最后发出的书面文件为准。 </w:t>
      </w:r>
    </w:p>
    <w:p w14:paraId="068004A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采购文件的修改 </w:t>
      </w:r>
    </w:p>
    <w:p w14:paraId="2C6A0CB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在磋商响应文件提交截止时间前，由于各种原因采购人可能以补充文件的形式修改完善采购文件。</w:t>
      </w:r>
    </w:p>
    <w:p w14:paraId="495BEE1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补充文件作为采购文件组成部分，补充文件将以网上公告等形式告知所有获取采购文件的供应商，补充文件对供应商具有约束力。 </w:t>
      </w:r>
    </w:p>
    <w:p w14:paraId="47D1B9B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修改的内容影响磋商响应文件编制的，采购代理机构将顺延磋商响应文件提交截止时间，使之满足政府采购的相关规定。 </w:t>
      </w:r>
    </w:p>
    <w:p w14:paraId="321FD5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供应商在收到补充文件后，应在24小时内以书面形式向采购代理机构确认已收到该补充文件。 </w:t>
      </w:r>
    </w:p>
    <w:p w14:paraId="276579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收到补充文件后，对补充文件如有疑问要求澄清，应在24小时内将书面资料（加盖单位公章）传真或电子邮件或送达至采购代理机构，同时将电子文件发至磋商须知前附表注明的邮箱（电子邮件与书面文件有不一致的，以书面文件为准），并与采购代理机构进行确认。 </w:t>
      </w:r>
    </w:p>
    <w:p w14:paraId="2BDD4CA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供应商要求澄清的资料应加盖单位公章、写明日期。</w:t>
      </w:r>
    </w:p>
    <w:p w14:paraId="4A4B701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对补充文件的澄清答复按20.3款规定。 </w:t>
      </w:r>
    </w:p>
    <w:p w14:paraId="7DDAFBB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当采购文件与补充文件就同一内容的表述不一致时，以最后发出的书面文件为准。 </w:t>
      </w:r>
    </w:p>
    <w:p w14:paraId="0CD3E2F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任何口头答复均不属于采购文件的组成部分。</w:t>
      </w:r>
    </w:p>
    <w:p w14:paraId="7553656F">
      <w:pPr>
        <w:pStyle w:val="4"/>
        <w:spacing w:before="156" w:beforeLines="50" w:after="156" w:afterLines="50" w:line="360" w:lineRule="auto"/>
        <w:jc w:val="center"/>
        <w:rPr>
          <w:rFonts w:ascii="宋体" w:hAnsi="宋体" w:eastAsia="宋体" w:cs="宋体"/>
          <w:sz w:val="24"/>
          <w:szCs w:val="24"/>
        </w:rPr>
      </w:pPr>
      <w:bookmarkStart w:id="73" w:name="_Toc12360"/>
      <w:bookmarkStart w:id="74" w:name="_Toc528927416"/>
      <w:bookmarkStart w:id="75" w:name="_Toc508888788"/>
      <w:r>
        <w:rPr>
          <w:rFonts w:hint="eastAsia" w:ascii="宋体" w:hAnsi="宋体" w:eastAsia="宋体" w:cs="宋体"/>
          <w:sz w:val="24"/>
          <w:szCs w:val="24"/>
        </w:rPr>
        <w:t>三、响应文件</w:t>
      </w:r>
      <w:bookmarkEnd w:id="73"/>
      <w:bookmarkEnd w:id="74"/>
      <w:bookmarkEnd w:id="75"/>
    </w:p>
    <w:p w14:paraId="50770AF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76" w:name="_Toc482195573"/>
      <w:bookmarkStart w:id="77" w:name="_Toc479667077"/>
      <w:bookmarkStart w:id="78" w:name="_Toc479667355"/>
      <w:r>
        <w:rPr>
          <w:rFonts w:hint="eastAsia" w:ascii="宋体" w:hAnsi="宋体" w:cs="宋体"/>
          <w:b/>
          <w:szCs w:val="21"/>
        </w:rPr>
        <w:t>响应文件的编制要求</w:t>
      </w:r>
    </w:p>
    <w:p w14:paraId="7DC35BA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响应文件和与磋商有关的所有文件均应使用汉语。</w:t>
      </w:r>
    </w:p>
    <w:p w14:paraId="3985FAE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除规范另有规定外，响应文件使用的度量衡单位，均采用中华人民共和国法定计量单位。</w:t>
      </w:r>
    </w:p>
    <w:p w14:paraId="3438458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供应商应仔细阅读采购文件中的所有内容，按照采购文件要求详细编制响应文件，并保证响应文件的正确性和真实性，所有文件资料必须是针对本次投标。</w:t>
      </w:r>
    </w:p>
    <w:p w14:paraId="2E7CFEE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u w:val="single"/>
        </w:rPr>
      </w:pPr>
      <w:r>
        <w:rPr>
          <w:rFonts w:hint="eastAsia" w:ascii="宋体" w:hAnsi="宋体" w:cs="宋体"/>
          <w:szCs w:val="21"/>
          <w:u w:val="single"/>
        </w:rPr>
        <w:t>响应文件如有错漏必须修改，修改处须加盖单位公章或校正章。</w:t>
      </w:r>
    </w:p>
    <w:p w14:paraId="78CAB7A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由于字迹模糊或表达不清引起的后果由供应商负责。</w:t>
      </w:r>
    </w:p>
    <w:p w14:paraId="7A42DB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不按采购文件要求提供的响应文件可能导致被拒绝。</w:t>
      </w:r>
    </w:p>
    <w:p w14:paraId="16043FB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响应文件的组成</w:t>
      </w:r>
      <w:bookmarkEnd w:id="76"/>
      <w:bookmarkEnd w:id="77"/>
      <w:bookmarkEnd w:id="78"/>
    </w:p>
    <w:p w14:paraId="4F2A6164">
      <w:pPr>
        <w:pStyle w:val="42"/>
        <w:numPr>
          <w:ilvl w:val="1"/>
          <w:numId w:val="4"/>
        </w:numPr>
        <w:tabs>
          <w:tab w:val="left" w:pos="420"/>
        </w:tabs>
        <w:autoSpaceDE w:val="0"/>
        <w:autoSpaceDN w:val="0"/>
        <w:spacing w:line="360" w:lineRule="auto"/>
        <w:ind w:firstLine="422"/>
        <w:textAlignment w:val="bottom"/>
        <w:outlineLvl w:val="2"/>
        <w:rPr>
          <w:rFonts w:ascii="宋体" w:hAnsi="宋体" w:cs="宋体"/>
          <w:szCs w:val="21"/>
        </w:rPr>
      </w:pPr>
      <w:r>
        <w:rPr>
          <w:rFonts w:hint="eastAsia" w:ascii="宋体" w:hAnsi="宋体" w:cs="宋体"/>
          <w:b/>
          <w:bCs/>
          <w:szCs w:val="21"/>
        </w:rPr>
        <w:t>响应文件由资格证明文件、商务与技术文件、报价文件组成</w:t>
      </w:r>
      <w:r>
        <w:rPr>
          <w:rFonts w:hint="eastAsia" w:ascii="宋体" w:hAnsi="宋体" w:cs="宋体"/>
          <w:szCs w:val="21"/>
          <w:u w:val="single"/>
        </w:rPr>
        <w:t>（如有要求提供资料原件的，原件另行包装，并与响应文件一起递交，投标截止时间后所有原件不予接收。资料原件也可以用复印件与原件相符的公证原件替代）。</w:t>
      </w:r>
    </w:p>
    <w:p w14:paraId="1287C4D1">
      <w:pPr>
        <w:pStyle w:val="42"/>
        <w:numPr>
          <w:ilvl w:val="2"/>
          <w:numId w:val="4"/>
        </w:numPr>
        <w:autoSpaceDE w:val="0"/>
        <w:autoSpaceDN w:val="0"/>
        <w:spacing w:before="156" w:beforeLines="50" w:line="360" w:lineRule="auto"/>
        <w:ind w:left="0" w:firstLine="422"/>
        <w:textAlignment w:val="bottom"/>
        <w:outlineLvl w:val="2"/>
        <w:rPr>
          <w:rFonts w:ascii="宋体" w:hAnsi="宋体" w:cs="宋体"/>
          <w:b/>
          <w:bCs/>
          <w:szCs w:val="21"/>
        </w:rPr>
      </w:pPr>
      <w:r>
        <w:rPr>
          <w:rFonts w:hint="eastAsia" w:ascii="宋体" w:hAnsi="宋体" w:cs="宋体"/>
          <w:b/>
          <w:bCs/>
          <w:szCs w:val="21"/>
        </w:rPr>
        <w:t>▲资格证明文件的组成：</w:t>
      </w:r>
    </w:p>
    <w:p w14:paraId="445F82D3">
      <w:pPr>
        <w:pStyle w:val="43"/>
        <w:widowControl/>
        <w:numPr>
          <w:ilvl w:val="0"/>
          <w:numId w:val="6"/>
        </w:numPr>
        <w:spacing w:line="360" w:lineRule="auto"/>
        <w:ind w:left="0" w:firstLine="420"/>
        <w:rPr>
          <w:rFonts w:ascii="宋体" w:hAnsi="宋体" w:cs="宋体"/>
        </w:rPr>
      </w:pPr>
      <w:r>
        <w:rPr>
          <w:rFonts w:hint="eastAsia" w:ascii="宋体" w:hAnsi="宋体" w:cs="宋体"/>
        </w:rPr>
        <w:t>磋商声明书；（见附件）</w:t>
      </w:r>
    </w:p>
    <w:p w14:paraId="54BB3AC9">
      <w:pPr>
        <w:pStyle w:val="43"/>
        <w:widowControl/>
        <w:numPr>
          <w:ilvl w:val="0"/>
          <w:numId w:val="6"/>
        </w:numPr>
        <w:spacing w:line="360" w:lineRule="auto"/>
        <w:ind w:left="0" w:firstLine="420"/>
        <w:rPr>
          <w:rFonts w:ascii="宋体" w:hAnsi="宋体" w:cs="宋体"/>
        </w:rPr>
      </w:pPr>
      <w:r>
        <w:rPr>
          <w:rFonts w:hint="eastAsia" w:ascii="宋体" w:hAnsi="宋体" w:cs="宋体"/>
        </w:rPr>
        <w:t>法定代表人身份证书或授权委托书（见附件，二选一）；</w:t>
      </w:r>
    </w:p>
    <w:p w14:paraId="621338FF">
      <w:pPr>
        <w:pStyle w:val="43"/>
        <w:widowControl/>
        <w:numPr>
          <w:ilvl w:val="0"/>
          <w:numId w:val="6"/>
        </w:numPr>
        <w:spacing w:line="360" w:lineRule="auto"/>
        <w:ind w:left="0" w:firstLine="420"/>
        <w:rPr>
          <w:rFonts w:ascii="宋体" w:hAnsi="宋体" w:cs="宋体"/>
        </w:rPr>
      </w:pPr>
      <w:r>
        <w:rPr>
          <w:rFonts w:hint="eastAsia" w:ascii="宋体" w:hAnsi="宋体" w:cs="宋体"/>
        </w:rPr>
        <w:t>有效的营业执照（如事业单位参加投标的，则提供有效的《事业单位法人证书》）；</w:t>
      </w:r>
    </w:p>
    <w:p w14:paraId="7D9AE5D3">
      <w:pPr>
        <w:pStyle w:val="43"/>
        <w:widowControl/>
        <w:numPr>
          <w:ilvl w:val="0"/>
          <w:numId w:val="6"/>
        </w:numPr>
        <w:spacing w:line="360" w:lineRule="auto"/>
        <w:ind w:left="0" w:firstLine="420"/>
        <w:rPr>
          <w:rFonts w:ascii="宋体" w:hAnsi="宋体" w:cs="宋体"/>
        </w:rPr>
      </w:pPr>
      <w:r>
        <w:rPr>
          <w:rFonts w:hint="eastAsia" w:ascii="宋体" w:hAnsi="宋体" w:cs="宋体"/>
          <w:lang w:val="zh-CN"/>
        </w:rPr>
        <w:t>依法缴纳税收及社会保障资金的承诺函</w:t>
      </w:r>
      <w:r>
        <w:rPr>
          <w:rFonts w:hint="eastAsia" w:ascii="宋体" w:hAnsi="宋体" w:cs="宋体"/>
        </w:rPr>
        <w:t>；</w:t>
      </w:r>
      <w:r>
        <w:rPr>
          <w:rFonts w:hint="eastAsia" w:ascii="宋体" w:hAnsi="宋体" w:cs="宋体"/>
          <w:lang w:val="zh-CN"/>
        </w:rPr>
        <w:t>（见附件）</w:t>
      </w:r>
    </w:p>
    <w:p w14:paraId="17488BE3">
      <w:pPr>
        <w:pStyle w:val="43"/>
        <w:widowControl/>
        <w:numPr>
          <w:ilvl w:val="0"/>
          <w:numId w:val="6"/>
        </w:numPr>
        <w:spacing w:line="360" w:lineRule="auto"/>
        <w:ind w:left="0" w:firstLine="420"/>
        <w:rPr>
          <w:rFonts w:ascii="宋体" w:hAnsi="宋体" w:cs="宋体"/>
        </w:rPr>
      </w:pPr>
      <w:r>
        <w:rPr>
          <w:rFonts w:hint="eastAsia" w:ascii="宋体" w:hAnsi="宋体" w:cs="宋体"/>
        </w:rPr>
        <w:t>具有良好的商业信誉、</w:t>
      </w:r>
      <w:r>
        <w:rPr>
          <w:rFonts w:hint="eastAsia" w:ascii="宋体" w:hAnsi="宋体" w:cs="宋体"/>
          <w:lang w:val="zh-CN"/>
        </w:rPr>
        <w:t>健全的财务会计制度承诺函</w:t>
      </w:r>
      <w:r>
        <w:rPr>
          <w:rFonts w:hint="eastAsia" w:ascii="宋体" w:hAnsi="宋体" w:cs="宋体"/>
        </w:rPr>
        <w:t>；</w:t>
      </w:r>
      <w:r>
        <w:rPr>
          <w:rFonts w:hint="eastAsia" w:ascii="宋体" w:hAnsi="宋体" w:cs="宋体"/>
          <w:lang w:val="zh-CN"/>
        </w:rPr>
        <w:t>（见附件）</w:t>
      </w:r>
    </w:p>
    <w:p w14:paraId="452EB6AF">
      <w:pPr>
        <w:pStyle w:val="43"/>
        <w:widowControl/>
        <w:numPr>
          <w:ilvl w:val="0"/>
          <w:numId w:val="6"/>
        </w:numPr>
        <w:spacing w:line="360" w:lineRule="auto"/>
        <w:ind w:left="0" w:firstLine="420"/>
        <w:rPr>
          <w:rFonts w:ascii="宋体" w:hAnsi="宋体" w:cs="宋体"/>
        </w:rPr>
      </w:pPr>
      <w:r>
        <w:rPr>
          <w:rFonts w:hint="eastAsia" w:ascii="宋体" w:hAnsi="宋体" w:cs="宋体"/>
          <w:lang w:val="zh-CN"/>
        </w:rPr>
        <w:t>无重大违法记录声明书</w:t>
      </w:r>
      <w:r>
        <w:rPr>
          <w:rFonts w:hint="eastAsia" w:ascii="宋体" w:hAnsi="宋体" w:cs="宋体"/>
        </w:rPr>
        <w:t>；</w:t>
      </w:r>
      <w:r>
        <w:rPr>
          <w:rFonts w:hint="eastAsia" w:ascii="宋体" w:hAnsi="宋体" w:cs="宋体"/>
          <w:lang w:val="zh-CN"/>
        </w:rPr>
        <w:t>（见附件）</w:t>
      </w:r>
    </w:p>
    <w:p w14:paraId="2A9CBD01">
      <w:pPr>
        <w:pStyle w:val="43"/>
        <w:widowControl/>
        <w:numPr>
          <w:ilvl w:val="0"/>
          <w:numId w:val="6"/>
        </w:numPr>
        <w:spacing w:line="360" w:lineRule="auto"/>
        <w:ind w:left="0" w:firstLine="420"/>
        <w:rPr>
          <w:rFonts w:ascii="宋体" w:hAnsi="宋体" w:cs="宋体"/>
        </w:rPr>
      </w:pPr>
      <w:r>
        <w:rPr>
          <w:rFonts w:hint="eastAsia" w:ascii="宋体" w:hAnsi="宋体" w:cs="宋体"/>
        </w:rPr>
        <w:t>具有履行合同所必需设备和专业技术能力的承诺函；</w:t>
      </w:r>
      <w:r>
        <w:rPr>
          <w:rFonts w:hint="eastAsia" w:ascii="宋体" w:hAnsi="宋体" w:cs="宋体"/>
          <w:lang w:val="zh-CN"/>
        </w:rPr>
        <w:t>（见附件）</w:t>
      </w:r>
    </w:p>
    <w:p w14:paraId="74DB898B">
      <w:pPr>
        <w:pStyle w:val="43"/>
        <w:widowControl/>
        <w:numPr>
          <w:ilvl w:val="0"/>
          <w:numId w:val="6"/>
        </w:numPr>
        <w:spacing w:line="360" w:lineRule="auto"/>
        <w:ind w:left="0" w:firstLine="420"/>
        <w:rPr>
          <w:rFonts w:ascii="宋体" w:hAnsi="宋体" w:cs="宋体"/>
        </w:rPr>
      </w:pPr>
      <w:r>
        <w:rPr>
          <w:rFonts w:hint="eastAsia" w:ascii="宋体" w:hAnsi="宋体" w:cs="宋体"/>
          <w:lang w:val="zh-CN"/>
        </w:rPr>
        <w:t>供应商为中小企业/小微企业须提供《中小企业声明函》或供应商为监狱企业的证明文件或残疾人福利性单位须提供《残疾人福利性单位声明函》；（见附件）</w:t>
      </w:r>
    </w:p>
    <w:p w14:paraId="58C132CA">
      <w:pPr>
        <w:pStyle w:val="43"/>
        <w:widowControl/>
        <w:numPr>
          <w:ilvl w:val="0"/>
          <w:numId w:val="6"/>
        </w:numPr>
        <w:spacing w:line="360" w:lineRule="auto"/>
        <w:ind w:left="0" w:firstLine="420"/>
        <w:rPr>
          <w:rFonts w:ascii="宋体" w:hAnsi="宋体" w:cs="宋体"/>
        </w:rPr>
      </w:pPr>
      <w:r>
        <w:rPr>
          <w:rFonts w:hint="eastAsia" w:ascii="宋体" w:hAnsi="宋体" w:cs="宋体"/>
        </w:rPr>
        <w:t>提供招标公告中符合项目特定资格要求的有效资质证书（如有要求的，必须提供）</w:t>
      </w:r>
      <w:r>
        <w:rPr>
          <w:rFonts w:hint="eastAsia" w:ascii="宋体" w:hAnsi="宋体" w:cs="宋体"/>
          <w:lang w:val="zh-CN"/>
        </w:rPr>
        <w:t>，以及需要说明的其他资料</w:t>
      </w:r>
      <w:r>
        <w:rPr>
          <w:rFonts w:hint="eastAsia" w:ascii="宋体" w:hAnsi="宋体" w:cs="宋体"/>
        </w:rPr>
        <w:t>。</w:t>
      </w:r>
    </w:p>
    <w:p w14:paraId="1ABA07ED">
      <w:pPr>
        <w:pStyle w:val="42"/>
        <w:numPr>
          <w:ilvl w:val="2"/>
          <w:numId w:val="4"/>
        </w:numPr>
        <w:autoSpaceDE w:val="0"/>
        <w:autoSpaceDN w:val="0"/>
        <w:spacing w:line="360" w:lineRule="auto"/>
        <w:ind w:left="0" w:firstLine="422"/>
        <w:textAlignment w:val="bottom"/>
        <w:outlineLvl w:val="2"/>
        <w:rPr>
          <w:rFonts w:ascii="宋体" w:hAnsi="宋体" w:cs="宋体"/>
          <w:b/>
          <w:bCs/>
          <w:szCs w:val="21"/>
        </w:rPr>
      </w:pPr>
      <w:r>
        <w:rPr>
          <w:rFonts w:hint="eastAsia" w:ascii="宋体" w:hAnsi="宋体" w:cs="宋体"/>
          <w:b/>
          <w:bCs/>
          <w:szCs w:val="21"/>
        </w:rPr>
        <w:t>商务与技术文件的组成：</w:t>
      </w:r>
    </w:p>
    <w:p w14:paraId="58042F01">
      <w:pPr>
        <w:pStyle w:val="43"/>
        <w:widowControl/>
        <w:numPr>
          <w:ilvl w:val="0"/>
          <w:numId w:val="7"/>
        </w:numPr>
        <w:spacing w:line="360" w:lineRule="auto"/>
        <w:ind w:left="0" w:firstLine="420"/>
        <w:rPr>
          <w:rFonts w:ascii="宋体" w:hAnsi="宋体" w:cs="宋体"/>
        </w:rPr>
      </w:pPr>
      <w:r>
        <w:rPr>
          <w:rFonts w:hint="eastAsia" w:ascii="宋体" w:hAnsi="宋体" w:cs="宋体"/>
        </w:rPr>
        <w:t>目录；</w:t>
      </w:r>
    </w:p>
    <w:p w14:paraId="77BF1AFA">
      <w:pPr>
        <w:pStyle w:val="43"/>
        <w:widowControl/>
        <w:numPr>
          <w:ilvl w:val="0"/>
          <w:numId w:val="7"/>
        </w:numPr>
        <w:spacing w:line="360" w:lineRule="auto"/>
        <w:ind w:left="0" w:firstLine="420"/>
        <w:rPr>
          <w:rFonts w:ascii="宋体" w:hAnsi="宋体" w:cs="宋体"/>
        </w:rPr>
      </w:pPr>
      <w:r>
        <w:rPr>
          <w:rFonts w:hint="eastAsia" w:ascii="宋体" w:hAnsi="宋体" w:cs="宋体"/>
        </w:rPr>
        <w:t>供应商基本情况介绍（内容自拟）</w:t>
      </w:r>
    </w:p>
    <w:p w14:paraId="3C4A7350">
      <w:pPr>
        <w:pStyle w:val="43"/>
        <w:widowControl/>
        <w:numPr>
          <w:ilvl w:val="0"/>
          <w:numId w:val="7"/>
        </w:numPr>
        <w:spacing w:line="360" w:lineRule="auto"/>
        <w:ind w:left="0" w:firstLine="420"/>
        <w:rPr>
          <w:rFonts w:ascii="宋体" w:hAnsi="宋体" w:cs="宋体"/>
        </w:rPr>
      </w:pPr>
      <w:r>
        <w:rPr>
          <w:rFonts w:hint="eastAsia" w:ascii="宋体" w:hAnsi="宋体" w:cs="宋体"/>
        </w:rPr>
        <w:t>商务响应表（见附件）；</w:t>
      </w:r>
    </w:p>
    <w:p w14:paraId="73ACA5AD">
      <w:pPr>
        <w:pStyle w:val="43"/>
        <w:widowControl/>
        <w:numPr>
          <w:ilvl w:val="0"/>
          <w:numId w:val="7"/>
        </w:numPr>
        <w:spacing w:line="360" w:lineRule="auto"/>
        <w:ind w:left="0" w:firstLine="420"/>
        <w:rPr>
          <w:rFonts w:ascii="宋体" w:hAnsi="宋体" w:cs="宋体"/>
        </w:rPr>
      </w:pPr>
      <w:r>
        <w:rPr>
          <w:rFonts w:hint="eastAsia" w:ascii="宋体" w:hAnsi="宋体" w:cs="宋体"/>
        </w:rPr>
        <w:t>类似项目业绩一览表（见附件，附相关佐证材料）；</w:t>
      </w:r>
    </w:p>
    <w:p w14:paraId="5B6ADF5D">
      <w:pPr>
        <w:pStyle w:val="43"/>
        <w:widowControl/>
        <w:numPr>
          <w:ilvl w:val="0"/>
          <w:numId w:val="7"/>
        </w:numPr>
        <w:spacing w:line="360" w:lineRule="auto"/>
        <w:ind w:left="0" w:firstLine="420"/>
        <w:rPr>
          <w:rFonts w:ascii="宋体" w:hAnsi="宋体" w:cs="宋体"/>
        </w:rPr>
      </w:pPr>
      <w:r>
        <w:rPr>
          <w:rFonts w:hint="eastAsia" w:ascii="宋体" w:hAnsi="宋体" w:cs="宋体"/>
        </w:rPr>
        <w:t>项目经理简历表（见附件）；</w:t>
      </w:r>
    </w:p>
    <w:p w14:paraId="57578522">
      <w:pPr>
        <w:pStyle w:val="43"/>
        <w:widowControl/>
        <w:numPr>
          <w:ilvl w:val="0"/>
          <w:numId w:val="7"/>
        </w:numPr>
        <w:spacing w:line="360" w:lineRule="auto"/>
        <w:ind w:left="0" w:firstLine="420"/>
        <w:rPr>
          <w:rFonts w:ascii="宋体" w:hAnsi="宋体" w:cs="宋体"/>
        </w:rPr>
      </w:pPr>
      <w:r>
        <w:rPr>
          <w:rFonts w:hint="eastAsia" w:ascii="宋体" w:hAnsi="宋体" w:cs="宋体"/>
        </w:rPr>
        <w:t>项目实施人员名单一览表（见附件格式，附相关佐证材料）；</w:t>
      </w:r>
    </w:p>
    <w:p w14:paraId="169A5905">
      <w:pPr>
        <w:pStyle w:val="43"/>
        <w:widowControl/>
        <w:numPr>
          <w:ilvl w:val="0"/>
          <w:numId w:val="7"/>
        </w:numPr>
        <w:spacing w:line="360" w:lineRule="auto"/>
        <w:ind w:left="0" w:firstLine="420"/>
        <w:rPr>
          <w:rFonts w:ascii="宋体" w:hAnsi="宋体" w:cs="宋体"/>
        </w:rPr>
      </w:pPr>
      <w:r>
        <w:rPr>
          <w:rFonts w:hint="eastAsia" w:ascii="宋体" w:hAnsi="宋体" w:cs="宋体"/>
        </w:rPr>
        <w:t>按“第四章 磋商评审办法”中的评分标准编制，供应商认为需要提供的其他资料（包括可能影响商务资信技术文件评分的各类证明材料）。</w:t>
      </w:r>
    </w:p>
    <w:p w14:paraId="448E7600">
      <w:pPr>
        <w:pStyle w:val="42"/>
        <w:numPr>
          <w:ilvl w:val="2"/>
          <w:numId w:val="4"/>
        </w:numPr>
        <w:autoSpaceDE w:val="0"/>
        <w:autoSpaceDN w:val="0"/>
        <w:spacing w:line="360" w:lineRule="auto"/>
        <w:ind w:left="0" w:firstLine="422"/>
        <w:textAlignment w:val="bottom"/>
        <w:outlineLvl w:val="2"/>
        <w:rPr>
          <w:rFonts w:ascii="宋体" w:hAnsi="宋体" w:cs="宋体"/>
          <w:b/>
          <w:bCs/>
          <w:szCs w:val="21"/>
        </w:rPr>
      </w:pPr>
      <w:r>
        <w:rPr>
          <w:rFonts w:hint="eastAsia" w:ascii="宋体" w:hAnsi="宋体" w:cs="宋体"/>
          <w:b/>
          <w:bCs/>
          <w:szCs w:val="21"/>
        </w:rPr>
        <w:t>报价文件的组成；</w:t>
      </w:r>
    </w:p>
    <w:p w14:paraId="7BF748E1">
      <w:pPr>
        <w:pStyle w:val="43"/>
        <w:widowControl/>
        <w:numPr>
          <w:ilvl w:val="0"/>
          <w:numId w:val="8"/>
        </w:numPr>
        <w:spacing w:line="360" w:lineRule="auto"/>
        <w:ind w:left="0" w:firstLine="420"/>
        <w:rPr>
          <w:rFonts w:ascii="宋体" w:hAnsi="宋体" w:cs="宋体"/>
        </w:rPr>
      </w:pPr>
      <w:r>
        <w:rPr>
          <w:rFonts w:hint="eastAsia" w:ascii="宋体" w:hAnsi="宋体" w:cs="宋体"/>
        </w:rPr>
        <w:t>目录</w:t>
      </w:r>
    </w:p>
    <w:p w14:paraId="0CCFF7F1">
      <w:pPr>
        <w:pStyle w:val="43"/>
        <w:widowControl/>
        <w:numPr>
          <w:ilvl w:val="0"/>
          <w:numId w:val="8"/>
        </w:numPr>
        <w:spacing w:line="360" w:lineRule="auto"/>
        <w:ind w:left="0" w:firstLine="420"/>
        <w:rPr>
          <w:rFonts w:ascii="宋体" w:hAnsi="宋体" w:cs="宋体"/>
        </w:rPr>
      </w:pPr>
      <w:r>
        <w:rPr>
          <w:rFonts w:hint="eastAsia" w:ascii="宋体" w:hAnsi="宋体" w:cs="宋体"/>
        </w:rPr>
        <w:t>报价一览表（见附件格式）；</w:t>
      </w:r>
    </w:p>
    <w:p w14:paraId="3FEAEDAF">
      <w:pPr>
        <w:pStyle w:val="43"/>
        <w:widowControl/>
        <w:numPr>
          <w:ilvl w:val="0"/>
          <w:numId w:val="8"/>
        </w:numPr>
        <w:spacing w:line="360" w:lineRule="auto"/>
        <w:ind w:left="0" w:firstLine="420"/>
        <w:rPr>
          <w:rFonts w:ascii="宋体" w:hAnsi="宋体" w:cs="宋体"/>
        </w:rPr>
      </w:pPr>
      <w:r>
        <w:rPr>
          <w:rFonts w:hint="eastAsia" w:ascii="宋体" w:hAnsi="宋体" w:cs="宋体"/>
        </w:rPr>
        <w:t>报价明细表及附录（见附件格式）；</w:t>
      </w:r>
    </w:p>
    <w:p w14:paraId="79F84F3F">
      <w:pPr>
        <w:pStyle w:val="43"/>
        <w:widowControl/>
        <w:numPr>
          <w:ilvl w:val="0"/>
          <w:numId w:val="8"/>
        </w:numPr>
        <w:spacing w:line="360" w:lineRule="auto"/>
        <w:ind w:left="0" w:firstLine="420"/>
        <w:rPr>
          <w:rFonts w:ascii="宋体" w:hAnsi="宋体" w:cs="宋体"/>
        </w:rPr>
      </w:pPr>
      <w:r>
        <w:rPr>
          <w:rFonts w:hint="eastAsia" w:ascii="宋体" w:hAnsi="宋体" w:cs="宋体"/>
        </w:rPr>
        <w:t>供应商针对报价需要说明的其他文件和说明。</w:t>
      </w:r>
    </w:p>
    <w:p w14:paraId="0E2962AE">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79" w:name="_Toc479667356"/>
      <w:bookmarkStart w:id="80" w:name="_Toc479667078"/>
      <w:r>
        <w:rPr>
          <w:rFonts w:hint="eastAsia" w:ascii="宋体" w:hAnsi="宋体" w:cs="宋体"/>
          <w:b/>
          <w:szCs w:val="21"/>
        </w:rPr>
        <w:t>响应文件的编制</w:t>
      </w:r>
    </w:p>
    <w:p w14:paraId="7FFD692A">
      <w:pPr>
        <w:pStyle w:val="42"/>
        <w:numPr>
          <w:ilvl w:val="1"/>
          <w:numId w:val="4"/>
        </w:numPr>
        <w:tabs>
          <w:tab w:val="left" w:pos="420"/>
        </w:tabs>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内容编制</w:t>
      </w:r>
    </w:p>
    <w:p w14:paraId="470417CA">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磋商响应文件应按照本章23.1.1、23.1.2、23.1.3款中规定的顺序及采用“第六章 响应文件格式”中提供的格式进行编制，并按“政府采购云平台”的要求编辑相应内容进行关联定位、加密，形成磋商响应文件及备份电子磋商响应文件。供应商未按规定加密的磋商响应文件，政府采购云平台将拒收并提示。磋商响应文件编制详见操作指南：登录政府采购云平台，从首页-服务中心-帮助文档-项目采购-电子招投标，查看文档和视频。 </w:t>
      </w:r>
    </w:p>
    <w:p w14:paraId="768F45D2">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关联定位规则：一个关联点只能关联一页，不能关联多页；多个关联点可以关联同一页。 </w:t>
      </w:r>
    </w:p>
    <w:p w14:paraId="382DDE3A">
      <w:pPr>
        <w:pStyle w:val="42"/>
        <w:numPr>
          <w:ilvl w:val="0"/>
          <w:numId w:val="9"/>
        </w:numPr>
        <w:tabs>
          <w:tab w:val="left" w:pos="0"/>
          <w:tab w:val="left" w:pos="420"/>
        </w:tabs>
        <w:autoSpaceDE w:val="0"/>
        <w:autoSpaceDN w:val="0"/>
        <w:spacing w:line="360" w:lineRule="auto"/>
        <w:ind w:firstLine="422"/>
        <w:textAlignment w:val="bottom"/>
        <w:outlineLvl w:val="2"/>
        <w:rPr>
          <w:rFonts w:ascii="宋体" w:hAnsi="宋体" w:cs="宋体"/>
          <w:b/>
          <w:bCs/>
          <w:szCs w:val="21"/>
          <w:u w:val="single"/>
        </w:rPr>
      </w:pPr>
      <w:r>
        <w:rPr>
          <w:rFonts w:hint="eastAsia" w:ascii="宋体" w:hAnsi="宋体" w:cs="宋体"/>
          <w:b/>
          <w:bCs/>
          <w:szCs w:val="21"/>
          <w:u w:val="single"/>
        </w:rPr>
        <w:t xml:space="preserve">响应文件的资格文件、报价文件、商务技术文件必须分别编制，若有多个标项的，各标项的响应文件还必须单独编制。 </w:t>
      </w:r>
    </w:p>
    <w:p w14:paraId="74D36E87">
      <w:pPr>
        <w:spacing w:line="360" w:lineRule="auto"/>
        <w:ind w:firstLine="422" w:firstLineChars="200"/>
        <w:jc w:val="left"/>
        <w:rPr>
          <w:rFonts w:ascii="宋体" w:hAnsi="宋体" w:cs="宋体"/>
          <w:b/>
          <w:bCs/>
          <w:szCs w:val="21"/>
        </w:rPr>
      </w:pPr>
      <w:r>
        <w:rPr>
          <w:rFonts w:hint="eastAsia" w:ascii="宋体" w:hAnsi="宋体" w:cs="宋体"/>
          <w:b/>
          <w:bCs/>
          <w:color w:val="00B0F0"/>
          <w:szCs w:val="21"/>
          <w:u w:val="single"/>
        </w:rPr>
        <w:t>【注：若供应商同时参加多个标项磋商的，需要提供多个标项的响应文件；若供应商只选择其中任一标项的，仅需提供该标项的响应文件即可。】</w:t>
      </w:r>
    </w:p>
    <w:p w14:paraId="356391D9">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磋商响应文件应当对采购文件规定的内容进行对应明确说明，对采购文件规定的实质性内容应当作出响应。 </w:t>
      </w:r>
    </w:p>
    <w:p w14:paraId="65D11F69">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采购人如对采购文件有澄清或修改，供应商应按澄清或修改内容对电子磋商响应文件进行补充或者修改，补充和修改时如已传输提交了磋商响应文件的，应当先行撤回原文件，补充、修改后重新传输提交。</w:t>
      </w:r>
    </w:p>
    <w:p w14:paraId="58860B35">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由于字迹模糊或表达不清引起的后果由供应商负责。 </w:t>
      </w:r>
    </w:p>
    <w:p w14:paraId="4A4BCA3A">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编制磋商响应文件时建议选用“谷歌或火狐浏览器”。 </w:t>
      </w:r>
    </w:p>
    <w:p w14:paraId="65509155">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磋商响应文件可以线下完成盖章后传输提交政府采购云平台（也可在政采云平台通过单位CA签章完成盖章提交）。 </w:t>
      </w:r>
    </w:p>
    <w:p w14:paraId="56145AFB">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通过政采云平台电子投标工具（政采云电子交易客户端）生成的电子磋商响应文件的文件后缀名为【.jmbs】，备份电子磋商响应文件的文件后缀名为【.bfbs】。</w:t>
      </w:r>
    </w:p>
    <w:p w14:paraId="652CDCFC">
      <w:pPr>
        <w:pStyle w:val="42"/>
        <w:numPr>
          <w:ilvl w:val="1"/>
          <w:numId w:val="4"/>
        </w:numPr>
        <w:tabs>
          <w:tab w:val="left" w:pos="420"/>
        </w:tabs>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 xml:space="preserve">格式要求 </w:t>
      </w:r>
    </w:p>
    <w:p w14:paraId="18DAEDDC">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磋商响应文件应编制目录。 </w:t>
      </w:r>
    </w:p>
    <w:p w14:paraId="527C1BC1">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磋商响应文件应按“磋商须知前附表”要求盖章。 </w:t>
      </w:r>
    </w:p>
    <w:p w14:paraId="460DA5EB">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磋商响应文件装订要求详见“磋商须知前附表”。 </w:t>
      </w:r>
    </w:p>
    <w:p w14:paraId="2BCA455F">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磋商响应文件格式为PDF。 </w:t>
      </w:r>
    </w:p>
    <w:p w14:paraId="49FD6223">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单个文件上传大小上限为300M。</w:t>
      </w:r>
    </w:p>
    <w:p w14:paraId="07374680">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建议正文字体为四号宋体，行距1.5倍，单个文件不超过300页。</w:t>
      </w:r>
    </w:p>
    <w:p w14:paraId="02BCCD5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▲磋商报价</w:t>
      </w:r>
      <w:bookmarkEnd w:id="79"/>
      <w:bookmarkEnd w:id="80"/>
    </w:p>
    <w:p w14:paraId="284E514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磋商报价要求：</w:t>
      </w:r>
    </w:p>
    <w:p w14:paraId="3CAFE34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磋商供应商应考虑企业自身实力、经验及项目实施过程中的各种因素，根据采购要求，详细说明所能提供的各项具体服务内容，自主确定报价，实行固定单价按实结算。</w:t>
      </w:r>
    </w:p>
    <w:p w14:paraId="25D9D515">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磋商供应商的报价应包括为完成本项目服务可能发生的全部费用及企业的利润和应交纳的税金等（包含但不限于机械设备、人员工资、社会保险、人员食宿与交通、技术服务、中标服务费等）。磋商供应商对合同内容的费用、质量、安全、技术服务等实行全面承包。</w:t>
      </w:r>
    </w:p>
    <w:p w14:paraId="44044BE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报价表格要求</w:t>
      </w:r>
    </w:p>
    <w:p w14:paraId="598D09A3">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投标报价应按照采购文件中相关附表《报价一览表》、《报价明细表》格式填写。</w:t>
      </w:r>
    </w:p>
    <w:p w14:paraId="43ED8185">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 xml:space="preserve">供应商应在“政府采购云平台”中填写报价，报价应与上传的报价文件一致，如有不一致，以上传的报价文件中报价为准。 </w:t>
      </w:r>
    </w:p>
    <w:p w14:paraId="4CF386A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报价方式</w:t>
      </w:r>
    </w:p>
    <w:p w14:paraId="3BE9A21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本项目报价即为完成项目实施所需要的全部费用。</w:t>
      </w:r>
    </w:p>
    <w:p w14:paraId="157C3C3B">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本项目设有最高限价详见</w:t>
      </w:r>
      <w:r>
        <w:rPr>
          <w:rFonts w:hint="eastAsia" w:ascii="宋体" w:hAnsi="宋体" w:cs="宋体"/>
          <w:szCs w:val="21"/>
          <w:u w:val="single"/>
        </w:rPr>
        <w:t>“磋商须知前附表”</w:t>
      </w:r>
      <w:r>
        <w:rPr>
          <w:rFonts w:hint="eastAsia" w:ascii="宋体" w:hAnsi="宋体" w:cs="宋体"/>
          <w:szCs w:val="21"/>
        </w:rPr>
        <w:t>，如供应商的投标报价超过最高限价，其响应文件作无效标处理。</w:t>
      </w:r>
    </w:p>
    <w:p w14:paraId="41787BE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磋商保证金</w:t>
      </w:r>
    </w:p>
    <w:p w14:paraId="237F967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本项目磋商保证金要求：</w:t>
      </w:r>
      <w:r>
        <w:rPr>
          <w:rFonts w:hint="eastAsia" w:ascii="宋体" w:hAnsi="宋体" w:cs="宋体"/>
          <w:szCs w:val="21"/>
          <w:u w:val="single"/>
        </w:rPr>
        <w:t>详见“磋商须知前附表”</w:t>
      </w:r>
      <w:r>
        <w:rPr>
          <w:rFonts w:hint="eastAsia" w:ascii="宋体" w:hAnsi="宋体" w:cs="宋体"/>
          <w:szCs w:val="21"/>
        </w:rPr>
        <w:t>。</w:t>
      </w:r>
    </w:p>
    <w:p w14:paraId="50007D09">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响应文件的有效期</w:t>
      </w:r>
    </w:p>
    <w:p w14:paraId="2AF604C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▲磋商响应文件有效期按“磋商须知前附表”规定，磋商响应文件应在该有效期内保持有效。合同签订后，磋商响应文件作为合同附件，磋商响应文件有效期同合同有效期。</w:t>
      </w:r>
    </w:p>
    <w:p w14:paraId="256B27C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在特殊情况下，采购人可与磋商响应方协商延长竞标书的有效期，这种要求和答复均以书面形式进行。</w:t>
      </w:r>
    </w:p>
    <w:p w14:paraId="6F9C0F6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81" w:name="_Toc482195575"/>
      <w:bookmarkStart w:id="82" w:name="_Toc479667079"/>
      <w:bookmarkStart w:id="83" w:name="_Toc479667357"/>
      <w:r>
        <w:rPr>
          <w:rFonts w:hint="eastAsia" w:ascii="宋体" w:hAnsi="宋体" w:cs="宋体"/>
          <w:szCs w:val="21"/>
        </w:rPr>
        <w:t>磋商响应方可拒绝接受延期要求而不会导致磋商保证金被没收。同意延长有效期的磋商响应方需要相应延长磋商保证金的有效期，但不能修改响应文件。</w:t>
      </w:r>
      <w:bookmarkEnd w:id="81"/>
      <w:bookmarkEnd w:id="82"/>
      <w:bookmarkEnd w:id="83"/>
    </w:p>
    <w:p w14:paraId="7F6CB0D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成交供应商的响应文件自磋商之日起至合同履行完毕止均应保持有效。</w:t>
      </w:r>
    </w:p>
    <w:p w14:paraId="457EAFD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磋商响应文件有效期内，供应商撤销响应文件的，应向采购人交纳项目预算金额的2%。</w:t>
      </w:r>
    </w:p>
    <w:p w14:paraId="51B1E402">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84" w:name="_Toc482195577"/>
      <w:bookmarkStart w:id="85" w:name="_Toc479667081"/>
      <w:bookmarkStart w:id="86" w:name="_Toc479667359"/>
      <w:r>
        <w:rPr>
          <w:rFonts w:hint="eastAsia" w:ascii="宋体" w:hAnsi="宋体" w:cs="宋体"/>
          <w:b/>
          <w:szCs w:val="21"/>
        </w:rPr>
        <w:t>响应文件的</w:t>
      </w:r>
      <w:bookmarkEnd w:id="84"/>
      <w:bookmarkEnd w:id="85"/>
      <w:bookmarkEnd w:id="86"/>
      <w:r>
        <w:rPr>
          <w:rFonts w:hint="eastAsia" w:ascii="宋体" w:hAnsi="宋体" w:cs="宋体"/>
          <w:b/>
          <w:szCs w:val="21"/>
        </w:rPr>
        <w:t>密封及标记</w:t>
      </w:r>
    </w:p>
    <w:p w14:paraId="5B8E142C">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磋商响应文件应按以下方法密封及标记 </w:t>
      </w:r>
    </w:p>
    <w:p w14:paraId="1F100430">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磋商响应文件密封及标记要求见</w:t>
      </w:r>
      <w:r>
        <w:rPr>
          <w:rFonts w:hint="eastAsia" w:ascii="宋体" w:hAnsi="宋体" w:cs="宋体"/>
          <w:bCs/>
          <w:szCs w:val="21"/>
          <w:u w:val="single"/>
        </w:rPr>
        <w:t>“磋商须知前附表”</w:t>
      </w:r>
      <w:r>
        <w:rPr>
          <w:rFonts w:hint="eastAsia" w:ascii="宋体" w:hAnsi="宋体" w:cs="宋体"/>
          <w:bCs/>
          <w:szCs w:val="21"/>
        </w:rPr>
        <w:t>。</w:t>
      </w:r>
    </w:p>
    <w:p w14:paraId="05E4CB4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磋商响应文件的提交 </w:t>
      </w:r>
    </w:p>
    <w:p w14:paraId="24C8035A">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提交磋商响应文件 </w:t>
      </w:r>
    </w:p>
    <w:p w14:paraId="51AB6903">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1）电子磋商响应文件传输提交 </w:t>
      </w:r>
    </w:p>
    <w:p w14:paraId="28752009">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供应商应当在磋商响应文件提交截止时间（详见</w:t>
      </w:r>
      <w:r>
        <w:rPr>
          <w:rFonts w:hint="eastAsia" w:ascii="宋体" w:hAnsi="宋体" w:cs="宋体"/>
          <w:bCs/>
          <w:szCs w:val="21"/>
          <w:u w:val="single"/>
        </w:rPr>
        <w:t>“磋商须知前附表”，下同</w:t>
      </w:r>
      <w:r>
        <w:rPr>
          <w:rFonts w:hint="eastAsia" w:ascii="宋体" w:hAnsi="宋体" w:cs="宋体"/>
          <w:bCs/>
          <w:szCs w:val="21"/>
        </w:rPr>
        <w:t xml:space="preserve">）前完成电子磋商响应文件的传输提交至政府采购云平台（https://www.zcygov.cn），磋商响应文件提交截止时间前未完成传输提交的，视为未提交磋商响应文件。磋商响应文件提交截止时间以后传输提交的磋商响应文件，将被拒收。 </w:t>
      </w:r>
    </w:p>
    <w:p w14:paraId="6F821D7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2）备份电子磋商响应文件提交 </w:t>
      </w:r>
    </w:p>
    <w:p w14:paraId="4C851FD1">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供应商可以提交备份电子投标文件，若提交请将备份电子响应文件打包压缩加密（未加密造成泄密的由投标人自行承担）后以电子邮件的形式发送至</w:t>
      </w:r>
      <w:r>
        <w:rPr>
          <w:rFonts w:hint="eastAsia" w:ascii="宋体" w:hAnsi="宋体" w:cs="宋体"/>
          <w:bCs/>
          <w:szCs w:val="21"/>
          <w:u w:val="single"/>
          <w:lang w:eastAsia="zh-CN"/>
        </w:rPr>
        <w:t>2831419607</w:t>
      </w:r>
      <w:r>
        <w:rPr>
          <w:rFonts w:hint="eastAsia" w:ascii="宋体" w:hAnsi="宋体" w:cs="宋体"/>
          <w:bCs/>
          <w:szCs w:val="21"/>
          <w:u w:val="single"/>
        </w:rPr>
        <w:t xml:space="preserve">qq.com </w:t>
      </w:r>
      <w:r>
        <w:rPr>
          <w:rFonts w:hint="eastAsia" w:ascii="宋体" w:hAnsi="宋体" w:cs="宋体"/>
          <w:bCs/>
          <w:szCs w:val="21"/>
        </w:rPr>
        <w:t>，备份电子响应文件在“电子加密投标文件”在线解密失败后启用，否则不予以启用；投标人确认“电子加密投标文件”在线解密失败后，将打包压缩加密的备份电子响应文件的解密密码在解密规定的时间（开标时间后60分钟内）发送至上述邮箱内，未在规定时间内发送造成的投标无效或失败由投标人自行承担。</w:t>
      </w:r>
    </w:p>
    <w:p w14:paraId="4086E547">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 xml:space="preserve">备份电子磋商响应文件仅在在线解密异常处理时使用。磋商响应文件已按时解密的，备份电子磋商响应文件自动失效。 </w:t>
      </w:r>
    </w:p>
    <w:p w14:paraId="1FC7E37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供应商提交的磋商响应文件均不予退还。 </w:t>
      </w:r>
    </w:p>
    <w:p w14:paraId="334F724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逾期传输的或逾期送达的或者未送达指定地点的磋商响应文件，采购人将不予受理。 </w:t>
      </w:r>
    </w:p>
    <w:p w14:paraId="2EF560EC">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采购人如因故推迟磋商响应文件提交截止时间，应以书面形式通知所有供应商。在这种情况下，采购人和供应商的权利和义务将受到新的磋商响应文件提交截止时间的约束。 </w:t>
      </w:r>
    </w:p>
    <w:p w14:paraId="0EAFB91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磋商响应文件的补充、修改和撤回 </w:t>
      </w:r>
    </w:p>
    <w:p w14:paraId="2F37B04A">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在提交磋商响应文件以后如必须补充、修改或撤回磋商响应文件，必须在磋商响应文件提交截止时间以前在“政府采购云平台”上补充、修改或撤回磋商响应文件。补充、修改电子磋商响应文件的，应当先行撤回原文件，补充、修改后重新传输提交。磋商响应文件提交截止时间前未完成传输的，视为撤回磋商响应文件。 </w:t>
      </w:r>
    </w:p>
    <w:p w14:paraId="7128718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备选磋商响应方案 </w:t>
      </w:r>
    </w:p>
    <w:p w14:paraId="1DA99A22">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供应商不得提交备选磋商响应方案，否则，磋商响应文件将被判定为无效标。</w:t>
      </w:r>
    </w:p>
    <w:p w14:paraId="1135564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【注：备选磋商响应方案不是指备份磋商响应文件】 </w:t>
      </w:r>
    </w:p>
    <w:p w14:paraId="66FD701C">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不予受理的磋商响应文件 </w:t>
      </w:r>
    </w:p>
    <w:p w14:paraId="0624FB92">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逾期传输的或逾期送达的或者未送达指定地点的磋商响应文件； </w:t>
      </w:r>
    </w:p>
    <w:p w14:paraId="571816C7">
      <w:pPr>
        <w:pStyle w:val="4"/>
        <w:spacing w:before="156" w:beforeLines="50" w:after="156" w:afterLines="50" w:line="360" w:lineRule="auto"/>
        <w:jc w:val="center"/>
        <w:rPr>
          <w:rFonts w:ascii="宋体" w:hAnsi="宋体" w:eastAsia="宋体" w:cs="宋体"/>
          <w:sz w:val="24"/>
          <w:szCs w:val="24"/>
        </w:rPr>
      </w:pPr>
      <w:bookmarkStart w:id="87" w:name="_Toc528927418"/>
      <w:bookmarkStart w:id="88" w:name="_Toc508888790"/>
      <w:bookmarkStart w:id="89" w:name="_Toc27904"/>
      <w:r>
        <w:rPr>
          <w:rFonts w:hint="eastAsia" w:ascii="宋体" w:hAnsi="宋体" w:eastAsia="宋体" w:cs="宋体"/>
          <w:sz w:val="24"/>
          <w:szCs w:val="24"/>
        </w:rPr>
        <w:t>四、</w:t>
      </w:r>
      <w:bookmarkEnd w:id="87"/>
      <w:bookmarkEnd w:id="88"/>
      <w:r>
        <w:rPr>
          <w:rFonts w:hint="eastAsia" w:ascii="宋体" w:hAnsi="宋体" w:eastAsia="宋体" w:cs="宋体"/>
          <w:sz w:val="24"/>
          <w:szCs w:val="24"/>
        </w:rPr>
        <w:t>磋商程序</w:t>
      </w:r>
      <w:bookmarkEnd w:id="89"/>
    </w:p>
    <w:p w14:paraId="33F6602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90" w:name="_Toc482195585"/>
      <w:bookmarkStart w:id="91" w:name="_Toc479667367"/>
      <w:bookmarkStart w:id="92" w:name="_Toc479667089"/>
      <w:bookmarkStart w:id="93" w:name="_Toc479667369"/>
      <w:bookmarkStart w:id="94" w:name="_Toc479667091"/>
      <w:bookmarkStart w:id="95" w:name="_Toc482195587"/>
      <w:r>
        <w:rPr>
          <w:rFonts w:hint="eastAsia" w:ascii="宋体" w:hAnsi="宋体" w:cs="宋体"/>
          <w:b/>
          <w:szCs w:val="21"/>
        </w:rPr>
        <w:t>磋商小组</w:t>
      </w:r>
      <w:bookmarkEnd w:id="90"/>
      <w:bookmarkEnd w:id="91"/>
      <w:bookmarkEnd w:id="92"/>
      <w:r>
        <w:rPr>
          <w:rFonts w:hint="eastAsia" w:ascii="宋体" w:hAnsi="宋体" w:cs="宋体"/>
          <w:b/>
          <w:szCs w:val="21"/>
        </w:rPr>
        <w:t>组建</w:t>
      </w:r>
    </w:p>
    <w:p w14:paraId="717092A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磋商小组由采购人依法组建，其成员可以由采购方代表及政府采购评审专家组成，磋商小组对采购响应文件进行审查、质疑、评估和比较。</w:t>
      </w:r>
    </w:p>
    <w:p w14:paraId="7EE5453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磋商小组成员要严格遵守评审工作纪律、保密、回避等相关规定，依法独立履行评审职责，客观、公正、审慎参与评审工作，自觉签订《政府采购评审人员廉洁自律承诺书》。</w:t>
      </w:r>
    </w:p>
    <w:p w14:paraId="02A04F8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磋商准备</w:t>
      </w:r>
    </w:p>
    <w:p w14:paraId="04B77E8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采购人按</w:t>
      </w:r>
      <w:r>
        <w:rPr>
          <w:rFonts w:hint="eastAsia" w:ascii="宋体" w:hAnsi="宋体" w:cs="宋体"/>
          <w:szCs w:val="21"/>
          <w:u w:val="single"/>
        </w:rPr>
        <w:t>磋商须知前附表</w:t>
      </w:r>
      <w:r>
        <w:rPr>
          <w:rFonts w:hint="eastAsia" w:ascii="宋体" w:hAnsi="宋体" w:cs="宋体"/>
          <w:szCs w:val="21"/>
        </w:rPr>
        <w:t xml:space="preserve">规定的时间、地点公开开启磋商响应文件，并邀请所有供应商代表准时在线参加。 </w:t>
      </w:r>
    </w:p>
    <w:p w14:paraId="37569CF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供应商代表应在线参加磋商活动。 </w:t>
      </w:r>
    </w:p>
    <w:p w14:paraId="182DEFB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磋商活动组织人员告知所有供应商磋商活动组织人员情况，已提交磋商响应文件的供应商名单、应当回避的情形、开启最终报价文件的预计时间等，组织供应商签署《政府采购活动现场确认声明书》。</w:t>
      </w:r>
    </w:p>
    <w:p w14:paraId="59DC577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在线解密</w:t>
      </w:r>
    </w:p>
    <w:p w14:paraId="121C44B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在线解密开始时间 </w:t>
      </w:r>
    </w:p>
    <w:p w14:paraId="177E12DB">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至磋商响应文件提交截止时间，磋商活动组织人员启动在线解密程序，供应商应登录政府采购云平台在在线解密时间内对已提交的电子磋商响应文件进行解密。 </w:t>
      </w:r>
    </w:p>
    <w:p w14:paraId="214DF7E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解密异常处理 </w:t>
      </w:r>
    </w:p>
    <w:p w14:paraId="3F2B36AC">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如在线解密失败，磋商活动组织人员将启动异常处理，上传供应商在磋商响应文件提交截止时间前提交的备份电子磋商响应文件进行再次解密，如未提供备份电子磋商响应文件，将不进行再次解密程序。无法在线解密视为供应商放弃磋商响应。 </w:t>
      </w:r>
    </w:p>
    <w:p w14:paraId="4CCFA90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在线解密时间 </w:t>
      </w:r>
    </w:p>
    <w:p w14:paraId="58B9B756">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在线解密时间详见</w:t>
      </w:r>
      <w:r>
        <w:rPr>
          <w:rFonts w:hint="eastAsia" w:ascii="宋体" w:hAnsi="宋体" w:cs="宋体"/>
          <w:szCs w:val="21"/>
          <w:u w:val="single"/>
        </w:rPr>
        <w:t>“磋商须知前附表”</w:t>
      </w:r>
      <w:r>
        <w:rPr>
          <w:rFonts w:hint="eastAsia" w:ascii="宋体" w:hAnsi="宋体" w:cs="宋体"/>
          <w:szCs w:val="21"/>
        </w:rPr>
        <w:t xml:space="preserve">规定。 </w:t>
      </w:r>
    </w:p>
    <w:p w14:paraId="627C607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在线开启磋商响应文件 </w:t>
      </w:r>
    </w:p>
    <w:p w14:paraId="61E0B59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待所有供应商在线解密结束后，磋商活动组织人员在线开启磋商响应文件。</w:t>
      </w:r>
    </w:p>
    <w:p w14:paraId="7D0D90C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组织磋商活动</w:t>
      </w:r>
    </w:p>
    <w:p w14:paraId="28D23E2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磋商小组所有成员应当集中与单一供应商分别进行磋商，并将给予所有参加磋商的供应商平等的磋商机会。 </w:t>
      </w:r>
    </w:p>
    <w:p w14:paraId="5788A9F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在磋商过程中，磋商小组经采购人代表确认后可以根据采购文件和磋商情况实质性变动采购需求中的技术、服务要求以及合同草案条款。对采购文件作出的实质性变动是采购文件的有效组成部分，</w:t>
      </w:r>
      <w:r>
        <w:rPr>
          <w:rFonts w:hint="eastAsia" w:ascii="宋体" w:hAnsi="宋体" w:cs="宋体"/>
          <w:b/>
          <w:bCs/>
          <w:szCs w:val="21"/>
          <w:u w:val="single"/>
        </w:rPr>
        <w:t>磋商小组以书面形式通过政府采购云平台通知所有参加磋商的供应商。</w:t>
      </w:r>
      <w:r>
        <w:rPr>
          <w:rFonts w:hint="eastAsia" w:ascii="宋体" w:hAnsi="宋体" w:cs="宋体"/>
          <w:szCs w:val="21"/>
        </w:rPr>
        <w:t xml:space="preserve"> </w:t>
      </w:r>
    </w:p>
    <w:p w14:paraId="5D93758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供应商按照采购文件的变动情况和磋商小组的要求进行承诺并作为磋商响应文件的一部分，并加盖单位公章（或CA签章），上传政府采购云平台。 </w:t>
      </w:r>
    </w:p>
    <w:p w14:paraId="7474180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已提交响应文件的供应商，在提交最终报价之前，可以根据磋商情况退出磋商。 </w:t>
      </w:r>
    </w:p>
    <w:p w14:paraId="4C848F5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在政府采购云平台中汇总各供应商的得分，通知供应商经评审无效的理由。 </w:t>
      </w:r>
    </w:p>
    <w:p w14:paraId="5F79324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磋商结束后，磋商小组将要求所有实质性响应的供应商按政府采购云平台规定时间内分别进行最终报价，最终报价是供应商响应文件的有效组成部分。各供应商在规定时间之后的报价将被视为无效。 </w:t>
      </w:r>
    </w:p>
    <w:p w14:paraId="2C26384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待所有供应商报价上传政府采购云平台完成后，统一开启供应商的最终报价，同时当场制作并打印开标记录表，由相关人员在开标记录表上签字确认（不予确认的应说明理由，否则视为无异议）。磋商小组对报价的合理性进行审查核实、评分，政府采购云平台汇总各供应商最终得分，并在政府采购云平台上公布得分结果。（如平台规则有变更的按平台规则执行） </w:t>
      </w:r>
    </w:p>
    <w:p w14:paraId="0D7061F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磋商的任何一方不得透露与磋商有关的其他供应商的技术资料、价格和其他信息。 </w:t>
      </w:r>
    </w:p>
    <w:p w14:paraId="4A8499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采购代理机构对相关磋商内容进行记录，以存档备查。 </w:t>
      </w:r>
    </w:p>
    <w:p w14:paraId="4E43042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磋商评审期间，供应商应随时随地答复磋商小组的提出的问题，解答包括有关的商务、技术问题等，并按磋商小组要求及时形成磋商承诺。 </w:t>
      </w:r>
    </w:p>
    <w:p w14:paraId="47B2AAF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磋商活动异议 </w:t>
      </w:r>
    </w:p>
    <w:p w14:paraId="10D4E9C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供应商如对磋商活动有异议，应当在活动现场提出，磋商活动组织人员将当场作出答复，并制作记录。</w:t>
      </w:r>
    </w:p>
    <w:p w14:paraId="7D1EA123">
      <w:pPr>
        <w:pStyle w:val="4"/>
        <w:spacing w:before="156" w:beforeLines="50" w:after="156" w:afterLines="50" w:line="360" w:lineRule="auto"/>
        <w:jc w:val="center"/>
        <w:rPr>
          <w:rFonts w:ascii="宋体" w:hAnsi="宋体" w:eastAsia="宋体" w:cs="宋体"/>
          <w:sz w:val="24"/>
          <w:szCs w:val="24"/>
        </w:rPr>
      </w:pPr>
      <w:bookmarkStart w:id="96" w:name="_Toc7190438"/>
      <w:bookmarkStart w:id="97" w:name="_Toc13204"/>
      <w:bookmarkStart w:id="98" w:name="_Toc497398771"/>
      <w:r>
        <w:rPr>
          <w:rFonts w:hint="eastAsia" w:ascii="宋体" w:hAnsi="宋体" w:eastAsia="宋体" w:cs="宋体"/>
          <w:sz w:val="24"/>
          <w:szCs w:val="24"/>
        </w:rPr>
        <w:t>五、资格审查</w:t>
      </w:r>
      <w:bookmarkEnd w:id="96"/>
      <w:bookmarkEnd w:id="97"/>
      <w:bookmarkEnd w:id="98"/>
    </w:p>
    <w:p w14:paraId="16FD528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资格审查方式</w:t>
      </w:r>
    </w:p>
    <w:p w14:paraId="690E37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本项目采用的资格审查方式详见：</w:t>
      </w:r>
      <w:r>
        <w:rPr>
          <w:rFonts w:hint="eastAsia" w:ascii="宋体" w:hAnsi="宋体" w:cs="宋体"/>
          <w:szCs w:val="21"/>
          <w:u w:val="single"/>
        </w:rPr>
        <w:t>“磋商须知前附表”</w:t>
      </w:r>
      <w:r>
        <w:rPr>
          <w:rFonts w:hint="eastAsia" w:ascii="宋体" w:hAnsi="宋体" w:cs="宋体"/>
          <w:szCs w:val="21"/>
        </w:rPr>
        <w:t>规定。</w:t>
      </w:r>
    </w:p>
    <w:p w14:paraId="480EA20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资格审查</w:t>
      </w:r>
    </w:p>
    <w:p w14:paraId="2834F65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开标后，采购人或采购代理机构将依法对供应商的资格进行审查。</w:t>
      </w:r>
    </w:p>
    <w:p w14:paraId="642E34A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采购人或采购代理机构依据法律法规和采购文件的规定，对供应商的基本资格条件、特定资格条件进行审查。</w:t>
      </w:r>
    </w:p>
    <w:p w14:paraId="53A770C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供应商未按照采购文件要求提供与基本资格条件、特定资格条件相应的有效资格证明材料的，视为供应商不具备采购文件中规定的资格要求，其磋商响应无效。</w:t>
      </w:r>
    </w:p>
    <w:p w14:paraId="11C5F580">
      <w:pPr>
        <w:pStyle w:val="4"/>
        <w:spacing w:before="156" w:beforeLines="50" w:after="156" w:afterLines="50" w:line="360" w:lineRule="auto"/>
        <w:jc w:val="center"/>
        <w:rPr>
          <w:rFonts w:ascii="宋体" w:hAnsi="宋体" w:eastAsia="宋体" w:cs="宋体"/>
          <w:szCs w:val="21"/>
        </w:rPr>
      </w:pPr>
      <w:bookmarkStart w:id="99" w:name="_Toc16273"/>
      <w:r>
        <w:rPr>
          <w:rFonts w:hint="eastAsia" w:ascii="宋体" w:hAnsi="宋体" w:eastAsia="宋体" w:cs="宋体"/>
          <w:sz w:val="24"/>
          <w:szCs w:val="24"/>
        </w:rPr>
        <w:t>六、评审</w:t>
      </w:r>
      <w:bookmarkEnd w:id="99"/>
    </w:p>
    <w:p w14:paraId="2DBD640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评审原则及程序</w:t>
      </w:r>
    </w:p>
    <w:p w14:paraId="7367538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必须公平、公正、客观，不带任何倾向性和启发性；不得向外界透露任何与评标、磋商有关的内容；任何单位和个人不得干扰、影响评标与磋商的正常进行；磋商小组及有关工作人员不得私下与磋商供应商接触。</w:t>
      </w:r>
    </w:p>
    <w:p w14:paraId="070C59E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在评审专家中推选评标委员会组长，优先推选资深专家为组长。</w:t>
      </w:r>
    </w:p>
    <w:p w14:paraId="516200C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应认真阅读采购文件以及相关补充、质疑、答复文件、项目书面说明等材料，熟悉采购项目的基本概况，采购项目的质量要求、数量、主要技术标准或服务需求，采购合同主要条款，响应文件无效情形，评审方法、评审依据、评审标准等。</w:t>
      </w:r>
    </w:p>
    <w:p w14:paraId="662B17F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评审人员对各供应商响应文件的有效性、完整性和响应程度进行审查，确定是否对采购文件作出实质性响应。</w:t>
      </w:r>
    </w:p>
    <w:p w14:paraId="2894F33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评审人员按采购文件规定的评审方法和评审标准，依法独立对各供应商响应文件进行评估、比较，并给予评价或打分，不受任何单位和个人的干预。</w:t>
      </w:r>
    </w:p>
    <w:p w14:paraId="167D6D8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对各供应商响应文件非实质性内容有疑义或异议，或者审查发现明显的文字或计算错误等，及时向评标委员会组长提出。经评标委员会商议认为需要供应商作出必要澄清或说明的，应通知该供应商以书面形式作出澄清或说明。</w:t>
      </w:r>
    </w:p>
    <w:p w14:paraId="42E3A7E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需对采购代理机构工作人员唱标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4977C9F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根据综合评分情况，将供应商的评审得分由高到低顺序，并推荐3名以上成交候选供应商，并编写评审报告。符合《政府采购竞争性磋商采购方式管理暂行办法》第二十一条第三款情形的和《关于政府采购竞争性磋商采购方式管理暂行办法有关问题的补充通知》（财库〔2015〕124 号），可以推荐2家成交候选供应商。评审得分相同的，按照最终报价由低到高的顺序推荐。评审得分且最终报价相同的，按照技术服务水平优劣顺序推荐。</w:t>
      </w:r>
    </w:p>
    <w:p w14:paraId="650ABD7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评审办法</w:t>
      </w:r>
    </w:p>
    <w:p w14:paraId="6FABB5B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本项目采用综合评分法。  </w:t>
      </w:r>
    </w:p>
    <w:p w14:paraId="47D8FBC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政府采购云平台汇总各供应商的商务技术分、报价分作为各供应商的评审得分。 </w:t>
      </w:r>
    </w:p>
    <w:p w14:paraId="69531D5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具体评审办法详见“第四章 磋商评审办法”。本项目原则上采用电子评审方法。</w:t>
      </w:r>
    </w:p>
    <w:p w14:paraId="46E1D9D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出现下列情形之一的，采购组织机构将终止竞争性磋商采购活动：</w:t>
      </w:r>
    </w:p>
    <w:p w14:paraId="3CE2B8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因情况变化，不再符合规定的竞争性磋商采购方式适用情形的；</w:t>
      </w:r>
    </w:p>
    <w:p w14:paraId="67E39C7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出现影响采购公正的违法、违规行为的；</w:t>
      </w:r>
    </w:p>
    <w:p w14:paraId="0DAA344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所有报价经磋商小组认定明显高于市场价格；</w:t>
      </w:r>
    </w:p>
    <w:p w14:paraId="614F04F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除《政府采购竞争性磋商采购方式管理暂行办法》第二十一条第三款和《关于政府采购竞争性磋商采购方式管理暂行办法有关问题的补充通知》（财库〔2015〕124 号）规定情形外，在采购过程中符合要求的供应商或者报价未超过采购预算的供应商不足3家的； </w:t>
      </w:r>
    </w:p>
    <w:p w14:paraId="5D9C97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符合《政府采购竞争性磋商采购方式管理暂行办法》第二十一条第三款和《关于政府采购竞争性磋商采购方式管理暂行办法有关问题的补充通知》（财库〔2015〕124 号）规定情形，但在采购过程中符合要求的供应商或者报价未超过采购预算的供应商不足2家的； </w:t>
      </w:r>
    </w:p>
    <w:p w14:paraId="4C5DA81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因重大变故，采购任务取消的。</w:t>
      </w:r>
    </w:p>
    <w:p w14:paraId="4EF033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法律、法规和采购文件规定的其他导致评审结果无效的。</w:t>
      </w:r>
    </w:p>
    <w:p w14:paraId="15BDE85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采购过程中出现以下情形，导致电子交易平台无法正常运行，或者无法保证电子交易的公平、公正和安全时，采购组织机构将中止电子交易活动： </w:t>
      </w:r>
    </w:p>
    <w:p w14:paraId="1E6048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电子交易平台发生故障而无法登录访问的； </w:t>
      </w:r>
    </w:p>
    <w:p w14:paraId="6673AD0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电子交易平台应用或数据库出现错误，不能进行正常操作的； </w:t>
      </w:r>
    </w:p>
    <w:p w14:paraId="35FFE15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电子交易平台发现严重安全漏洞，有潜在泄密危险的； </w:t>
      </w:r>
    </w:p>
    <w:p w14:paraId="04C7251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病毒发作导致不能进行正常操作的； </w:t>
      </w:r>
    </w:p>
    <w:p w14:paraId="75C1424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其他无法保证电子交易的公平、公正和安全的情况。 </w:t>
      </w:r>
    </w:p>
    <w:p w14:paraId="31021CE5">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出现前款规定情形，不影响采购公平、公正性的，采购组织机构将待上述情形消除后继续组织电子交易活动，也可以决定某些环节以纸质形式进行；影响或可能影响采购公平、公正性的，将重新采购。</w:t>
      </w:r>
    </w:p>
    <w:p w14:paraId="0DA429C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磋商过程的监控</w:t>
      </w:r>
    </w:p>
    <w:p w14:paraId="2906224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本项目评标过程实行全程录音、录像监控，供应商在评标过程中所进行的试图影响评标结果的不公正活动，可能导致其投标被拒绝。</w:t>
      </w:r>
    </w:p>
    <w:p w14:paraId="75291C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评审过程中出现录音录像采集设备不能正常运行的，应当立即封存评审资料、中止评审活动，直至设备（或替代设备）运转正常或转移至符合条件的场所后继续进行评审工作。</w:t>
      </w:r>
    </w:p>
    <w:bookmarkEnd w:id="93"/>
    <w:bookmarkEnd w:id="94"/>
    <w:bookmarkEnd w:id="95"/>
    <w:p w14:paraId="2740753B">
      <w:pPr>
        <w:pStyle w:val="4"/>
        <w:spacing w:before="156" w:beforeLines="50" w:after="0" w:line="360" w:lineRule="auto"/>
        <w:jc w:val="center"/>
        <w:rPr>
          <w:rFonts w:ascii="宋体" w:hAnsi="宋体" w:eastAsia="宋体" w:cs="宋体"/>
          <w:sz w:val="24"/>
          <w:szCs w:val="24"/>
        </w:rPr>
      </w:pPr>
      <w:bookmarkStart w:id="100" w:name="_Toc528927419"/>
      <w:bookmarkStart w:id="101" w:name="_Toc15004"/>
      <w:bookmarkStart w:id="102" w:name="_Toc508888791"/>
      <w:r>
        <w:rPr>
          <w:rFonts w:hint="eastAsia" w:ascii="宋体" w:hAnsi="宋体" w:eastAsia="宋体" w:cs="宋体"/>
          <w:sz w:val="24"/>
          <w:szCs w:val="24"/>
        </w:rPr>
        <w:t>七、定标</w:t>
      </w:r>
      <w:bookmarkEnd w:id="100"/>
      <w:bookmarkEnd w:id="101"/>
      <w:bookmarkEnd w:id="102"/>
    </w:p>
    <w:p w14:paraId="057A706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定标</w:t>
      </w:r>
    </w:p>
    <w:p w14:paraId="0F4CD03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103" w:name="_Toc170792772"/>
      <w:bookmarkStart w:id="104" w:name="_Toc107820051"/>
      <w:r>
        <w:rPr>
          <w:rFonts w:hint="eastAsia" w:ascii="宋体" w:hAnsi="宋体" w:cs="宋体"/>
          <w:szCs w:val="21"/>
        </w:rPr>
        <w:t>采购代理机构在评审结束之日起2个工作日内将评审报告送交采购人确认。</w:t>
      </w:r>
    </w:p>
    <w:p w14:paraId="42E9AA6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采购人自收到评审报告之日起5个工作日内在评审报告推荐的中标候选人中按顺序确定中标（成交）供应商。</w:t>
      </w:r>
    </w:p>
    <w:p w14:paraId="55500D9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在采购人确认采购结果后，采购代理机构将成交结果发布在政府采购网上进行公告。采购人、采购代理机构及磋商小组对未成交的供应商不作落标原因解释。</w:t>
      </w:r>
    </w:p>
    <w:p w14:paraId="325E4A6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结果公告</w:t>
      </w:r>
    </w:p>
    <w:p w14:paraId="6795D30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确定中标（成交）供应商之日起2个工作日内，采购代理机构在“浙江政府采购网”上发布中标结果公告。中标结果公告将包括中标人名称、地址和中标金额，主要中标标的的名称、规格型号、数量、单价、服务要求以及评审专家名单等内容，但不包括国家秘密、商业秘密。</w:t>
      </w:r>
    </w:p>
    <w:p w14:paraId="24C074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代理机构将在中标结果公告中附中标（成交）通知书，视同向中标（成交）供应商发出中标（成交）通知书，同时中标（成交）供应商应在中标结果公告发布后签订合同前，赴采购代理机构项目负责人处领取中标（成交）通知书。</w:t>
      </w:r>
    </w:p>
    <w:p w14:paraId="0F58A44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中标（成交）通知书发出之日起至合同签订前，中标（成交）供应商不得开展项目实质性工作（如订货、施工等）。否则，造成的有关损失由中标（成交）供应商自行承担。</w:t>
      </w:r>
    </w:p>
    <w:p w14:paraId="6EFE8D2B">
      <w:pPr>
        <w:pStyle w:val="4"/>
        <w:spacing w:before="156" w:beforeLines="50" w:after="156" w:afterLines="50" w:line="360" w:lineRule="auto"/>
        <w:jc w:val="center"/>
        <w:rPr>
          <w:rFonts w:ascii="宋体" w:hAnsi="宋体" w:eastAsia="宋体" w:cs="宋体"/>
          <w:sz w:val="24"/>
          <w:szCs w:val="24"/>
        </w:rPr>
      </w:pPr>
      <w:bookmarkStart w:id="105" w:name="_Toc508888792"/>
      <w:bookmarkStart w:id="106" w:name="_Toc29156"/>
      <w:bookmarkStart w:id="107" w:name="_Toc528927420"/>
      <w:r>
        <w:rPr>
          <w:rFonts w:hint="eastAsia" w:ascii="宋体" w:hAnsi="宋体" w:eastAsia="宋体" w:cs="宋体"/>
          <w:sz w:val="24"/>
          <w:szCs w:val="24"/>
        </w:rPr>
        <w:t>八、</w:t>
      </w:r>
      <w:bookmarkStart w:id="108" w:name="_Toc177870556"/>
      <w:r>
        <w:rPr>
          <w:rFonts w:hint="eastAsia" w:ascii="宋体" w:hAnsi="宋体" w:eastAsia="宋体" w:cs="宋体"/>
          <w:sz w:val="24"/>
          <w:szCs w:val="24"/>
        </w:rPr>
        <w:t>合同</w:t>
      </w:r>
      <w:bookmarkEnd w:id="103"/>
      <w:bookmarkEnd w:id="104"/>
      <w:r>
        <w:rPr>
          <w:rFonts w:hint="eastAsia" w:ascii="宋体" w:hAnsi="宋体" w:eastAsia="宋体" w:cs="宋体"/>
          <w:sz w:val="24"/>
          <w:szCs w:val="24"/>
        </w:rPr>
        <w:t>授予</w:t>
      </w:r>
      <w:bookmarkEnd w:id="105"/>
      <w:bookmarkEnd w:id="106"/>
      <w:bookmarkEnd w:id="107"/>
      <w:bookmarkEnd w:id="108"/>
    </w:p>
    <w:p w14:paraId="44E5B3B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签订合同</w:t>
      </w:r>
    </w:p>
    <w:p w14:paraId="6870404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采购人与中标（成交）供应商应当在中标（成交）通知书发出之日起30日内到采购人或采购代理机构处签订政府采购合同。</w:t>
      </w:r>
    </w:p>
    <w:p w14:paraId="474ABAE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采购文件及补充文件、磋商修改文件、成交供应商的磋商响应文件及磋商响应修改文件、磋商 过程中有关承诺文件和成交通知书均作为合同附件。 </w:t>
      </w:r>
    </w:p>
    <w:p w14:paraId="3B1AB7E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和成交供应商应当按照上款所列文件确定的内容签订政府采购合同，不得向成交供应商提出超出采购文件以外的任何要求作为签订合同的条件，不得与成交供应商订立背离采购文件确定的合同文本以及采购标的、规格型号、采购金额、采购数量、技术和服务要求等实质性内容的协议。同时，采购代理机构对合同内容进行审查，如发现与采购结果和磋商承诺内容不一致的，应予以纠正。</w:t>
      </w:r>
    </w:p>
    <w:p w14:paraId="0728584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询问或者质疑事项可能影响中标结果的，采购人应当暂停签订合同，已经签订合同的，应当中止履行合同（中标结果的质疑期为中标结果公告期限届满之日起七个工作日）。</w:t>
      </w:r>
    </w:p>
    <w:p w14:paraId="09BCF28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合同公告</w:t>
      </w:r>
    </w:p>
    <w:p w14:paraId="1F6B455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应当自项目合同签订之日起2个工作日内，将项目合同在浙江省政府采购网公告，但项目合同中涉及国家秘密、商业秘密的内容除外。如合同签订方（采购人或中标（成交）供应商）认为合同内容涉及国家秘密、商业秘密的，请在采购人将合同送采购代理机构鉴证的同时附书面说明告知，否则相关责任由合同签订方自行承担。</w:t>
      </w:r>
    </w:p>
    <w:p w14:paraId="0D7B0EF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拒签合同</w:t>
      </w:r>
    </w:p>
    <w:p w14:paraId="2F9E7B9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中标（成交）供应商无故拖延、拒签合同的，采购代理机构和采购人有权取消其中标资格。</w:t>
      </w:r>
    </w:p>
    <w:p w14:paraId="4FC857C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供应商拒绝与采购人签订合同的，采购人可以按照评审报告推荐的中标候选人名单排序，确定下一候选人为中标（成交）供应商，也可以重新开展采购活动。同时，拒绝与采购人签订合同的供应商，由同级财政部门依法作出处理。</w:t>
      </w:r>
    </w:p>
    <w:p w14:paraId="504C2A0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▲履约保证金</w:t>
      </w:r>
    </w:p>
    <w:p w14:paraId="57A40C4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中标人应在中标（成交）通知书规定的签订合同时间内向采购人提供</w:t>
      </w:r>
      <w:r>
        <w:rPr>
          <w:rFonts w:hint="eastAsia" w:ascii="宋体" w:hAnsi="宋体" w:cs="宋体"/>
          <w:szCs w:val="21"/>
          <w:u w:val="single"/>
        </w:rPr>
        <w:t>“磋商须知前附表”规定</w:t>
      </w:r>
      <w:r>
        <w:rPr>
          <w:rFonts w:hint="eastAsia" w:ascii="宋体" w:hAnsi="宋体" w:cs="宋体"/>
          <w:szCs w:val="21"/>
        </w:rPr>
        <w:t>数额的履约保证金。</w:t>
      </w:r>
    </w:p>
    <w:p w14:paraId="5523F8D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履约保证金支付形式：银行转账或银行保函或保险保函等方式。</w:t>
      </w:r>
    </w:p>
    <w:p w14:paraId="08326CF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签订合同后，如中标人不按双方签订合同约定履约，则不予返还其全部履约保证金，履约保证金不足以赔偿损失的，按实际损失赔偿。</w:t>
      </w:r>
    </w:p>
    <w:p w14:paraId="73B30A2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履约保证金在中标人将项目投入正常运营（或通过项目验收）后凭合法收据向采购人申请无息退还（出现违约情况除外）。</w:t>
      </w:r>
    </w:p>
    <w:p w14:paraId="43E1E9A6">
      <w:pPr>
        <w:pStyle w:val="4"/>
        <w:spacing w:before="156" w:beforeLines="50" w:after="156" w:afterLines="50" w:line="360" w:lineRule="auto"/>
        <w:jc w:val="center"/>
        <w:rPr>
          <w:rFonts w:ascii="宋体" w:hAnsi="宋体" w:eastAsia="宋体" w:cs="宋体"/>
          <w:sz w:val="24"/>
          <w:szCs w:val="24"/>
        </w:rPr>
      </w:pPr>
      <w:bookmarkStart w:id="109" w:name="_Toc528927421"/>
      <w:bookmarkStart w:id="110" w:name="_Toc644"/>
      <w:bookmarkStart w:id="111" w:name="_Toc528578384"/>
      <w:r>
        <w:rPr>
          <w:rFonts w:hint="eastAsia" w:ascii="宋体" w:hAnsi="宋体" w:eastAsia="宋体" w:cs="宋体"/>
          <w:sz w:val="24"/>
          <w:szCs w:val="24"/>
        </w:rPr>
        <w:t>九、供应商信用信息事项</w:t>
      </w:r>
      <w:bookmarkEnd w:id="109"/>
      <w:bookmarkEnd w:id="110"/>
      <w:bookmarkEnd w:id="111"/>
    </w:p>
    <w:p w14:paraId="57F960D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供应商信用记录查询及使用</w:t>
      </w:r>
    </w:p>
    <w:p w14:paraId="232C9DE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根据《关于在政府采购活动中查询及使用信用记录有关问题的通知》（财库[2016]125号文件）规定，在开标前实施政府采购活动中查询及使用信用记录事项。</w:t>
      </w:r>
    </w:p>
    <w:p w14:paraId="1842669B">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采购代理机构通过“信用中国”网站(www.creditchina.gov.cn)、中国政府采购网(www.ccgp.gov.cn)等渠道查询相关主体信用记录。</w:t>
      </w:r>
    </w:p>
    <w:p w14:paraId="5CBB49D9">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截止时点：提交响应文件（响应文件）截止时间前3年内；</w:t>
      </w:r>
    </w:p>
    <w:p w14:paraId="40D9A87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查询记录和证据的留存：信用信息查询记录和证据以网页截图等方式留存。</w:t>
      </w:r>
    </w:p>
    <w:p w14:paraId="6F35CA02">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将被拒绝参与本次政府采购活动。</w:t>
      </w:r>
    </w:p>
    <w:p w14:paraId="1A68258E">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E6293EF">
      <w:pPr>
        <w:pStyle w:val="4"/>
        <w:spacing w:before="156" w:beforeLines="50" w:after="156" w:afterLines="50" w:line="360" w:lineRule="auto"/>
        <w:jc w:val="center"/>
        <w:rPr>
          <w:rFonts w:ascii="宋体" w:hAnsi="宋体" w:eastAsia="宋体" w:cs="宋体"/>
          <w:sz w:val="24"/>
          <w:szCs w:val="24"/>
        </w:rPr>
      </w:pPr>
      <w:bookmarkStart w:id="112" w:name="_Toc24110"/>
      <w:bookmarkStart w:id="113" w:name="_Toc7269"/>
      <w:bookmarkStart w:id="114" w:name="_Toc16873"/>
      <w:r>
        <w:rPr>
          <w:rFonts w:hint="eastAsia" w:ascii="宋体" w:hAnsi="宋体" w:eastAsia="宋体" w:cs="宋体"/>
          <w:sz w:val="24"/>
          <w:szCs w:val="24"/>
        </w:rPr>
        <w:t>十、政府采购中小企业政策</w:t>
      </w:r>
      <w:bookmarkEnd w:id="112"/>
      <w:bookmarkEnd w:id="113"/>
      <w:bookmarkEnd w:id="114"/>
    </w:p>
    <w:p w14:paraId="619ED493">
      <w:pPr>
        <w:pStyle w:val="42"/>
        <w:numPr>
          <w:ilvl w:val="0"/>
          <w:numId w:val="4"/>
        </w:numPr>
        <w:autoSpaceDE w:val="0"/>
        <w:autoSpaceDN w:val="0"/>
        <w:spacing w:line="360" w:lineRule="auto"/>
        <w:ind w:left="0" w:firstLine="422"/>
        <w:textAlignment w:val="bottom"/>
        <w:outlineLvl w:val="2"/>
        <w:rPr>
          <w:rFonts w:ascii="宋体" w:hAnsi="宋体" w:cs="宋体"/>
          <w:b/>
          <w:szCs w:val="21"/>
          <w:lang w:val="zh-CN"/>
        </w:rPr>
      </w:pPr>
      <w:r>
        <w:rPr>
          <w:rFonts w:hint="eastAsia" w:ascii="宋体" w:hAnsi="宋体" w:cs="宋体"/>
          <w:b/>
          <w:szCs w:val="21"/>
          <w:lang w:val="zh-CN"/>
        </w:rPr>
        <w:t>根据《政府采购促进中小企业发展管理办法》（财库〔2020〕46号）的规定，本次采购专门面向中小企业/小微企业或监狱企业或残疾人福利性单位的采购项目。</w:t>
      </w:r>
    </w:p>
    <w:p w14:paraId="7E23052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本采购文件所称中小微型企业，是指在中华人民共和国境内依法设立，依据</w:t>
      </w:r>
      <w:r>
        <w:rPr>
          <w:rFonts w:hint="eastAsia" w:ascii="宋体" w:hAnsi="宋体" w:cs="宋体"/>
          <w:szCs w:val="21"/>
          <w:lang w:val="zh-CN"/>
        </w:rPr>
        <w:t>《中小企业划型标准规定》（工信部联企业〔2011〕300号）</w:t>
      </w:r>
      <w:r>
        <w:rPr>
          <w:rFonts w:hint="eastAsia" w:ascii="宋体" w:hAnsi="宋体" w:cs="宋体"/>
          <w:szCs w:val="21"/>
        </w:rPr>
        <w:t>确定的中型企业、小型企业和微型企业，但与大企业的负责人为同一人，或者与大企业存在直接控股、管理关系的除外。</w:t>
      </w:r>
    </w:p>
    <w:p w14:paraId="0DE30ED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以联合体形式参加政府采购活动，联合体各方均为小微企业的，联合体视同小微企业。</w:t>
      </w:r>
      <w:r>
        <w:rPr>
          <w:rFonts w:hint="eastAsia" w:ascii="宋体" w:hAnsi="宋体" w:cs="宋体"/>
          <w:b/>
          <w:bCs/>
          <w:szCs w:val="21"/>
        </w:rPr>
        <w:t>（本项目不适用）</w:t>
      </w:r>
    </w:p>
    <w:p w14:paraId="0877383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符合小微企业划分标准的个体工商户，视同小微企业。</w:t>
      </w:r>
    </w:p>
    <w:p w14:paraId="31DDB97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本项目不接受大中型企业与小微企业组成联合体。</w:t>
      </w:r>
    </w:p>
    <w:p w14:paraId="03727A5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本项目不允许大中型企业向一家或者多家小微企业分包。</w:t>
      </w:r>
    </w:p>
    <w:p w14:paraId="754D7F1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提供的服务全部由中小微企业承接（若接受联合体投标的，包括联合体内的小微企业和接受分包的小微企业）的，供应商应当出具《中小企业声明函》。</w:t>
      </w:r>
    </w:p>
    <w:p w14:paraId="16C01E4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残疾人福利性单位视同小微企业，参加政府采购活动时，应当提供《残疾人福利性单位声明函》。</w:t>
      </w:r>
    </w:p>
    <w:p w14:paraId="6F0FB93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监狱企业视同小微企业，参加政府采购活动时，应当出具省级以上监狱管理局、戒毒管理局（含新疆生产建设兵团）提供的属于监狱企业的证明文件。</w:t>
      </w:r>
    </w:p>
    <w:p w14:paraId="1FC6CD31">
      <w:pPr>
        <w:pStyle w:val="4"/>
        <w:spacing w:before="156" w:beforeLines="50" w:after="156" w:afterLines="50" w:line="360" w:lineRule="auto"/>
        <w:jc w:val="center"/>
        <w:rPr>
          <w:rFonts w:ascii="宋体" w:hAnsi="宋体" w:eastAsia="宋体" w:cs="宋体"/>
          <w:sz w:val="24"/>
          <w:szCs w:val="24"/>
        </w:rPr>
      </w:pPr>
      <w:bookmarkStart w:id="115" w:name="_Toc528927422"/>
      <w:bookmarkStart w:id="116" w:name="_Toc20419"/>
      <w:bookmarkStart w:id="117" w:name="_Toc528578385"/>
      <w:r>
        <w:rPr>
          <w:rFonts w:hint="eastAsia" w:ascii="宋体" w:hAnsi="宋体" w:eastAsia="宋体" w:cs="宋体"/>
          <w:sz w:val="24"/>
          <w:szCs w:val="24"/>
        </w:rPr>
        <w:t>十一、其他事项</w:t>
      </w:r>
      <w:bookmarkEnd w:id="115"/>
      <w:bookmarkEnd w:id="116"/>
      <w:bookmarkEnd w:id="117"/>
    </w:p>
    <w:p w14:paraId="7F7E156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采购代理服务费 </w:t>
      </w:r>
    </w:p>
    <w:p w14:paraId="4B4C72B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本次采购代理服务费按“磋商须知前附表”规定收取。成交供应商不按采购文件规定缴纳采购代理服务费，将取消其成交资格。同时成交供应商应向采购代理机构交纳采购文件规定的采购代理服务费作为赔偿。</w:t>
      </w:r>
    </w:p>
    <w:p w14:paraId="0816367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color w:val="auto"/>
          <w:sz w:val="21"/>
          <w:highlight w:val="none"/>
          <w:lang w:val="en-US" w:eastAsia="zh-CN"/>
        </w:rPr>
        <w:t>本项目采购代理服务费由中标人支付，以中标价为计算基数，</w:t>
      </w:r>
      <w:r>
        <w:rPr>
          <w:rFonts w:hint="default"/>
          <w:color w:val="auto"/>
          <w:sz w:val="21"/>
          <w:highlight w:val="none"/>
          <w:lang w:val="en-US" w:eastAsia="zh-CN"/>
        </w:rPr>
        <w:t>按以下</w:t>
      </w:r>
      <w:r>
        <w:rPr>
          <w:rFonts w:hint="eastAsia"/>
          <w:color w:val="auto"/>
          <w:sz w:val="21"/>
          <w:highlight w:val="none"/>
          <w:lang w:val="en-US" w:eastAsia="zh-CN"/>
        </w:rPr>
        <w:t>工程</w:t>
      </w:r>
      <w:r>
        <w:rPr>
          <w:rFonts w:hint="default"/>
          <w:color w:val="auto"/>
          <w:sz w:val="21"/>
          <w:highlight w:val="none"/>
          <w:lang w:val="en-US" w:eastAsia="zh-CN"/>
        </w:rPr>
        <w:t>类标准费率计算值的</w:t>
      </w:r>
      <w:r>
        <w:rPr>
          <w:rFonts w:hint="default"/>
          <w:color w:val="auto"/>
          <w:sz w:val="21"/>
          <w:highlight w:val="none"/>
          <w:u w:val="single"/>
          <w:lang w:val="en-US" w:eastAsia="zh-CN"/>
        </w:rPr>
        <w:t> </w:t>
      </w:r>
      <w:r>
        <w:rPr>
          <w:rFonts w:hint="eastAsia"/>
          <w:color w:val="auto"/>
          <w:sz w:val="21"/>
          <w:highlight w:val="none"/>
          <w:u w:val="single"/>
          <w:lang w:val="en-US" w:eastAsia="zh-CN"/>
        </w:rPr>
        <w:t>7</w:t>
      </w:r>
      <w:r>
        <w:rPr>
          <w:rFonts w:hint="default"/>
          <w:color w:val="auto"/>
          <w:sz w:val="21"/>
          <w:highlight w:val="none"/>
          <w:u w:val="single"/>
          <w:lang w:val="en-US" w:eastAsia="zh-CN"/>
        </w:rPr>
        <w:t> </w:t>
      </w:r>
      <w:r>
        <w:rPr>
          <w:rFonts w:hint="default"/>
          <w:color w:val="auto"/>
          <w:sz w:val="21"/>
          <w:highlight w:val="none"/>
          <w:lang w:val="en-US" w:eastAsia="zh-CN"/>
        </w:rPr>
        <w:t>折收取</w:t>
      </w:r>
      <w:r>
        <w:rPr>
          <w:rFonts w:hint="eastAsia"/>
          <w:color w:val="auto"/>
          <w:sz w:val="21"/>
          <w:highlight w:val="none"/>
          <w:lang w:val="en-US" w:eastAsia="zh-CN"/>
        </w:rPr>
        <w:t>，</w:t>
      </w:r>
      <w:r>
        <w:rPr>
          <w:rFonts w:hint="eastAsia"/>
          <w:color w:val="auto"/>
          <w:sz w:val="21"/>
          <w:lang w:val="en-US" w:eastAsia="zh-CN"/>
        </w:rPr>
        <w:t>费率标准如下：</w:t>
      </w:r>
    </w:p>
    <w:tbl>
      <w:tblPr>
        <w:tblStyle w:val="32"/>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259"/>
        <w:gridCol w:w="2175"/>
        <w:gridCol w:w="2033"/>
      </w:tblGrid>
      <w:tr w14:paraId="29AD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23" w:type="dxa"/>
            <w:gridSpan w:val="4"/>
            <w:tcBorders>
              <w:top w:val="single" w:color="auto" w:sz="4" w:space="0"/>
              <w:left w:val="single" w:color="auto" w:sz="4" w:space="0"/>
              <w:bottom w:val="single" w:color="auto" w:sz="4" w:space="0"/>
              <w:right w:val="single" w:color="auto" w:sz="4" w:space="0"/>
            </w:tcBorders>
            <w:vAlign w:val="center"/>
          </w:tcPr>
          <w:p w14:paraId="3A5F4253">
            <w:pPr>
              <w:ind w:firstLine="422" w:firstLineChars="200"/>
              <w:jc w:val="center"/>
              <w:rPr>
                <w:rFonts w:ascii="宋体" w:hAnsi="宋体" w:cs="宋体"/>
                <w:b/>
                <w:szCs w:val="21"/>
              </w:rPr>
            </w:pPr>
            <w:r>
              <w:rPr>
                <w:rFonts w:hint="eastAsia" w:ascii="宋体" w:hAnsi="宋体" w:cs="宋体"/>
                <w:b/>
                <w:szCs w:val="21"/>
                <w:lang w:bidi="ar"/>
              </w:rPr>
              <w:t>代理服务费率类型</w:t>
            </w:r>
          </w:p>
        </w:tc>
      </w:tr>
      <w:tr w14:paraId="509E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630ED046">
            <w:pPr>
              <w:jc w:val="center"/>
              <w:rPr>
                <w:rFonts w:ascii="宋体" w:hAnsi="宋体" w:cs="宋体"/>
                <w:szCs w:val="21"/>
              </w:rPr>
            </w:pPr>
            <w:r>
              <w:rPr>
                <w:rFonts w:hint="eastAsia" w:ascii="宋体" w:hAnsi="宋体" w:cs="宋体"/>
                <w:szCs w:val="21"/>
                <w:lang w:val="en-US" w:eastAsia="zh-CN" w:bidi="ar"/>
              </w:rPr>
              <w:t>预算</w:t>
            </w:r>
            <w:r>
              <w:rPr>
                <w:rFonts w:hint="eastAsia" w:ascii="宋体" w:hAnsi="宋体" w:cs="宋体"/>
                <w:szCs w:val="21"/>
                <w:lang w:bidi="ar"/>
              </w:rPr>
              <w:t>金额（万元）</w:t>
            </w:r>
          </w:p>
        </w:tc>
        <w:tc>
          <w:tcPr>
            <w:tcW w:w="2259" w:type="dxa"/>
            <w:tcBorders>
              <w:top w:val="single" w:color="auto" w:sz="4" w:space="0"/>
              <w:left w:val="single" w:color="auto" w:sz="4" w:space="0"/>
              <w:bottom w:val="single" w:color="auto" w:sz="4" w:space="0"/>
              <w:right w:val="single" w:color="auto" w:sz="4" w:space="0"/>
            </w:tcBorders>
            <w:vAlign w:val="center"/>
          </w:tcPr>
          <w:p w14:paraId="77D3EC9A">
            <w:pPr>
              <w:jc w:val="center"/>
              <w:rPr>
                <w:rFonts w:ascii="宋体" w:hAnsi="宋体" w:cs="宋体"/>
                <w:strike/>
                <w:szCs w:val="21"/>
              </w:rPr>
            </w:pPr>
            <w:r>
              <w:rPr>
                <w:rFonts w:hint="eastAsia" w:ascii="宋体" w:hAnsi="宋体" w:cs="宋体"/>
                <w:strike/>
                <w:szCs w:val="21"/>
                <w:lang w:bidi="ar"/>
              </w:rPr>
              <w:t>货物招标</w:t>
            </w:r>
            <w:r>
              <w:rPr>
                <w:rFonts w:hint="eastAsia" w:ascii="宋体" w:hAnsi="宋体" w:cs="宋体"/>
                <w:szCs w:val="21"/>
                <w:lang w:bidi="ar"/>
              </w:rPr>
              <w:t xml:space="preserve">          </w:t>
            </w:r>
          </w:p>
        </w:tc>
        <w:tc>
          <w:tcPr>
            <w:tcW w:w="2175" w:type="dxa"/>
            <w:tcBorders>
              <w:top w:val="single" w:color="auto" w:sz="4" w:space="0"/>
              <w:left w:val="single" w:color="auto" w:sz="4" w:space="0"/>
              <w:bottom w:val="single" w:color="auto" w:sz="4" w:space="0"/>
              <w:right w:val="single" w:color="auto" w:sz="4" w:space="0"/>
            </w:tcBorders>
            <w:vAlign w:val="center"/>
          </w:tcPr>
          <w:p w14:paraId="399CE71E">
            <w:pPr>
              <w:jc w:val="center"/>
              <w:rPr>
                <w:strike/>
              </w:rPr>
            </w:pPr>
            <w:r>
              <w:rPr>
                <w:rFonts w:hint="eastAsia"/>
                <w:strike/>
              </w:rPr>
              <w:t>服务招标</w:t>
            </w:r>
          </w:p>
          <w:p w14:paraId="5FF93903">
            <w:pPr>
              <w:pStyle w:val="31"/>
              <w:rPr>
                <w:strike/>
              </w:rPr>
            </w:pPr>
            <w:r>
              <w:rPr>
                <w:rFonts w:hint="eastAsia" w:ascii="宋体" w:hAnsi="宋体" w:cs="宋体"/>
                <w:b w:val="0"/>
                <w:strike/>
                <w:kern w:val="2"/>
                <w:sz w:val="21"/>
                <w:szCs w:val="21"/>
                <w:lang w:val="en-US" w:bidi="ar"/>
              </w:rPr>
              <w:t>（适用本项目）</w:t>
            </w:r>
          </w:p>
        </w:tc>
        <w:tc>
          <w:tcPr>
            <w:tcW w:w="2033" w:type="dxa"/>
            <w:tcBorders>
              <w:top w:val="single" w:color="auto" w:sz="4" w:space="0"/>
              <w:left w:val="single" w:color="auto" w:sz="4" w:space="0"/>
              <w:bottom w:val="single" w:color="auto" w:sz="4" w:space="0"/>
              <w:right w:val="single" w:color="auto" w:sz="4" w:space="0"/>
            </w:tcBorders>
            <w:vAlign w:val="center"/>
          </w:tcPr>
          <w:p w14:paraId="35015D31">
            <w:pPr>
              <w:jc w:val="center"/>
              <w:rPr>
                <w:rFonts w:ascii="宋体" w:hAnsi="宋体" w:cs="宋体"/>
                <w:szCs w:val="21"/>
              </w:rPr>
            </w:pPr>
            <w:r>
              <w:rPr>
                <w:rFonts w:hint="eastAsia" w:ascii="宋体" w:hAnsi="宋体" w:cs="宋体"/>
                <w:szCs w:val="21"/>
                <w:lang w:bidi="ar"/>
              </w:rPr>
              <w:t>工程招标</w:t>
            </w:r>
          </w:p>
        </w:tc>
      </w:tr>
      <w:tr w14:paraId="6C2E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32CD4EF6">
            <w:pPr>
              <w:jc w:val="center"/>
              <w:rPr>
                <w:rFonts w:ascii="宋体" w:hAnsi="宋体" w:cs="宋体"/>
                <w:szCs w:val="21"/>
              </w:rPr>
            </w:pPr>
            <w:r>
              <w:rPr>
                <w:rFonts w:hint="eastAsia" w:ascii="宋体" w:hAnsi="宋体" w:cs="宋体"/>
                <w:szCs w:val="21"/>
                <w:lang w:bidi="ar"/>
              </w:rPr>
              <w:t>100 以下</w:t>
            </w:r>
          </w:p>
        </w:tc>
        <w:tc>
          <w:tcPr>
            <w:tcW w:w="2259" w:type="dxa"/>
            <w:tcBorders>
              <w:top w:val="single" w:color="auto" w:sz="4" w:space="0"/>
              <w:left w:val="single" w:color="auto" w:sz="4" w:space="0"/>
              <w:bottom w:val="single" w:color="auto" w:sz="4" w:space="0"/>
              <w:right w:val="single" w:color="auto" w:sz="4" w:space="0"/>
            </w:tcBorders>
            <w:vAlign w:val="center"/>
          </w:tcPr>
          <w:p w14:paraId="572A599F">
            <w:pPr>
              <w:jc w:val="center"/>
              <w:rPr>
                <w:rFonts w:ascii="宋体" w:hAnsi="宋体" w:cs="宋体"/>
                <w:strike/>
                <w:szCs w:val="21"/>
              </w:rPr>
            </w:pPr>
            <w:r>
              <w:rPr>
                <w:rFonts w:hint="eastAsia" w:ascii="宋体" w:hAnsi="宋体" w:cs="宋体"/>
                <w:strike/>
                <w:szCs w:val="21"/>
                <w:lang w:bidi="ar"/>
              </w:rPr>
              <w:t>1.5%</w:t>
            </w:r>
          </w:p>
        </w:tc>
        <w:tc>
          <w:tcPr>
            <w:tcW w:w="2175" w:type="dxa"/>
            <w:tcBorders>
              <w:top w:val="single" w:color="auto" w:sz="4" w:space="0"/>
              <w:left w:val="single" w:color="auto" w:sz="4" w:space="0"/>
              <w:bottom w:val="single" w:color="auto" w:sz="4" w:space="0"/>
              <w:right w:val="single" w:color="auto" w:sz="4" w:space="0"/>
            </w:tcBorders>
            <w:vAlign w:val="center"/>
          </w:tcPr>
          <w:p w14:paraId="0071BEAE">
            <w:pPr>
              <w:jc w:val="center"/>
              <w:rPr>
                <w:rFonts w:ascii="宋体" w:hAnsi="宋体" w:cs="宋体"/>
                <w:strike/>
                <w:szCs w:val="21"/>
              </w:rPr>
            </w:pPr>
            <w:r>
              <w:rPr>
                <w:rFonts w:hint="eastAsia" w:ascii="宋体" w:hAnsi="宋体" w:cs="宋体"/>
                <w:strike/>
                <w:szCs w:val="21"/>
                <w:lang w:bidi="ar"/>
              </w:rPr>
              <w:t>1.5%</w:t>
            </w:r>
          </w:p>
        </w:tc>
        <w:tc>
          <w:tcPr>
            <w:tcW w:w="2033" w:type="dxa"/>
            <w:tcBorders>
              <w:top w:val="single" w:color="auto" w:sz="4" w:space="0"/>
              <w:left w:val="single" w:color="auto" w:sz="4" w:space="0"/>
              <w:bottom w:val="single" w:color="auto" w:sz="4" w:space="0"/>
              <w:right w:val="single" w:color="auto" w:sz="4" w:space="0"/>
            </w:tcBorders>
            <w:vAlign w:val="center"/>
          </w:tcPr>
          <w:p w14:paraId="02A5D34E">
            <w:pPr>
              <w:jc w:val="center"/>
              <w:rPr>
                <w:rFonts w:ascii="宋体" w:hAnsi="宋体" w:cs="宋体"/>
                <w:szCs w:val="21"/>
              </w:rPr>
            </w:pPr>
            <w:r>
              <w:rPr>
                <w:rFonts w:hint="eastAsia" w:ascii="宋体" w:hAnsi="宋体" w:cs="宋体"/>
                <w:szCs w:val="21"/>
                <w:lang w:bidi="ar"/>
              </w:rPr>
              <w:t>1.0%</w:t>
            </w:r>
          </w:p>
        </w:tc>
      </w:tr>
      <w:tr w14:paraId="2B10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0FB44FA6">
            <w:pPr>
              <w:jc w:val="center"/>
              <w:rPr>
                <w:rFonts w:ascii="宋体" w:hAnsi="宋体" w:cs="宋体"/>
                <w:szCs w:val="21"/>
                <w:lang w:bidi="ar"/>
              </w:rPr>
            </w:pPr>
            <w:r>
              <w:rPr>
                <w:rFonts w:hint="eastAsia" w:ascii="宋体" w:hAnsi="宋体" w:cs="宋体"/>
                <w:szCs w:val="21"/>
                <w:lang w:bidi="ar"/>
              </w:rPr>
              <w:t>100-500</w:t>
            </w:r>
          </w:p>
        </w:tc>
        <w:tc>
          <w:tcPr>
            <w:tcW w:w="2259" w:type="dxa"/>
            <w:tcBorders>
              <w:top w:val="single" w:color="auto" w:sz="4" w:space="0"/>
              <w:left w:val="single" w:color="auto" w:sz="4" w:space="0"/>
              <w:bottom w:val="single" w:color="auto" w:sz="4" w:space="0"/>
              <w:right w:val="single" w:color="auto" w:sz="4" w:space="0"/>
            </w:tcBorders>
            <w:vAlign w:val="center"/>
          </w:tcPr>
          <w:p w14:paraId="0AB34E00">
            <w:pPr>
              <w:jc w:val="center"/>
              <w:rPr>
                <w:rFonts w:ascii="宋体" w:hAnsi="宋体" w:cs="宋体"/>
                <w:strike/>
                <w:szCs w:val="21"/>
                <w:lang w:bidi="ar"/>
              </w:rPr>
            </w:pPr>
            <w:r>
              <w:rPr>
                <w:rFonts w:hint="eastAsia" w:ascii="宋体" w:hAnsi="宋体" w:cs="宋体"/>
                <w:strike/>
                <w:szCs w:val="21"/>
                <w:lang w:bidi="ar"/>
              </w:rPr>
              <w:t>1.1%</w:t>
            </w:r>
          </w:p>
        </w:tc>
        <w:tc>
          <w:tcPr>
            <w:tcW w:w="2175" w:type="dxa"/>
            <w:tcBorders>
              <w:top w:val="single" w:color="auto" w:sz="4" w:space="0"/>
              <w:left w:val="single" w:color="auto" w:sz="4" w:space="0"/>
              <w:bottom w:val="single" w:color="auto" w:sz="4" w:space="0"/>
              <w:right w:val="single" w:color="auto" w:sz="4" w:space="0"/>
            </w:tcBorders>
            <w:vAlign w:val="center"/>
          </w:tcPr>
          <w:p w14:paraId="5AD1FB9C">
            <w:pPr>
              <w:jc w:val="center"/>
              <w:rPr>
                <w:rFonts w:ascii="宋体" w:hAnsi="宋体" w:cs="宋体"/>
                <w:strike/>
                <w:szCs w:val="21"/>
                <w:lang w:bidi="ar"/>
              </w:rPr>
            </w:pPr>
            <w:r>
              <w:rPr>
                <w:rFonts w:hint="eastAsia" w:ascii="宋体" w:hAnsi="宋体" w:cs="宋体"/>
                <w:strike/>
                <w:szCs w:val="21"/>
                <w:lang w:bidi="ar"/>
              </w:rPr>
              <w:t>0.8%</w:t>
            </w:r>
          </w:p>
        </w:tc>
        <w:tc>
          <w:tcPr>
            <w:tcW w:w="2033" w:type="dxa"/>
            <w:tcBorders>
              <w:top w:val="single" w:color="auto" w:sz="4" w:space="0"/>
              <w:left w:val="single" w:color="auto" w:sz="4" w:space="0"/>
              <w:bottom w:val="single" w:color="auto" w:sz="4" w:space="0"/>
              <w:right w:val="single" w:color="auto" w:sz="4" w:space="0"/>
            </w:tcBorders>
            <w:vAlign w:val="center"/>
          </w:tcPr>
          <w:p w14:paraId="1A6DAF58">
            <w:pPr>
              <w:jc w:val="center"/>
              <w:rPr>
                <w:rFonts w:ascii="宋体" w:hAnsi="宋体" w:cs="宋体"/>
                <w:szCs w:val="21"/>
                <w:lang w:bidi="ar"/>
              </w:rPr>
            </w:pPr>
            <w:r>
              <w:rPr>
                <w:rFonts w:hint="eastAsia" w:ascii="宋体" w:hAnsi="宋体" w:cs="宋体"/>
                <w:szCs w:val="21"/>
                <w:lang w:bidi="ar"/>
              </w:rPr>
              <w:t>0.7%</w:t>
            </w:r>
          </w:p>
        </w:tc>
      </w:tr>
      <w:tr w14:paraId="4548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6CA87879">
            <w:pPr>
              <w:jc w:val="center"/>
              <w:rPr>
                <w:rFonts w:ascii="宋体" w:hAnsi="宋体" w:cs="宋体"/>
                <w:szCs w:val="21"/>
                <w:lang w:bidi="ar"/>
              </w:rPr>
            </w:pPr>
            <w:r>
              <w:rPr>
                <w:rFonts w:hint="eastAsia" w:ascii="宋体" w:hAnsi="宋体" w:cs="宋体"/>
                <w:szCs w:val="21"/>
                <w:lang w:bidi="ar"/>
              </w:rPr>
              <w:t>500-1000</w:t>
            </w:r>
          </w:p>
        </w:tc>
        <w:tc>
          <w:tcPr>
            <w:tcW w:w="2259" w:type="dxa"/>
            <w:tcBorders>
              <w:top w:val="single" w:color="auto" w:sz="4" w:space="0"/>
              <w:left w:val="single" w:color="auto" w:sz="4" w:space="0"/>
              <w:bottom w:val="single" w:color="auto" w:sz="4" w:space="0"/>
              <w:right w:val="single" w:color="auto" w:sz="4" w:space="0"/>
            </w:tcBorders>
            <w:vAlign w:val="center"/>
          </w:tcPr>
          <w:p w14:paraId="3584C023">
            <w:pPr>
              <w:jc w:val="center"/>
              <w:rPr>
                <w:rFonts w:ascii="宋体" w:hAnsi="宋体" w:cs="宋体"/>
                <w:strike/>
                <w:szCs w:val="21"/>
                <w:lang w:bidi="ar"/>
              </w:rPr>
            </w:pPr>
            <w:r>
              <w:rPr>
                <w:rFonts w:hint="eastAsia" w:ascii="宋体" w:hAnsi="宋体" w:cs="宋体"/>
                <w:strike/>
                <w:szCs w:val="21"/>
                <w:lang w:bidi="ar"/>
              </w:rPr>
              <w:t>0.8%</w:t>
            </w:r>
          </w:p>
        </w:tc>
        <w:tc>
          <w:tcPr>
            <w:tcW w:w="2175" w:type="dxa"/>
            <w:tcBorders>
              <w:top w:val="single" w:color="auto" w:sz="4" w:space="0"/>
              <w:left w:val="single" w:color="auto" w:sz="4" w:space="0"/>
              <w:bottom w:val="single" w:color="auto" w:sz="4" w:space="0"/>
              <w:right w:val="single" w:color="auto" w:sz="4" w:space="0"/>
            </w:tcBorders>
            <w:vAlign w:val="center"/>
          </w:tcPr>
          <w:p w14:paraId="4FEA1297">
            <w:pPr>
              <w:jc w:val="center"/>
              <w:rPr>
                <w:rFonts w:ascii="宋体" w:hAnsi="宋体" w:cs="宋体"/>
                <w:strike/>
                <w:szCs w:val="21"/>
                <w:lang w:bidi="ar"/>
              </w:rPr>
            </w:pPr>
            <w:r>
              <w:rPr>
                <w:rFonts w:hint="eastAsia" w:ascii="宋体" w:hAnsi="宋体" w:cs="宋体"/>
                <w:strike/>
                <w:szCs w:val="21"/>
                <w:lang w:bidi="ar"/>
              </w:rPr>
              <w:t>0.45%</w:t>
            </w:r>
          </w:p>
        </w:tc>
        <w:tc>
          <w:tcPr>
            <w:tcW w:w="2033" w:type="dxa"/>
            <w:tcBorders>
              <w:top w:val="single" w:color="auto" w:sz="4" w:space="0"/>
              <w:left w:val="single" w:color="auto" w:sz="4" w:space="0"/>
              <w:bottom w:val="single" w:color="auto" w:sz="4" w:space="0"/>
              <w:right w:val="single" w:color="auto" w:sz="4" w:space="0"/>
            </w:tcBorders>
            <w:vAlign w:val="center"/>
          </w:tcPr>
          <w:p w14:paraId="50064E34">
            <w:pPr>
              <w:jc w:val="center"/>
              <w:rPr>
                <w:rFonts w:ascii="宋体" w:hAnsi="宋体" w:cs="宋体"/>
                <w:szCs w:val="21"/>
                <w:lang w:bidi="ar"/>
              </w:rPr>
            </w:pPr>
            <w:r>
              <w:rPr>
                <w:rFonts w:hint="eastAsia" w:ascii="宋体" w:hAnsi="宋体" w:cs="宋体"/>
                <w:szCs w:val="21"/>
                <w:lang w:bidi="ar"/>
              </w:rPr>
              <w:t>0.55%</w:t>
            </w:r>
          </w:p>
        </w:tc>
      </w:tr>
      <w:tr w14:paraId="5ED5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8823" w:type="dxa"/>
            <w:gridSpan w:val="4"/>
            <w:tcBorders>
              <w:top w:val="single" w:color="auto" w:sz="4" w:space="0"/>
              <w:left w:val="single" w:color="auto" w:sz="4" w:space="0"/>
              <w:bottom w:val="single" w:color="auto" w:sz="4" w:space="0"/>
              <w:right w:val="single" w:color="auto" w:sz="4" w:space="0"/>
            </w:tcBorders>
            <w:vAlign w:val="center"/>
          </w:tcPr>
          <w:p w14:paraId="3E638E1F">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【注：招标代理服务收费按差额定率累进法计算。例如：某工程招标代理业务中标金额为 1000万元，计算招标代理服务收费额如下：】 </w:t>
            </w:r>
          </w:p>
          <w:p w14:paraId="268272DF">
            <w:pPr>
              <w:pStyle w:val="42"/>
              <w:tabs>
                <w:tab w:val="left" w:pos="0"/>
                <w:tab w:val="left" w:pos="420"/>
              </w:tabs>
              <w:autoSpaceDE w:val="0"/>
              <w:autoSpaceDN w:val="0"/>
              <w:spacing w:line="288" w:lineRule="auto"/>
              <w:textAlignment w:val="bottom"/>
              <w:outlineLvl w:val="2"/>
              <w:rPr>
                <w:rFonts w:ascii="宋体" w:hAnsi="宋体" w:cs="宋体"/>
                <w:szCs w:val="21"/>
                <w:lang w:bidi="ar"/>
              </w:rPr>
            </w:pPr>
            <w:r>
              <w:rPr>
                <w:rFonts w:hint="eastAsia" w:ascii="宋体" w:hAnsi="宋体" w:cs="宋体"/>
                <w:szCs w:val="21"/>
                <w:lang w:bidi="ar"/>
              </w:rPr>
              <w:t xml:space="preserve">100 万元× 1.0%=1 万元 </w:t>
            </w:r>
          </w:p>
          <w:p w14:paraId="718A87EC">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 500-100 ）万元× 0.7%=2.8 万元 </w:t>
            </w:r>
          </w:p>
          <w:p w14:paraId="1E4F5A37">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 1000-500 ）× 0.55%=2.75 万元 </w:t>
            </w:r>
          </w:p>
          <w:p w14:paraId="65A2EB63">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合计收费 =1+2.8+2.75=6.55 （万元）</w:t>
            </w:r>
          </w:p>
        </w:tc>
      </w:tr>
    </w:tbl>
    <w:p w14:paraId="24BB085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政采贷相关说明：</w:t>
      </w:r>
    </w:p>
    <w:p w14:paraId="0216A45E">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为优化政府采购营商环境，缓解供应商资金难题，政采云平台已推广应用“政采贷”服务，中标供应商如有融资需求，可使用以下银行的政采贷服务（详见投标人须知详见前附表）。</w:t>
      </w:r>
    </w:p>
    <w:p w14:paraId="44226D0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sectPr>
          <w:pgSz w:w="11906" w:h="16838"/>
          <w:pgMar w:top="1100" w:right="1134" w:bottom="1100" w:left="1134" w:header="340" w:footer="510" w:gutter="0"/>
          <w:pgNumType w:fmt="decimal"/>
          <w:cols w:space="720" w:num="1"/>
          <w:docGrid w:type="lines" w:linePitch="312" w:charSpace="0"/>
        </w:sectPr>
      </w:pPr>
      <w:r>
        <w:rPr>
          <w:rFonts w:hint="eastAsia" w:ascii="宋体" w:hAnsi="宋体" w:cs="宋体"/>
          <w:szCs w:val="21"/>
        </w:rPr>
        <w:t>其他内容：磋商须知详见前附表</w:t>
      </w:r>
    </w:p>
    <w:p w14:paraId="069571EC">
      <w:pPr>
        <w:pStyle w:val="3"/>
        <w:spacing w:before="0" w:after="156" w:afterLines="50" w:line="360" w:lineRule="auto"/>
        <w:jc w:val="center"/>
        <w:rPr>
          <w:rFonts w:ascii="宋体" w:hAnsi="宋体"/>
          <w:sz w:val="32"/>
          <w:szCs w:val="32"/>
        </w:rPr>
      </w:pPr>
      <w:bookmarkStart w:id="118" w:name="_Toc528927423"/>
      <w:bookmarkStart w:id="119" w:name="_Toc31367"/>
      <w:bookmarkStart w:id="120" w:name="_Toc9850"/>
      <w:r>
        <w:rPr>
          <w:rFonts w:hint="eastAsia" w:ascii="宋体" w:hAnsi="宋体"/>
          <w:sz w:val="32"/>
          <w:szCs w:val="32"/>
        </w:rPr>
        <w:t xml:space="preserve">第四章  </w:t>
      </w:r>
      <w:bookmarkEnd w:id="118"/>
      <w:r>
        <w:rPr>
          <w:rFonts w:hint="eastAsia" w:ascii="宋体" w:hAnsi="宋体"/>
          <w:sz w:val="32"/>
          <w:szCs w:val="32"/>
        </w:rPr>
        <w:t>磋商评审办法</w:t>
      </w:r>
    </w:p>
    <w:p w14:paraId="01117CCC">
      <w:pPr>
        <w:spacing w:line="360" w:lineRule="auto"/>
        <w:ind w:firstLine="420" w:firstLineChars="200"/>
        <w:rPr>
          <w:rFonts w:ascii="宋体" w:hAnsi="宋体"/>
          <w:szCs w:val="21"/>
        </w:rPr>
      </w:pPr>
      <w:r>
        <w:rPr>
          <w:rFonts w:ascii="宋体" w:hAnsi="宋体"/>
          <w:szCs w:val="21"/>
        </w:rPr>
        <w:t>本办法严格遵照《中华人民共和国政府采购法》、《中华人民共和国政府采购法实施条例》</w:t>
      </w:r>
      <w:r>
        <w:rPr>
          <w:rFonts w:hint="eastAsia" w:ascii="宋体" w:hAnsi="宋体"/>
          <w:szCs w:val="21"/>
        </w:rPr>
        <w:t>、《政府采购竞争性磋商采购方式管理暂行办法》，</w:t>
      </w:r>
      <w:r>
        <w:rPr>
          <w:rFonts w:ascii="宋体" w:hAnsi="宋体"/>
          <w:szCs w:val="21"/>
        </w:rPr>
        <w:t>结合项目所在地政府有关政府采购规定和项目的实际情况制定。</w:t>
      </w:r>
    </w:p>
    <w:p w14:paraId="284ED121">
      <w:pPr>
        <w:pStyle w:val="4"/>
        <w:numPr>
          <w:ilvl w:val="0"/>
          <w:numId w:val="11"/>
        </w:numPr>
        <w:spacing w:before="0" w:after="0" w:line="360" w:lineRule="auto"/>
        <w:jc w:val="left"/>
        <w:rPr>
          <w:rFonts w:ascii="宋体" w:hAnsi="宋体" w:eastAsia="宋体"/>
          <w:sz w:val="21"/>
          <w:szCs w:val="21"/>
        </w:rPr>
      </w:pPr>
      <w:bookmarkStart w:id="121" w:name="_Toc528927424"/>
      <w:bookmarkStart w:id="122" w:name="_Toc508888801"/>
      <w:r>
        <w:rPr>
          <w:rFonts w:hint="eastAsia" w:ascii="宋体" w:hAnsi="宋体" w:eastAsia="宋体"/>
          <w:sz w:val="21"/>
          <w:szCs w:val="21"/>
        </w:rPr>
        <w:t>总则</w:t>
      </w:r>
      <w:bookmarkEnd w:id="121"/>
      <w:bookmarkEnd w:id="122"/>
    </w:p>
    <w:p w14:paraId="40093E4C">
      <w:pPr>
        <w:spacing w:line="360" w:lineRule="auto"/>
        <w:ind w:firstLine="420" w:firstLineChars="200"/>
        <w:rPr>
          <w:rFonts w:ascii="宋体" w:hAnsi="宋体" w:cs="宋体"/>
          <w:szCs w:val="21"/>
        </w:rPr>
      </w:pPr>
      <w:bookmarkStart w:id="123" w:name="_Toc508888802"/>
      <w:r>
        <w:rPr>
          <w:rFonts w:hint="eastAsia" w:ascii="宋体" w:hAnsi="宋体" w:cs="宋体"/>
          <w:szCs w:val="21"/>
        </w:rPr>
        <w:t>采购活动遵循公平、公正、科学、择优的原则依法进行，磋商小组根据采购文件规定的评审程序、评审方法和评审标准进行独立评审，并推荐成交候选人。磋商评审期间，磋商小组必须严格遵守保密规定，不得泄露评审的有关情况以及评审过程中获悉的国家秘密、商业秘密。如发现采购文件内容违反国家有关强制性规定的，磋商小组应当停止评审并向采购人或者采购代理机构说明情况。</w:t>
      </w:r>
    </w:p>
    <w:p w14:paraId="6B2D963B">
      <w:pPr>
        <w:pStyle w:val="4"/>
        <w:numPr>
          <w:ilvl w:val="0"/>
          <w:numId w:val="11"/>
        </w:numPr>
        <w:spacing w:before="156" w:beforeLines="50" w:after="0" w:line="360" w:lineRule="auto"/>
        <w:jc w:val="left"/>
        <w:rPr>
          <w:rFonts w:ascii="宋体" w:hAnsi="宋体" w:eastAsia="宋体"/>
          <w:sz w:val="21"/>
          <w:szCs w:val="21"/>
        </w:rPr>
      </w:pPr>
      <w:bookmarkStart w:id="124" w:name="_Toc528927425"/>
      <w:r>
        <w:rPr>
          <w:rFonts w:hint="eastAsia" w:ascii="宋体" w:hAnsi="宋体" w:eastAsia="宋体"/>
          <w:sz w:val="21"/>
          <w:szCs w:val="21"/>
        </w:rPr>
        <w:t>评标组织</w:t>
      </w:r>
      <w:bookmarkEnd w:id="123"/>
      <w:bookmarkEnd w:id="124"/>
    </w:p>
    <w:p w14:paraId="517905C1">
      <w:pPr>
        <w:spacing w:line="360" w:lineRule="auto"/>
        <w:ind w:firstLine="420" w:firstLineChars="200"/>
        <w:rPr>
          <w:rFonts w:ascii="宋体" w:hAnsi="宋体"/>
          <w:szCs w:val="21"/>
        </w:rPr>
      </w:pPr>
      <w:r>
        <w:rPr>
          <w:rFonts w:hint="eastAsia" w:ascii="宋体" w:hAnsi="宋体"/>
          <w:szCs w:val="21"/>
        </w:rPr>
        <w:t>评标工作由采购人依法组建的磋商小组负责，</w:t>
      </w:r>
      <w:r>
        <w:rPr>
          <w:rFonts w:hint="eastAsia" w:ascii="宋体" w:hAnsi="宋体" w:cs="宋体"/>
          <w:szCs w:val="21"/>
        </w:rPr>
        <w:t>磋商小组由采购人代表和政府采购评审专家等有关人员组成，</w:t>
      </w:r>
      <w:r>
        <w:rPr>
          <w:rFonts w:hint="eastAsia" w:ascii="宋体" w:hAnsi="宋体"/>
          <w:szCs w:val="21"/>
        </w:rPr>
        <w:t>评标全过程接受有关部门监督指导。</w:t>
      </w:r>
      <w:bookmarkStart w:id="125" w:name="_Toc508888803"/>
      <w:bookmarkStart w:id="126" w:name="_Toc528927426"/>
    </w:p>
    <w:p w14:paraId="621012B8">
      <w:pPr>
        <w:pStyle w:val="4"/>
        <w:numPr>
          <w:ilvl w:val="0"/>
          <w:numId w:val="11"/>
        </w:numPr>
        <w:spacing w:before="156" w:beforeLines="50" w:after="0" w:line="360" w:lineRule="auto"/>
        <w:jc w:val="left"/>
        <w:rPr>
          <w:rFonts w:ascii="宋体" w:hAnsi="宋体" w:eastAsia="宋体"/>
          <w:sz w:val="21"/>
          <w:szCs w:val="21"/>
        </w:rPr>
      </w:pPr>
      <w:bookmarkStart w:id="127" w:name="_Toc528927427"/>
      <w:bookmarkStart w:id="128" w:name="_Toc508888804"/>
      <w:r>
        <w:rPr>
          <w:rFonts w:hint="eastAsia" w:ascii="宋体" w:hAnsi="宋体" w:eastAsia="宋体"/>
          <w:sz w:val="21"/>
          <w:szCs w:val="21"/>
        </w:rPr>
        <w:t>评标办法</w:t>
      </w:r>
      <w:bookmarkEnd w:id="127"/>
      <w:bookmarkEnd w:id="128"/>
    </w:p>
    <w:p w14:paraId="45E9AB81">
      <w:pPr>
        <w:spacing w:line="360" w:lineRule="auto"/>
        <w:ind w:firstLine="420" w:firstLineChars="200"/>
        <w:rPr>
          <w:rFonts w:ascii="宋体" w:hAnsi="宋体"/>
          <w:szCs w:val="21"/>
        </w:rPr>
      </w:pPr>
      <w:r>
        <w:rPr>
          <w:rFonts w:hint="eastAsia" w:ascii="宋体" w:hAnsi="宋体"/>
          <w:szCs w:val="21"/>
        </w:rPr>
        <w:t>本评标方法采用百分制</w:t>
      </w:r>
      <w:r>
        <w:rPr>
          <w:rFonts w:hint="eastAsia" w:ascii="宋体" w:hAnsi="宋体"/>
          <w:b/>
          <w:bCs/>
          <w:szCs w:val="21"/>
          <w:u w:val="single"/>
        </w:rPr>
        <w:t>综合评分法</w:t>
      </w:r>
      <w:r>
        <w:rPr>
          <w:rFonts w:hint="eastAsia" w:ascii="宋体" w:hAnsi="宋体"/>
          <w:szCs w:val="21"/>
        </w:rPr>
        <w:t>，是指供应商最大限度满足采购文件实质性要求的基础上，按照采购文件各项评审因素进行综合评审后，以评标综合得分由高至低推荐中标候选人的评标办法。</w:t>
      </w:r>
    </w:p>
    <w:p w14:paraId="6324D454">
      <w:pPr>
        <w:autoSpaceDE w:val="0"/>
        <w:autoSpaceDN w:val="0"/>
        <w:spacing w:line="360" w:lineRule="auto"/>
        <w:ind w:firstLine="420" w:firstLineChars="200"/>
        <w:rPr>
          <w:rFonts w:ascii="宋体" w:hAnsi="宋体"/>
          <w:szCs w:val="21"/>
        </w:rPr>
      </w:pPr>
      <w:r>
        <w:rPr>
          <w:rFonts w:hint="eastAsia" w:ascii="宋体" w:hAnsi="宋体"/>
          <w:bCs/>
          <w:szCs w:val="21"/>
          <w:lang w:val="zh-CN"/>
        </w:rPr>
        <w:t>本项目综合评分设总分100分，其中商务资信、技术与报价权值比例见下表：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934"/>
        <w:gridCol w:w="1740"/>
        <w:gridCol w:w="1575"/>
        <w:gridCol w:w="1402"/>
      </w:tblGrid>
      <w:tr w14:paraId="7B2E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70" w:type="dxa"/>
            <w:tcBorders>
              <w:top w:val="single" w:color="auto" w:sz="4" w:space="0"/>
              <w:left w:val="single" w:color="auto" w:sz="4" w:space="0"/>
              <w:bottom w:val="single" w:color="auto" w:sz="4" w:space="0"/>
              <w:right w:val="single" w:color="auto" w:sz="4" w:space="0"/>
            </w:tcBorders>
            <w:shd w:val="clear" w:color="auto" w:fill="D8D8D8"/>
            <w:vAlign w:val="center"/>
          </w:tcPr>
          <w:p w14:paraId="57ED617A">
            <w:pPr>
              <w:jc w:val="center"/>
              <w:rPr>
                <w:rFonts w:ascii="宋体" w:hAnsi="宋体" w:cs="宋体"/>
                <w:b/>
                <w:szCs w:val="21"/>
              </w:rPr>
            </w:pPr>
            <w:r>
              <w:rPr>
                <w:rFonts w:hint="eastAsia" w:ascii="宋体" w:hAnsi="宋体" w:cs="宋体"/>
                <w:b/>
                <w:szCs w:val="21"/>
                <w:lang w:bidi="ar"/>
              </w:rPr>
              <w:t>评标指标</w:t>
            </w:r>
          </w:p>
        </w:tc>
        <w:tc>
          <w:tcPr>
            <w:tcW w:w="1934" w:type="dxa"/>
            <w:tcBorders>
              <w:top w:val="single" w:color="auto" w:sz="4" w:space="0"/>
              <w:left w:val="nil"/>
              <w:bottom w:val="single" w:color="auto" w:sz="4" w:space="0"/>
              <w:right w:val="single" w:color="auto" w:sz="4" w:space="0"/>
            </w:tcBorders>
            <w:shd w:val="clear" w:color="auto" w:fill="D8D8D8"/>
            <w:vAlign w:val="center"/>
          </w:tcPr>
          <w:p w14:paraId="2AC4E7E5">
            <w:pPr>
              <w:jc w:val="center"/>
              <w:rPr>
                <w:rFonts w:ascii="宋体" w:hAnsi="宋体" w:cs="宋体"/>
                <w:b/>
                <w:szCs w:val="21"/>
              </w:rPr>
            </w:pPr>
            <w:r>
              <w:rPr>
                <w:rFonts w:hint="eastAsia" w:ascii="宋体" w:hAnsi="宋体" w:cs="宋体"/>
                <w:b/>
                <w:szCs w:val="21"/>
                <w:lang w:bidi="ar"/>
              </w:rPr>
              <w:t>投标报价（价格）</w:t>
            </w:r>
          </w:p>
        </w:tc>
        <w:tc>
          <w:tcPr>
            <w:tcW w:w="1740" w:type="dxa"/>
            <w:tcBorders>
              <w:top w:val="single" w:color="auto" w:sz="4" w:space="0"/>
              <w:left w:val="nil"/>
              <w:bottom w:val="single" w:color="auto" w:sz="4" w:space="0"/>
              <w:right w:val="single" w:color="auto" w:sz="4" w:space="0"/>
            </w:tcBorders>
            <w:shd w:val="clear" w:color="auto" w:fill="D8D8D8"/>
            <w:vAlign w:val="center"/>
          </w:tcPr>
          <w:p w14:paraId="220E2A75">
            <w:pPr>
              <w:jc w:val="center"/>
              <w:rPr>
                <w:rFonts w:ascii="宋体" w:hAnsi="宋体" w:cs="宋体"/>
                <w:b/>
                <w:szCs w:val="21"/>
              </w:rPr>
            </w:pPr>
            <w:r>
              <w:rPr>
                <w:rFonts w:hint="eastAsia" w:ascii="宋体" w:hAnsi="宋体" w:cs="宋体"/>
                <w:b/>
                <w:szCs w:val="21"/>
                <w:lang w:bidi="ar"/>
              </w:rPr>
              <w:t>商务资信部分</w:t>
            </w:r>
          </w:p>
        </w:tc>
        <w:tc>
          <w:tcPr>
            <w:tcW w:w="1575" w:type="dxa"/>
            <w:tcBorders>
              <w:top w:val="single" w:color="auto" w:sz="4" w:space="0"/>
              <w:left w:val="nil"/>
              <w:bottom w:val="single" w:color="auto" w:sz="4" w:space="0"/>
              <w:right w:val="single" w:color="auto" w:sz="4" w:space="0"/>
            </w:tcBorders>
            <w:shd w:val="clear" w:color="auto" w:fill="D8D8D8"/>
            <w:vAlign w:val="center"/>
          </w:tcPr>
          <w:p w14:paraId="49692827">
            <w:pPr>
              <w:jc w:val="center"/>
              <w:rPr>
                <w:rFonts w:ascii="宋体" w:hAnsi="宋体" w:cs="宋体"/>
                <w:b/>
                <w:szCs w:val="21"/>
              </w:rPr>
            </w:pPr>
            <w:r>
              <w:rPr>
                <w:rFonts w:hint="eastAsia" w:ascii="宋体" w:hAnsi="宋体" w:cs="宋体"/>
                <w:b/>
                <w:szCs w:val="21"/>
                <w:lang w:bidi="ar"/>
              </w:rPr>
              <w:t>技术部分</w:t>
            </w:r>
          </w:p>
        </w:tc>
        <w:tc>
          <w:tcPr>
            <w:tcW w:w="1402" w:type="dxa"/>
            <w:tcBorders>
              <w:top w:val="single" w:color="auto" w:sz="4" w:space="0"/>
              <w:left w:val="nil"/>
              <w:bottom w:val="single" w:color="auto" w:sz="4" w:space="0"/>
              <w:right w:val="single" w:color="auto" w:sz="4" w:space="0"/>
            </w:tcBorders>
            <w:shd w:val="clear" w:color="auto" w:fill="D8D8D8"/>
            <w:vAlign w:val="center"/>
          </w:tcPr>
          <w:p w14:paraId="552BE3CE">
            <w:pPr>
              <w:jc w:val="center"/>
              <w:rPr>
                <w:rFonts w:ascii="宋体" w:hAnsi="宋体" w:cs="宋体"/>
                <w:b/>
                <w:szCs w:val="21"/>
              </w:rPr>
            </w:pPr>
            <w:r>
              <w:rPr>
                <w:rFonts w:hint="eastAsia" w:ascii="宋体" w:hAnsi="宋体" w:cs="宋体"/>
                <w:b/>
                <w:szCs w:val="21"/>
                <w:lang w:bidi="ar"/>
              </w:rPr>
              <w:t>合计</w:t>
            </w:r>
          </w:p>
        </w:tc>
      </w:tr>
      <w:tr w14:paraId="198E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56F03AEA">
            <w:pPr>
              <w:jc w:val="center"/>
              <w:rPr>
                <w:rFonts w:ascii="宋体" w:hAnsi="宋体" w:cs="宋体"/>
                <w:szCs w:val="21"/>
              </w:rPr>
            </w:pPr>
            <w:r>
              <w:rPr>
                <w:rFonts w:hint="eastAsia" w:ascii="宋体" w:hAnsi="宋体" w:cs="宋体"/>
                <w:szCs w:val="21"/>
                <w:lang w:bidi="ar"/>
              </w:rPr>
              <w:t>权重（%）</w:t>
            </w:r>
          </w:p>
        </w:tc>
        <w:tc>
          <w:tcPr>
            <w:tcW w:w="1934" w:type="dxa"/>
            <w:tcBorders>
              <w:top w:val="single" w:color="auto" w:sz="4" w:space="0"/>
              <w:left w:val="nil"/>
              <w:bottom w:val="single" w:color="auto" w:sz="4" w:space="0"/>
              <w:right w:val="single" w:color="auto" w:sz="4" w:space="0"/>
            </w:tcBorders>
            <w:vAlign w:val="center"/>
          </w:tcPr>
          <w:p w14:paraId="48C0354E">
            <w:pPr>
              <w:jc w:val="center"/>
              <w:rPr>
                <w:rFonts w:ascii="宋体" w:hAnsi="宋体" w:cs="宋体"/>
                <w:szCs w:val="21"/>
              </w:rPr>
            </w:pPr>
            <w:r>
              <w:rPr>
                <w:rFonts w:hint="eastAsia" w:ascii="宋体" w:hAnsi="宋体" w:cs="宋体"/>
                <w:szCs w:val="21"/>
                <w:lang w:val="en-US" w:eastAsia="zh-CN" w:bidi="ar"/>
              </w:rPr>
              <w:t>4</w:t>
            </w:r>
            <w:r>
              <w:rPr>
                <w:rFonts w:hint="eastAsia" w:ascii="宋体" w:hAnsi="宋体" w:cs="宋体"/>
                <w:szCs w:val="21"/>
                <w:lang w:bidi="ar"/>
              </w:rPr>
              <w:t>0</w:t>
            </w:r>
          </w:p>
        </w:tc>
        <w:tc>
          <w:tcPr>
            <w:tcW w:w="1740" w:type="dxa"/>
            <w:tcBorders>
              <w:top w:val="single" w:color="auto" w:sz="4" w:space="0"/>
              <w:left w:val="nil"/>
              <w:bottom w:val="single" w:color="auto" w:sz="4" w:space="0"/>
              <w:right w:val="single" w:color="auto" w:sz="4" w:space="0"/>
            </w:tcBorders>
            <w:vAlign w:val="center"/>
          </w:tcPr>
          <w:p w14:paraId="25EE3199">
            <w:pPr>
              <w:jc w:val="center"/>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0</w:t>
            </w:r>
          </w:p>
        </w:tc>
        <w:tc>
          <w:tcPr>
            <w:tcW w:w="1575" w:type="dxa"/>
            <w:tcBorders>
              <w:top w:val="single" w:color="auto" w:sz="4" w:space="0"/>
              <w:left w:val="nil"/>
              <w:bottom w:val="single" w:color="auto" w:sz="4" w:space="0"/>
              <w:right w:val="single" w:color="auto" w:sz="4" w:space="0"/>
            </w:tcBorders>
            <w:vAlign w:val="center"/>
          </w:tcPr>
          <w:p w14:paraId="2D914E37">
            <w:pPr>
              <w:jc w:val="center"/>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0</w:t>
            </w:r>
          </w:p>
        </w:tc>
        <w:tc>
          <w:tcPr>
            <w:tcW w:w="1402" w:type="dxa"/>
            <w:tcBorders>
              <w:top w:val="single" w:color="auto" w:sz="4" w:space="0"/>
              <w:left w:val="nil"/>
              <w:bottom w:val="single" w:color="auto" w:sz="4" w:space="0"/>
              <w:right w:val="single" w:color="auto" w:sz="4" w:space="0"/>
            </w:tcBorders>
            <w:vAlign w:val="center"/>
          </w:tcPr>
          <w:p w14:paraId="10733168">
            <w:pPr>
              <w:jc w:val="center"/>
              <w:rPr>
                <w:rFonts w:ascii="宋体" w:hAnsi="宋体" w:cs="宋体"/>
                <w:szCs w:val="21"/>
              </w:rPr>
            </w:pPr>
            <w:r>
              <w:rPr>
                <w:rFonts w:hint="eastAsia" w:ascii="宋体" w:hAnsi="宋体" w:cs="宋体"/>
                <w:szCs w:val="21"/>
                <w:lang w:bidi="ar"/>
              </w:rPr>
              <w:t>100</w:t>
            </w:r>
          </w:p>
        </w:tc>
      </w:tr>
    </w:tbl>
    <w:p w14:paraId="1B9DE657">
      <w:pPr>
        <w:pStyle w:val="4"/>
        <w:numPr>
          <w:ilvl w:val="0"/>
          <w:numId w:val="11"/>
        </w:numPr>
        <w:spacing w:before="156" w:beforeLines="50" w:after="0" w:line="360" w:lineRule="auto"/>
        <w:jc w:val="left"/>
        <w:rPr>
          <w:rFonts w:ascii="宋体" w:hAnsi="宋体" w:eastAsia="宋体"/>
          <w:sz w:val="21"/>
          <w:szCs w:val="21"/>
        </w:rPr>
      </w:pPr>
      <w:r>
        <w:rPr>
          <w:rFonts w:hint="eastAsia" w:ascii="宋体" w:hAnsi="宋体" w:eastAsia="宋体"/>
          <w:sz w:val="21"/>
          <w:szCs w:val="21"/>
        </w:rPr>
        <w:t xml:space="preserve">评审细则 </w:t>
      </w:r>
    </w:p>
    <w:p w14:paraId="02BB856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 评审工作由磋商小组负责。 </w:t>
      </w:r>
    </w:p>
    <w:p w14:paraId="1933334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 符合性审查 </w:t>
      </w:r>
    </w:p>
    <w:p w14:paraId="496904E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在对磋商响应文件的有效性、完整性和响应程度进行审查时，可以要求供应商对磋商响应文件中含义不明确、同类问题表述不一致或者有明显文字和计算错误的等书面内容进行必要的澄清、说明或更正。供应商的澄清、说明或者更正不得超出响应文件的范围或者改变响应文件的实质性内容。 </w:t>
      </w:r>
    </w:p>
    <w:p w14:paraId="55DE5BA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磋商小组要求供应商澄清、说明或者更正响应文件以书面形式作出。供应商的澄清、说明或者更正应当由法定代表人或其授权代表签字或者加盖公章。由授权代表签字的，应当附法定代表人授权书。 </w:t>
      </w:r>
    </w:p>
    <w:p w14:paraId="2B307171">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2.1 资格及响应符合性审查 </w:t>
      </w:r>
    </w:p>
    <w:p w14:paraId="097D701D">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573C46BF">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1）磋商响应文件中提供的资料无法证明供应商满足采购文件载明的供应商资格要求； </w:t>
      </w:r>
    </w:p>
    <w:p w14:paraId="07561F29">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2）磋商响应文件标明的商务、技术响应与事实不符或虚假响应的；</w:t>
      </w:r>
    </w:p>
    <w:p w14:paraId="00B3C08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3）未按采购文件的要求签署和盖章的； </w:t>
      </w:r>
    </w:p>
    <w:p w14:paraId="2ED98E2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4）未实质性响应采购文件规定的实质性内容的； </w:t>
      </w:r>
    </w:p>
    <w:p w14:paraId="3F727EF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5）存在法律、法规、规章、采购文件规定的其它无效情况的；</w:t>
      </w:r>
    </w:p>
    <w:p w14:paraId="20125869">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6）退出磋商的供应商的磋商响应文件； </w:t>
      </w:r>
    </w:p>
    <w:p w14:paraId="0B056A0E">
      <w:pPr>
        <w:widowControl/>
        <w:spacing w:line="360" w:lineRule="auto"/>
        <w:ind w:firstLine="420" w:firstLineChars="200"/>
        <w:jc w:val="left"/>
      </w:pPr>
      <w:r>
        <w:rPr>
          <w:rFonts w:hint="eastAsia" w:ascii="宋体" w:hAnsi="宋体" w:cs="宋体"/>
          <w:color w:val="000000"/>
          <w:kern w:val="0"/>
          <w:szCs w:val="21"/>
          <w:lang w:bidi="ar"/>
        </w:rPr>
        <w:t xml:space="preserve">7）采购文件中其他规定的。 </w:t>
      </w:r>
    </w:p>
    <w:p w14:paraId="5FC6D1A9">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2.2 技术符合性审查 </w:t>
      </w:r>
    </w:p>
    <w:p w14:paraId="0EFCF38F">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77B4F024">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1）主要产品的技术参数响应达不到采购需求的； </w:t>
      </w:r>
    </w:p>
    <w:p w14:paraId="0C18E6B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2）提供的技术服务人员不能满足采购需求的； </w:t>
      </w:r>
    </w:p>
    <w:p w14:paraId="17F10CE1">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3）主要的技术方案或安全保障措施、工期进度安排计划不可行的； </w:t>
      </w:r>
    </w:p>
    <w:p w14:paraId="699EDD40">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4）采用的验收标准或主要技术指标达不到国家强制性标准或采购文件要求的； </w:t>
      </w:r>
    </w:p>
    <w:p w14:paraId="4AFA8FAE">
      <w:pPr>
        <w:widowControl/>
        <w:spacing w:line="360" w:lineRule="auto"/>
        <w:ind w:firstLine="420" w:firstLineChars="200"/>
        <w:jc w:val="left"/>
      </w:pPr>
      <w:r>
        <w:rPr>
          <w:rFonts w:hint="eastAsia" w:ascii="宋体" w:hAnsi="宋体" w:cs="宋体"/>
          <w:color w:val="000000"/>
          <w:kern w:val="0"/>
          <w:szCs w:val="21"/>
          <w:lang w:bidi="ar"/>
        </w:rPr>
        <w:t xml:space="preserve">5）采购文件中其他规定的。 </w:t>
      </w:r>
    </w:p>
    <w:p w14:paraId="47325B9B">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2.3 报价符合性审查</w:t>
      </w:r>
    </w:p>
    <w:p w14:paraId="35F5A4C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2.3.1 报价错误修正 </w:t>
      </w:r>
    </w:p>
    <w:p w14:paraId="114BB62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磋商小组将对报价文件进行校核，报价出现前后不一致的，按照下列规定修正： </w:t>
      </w:r>
    </w:p>
    <w:p w14:paraId="0DA07005">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1）正本与副本不一致时，以正本为准； </w:t>
      </w:r>
    </w:p>
    <w:p w14:paraId="51BD899A">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2）开标一览表（报价表）内容与磋商响应文件中相应内容不一致的，以开标一览表（报价表）为准； </w:t>
      </w:r>
    </w:p>
    <w:p w14:paraId="40EEC878">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3）大写金额和小写金额不一致的，以大写金额为准； </w:t>
      </w:r>
    </w:p>
    <w:p w14:paraId="7D74DB56">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4）单价金额小数点或者百分比有明显错位的，以开标一览表的总价为准，并修改单价； </w:t>
      </w:r>
    </w:p>
    <w:p w14:paraId="58BABFA6">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5）总价金额与按单价汇总金额不一致的，以单价金额计算结果为准。 </w:t>
      </w:r>
    </w:p>
    <w:p w14:paraId="56196268">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同时出现两种以上不一致的，按照前款规定的顺序修正。修正后的报价以澄清方式经供应商确认后产生约束力，供应商不确认的，磋商小组应判定其为无效标。 </w:t>
      </w:r>
    </w:p>
    <w:p w14:paraId="140E6322">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2.3.2 合理报价澄清说明 </w:t>
      </w:r>
    </w:p>
    <w:p w14:paraId="7B408D84">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磋商小组认为供应商的报价明显低于其他通过符合性审查供应商的报价，有可能影响产品质量或者不能诚信履约的，应当要求供应商在政采云平台上30分钟内提供说明，必要时可要求供应商提交相关证明材料；磋商小组（少数服从多数原则）认为供应商不能证明其报价合理性的，应当将其作为无效标处理。</w:t>
      </w:r>
    </w:p>
    <w:p w14:paraId="236A1EE4">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2.3.3 </w:t>
      </w: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7FBF891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1）供应商未按采购文件实质性规定要求进行报价或拒绝修正不平衡报价； </w:t>
      </w:r>
    </w:p>
    <w:p w14:paraId="4CB96E4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2）磋商小组不调整采购内容及需求的情况下，供应商的最终报价高于初次报价； </w:t>
      </w:r>
    </w:p>
    <w:p w14:paraId="126FC4D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3）最终报价超过采购文件规定的预算价或最高限价； </w:t>
      </w:r>
    </w:p>
    <w:p w14:paraId="1DF851BE">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4）磋商小组认为供应商报价符合2.3.2合理报价澄清说明情形的； </w:t>
      </w:r>
    </w:p>
    <w:p w14:paraId="433BB049">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4. 磋商小组确定磋商要点和磋商程序，逐一与各供应商进行磋商，并记录磋商内容及供应商承诺内容。</w:t>
      </w:r>
    </w:p>
    <w:p w14:paraId="297FDE4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在磋商过程中，磋商小组可以根据采购文件和磋商情况实质性变动采购需求中的技术、服务要求以及合同草案条款，经采购人代表确认后以书面形式统一发给各供应商，并要求其承诺或重新提交响应文件。磋商承诺由供应商的法定代表人或其授权代表签字或者加盖公章，由授权代表签字的，应当附法定代表人授权书。 </w:t>
      </w:r>
    </w:p>
    <w:p w14:paraId="6819A94C">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经过磋商结束后，磋商小组对符合要求的有效供应商根据磋商响应文件响应情况、磋商情况等进行评审，并向采购人提出评审意见和评审报告。 </w:t>
      </w:r>
    </w:p>
    <w:p w14:paraId="7C10BC2F">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评审报告应当包括以下主要内容： </w:t>
      </w:r>
    </w:p>
    <w:p w14:paraId="00648E2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（1）邀请供应商参加采购活动的具体方式和相关情况； </w:t>
      </w:r>
    </w:p>
    <w:p w14:paraId="421DA44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（2）响应文件开启日期和地点； </w:t>
      </w:r>
    </w:p>
    <w:p w14:paraId="64D511B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（3）获取采购文件的供应商名单和磋商小组成员名单； </w:t>
      </w:r>
    </w:p>
    <w:p w14:paraId="5FE9199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（4）评审情况记录和说明，包括对供应商的资格审查情况、供应商响应文件评审情况、磋商情况、报价情况等； </w:t>
      </w:r>
    </w:p>
    <w:p w14:paraId="03CDDD2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（5）提出的成交候选供应商的排序名单及理由。</w:t>
      </w:r>
    </w:p>
    <w:p w14:paraId="4040A22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磋商小组对需要共同认定的事项存在争议的，应当按照少数服从多数的原则作出结论，持不同意见的磋商小组成员应当在评审报告上签署不同意见及理由，否则视为同意评审报告。</w:t>
      </w:r>
    </w:p>
    <w:p w14:paraId="5B1B918E">
      <w:pPr>
        <w:widowControl/>
        <w:spacing w:line="360" w:lineRule="auto"/>
        <w:ind w:firstLine="420" w:firstLineChars="200"/>
        <w:jc w:val="left"/>
        <w:rPr>
          <w:rFonts w:ascii="宋体" w:hAnsi="宋体"/>
          <w:szCs w:val="21"/>
        </w:rPr>
      </w:pPr>
      <w:r>
        <w:rPr>
          <w:rFonts w:hint="eastAsia" w:ascii="宋体" w:hAnsi="宋体" w:cs="宋体"/>
          <w:color w:val="000000"/>
          <w:kern w:val="0"/>
          <w:szCs w:val="21"/>
          <w:lang w:bidi="ar"/>
        </w:rPr>
        <w:t>评审报告有磋商小组全体人员签字认可。磋商小组成员对评审报告有异议的，磋商小组按照少数服从多数的原则推荐成交候选人。对评审报告有异议的磋商小组成员，应在评审报告上签署不同意见并说明理由。磋商小组成员拒绝在评审报告上签字又不书面说明其不同意见和理由的，视为同意评审报告。</w:t>
      </w:r>
      <w:bookmarkEnd w:id="125"/>
      <w:bookmarkEnd w:id="126"/>
    </w:p>
    <w:p w14:paraId="55F3A94B">
      <w:pPr>
        <w:widowControl/>
        <w:spacing w:line="360" w:lineRule="auto"/>
        <w:ind w:firstLine="422" w:firstLineChars="200"/>
        <w:jc w:val="left"/>
        <w:rPr>
          <w:rFonts w:ascii="宋体" w:hAnsi="宋体"/>
          <w:b/>
          <w:bCs/>
          <w:szCs w:val="21"/>
        </w:rPr>
      </w:pPr>
      <w:bookmarkStart w:id="129" w:name="_Toc528927428"/>
      <w:r>
        <w:rPr>
          <w:rFonts w:hint="eastAsia" w:ascii="宋体" w:hAnsi="宋体"/>
          <w:b/>
          <w:bCs/>
          <w:szCs w:val="21"/>
        </w:rPr>
        <w:t>3.详细评审</w:t>
      </w:r>
      <w:bookmarkEnd w:id="129"/>
    </w:p>
    <w:p w14:paraId="415CA0CD">
      <w:pPr>
        <w:spacing w:line="360" w:lineRule="auto"/>
        <w:ind w:firstLine="420" w:firstLineChars="200"/>
        <w:rPr>
          <w:rFonts w:ascii="宋体" w:hAnsi="宋体" w:cs="宋体"/>
          <w:szCs w:val="21"/>
        </w:rPr>
      </w:pPr>
      <w:r>
        <w:rPr>
          <w:rFonts w:hint="eastAsia" w:ascii="宋体" w:hAnsi="宋体" w:cs="宋体"/>
          <w:szCs w:val="21"/>
        </w:rPr>
        <w:t>评标委员会对初步评审合格的响应文件，依照本办法对技术、资信内容作进一步评审、比较。评标委员会成员经过阅标、审标和询标，对各供应商进行综合打分（分值均四舍五入，保留两位小数）。</w:t>
      </w:r>
    </w:p>
    <w:p w14:paraId="024EA185">
      <w:pPr>
        <w:spacing w:line="360" w:lineRule="auto"/>
        <w:ind w:firstLine="420" w:firstLineChars="200"/>
        <w:rPr>
          <w:rFonts w:ascii="宋体" w:hAnsi="宋体" w:cs="宋体"/>
          <w:szCs w:val="21"/>
        </w:rPr>
      </w:pPr>
      <w:r>
        <w:rPr>
          <w:rFonts w:hint="eastAsia" w:ascii="宋体" w:hAnsi="宋体" w:cs="宋体"/>
          <w:szCs w:val="21"/>
        </w:rPr>
        <w:t>评委打分参照本章附表：</w:t>
      </w:r>
      <w:r>
        <w:rPr>
          <w:rFonts w:hint="eastAsia" w:ascii="宋体" w:hAnsi="宋体" w:cs="宋体"/>
          <w:szCs w:val="21"/>
          <w:u w:val="single"/>
        </w:rPr>
        <w:t>评分标准表</w:t>
      </w:r>
      <w:r>
        <w:rPr>
          <w:rFonts w:hint="eastAsia" w:ascii="宋体" w:hAnsi="宋体" w:cs="宋体"/>
          <w:szCs w:val="21"/>
        </w:rPr>
        <w:t>。</w:t>
      </w:r>
    </w:p>
    <w:p w14:paraId="3DB39A95">
      <w:pPr>
        <w:spacing w:line="360" w:lineRule="auto"/>
        <w:ind w:firstLine="420" w:firstLineChars="200"/>
        <w:rPr>
          <w:rFonts w:ascii="宋体" w:hAnsi="宋体"/>
          <w:kern w:val="0"/>
          <w:szCs w:val="21"/>
          <w:lang w:val="zh-CN"/>
        </w:rPr>
      </w:pPr>
      <w:r>
        <w:rPr>
          <w:rFonts w:hint="eastAsia" w:ascii="宋体" w:hAnsi="宋体" w:cs="宋体"/>
          <w:szCs w:val="21"/>
        </w:rPr>
        <w:t>其中技术资信部分由评标委员会成员根据各供应商的响应文件进行独立打分（小数点后保留一位小数）。</w:t>
      </w:r>
      <w:r>
        <w:rPr>
          <w:rFonts w:hint="eastAsia" w:ascii="宋体" w:hAnsi="宋体"/>
          <w:kern w:val="0"/>
          <w:szCs w:val="21"/>
          <w:lang w:val="zh-CN"/>
        </w:rPr>
        <w:t>各供应商商务资信技术文件得分按照评标委员会成员的独立评分结果汇总后的算术平均分计算，计算公式为：</w:t>
      </w:r>
    </w:p>
    <w:p w14:paraId="0331CB7A">
      <w:pPr>
        <w:spacing w:line="360" w:lineRule="auto"/>
        <w:ind w:firstLine="422" w:firstLineChars="200"/>
        <w:rPr>
          <w:rFonts w:ascii="宋体" w:hAnsi="宋体"/>
          <w:b/>
          <w:kern w:val="0"/>
          <w:szCs w:val="21"/>
          <w:u w:val="single"/>
          <w:lang w:val="zh-CN"/>
        </w:rPr>
      </w:pPr>
      <w:r>
        <w:rPr>
          <w:rFonts w:hint="eastAsia" w:ascii="宋体" w:hAnsi="宋体"/>
          <w:b/>
          <w:kern w:val="0"/>
          <w:szCs w:val="21"/>
          <w:u w:val="single"/>
          <w:lang w:val="zh-CN"/>
        </w:rPr>
        <w:t xml:space="preserve">商务资信技术文件得分=评标委员会所有成员评分合计数/评标委员会组成人员数 </w:t>
      </w:r>
    </w:p>
    <w:p w14:paraId="69C12A9C">
      <w:pPr>
        <w:spacing w:line="360" w:lineRule="auto"/>
        <w:ind w:firstLine="420" w:firstLineChars="200"/>
        <w:rPr>
          <w:rFonts w:ascii="宋体" w:hAnsi="宋体" w:cs="宋体"/>
          <w:szCs w:val="21"/>
        </w:rPr>
      </w:pPr>
      <w:r>
        <w:rPr>
          <w:rFonts w:hint="eastAsia" w:ascii="宋体" w:hAnsi="宋体" w:cs="宋体"/>
          <w:szCs w:val="21"/>
        </w:rPr>
        <w:t>如出现采购文件及评标办法未及事宜，由评标小组依据有关法律法规及规章执行并讨论确定。</w:t>
      </w:r>
    </w:p>
    <w:p w14:paraId="2A16E099">
      <w:pPr>
        <w:spacing w:line="360" w:lineRule="auto"/>
        <w:ind w:firstLine="422" w:firstLineChars="200"/>
        <w:rPr>
          <w:rFonts w:ascii="宋体" w:hAnsi="宋体"/>
          <w:b/>
          <w:kern w:val="0"/>
          <w:szCs w:val="21"/>
          <w:lang w:val="zh-CN"/>
        </w:rPr>
      </w:pPr>
      <w:r>
        <w:rPr>
          <w:rFonts w:hint="eastAsia" w:ascii="宋体" w:hAnsi="宋体" w:cs="宋体"/>
          <w:b/>
          <w:szCs w:val="21"/>
        </w:rPr>
        <w:t>【</w:t>
      </w:r>
      <w:r>
        <w:rPr>
          <w:rFonts w:hint="eastAsia" w:ascii="宋体" w:hAnsi="宋体" w:cs="宋体"/>
          <w:b/>
          <w:szCs w:val="21"/>
          <w:u w:val="single"/>
        </w:rPr>
        <w:t>注：</w:t>
      </w:r>
      <w:r>
        <w:rPr>
          <w:rFonts w:hint="eastAsia" w:ascii="宋体" w:hAnsi="宋体" w:cs="宋体"/>
          <w:szCs w:val="21"/>
          <w:u w:val="single"/>
        </w:rPr>
        <w:t>评标委员会成员独立评审。评标委员会组长对拟认定为响应文件无效、供应商资格不符合的，应组织相关供应商代表进行陈述、澄清或申辩；代理机构可协助评标委员会对打分结果进行校对、核对并汇总统计；对明显畸高、畸低的评分（其总评分偏离平均分30%以上的），评标委员会组长应提醒相关评标委员会成员进行复核或书面说明理由，评标委员会成员拒绝说明的，由现场监督员据实记录；评标委员会成员的评审、修改记录应保留原件，随项目其他资料一并存档。</w:t>
      </w:r>
      <w:r>
        <w:rPr>
          <w:rFonts w:hint="eastAsia" w:ascii="宋体" w:hAnsi="宋体" w:cs="宋体"/>
          <w:szCs w:val="21"/>
        </w:rPr>
        <w:t>】</w:t>
      </w:r>
    </w:p>
    <w:p w14:paraId="6AF3078D">
      <w:pPr>
        <w:pStyle w:val="4"/>
        <w:numPr>
          <w:ilvl w:val="0"/>
          <w:numId w:val="11"/>
        </w:numPr>
        <w:spacing w:before="0" w:after="0" w:line="360" w:lineRule="auto"/>
        <w:jc w:val="left"/>
        <w:rPr>
          <w:rFonts w:ascii="宋体" w:hAnsi="宋体" w:eastAsia="宋体"/>
          <w:sz w:val="21"/>
          <w:szCs w:val="21"/>
        </w:rPr>
      </w:pPr>
      <w:r>
        <w:rPr>
          <w:rFonts w:hint="eastAsia" w:ascii="宋体" w:hAnsi="宋体" w:eastAsia="宋体"/>
          <w:sz w:val="21"/>
          <w:szCs w:val="21"/>
        </w:rPr>
        <w:t xml:space="preserve">重新评审 </w:t>
      </w:r>
    </w:p>
    <w:p w14:paraId="53AF31A1">
      <w:pPr>
        <w:spacing w:line="360" w:lineRule="auto"/>
        <w:ind w:firstLine="420" w:firstLineChars="200"/>
        <w:rPr>
          <w:rFonts w:ascii="宋体" w:hAnsi="宋体" w:cs="宋体"/>
          <w:szCs w:val="21"/>
        </w:rPr>
      </w:pPr>
      <w:r>
        <w:rPr>
          <w:rFonts w:hint="eastAsia" w:ascii="宋体" w:hAnsi="宋体" w:cs="宋体"/>
          <w:szCs w:val="21"/>
        </w:rPr>
        <w:t xml:space="preserve">评审结果形成后，除下列情形外，任何人不得重新评审： </w:t>
      </w:r>
    </w:p>
    <w:p w14:paraId="02EC2D26">
      <w:pPr>
        <w:spacing w:line="360" w:lineRule="auto"/>
        <w:ind w:firstLine="420" w:firstLineChars="200"/>
        <w:rPr>
          <w:rFonts w:ascii="宋体" w:hAnsi="宋体" w:cs="宋体"/>
          <w:szCs w:val="21"/>
        </w:rPr>
      </w:pPr>
      <w:r>
        <w:rPr>
          <w:rFonts w:hint="eastAsia" w:ascii="宋体" w:hAnsi="宋体" w:cs="宋体"/>
          <w:szCs w:val="21"/>
        </w:rPr>
        <w:t xml:space="preserve">（一）资格性检查认定错误； </w:t>
      </w:r>
    </w:p>
    <w:p w14:paraId="6FDA75A5">
      <w:pPr>
        <w:spacing w:line="360" w:lineRule="auto"/>
        <w:ind w:firstLine="420" w:firstLineChars="200"/>
        <w:rPr>
          <w:rFonts w:ascii="宋体" w:hAnsi="宋体" w:cs="宋体"/>
          <w:szCs w:val="21"/>
        </w:rPr>
      </w:pPr>
      <w:r>
        <w:rPr>
          <w:rFonts w:hint="eastAsia" w:ascii="宋体" w:hAnsi="宋体" w:cs="宋体"/>
          <w:szCs w:val="21"/>
        </w:rPr>
        <w:t xml:space="preserve">（二）分值汇总计算错误； </w:t>
      </w:r>
    </w:p>
    <w:p w14:paraId="1597B6E6">
      <w:pPr>
        <w:spacing w:line="360" w:lineRule="auto"/>
        <w:ind w:firstLine="420" w:firstLineChars="200"/>
        <w:rPr>
          <w:rFonts w:ascii="宋体" w:hAnsi="宋体" w:cs="宋体"/>
          <w:szCs w:val="21"/>
        </w:rPr>
      </w:pPr>
      <w:r>
        <w:rPr>
          <w:rFonts w:hint="eastAsia" w:ascii="宋体" w:hAnsi="宋体" w:cs="宋体"/>
          <w:szCs w:val="21"/>
        </w:rPr>
        <w:t xml:space="preserve">（三）分项评分超出评分标准范围； </w:t>
      </w:r>
    </w:p>
    <w:p w14:paraId="2F3E9E6F">
      <w:pPr>
        <w:spacing w:line="360" w:lineRule="auto"/>
        <w:ind w:firstLine="420" w:firstLineChars="200"/>
        <w:rPr>
          <w:rFonts w:ascii="宋体" w:hAnsi="宋体" w:cs="宋体"/>
          <w:szCs w:val="21"/>
        </w:rPr>
      </w:pPr>
      <w:r>
        <w:rPr>
          <w:rFonts w:hint="eastAsia" w:ascii="宋体" w:hAnsi="宋体" w:cs="宋体"/>
          <w:szCs w:val="21"/>
        </w:rPr>
        <w:t xml:space="preserve">（四）客观分评分不一致； </w:t>
      </w:r>
    </w:p>
    <w:p w14:paraId="210CC181">
      <w:pPr>
        <w:spacing w:line="360" w:lineRule="auto"/>
        <w:ind w:firstLine="420" w:firstLineChars="200"/>
        <w:rPr>
          <w:rFonts w:hint="eastAsia" w:ascii="宋体" w:hAnsi="宋体" w:cs="宋体"/>
          <w:szCs w:val="21"/>
        </w:rPr>
      </w:pPr>
      <w:r>
        <w:rPr>
          <w:rFonts w:hint="eastAsia" w:ascii="宋体" w:hAnsi="宋体" w:cs="宋体"/>
          <w:szCs w:val="21"/>
        </w:rPr>
        <w:t>（五）经磋商小组一致认定评分畸高、畸低的情形。</w:t>
      </w:r>
    </w:p>
    <w:p w14:paraId="15C2D067">
      <w:pPr>
        <w:widowControl/>
        <w:spacing w:line="360" w:lineRule="exact"/>
        <w:ind w:firstLine="422" w:firstLineChars="200"/>
        <w:jc w:val="left"/>
        <w:rPr>
          <w:rFonts w:hint="eastAsia"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lang w:val="en-US" w:eastAsia="zh-CN"/>
        </w:rPr>
        <w:t>六、</w:t>
      </w:r>
      <w:r>
        <w:rPr>
          <w:rFonts w:hint="eastAsia" w:ascii="宋体" w:hAnsi="宋体" w:eastAsia="宋体" w:cs="宋体"/>
          <w:b/>
          <w:bCs/>
          <w:color w:val="FF0000"/>
          <w:sz w:val="21"/>
          <w:szCs w:val="21"/>
          <w:highlight w:val="none"/>
        </w:rPr>
        <w:t>特别说明</w:t>
      </w:r>
    </w:p>
    <w:p w14:paraId="04694091">
      <w:pPr>
        <w:autoSpaceDE w:val="0"/>
        <w:autoSpaceDN w:val="0"/>
        <w:adjustRightInd w:val="0"/>
        <w:spacing w:line="360" w:lineRule="exact"/>
        <w:ind w:firstLine="422" w:firstLineChars="200"/>
        <w:rPr>
          <w:rFonts w:hint="eastAsia" w:ascii="宋体" w:hAnsi="宋体" w:eastAsia="宋体" w:cs="宋体"/>
          <w:b/>
          <w:bCs/>
          <w:color w:val="FF0000"/>
          <w:sz w:val="21"/>
          <w:szCs w:val="21"/>
          <w:highlight w:val="none"/>
          <w:u w:val="none"/>
          <w:lang w:eastAsia="zh-CN"/>
        </w:rPr>
      </w:pPr>
      <w:r>
        <w:rPr>
          <w:rFonts w:hint="eastAsia" w:ascii="宋体" w:hAnsi="宋体" w:eastAsia="宋体" w:cs="宋体"/>
          <w:b/>
          <w:bCs/>
          <w:color w:val="FF0000"/>
          <w:sz w:val="21"/>
          <w:szCs w:val="21"/>
          <w:highlight w:val="none"/>
          <w:u w:val="none"/>
        </w:rPr>
        <w:t>本项目按标项依次开标，各供应商可参与任一标项或多个标项投标，能成为</w:t>
      </w:r>
      <w:r>
        <w:rPr>
          <w:rFonts w:hint="eastAsia" w:ascii="宋体" w:hAnsi="宋体" w:eastAsia="宋体" w:cs="宋体"/>
          <w:b/>
          <w:bCs/>
          <w:color w:val="FF0000"/>
          <w:sz w:val="21"/>
          <w:szCs w:val="21"/>
          <w:highlight w:val="none"/>
          <w:u w:val="none"/>
          <w:lang w:val="en-US" w:eastAsia="zh-CN"/>
        </w:rPr>
        <w:t>多</w:t>
      </w:r>
      <w:r>
        <w:rPr>
          <w:rFonts w:hint="eastAsia" w:ascii="宋体" w:hAnsi="宋体" w:eastAsia="宋体" w:cs="宋体"/>
          <w:b/>
          <w:bCs/>
          <w:color w:val="FF0000"/>
          <w:sz w:val="21"/>
          <w:szCs w:val="21"/>
          <w:highlight w:val="none"/>
          <w:u w:val="none"/>
        </w:rPr>
        <w:t>个标项的第一中标候选人，各标项提交投标文件供应商或实质性响应供应商的家数须满足至少三家才可继续采购活动，否则该标项将作废标处理</w:t>
      </w:r>
      <w:r>
        <w:rPr>
          <w:rFonts w:hint="eastAsia" w:ascii="宋体" w:hAnsi="宋体" w:eastAsia="宋体" w:cs="宋体"/>
          <w:b/>
          <w:bCs/>
          <w:color w:val="FF0000"/>
          <w:sz w:val="21"/>
          <w:szCs w:val="21"/>
          <w:highlight w:val="none"/>
          <w:u w:val="none"/>
          <w:lang w:eastAsia="zh-CN"/>
        </w:rPr>
        <w:t>。</w:t>
      </w:r>
    </w:p>
    <w:p w14:paraId="489680BE">
      <w:pPr>
        <w:pStyle w:val="2"/>
      </w:pPr>
    </w:p>
    <w:p w14:paraId="3DC3C707">
      <w:pPr>
        <w:spacing w:line="360" w:lineRule="auto"/>
        <w:rPr>
          <w:rFonts w:ascii="宋体" w:hAnsi="宋体" w:cs="宋体"/>
          <w:szCs w:val="21"/>
          <w:lang w:val="zh-CN"/>
        </w:rPr>
      </w:pPr>
      <w:r>
        <w:rPr>
          <w:rFonts w:hint="eastAsia" w:ascii="宋体" w:hAnsi="宋体" w:cs="宋体"/>
          <w:b/>
          <w:kern w:val="0"/>
          <w:szCs w:val="21"/>
          <w:lang w:val="zh-CN"/>
        </w:rPr>
        <w:t>附表：</w:t>
      </w:r>
      <w:r>
        <w:rPr>
          <w:rFonts w:hint="eastAsia" w:ascii="宋体" w:hAnsi="宋体" w:cs="宋体"/>
          <w:szCs w:val="21"/>
        </w:rPr>
        <w:t>评分标准表</w:t>
      </w:r>
    </w:p>
    <w:tbl>
      <w:tblPr>
        <w:tblStyle w:val="32"/>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29"/>
        <w:gridCol w:w="11"/>
        <w:gridCol w:w="19"/>
        <w:gridCol w:w="6585"/>
        <w:gridCol w:w="159"/>
        <w:gridCol w:w="1152"/>
      </w:tblGrid>
      <w:tr w14:paraId="4DFE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9735" w:type="dxa"/>
            <w:gridSpan w:val="7"/>
            <w:shd w:val="pct10" w:color="auto" w:fill="auto"/>
            <w:vAlign w:val="center"/>
          </w:tcPr>
          <w:p w14:paraId="55C433A9">
            <w:pPr>
              <w:widowControl/>
              <w:spacing w:line="360" w:lineRule="auto"/>
              <w:jc w:val="center"/>
              <w:rPr>
                <w:rFonts w:ascii="宋体" w:hAnsi="宋体" w:cs="宋体"/>
                <w:b/>
                <w:kern w:val="0"/>
                <w:szCs w:val="21"/>
              </w:rPr>
            </w:pPr>
            <w:r>
              <w:rPr>
                <w:rFonts w:hint="eastAsia" w:ascii="宋体" w:hAnsi="宋体"/>
                <w:b/>
                <w:kern w:val="0"/>
                <w:szCs w:val="21"/>
                <w:lang w:val="zh-CN"/>
              </w:rPr>
              <w:t>第一部分</w:t>
            </w:r>
            <w:r>
              <w:rPr>
                <w:rFonts w:hint="eastAsia" w:ascii="宋体" w:hAnsi="宋体"/>
                <w:b/>
                <w:kern w:val="0"/>
                <w:szCs w:val="21"/>
              </w:rPr>
              <w:t xml:space="preserve">  </w:t>
            </w:r>
            <w:r>
              <w:rPr>
                <w:rFonts w:hint="eastAsia" w:ascii="宋体" w:hAnsi="宋体"/>
                <w:b/>
                <w:kern w:val="0"/>
                <w:szCs w:val="21"/>
                <w:lang w:val="zh-CN"/>
              </w:rPr>
              <w:t>商务资信技术文件评分</w:t>
            </w:r>
            <w:r>
              <w:rPr>
                <w:rFonts w:ascii="宋体" w:hAnsi="宋体"/>
                <w:b/>
                <w:kern w:val="0"/>
                <w:szCs w:val="21"/>
                <w:lang w:val="zh-CN"/>
              </w:rPr>
              <w:t xml:space="preserve"> </w:t>
            </w:r>
          </w:p>
        </w:tc>
      </w:tr>
      <w:tr w14:paraId="1304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80" w:type="dxa"/>
            <w:vAlign w:val="center"/>
          </w:tcPr>
          <w:p w14:paraId="31937915">
            <w:pPr>
              <w:widowControl/>
              <w:spacing w:line="360" w:lineRule="auto"/>
              <w:jc w:val="center"/>
              <w:rPr>
                <w:rFonts w:ascii="宋体" w:hAnsi="宋体" w:cs="宋体"/>
                <w:b/>
                <w:kern w:val="0"/>
                <w:szCs w:val="21"/>
              </w:rPr>
            </w:pPr>
            <w:r>
              <w:rPr>
                <w:rFonts w:hint="eastAsia" w:ascii="宋体" w:hAnsi="宋体" w:cs="宋体"/>
                <w:b/>
                <w:kern w:val="0"/>
                <w:szCs w:val="21"/>
              </w:rPr>
              <w:t>序号</w:t>
            </w:r>
          </w:p>
        </w:tc>
        <w:tc>
          <w:tcPr>
            <w:tcW w:w="1140" w:type="dxa"/>
            <w:gridSpan w:val="2"/>
            <w:vAlign w:val="center"/>
          </w:tcPr>
          <w:p w14:paraId="64012470">
            <w:pPr>
              <w:widowControl/>
              <w:spacing w:line="360" w:lineRule="auto"/>
              <w:jc w:val="center"/>
              <w:rPr>
                <w:rFonts w:ascii="宋体" w:hAnsi="宋体" w:cs="宋体"/>
                <w:b/>
                <w:kern w:val="0"/>
                <w:szCs w:val="21"/>
              </w:rPr>
            </w:pPr>
            <w:r>
              <w:rPr>
                <w:rFonts w:hint="eastAsia" w:ascii="宋体" w:hAnsi="宋体" w:cs="宋体"/>
                <w:b/>
                <w:kern w:val="0"/>
                <w:szCs w:val="21"/>
              </w:rPr>
              <w:t>评分因素</w:t>
            </w:r>
          </w:p>
        </w:tc>
        <w:tc>
          <w:tcPr>
            <w:tcW w:w="6763" w:type="dxa"/>
            <w:gridSpan w:val="3"/>
            <w:vAlign w:val="center"/>
          </w:tcPr>
          <w:p w14:paraId="1F613A95">
            <w:pPr>
              <w:widowControl/>
              <w:spacing w:line="360" w:lineRule="auto"/>
              <w:ind w:firstLine="211" w:firstLineChars="100"/>
              <w:jc w:val="center"/>
              <w:rPr>
                <w:rFonts w:ascii="宋体" w:hAnsi="宋体" w:cs="宋体"/>
                <w:b/>
                <w:kern w:val="0"/>
                <w:szCs w:val="21"/>
              </w:rPr>
            </w:pPr>
            <w:r>
              <w:rPr>
                <w:rFonts w:hint="eastAsia" w:ascii="宋体" w:hAnsi="宋体" w:cs="宋体"/>
                <w:b/>
                <w:kern w:val="0"/>
                <w:szCs w:val="21"/>
              </w:rPr>
              <w:t>具体内容及分数的构成</w:t>
            </w:r>
          </w:p>
        </w:tc>
        <w:tc>
          <w:tcPr>
            <w:tcW w:w="1152" w:type="dxa"/>
            <w:vAlign w:val="center"/>
          </w:tcPr>
          <w:p w14:paraId="6DAE25AB">
            <w:pPr>
              <w:widowControl/>
              <w:spacing w:line="360" w:lineRule="auto"/>
              <w:jc w:val="center"/>
              <w:rPr>
                <w:rFonts w:ascii="宋体" w:hAnsi="宋体" w:cs="宋体"/>
                <w:b/>
                <w:kern w:val="0"/>
                <w:szCs w:val="21"/>
              </w:rPr>
            </w:pPr>
            <w:r>
              <w:rPr>
                <w:rFonts w:hint="eastAsia" w:ascii="宋体" w:hAnsi="宋体" w:cs="宋体"/>
                <w:b/>
                <w:kern w:val="0"/>
                <w:szCs w:val="21"/>
              </w:rPr>
              <w:t>满分</w:t>
            </w:r>
          </w:p>
        </w:tc>
      </w:tr>
      <w:tr w14:paraId="4CEA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80" w:type="dxa"/>
            <w:vAlign w:val="center"/>
          </w:tcPr>
          <w:p w14:paraId="63ACD07A">
            <w:pPr>
              <w:widowControl/>
              <w:spacing w:line="360" w:lineRule="auto"/>
              <w:jc w:val="center"/>
              <w:rPr>
                <w:rFonts w:ascii="宋体" w:hAnsi="宋体" w:cs="宋体"/>
                <w:b/>
                <w:color w:val="FF0000"/>
                <w:kern w:val="0"/>
                <w:szCs w:val="21"/>
              </w:rPr>
            </w:pPr>
            <w:r>
              <w:rPr>
                <w:rFonts w:hint="eastAsia" w:ascii="宋体" w:hAnsi="宋体" w:cs="宋体"/>
                <w:b/>
                <w:color w:val="FF0000"/>
                <w:kern w:val="0"/>
                <w:szCs w:val="21"/>
              </w:rPr>
              <w:t>一</w:t>
            </w:r>
          </w:p>
        </w:tc>
        <w:tc>
          <w:tcPr>
            <w:tcW w:w="7903" w:type="dxa"/>
            <w:gridSpan w:val="5"/>
            <w:vAlign w:val="center"/>
          </w:tcPr>
          <w:p w14:paraId="1A6786E8">
            <w:pPr>
              <w:widowControl/>
              <w:spacing w:line="360" w:lineRule="auto"/>
              <w:ind w:firstLine="211" w:firstLineChars="100"/>
              <w:jc w:val="center"/>
              <w:rPr>
                <w:rFonts w:ascii="宋体" w:hAnsi="宋体" w:cs="宋体"/>
                <w:b/>
                <w:color w:val="FF0000"/>
                <w:kern w:val="0"/>
                <w:szCs w:val="21"/>
              </w:rPr>
            </w:pPr>
            <w:r>
              <w:rPr>
                <w:rFonts w:hint="eastAsia" w:ascii="宋体" w:hAnsi="宋体" w:cs="宋体"/>
                <w:b/>
                <w:color w:val="FF0000"/>
                <w:kern w:val="0"/>
                <w:szCs w:val="21"/>
              </w:rPr>
              <w:t>商务资信部分</w:t>
            </w:r>
          </w:p>
        </w:tc>
        <w:tc>
          <w:tcPr>
            <w:tcW w:w="1152" w:type="dxa"/>
            <w:vAlign w:val="center"/>
          </w:tcPr>
          <w:p w14:paraId="662DC56A">
            <w:pPr>
              <w:widowControl/>
              <w:spacing w:line="360" w:lineRule="auto"/>
              <w:jc w:val="center"/>
              <w:rPr>
                <w:rFonts w:hint="eastAsia" w:ascii="宋体" w:hAnsi="宋体" w:eastAsia="宋体" w:cs="宋体"/>
                <w:b/>
                <w:color w:val="FF0000"/>
                <w:kern w:val="0"/>
                <w:szCs w:val="21"/>
                <w:lang w:val="en-US" w:eastAsia="zh-CN"/>
              </w:rPr>
            </w:pPr>
            <w:r>
              <w:rPr>
                <w:rFonts w:hint="eastAsia" w:ascii="宋体" w:hAnsi="宋体" w:cs="宋体"/>
                <w:b/>
                <w:color w:val="FF0000"/>
                <w:kern w:val="0"/>
                <w:szCs w:val="21"/>
              </w:rPr>
              <w:t>3</w:t>
            </w:r>
            <w:r>
              <w:rPr>
                <w:rFonts w:hint="eastAsia" w:ascii="宋体" w:hAnsi="宋体" w:cs="宋体"/>
                <w:b/>
                <w:color w:val="FF0000"/>
                <w:kern w:val="0"/>
                <w:szCs w:val="21"/>
                <w:lang w:val="en-US" w:eastAsia="zh-CN"/>
              </w:rPr>
              <w:t>0</w:t>
            </w:r>
          </w:p>
        </w:tc>
      </w:tr>
      <w:tr w14:paraId="0926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6A29C6E0">
            <w:pPr>
              <w:widowControl/>
              <w:spacing w:line="360" w:lineRule="auto"/>
              <w:jc w:val="center"/>
              <w:rPr>
                <w:rFonts w:ascii="宋体" w:hAnsi="宋体" w:cs="宋体"/>
                <w:b/>
                <w:kern w:val="0"/>
                <w:szCs w:val="21"/>
              </w:rPr>
            </w:pPr>
            <w:r>
              <w:rPr>
                <w:rFonts w:hint="eastAsia" w:ascii="宋体" w:hAnsi="宋体" w:cs="宋体"/>
                <w:b/>
                <w:kern w:val="0"/>
                <w:szCs w:val="21"/>
              </w:rPr>
              <w:t>1</w:t>
            </w:r>
          </w:p>
        </w:tc>
        <w:tc>
          <w:tcPr>
            <w:tcW w:w="1159" w:type="dxa"/>
            <w:gridSpan w:val="3"/>
            <w:vAlign w:val="center"/>
          </w:tcPr>
          <w:p w14:paraId="238E1FA3">
            <w:pPr>
              <w:widowControl/>
              <w:spacing w:line="360" w:lineRule="auto"/>
              <w:ind w:firstLine="210" w:firstLineChars="100"/>
              <w:jc w:val="center"/>
              <w:rPr>
                <w:rFonts w:ascii="宋体" w:hAnsi="宋体" w:cs="宋体"/>
                <w:b/>
                <w:kern w:val="0"/>
                <w:szCs w:val="21"/>
              </w:rPr>
            </w:pPr>
            <w:r>
              <w:rPr>
                <w:rFonts w:hint="eastAsia" w:ascii="宋体" w:hAnsi="宋体" w:cs="宋体"/>
                <w:szCs w:val="21"/>
              </w:rPr>
              <w:t>标书质量</w:t>
            </w:r>
          </w:p>
        </w:tc>
        <w:tc>
          <w:tcPr>
            <w:tcW w:w="6744" w:type="dxa"/>
            <w:gridSpan w:val="2"/>
            <w:vAlign w:val="center"/>
          </w:tcPr>
          <w:p w14:paraId="35436D74">
            <w:pPr>
              <w:widowControl/>
              <w:ind w:firstLine="210" w:firstLineChars="100"/>
              <w:jc w:val="center"/>
              <w:rPr>
                <w:rFonts w:ascii="宋体" w:hAnsi="宋体" w:cs="宋体"/>
                <w:b/>
                <w:kern w:val="0"/>
                <w:szCs w:val="21"/>
              </w:rPr>
            </w:pPr>
            <w:r>
              <w:rPr>
                <w:rFonts w:hint="eastAsia" w:ascii="宋体" w:hAnsi="宋体"/>
                <w:szCs w:val="21"/>
              </w:rPr>
              <w:t>根据磋商响应文件编制是否完整、电子磋商响应文件关联点设置是否定位准确、磋商响应文件内容简洁明确程度及针对性等情况酌情评分，最高得2分；磋商响应文件有关内容前后矛盾、与采购文件要求不一致等，评审小组允许且需要通过询标等程序进行澄清的，该项不得分。</w:t>
            </w:r>
          </w:p>
        </w:tc>
        <w:tc>
          <w:tcPr>
            <w:tcW w:w="1152" w:type="dxa"/>
            <w:vAlign w:val="center"/>
          </w:tcPr>
          <w:p w14:paraId="4EB00640">
            <w:pPr>
              <w:widowControl/>
              <w:spacing w:line="360" w:lineRule="auto"/>
              <w:jc w:val="center"/>
              <w:rPr>
                <w:rFonts w:ascii="宋体" w:hAnsi="宋体" w:cs="宋体"/>
                <w:b/>
                <w:kern w:val="0"/>
                <w:szCs w:val="21"/>
              </w:rPr>
            </w:pPr>
            <w:r>
              <w:rPr>
                <w:rFonts w:hint="eastAsia" w:ascii="宋体" w:hAnsi="宋体" w:cs="宋体"/>
                <w:b/>
                <w:kern w:val="0"/>
                <w:szCs w:val="21"/>
              </w:rPr>
              <w:t>2</w:t>
            </w:r>
          </w:p>
        </w:tc>
      </w:tr>
      <w:tr w14:paraId="7288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80" w:type="dxa"/>
            <w:vMerge w:val="restart"/>
            <w:vAlign w:val="center"/>
          </w:tcPr>
          <w:p w14:paraId="20C15F67">
            <w:pPr>
              <w:widowControl/>
              <w:spacing w:line="360" w:lineRule="auto"/>
              <w:jc w:val="center"/>
              <w:rPr>
                <w:rFonts w:ascii="宋体" w:hAnsi="宋体" w:cs="宋体"/>
                <w:kern w:val="0"/>
                <w:szCs w:val="21"/>
              </w:rPr>
            </w:pPr>
            <w:r>
              <w:rPr>
                <w:rFonts w:hint="eastAsia" w:ascii="宋体" w:hAnsi="宋体" w:cs="宋体"/>
                <w:kern w:val="0"/>
                <w:szCs w:val="21"/>
              </w:rPr>
              <w:t>2</w:t>
            </w:r>
          </w:p>
        </w:tc>
        <w:tc>
          <w:tcPr>
            <w:tcW w:w="1140" w:type="dxa"/>
            <w:gridSpan w:val="2"/>
            <w:vMerge w:val="restart"/>
            <w:vAlign w:val="center"/>
          </w:tcPr>
          <w:p w14:paraId="69169B1E">
            <w:pPr>
              <w:spacing w:line="360" w:lineRule="auto"/>
              <w:jc w:val="center"/>
              <w:rPr>
                <w:rFonts w:ascii="宋体" w:hAnsi="宋体" w:cs="宋体"/>
                <w:szCs w:val="21"/>
              </w:rPr>
            </w:pPr>
            <w:r>
              <w:rPr>
                <w:rFonts w:hint="eastAsia" w:ascii="宋体" w:hAnsi="宋体" w:cs="宋体"/>
                <w:szCs w:val="21"/>
              </w:rPr>
              <w:t>类似业绩</w:t>
            </w:r>
          </w:p>
        </w:tc>
        <w:tc>
          <w:tcPr>
            <w:tcW w:w="6763" w:type="dxa"/>
            <w:gridSpan w:val="3"/>
            <w:vAlign w:val="center"/>
          </w:tcPr>
          <w:p w14:paraId="462618BA">
            <w:pPr>
              <w:rPr>
                <w:rFonts w:ascii="宋体" w:hAnsi="宋体"/>
                <w:szCs w:val="21"/>
              </w:rPr>
            </w:pPr>
            <w:r>
              <w:rPr>
                <w:rFonts w:hint="eastAsia" w:ascii="宋体" w:hAnsi="宋体" w:cs="宋体"/>
                <w:szCs w:val="21"/>
              </w:rPr>
              <w:t>供应商</w:t>
            </w:r>
            <w:r>
              <w:rPr>
                <w:rFonts w:hint="eastAsia" w:ascii="宋体" w:hAnsi="宋体"/>
                <w:szCs w:val="21"/>
              </w:rPr>
              <w:t>自202</w:t>
            </w:r>
            <w:r>
              <w:rPr>
                <w:rFonts w:hint="eastAsia" w:ascii="宋体" w:hAnsi="宋体" w:eastAsiaTheme="minorEastAsia"/>
                <w:szCs w:val="21"/>
              </w:rPr>
              <w:t>1</w:t>
            </w:r>
            <w:r>
              <w:rPr>
                <w:rFonts w:hint="eastAsia" w:ascii="宋体" w:hAnsi="宋体"/>
                <w:szCs w:val="21"/>
              </w:rPr>
              <w:t>年</w:t>
            </w:r>
            <w:r>
              <w:rPr>
                <w:rFonts w:hint="eastAsia" w:ascii="宋体" w:hAnsi="宋体" w:eastAsiaTheme="minorEastAsia"/>
                <w:szCs w:val="21"/>
              </w:rPr>
              <w:t>1</w:t>
            </w:r>
            <w:r>
              <w:rPr>
                <w:rFonts w:hint="eastAsia" w:ascii="宋体" w:hAnsi="宋体"/>
                <w:szCs w:val="21"/>
              </w:rPr>
              <w:t>月1日（以合同签订时间为准）以来，承担过类似项目施工业绩的，每项得1分，最高得2分。</w:t>
            </w:r>
          </w:p>
          <w:p w14:paraId="180053E2">
            <w:pPr>
              <w:textAlignment w:val="baseline"/>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的资料有：①合同（只需提供首页、清晰表明项目内容的页以及盖章页）；②提供中标通知书（必须有招标监管机构或项目的招标单位盖章）；③竣工验收记录（或交工验收证书或竣工验收证书），上述①②③项的资料扫描件或复印件或打印件或网页截图须编入商务与技术标中，三者缺一不可，否则不得分。</w:t>
            </w:r>
          </w:p>
        </w:tc>
        <w:tc>
          <w:tcPr>
            <w:tcW w:w="1152" w:type="dxa"/>
            <w:vAlign w:val="center"/>
          </w:tcPr>
          <w:p w14:paraId="56397FEF">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w:t>
            </w:r>
            <w:bookmarkStart w:id="155" w:name="_GoBack"/>
            <w:bookmarkEnd w:id="155"/>
          </w:p>
        </w:tc>
      </w:tr>
      <w:tr w14:paraId="318A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80" w:type="dxa"/>
            <w:vMerge w:val="continue"/>
            <w:vAlign w:val="center"/>
          </w:tcPr>
          <w:p w14:paraId="34FF39D3">
            <w:pPr>
              <w:widowControl/>
              <w:spacing w:line="360" w:lineRule="auto"/>
              <w:jc w:val="center"/>
              <w:rPr>
                <w:rFonts w:ascii="宋体" w:hAnsi="宋体" w:cs="宋体"/>
                <w:kern w:val="0"/>
                <w:szCs w:val="21"/>
              </w:rPr>
            </w:pPr>
          </w:p>
        </w:tc>
        <w:tc>
          <w:tcPr>
            <w:tcW w:w="1140" w:type="dxa"/>
            <w:gridSpan w:val="2"/>
            <w:vMerge w:val="continue"/>
            <w:vAlign w:val="center"/>
          </w:tcPr>
          <w:p w14:paraId="7DED64DA">
            <w:pPr>
              <w:spacing w:line="360" w:lineRule="auto"/>
              <w:jc w:val="center"/>
              <w:rPr>
                <w:rFonts w:ascii="宋体" w:hAnsi="宋体" w:cs="宋体"/>
                <w:szCs w:val="21"/>
              </w:rPr>
            </w:pPr>
          </w:p>
        </w:tc>
        <w:tc>
          <w:tcPr>
            <w:tcW w:w="6763" w:type="dxa"/>
            <w:gridSpan w:val="3"/>
            <w:vAlign w:val="center"/>
          </w:tcPr>
          <w:p w14:paraId="09307E47">
            <w:pPr>
              <w:rPr>
                <w:rFonts w:ascii="宋体" w:hAnsi="宋体" w:cs="宋体"/>
                <w:szCs w:val="21"/>
              </w:rPr>
            </w:pPr>
            <w:r>
              <w:rPr>
                <w:rFonts w:hint="eastAsia" w:ascii="宋体" w:hAnsi="宋体" w:cs="宋体"/>
                <w:szCs w:val="21"/>
              </w:rPr>
              <w:t>供应商拟派项目经理自2021年1月1日</w:t>
            </w:r>
            <w:r>
              <w:rPr>
                <w:rFonts w:hint="eastAsia" w:ascii="宋体" w:hAnsi="宋体"/>
                <w:szCs w:val="21"/>
              </w:rPr>
              <w:t>（以合同签订时间为准）</w:t>
            </w:r>
            <w:r>
              <w:rPr>
                <w:rFonts w:hint="eastAsia" w:ascii="宋体" w:hAnsi="宋体" w:cs="宋体"/>
                <w:szCs w:val="21"/>
              </w:rPr>
              <w:t>以来,完成过</w:t>
            </w:r>
            <w:r>
              <w:rPr>
                <w:rFonts w:hint="eastAsia" w:ascii="宋体" w:hAnsi="宋体"/>
                <w:szCs w:val="21"/>
              </w:rPr>
              <w:t>类似项目</w:t>
            </w:r>
            <w:r>
              <w:rPr>
                <w:rFonts w:hint="eastAsia" w:ascii="宋体" w:hAnsi="宋体" w:cs="宋体"/>
                <w:szCs w:val="21"/>
              </w:rPr>
              <w:t>施工业绩，每项得1分，最高得1分。</w:t>
            </w:r>
          </w:p>
          <w:p w14:paraId="4EB2FAAB">
            <w:pPr>
              <w:pStyle w:val="57"/>
              <w:widowControl w:val="0"/>
              <w:adjustRightInd/>
              <w:snapToGrid/>
              <w:jc w:val="both"/>
              <w:rPr>
                <w:rFonts w:ascii="宋体" w:hAnsi="宋体" w:eastAsia="宋体" w:cs="宋体"/>
                <w:b/>
                <w:kern w:val="2"/>
                <w:sz w:val="21"/>
                <w:szCs w:val="21"/>
              </w:rPr>
            </w:pPr>
            <w:r>
              <w:rPr>
                <w:rFonts w:hint="eastAsia" w:ascii="宋体" w:hAnsi="宋体" w:eastAsia="宋体" w:cs="宋体"/>
                <w:b/>
                <w:bCs/>
                <w:sz w:val="21"/>
                <w:szCs w:val="21"/>
              </w:rPr>
              <w:t>注：须提供的资料有：①合同（只需提供首页、清晰表明项目内容的页以及盖章页）；②提供中标通知书（必须有招标监管机构或项目的招标单位盖章）；③竣工验收记录（或交工验收证书或竣工验收证书），上述①②③项的资料扫描件或复印件或打印件或网页截图须编入商务与技术标中，三者缺一不可，否则不得分。</w:t>
            </w:r>
          </w:p>
        </w:tc>
        <w:tc>
          <w:tcPr>
            <w:tcW w:w="1152" w:type="dxa"/>
            <w:vAlign w:val="center"/>
          </w:tcPr>
          <w:p w14:paraId="6F9F0FB5">
            <w:pPr>
              <w:widowControl/>
              <w:spacing w:line="360" w:lineRule="auto"/>
              <w:jc w:val="center"/>
              <w:rPr>
                <w:rFonts w:ascii="宋体" w:hAnsi="宋体" w:cs="宋体"/>
                <w:kern w:val="0"/>
                <w:szCs w:val="21"/>
              </w:rPr>
            </w:pPr>
            <w:r>
              <w:rPr>
                <w:rFonts w:hint="eastAsia" w:ascii="宋体" w:hAnsi="宋体" w:cs="宋体"/>
                <w:kern w:val="0"/>
                <w:szCs w:val="21"/>
              </w:rPr>
              <w:t>1</w:t>
            </w:r>
          </w:p>
        </w:tc>
      </w:tr>
      <w:tr w14:paraId="06C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680" w:type="dxa"/>
            <w:vMerge w:val="restart"/>
            <w:vAlign w:val="center"/>
          </w:tcPr>
          <w:p w14:paraId="730B7CB4">
            <w:pPr>
              <w:widowControl/>
              <w:spacing w:line="360" w:lineRule="auto"/>
              <w:jc w:val="center"/>
              <w:rPr>
                <w:rFonts w:ascii="宋体" w:hAnsi="宋体" w:cs="宋体"/>
                <w:kern w:val="0"/>
                <w:szCs w:val="21"/>
              </w:rPr>
            </w:pPr>
            <w:r>
              <w:rPr>
                <w:rFonts w:hint="eastAsia" w:ascii="宋体" w:hAnsi="宋体" w:cs="宋体"/>
                <w:kern w:val="0"/>
                <w:szCs w:val="21"/>
              </w:rPr>
              <w:t>3</w:t>
            </w:r>
          </w:p>
        </w:tc>
        <w:tc>
          <w:tcPr>
            <w:tcW w:w="1140" w:type="dxa"/>
            <w:gridSpan w:val="2"/>
            <w:vMerge w:val="restart"/>
            <w:vAlign w:val="center"/>
          </w:tcPr>
          <w:p w14:paraId="0823F344">
            <w:pPr>
              <w:adjustRightInd w:val="0"/>
              <w:snapToGrid w:val="0"/>
              <w:jc w:val="center"/>
              <w:rPr>
                <w:rFonts w:ascii="宋体" w:hAnsi="宋体" w:cs="宋体"/>
                <w:szCs w:val="21"/>
              </w:rPr>
            </w:pPr>
            <w:r>
              <w:rPr>
                <w:rFonts w:hint="eastAsia" w:ascii="宋体" w:hAnsi="宋体" w:cs="宋体"/>
                <w:szCs w:val="21"/>
              </w:rPr>
              <w:t>项目团队实力</w:t>
            </w:r>
          </w:p>
        </w:tc>
        <w:tc>
          <w:tcPr>
            <w:tcW w:w="6763" w:type="dxa"/>
            <w:gridSpan w:val="3"/>
            <w:vAlign w:val="center"/>
          </w:tcPr>
          <w:p w14:paraId="23DED04A">
            <w:pPr>
              <w:adjustRightInd w:val="0"/>
              <w:snapToGrid w:val="0"/>
              <w:ind w:firstLine="420" w:firstLineChars="200"/>
              <w:rPr>
                <w:rFonts w:hint="eastAsia" w:ascii="宋体" w:hAnsi="宋体" w:eastAsia="宋体" w:cs="宋体"/>
                <w:szCs w:val="21"/>
                <w:lang w:eastAsia="zh-CN"/>
              </w:rPr>
            </w:pPr>
            <w:r>
              <w:rPr>
                <w:rFonts w:hint="eastAsia" w:ascii="宋体" w:hAnsi="宋体" w:cs="宋体"/>
                <w:szCs w:val="21"/>
              </w:rPr>
              <w:t>项目负责人具有园林相关专业或林业专业中级工程师及以上职称证书的，得</w:t>
            </w:r>
            <w:r>
              <w:rPr>
                <w:rFonts w:hint="eastAsia" w:ascii="宋体" w:hAnsi="宋体" w:cs="宋体"/>
                <w:szCs w:val="21"/>
                <w:lang w:val="en-US" w:eastAsia="zh-CN"/>
              </w:rPr>
              <w:t>3</w:t>
            </w:r>
            <w:r>
              <w:rPr>
                <w:rFonts w:hint="eastAsia" w:ascii="宋体" w:hAnsi="宋体" w:cs="宋体"/>
                <w:szCs w:val="21"/>
              </w:rPr>
              <w:t>分，具有园林相关专业或林业专业助理工程师及以上职称证书的，得1分</w:t>
            </w:r>
            <w:r>
              <w:rPr>
                <w:rFonts w:hint="eastAsia" w:ascii="宋体" w:hAnsi="宋体" w:cs="宋体"/>
                <w:szCs w:val="21"/>
                <w:lang w:eastAsia="zh-CN"/>
              </w:rPr>
              <w:t>。</w:t>
            </w:r>
          </w:p>
          <w:p w14:paraId="61745435">
            <w:pPr>
              <w:adjustRightInd w:val="0"/>
              <w:snapToGrid w:val="0"/>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须提供项目组成员的有效证书或其他相关证明材料复印件及投标截止时间前3个月内任意一个月的在本单位社保缴纳证明复印件编入</w:t>
            </w:r>
            <w:r>
              <w:rPr>
                <w:rFonts w:hint="eastAsia" w:ascii="宋体" w:hAnsi="宋体" w:cs="宋体"/>
                <w:b/>
                <w:szCs w:val="21"/>
                <w:lang w:val="zh-CN"/>
              </w:rPr>
              <w:t>商务与技术文件中</w:t>
            </w:r>
            <w:r>
              <w:rPr>
                <w:rFonts w:hint="eastAsia" w:ascii="宋体" w:hAnsi="宋体" w:cs="宋体"/>
                <w:b/>
                <w:szCs w:val="21"/>
              </w:rPr>
              <w:t>，否则不得分。</w:t>
            </w:r>
          </w:p>
        </w:tc>
        <w:tc>
          <w:tcPr>
            <w:tcW w:w="1152" w:type="dxa"/>
            <w:vAlign w:val="center"/>
          </w:tcPr>
          <w:p w14:paraId="59A992E4">
            <w:pPr>
              <w:pStyle w:val="27"/>
              <w:spacing w:line="336" w:lineRule="auto"/>
              <w:ind w:left="0" w:left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r>
      <w:tr w14:paraId="74B1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80" w:type="dxa"/>
            <w:vMerge w:val="continue"/>
            <w:vAlign w:val="center"/>
          </w:tcPr>
          <w:p w14:paraId="690F9CF3">
            <w:pPr>
              <w:widowControl/>
              <w:spacing w:line="360" w:lineRule="auto"/>
              <w:jc w:val="center"/>
              <w:rPr>
                <w:rFonts w:ascii="宋体" w:hAnsi="宋体" w:cs="宋体"/>
                <w:kern w:val="0"/>
                <w:szCs w:val="21"/>
              </w:rPr>
            </w:pPr>
          </w:p>
        </w:tc>
        <w:tc>
          <w:tcPr>
            <w:tcW w:w="1140" w:type="dxa"/>
            <w:gridSpan w:val="2"/>
            <w:vMerge w:val="continue"/>
            <w:vAlign w:val="center"/>
          </w:tcPr>
          <w:p w14:paraId="19F5F66D">
            <w:pPr>
              <w:adjustRightInd w:val="0"/>
              <w:snapToGrid w:val="0"/>
              <w:jc w:val="center"/>
              <w:rPr>
                <w:rFonts w:ascii="宋体" w:hAnsi="宋体" w:cs="宋体"/>
                <w:szCs w:val="21"/>
              </w:rPr>
            </w:pPr>
          </w:p>
        </w:tc>
        <w:tc>
          <w:tcPr>
            <w:tcW w:w="6763" w:type="dxa"/>
            <w:gridSpan w:val="3"/>
            <w:vAlign w:val="center"/>
          </w:tcPr>
          <w:p w14:paraId="4C2EC0C0">
            <w:pPr>
              <w:pStyle w:val="27"/>
              <w:spacing w:after="0"/>
              <w:ind w:left="0" w:leftChars="0"/>
              <w:rPr>
                <w:rFonts w:ascii="宋体" w:hAnsi="宋体" w:cs="宋体"/>
                <w:sz w:val="21"/>
                <w:szCs w:val="21"/>
              </w:rPr>
            </w:pPr>
            <w:r>
              <w:rPr>
                <w:rFonts w:hint="eastAsia" w:ascii="宋体" w:hAnsi="宋体" w:cs="宋体"/>
                <w:sz w:val="21"/>
                <w:szCs w:val="21"/>
              </w:rPr>
              <w:t>安全负责人具有专职安全管理人员C证的,得2分</w:t>
            </w:r>
            <w:r>
              <w:rPr>
                <w:rFonts w:hint="eastAsia" w:ascii="宋体" w:hAnsi="宋体" w:cs="宋体"/>
                <w:sz w:val="21"/>
                <w:szCs w:val="21"/>
                <w:lang w:eastAsia="zh-CN"/>
              </w:rPr>
              <w:t>；</w:t>
            </w:r>
            <w:r>
              <w:rPr>
                <w:rFonts w:hint="eastAsia" w:ascii="宋体" w:hAnsi="宋体" w:cs="宋体"/>
                <w:sz w:val="21"/>
                <w:szCs w:val="21"/>
              </w:rPr>
              <w:t>具有园林相关专业或林业专业中级工程师及以上职称证书的，得</w:t>
            </w:r>
            <w:r>
              <w:rPr>
                <w:rFonts w:hint="eastAsia" w:ascii="宋体" w:hAnsi="宋体" w:cs="宋体"/>
                <w:sz w:val="21"/>
                <w:szCs w:val="21"/>
                <w:lang w:val="en-US" w:eastAsia="zh-CN"/>
              </w:rPr>
              <w:t>3</w:t>
            </w:r>
            <w:r>
              <w:rPr>
                <w:rFonts w:hint="eastAsia" w:ascii="宋体" w:hAnsi="宋体" w:cs="宋体"/>
                <w:sz w:val="21"/>
                <w:szCs w:val="21"/>
              </w:rPr>
              <w:t>分</w:t>
            </w:r>
            <w:r>
              <w:rPr>
                <w:rFonts w:hint="eastAsia" w:ascii="宋体" w:hAnsi="宋体" w:cs="宋体"/>
                <w:sz w:val="21"/>
                <w:szCs w:val="21"/>
                <w:lang w:eastAsia="zh-CN"/>
              </w:rPr>
              <w:t>；</w:t>
            </w:r>
            <w:r>
              <w:rPr>
                <w:rFonts w:hint="eastAsia" w:ascii="宋体" w:hAnsi="宋体" w:cs="宋体"/>
                <w:sz w:val="21"/>
                <w:szCs w:val="21"/>
              </w:rPr>
              <w:t xml:space="preserve"> 具有园林相关专业或林业专业助理工程师及以上职称证书的，得1分。</w:t>
            </w:r>
          </w:p>
          <w:p w14:paraId="504FF426">
            <w:pPr>
              <w:adjustRightInd w:val="0"/>
              <w:snapToGrid w:val="0"/>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须提供项目组成员的有效证书或其他相关证明材料复印件及投标截止时间前3个月内任意一个月的在本单位社保缴纳证明复印件编入</w:t>
            </w:r>
            <w:r>
              <w:rPr>
                <w:rFonts w:hint="eastAsia" w:ascii="宋体" w:hAnsi="宋体" w:cs="宋体"/>
                <w:b/>
                <w:szCs w:val="21"/>
                <w:lang w:val="zh-CN"/>
              </w:rPr>
              <w:t>商务与技术文件中</w:t>
            </w:r>
            <w:r>
              <w:rPr>
                <w:rFonts w:hint="eastAsia" w:ascii="宋体" w:hAnsi="宋体" w:cs="宋体"/>
                <w:b/>
                <w:szCs w:val="21"/>
              </w:rPr>
              <w:t>，否则不得分。</w:t>
            </w:r>
          </w:p>
        </w:tc>
        <w:tc>
          <w:tcPr>
            <w:tcW w:w="1152" w:type="dxa"/>
            <w:vAlign w:val="center"/>
          </w:tcPr>
          <w:p w14:paraId="5D174B3E">
            <w:pPr>
              <w:pStyle w:val="27"/>
              <w:spacing w:line="336" w:lineRule="auto"/>
              <w:ind w:left="0" w:leftChars="0"/>
              <w:jc w:val="center"/>
              <w:rPr>
                <w:rFonts w:ascii="宋体" w:hAnsi="宋体" w:cs="宋体"/>
                <w:kern w:val="0"/>
                <w:sz w:val="21"/>
                <w:szCs w:val="21"/>
              </w:rPr>
            </w:pPr>
            <w:r>
              <w:rPr>
                <w:rFonts w:hint="eastAsia" w:ascii="宋体" w:hAnsi="宋体" w:cs="宋体"/>
                <w:kern w:val="0"/>
                <w:sz w:val="21"/>
                <w:szCs w:val="21"/>
              </w:rPr>
              <w:t>5</w:t>
            </w:r>
          </w:p>
        </w:tc>
      </w:tr>
      <w:tr w14:paraId="25BC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80" w:type="dxa"/>
            <w:vMerge w:val="continue"/>
            <w:vAlign w:val="center"/>
          </w:tcPr>
          <w:p w14:paraId="51259591">
            <w:pPr>
              <w:widowControl/>
              <w:spacing w:line="360" w:lineRule="auto"/>
              <w:jc w:val="center"/>
              <w:rPr>
                <w:rFonts w:ascii="宋体" w:hAnsi="宋体" w:cs="宋体"/>
                <w:kern w:val="0"/>
                <w:szCs w:val="21"/>
              </w:rPr>
            </w:pPr>
          </w:p>
        </w:tc>
        <w:tc>
          <w:tcPr>
            <w:tcW w:w="1140" w:type="dxa"/>
            <w:gridSpan w:val="2"/>
            <w:vMerge w:val="continue"/>
            <w:vAlign w:val="center"/>
          </w:tcPr>
          <w:p w14:paraId="24F664D5">
            <w:pPr>
              <w:adjustRightInd w:val="0"/>
              <w:snapToGrid w:val="0"/>
              <w:jc w:val="center"/>
              <w:rPr>
                <w:rFonts w:ascii="宋体" w:hAnsi="宋体" w:cs="宋体"/>
                <w:szCs w:val="21"/>
              </w:rPr>
            </w:pPr>
          </w:p>
        </w:tc>
        <w:tc>
          <w:tcPr>
            <w:tcW w:w="6763" w:type="dxa"/>
            <w:gridSpan w:val="3"/>
            <w:vAlign w:val="center"/>
          </w:tcPr>
          <w:p w14:paraId="65AB1672">
            <w:pPr>
              <w:adjustRightInd w:val="0"/>
              <w:snapToGrid w:val="0"/>
              <w:rPr>
                <w:rFonts w:ascii="宋体" w:hAnsi="宋体" w:cs="宋体"/>
                <w:color w:val="auto"/>
                <w:szCs w:val="21"/>
              </w:rPr>
            </w:pPr>
            <w:r>
              <w:rPr>
                <w:rFonts w:hint="eastAsia" w:ascii="宋体" w:hAnsi="宋体" w:cs="宋体"/>
                <w:color w:val="auto"/>
                <w:szCs w:val="21"/>
              </w:rPr>
              <w:t>项目组成员（除项目负责人外）具有园林相关专业或林业专业助理工程师及以上职称证书的，每人得1分，具有园林相关专业或林业专业中级工程师及以上职称证书的，得</w:t>
            </w:r>
            <w:r>
              <w:rPr>
                <w:rFonts w:hint="eastAsia" w:ascii="宋体" w:hAnsi="宋体" w:cs="宋体"/>
                <w:color w:val="auto"/>
                <w:szCs w:val="21"/>
                <w:lang w:val="en-US" w:eastAsia="zh-CN"/>
              </w:rPr>
              <w:t>2</w:t>
            </w:r>
            <w:r>
              <w:rPr>
                <w:rFonts w:hint="eastAsia" w:ascii="宋体" w:hAnsi="宋体" w:cs="宋体"/>
                <w:color w:val="auto"/>
                <w:szCs w:val="21"/>
              </w:rPr>
              <w:t>分，本项最高得6分（同一人不重复计分）。</w:t>
            </w:r>
          </w:p>
          <w:p w14:paraId="723EA63D">
            <w:pPr>
              <w:adjustRightInd w:val="0"/>
              <w:snapToGrid w:val="0"/>
              <w:rPr>
                <w:rFonts w:ascii="宋体" w:hAnsi="宋体" w:cs="宋体"/>
                <w:color w:val="FF0000"/>
                <w:szCs w:val="21"/>
              </w:rPr>
            </w:pPr>
            <w:r>
              <w:rPr>
                <w:rFonts w:hint="eastAsia" w:ascii="宋体" w:hAnsi="宋体" w:cs="宋体"/>
                <w:b/>
                <w:bCs/>
                <w:color w:val="auto"/>
                <w:szCs w:val="21"/>
              </w:rPr>
              <w:t>注：</w:t>
            </w:r>
            <w:r>
              <w:rPr>
                <w:rFonts w:hint="eastAsia" w:ascii="宋体" w:hAnsi="宋体" w:cs="宋体"/>
                <w:b/>
                <w:color w:val="auto"/>
                <w:szCs w:val="21"/>
              </w:rPr>
              <w:t>须提供项目组成员的有效证书或其他相关证明材料复印件(职称证书须提供官方网址可供证书查验，证书无法验证的不得分)及投标截止时间前3个月内任意一个月的在本单位社保缴纳证明复印件编入</w:t>
            </w:r>
            <w:r>
              <w:rPr>
                <w:rFonts w:hint="eastAsia" w:ascii="宋体" w:hAnsi="宋体" w:cs="宋体"/>
                <w:b/>
                <w:color w:val="auto"/>
                <w:szCs w:val="21"/>
                <w:lang w:val="zh-CN"/>
              </w:rPr>
              <w:t>商务与技术文件中</w:t>
            </w:r>
            <w:r>
              <w:rPr>
                <w:rFonts w:hint="eastAsia" w:ascii="宋体" w:hAnsi="宋体" w:cs="宋体"/>
                <w:b/>
                <w:color w:val="auto"/>
                <w:szCs w:val="21"/>
              </w:rPr>
              <w:t>，否则不得分。</w:t>
            </w:r>
          </w:p>
        </w:tc>
        <w:tc>
          <w:tcPr>
            <w:tcW w:w="1152" w:type="dxa"/>
            <w:vAlign w:val="center"/>
          </w:tcPr>
          <w:p w14:paraId="33522512">
            <w:pPr>
              <w:pStyle w:val="27"/>
              <w:spacing w:line="336" w:lineRule="auto"/>
              <w:ind w:left="0" w:leftChars="0"/>
              <w:jc w:val="center"/>
              <w:rPr>
                <w:rFonts w:ascii="宋体" w:hAnsi="宋体" w:cs="宋体"/>
                <w:color w:val="FF0000"/>
                <w:kern w:val="0"/>
                <w:sz w:val="21"/>
                <w:szCs w:val="21"/>
              </w:rPr>
            </w:pPr>
            <w:r>
              <w:rPr>
                <w:rFonts w:hint="eastAsia" w:ascii="宋体" w:hAnsi="宋体" w:cs="宋体"/>
                <w:color w:val="auto"/>
                <w:kern w:val="0"/>
                <w:sz w:val="21"/>
                <w:szCs w:val="21"/>
              </w:rPr>
              <w:t>6</w:t>
            </w:r>
          </w:p>
        </w:tc>
      </w:tr>
      <w:tr w14:paraId="126E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680" w:type="dxa"/>
            <w:vAlign w:val="center"/>
          </w:tcPr>
          <w:p w14:paraId="77550D31">
            <w:pPr>
              <w:widowControl/>
              <w:spacing w:line="360" w:lineRule="auto"/>
              <w:jc w:val="center"/>
              <w:rPr>
                <w:rFonts w:ascii="宋体" w:hAnsi="宋体" w:cs="宋体"/>
                <w:b/>
                <w:bCs/>
                <w:kern w:val="0"/>
                <w:szCs w:val="21"/>
              </w:rPr>
            </w:pPr>
            <w:r>
              <w:rPr>
                <w:rFonts w:hint="eastAsia" w:ascii="宋体" w:hAnsi="宋体" w:cs="宋体"/>
                <w:b/>
                <w:bCs/>
                <w:kern w:val="0"/>
                <w:szCs w:val="21"/>
              </w:rPr>
              <w:t>4</w:t>
            </w:r>
          </w:p>
        </w:tc>
        <w:tc>
          <w:tcPr>
            <w:tcW w:w="1129" w:type="dxa"/>
            <w:vAlign w:val="center"/>
          </w:tcPr>
          <w:p w14:paraId="27DCB4EA">
            <w:pPr>
              <w:spacing w:line="360" w:lineRule="auto"/>
              <w:rPr>
                <w:rFonts w:ascii="宋体" w:hAnsi="宋体" w:cs="宋体"/>
                <w:bCs/>
                <w:szCs w:val="21"/>
              </w:rPr>
            </w:pPr>
            <w:r>
              <w:rPr>
                <w:rFonts w:hint="eastAsia" w:ascii="宋体" w:hAnsi="宋体"/>
              </w:rPr>
              <w:t>拟投入车辆、</w:t>
            </w:r>
            <w:r>
              <w:rPr>
                <w:rFonts w:hint="eastAsia" w:ascii="宋体" w:hAnsi="宋体" w:cs="宋体"/>
                <w:bCs/>
                <w:kern w:val="0"/>
                <w:szCs w:val="21"/>
              </w:rPr>
              <w:t>机械配备</w:t>
            </w:r>
          </w:p>
        </w:tc>
        <w:tc>
          <w:tcPr>
            <w:tcW w:w="6774" w:type="dxa"/>
            <w:gridSpan w:val="4"/>
            <w:vAlign w:val="center"/>
          </w:tcPr>
          <w:p w14:paraId="345F96FB">
            <w:pPr>
              <w:numPr>
                <w:ilvl w:val="0"/>
                <w:numId w:val="0"/>
              </w:numPr>
              <w:rPr>
                <w:bCs/>
              </w:rPr>
            </w:pPr>
            <w:r>
              <w:rPr>
                <w:rFonts w:hint="eastAsia" w:ascii="宋体" w:hAnsi="宋体" w:cs="宋体"/>
                <w:bCs/>
                <w:szCs w:val="21"/>
                <w:lang w:eastAsia="zh-CN"/>
              </w:rPr>
              <w:t>（</w:t>
            </w:r>
            <w:r>
              <w:rPr>
                <w:rFonts w:hint="eastAsia" w:ascii="宋体" w:hAnsi="宋体" w:cs="宋体"/>
                <w:bCs/>
                <w:szCs w:val="21"/>
                <w:lang w:val="en-US" w:eastAsia="zh-CN"/>
              </w:rPr>
              <w:t>1</w:t>
            </w:r>
            <w:r>
              <w:rPr>
                <w:rFonts w:hint="eastAsia" w:ascii="宋体" w:hAnsi="宋体" w:cs="宋体"/>
                <w:bCs/>
                <w:szCs w:val="21"/>
                <w:lang w:eastAsia="zh-CN"/>
              </w:rPr>
              <w:t>）</w:t>
            </w:r>
            <w:r>
              <w:rPr>
                <w:rFonts w:hint="eastAsia" w:ascii="宋体" w:hAnsi="宋体" w:cs="宋体"/>
                <w:bCs/>
                <w:szCs w:val="21"/>
              </w:rPr>
              <w:t>提供1辆巡查车得</w:t>
            </w:r>
            <w:r>
              <w:rPr>
                <w:rFonts w:hint="eastAsia" w:ascii="宋体" w:hAnsi="宋体" w:cs="宋体"/>
                <w:bCs/>
                <w:szCs w:val="21"/>
                <w:lang w:val="en-US" w:eastAsia="zh-CN"/>
              </w:rPr>
              <w:t>1</w:t>
            </w:r>
            <w:r>
              <w:rPr>
                <w:rFonts w:hint="eastAsia" w:ascii="宋体" w:hAnsi="宋体" w:cs="宋体"/>
                <w:bCs/>
                <w:szCs w:val="21"/>
              </w:rPr>
              <w:t>分，最高得</w:t>
            </w:r>
            <w:r>
              <w:rPr>
                <w:rFonts w:hint="eastAsia" w:ascii="宋体" w:hAnsi="宋体" w:cs="宋体"/>
                <w:bCs/>
                <w:szCs w:val="21"/>
                <w:lang w:val="en-US" w:eastAsia="zh-CN"/>
              </w:rPr>
              <w:t>1</w:t>
            </w:r>
            <w:r>
              <w:rPr>
                <w:rFonts w:hint="eastAsia" w:ascii="宋体" w:hAnsi="宋体" w:cs="宋体"/>
                <w:bCs/>
                <w:szCs w:val="21"/>
              </w:rPr>
              <w:t>分；</w:t>
            </w:r>
          </w:p>
          <w:p w14:paraId="38098A44">
            <w:pPr>
              <w:numPr>
                <w:ilvl w:val="0"/>
                <w:numId w:val="0"/>
              </w:numPr>
              <w:rPr>
                <w:bCs/>
              </w:rPr>
            </w:pPr>
            <w:r>
              <w:rPr>
                <w:rFonts w:hint="eastAsia" w:ascii="宋体" w:hAnsi="宋体" w:cs="宋体"/>
                <w:bCs/>
                <w:szCs w:val="21"/>
                <w:lang w:eastAsia="zh-CN"/>
              </w:rPr>
              <w:t>（</w:t>
            </w:r>
            <w:r>
              <w:rPr>
                <w:rFonts w:hint="eastAsia" w:ascii="宋体" w:hAnsi="宋体" w:cs="宋体"/>
                <w:bCs/>
                <w:szCs w:val="21"/>
                <w:lang w:val="en-US" w:eastAsia="zh-CN"/>
              </w:rPr>
              <w:t>2</w:t>
            </w:r>
            <w:r>
              <w:rPr>
                <w:rFonts w:hint="eastAsia" w:ascii="宋体" w:hAnsi="宋体" w:cs="宋体"/>
                <w:bCs/>
                <w:szCs w:val="21"/>
                <w:lang w:eastAsia="zh-CN"/>
              </w:rPr>
              <w:t>）</w:t>
            </w:r>
            <w:r>
              <w:rPr>
                <w:rFonts w:hint="eastAsia" w:ascii="宋体" w:hAnsi="宋体" w:cs="宋体"/>
                <w:bCs/>
                <w:szCs w:val="21"/>
              </w:rPr>
              <w:t>提供1台</w:t>
            </w:r>
            <w:r>
              <w:rPr>
                <w:rFonts w:hint="eastAsia"/>
                <w:bCs/>
                <w:szCs w:val="22"/>
              </w:rPr>
              <w:t>绿蓠机</w:t>
            </w:r>
            <w:r>
              <w:rPr>
                <w:rFonts w:hint="eastAsia" w:ascii="宋体" w:hAnsi="宋体" w:cs="宋体"/>
                <w:bCs/>
                <w:szCs w:val="21"/>
              </w:rPr>
              <w:t>得</w:t>
            </w:r>
            <w:r>
              <w:rPr>
                <w:rFonts w:hint="eastAsia" w:ascii="宋体" w:hAnsi="宋体" w:cs="宋体"/>
                <w:bCs/>
                <w:szCs w:val="21"/>
                <w:lang w:val="en-US" w:eastAsia="zh-CN"/>
              </w:rPr>
              <w:t>0.5</w:t>
            </w:r>
            <w:r>
              <w:rPr>
                <w:rFonts w:hint="eastAsia" w:ascii="宋体" w:hAnsi="宋体" w:cs="宋体"/>
                <w:bCs/>
                <w:szCs w:val="21"/>
              </w:rPr>
              <w:t>分，最高得</w:t>
            </w:r>
            <w:r>
              <w:rPr>
                <w:rFonts w:hint="eastAsia" w:ascii="宋体" w:hAnsi="宋体" w:cs="宋体"/>
                <w:bCs/>
                <w:szCs w:val="21"/>
                <w:lang w:val="en-US" w:eastAsia="zh-CN"/>
              </w:rPr>
              <w:t>0.5</w:t>
            </w:r>
            <w:r>
              <w:rPr>
                <w:rFonts w:hint="eastAsia" w:ascii="宋体" w:hAnsi="宋体" w:cs="宋体"/>
                <w:bCs/>
                <w:szCs w:val="21"/>
              </w:rPr>
              <w:t>分；</w:t>
            </w:r>
          </w:p>
          <w:p w14:paraId="09C4518E">
            <w:pPr>
              <w:numPr>
                <w:ilvl w:val="0"/>
                <w:numId w:val="0"/>
              </w:numPr>
              <w:rPr>
                <w:rFonts w:ascii="宋体" w:hAnsi="宋体" w:cs="宋体"/>
                <w:bCs/>
                <w:kern w:val="0"/>
                <w:szCs w:val="21"/>
              </w:rPr>
            </w:pPr>
            <w:r>
              <w:rPr>
                <w:rFonts w:hint="eastAsia" w:ascii="宋体" w:hAnsi="宋体" w:cs="宋体"/>
                <w:bCs/>
                <w:szCs w:val="21"/>
                <w:lang w:eastAsia="zh-CN"/>
              </w:rPr>
              <w:t>（</w:t>
            </w:r>
            <w:r>
              <w:rPr>
                <w:rFonts w:hint="eastAsia" w:ascii="宋体" w:hAnsi="宋体" w:cs="宋体"/>
                <w:bCs/>
                <w:szCs w:val="21"/>
                <w:lang w:val="en-US" w:eastAsia="zh-CN"/>
              </w:rPr>
              <w:t>3</w:t>
            </w:r>
            <w:r>
              <w:rPr>
                <w:rFonts w:hint="eastAsia" w:ascii="宋体" w:hAnsi="宋体" w:cs="宋体"/>
                <w:bCs/>
                <w:szCs w:val="21"/>
                <w:lang w:eastAsia="zh-CN"/>
              </w:rPr>
              <w:t>）</w:t>
            </w:r>
            <w:r>
              <w:rPr>
                <w:rFonts w:hint="eastAsia" w:ascii="宋体" w:hAnsi="宋体" w:cs="宋体"/>
                <w:bCs/>
                <w:szCs w:val="21"/>
              </w:rPr>
              <w:t>提供1台</w:t>
            </w:r>
            <w:r>
              <w:rPr>
                <w:rFonts w:hint="eastAsia"/>
                <w:bCs/>
                <w:szCs w:val="22"/>
              </w:rPr>
              <w:t>油锯</w:t>
            </w:r>
            <w:r>
              <w:rPr>
                <w:rFonts w:hint="eastAsia" w:ascii="宋体" w:hAnsi="宋体" w:cs="宋体"/>
                <w:bCs/>
                <w:szCs w:val="21"/>
              </w:rPr>
              <w:t>得</w:t>
            </w:r>
            <w:r>
              <w:rPr>
                <w:rFonts w:hint="eastAsia" w:ascii="宋体" w:hAnsi="宋体" w:cs="宋体"/>
                <w:bCs/>
                <w:szCs w:val="21"/>
                <w:lang w:val="en-US" w:eastAsia="zh-CN"/>
              </w:rPr>
              <w:t>0.5</w:t>
            </w:r>
            <w:r>
              <w:rPr>
                <w:rFonts w:hint="eastAsia" w:ascii="宋体" w:hAnsi="宋体" w:cs="宋体"/>
                <w:bCs/>
                <w:szCs w:val="21"/>
              </w:rPr>
              <w:t>分，最高得</w:t>
            </w:r>
            <w:r>
              <w:rPr>
                <w:rFonts w:hint="eastAsia" w:ascii="宋体" w:hAnsi="宋体" w:cs="宋体"/>
                <w:bCs/>
                <w:szCs w:val="21"/>
                <w:lang w:val="en-US" w:eastAsia="zh-CN"/>
              </w:rPr>
              <w:t>0.5</w:t>
            </w:r>
            <w:r>
              <w:rPr>
                <w:rFonts w:hint="eastAsia" w:ascii="宋体" w:hAnsi="宋体" w:cs="宋体"/>
                <w:bCs/>
                <w:szCs w:val="21"/>
              </w:rPr>
              <w:t>分；</w:t>
            </w:r>
            <w:r>
              <w:rPr>
                <w:rFonts w:hint="eastAsia" w:ascii="宋体" w:hAnsi="宋体" w:cs="宋体"/>
                <w:bCs/>
                <w:kern w:val="0"/>
                <w:szCs w:val="21"/>
              </w:rPr>
              <w:t>设备同类型不重复计分。</w:t>
            </w:r>
          </w:p>
          <w:p w14:paraId="0E46460D">
            <w:pPr>
              <w:spacing w:line="340" w:lineRule="exact"/>
              <w:textAlignment w:val="baseline"/>
              <w:rPr>
                <w:rFonts w:ascii="宋体" w:hAnsi="宋体" w:cs="宋体"/>
                <w:szCs w:val="21"/>
              </w:rPr>
            </w:pPr>
            <w:r>
              <w:rPr>
                <w:rFonts w:hint="eastAsia" w:ascii="宋体" w:hAnsi="宋体" w:cs="宋体"/>
                <w:b/>
                <w:kern w:val="0"/>
                <w:szCs w:val="21"/>
                <w:lang w:val="zh-CN"/>
              </w:rPr>
              <w:t>注：须提供设备车辆的照片、有效年检期内的车辆行驶证或发票复印件并加盖公章，如租赁车辆设备的还须提供租赁合同（租赁期限＞服务期）复印件，否则不得分。</w:t>
            </w:r>
          </w:p>
          <w:p w14:paraId="6114EB19">
            <w:pPr>
              <w:spacing w:line="360" w:lineRule="auto"/>
              <w:jc w:val="left"/>
              <w:rPr>
                <w:rFonts w:ascii="宋体" w:cs="宋体"/>
                <w:b/>
                <w:bCs/>
                <w:kern w:val="21"/>
                <w:szCs w:val="21"/>
              </w:rPr>
            </w:pPr>
            <w:r>
              <w:rPr>
                <w:rFonts w:hint="eastAsia" w:ascii="宋体" w:hAnsi="宋体" w:cs="宋体"/>
                <w:b/>
                <w:szCs w:val="21"/>
              </w:rPr>
              <w:t>注：自有设备须提供有效的发票复印件，租赁或签订合作协议的须提供合同复印件及租赁方施工器械所有权的证明材料，否则不得分。</w:t>
            </w:r>
          </w:p>
        </w:tc>
        <w:tc>
          <w:tcPr>
            <w:tcW w:w="1152" w:type="dxa"/>
            <w:vAlign w:val="center"/>
          </w:tcPr>
          <w:p w14:paraId="52B1EAF1">
            <w:pPr>
              <w:widowControl/>
              <w:spacing w:line="360" w:lineRule="auto"/>
              <w:jc w:val="center"/>
              <w:rPr>
                <w:rFonts w:hint="default" w:ascii="宋体" w:hAnsi="宋体" w:eastAsia="宋体" w:cs="宋体"/>
                <w:b/>
                <w:bCs/>
                <w:kern w:val="0"/>
                <w:szCs w:val="21"/>
                <w:lang w:val="en-US" w:eastAsia="zh-CN"/>
              </w:rPr>
            </w:pPr>
            <w:r>
              <w:rPr>
                <w:rFonts w:hint="eastAsia" w:ascii="宋体" w:hAnsi="宋体" w:cs="宋体"/>
                <w:b/>
                <w:bCs/>
                <w:kern w:val="0"/>
                <w:szCs w:val="21"/>
                <w:lang w:val="en-US" w:eastAsia="zh-CN"/>
              </w:rPr>
              <w:t>2</w:t>
            </w:r>
          </w:p>
        </w:tc>
      </w:tr>
      <w:tr w14:paraId="5531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300D4490">
            <w:pPr>
              <w:widowControl/>
              <w:spacing w:line="360" w:lineRule="auto"/>
              <w:jc w:val="center"/>
              <w:rPr>
                <w:rFonts w:ascii="宋体" w:hAnsi="宋体" w:cs="宋体"/>
                <w:b/>
                <w:bCs/>
                <w:kern w:val="0"/>
                <w:szCs w:val="21"/>
              </w:rPr>
            </w:pPr>
            <w:r>
              <w:rPr>
                <w:rFonts w:hint="eastAsia" w:ascii="宋体" w:hAnsi="宋体" w:cs="宋体"/>
                <w:b/>
                <w:bCs/>
                <w:kern w:val="0"/>
                <w:szCs w:val="21"/>
              </w:rPr>
              <w:t>5</w:t>
            </w:r>
          </w:p>
        </w:tc>
        <w:tc>
          <w:tcPr>
            <w:tcW w:w="1129" w:type="dxa"/>
            <w:vAlign w:val="center"/>
          </w:tcPr>
          <w:p w14:paraId="1F8E5C68">
            <w:pPr>
              <w:jc w:val="center"/>
              <w:rPr>
                <w:rFonts w:ascii="宋体" w:hAnsi="宋体" w:cs="Arial"/>
                <w:b/>
                <w:bCs/>
                <w:szCs w:val="21"/>
                <w:lang w:bidi="ar"/>
              </w:rPr>
            </w:pPr>
            <w:r>
              <w:rPr>
                <w:rFonts w:hint="eastAsia" w:ascii="宋体" w:hAnsi="宋体" w:cs="宋体"/>
                <w:szCs w:val="21"/>
              </w:rPr>
              <w:t>近三年安全事故责任情况</w:t>
            </w:r>
          </w:p>
        </w:tc>
        <w:tc>
          <w:tcPr>
            <w:tcW w:w="6774" w:type="dxa"/>
            <w:gridSpan w:val="4"/>
            <w:vAlign w:val="center"/>
          </w:tcPr>
          <w:p w14:paraId="7505506B">
            <w:pPr>
              <w:ind w:firstLine="420" w:firstLineChars="200"/>
              <w:jc w:val="left"/>
              <w:rPr>
                <w:rFonts w:ascii="宋体" w:hAnsi="宋体" w:cs="宋体"/>
                <w:szCs w:val="21"/>
              </w:rPr>
            </w:pPr>
            <w:r>
              <w:rPr>
                <w:rFonts w:hint="eastAsia" w:ascii="宋体" w:hAnsi="宋体" w:cs="宋体"/>
                <w:szCs w:val="21"/>
              </w:rPr>
              <w:t>提供近三年无安全责任</w:t>
            </w:r>
            <w:r>
              <w:rPr>
                <w:rFonts w:hint="eastAsia" w:ascii="宋体" w:hAnsi="宋体" w:cs="宋体"/>
                <w:szCs w:val="21"/>
                <w:lang w:val="zh-CN"/>
              </w:rPr>
              <w:t>质量事故</w:t>
            </w:r>
            <w:r>
              <w:rPr>
                <w:rFonts w:hint="eastAsia" w:ascii="宋体" w:hAnsi="宋体" w:cs="宋体"/>
                <w:szCs w:val="21"/>
              </w:rPr>
              <w:t>情况承诺函（格式自拟），提供得2分，未提供不得分。</w:t>
            </w:r>
          </w:p>
          <w:p w14:paraId="48CEA086">
            <w:pPr>
              <w:jc w:val="left"/>
              <w:rPr>
                <w:rFonts w:ascii="宋体" w:hAnsi="宋体" w:cs="Arial"/>
                <w:b/>
                <w:bCs/>
                <w:szCs w:val="21"/>
                <w:lang w:bidi="ar"/>
              </w:rPr>
            </w:pPr>
            <w:r>
              <w:rPr>
                <w:rFonts w:hint="eastAsia" w:ascii="宋体" w:hAnsi="宋体" w:cs="宋体"/>
                <w:b/>
                <w:bCs/>
                <w:szCs w:val="21"/>
              </w:rPr>
              <w:t>注：须加盖公章</w:t>
            </w:r>
            <w:r>
              <w:rPr>
                <w:rFonts w:hint="eastAsia" w:ascii="宋体" w:hAnsi="宋体" w:cs="宋体"/>
                <w:b/>
                <w:bCs/>
                <w:szCs w:val="21"/>
                <w:lang w:val="zh-CN"/>
              </w:rPr>
              <w:t>,否则不得分。</w:t>
            </w:r>
          </w:p>
        </w:tc>
        <w:tc>
          <w:tcPr>
            <w:tcW w:w="1152" w:type="dxa"/>
            <w:vAlign w:val="center"/>
          </w:tcPr>
          <w:p w14:paraId="346B8EAE">
            <w:pPr>
              <w:widowControl/>
              <w:spacing w:line="360" w:lineRule="auto"/>
              <w:jc w:val="center"/>
              <w:rPr>
                <w:rFonts w:ascii="宋体" w:hAnsi="宋体" w:cs="宋体"/>
                <w:b/>
                <w:bCs/>
                <w:kern w:val="0"/>
                <w:szCs w:val="21"/>
              </w:rPr>
            </w:pPr>
            <w:r>
              <w:rPr>
                <w:rFonts w:hint="eastAsia" w:ascii="宋体" w:hAnsi="宋体" w:cs="宋体"/>
                <w:b/>
                <w:bCs/>
                <w:kern w:val="0"/>
                <w:szCs w:val="21"/>
              </w:rPr>
              <w:t>2</w:t>
            </w:r>
          </w:p>
        </w:tc>
      </w:tr>
      <w:tr w14:paraId="1D19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80" w:type="dxa"/>
            <w:vAlign w:val="center"/>
          </w:tcPr>
          <w:p w14:paraId="5A421157">
            <w:pPr>
              <w:widowControl/>
              <w:spacing w:line="360" w:lineRule="auto"/>
              <w:jc w:val="center"/>
              <w:rPr>
                <w:rFonts w:ascii="宋体" w:hAnsi="宋体" w:cs="宋体"/>
                <w:b/>
                <w:bCs/>
                <w:kern w:val="0"/>
                <w:szCs w:val="21"/>
              </w:rPr>
            </w:pPr>
            <w:r>
              <w:rPr>
                <w:rFonts w:hint="eastAsia" w:ascii="宋体" w:hAnsi="宋体" w:cs="宋体"/>
                <w:b/>
                <w:bCs/>
                <w:kern w:val="0"/>
                <w:szCs w:val="21"/>
              </w:rPr>
              <w:t>6</w:t>
            </w:r>
          </w:p>
        </w:tc>
        <w:tc>
          <w:tcPr>
            <w:tcW w:w="1129" w:type="dxa"/>
            <w:vAlign w:val="center"/>
          </w:tcPr>
          <w:p w14:paraId="0BA1AC05">
            <w:pPr>
              <w:jc w:val="center"/>
              <w:rPr>
                <w:rFonts w:ascii="宋体" w:hAnsi="宋体" w:cs="Arial"/>
                <w:b/>
                <w:bCs/>
                <w:szCs w:val="21"/>
                <w:lang w:bidi="ar"/>
              </w:rPr>
            </w:pPr>
            <w:r>
              <w:rPr>
                <w:rFonts w:hint="eastAsia" w:ascii="宋体" w:hAnsi="宋体" w:cs="宋体"/>
                <w:szCs w:val="21"/>
              </w:rPr>
              <w:t>近三年质量事故情况</w:t>
            </w:r>
          </w:p>
        </w:tc>
        <w:tc>
          <w:tcPr>
            <w:tcW w:w="6774" w:type="dxa"/>
            <w:gridSpan w:val="4"/>
            <w:vAlign w:val="center"/>
          </w:tcPr>
          <w:p w14:paraId="511A5E07">
            <w:pPr>
              <w:adjustRightInd w:val="0"/>
              <w:snapToGrid w:val="0"/>
              <w:spacing w:before="156"/>
              <w:ind w:firstLine="210" w:firstLineChars="100"/>
              <w:jc w:val="left"/>
              <w:rPr>
                <w:rFonts w:ascii="宋体" w:hAnsi="宋体" w:cs="宋体"/>
                <w:szCs w:val="21"/>
              </w:rPr>
            </w:pPr>
            <w:r>
              <w:rPr>
                <w:rFonts w:hint="eastAsia" w:ascii="宋体" w:hAnsi="宋体" w:cs="宋体"/>
                <w:szCs w:val="21"/>
              </w:rPr>
              <w:t>提供近三年无质量事故情况承诺函（格式自拟），提供得2分，未提供不得分。</w:t>
            </w:r>
          </w:p>
          <w:p w14:paraId="56C403A1">
            <w:pPr>
              <w:jc w:val="left"/>
              <w:rPr>
                <w:rFonts w:ascii="宋体" w:hAnsi="宋体" w:cs="Arial"/>
                <w:b/>
                <w:bCs/>
                <w:szCs w:val="21"/>
                <w:lang w:bidi="ar"/>
              </w:rPr>
            </w:pPr>
            <w:r>
              <w:rPr>
                <w:rFonts w:hint="eastAsia" w:ascii="宋体" w:hAnsi="宋体" w:cs="宋体"/>
                <w:b/>
                <w:bCs/>
                <w:szCs w:val="21"/>
              </w:rPr>
              <w:t>注：须加盖公章</w:t>
            </w:r>
            <w:r>
              <w:rPr>
                <w:rFonts w:hint="eastAsia" w:ascii="宋体" w:hAnsi="宋体" w:cs="宋体"/>
                <w:b/>
                <w:bCs/>
                <w:szCs w:val="21"/>
                <w:lang w:val="zh-CN"/>
              </w:rPr>
              <w:t>,否则不得分。</w:t>
            </w:r>
          </w:p>
        </w:tc>
        <w:tc>
          <w:tcPr>
            <w:tcW w:w="1152" w:type="dxa"/>
            <w:vAlign w:val="center"/>
          </w:tcPr>
          <w:p w14:paraId="4633AC11">
            <w:pPr>
              <w:widowControl/>
              <w:spacing w:line="360" w:lineRule="auto"/>
              <w:jc w:val="center"/>
              <w:rPr>
                <w:rFonts w:ascii="宋体" w:hAnsi="宋体" w:cs="宋体"/>
                <w:b/>
                <w:bCs/>
                <w:kern w:val="0"/>
                <w:szCs w:val="21"/>
              </w:rPr>
            </w:pPr>
            <w:r>
              <w:rPr>
                <w:rFonts w:hint="eastAsia" w:ascii="宋体" w:hAnsi="宋体" w:cs="宋体"/>
                <w:b/>
                <w:bCs/>
                <w:kern w:val="0"/>
                <w:szCs w:val="21"/>
              </w:rPr>
              <w:t>2</w:t>
            </w:r>
          </w:p>
        </w:tc>
      </w:tr>
      <w:tr w14:paraId="7AA1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2146AAF2">
            <w:pPr>
              <w:widowControl/>
              <w:spacing w:line="360" w:lineRule="auto"/>
              <w:jc w:val="center"/>
              <w:rPr>
                <w:rFonts w:ascii="宋体" w:hAnsi="宋体" w:cs="宋体"/>
                <w:b/>
                <w:bCs/>
                <w:kern w:val="0"/>
                <w:szCs w:val="21"/>
              </w:rPr>
            </w:pPr>
            <w:r>
              <w:rPr>
                <w:rFonts w:hint="eastAsia" w:ascii="宋体" w:hAnsi="宋体" w:cs="宋体"/>
                <w:b/>
                <w:bCs/>
                <w:kern w:val="0"/>
                <w:szCs w:val="21"/>
              </w:rPr>
              <w:t>7</w:t>
            </w:r>
          </w:p>
        </w:tc>
        <w:tc>
          <w:tcPr>
            <w:tcW w:w="1129" w:type="dxa"/>
            <w:vAlign w:val="center"/>
          </w:tcPr>
          <w:p w14:paraId="429AFCFA">
            <w:pPr>
              <w:spacing w:line="360" w:lineRule="auto"/>
              <w:jc w:val="center"/>
              <w:rPr>
                <w:rFonts w:ascii="宋体" w:hAnsi="宋体" w:cs="Arial"/>
                <w:b/>
                <w:bCs/>
                <w:szCs w:val="21"/>
                <w:lang w:bidi="ar"/>
              </w:rPr>
            </w:pPr>
            <w:r>
              <w:rPr>
                <w:rFonts w:hint="eastAsia" w:ascii="宋体" w:hAnsi="宋体" w:cs="宋体"/>
                <w:color w:val="000000" w:themeColor="text1"/>
                <w:szCs w:val="21"/>
                <w14:textFill>
                  <w14:solidFill>
                    <w14:schemeClr w14:val="tx1"/>
                  </w14:solidFill>
                </w14:textFill>
              </w:rPr>
              <w:t>服务承诺</w:t>
            </w:r>
          </w:p>
        </w:tc>
        <w:tc>
          <w:tcPr>
            <w:tcW w:w="6774" w:type="dxa"/>
            <w:gridSpan w:val="4"/>
            <w:vAlign w:val="center"/>
          </w:tcPr>
          <w:p w14:paraId="716FCA70">
            <w:pPr>
              <w:pStyle w:val="56"/>
              <w:jc w:val="both"/>
              <w:rPr>
                <w:rFonts w:ascii="宋体" w:hAnsi="宋体" w:cs="宋体"/>
                <w:bCs/>
                <w:sz w:val="21"/>
                <w:szCs w:val="21"/>
                <w:lang w:val="zh-CN" w:eastAsia="zh-CN"/>
              </w:rPr>
            </w:pPr>
            <w:r>
              <w:rPr>
                <w:rFonts w:hint="eastAsia" w:ascii="宋体" w:hAnsi="宋体" w:cs="宋体"/>
                <w:bCs/>
                <w:sz w:val="21"/>
                <w:szCs w:val="21"/>
                <w:lang w:val="zh-CN" w:eastAsia="zh-CN"/>
              </w:rPr>
              <w:t>接到服务要求后能够在6小时内到达现场的得3分。</w:t>
            </w:r>
          </w:p>
          <w:p w14:paraId="04C37D54">
            <w:pPr>
              <w:pStyle w:val="56"/>
              <w:jc w:val="both"/>
              <w:rPr>
                <w:rFonts w:ascii="宋体" w:hAnsi="宋体" w:cs="宋体"/>
                <w:bCs/>
                <w:sz w:val="21"/>
                <w:szCs w:val="21"/>
                <w:lang w:val="zh-CN" w:eastAsia="zh-CN"/>
              </w:rPr>
            </w:pPr>
            <w:r>
              <w:rPr>
                <w:rFonts w:hint="eastAsia" w:ascii="宋体" w:hAnsi="宋体" w:cs="宋体"/>
                <w:bCs/>
                <w:sz w:val="21"/>
                <w:szCs w:val="21"/>
                <w:lang w:val="zh-CN" w:eastAsia="zh-CN"/>
              </w:rPr>
              <w:t>接到服务要求后能够在12小时内到达现场的得2分。</w:t>
            </w:r>
          </w:p>
          <w:p w14:paraId="13220879">
            <w:pPr>
              <w:pStyle w:val="56"/>
              <w:jc w:val="both"/>
              <w:rPr>
                <w:rFonts w:ascii="宋体" w:hAnsi="宋体" w:cs="Arial"/>
                <w:b/>
                <w:bCs/>
                <w:szCs w:val="21"/>
                <w:lang w:eastAsia="zh-CN" w:bidi="ar"/>
              </w:rPr>
            </w:pPr>
            <w:r>
              <w:rPr>
                <w:rFonts w:hint="eastAsia" w:ascii="宋体" w:hAnsi="宋体" w:cs="宋体"/>
                <w:bCs/>
                <w:sz w:val="21"/>
                <w:szCs w:val="21"/>
                <w:lang w:val="zh-CN" w:eastAsia="zh-CN"/>
              </w:rPr>
              <w:t>接到服务要求后能够在能够在18小时内到达现场的得1分；其余不得分。</w:t>
            </w:r>
          </w:p>
        </w:tc>
        <w:tc>
          <w:tcPr>
            <w:tcW w:w="1152" w:type="dxa"/>
            <w:vAlign w:val="center"/>
          </w:tcPr>
          <w:p w14:paraId="07763C57">
            <w:pPr>
              <w:widowControl/>
              <w:spacing w:line="360" w:lineRule="auto"/>
              <w:jc w:val="center"/>
              <w:rPr>
                <w:rFonts w:ascii="宋体" w:hAnsi="宋体" w:cs="宋体"/>
                <w:b/>
                <w:bCs/>
                <w:kern w:val="0"/>
                <w:szCs w:val="21"/>
              </w:rPr>
            </w:pPr>
            <w:r>
              <w:rPr>
                <w:rFonts w:hint="eastAsia" w:ascii="宋体" w:hAnsi="宋体" w:cs="宋体"/>
                <w:b/>
                <w:bCs/>
                <w:kern w:val="0"/>
                <w:szCs w:val="21"/>
              </w:rPr>
              <w:t>3</w:t>
            </w:r>
          </w:p>
        </w:tc>
      </w:tr>
      <w:tr w14:paraId="0825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680" w:type="dxa"/>
            <w:vAlign w:val="center"/>
          </w:tcPr>
          <w:p w14:paraId="16F2BADB">
            <w:pPr>
              <w:widowControl/>
              <w:spacing w:line="360" w:lineRule="auto"/>
              <w:jc w:val="center"/>
              <w:rPr>
                <w:rFonts w:ascii="宋体" w:hAnsi="宋体" w:cs="宋体"/>
                <w:b/>
                <w:bCs/>
                <w:kern w:val="0"/>
                <w:szCs w:val="21"/>
              </w:rPr>
            </w:pPr>
            <w:r>
              <w:rPr>
                <w:rFonts w:hint="eastAsia" w:ascii="宋体" w:hAnsi="宋体" w:cs="宋体"/>
                <w:b/>
                <w:bCs/>
                <w:kern w:val="0"/>
                <w:szCs w:val="21"/>
              </w:rPr>
              <w:t>8</w:t>
            </w:r>
          </w:p>
        </w:tc>
        <w:tc>
          <w:tcPr>
            <w:tcW w:w="1129" w:type="dxa"/>
            <w:vAlign w:val="center"/>
          </w:tcPr>
          <w:p w14:paraId="455A3028">
            <w:pPr>
              <w:spacing w:line="360" w:lineRule="auto"/>
              <w:jc w:val="center"/>
              <w:rPr>
                <w:rFonts w:ascii="宋体" w:hAnsi="宋体" w:cs="Arial"/>
                <w:b/>
                <w:bCs/>
                <w:szCs w:val="21"/>
                <w:lang w:bidi="ar"/>
              </w:rPr>
            </w:pPr>
            <w:r>
              <w:rPr>
                <w:rFonts w:hint="eastAsia" w:ascii="宋体" w:hAnsi="宋体" w:cs="宋体"/>
                <w:szCs w:val="21"/>
              </w:rPr>
              <w:t>本地化服务</w:t>
            </w:r>
          </w:p>
        </w:tc>
        <w:tc>
          <w:tcPr>
            <w:tcW w:w="6774" w:type="dxa"/>
            <w:gridSpan w:val="4"/>
            <w:vAlign w:val="center"/>
          </w:tcPr>
          <w:p w14:paraId="3D76E577">
            <w:pPr>
              <w:ind w:firstLine="420" w:firstLineChars="200"/>
              <w:rPr>
                <w:rFonts w:ascii="宋体" w:hAnsi="宋体" w:cs="宋体"/>
                <w:szCs w:val="21"/>
              </w:rPr>
            </w:pPr>
            <w:r>
              <w:rPr>
                <w:rFonts w:hint="eastAsia" w:ascii="宋体" w:hAnsi="宋体" w:cs="宋体"/>
                <w:szCs w:val="21"/>
              </w:rPr>
              <w:t>投标人在项目所在地设有办公场所、项目所在地设有分公司或承诺中标后设立办公场所的得2分。</w:t>
            </w:r>
          </w:p>
          <w:p w14:paraId="7B4502D6">
            <w:pPr>
              <w:jc w:val="left"/>
              <w:rPr>
                <w:rFonts w:ascii="宋体" w:hAnsi="宋体" w:cs="Arial"/>
                <w:b/>
                <w:bCs/>
                <w:szCs w:val="21"/>
                <w:lang w:bidi="ar"/>
              </w:rPr>
            </w:pPr>
            <w:r>
              <w:rPr>
                <w:rFonts w:hint="eastAsia" w:ascii="宋体" w:hAnsi="宋体" w:cs="宋体"/>
                <w:b/>
                <w:bCs/>
                <w:color w:val="000000"/>
                <w:szCs w:val="21"/>
              </w:rPr>
              <w:t>注：</w:t>
            </w:r>
            <w:r>
              <w:rPr>
                <w:rFonts w:hint="eastAsia" w:ascii="宋体" w:hAnsi="宋体" w:cs="宋体"/>
                <w:b/>
                <w:szCs w:val="21"/>
              </w:rPr>
              <w:t>已经设立固定售后服务网点的须提供网点营业执照复印件或扫描件；承诺中标后设立固定售后服务网点的须提供加盖投标人公章的承诺书（若中标后无法履行承诺，将被视为虚假承诺而取消其中标资格），否则不得分。</w:t>
            </w:r>
          </w:p>
        </w:tc>
        <w:tc>
          <w:tcPr>
            <w:tcW w:w="1152" w:type="dxa"/>
            <w:vAlign w:val="center"/>
          </w:tcPr>
          <w:p w14:paraId="462AE381">
            <w:pPr>
              <w:widowControl/>
              <w:spacing w:line="360" w:lineRule="auto"/>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2</w:t>
            </w:r>
          </w:p>
        </w:tc>
      </w:tr>
      <w:tr w14:paraId="0013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80" w:type="dxa"/>
            <w:vAlign w:val="center"/>
          </w:tcPr>
          <w:p w14:paraId="6BABEF96">
            <w:pPr>
              <w:widowControl/>
              <w:spacing w:line="360" w:lineRule="auto"/>
              <w:jc w:val="center"/>
              <w:rPr>
                <w:rFonts w:ascii="宋体" w:hAnsi="宋体" w:cs="宋体"/>
                <w:b/>
                <w:bCs/>
                <w:kern w:val="0"/>
                <w:szCs w:val="21"/>
              </w:rPr>
            </w:pPr>
            <w:r>
              <w:rPr>
                <w:rFonts w:hint="eastAsia" w:ascii="宋体" w:hAnsi="宋体" w:cs="宋体"/>
                <w:b/>
                <w:bCs/>
                <w:kern w:val="0"/>
                <w:szCs w:val="21"/>
              </w:rPr>
              <w:t>二</w:t>
            </w:r>
          </w:p>
        </w:tc>
        <w:tc>
          <w:tcPr>
            <w:tcW w:w="7903" w:type="dxa"/>
            <w:gridSpan w:val="5"/>
            <w:vAlign w:val="center"/>
          </w:tcPr>
          <w:p w14:paraId="63048FB2">
            <w:pPr>
              <w:spacing w:line="360" w:lineRule="auto"/>
              <w:jc w:val="center"/>
              <w:rPr>
                <w:rFonts w:ascii="宋体" w:hAnsi="宋体" w:cs="Arial"/>
                <w:b/>
                <w:bCs/>
                <w:szCs w:val="21"/>
                <w:lang w:bidi="ar"/>
              </w:rPr>
            </w:pPr>
            <w:r>
              <w:rPr>
                <w:rFonts w:hint="eastAsia" w:ascii="宋体" w:hAnsi="宋体" w:cs="Arial"/>
                <w:b/>
                <w:bCs/>
                <w:szCs w:val="21"/>
                <w:lang w:bidi="ar"/>
              </w:rPr>
              <w:t>技术部分</w:t>
            </w:r>
          </w:p>
        </w:tc>
        <w:tc>
          <w:tcPr>
            <w:tcW w:w="1152" w:type="dxa"/>
            <w:vAlign w:val="center"/>
          </w:tcPr>
          <w:p w14:paraId="0DB240A0">
            <w:pPr>
              <w:widowControl/>
              <w:spacing w:line="360" w:lineRule="auto"/>
              <w:jc w:val="center"/>
              <w:rPr>
                <w:rFonts w:hint="eastAsia" w:ascii="宋体" w:hAnsi="宋体" w:eastAsia="宋体" w:cs="宋体"/>
                <w:b/>
                <w:bCs/>
                <w:kern w:val="0"/>
                <w:szCs w:val="21"/>
                <w:lang w:val="en-US" w:eastAsia="zh-CN"/>
              </w:rPr>
            </w:pPr>
            <w:r>
              <w:rPr>
                <w:rFonts w:hint="eastAsia" w:ascii="宋体" w:hAnsi="宋体" w:cs="宋体"/>
                <w:b/>
                <w:bCs/>
                <w:kern w:val="0"/>
                <w:szCs w:val="21"/>
              </w:rPr>
              <w:t>3</w:t>
            </w:r>
            <w:r>
              <w:rPr>
                <w:rFonts w:hint="eastAsia" w:ascii="宋体" w:hAnsi="宋体" w:cs="宋体"/>
                <w:b/>
                <w:bCs/>
                <w:kern w:val="0"/>
                <w:szCs w:val="21"/>
                <w:lang w:val="en-US" w:eastAsia="zh-CN"/>
              </w:rPr>
              <w:t>0</w:t>
            </w:r>
          </w:p>
        </w:tc>
      </w:tr>
      <w:tr w14:paraId="5D6B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80" w:type="dxa"/>
            <w:vAlign w:val="center"/>
          </w:tcPr>
          <w:p w14:paraId="3D02D5A2">
            <w:pPr>
              <w:spacing w:line="360" w:lineRule="auto"/>
              <w:jc w:val="center"/>
              <w:rPr>
                <w:rFonts w:ascii="宋体" w:hAnsi="宋体" w:cs="宋体"/>
                <w:kern w:val="0"/>
                <w:szCs w:val="21"/>
              </w:rPr>
            </w:pPr>
            <w:r>
              <w:rPr>
                <w:rFonts w:hint="eastAsia" w:ascii="宋体" w:hAnsi="宋体" w:cs="宋体"/>
                <w:kern w:val="0"/>
                <w:szCs w:val="21"/>
              </w:rPr>
              <w:t>9</w:t>
            </w:r>
          </w:p>
        </w:tc>
        <w:tc>
          <w:tcPr>
            <w:tcW w:w="1140" w:type="dxa"/>
            <w:gridSpan w:val="2"/>
            <w:vAlign w:val="center"/>
          </w:tcPr>
          <w:p w14:paraId="380E92AC">
            <w:pPr>
              <w:autoSpaceDE w:val="0"/>
              <w:autoSpaceDN w:val="0"/>
              <w:adjustRightInd w:val="0"/>
              <w:spacing w:before="50"/>
              <w:ind w:right="96"/>
              <w:jc w:val="both"/>
              <w:rPr>
                <w:rFonts w:ascii="宋体" w:hAnsi="宋体" w:cs="仿宋_GB2312"/>
                <w:szCs w:val="21"/>
              </w:rPr>
            </w:pPr>
            <w:r>
              <w:rPr>
                <w:rFonts w:hint="eastAsia" w:ascii="宋体" w:hAnsi="宋体" w:eastAsia="宋体" w:cs="宋体"/>
                <w:b w:val="0"/>
                <w:bCs w:val="0"/>
                <w:color w:val="auto"/>
                <w:sz w:val="21"/>
                <w:szCs w:val="21"/>
                <w:lang w:val="en-US" w:eastAsia="zh-CN"/>
              </w:rPr>
              <w:t>施工总平面布置情况</w:t>
            </w:r>
          </w:p>
        </w:tc>
        <w:tc>
          <w:tcPr>
            <w:tcW w:w="6763" w:type="dxa"/>
            <w:gridSpan w:val="3"/>
            <w:vAlign w:val="center"/>
          </w:tcPr>
          <w:p w14:paraId="28E00B4F">
            <w:pPr>
              <w:rPr>
                <w:rFonts w:hint="default"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bidi="ar-SA"/>
              </w:rPr>
              <w:t>根据施工现场实际情况，施工总平面是否安排科学合理，符合本项目施工实际要求由评委进行打分。</w:t>
            </w:r>
          </w:p>
          <w:p w14:paraId="54D5E2CC">
            <w:pPr>
              <w:rPr>
                <w:rFonts w:ascii="宋体" w:hAnsi="宋体" w:cs="宋体"/>
                <w:bCs/>
                <w:color w:val="000000"/>
                <w:szCs w:val="21"/>
              </w:rPr>
            </w:pPr>
            <w:r>
              <w:rPr>
                <w:rFonts w:hint="default" w:ascii="宋体" w:hAnsi="宋体" w:eastAsia="宋体" w:cs="宋体"/>
                <w:color w:val="000000"/>
                <w:kern w:val="2"/>
                <w:sz w:val="21"/>
                <w:szCs w:val="21"/>
                <w:highlight w:val="none"/>
                <w:lang w:val="en-US" w:eastAsia="zh-CN" w:bidi="ar-SA"/>
              </w:rPr>
              <w:t>内容完善合理，符合采购需求的得4分；内容较完善，较合理，基本符合采购需求的得2分；内容一般，不太完善合理的得1分。未提供不得分。</w:t>
            </w:r>
          </w:p>
        </w:tc>
        <w:tc>
          <w:tcPr>
            <w:tcW w:w="1152" w:type="dxa"/>
            <w:vAlign w:val="center"/>
          </w:tcPr>
          <w:p w14:paraId="77B09203">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r>
      <w:tr w14:paraId="438F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Align w:val="center"/>
          </w:tcPr>
          <w:p w14:paraId="182D02CC">
            <w:pPr>
              <w:spacing w:line="360" w:lineRule="auto"/>
              <w:jc w:val="center"/>
              <w:rPr>
                <w:rFonts w:ascii="宋体" w:hAnsi="宋体" w:cs="宋体"/>
                <w:kern w:val="0"/>
                <w:szCs w:val="21"/>
              </w:rPr>
            </w:pPr>
            <w:r>
              <w:rPr>
                <w:rFonts w:hint="eastAsia" w:ascii="宋体" w:hAnsi="宋体" w:cs="宋体"/>
                <w:kern w:val="0"/>
                <w:szCs w:val="21"/>
              </w:rPr>
              <w:t>10</w:t>
            </w:r>
          </w:p>
        </w:tc>
        <w:tc>
          <w:tcPr>
            <w:tcW w:w="1140" w:type="dxa"/>
            <w:gridSpan w:val="2"/>
            <w:vAlign w:val="center"/>
          </w:tcPr>
          <w:p w14:paraId="5DF08029">
            <w:pPr>
              <w:autoSpaceDE w:val="0"/>
              <w:autoSpaceDN w:val="0"/>
              <w:adjustRightInd w:val="0"/>
              <w:spacing w:before="50"/>
              <w:ind w:right="96"/>
              <w:jc w:val="center"/>
              <w:rPr>
                <w:rFonts w:ascii="宋体" w:hAnsi="宋体" w:cs="仿宋_GB2312"/>
                <w:szCs w:val="21"/>
              </w:rPr>
            </w:pPr>
            <w:r>
              <w:rPr>
                <w:rFonts w:hint="eastAsia"/>
              </w:rPr>
              <w:t>施工管理组织</w:t>
            </w:r>
          </w:p>
        </w:tc>
        <w:tc>
          <w:tcPr>
            <w:tcW w:w="6763" w:type="dxa"/>
            <w:gridSpan w:val="3"/>
            <w:vAlign w:val="center"/>
          </w:tcPr>
          <w:p w14:paraId="1230A4FC">
            <w:pPr>
              <w:rPr>
                <w:rFonts w:ascii="宋体" w:hAnsi="宋体" w:cs="宋体"/>
                <w:bCs/>
                <w:color w:val="000000"/>
                <w:szCs w:val="21"/>
              </w:rPr>
            </w:pPr>
            <w:r>
              <w:rPr>
                <w:rFonts w:hint="eastAsia" w:ascii="宋体" w:hAnsi="宋体" w:cs="宋体"/>
                <w:bCs/>
                <w:color w:val="000000"/>
                <w:szCs w:val="21"/>
              </w:rPr>
              <w:t>根据供应商提供的组织机构形式、制定岗位职责、选派管理人员、制定施工管理工作流程等情况进行评分。</w:t>
            </w:r>
          </w:p>
          <w:p w14:paraId="53210C71">
            <w:pPr>
              <w:rPr>
                <w:rFonts w:ascii="宋体" w:hAnsi="宋体" w:cs="宋体"/>
                <w:bCs/>
                <w:color w:val="000000"/>
                <w:szCs w:val="21"/>
              </w:rPr>
            </w:pPr>
            <w:r>
              <w:rPr>
                <w:rFonts w:hint="eastAsia" w:ascii="宋体" w:hAnsi="宋体" w:cs="宋体"/>
                <w:bCs/>
                <w:color w:val="000000"/>
                <w:szCs w:val="21"/>
              </w:rPr>
              <w:t>①组织机构形式选择明确合理的得1分；不明确或未提供的不得分。</w:t>
            </w:r>
          </w:p>
          <w:p w14:paraId="56DDCFFA">
            <w:pPr>
              <w:rPr>
                <w:rFonts w:ascii="宋体" w:hAnsi="宋体" w:cs="宋体"/>
                <w:bCs/>
                <w:color w:val="000000"/>
                <w:szCs w:val="21"/>
              </w:rPr>
            </w:pPr>
            <w:r>
              <w:rPr>
                <w:rFonts w:hint="eastAsia" w:ascii="宋体" w:hAnsi="宋体" w:cs="宋体"/>
                <w:bCs/>
                <w:color w:val="000000"/>
                <w:szCs w:val="21"/>
              </w:rPr>
              <w:t>②制定的岗位职责比较明确及完善的得</w:t>
            </w:r>
            <w:r>
              <w:rPr>
                <w:rFonts w:hint="eastAsia" w:ascii="宋体" w:hAnsi="宋体" w:cs="宋体"/>
                <w:bCs/>
                <w:color w:val="000000"/>
                <w:szCs w:val="21"/>
                <w:lang w:val="en-US" w:eastAsia="zh-CN"/>
              </w:rPr>
              <w:t>1</w:t>
            </w:r>
            <w:r>
              <w:rPr>
                <w:rFonts w:hint="eastAsia" w:ascii="宋体" w:hAnsi="宋体" w:cs="宋体"/>
                <w:bCs/>
                <w:color w:val="000000"/>
                <w:szCs w:val="21"/>
              </w:rPr>
              <w:t>分；不太不明确或不太完善的得</w:t>
            </w:r>
            <w:r>
              <w:rPr>
                <w:rFonts w:hint="eastAsia" w:ascii="宋体" w:hAnsi="宋体" w:cs="宋体"/>
                <w:bCs/>
                <w:color w:val="000000"/>
                <w:szCs w:val="21"/>
                <w:lang w:val="en-US" w:eastAsia="zh-CN"/>
              </w:rPr>
              <w:t>0.8</w:t>
            </w:r>
            <w:r>
              <w:rPr>
                <w:rFonts w:hint="eastAsia" w:ascii="宋体" w:hAnsi="宋体" w:cs="宋体"/>
                <w:bCs/>
                <w:color w:val="000000"/>
                <w:szCs w:val="21"/>
              </w:rPr>
              <w:t>分；未提供的不得分。</w:t>
            </w:r>
          </w:p>
          <w:p w14:paraId="05950481">
            <w:pPr>
              <w:rPr>
                <w:rFonts w:ascii="宋体" w:hAnsi="宋体" w:cs="宋体"/>
                <w:bCs/>
                <w:color w:val="000000"/>
                <w:szCs w:val="21"/>
              </w:rPr>
            </w:pPr>
            <w:r>
              <w:rPr>
                <w:rFonts w:hint="eastAsia" w:ascii="宋体" w:hAnsi="宋体" w:cs="宋体"/>
                <w:bCs/>
                <w:color w:val="000000"/>
                <w:szCs w:val="21"/>
              </w:rPr>
              <w:t>③项目部管理人员选配比较齐全及合理的得</w:t>
            </w:r>
            <w:r>
              <w:rPr>
                <w:rFonts w:hint="eastAsia" w:ascii="宋体" w:hAnsi="宋体" w:cs="宋体"/>
                <w:bCs/>
                <w:color w:val="000000"/>
                <w:szCs w:val="21"/>
                <w:lang w:val="en-US" w:eastAsia="zh-CN"/>
              </w:rPr>
              <w:t>1</w:t>
            </w:r>
            <w:r>
              <w:rPr>
                <w:rFonts w:hint="eastAsia" w:ascii="宋体" w:hAnsi="宋体" w:cs="宋体"/>
                <w:bCs/>
                <w:color w:val="000000"/>
                <w:szCs w:val="21"/>
              </w:rPr>
              <w:t>分；不太齐全或不太合理的得</w:t>
            </w:r>
            <w:r>
              <w:rPr>
                <w:rFonts w:hint="eastAsia" w:ascii="宋体" w:hAnsi="宋体" w:cs="宋体"/>
                <w:bCs/>
                <w:color w:val="000000"/>
                <w:szCs w:val="21"/>
                <w:lang w:val="en-US" w:eastAsia="zh-CN"/>
              </w:rPr>
              <w:t>0.8</w:t>
            </w:r>
            <w:r>
              <w:rPr>
                <w:rFonts w:hint="eastAsia" w:ascii="宋体" w:hAnsi="宋体" w:cs="宋体"/>
                <w:bCs/>
                <w:color w:val="000000"/>
                <w:szCs w:val="21"/>
              </w:rPr>
              <w:t>分；未提供的不得分。</w:t>
            </w:r>
          </w:p>
          <w:p w14:paraId="694B5556">
            <w:pPr>
              <w:rPr>
                <w:rFonts w:ascii="宋体" w:hAnsi="宋体" w:cs="宋体"/>
                <w:bCs/>
                <w:color w:val="000000"/>
                <w:szCs w:val="21"/>
              </w:rPr>
            </w:pPr>
            <w:r>
              <w:rPr>
                <w:rFonts w:hint="eastAsia" w:ascii="宋体" w:hAnsi="宋体" w:cs="宋体"/>
                <w:bCs/>
                <w:color w:val="000000"/>
                <w:szCs w:val="21"/>
              </w:rPr>
              <w:t>④相应管理工作流程，比较完善及合理的得</w:t>
            </w:r>
            <w:r>
              <w:rPr>
                <w:rFonts w:hint="eastAsia" w:ascii="宋体" w:hAnsi="宋体" w:cs="宋体"/>
                <w:bCs/>
                <w:color w:val="000000"/>
                <w:szCs w:val="21"/>
                <w:lang w:val="en-US" w:eastAsia="zh-CN"/>
              </w:rPr>
              <w:t>1</w:t>
            </w:r>
            <w:r>
              <w:rPr>
                <w:rFonts w:hint="eastAsia" w:ascii="宋体" w:hAnsi="宋体" w:cs="宋体"/>
                <w:bCs/>
                <w:color w:val="000000"/>
                <w:szCs w:val="21"/>
              </w:rPr>
              <w:t>分；不太完善或不太合理的得</w:t>
            </w:r>
            <w:r>
              <w:rPr>
                <w:rFonts w:hint="eastAsia" w:ascii="宋体" w:hAnsi="宋体" w:cs="宋体"/>
                <w:bCs/>
                <w:color w:val="000000"/>
                <w:szCs w:val="21"/>
                <w:lang w:val="en-US" w:eastAsia="zh-CN"/>
              </w:rPr>
              <w:t>0.8</w:t>
            </w:r>
            <w:r>
              <w:rPr>
                <w:rFonts w:hint="eastAsia" w:ascii="宋体" w:hAnsi="宋体" w:cs="宋体"/>
                <w:bCs/>
                <w:color w:val="000000"/>
                <w:szCs w:val="21"/>
              </w:rPr>
              <w:t>分；未提供的不得分。</w:t>
            </w:r>
          </w:p>
        </w:tc>
        <w:tc>
          <w:tcPr>
            <w:tcW w:w="1152" w:type="dxa"/>
            <w:vAlign w:val="center"/>
          </w:tcPr>
          <w:p w14:paraId="6E97421C">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r>
      <w:tr w14:paraId="16ED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680" w:type="dxa"/>
            <w:vAlign w:val="center"/>
          </w:tcPr>
          <w:p w14:paraId="77DCAD0C">
            <w:pPr>
              <w:spacing w:line="360" w:lineRule="auto"/>
              <w:jc w:val="center"/>
              <w:rPr>
                <w:rFonts w:ascii="宋体" w:hAnsi="宋体" w:cs="宋体"/>
                <w:kern w:val="0"/>
                <w:szCs w:val="21"/>
              </w:rPr>
            </w:pPr>
            <w:r>
              <w:rPr>
                <w:rFonts w:hint="eastAsia" w:ascii="宋体" w:hAnsi="宋体" w:cs="宋体"/>
                <w:kern w:val="0"/>
                <w:szCs w:val="21"/>
              </w:rPr>
              <w:t>11</w:t>
            </w:r>
          </w:p>
        </w:tc>
        <w:tc>
          <w:tcPr>
            <w:tcW w:w="1140" w:type="dxa"/>
            <w:gridSpan w:val="2"/>
            <w:vAlign w:val="center"/>
          </w:tcPr>
          <w:p w14:paraId="5246A4A5">
            <w:pPr>
              <w:spacing w:line="360" w:lineRule="exact"/>
              <w:jc w:val="center"/>
              <w:textAlignment w:val="baseline"/>
              <w:rPr>
                <w:rFonts w:ascii="宋体" w:hAnsi="宋体" w:cs="仿宋_GB2312"/>
                <w:szCs w:val="21"/>
              </w:rPr>
            </w:pPr>
            <w:r>
              <w:rPr>
                <w:rFonts w:hint="eastAsia"/>
              </w:rPr>
              <w:t>施工方案</w:t>
            </w:r>
          </w:p>
        </w:tc>
        <w:tc>
          <w:tcPr>
            <w:tcW w:w="6763" w:type="dxa"/>
            <w:gridSpan w:val="3"/>
            <w:vAlign w:val="center"/>
          </w:tcPr>
          <w:p w14:paraId="7BDF19D9">
            <w:pPr>
              <w:rPr>
                <w:rFonts w:ascii="宋体" w:hAnsi="宋体" w:cs="宋体"/>
                <w:bCs/>
                <w:color w:val="000000"/>
                <w:szCs w:val="21"/>
              </w:rPr>
            </w:pPr>
            <w:r>
              <w:rPr>
                <w:rFonts w:hint="eastAsia" w:ascii="宋体" w:hAnsi="宋体" w:cs="宋体"/>
                <w:bCs/>
                <w:color w:val="000000"/>
                <w:szCs w:val="21"/>
              </w:rPr>
              <w:t>根据供应商提供的施工顺序、施工方法等情况进行评分。</w:t>
            </w:r>
          </w:p>
          <w:p w14:paraId="01330282">
            <w:pPr>
              <w:rPr>
                <w:rFonts w:ascii="宋体" w:hAnsi="宋体" w:cs="宋体"/>
                <w:bCs/>
                <w:color w:val="000000"/>
                <w:szCs w:val="21"/>
              </w:rPr>
            </w:pPr>
            <w:r>
              <w:rPr>
                <w:rFonts w:hint="eastAsia" w:ascii="宋体" w:hAnsi="宋体" w:cs="宋体"/>
                <w:bCs/>
                <w:color w:val="000000"/>
                <w:szCs w:val="21"/>
              </w:rPr>
              <w:t>①施工顺序安排比较科学合理的得2分；不太合理的得1.5分；未提供的不得分。</w:t>
            </w:r>
          </w:p>
          <w:p w14:paraId="42E6EBFE">
            <w:pPr>
              <w:rPr>
                <w:rFonts w:ascii="宋体" w:hAnsi="宋体" w:cs="宋体"/>
                <w:bCs/>
                <w:color w:val="000000"/>
                <w:szCs w:val="21"/>
              </w:rPr>
            </w:pPr>
            <w:r>
              <w:rPr>
                <w:rFonts w:hint="eastAsia" w:ascii="宋体" w:hAnsi="宋体" w:cs="宋体"/>
                <w:bCs/>
                <w:color w:val="000000"/>
                <w:szCs w:val="21"/>
              </w:rPr>
              <w:t>②施工方法选择比较合理的得2分；不太合理的得1.5分；未提供的不得分。</w:t>
            </w:r>
          </w:p>
        </w:tc>
        <w:tc>
          <w:tcPr>
            <w:tcW w:w="1152" w:type="dxa"/>
            <w:vAlign w:val="center"/>
          </w:tcPr>
          <w:p w14:paraId="2933ED4E">
            <w:pPr>
              <w:widowControl/>
              <w:spacing w:line="360" w:lineRule="auto"/>
              <w:jc w:val="center"/>
              <w:rPr>
                <w:rFonts w:ascii="宋体" w:hAnsi="宋体" w:cs="宋体"/>
                <w:kern w:val="0"/>
                <w:szCs w:val="21"/>
              </w:rPr>
            </w:pPr>
            <w:r>
              <w:rPr>
                <w:rFonts w:hint="eastAsia" w:ascii="宋体" w:hAnsi="宋体" w:cs="宋体"/>
                <w:kern w:val="0"/>
                <w:szCs w:val="21"/>
              </w:rPr>
              <w:t>4</w:t>
            </w:r>
          </w:p>
        </w:tc>
      </w:tr>
      <w:tr w14:paraId="46FC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80" w:type="dxa"/>
            <w:vAlign w:val="center"/>
          </w:tcPr>
          <w:p w14:paraId="001E72C3">
            <w:pPr>
              <w:spacing w:line="360" w:lineRule="auto"/>
              <w:jc w:val="center"/>
              <w:rPr>
                <w:rFonts w:ascii="宋体" w:hAnsi="宋体" w:cs="宋体"/>
                <w:kern w:val="0"/>
                <w:szCs w:val="21"/>
              </w:rPr>
            </w:pPr>
            <w:r>
              <w:rPr>
                <w:rFonts w:hint="eastAsia" w:ascii="宋体" w:hAnsi="宋体" w:cs="宋体"/>
                <w:kern w:val="0"/>
                <w:szCs w:val="21"/>
              </w:rPr>
              <w:t>12</w:t>
            </w:r>
          </w:p>
        </w:tc>
        <w:tc>
          <w:tcPr>
            <w:tcW w:w="1140" w:type="dxa"/>
            <w:gridSpan w:val="2"/>
            <w:vAlign w:val="center"/>
          </w:tcPr>
          <w:p w14:paraId="49CE43EF">
            <w:pPr>
              <w:spacing w:line="360" w:lineRule="exact"/>
              <w:jc w:val="both"/>
              <w:textAlignment w:val="baseline"/>
              <w:rPr>
                <w:rFonts w:ascii="宋体" w:hAnsi="宋体" w:cs="宋体"/>
                <w:szCs w:val="21"/>
              </w:rPr>
            </w:pPr>
            <w:r>
              <w:rPr>
                <w:rFonts w:hint="eastAsia" w:ascii="新宋体" w:hAnsi="新宋体" w:eastAsia="新宋体" w:cs="新宋体"/>
                <w:b w:val="0"/>
                <w:bCs w:val="0"/>
                <w:color w:val="auto"/>
                <w:sz w:val="21"/>
                <w:szCs w:val="21"/>
                <w:highlight w:val="none"/>
                <w:lang w:val="en-US" w:eastAsia="zh-CN"/>
              </w:rPr>
              <w:t>质量保证及进度方案</w:t>
            </w:r>
          </w:p>
        </w:tc>
        <w:tc>
          <w:tcPr>
            <w:tcW w:w="6763" w:type="dxa"/>
            <w:gridSpan w:val="3"/>
            <w:vAlign w:val="center"/>
          </w:tcPr>
          <w:p w14:paraId="720F21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新宋体" w:hAnsi="新宋体" w:eastAsia="新宋体" w:cs="新宋体"/>
                <w:snapToGrid w:val="0"/>
                <w:color w:val="auto"/>
                <w:spacing w:val="-6"/>
                <w:kern w:val="0"/>
                <w:sz w:val="21"/>
                <w:szCs w:val="21"/>
                <w:lang w:eastAsia="zh-CN"/>
              </w:rPr>
            </w:pPr>
            <w:r>
              <w:rPr>
                <w:rFonts w:hint="eastAsia" w:ascii="新宋体" w:hAnsi="新宋体" w:eastAsia="新宋体" w:cs="新宋体"/>
                <w:snapToGrid w:val="0"/>
                <w:color w:val="auto"/>
                <w:spacing w:val="-6"/>
                <w:kern w:val="0"/>
                <w:sz w:val="21"/>
                <w:szCs w:val="21"/>
                <w:lang w:eastAsia="zh-CN"/>
              </w:rPr>
              <w:t>根据投标人针对本项目制定的方案①根据项目需求、作业环境，制定完善适宜的服务方案；</w:t>
            </w:r>
            <w:r>
              <w:rPr>
                <w:rFonts w:hint="eastAsia" w:ascii="新宋体" w:hAnsi="新宋体" w:eastAsia="新宋体" w:cs="新宋体"/>
                <w:color w:val="auto"/>
                <w:sz w:val="21"/>
                <w:szCs w:val="21"/>
                <w:highlight w:val="none"/>
              </w:rPr>
              <w:t>②</w:t>
            </w:r>
            <w:r>
              <w:rPr>
                <w:rFonts w:hint="eastAsia" w:ascii="新宋体" w:hAnsi="新宋体" w:eastAsia="新宋体" w:cs="新宋体"/>
                <w:color w:val="auto"/>
                <w:sz w:val="21"/>
                <w:szCs w:val="21"/>
                <w:highlight w:val="none"/>
                <w:lang w:eastAsia="zh-CN"/>
              </w:rPr>
              <w:t>根据</w:t>
            </w:r>
            <w:r>
              <w:rPr>
                <w:rFonts w:hint="eastAsia" w:ascii="新宋体" w:hAnsi="新宋体" w:eastAsia="新宋体" w:cs="新宋体"/>
                <w:snapToGrid w:val="0"/>
                <w:color w:val="auto"/>
                <w:spacing w:val="-6"/>
                <w:kern w:val="0"/>
                <w:sz w:val="21"/>
                <w:szCs w:val="21"/>
                <w:lang w:eastAsia="zh-CN"/>
              </w:rPr>
              <w:t>工作量及进度安排制定实施方案、③</w:t>
            </w:r>
            <w:r>
              <w:rPr>
                <w:rFonts w:hint="eastAsia" w:ascii="新宋体" w:hAnsi="新宋体" w:eastAsia="新宋体" w:cs="新宋体"/>
                <w:color w:val="auto"/>
                <w:sz w:val="21"/>
                <w:szCs w:val="21"/>
                <w:highlight w:val="none"/>
              </w:rPr>
              <w:t>质量保证措施</w:t>
            </w:r>
            <w:r>
              <w:rPr>
                <w:rFonts w:hint="eastAsia" w:ascii="新宋体" w:hAnsi="新宋体" w:eastAsia="新宋体" w:cs="新宋体"/>
                <w:color w:val="auto"/>
                <w:sz w:val="21"/>
                <w:szCs w:val="21"/>
                <w:highlight w:val="none"/>
                <w:lang w:eastAsia="zh-CN"/>
              </w:rPr>
              <w:t>方案、</w:t>
            </w:r>
            <w:r>
              <w:rPr>
                <w:rFonts w:hint="eastAsia" w:ascii="新宋体" w:hAnsi="新宋体" w:eastAsia="新宋体" w:cs="新宋体"/>
                <w:snapToGrid w:val="0"/>
                <w:color w:val="auto"/>
                <w:spacing w:val="-6"/>
                <w:kern w:val="0"/>
                <w:sz w:val="21"/>
                <w:szCs w:val="21"/>
                <w:lang w:eastAsia="zh-CN"/>
              </w:rPr>
              <w:t>等进行综合评分。</w:t>
            </w:r>
          </w:p>
          <w:p w14:paraId="1D460A56">
            <w:pPr>
              <w:rPr>
                <w:rFonts w:ascii="宋体" w:hAnsi="宋体" w:cs="宋体"/>
                <w:bCs/>
                <w:color w:val="000000"/>
                <w:szCs w:val="21"/>
              </w:rPr>
            </w:pPr>
            <w:r>
              <w:rPr>
                <w:rFonts w:hint="eastAsia" w:ascii="宋体" w:hAnsi="宋体" w:eastAsia="宋体" w:cs="宋体"/>
                <w:kern w:val="2"/>
                <w:sz w:val="21"/>
                <w:szCs w:val="21"/>
                <w:lang w:val="en-US" w:eastAsia="zh-CN" w:bidi="ar-SA"/>
              </w:rPr>
              <w:t>根据投标供应商提供的</w:t>
            </w:r>
            <w:r>
              <w:rPr>
                <w:rFonts w:hint="eastAsia" w:ascii="新宋体" w:hAnsi="新宋体" w:eastAsia="新宋体" w:cs="新宋体"/>
                <w:color w:val="auto"/>
                <w:sz w:val="21"/>
                <w:szCs w:val="21"/>
                <w:highlight w:val="none"/>
                <w:lang w:val="en-US" w:eastAsia="zh-CN"/>
              </w:rPr>
              <w:t>质量保证及进度方案</w:t>
            </w:r>
            <w:r>
              <w:rPr>
                <w:rFonts w:hint="eastAsia" w:ascii="宋体" w:hAnsi="宋体" w:eastAsia="宋体" w:cs="宋体"/>
                <w:kern w:val="2"/>
                <w:sz w:val="21"/>
                <w:szCs w:val="21"/>
                <w:lang w:val="en-US" w:eastAsia="zh-CN" w:bidi="ar-SA"/>
              </w:rPr>
              <w:t>内容的完整性、合理性、科学性由评委自行打分。</w:t>
            </w:r>
          </w:p>
        </w:tc>
        <w:tc>
          <w:tcPr>
            <w:tcW w:w="1152" w:type="dxa"/>
            <w:vAlign w:val="center"/>
          </w:tcPr>
          <w:p w14:paraId="63B57E1F">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r>
      <w:tr w14:paraId="761B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80" w:type="dxa"/>
            <w:vAlign w:val="center"/>
          </w:tcPr>
          <w:p w14:paraId="33B6AACC">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3</w:t>
            </w:r>
          </w:p>
        </w:tc>
        <w:tc>
          <w:tcPr>
            <w:tcW w:w="1140" w:type="dxa"/>
            <w:gridSpan w:val="2"/>
            <w:vAlign w:val="center"/>
          </w:tcPr>
          <w:p w14:paraId="19FDDA7E">
            <w:pPr>
              <w:pStyle w:val="27"/>
              <w:spacing w:after="0" w:line="360" w:lineRule="exact"/>
              <w:ind w:left="0" w:leftChars="0"/>
              <w:jc w:val="center"/>
              <w:textAlignment w:val="baseline"/>
              <w:rPr>
                <w:color w:val="000000"/>
                <w:kern w:val="0"/>
                <w:sz w:val="21"/>
                <w:szCs w:val="21"/>
              </w:rPr>
            </w:pPr>
            <w:r>
              <w:rPr>
                <w:rFonts w:hint="eastAsia"/>
                <w:sz w:val="21"/>
                <w:szCs w:val="24"/>
              </w:rPr>
              <w:t>施工安全计划</w:t>
            </w:r>
          </w:p>
        </w:tc>
        <w:tc>
          <w:tcPr>
            <w:tcW w:w="6763" w:type="dxa"/>
            <w:gridSpan w:val="3"/>
            <w:vAlign w:val="center"/>
          </w:tcPr>
          <w:p w14:paraId="0AD49BB1">
            <w:pPr>
              <w:rPr>
                <w:rFonts w:ascii="宋体" w:hAnsi="宋体" w:cs="宋体"/>
                <w:bCs/>
                <w:color w:val="000000"/>
                <w:szCs w:val="21"/>
              </w:rPr>
            </w:pPr>
            <w:r>
              <w:rPr>
                <w:rFonts w:hint="eastAsia" w:ascii="宋体" w:hAnsi="宋体" w:cs="宋体"/>
                <w:bCs/>
                <w:color w:val="000000"/>
                <w:szCs w:val="21"/>
              </w:rPr>
              <w:t>根据供应商提供的施工安全计划情况进行评分。</w:t>
            </w:r>
          </w:p>
          <w:p w14:paraId="4ADEA5A4">
            <w:pPr>
              <w:rPr>
                <w:rFonts w:ascii="宋体" w:hAnsi="宋体" w:cs="宋体"/>
                <w:bCs/>
                <w:color w:val="000000"/>
                <w:szCs w:val="21"/>
              </w:rPr>
            </w:pPr>
            <w:r>
              <w:rPr>
                <w:rFonts w:hint="eastAsia" w:ascii="宋体" w:hAnsi="宋体" w:cs="宋体"/>
                <w:bCs/>
                <w:color w:val="000000"/>
                <w:szCs w:val="21"/>
              </w:rPr>
              <w:t>施工安全计划（包括但不限于防火、防物体打击、防机械伤害、防寒等措施）编制比较完善合理的得3分；不太完善合理的得2分；未提供的不得分。</w:t>
            </w:r>
          </w:p>
        </w:tc>
        <w:tc>
          <w:tcPr>
            <w:tcW w:w="1152" w:type="dxa"/>
            <w:vAlign w:val="center"/>
          </w:tcPr>
          <w:p w14:paraId="1CE85F23">
            <w:pPr>
              <w:widowControl/>
              <w:spacing w:line="360" w:lineRule="auto"/>
              <w:jc w:val="center"/>
            </w:pPr>
            <w:r>
              <w:rPr>
                <w:rFonts w:hint="eastAsia"/>
              </w:rPr>
              <w:t>3</w:t>
            </w:r>
          </w:p>
        </w:tc>
      </w:tr>
      <w:tr w14:paraId="0869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80" w:type="dxa"/>
            <w:vAlign w:val="center"/>
          </w:tcPr>
          <w:p w14:paraId="40168545">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4</w:t>
            </w:r>
          </w:p>
        </w:tc>
        <w:tc>
          <w:tcPr>
            <w:tcW w:w="1140" w:type="dxa"/>
            <w:gridSpan w:val="2"/>
            <w:vAlign w:val="center"/>
          </w:tcPr>
          <w:p w14:paraId="7A11E5CE">
            <w:pPr>
              <w:snapToGrid w:val="0"/>
              <w:spacing w:line="340" w:lineRule="exact"/>
              <w:jc w:val="center"/>
              <w:rPr>
                <w:rFonts w:ascii="宋体" w:hAnsi="宋体" w:cs="宋体"/>
                <w:color w:val="000000"/>
                <w:szCs w:val="21"/>
              </w:rPr>
            </w:pPr>
            <w:r>
              <w:rPr>
                <w:rFonts w:hint="eastAsia"/>
              </w:rPr>
              <w:t>施工资源计划</w:t>
            </w:r>
          </w:p>
        </w:tc>
        <w:tc>
          <w:tcPr>
            <w:tcW w:w="6763" w:type="dxa"/>
            <w:gridSpan w:val="3"/>
            <w:vAlign w:val="center"/>
          </w:tcPr>
          <w:p w14:paraId="21B4C51F">
            <w:pPr>
              <w:rPr>
                <w:rFonts w:ascii="宋体" w:hAnsi="宋体" w:cs="宋体"/>
                <w:bCs/>
                <w:color w:val="000000"/>
                <w:szCs w:val="21"/>
              </w:rPr>
            </w:pPr>
            <w:r>
              <w:rPr>
                <w:rFonts w:hint="eastAsia" w:ascii="宋体" w:hAnsi="宋体" w:cs="宋体"/>
                <w:bCs/>
                <w:color w:val="000000"/>
                <w:szCs w:val="21"/>
              </w:rPr>
              <w:t>根据供应商提供的劳动力需要量计划、材料需要量计划、施工机具需要计划等情况进行评分。</w:t>
            </w:r>
          </w:p>
          <w:p w14:paraId="347EDE91">
            <w:pPr>
              <w:rPr>
                <w:rFonts w:ascii="宋体" w:hAnsi="宋体" w:cs="宋体"/>
                <w:bCs/>
                <w:color w:val="000000"/>
                <w:szCs w:val="21"/>
              </w:rPr>
            </w:pPr>
            <w:r>
              <w:rPr>
                <w:rFonts w:hint="eastAsia" w:ascii="宋体" w:hAnsi="宋体" w:cs="宋体"/>
                <w:bCs/>
                <w:color w:val="000000"/>
                <w:szCs w:val="21"/>
              </w:rPr>
              <w:t>①劳动力需要量计划编制比较完善合理的得2分；不太完善合理的得1.5分；未提供的不得分。</w:t>
            </w:r>
          </w:p>
          <w:p w14:paraId="1E2918CC">
            <w:pPr>
              <w:rPr>
                <w:rFonts w:ascii="宋体" w:hAnsi="宋体" w:cs="宋体"/>
                <w:bCs/>
                <w:color w:val="000000"/>
                <w:szCs w:val="21"/>
              </w:rPr>
            </w:pPr>
            <w:r>
              <w:rPr>
                <w:rFonts w:hint="eastAsia" w:ascii="宋体" w:hAnsi="宋体" w:cs="宋体"/>
                <w:bCs/>
                <w:color w:val="000000"/>
                <w:szCs w:val="21"/>
              </w:rPr>
              <w:t>②材料需要量计划编制比较完善合理的得2分；不太完善合理的得1.5分；未提供的不得分。</w:t>
            </w:r>
          </w:p>
          <w:p w14:paraId="09550BB5">
            <w:pPr>
              <w:rPr>
                <w:rFonts w:ascii="宋体" w:hAnsi="宋体" w:cs="宋体"/>
                <w:bCs/>
                <w:color w:val="000000"/>
                <w:szCs w:val="21"/>
              </w:rPr>
            </w:pPr>
            <w:r>
              <w:rPr>
                <w:rFonts w:hint="eastAsia" w:ascii="宋体" w:hAnsi="宋体" w:cs="宋体"/>
                <w:bCs/>
                <w:color w:val="000000"/>
                <w:szCs w:val="21"/>
              </w:rPr>
              <w:t>③施工机具需要计划编制比较完善合理的得2分；不太完善合理的得1.5分；未提供的不得分。</w:t>
            </w:r>
          </w:p>
        </w:tc>
        <w:tc>
          <w:tcPr>
            <w:tcW w:w="1152" w:type="dxa"/>
            <w:vAlign w:val="center"/>
          </w:tcPr>
          <w:p w14:paraId="6558DAF2">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6</w:t>
            </w:r>
          </w:p>
        </w:tc>
      </w:tr>
      <w:tr w14:paraId="44E2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80" w:type="dxa"/>
            <w:vAlign w:val="center"/>
          </w:tcPr>
          <w:p w14:paraId="42276F7A">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5</w:t>
            </w:r>
          </w:p>
        </w:tc>
        <w:tc>
          <w:tcPr>
            <w:tcW w:w="1140" w:type="dxa"/>
            <w:gridSpan w:val="2"/>
            <w:vAlign w:val="center"/>
          </w:tcPr>
          <w:p w14:paraId="3618E371">
            <w:pPr>
              <w:snapToGrid w:val="0"/>
              <w:spacing w:line="340" w:lineRule="exact"/>
              <w:jc w:val="both"/>
              <w:rPr>
                <w:rFonts w:ascii="宋体" w:hAnsi="宋体" w:cs="宋体"/>
                <w:color w:val="000000"/>
                <w:szCs w:val="21"/>
              </w:rPr>
            </w:pPr>
            <w:r>
              <w:rPr>
                <w:rFonts w:hint="eastAsia" w:ascii="宋体" w:hAnsi="宋体" w:eastAsia="宋体" w:cs="宋体"/>
                <w:b w:val="0"/>
                <w:bCs w:val="0"/>
                <w:color w:val="000000"/>
                <w:sz w:val="21"/>
                <w:szCs w:val="21"/>
              </w:rPr>
              <w:t>应急预案</w:t>
            </w:r>
          </w:p>
        </w:tc>
        <w:tc>
          <w:tcPr>
            <w:tcW w:w="6763" w:type="dxa"/>
            <w:gridSpan w:val="3"/>
            <w:vAlign w:val="center"/>
          </w:tcPr>
          <w:p w14:paraId="607727BD">
            <w:pPr>
              <w:pStyle w:val="13"/>
              <w:spacing w:line="240" w:lineRule="auto"/>
              <w:ind w:firstLine="0" w:firstLineChars="0"/>
              <w:rPr>
                <w:rFonts w:ascii="宋体" w:hAnsi="宋体" w:cs="宋体"/>
                <w:bCs/>
                <w:color w:val="000000"/>
                <w:szCs w:val="21"/>
              </w:rPr>
            </w:pPr>
            <w:r>
              <w:rPr>
                <w:rFonts w:hint="eastAsia" w:ascii="宋体" w:hAnsi="宋体" w:eastAsia="宋体" w:cs="宋体"/>
                <w:color w:val="000000"/>
                <w:sz w:val="21"/>
                <w:szCs w:val="21"/>
                <w:lang w:eastAsia="zh-CN"/>
              </w:rPr>
              <w:t>根据供应商</w:t>
            </w:r>
            <w:r>
              <w:rPr>
                <w:rFonts w:hint="eastAsia" w:ascii="宋体" w:hAnsi="宋体" w:eastAsia="宋体" w:cs="宋体"/>
                <w:color w:val="000000"/>
                <w:sz w:val="21"/>
                <w:szCs w:val="21"/>
              </w:rPr>
              <w:t>针对</w:t>
            </w:r>
            <w:r>
              <w:rPr>
                <w:rFonts w:hint="eastAsia" w:ascii="宋体" w:hAnsi="宋体" w:eastAsia="宋体" w:cs="宋体"/>
                <w:color w:val="000000"/>
                <w:sz w:val="21"/>
                <w:szCs w:val="21"/>
                <w:lang w:eastAsia="zh-CN"/>
              </w:rPr>
              <w:t>本</w:t>
            </w:r>
            <w:r>
              <w:rPr>
                <w:rFonts w:hint="eastAsia" w:ascii="宋体" w:hAnsi="宋体" w:eastAsia="宋体" w:cs="宋体"/>
                <w:color w:val="000000"/>
                <w:sz w:val="21"/>
                <w:szCs w:val="21"/>
              </w:rPr>
              <w:t>项目</w:t>
            </w:r>
            <w:r>
              <w:rPr>
                <w:rFonts w:hint="eastAsia" w:ascii="宋体" w:hAnsi="宋体" w:eastAsia="宋体" w:cs="宋体"/>
                <w:color w:val="000000"/>
                <w:sz w:val="21"/>
                <w:szCs w:val="21"/>
                <w:lang w:eastAsia="zh-CN"/>
              </w:rPr>
              <w:t>施工</w:t>
            </w:r>
            <w:r>
              <w:rPr>
                <w:rFonts w:hint="eastAsia" w:ascii="宋体" w:hAnsi="宋体" w:eastAsia="宋体" w:cs="宋体"/>
                <w:color w:val="000000"/>
                <w:sz w:val="21"/>
                <w:szCs w:val="21"/>
              </w:rPr>
              <w:t>过程中可能遇到的紧急事件、异常处理等应急预案和应急预案对应的解决措施及承诺情况，由</w:t>
            </w:r>
            <w:r>
              <w:rPr>
                <w:rFonts w:hint="eastAsia" w:ascii="宋体" w:hAnsi="宋体" w:eastAsia="宋体" w:cs="宋体"/>
                <w:color w:val="000000"/>
                <w:sz w:val="21"/>
                <w:szCs w:val="21"/>
                <w:lang w:eastAsia="zh-CN"/>
              </w:rPr>
              <w:t>评审专家</w:t>
            </w:r>
            <w:r>
              <w:rPr>
                <w:rFonts w:hint="eastAsia" w:ascii="宋体" w:hAnsi="宋体" w:eastAsia="宋体" w:cs="宋体"/>
                <w:color w:val="000000"/>
                <w:sz w:val="21"/>
                <w:szCs w:val="21"/>
              </w:rPr>
              <w:t>进行打分。</w:t>
            </w:r>
          </w:p>
        </w:tc>
        <w:tc>
          <w:tcPr>
            <w:tcW w:w="1152" w:type="dxa"/>
            <w:vAlign w:val="center"/>
          </w:tcPr>
          <w:p w14:paraId="7F36B204">
            <w:pPr>
              <w:widowControl/>
              <w:spacing w:line="360" w:lineRule="auto"/>
              <w:jc w:val="center"/>
              <w:rPr>
                <w:rFonts w:hint="eastAsia" w:eastAsia="宋体"/>
                <w:lang w:val="en-US" w:eastAsia="zh-CN"/>
              </w:rPr>
            </w:pPr>
            <w:r>
              <w:rPr>
                <w:rFonts w:hint="eastAsia"/>
                <w:lang w:val="en-US" w:eastAsia="zh-CN"/>
              </w:rPr>
              <w:t>5</w:t>
            </w:r>
          </w:p>
        </w:tc>
      </w:tr>
      <w:tr w14:paraId="7F36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80" w:type="dxa"/>
            <w:vAlign w:val="center"/>
          </w:tcPr>
          <w:p w14:paraId="330FD0F1">
            <w:pPr>
              <w:widowControl/>
              <w:spacing w:line="360" w:lineRule="auto"/>
              <w:jc w:val="center"/>
              <w:rPr>
                <w:rFonts w:ascii="宋体" w:hAnsi="宋体"/>
                <w:kern w:val="0"/>
                <w:szCs w:val="21"/>
              </w:rPr>
            </w:pPr>
            <w:r>
              <w:rPr>
                <w:rFonts w:hint="eastAsia" w:ascii="宋体" w:hAnsi="宋体"/>
                <w:b/>
                <w:szCs w:val="21"/>
              </w:rPr>
              <w:t>备注</w:t>
            </w:r>
          </w:p>
        </w:tc>
        <w:tc>
          <w:tcPr>
            <w:tcW w:w="9055" w:type="dxa"/>
            <w:gridSpan w:val="6"/>
            <w:vAlign w:val="center"/>
          </w:tcPr>
          <w:p w14:paraId="3AA354B7">
            <w:pPr>
              <w:widowControl/>
              <w:rPr>
                <w:rFonts w:ascii="宋体" w:hAnsi="宋体" w:cs="宋体"/>
                <w:kern w:val="0"/>
                <w:szCs w:val="21"/>
              </w:rPr>
            </w:pPr>
            <w:r>
              <w:rPr>
                <w:rFonts w:hint="eastAsia" w:ascii="宋体" w:hAnsi="宋体" w:cs="宋体"/>
                <w:kern w:val="0"/>
                <w:szCs w:val="21"/>
              </w:rPr>
              <w:t>1.评委打分小数点后保留一位。</w:t>
            </w:r>
          </w:p>
          <w:p w14:paraId="629D08EC">
            <w:pPr>
              <w:widowControl/>
              <w:rPr>
                <w:rFonts w:ascii="宋体" w:hAnsi="宋体" w:cs="宋体"/>
                <w:kern w:val="0"/>
                <w:szCs w:val="21"/>
              </w:rPr>
            </w:pPr>
            <w:r>
              <w:rPr>
                <w:rFonts w:hint="eastAsia" w:ascii="宋体" w:hAnsi="宋体" w:cs="宋体"/>
                <w:kern w:val="0"/>
                <w:szCs w:val="21"/>
              </w:rPr>
              <w:t>2.供应商须按要求提供相关证明材料的复印件编入响应文件中，不符要求的该项不得分。</w:t>
            </w:r>
          </w:p>
        </w:tc>
      </w:tr>
      <w:tr w14:paraId="4C5D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8424" w:type="dxa"/>
            <w:gridSpan w:val="5"/>
            <w:shd w:val="clear" w:color="auto" w:fill="D7D7D7"/>
            <w:vAlign w:val="center"/>
          </w:tcPr>
          <w:p w14:paraId="08ACB428">
            <w:pPr>
              <w:widowControl/>
              <w:spacing w:line="360" w:lineRule="auto"/>
              <w:jc w:val="center"/>
              <w:rPr>
                <w:rFonts w:ascii="宋体" w:hAnsi="宋体"/>
                <w:b/>
                <w:kern w:val="0"/>
                <w:szCs w:val="21"/>
              </w:rPr>
            </w:pPr>
            <w:r>
              <w:rPr>
                <w:rFonts w:hint="eastAsia" w:ascii="宋体" w:hAnsi="宋体"/>
                <w:b/>
                <w:kern w:val="0"/>
                <w:szCs w:val="21"/>
                <w:lang w:val="zh-CN"/>
              </w:rPr>
              <w:t>第二部分</w:t>
            </w:r>
            <w:r>
              <w:rPr>
                <w:rFonts w:hint="eastAsia" w:ascii="宋体" w:hAnsi="宋体"/>
                <w:b/>
                <w:kern w:val="0"/>
                <w:szCs w:val="21"/>
              </w:rPr>
              <w:t xml:space="preserve"> </w:t>
            </w:r>
            <w:r>
              <w:rPr>
                <w:rFonts w:hint="eastAsia" w:ascii="宋体" w:hAnsi="宋体"/>
                <w:b/>
                <w:kern w:val="0"/>
                <w:szCs w:val="21"/>
                <w:lang w:val="zh-CN"/>
              </w:rPr>
              <w:t>报价文件评分</w:t>
            </w:r>
          </w:p>
        </w:tc>
        <w:tc>
          <w:tcPr>
            <w:tcW w:w="1311" w:type="dxa"/>
            <w:gridSpan w:val="2"/>
            <w:shd w:val="clear" w:color="auto" w:fill="D7D7D7"/>
            <w:vAlign w:val="center"/>
          </w:tcPr>
          <w:p w14:paraId="5291AC7E">
            <w:pPr>
              <w:widowControl/>
              <w:spacing w:line="360" w:lineRule="auto"/>
              <w:jc w:val="center"/>
              <w:rPr>
                <w:rFonts w:ascii="宋体" w:hAnsi="宋体"/>
                <w:b/>
                <w:kern w:val="0"/>
                <w:szCs w:val="21"/>
                <w:lang w:val="zh-CN"/>
              </w:rPr>
            </w:pPr>
            <w:r>
              <w:rPr>
                <w:rFonts w:hint="eastAsia" w:ascii="宋体" w:hAnsi="宋体"/>
                <w:b/>
                <w:kern w:val="0"/>
                <w:szCs w:val="21"/>
                <w:lang w:val="zh-CN"/>
              </w:rPr>
              <w:t>满分</w:t>
            </w:r>
          </w:p>
        </w:tc>
      </w:tr>
      <w:tr w14:paraId="160B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00231864">
            <w:pPr>
              <w:widowControl/>
              <w:spacing w:line="360" w:lineRule="auto"/>
              <w:jc w:val="center"/>
              <w:rPr>
                <w:rFonts w:ascii="宋体" w:hAnsi="宋体"/>
                <w:b/>
                <w:szCs w:val="21"/>
              </w:rPr>
            </w:pPr>
            <w:r>
              <w:rPr>
                <w:rFonts w:hint="eastAsia" w:ascii="宋体" w:hAnsi="宋体"/>
                <w:b/>
                <w:szCs w:val="21"/>
              </w:rPr>
              <w:t>评分标准</w:t>
            </w:r>
          </w:p>
        </w:tc>
        <w:tc>
          <w:tcPr>
            <w:tcW w:w="7744" w:type="dxa"/>
            <w:gridSpan w:val="4"/>
            <w:vAlign w:val="center"/>
          </w:tcPr>
          <w:p w14:paraId="5DB76E39">
            <w:pPr>
              <w:numPr>
                <w:ilvl w:val="0"/>
                <w:numId w:val="12"/>
              </w:numPr>
              <w:spacing w:line="360" w:lineRule="auto"/>
              <w:ind w:firstLine="420" w:firstLineChars="200"/>
              <w:rPr>
                <w:rFonts w:ascii="宋体" w:hAnsi="宋体"/>
                <w:kern w:val="0"/>
                <w:szCs w:val="21"/>
                <w:lang w:val="zh-CN"/>
              </w:rPr>
            </w:pPr>
            <w:r>
              <w:rPr>
                <w:rFonts w:hint="eastAsia" w:ascii="宋体" w:hAnsi="宋体"/>
                <w:kern w:val="0"/>
                <w:szCs w:val="21"/>
                <w:lang w:val="zh-CN"/>
              </w:rPr>
              <w:t>各供应商报价文件得分由评标委员会按各供应商的磋商报价统一计算</w:t>
            </w:r>
          </w:p>
          <w:p w14:paraId="3862A7C2">
            <w:pPr>
              <w:spacing w:line="360" w:lineRule="auto"/>
              <w:ind w:firstLine="420" w:firstLineChars="200"/>
              <w:rPr>
                <w:rFonts w:ascii="宋体" w:hAnsi="宋体"/>
                <w:kern w:val="0"/>
                <w:szCs w:val="21"/>
                <w:lang w:val="zh-CN"/>
              </w:rPr>
            </w:pPr>
            <w:r>
              <w:rPr>
                <w:rFonts w:hint="eastAsia" w:ascii="宋体" w:hAnsi="宋体"/>
                <w:kern w:val="0"/>
                <w:szCs w:val="21"/>
                <w:lang w:val="zh-CN"/>
              </w:rPr>
              <w:t>（</w:t>
            </w:r>
            <w:r>
              <w:rPr>
                <w:rFonts w:hint="eastAsia" w:ascii="宋体" w:hAnsi="宋体"/>
                <w:kern w:val="0"/>
                <w:szCs w:val="21"/>
              </w:rPr>
              <w:t>2</w:t>
            </w:r>
            <w:r>
              <w:rPr>
                <w:rFonts w:hint="eastAsia" w:ascii="宋体" w:hAnsi="宋体"/>
                <w:kern w:val="0"/>
                <w:szCs w:val="21"/>
                <w:lang w:val="zh-CN"/>
              </w:rPr>
              <w:t>）报价文件评分采用低价优先法计算，即满足采购文件要求且投标报价最低的投标报价为评标基准价。投标报价最低的供应商，其报价文件得满分。其他供应商的报价文件得分按下列公式计算：</w:t>
            </w:r>
          </w:p>
          <w:p w14:paraId="73CC8E81">
            <w:pPr>
              <w:spacing w:line="360" w:lineRule="auto"/>
              <w:ind w:firstLine="422" w:firstLineChars="200"/>
              <w:rPr>
                <w:rFonts w:ascii="宋体" w:hAnsi="宋体"/>
                <w:b/>
                <w:kern w:val="0"/>
                <w:szCs w:val="21"/>
                <w:u w:val="single"/>
                <w:lang w:val="zh-CN"/>
              </w:rPr>
            </w:pPr>
            <w:r>
              <w:rPr>
                <w:rFonts w:hint="eastAsia" w:ascii="宋体" w:hAnsi="宋体"/>
                <w:b/>
                <w:szCs w:val="21"/>
                <w:u w:val="single"/>
                <w:lang w:val="zh-CN" w:bidi="ar"/>
              </w:rPr>
              <w:t>投标报价</w:t>
            </w:r>
            <w:r>
              <w:rPr>
                <w:rFonts w:hint="eastAsia" w:ascii="宋体" w:hAnsi="宋体"/>
                <w:b/>
                <w:kern w:val="0"/>
                <w:szCs w:val="21"/>
                <w:u w:val="single"/>
                <w:lang w:val="zh-CN"/>
              </w:rPr>
              <w:t>得</w:t>
            </w:r>
            <w:r>
              <w:rPr>
                <w:rFonts w:ascii="宋体" w:hAnsi="宋体"/>
                <w:b/>
                <w:kern w:val="0"/>
                <w:szCs w:val="21"/>
                <w:u w:val="single"/>
                <w:lang w:val="zh-CN"/>
              </w:rPr>
              <w:t>分=(评标基准价／投标</w:t>
            </w:r>
            <w:r>
              <w:rPr>
                <w:rFonts w:hint="eastAsia" w:ascii="宋体" w:hAnsi="宋体"/>
                <w:b/>
                <w:kern w:val="0"/>
                <w:szCs w:val="21"/>
                <w:u w:val="single"/>
                <w:lang w:val="zh-CN"/>
              </w:rPr>
              <w:t>报价</w:t>
            </w:r>
            <w:r>
              <w:rPr>
                <w:rFonts w:ascii="宋体" w:hAnsi="宋体"/>
                <w:b/>
                <w:kern w:val="0"/>
                <w:szCs w:val="21"/>
                <w:u w:val="single"/>
                <w:lang w:val="zh-CN"/>
              </w:rPr>
              <w:t>)×</w:t>
            </w:r>
            <w:r>
              <w:rPr>
                <w:rFonts w:hint="eastAsia" w:ascii="宋体" w:hAnsi="宋体"/>
                <w:b/>
                <w:kern w:val="0"/>
                <w:szCs w:val="21"/>
                <w:u w:val="single"/>
                <w:lang w:val="zh-CN"/>
              </w:rPr>
              <w:t>价格权重</w:t>
            </w:r>
            <w:r>
              <w:rPr>
                <w:rFonts w:ascii="宋体" w:hAnsi="宋体"/>
                <w:b/>
                <w:kern w:val="0"/>
                <w:szCs w:val="21"/>
                <w:u w:val="single"/>
                <w:lang w:val="zh-CN"/>
              </w:rPr>
              <w:t>×100</w:t>
            </w:r>
            <w:r>
              <w:rPr>
                <w:rFonts w:hint="eastAsia" w:ascii="宋体" w:hAnsi="宋体"/>
                <w:b/>
                <w:kern w:val="0"/>
                <w:szCs w:val="21"/>
                <w:u w:val="single"/>
                <w:lang w:val="zh-CN"/>
              </w:rPr>
              <w:t xml:space="preserve"> 。</w:t>
            </w:r>
          </w:p>
        </w:tc>
        <w:tc>
          <w:tcPr>
            <w:tcW w:w="1311" w:type="dxa"/>
            <w:gridSpan w:val="2"/>
            <w:vAlign w:val="center"/>
          </w:tcPr>
          <w:p w14:paraId="02275788">
            <w:pPr>
              <w:spacing w:line="360" w:lineRule="auto"/>
              <w:jc w:val="center"/>
              <w:rPr>
                <w:rFonts w:ascii="宋体" w:hAnsi="宋体"/>
                <w:b/>
                <w:szCs w:val="21"/>
                <w:u w:val="single"/>
                <w:lang w:bidi="ar"/>
              </w:rPr>
            </w:pPr>
            <w:r>
              <w:rPr>
                <w:rFonts w:hint="eastAsia" w:ascii="宋体" w:hAnsi="宋体"/>
                <w:bCs/>
                <w:szCs w:val="21"/>
                <w:lang w:val="en-US" w:eastAsia="zh-CN" w:bidi="ar"/>
              </w:rPr>
              <w:t>4</w:t>
            </w:r>
            <w:r>
              <w:rPr>
                <w:rFonts w:hint="eastAsia" w:ascii="宋体" w:hAnsi="宋体"/>
                <w:bCs/>
                <w:szCs w:val="21"/>
                <w:lang w:bidi="ar"/>
              </w:rPr>
              <w:t>0</w:t>
            </w:r>
          </w:p>
        </w:tc>
      </w:tr>
    </w:tbl>
    <w:p w14:paraId="24EC0459">
      <w:pPr>
        <w:pStyle w:val="12"/>
        <w:rPr>
          <w:lang w:val="zh-CN"/>
        </w:rPr>
        <w:sectPr>
          <w:pgSz w:w="11906" w:h="16838"/>
          <w:pgMar w:top="1100" w:right="1134" w:bottom="1100" w:left="1134" w:header="851" w:footer="992" w:gutter="0"/>
          <w:pgNumType w:fmt="decimal"/>
          <w:cols w:space="720" w:num="1"/>
          <w:docGrid w:type="lines" w:linePitch="312" w:charSpace="0"/>
        </w:sectPr>
      </w:pPr>
    </w:p>
    <w:p w14:paraId="58A14A62">
      <w:pPr>
        <w:pStyle w:val="45"/>
        <w:spacing w:before="312" w:beforeLines="100" w:afterLines="0" w:line="360" w:lineRule="auto"/>
        <w:ind w:firstLine="643"/>
        <w:jc w:val="center"/>
        <w:outlineLvl w:val="0"/>
        <w:rPr>
          <w:rFonts w:hAnsi="宋体" w:eastAsia="宋体" w:cs="宋体"/>
          <w:sz w:val="32"/>
          <w:szCs w:val="32"/>
        </w:rPr>
      </w:pPr>
      <w:r>
        <w:rPr>
          <w:rFonts w:hint="eastAsia" w:hAnsi="宋体" w:eastAsia="宋体" w:cs="宋体"/>
          <w:sz w:val="32"/>
          <w:szCs w:val="32"/>
        </w:rPr>
        <w:t xml:space="preserve">第五章  </w:t>
      </w:r>
      <w:bookmarkEnd w:id="119"/>
      <w:bookmarkEnd w:id="120"/>
      <w:bookmarkStart w:id="130" w:name="_Toc458084045"/>
      <w:bookmarkStart w:id="131" w:name="_Toc508888809"/>
      <w:bookmarkStart w:id="132" w:name="_Toc528927454"/>
      <w:bookmarkStart w:id="133" w:name="_Toc528927453"/>
      <w:r>
        <w:rPr>
          <w:rFonts w:hAnsi="宋体" w:eastAsia="宋体" w:cs="宋体"/>
          <w:sz w:val="32"/>
          <w:szCs w:val="32"/>
        </w:rPr>
        <w:t>合同</w:t>
      </w:r>
      <w:r>
        <w:rPr>
          <w:rFonts w:hint="eastAsia" w:hAnsi="宋体" w:eastAsia="宋体" w:cs="宋体"/>
          <w:sz w:val="32"/>
          <w:szCs w:val="32"/>
        </w:rPr>
        <w:t>条款及格式</w:t>
      </w:r>
    </w:p>
    <w:p w14:paraId="67673432">
      <w:pPr>
        <w:spacing w:line="360" w:lineRule="auto"/>
        <w:rPr>
          <w:sz w:val="24"/>
        </w:rPr>
      </w:pPr>
    </w:p>
    <w:p w14:paraId="77DEE898">
      <w:pPr>
        <w:spacing w:line="360" w:lineRule="auto"/>
        <w:rPr>
          <w:rFonts w:ascii="宋体" w:hAnsi="宋体"/>
          <w:sz w:val="24"/>
        </w:rPr>
      </w:pPr>
      <w:r>
        <w:rPr>
          <w:rFonts w:hint="eastAsia" w:ascii="宋体" w:hAnsi="宋体"/>
          <w:sz w:val="24"/>
        </w:rPr>
        <w:t>合同编号：</w:t>
      </w:r>
    </w:p>
    <w:p w14:paraId="3060169F">
      <w:pPr>
        <w:spacing w:line="360" w:lineRule="auto"/>
        <w:rPr>
          <w:rFonts w:ascii="宋体" w:hAnsi="宋体"/>
          <w:sz w:val="24"/>
        </w:rPr>
      </w:pPr>
    </w:p>
    <w:p w14:paraId="422B758E">
      <w:pPr>
        <w:spacing w:line="360" w:lineRule="auto"/>
        <w:rPr>
          <w:rFonts w:ascii="宋体" w:hAnsi="宋体"/>
          <w:sz w:val="24"/>
        </w:rPr>
      </w:pPr>
    </w:p>
    <w:p w14:paraId="08EAE39E">
      <w:pPr>
        <w:spacing w:line="360" w:lineRule="auto"/>
        <w:rPr>
          <w:rFonts w:ascii="宋体" w:hAnsi="宋体"/>
          <w:sz w:val="24"/>
        </w:rPr>
      </w:pPr>
    </w:p>
    <w:p w14:paraId="0057D81D">
      <w:pPr>
        <w:spacing w:line="360" w:lineRule="auto"/>
        <w:jc w:val="center"/>
        <w:rPr>
          <w:rFonts w:ascii="宋体" w:hAnsi="宋体"/>
          <w:b/>
          <w:sz w:val="84"/>
          <w:szCs w:val="84"/>
        </w:rPr>
      </w:pPr>
      <w:r>
        <w:rPr>
          <w:rFonts w:hint="eastAsia" w:ascii="宋体" w:hAnsi="宋体"/>
          <w:b/>
          <w:sz w:val="84"/>
          <w:szCs w:val="84"/>
        </w:rPr>
        <w:t>合  同  书</w:t>
      </w:r>
    </w:p>
    <w:p w14:paraId="716E99DB">
      <w:pPr>
        <w:spacing w:line="360" w:lineRule="auto"/>
        <w:rPr>
          <w:rFonts w:ascii="宋体" w:hAnsi="宋体"/>
          <w:sz w:val="24"/>
        </w:rPr>
      </w:pPr>
    </w:p>
    <w:p w14:paraId="3A8BA91B">
      <w:pPr>
        <w:spacing w:line="480" w:lineRule="auto"/>
        <w:rPr>
          <w:rFonts w:hint="eastAsia" w:ascii="宋体" w:hAnsi="宋体"/>
          <w:sz w:val="24"/>
        </w:rPr>
      </w:pPr>
    </w:p>
    <w:p w14:paraId="2CE5BA11">
      <w:pPr>
        <w:spacing w:line="480" w:lineRule="auto"/>
        <w:rPr>
          <w:rFonts w:hint="eastAsia" w:ascii="宋体" w:hAnsi="宋体"/>
          <w:sz w:val="24"/>
        </w:rPr>
      </w:pPr>
    </w:p>
    <w:p w14:paraId="0B0FDEAF">
      <w:pPr>
        <w:spacing w:line="480" w:lineRule="auto"/>
        <w:ind w:firstLine="480" w:firstLineChars="200"/>
        <w:rPr>
          <w:rFonts w:hint="default" w:ascii="宋体" w:hAnsi="宋体"/>
          <w:sz w:val="24"/>
          <w:lang w:val="en-US"/>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u w:val="single"/>
          <w:lang w:eastAsia="zh-CN"/>
        </w:rPr>
        <w:t>台州市仙居县浙南山地生态系统综合治理及生物多样性保护项目（淡竹乡）</w:t>
      </w:r>
    </w:p>
    <w:p w14:paraId="0E67CD09">
      <w:pPr>
        <w:spacing w:line="480" w:lineRule="auto"/>
        <w:ind w:firstLine="480" w:firstLineChars="200"/>
        <w:rPr>
          <w:rFonts w:ascii="宋体" w:hAnsi="宋体"/>
          <w:sz w:val="24"/>
        </w:rPr>
      </w:pPr>
      <w:r>
        <w:rPr>
          <w:rFonts w:hint="eastAsia" w:ascii="宋体" w:hAnsi="宋体"/>
          <w:sz w:val="24"/>
        </w:rPr>
        <w:t>甲    方：</w:t>
      </w:r>
      <w:r>
        <w:rPr>
          <w:rFonts w:hint="eastAsia" w:ascii="宋体" w:hAnsi="宋体"/>
          <w:sz w:val="24"/>
          <w:u w:val="single"/>
        </w:rPr>
        <w:t xml:space="preserve"> 仙居县</w:t>
      </w:r>
      <w:r>
        <w:rPr>
          <w:rFonts w:hint="eastAsia" w:ascii="宋体" w:hAnsi="宋体"/>
          <w:sz w:val="24"/>
          <w:u w:val="single"/>
          <w:lang w:eastAsia="zh-CN"/>
        </w:rPr>
        <w:t>淡竹乡</w:t>
      </w:r>
      <w:r>
        <w:rPr>
          <w:rFonts w:hint="eastAsia" w:ascii="宋体" w:hAnsi="宋体"/>
          <w:sz w:val="24"/>
          <w:u w:val="single"/>
        </w:rPr>
        <w:t xml:space="preserve">人民政府                                                     </w:t>
      </w:r>
      <w:r>
        <w:rPr>
          <w:rFonts w:ascii="宋体" w:hAnsi="宋体"/>
          <w:sz w:val="24"/>
          <w:u w:val="single"/>
        </w:rPr>
        <w:t xml:space="preserve">  </w:t>
      </w:r>
    </w:p>
    <w:p w14:paraId="5F837EB5">
      <w:pPr>
        <w:spacing w:line="480" w:lineRule="auto"/>
        <w:ind w:firstLine="480" w:firstLineChars="200"/>
        <w:rPr>
          <w:rFonts w:ascii="宋体" w:hAnsi="宋体"/>
          <w:sz w:val="24"/>
        </w:rPr>
      </w:pPr>
      <w:r>
        <w:rPr>
          <w:rFonts w:hint="eastAsia" w:ascii="宋体" w:hAnsi="宋体"/>
          <w:sz w:val="24"/>
        </w:rPr>
        <w:t>乙    方：</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53AE19FE">
      <w:pPr>
        <w:spacing w:line="360" w:lineRule="auto"/>
        <w:rPr>
          <w:rFonts w:ascii="宋体" w:hAnsi="宋体"/>
          <w:sz w:val="24"/>
        </w:rPr>
      </w:pPr>
    </w:p>
    <w:p w14:paraId="0347457E">
      <w:pPr>
        <w:spacing w:line="360" w:lineRule="auto"/>
        <w:rPr>
          <w:rFonts w:ascii="宋体" w:hAnsi="宋体"/>
          <w:sz w:val="24"/>
        </w:rPr>
      </w:pPr>
    </w:p>
    <w:p w14:paraId="2137113F">
      <w:pPr>
        <w:spacing w:line="360" w:lineRule="auto"/>
        <w:rPr>
          <w:rFonts w:ascii="宋体" w:hAnsi="宋体"/>
          <w:sz w:val="24"/>
        </w:rPr>
      </w:pPr>
    </w:p>
    <w:p w14:paraId="560467D9">
      <w:pPr>
        <w:spacing w:line="360" w:lineRule="auto"/>
        <w:rPr>
          <w:rFonts w:ascii="宋体" w:hAnsi="宋体"/>
          <w:sz w:val="24"/>
        </w:rPr>
      </w:pPr>
    </w:p>
    <w:p w14:paraId="38056468">
      <w:pPr>
        <w:spacing w:line="360" w:lineRule="auto"/>
        <w:rPr>
          <w:rFonts w:ascii="宋体" w:hAnsi="宋体"/>
          <w:sz w:val="24"/>
        </w:rPr>
      </w:pPr>
    </w:p>
    <w:p w14:paraId="0A756B3A">
      <w:pPr>
        <w:spacing w:line="360" w:lineRule="auto"/>
        <w:ind w:firstLine="2160" w:firstLineChars="900"/>
        <w:rPr>
          <w:rFonts w:ascii="宋体" w:hAnsi="宋体"/>
          <w:sz w:val="24"/>
        </w:rPr>
      </w:pPr>
      <w:r>
        <w:rPr>
          <w:rFonts w:hint="eastAsia" w:ascii="宋体" w:hAnsi="宋体"/>
          <w:sz w:val="24"/>
        </w:rPr>
        <w:t>签订地点：浙江省仙居县</w:t>
      </w:r>
    </w:p>
    <w:p w14:paraId="06D5ECD6">
      <w:pPr>
        <w:spacing w:line="360" w:lineRule="auto"/>
        <w:ind w:firstLine="2160" w:firstLineChars="900"/>
        <w:rPr>
          <w:rFonts w:ascii="宋体" w:hAnsi="宋体"/>
          <w:sz w:val="24"/>
        </w:rPr>
      </w:pPr>
      <w:r>
        <w:rPr>
          <w:rFonts w:hint="eastAsia" w:ascii="宋体" w:hAnsi="宋体"/>
          <w:sz w:val="24"/>
        </w:rPr>
        <w:t>签订日期：    年    月   日</w:t>
      </w:r>
    </w:p>
    <w:p w14:paraId="1C7E7F2B">
      <w:pPr>
        <w:rPr>
          <w:rFonts w:ascii="宋体" w:hAnsi="宋体" w:cs="宋体"/>
          <w:b/>
          <w:sz w:val="28"/>
          <w:u w:val="single"/>
        </w:rPr>
      </w:pPr>
      <w:r>
        <w:rPr>
          <w:rFonts w:hint="eastAsia" w:ascii="宋体" w:hAnsi="宋体" w:cs="宋体"/>
          <w:b/>
          <w:sz w:val="28"/>
          <w:u w:val="single"/>
        </w:rPr>
        <w:br w:type="page"/>
      </w:r>
    </w:p>
    <w:p w14:paraId="157F7EE2">
      <w:pPr>
        <w:widowControl/>
        <w:spacing w:before="312" w:beforeLines="100" w:line="360" w:lineRule="auto"/>
        <w:jc w:val="center"/>
        <w:rPr>
          <w:rFonts w:ascii="宋体" w:hAnsi="宋体" w:cs="宋体"/>
          <w:b/>
          <w:sz w:val="32"/>
          <w:szCs w:val="32"/>
        </w:rPr>
      </w:pPr>
      <w:r>
        <w:rPr>
          <w:rFonts w:hint="eastAsia" w:ascii="宋体" w:hAnsi="宋体" w:cs="宋体"/>
          <w:b/>
          <w:sz w:val="32"/>
          <w:szCs w:val="32"/>
          <w:u w:val="single"/>
        </w:rPr>
        <w:t xml:space="preserve">                </w:t>
      </w:r>
      <w:r>
        <w:rPr>
          <w:rFonts w:hint="eastAsia" w:ascii="宋体" w:hAnsi="宋体" w:cs="宋体"/>
          <w:b/>
          <w:sz w:val="32"/>
          <w:szCs w:val="32"/>
        </w:rPr>
        <w:t>采购合同（范本）</w:t>
      </w:r>
    </w:p>
    <w:p w14:paraId="32BB7101">
      <w:pPr>
        <w:spacing w:line="600" w:lineRule="auto"/>
        <w:jc w:val="center"/>
      </w:pPr>
      <w:r>
        <w:rPr>
          <w:rFonts w:hint="eastAsia" w:ascii="宋体" w:hAnsi="宋体"/>
          <w:szCs w:val="21"/>
        </w:rPr>
        <w:t>（仅供参考；本合同为合同样稿，最终稿由甲乙双方协商后确定）</w:t>
      </w:r>
    </w:p>
    <w:p w14:paraId="29C4A83A">
      <w:pPr>
        <w:pStyle w:val="15"/>
        <w:adjustRightInd w:val="0"/>
        <w:snapToGrid w:val="0"/>
        <w:spacing w:beforeLines="0" w:afterLines="0" w:line="360" w:lineRule="auto"/>
        <w:jc w:val="left"/>
        <w:rPr>
          <w:rFonts w:hAnsi="宋体" w:cs="宋体"/>
          <w:b/>
          <w:color w:val="000000"/>
          <w:sz w:val="21"/>
          <w:szCs w:val="21"/>
          <w:u w:val="single"/>
        </w:rPr>
      </w:pPr>
      <w:r>
        <w:rPr>
          <w:rFonts w:hint="eastAsia" w:hAnsi="宋体" w:cs="宋体"/>
          <w:b/>
          <w:sz w:val="21"/>
          <w:szCs w:val="21"/>
        </w:rPr>
        <w:t>甲方（采购人）：</w:t>
      </w:r>
      <w:r>
        <w:rPr>
          <w:rFonts w:hint="eastAsia" w:hAnsi="宋体" w:cs="宋体"/>
          <w:b/>
          <w:color w:val="000000"/>
          <w:sz w:val="21"/>
          <w:szCs w:val="21"/>
          <w:u w:val="single"/>
        </w:rPr>
        <w:t>仙居县</w:t>
      </w:r>
      <w:r>
        <w:rPr>
          <w:rFonts w:hint="eastAsia" w:hAnsi="宋体" w:cs="宋体"/>
          <w:b/>
          <w:color w:val="000000"/>
          <w:sz w:val="21"/>
          <w:szCs w:val="21"/>
          <w:u w:val="single"/>
          <w:lang w:eastAsia="zh-CN"/>
        </w:rPr>
        <w:t>淡竹乡</w:t>
      </w:r>
      <w:r>
        <w:rPr>
          <w:rFonts w:hint="eastAsia" w:hAnsi="宋体" w:cs="宋体"/>
          <w:b/>
          <w:color w:val="000000"/>
          <w:sz w:val="21"/>
          <w:szCs w:val="21"/>
          <w:u w:val="single"/>
        </w:rPr>
        <w:t>人民政府</w:t>
      </w:r>
    </w:p>
    <w:p w14:paraId="6DD82DF3">
      <w:pPr>
        <w:pStyle w:val="15"/>
        <w:adjustRightInd w:val="0"/>
        <w:snapToGrid w:val="0"/>
        <w:spacing w:beforeLines="0" w:afterLines="0" w:line="360" w:lineRule="auto"/>
        <w:jc w:val="left"/>
        <w:rPr>
          <w:rFonts w:hAnsi="宋体"/>
          <w:b/>
          <w:sz w:val="21"/>
        </w:rPr>
      </w:pPr>
      <w:r>
        <w:rPr>
          <w:rFonts w:hint="eastAsia" w:hAnsi="宋体" w:cs="宋体"/>
          <w:b/>
          <w:color w:val="000000"/>
          <w:sz w:val="21"/>
          <w:szCs w:val="21"/>
        </w:rPr>
        <w:t>乙方</w:t>
      </w:r>
      <w:r>
        <w:rPr>
          <w:rFonts w:hint="eastAsia" w:hAnsi="宋体" w:cs="宋体"/>
          <w:b/>
          <w:sz w:val="21"/>
          <w:szCs w:val="21"/>
        </w:rPr>
        <w:t>（供应商）</w:t>
      </w:r>
      <w:r>
        <w:rPr>
          <w:rFonts w:hint="eastAsia" w:hAnsi="宋体" w:cs="宋体"/>
          <w:b/>
          <w:color w:val="000000"/>
          <w:sz w:val="21"/>
          <w:szCs w:val="21"/>
        </w:rPr>
        <w:t>：</w:t>
      </w:r>
      <w:r>
        <w:rPr>
          <w:rFonts w:hint="eastAsia" w:hAnsi="宋体" w:cs="宋体"/>
          <w:b/>
          <w:color w:val="000000"/>
          <w:sz w:val="21"/>
          <w:szCs w:val="21"/>
          <w:u w:val="single"/>
        </w:rPr>
        <w:t xml:space="preserve">                </w:t>
      </w:r>
      <w:r>
        <w:rPr>
          <w:rFonts w:hint="eastAsia" w:hAnsi="宋体" w:cs="宋体"/>
          <w:b/>
          <w:color w:val="000000"/>
          <w:sz w:val="21"/>
          <w:szCs w:val="21"/>
        </w:rPr>
        <w:t xml:space="preserve">    </w:t>
      </w:r>
    </w:p>
    <w:p w14:paraId="724BF230">
      <w:pPr>
        <w:adjustRightInd w:val="0"/>
        <w:snapToGrid w:val="0"/>
        <w:spacing w:line="360" w:lineRule="auto"/>
        <w:ind w:firstLine="420" w:firstLineChars="200"/>
        <w:rPr>
          <w:rFonts w:ascii="宋体" w:hAnsi="宋体" w:cs="宋体"/>
          <w:szCs w:val="21"/>
        </w:rPr>
      </w:pPr>
      <w:r>
        <w:rPr>
          <w:rFonts w:hint="eastAsia" w:ascii="宋体" w:hAnsi="宋体" w:cs="宋体"/>
          <w:szCs w:val="21"/>
        </w:rPr>
        <w:t>根据《中华人民共和国民法典》、《中华人民共和国建筑法》及有关法律规定，遵循平等、自愿、公平和诚实信用的原则，双方就</w:t>
      </w:r>
      <w:r>
        <w:rPr>
          <w:rFonts w:hint="eastAsia" w:ascii="宋体" w:hAnsi="宋体" w:cs="宋体"/>
          <w:b/>
          <w:szCs w:val="21"/>
          <w:u w:val="single"/>
          <w:lang w:eastAsia="zh-CN"/>
        </w:rPr>
        <w:t>台州市仙居县浙南山地生态系统综合治理及生物多样性保护项目（淡竹乡）</w:t>
      </w:r>
      <w:r>
        <w:rPr>
          <w:rFonts w:hint="eastAsia" w:ascii="宋体" w:hAnsi="宋体" w:cs="宋体"/>
          <w:szCs w:val="21"/>
        </w:rPr>
        <w:t>施工及有关事项协商一致，共同达成如下协议：</w:t>
      </w:r>
    </w:p>
    <w:p w14:paraId="76C4055D">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一、合同文件</w:t>
      </w:r>
    </w:p>
    <w:p w14:paraId="1E3682E7">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下列文件构成本合同的组成部分：</w:t>
      </w:r>
    </w:p>
    <w:p w14:paraId="01D7B2C0">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(1) 合同主要条款（含附件）                </w:t>
      </w:r>
    </w:p>
    <w:p w14:paraId="6FA73E35">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(2) 中标通知书</w:t>
      </w:r>
    </w:p>
    <w:p w14:paraId="0119817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(3) 磋商文件               </w:t>
      </w:r>
    </w:p>
    <w:p w14:paraId="7E35781A">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(4) 磋商响应文件        </w:t>
      </w:r>
    </w:p>
    <w:p w14:paraId="4A426D9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(5) 合同补充条款或说明（如有）     </w:t>
      </w:r>
    </w:p>
    <w:p w14:paraId="4A870785">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(7) 承诺书（含询标记录和优惠条件） </w:t>
      </w:r>
    </w:p>
    <w:p w14:paraId="5152AC1A">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二、种植项目相关情况</w:t>
      </w:r>
    </w:p>
    <w:p w14:paraId="242429DC">
      <w:pPr>
        <w:spacing w:line="360" w:lineRule="auto"/>
        <w:ind w:firstLine="420" w:firstLineChars="200"/>
        <w:rPr>
          <w:rFonts w:ascii="宋体" w:hAnsi="宋体" w:cs="宋体"/>
          <w:bCs/>
          <w:szCs w:val="21"/>
          <w:u w:val="single"/>
        </w:rPr>
      </w:pPr>
      <w:r>
        <w:rPr>
          <w:rFonts w:hint="eastAsia" w:ascii="宋体" w:hAnsi="宋体" w:cs="宋体"/>
          <w:szCs w:val="21"/>
        </w:rPr>
        <w:t>1.项目名称：</w:t>
      </w:r>
    </w:p>
    <w:p w14:paraId="1D962C1F">
      <w:pPr>
        <w:spacing w:line="360" w:lineRule="auto"/>
        <w:ind w:firstLine="420" w:firstLineChars="200"/>
        <w:rPr>
          <w:rFonts w:ascii="宋体" w:hAnsi="宋体" w:cs="宋体"/>
          <w:bCs/>
          <w:szCs w:val="21"/>
        </w:rPr>
      </w:pPr>
      <w:r>
        <w:rPr>
          <w:rFonts w:hint="eastAsia" w:ascii="宋体" w:hAnsi="宋体" w:cs="宋体"/>
          <w:szCs w:val="21"/>
        </w:rPr>
        <w:t>2.</w:t>
      </w:r>
      <w:r>
        <w:rPr>
          <w:rFonts w:hint="eastAsia" w:ascii="宋体" w:hAnsi="宋体" w:cs="宋体"/>
          <w:bCs/>
          <w:szCs w:val="21"/>
        </w:rPr>
        <w:t>工程内容：</w:t>
      </w:r>
      <w:r>
        <w:rPr>
          <w:rFonts w:hint="eastAsia" w:ascii="宋体" w:hAnsi="宋体" w:cs="宋体"/>
          <w:bCs/>
          <w:szCs w:val="21"/>
          <w:u w:val="single"/>
        </w:rPr>
        <w:t>采购清单范围内工程</w:t>
      </w:r>
    </w:p>
    <w:p w14:paraId="7C3B486C">
      <w:pPr>
        <w:spacing w:line="360" w:lineRule="auto"/>
        <w:ind w:firstLine="420" w:firstLineChars="200"/>
        <w:rPr>
          <w:rFonts w:ascii="宋体" w:hAnsi="宋体" w:cs="宋体"/>
          <w:bCs/>
          <w:szCs w:val="21"/>
          <w:u w:val="single"/>
        </w:rPr>
      </w:pPr>
      <w:r>
        <w:rPr>
          <w:rFonts w:hint="eastAsia" w:ascii="宋体" w:hAnsi="宋体" w:cs="宋体"/>
          <w:bCs/>
          <w:szCs w:val="21"/>
        </w:rPr>
        <w:t>3.工程承包范围：</w:t>
      </w:r>
      <w:r>
        <w:rPr>
          <w:rFonts w:hint="eastAsia" w:ascii="宋体" w:hAnsi="宋体" w:cs="宋体"/>
          <w:bCs/>
          <w:szCs w:val="21"/>
          <w:u w:val="single"/>
        </w:rPr>
        <w:t>采购清单范围包工包料</w:t>
      </w:r>
    </w:p>
    <w:p w14:paraId="56CD72F9">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三、合同金额</w:t>
      </w:r>
    </w:p>
    <w:p w14:paraId="3B24EF37">
      <w:pPr>
        <w:pStyle w:val="51"/>
        <w:spacing w:line="360" w:lineRule="auto"/>
        <w:rPr>
          <w:rFonts w:ascii="宋体" w:hAnsi="宋体" w:cs="宋体"/>
          <w:szCs w:val="21"/>
        </w:rPr>
      </w:pPr>
      <w:r>
        <w:rPr>
          <w:rFonts w:hint="eastAsia" w:ascii="宋体" w:hAnsi="宋体" w:cs="宋体"/>
          <w:szCs w:val="21"/>
        </w:rPr>
        <w:t>1、本合同金额为人民币（大写）：_____________________元（¥：_______________元）。</w:t>
      </w:r>
    </w:p>
    <w:p w14:paraId="17F53BC2">
      <w:pPr>
        <w:widowControl/>
        <w:snapToGrid w:val="0"/>
        <w:spacing w:line="360" w:lineRule="auto"/>
        <w:ind w:firstLine="420" w:firstLineChars="200"/>
        <w:jc w:val="left"/>
        <w:rPr>
          <w:rFonts w:ascii="宋体" w:hAnsi="宋体" w:cs="宋体"/>
          <w:szCs w:val="21"/>
        </w:rPr>
      </w:pPr>
      <w:r>
        <w:rPr>
          <w:rFonts w:hint="eastAsia" w:ascii="宋体" w:hAnsi="宋体" w:cs="宋体"/>
          <w:szCs w:val="21"/>
        </w:rPr>
        <w:t>2、本工程一次性包干，包工、包料、包工期、包质量、包安全文明施工、验收合格等。包括场地整理、苗木运输种植、挖穴、施肥、一年管护、人员工资、设备或工具购置、临时设施、政策性处理费用、测量、勘察、保险、管理费、税费等所产生的费用，成交后不予调整。</w:t>
      </w:r>
    </w:p>
    <w:p w14:paraId="27A1B169">
      <w:pPr>
        <w:widowControl/>
        <w:snapToGrid w:val="0"/>
        <w:spacing w:line="360" w:lineRule="auto"/>
        <w:ind w:firstLine="420" w:firstLineChars="200"/>
        <w:jc w:val="left"/>
        <w:rPr>
          <w:rFonts w:ascii="宋体" w:hAnsi="宋体" w:cs="宋体"/>
          <w:szCs w:val="21"/>
        </w:rPr>
      </w:pPr>
      <w:r>
        <w:rPr>
          <w:rFonts w:hint="eastAsia" w:ascii="宋体" w:hAnsi="宋体" w:cs="宋体"/>
          <w:szCs w:val="21"/>
        </w:rPr>
        <w:t>3、计价方式：采用固定综合单价计价方式。在合同执行期内综合单价固定不变，工程量按实结算。</w:t>
      </w:r>
    </w:p>
    <w:p w14:paraId="7F5F50A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4、具体采购数量按实结算，采购人有权单方面做出决定增加或减少或取消数量，但不得调整综合单价。引起承包总价变化，最终以经审核的结算为准。</w:t>
      </w:r>
    </w:p>
    <w:p w14:paraId="5534B973">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四、施工期限及管护期</w:t>
      </w:r>
    </w:p>
    <w:p w14:paraId="2DF2062A">
      <w:pPr>
        <w:widowControl/>
        <w:snapToGrid w:val="0"/>
        <w:spacing w:line="360" w:lineRule="auto"/>
        <w:ind w:firstLine="420" w:firstLineChars="200"/>
        <w:jc w:val="left"/>
        <w:rPr>
          <w:rFonts w:ascii="宋体" w:hAnsi="宋体" w:cs="宋体"/>
          <w:szCs w:val="21"/>
        </w:rPr>
      </w:pPr>
      <w:r>
        <w:rPr>
          <w:rFonts w:hint="eastAsia" w:ascii="宋体" w:hAnsi="宋体" w:cs="宋体"/>
          <w:szCs w:val="21"/>
        </w:rPr>
        <w:t>施工期自本合同签订之日起至</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14:paraId="0430E56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本项目管护期：自验收合格起</w:t>
      </w:r>
      <w:r>
        <w:rPr>
          <w:rFonts w:hint="eastAsia" w:ascii="宋体" w:hAnsi="宋体" w:cs="宋体"/>
          <w:szCs w:val="21"/>
          <w:u w:val="single"/>
        </w:rPr>
        <w:t xml:space="preserve">     </w:t>
      </w:r>
      <w:r>
        <w:rPr>
          <w:rFonts w:hint="eastAsia" w:ascii="宋体" w:hAnsi="宋体" w:cs="宋体"/>
          <w:szCs w:val="21"/>
        </w:rPr>
        <w:t>年。</w:t>
      </w:r>
    </w:p>
    <w:p w14:paraId="40DF07CE">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五、双方职责</w:t>
      </w:r>
    </w:p>
    <w:p w14:paraId="6AF49423">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（一）甲方职责 </w:t>
      </w:r>
    </w:p>
    <w:p w14:paraId="68F9940B">
      <w:pPr>
        <w:spacing w:line="360" w:lineRule="auto"/>
        <w:ind w:firstLine="420" w:firstLineChars="200"/>
        <w:rPr>
          <w:rFonts w:ascii="宋体" w:hAnsi="宋体" w:cs="宋体"/>
          <w:szCs w:val="21"/>
        </w:rPr>
      </w:pPr>
      <w:r>
        <w:rPr>
          <w:rFonts w:hint="eastAsia" w:ascii="宋体" w:hAnsi="宋体" w:cs="宋体"/>
          <w:szCs w:val="21"/>
        </w:rPr>
        <w:t>1、甲方有权对乙方的苗木采购、种植、养护管理进行全程监督、检查；若发现问题，甲方有权向乙方提出整改意见并发出整改通知书，直至乙方整改到位。</w:t>
      </w:r>
    </w:p>
    <w:p w14:paraId="7CF97FDF">
      <w:pPr>
        <w:spacing w:line="360" w:lineRule="auto"/>
        <w:ind w:firstLine="420" w:firstLineChars="200"/>
        <w:rPr>
          <w:rFonts w:ascii="宋体" w:hAnsi="宋体" w:cs="宋体"/>
          <w:szCs w:val="21"/>
        </w:rPr>
      </w:pPr>
      <w:r>
        <w:rPr>
          <w:rFonts w:hint="eastAsia" w:ascii="宋体" w:hAnsi="宋体" w:cs="宋体"/>
          <w:szCs w:val="21"/>
        </w:rPr>
        <w:t>2、甲方有权审核乙方的管理方案、人员配置、工资发放及投入的设施设备，并检查落实情况。</w:t>
      </w:r>
    </w:p>
    <w:p w14:paraId="3215FF5E">
      <w:pPr>
        <w:spacing w:line="360" w:lineRule="auto"/>
        <w:ind w:firstLine="420" w:firstLineChars="200"/>
        <w:rPr>
          <w:rFonts w:ascii="宋体" w:hAnsi="宋体" w:cs="宋体"/>
          <w:szCs w:val="21"/>
        </w:rPr>
      </w:pPr>
      <w:r>
        <w:rPr>
          <w:rFonts w:hint="eastAsia" w:ascii="宋体" w:hAnsi="宋体" w:cs="宋体"/>
          <w:szCs w:val="21"/>
        </w:rPr>
        <w:t>3、甲方有权对乙方管理人员进行集中教育和培训。</w:t>
      </w:r>
    </w:p>
    <w:p w14:paraId="76A6C749">
      <w:pPr>
        <w:spacing w:line="360" w:lineRule="auto"/>
        <w:ind w:firstLine="420" w:firstLineChars="200"/>
        <w:rPr>
          <w:rFonts w:ascii="宋体" w:hAnsi="宋体" w:cs="宋体"/>
          <w:szCs w:val="21"/>
        </w:rPr>
      </w:pPr>
      <w:r>
        <w:rPr>
          <w:rFonts w:hint="eastAsia" w:ascii="宋体" w:hAnsi="宋体" w:cs="宋体"/>
          <w:szCs w:val="21"/>
        </w:rPr>
        <w:t>4、甲方应向乙方提供有关资料和数据（如施工范围、水源位置等）。</w:t>
      </w:r>
    </w:p>
    <w:p w14:paraId="145DCEF2">
      <w:pPr>
        <w:spacing w:line="360" w:lineRule="auto"/>
        <w:ind w:firstLine="420" w:firstLineChars="200"/>
        <w:rPr>
          <w:rFonts w:ascii="宋体" w:hAnsi="宋体" w:cs="宋体"/>
          <w:szCs w:val="21"/>
        </w:rPr>
      </w:pPr>
      <w:r>
        <w:rPr>
          <w:rFonts w:hint="eastAsia" w:ascii="宋体" w:hAnsi="宋体" w:cs="宋体"/>
          <w:szCs w:val="21"/>
        </w:rPr>
        <w:t>5、甲方应对乙方的种植养护工作随时进行检查，以便提高绿化质量。</w:t>
      </w:r>
    </w:p>
    <w:p w14:paraId="1AD2BEA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（二）乙方权利和义务</w:t>
      </w:r>
    </w:p>
    <w:p w14:paraId="19F384F4">
      <w:pPr>
        <w:spacing w:line="360" w:lineRule="auto"/>
        <w:ind w:firstLine="420" w:firstLineChars="200"/>
        <w:rPr>
          <w:rFonts w:ascii="宋体" w:hAnsi="宋体" w:cs="宋体"/>
          <w:szCs w:val="21"/>
        </w:rPr>
      </w:pPr>
      <w:r>
        <w:rPr>
          <w:rFonts w:hint="eastAsia" w:ascii="宋体" w:hAnsi="宋体" w:cs="宋体"/>
          <w:szCs w:val="21"/>
        </w:rPr>
        <w:t>1、乙方要严格按照技术标准组织实施，确保施工质量。</w:t>
      </w:r>
    </w:p>
    <w:p w14:paraId="5E8932A9">
      <w:pPr>
        <w:spacing w:line="360" w:lineRule="auto"/>
        <w:ind w:firstLine="420" w:firstLineChars="200"/>
        <w:rPr>
          <w:rFonts w:ascii="宋体" w:hAnsi="宋体" w:cs="宋体"/>
          <w:szCs w:val="21"/>
        </w:rPr>
      </w:pPr>
      <w:r>
        <w:rPr>
          <w:rFonts w:hint="eastAsia" w:ascii="宋体" w:hAnsi="宋体" w:cs="宋体"/>
          <w:szCs w:val="21"/>
        </w:rPr>
        <w:t>2、甲方安排技术人员进行技术指导及监督，乙方要认真听取技术人员的指导意见。</w:t>
      </w:r>
    </w:p>
    <w:p w14:paraId="50A0C557">
      <w:pPr>
        <w:spacing w:line="360" w:lineRule="auto"/>
        <w:ind w:firstLine="420" w:firstLineChars="200"/>
        <w:rPr>
          <w:rFonts w:ascii="宋体" w:hAnsi="宋体" w:cs="宋体"/>
          <w:szCs w:val="21"/>
        </w:rPr>
      </w:pPr>
      <w:r>
        <w:rPr>
          <w:rFonts w:hint="eastAsia" w:ascii="宋体" w:hAnsi="宋体" w:cs="宋体"/>
          <w:szCs w:val="21"/>
        </w:rPr>
        <w:t>3、乙方承诺按照法律规定及合同约定组织完成工程施工，确保工程质量和安全，不进行转包及违法分包，并在缺陷责任期及保修期内承担相应的工程维修责任。</w:t>
      </w:r>
    </w:p>
    <w:p w14:paraId="401812FB">
      <w:pPr>
        <w:spacing w:line="360" w:lineRule="auto"/>
        <w:ind w:firstLine="420" w:firstLineChars="200"/>
        <w:rPr>
          <w:rFonts w:ascii="宋体" w:hAnsi="宋体" w:cs="宋体"/>
          <w:szCs w:val="21"/>
        </w:rPr>
      </w:pPr>
      <w:r>
        <w:rPr>
          <w:rFonts w:hint="eastAsia" w:ascii="宋体" w:hAnsi="宋体" w:cs="宋体"/>
          <w:szCs w:val="21"/>
        </w:rPr>
        <w:t>4、乙方应充分了解、掌握种植范围内绿地详细情况以及工作内容，进一步完善、细化投标书中承诺的日常养护方案。</w:t>
      </w:r>
    </w:p>
    <w:p w14:paraId="3E3DF210">
      <w:pPr>
        <w:spacing w:line="360" w:lineRule="auto"/>
        <w:ind w:firstLine="420" w:firstLineChars="200"/>
        <w:rPr>
          <w:rFonts w:ascii="宋体" w:hAnsi="宋体" w:cs="宋体"/>
          <w:szCs w:val="21"/>
        </w:rPr>
      </w:pPr>
      <w:r>
        <w:rPr>
          <w:rFonts w:hint="eastAsia" w:ascii="宋体" w:hAnsi="宋体" w:cs="宋体"/>
          <w:szCs w:val="21"/>
        </w:rPr>
        <w:t>5、乙方应根据甲方要求提供绿地养护人员配置计划书（包括养护人员姓名、年龄、电话等），完善进场组织和人员管理机制，有紧急情况随叫随到；中途如有人员变动，需制定人员补充计划并报甲方核准。建立绿化养护技术资料档案。并及时向甲方反馈信息，所有资料、台账应及时进行分析整理，每月底将整理分析后的养护管理档案备份送甲方归档保存。</w:t>
      </w:r>
    </w:p>
    <w:p w14:paraId="5D5C0F46">
      <w:pPr>
        <w:spacing w:line="360" w:lineRule="auto"/>
        <w:ind w:firstLine="420" w:firstLineChars="200"/>
        <w:rPr>
          <w:rFonts w:ascii="宋体" w:hAnsi="宋体" w:cs="宋体"/>
          <w:szCs w:val="21"/>
        </w:rPr>
      </w:pPr>
      <w:r>
        <w:rPr>
          <w:rFonts w:hint="eastAsia" w:ascii="宋体" w:hAnsi="宋体" w:cs="宋体"/>
          <w:szCs w:val="21"/>
        </w:rPr>
        <w:t>6、乙方须对所有施工人员购买人身意外伤害保险，在进行作业时加强对作业工人的培训，严格落实安全措施，防止安全事故发生，确保人身和财产安全。若发生人身意外伤害等事故，由乙方负全责，与甲方无关。</w:t>
      </w:r>
    </w:p>
    <w:p w14:paraId="7D1594CD">
      <w:pPr>
        <w:spacing w:line="360" w:lineRule="auto"/>
        <w:ind w:firstLine="420" w:firstLineChars="200"/>
        <w:rPr>
          <w:rFonts w:ascii="宋体" w:hAnsi="宋体" w:cs="宋体"/>
          <w:szCs w:val="21"/>
        </w:rPr>
      </w:pPr>
      <w:r>
        <w:rPr>
          <w:rFonts w:hint="eastAsia" w:ascii="宋体" w:hAnsi="宋体" w:cs="宋体"/>
          <w:szCs w:val="21"/>
        </w:rPr>
        <w:t>7、乙方必须对所有的养护人员进行安全生产教育和劳动纪律教育，组织养护人员参加技术培训教育。</w:t>
      </w:r>
    </w:p>
    <w:p w14:paraId="77350362">
      <w:pPr>
        <w:spacing w:line="360" w:lineRule="auto"/>
        <w:ind w:firstLine="420" w:firstLineChars="200"/>
        <w:rPr>
          <w:rFonts w:ascii="宋体" w:hAnsi="宋体" w:cs="宋体"/>
          <w:szCs w:val="21"/>
        </w:rPr>
      </w:pPr>
      <w:r>
        <w:rPr>
          <w:rFonts w:hint="eastAsia" w:ascii="宋体" w:hAnsi="宋体" w:cs="宋体"/>
          <w:szCs w:val="21"/>
        </w:rPr>
        <w:t>8、乙方有责任防止人为毁绿事件发生；如发生绿地被毁，应及时向甲方汇报，并按甲方要求做好修复补植工作。</w:t>
      </w:r>
    </w:p>
    <w:p w14:paraId="2E733BBD">
      <w:pPr>
        <w:spacing w:line="360" w:lineRule="auto"/>
        <w:ind w:firstLine="420" w:firstLineChars="200"/>
        <w:rPr>
          <w:rFonts w:ascii="宋体" w:hAnsi="宋体" w:cs="宋体"/>
          <w:szCs w:val="21"/>
        </w:rPr>
      </w:pPr>
      <w:r>
        <w:rPr>
          <w:rFonts w:hint="eastAsia" w:ascii="宋体" w:hAnsi="宋体" w:cs="宋体"/>
          <w:szCs w:val="21"/>
        </w:rPr>
        <w:t>9、乙方有义务积极配合甲方完成绿地重新规划及调查工作，不得擅自改变养护绿地的原有面貌和使用性质。</w:t>
      </w:r>
    </w:p>
    <w:p w14:paraId="102F2C75">
      <w:pPr>
        <w:spacing w:line="360" w:lineRule="auto"/>
        <w:ind w:firstLine="420" w:firstLineChars="200"/>
        <w:rPr>
          <w:rFonts w:ascii="宋体" w:hAnsi="宋体" w:cs="宋体"/>
          <w:szCs w:val="21"/>
        </w:rPr>
      </w:pPr>
      <w:r>
        <w:rPr>
          <w:rFonts w:hint="eastAsia" w:ascii="宋体" w:hAnsi="宋体" w:cs="宋体"/>
          <w:szCs w:val="21"/>
        </w:rPr>
        <w:t>10、乙方对所属人员的人身安全承担责任。发生任何事故，均由乙方承担全部责任及赔偿一切经济损失。</w:t>
      </w:r>
    </w:p>
    <w:p w14:paraId="4B27D3D3">
      <w:pPr>
        <w:spacing w:line="360" w:lineRule="auto"/>
        <w:ind w:firstLine="420" w:firstLineChars="200"/>
        <w:rPr>
          <w:rFonts w:ascii="宋体" w:hAnsi="宋体" w:cs="宋体"/>
          <w:szCs w:val="21"/>
        </w:rPr>
      </w:pPr>
      <w:r>
        <w:rPr>
          <w:rFonts w:hint="eastAsia" w:ascii="宋体" w:hAnsi="宋体" w:cs="宋体"/>
          <w:szCs w:val="21"/>
        </w:rPr>
        <w:t>11、乙方要加强法制宣传教育，做到遵纪守法，教育员工不参与赌博、流氓斗殴等社会“六害”行为，杜绝治安、民事、刑事案件的发生，对外来人口做到管理措施到位，否则一切责任由乙方承担。</w:t>
      </w:r>
    </w:p>
    <w:p w14:paraId="289028AF">
      <w:pPr>
        <w:spacing w:line="360" w:lineRule="auto"/>
        <w:ind w:firstLine="420" w:firstLineChars="200"/>
        <w:rPr>
          <w:rFonts w:ascii="宋体" w:hAnsi="宋体" w:cs="宋体"/>
          <w:szCs w:val="21"/>
        </w:rPr>
      </w:pPr>
      <w:r>
        <w:rPr>
          <w:rFonts w:hint="eastAsia" w:ascii="宋体" w:hAnsi="宋体" w:cs="宋体"/>
          <w:szCs w:val="21"/>
        </w:rPr>
        <w:t>12、乙方不得将本服务项目转包、分包给他人。</w:t>
      </w:r>
    </w:p>
    <w:p w14:paraId="534DDE8C">
      <w:pPr>
        <w:spacing w:line="360" w:lineRule="auto"/>
        <w:ind w:firstLine="420" w:firstLineChars="200"/>
        <w:rPr>
          <w:rFonts w:ascii="宋体" w:hAnsi="宋体" w:cs="宋体"/>
          <w:szCs w:val="21"/>
        </w:rPr>
      </w:pPr>
      <w:r>
        <w:rPr>
          <w:rFonts w:hint="eastAsia" w:ascii="宋体" w:hAnsi="宋体" w:cs="宋体"/>
          <w:szCs w:val="21"/>
        </w:rPr>
        <w:t>13、乙方人员不得在从事绿地养护工作时与人争吵。</w:t>
      </w:r>
    </w:p>
    <w:p w14:paraId="18308678">
      <w:pPr>
        <w:spacing w:line="360" w:lineRule="auto"/>
        <w:ind w:firstLine="420" w:firstLineChars="200"/>
        <w:rPr>
          <w:rFonts w:ascii="宋体" w:hAnsi="宋体" w:cs="宋体"/>
          <w:szCs w:val="21"/>
        </w:rPr>
      </w:pPr>
      <w:r>
        <w:rPr>
          <w:rFonts w:hint="eastAsia" w:ascii="宋体" w:hAnsi="宋体" w:cs="宋体"/>
          <w:szCs w:val="21"/>
        </w:rPr>
        <w:t>14、因乙方绿地养护工作不到位而接到各类投诉或被曝光，情况属实的，甲方有权扣除乙方</w:t>
      </w:r>
    </w:p>
    <w:p w14:paraId="0CAEA266">
      <w:pPr>
        <w:spacing w:line="360" w:lineRule="auto"/>
        <w:ind w:firstLine="420" w:firstLineChars="200"/>
        <w:rPr>
          <w:rFonts w:ascii="宋体" w:hAnsi="宋体" w:cs="宋体"/>
          <w:szCs w:val="21"/>
        </w:rPr>
      </w:pPr>
      <w:r>
        <w:rPr>
          <w:rFonts w:hint="eastAsia" w:ascii="宋体" w:hAnsi="宋体" w:cs="宋体"/>
          <w:szCs w:val="21"/>
        </w:rPr>
        <w:t>15、在各种检查、创建等活动期间，甲方需要增加乙方工作量时，乙方须无条件服从。</w:t>
      </w:r>
    </w:p>
    <w:p w14:paraId="0B0CBB23">
      <w:pPr>
        <w:spacing w:line="360" w:lineRule="auto"/>
        <w:ind w:firstLine="420" w:firstLineChars="200"/>
        <w:rPr>
          <w:rFonts w:ascii="宋体" w:hAnsi="宋体" w:cs="宋体"/>
          <w:szCs w:val="21"/>
        </w:rPr>
      </w:pPr>
      <w:r>
        <w:rPr>
          <w:rFonts w:hint="eastAsia" w:ascii="宋体" w:hAnsi="宋体" w:cs="宋体"/>
          <w:szCs w:val="21"/>
        </w:rPr>
        <w:t>16、乙方工作人员进入林区进行施工作业时，禁止一切野外用火和携带火源上山，如有违反发生森林火灾，乙方要承担一切由此造成的后果。</w:t>
      </w:r>
    </w:p>
    <w:p w14:paraId="0261311A">
      <w:pPr>
        <w:spacing w:line="360" w:lineRule="auto"/>
        <w:ind w:firstLine="422" w:firstLineChars="200"/>
        <w:rPr>
          <w:rFonts w:ascii="宋体" w:hAnsi="宋体" w:cs="宋体"/>
          <w:b/>
          <w:bCs/>
          <w:szCs w:val="21"/>
        </w:rPr>
      </w:pPr>
      <w:r>
        <w:rPr>
          <w:rFonts w:hint="eastAsia" w:ascii="宋体" w:hAnsi="宋体" w:cs="宋体"/>
          <w:b/>
          <w:bCs/>
          <w:szCs w:val="21"/>
        </w:rPr>
        <w:t>六、验收标准及方式</w:t>
      </w:r>
    </w:p>
    <w:p w14:paraId="0FB01E21">
      <w:pPr>
        <w:spacing w:line="360" w:lineRule="auto"/>
        <w:ind w:firstLine="420" w:firstLineChars="200"/>
        <w:rPr>
          <w:rFonts w:ascii="宋体" w:hAnsi="宋体" w:cs="宋体"/>
          <w:szCs w:val="21"/>
        </w:rPr>
      </w:pPr>
      <w:r>
        <w:rPr>
          <w:rFonts w:hint="eastAsia" w:ascii="宋体" w:hAnsi="宋体" w:cs="宋体"/>
          <w:szCs w:val="21"/>
        </w:rPr>
        <w:t>根据国家标准《森林抚育规程》、国家标准《造林技术规程》、《浙江省珍贵彩色树种省调控容器苗生产使用管理办法》、《仙居县2022年度森林抚育及珍贵彩色森林建设作业设计》以及合同约定，项目完成后，由项目发包人（乡镇）组织完工验收和抚育管护一次后及成活率验收。验收时施工单位需提供施工过程相关现场照片、施工说明、施工简图以及相关说明材料等装订成册备查。项目实施过程关键节点（包含但不限于：苗木到场、种植以及项目完工等）需及时告知验收单位。</w:t>
      </w:r>
    </w:p>
    <w:p w14:paraId="32D6EBF2">
      <w:pPr>
        <w:pStyle w:val="58"/>
        <w:spacing w:beforeLines="0" w:afterLines="0" w:line="360" w:lineRule="auto"/>
        <w:ind w:firstLine="422"/>
        <w:rPr>
          <w:rFonts w:ascii="宋体" w:hAnsi="宋体" w:cs="宋体"/>
          <w:b/>
          <w:bCs/>
          <w:sz w:val="21"/>
          <w:u w:color="000000"/>
        </w:rPr>
      </w:pPr>
      <w:r>
        <w:rPr>
          <w:rFonts w:hint="eastAsia" w:ascii="宋体" w:hAnsi="宋体" w:cs="宋体"/>
          <w:b/>
          <w:sz w:val="21"/>
        </w:rPr>
        <w:t>七、</w:t>
      </w:r>
      <w:r>
        <w:rPr>
          <w:rFonts w:hint="eastAsia" w:ascii="宋体" w:hAnsi="宋体" w:cs="宋体"/>
          <w:b/>
          <w:bCs/>
          <w:sz w:val="21"/>
          <w:u w:color="000000"/>
        </w:rPr>
        <w:t>施工要求：</w:t>
      </w:r>
    </w:p>
    <w:p w14:paraId="25068041">
      <w:pPr>
        <w:spacing w:line="360" w:lineRule="auto"/>
        <w:ind w:firstLine="420" w:firstLineChars="200"/>
        <w:rPr>
          <w:rFonts w:ascii="宋体" w:hAnsi="宋体" w:cs="宋体"/>
          <w:szCs w:val="21"/>
        </w:rPr>
      </w:pPr>
      <w:r>
        <w:rPr>
          <w:rFonts w:hint="eastAsia" w:ascii="宋体" w:hAnsi="宋体" w:cs="宋体"/>
          <w:szCs w:val="21"/>
        </w:rPr>
        <w:t>详见采购需求及作业设计。</w:t>
      </w:r>
    </w:p>
    <w:p w14:paraId="0B69A593">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八、服务费核拨方式</w:t>
      </w:r>
    </w:p>
    <w:p w14:paraId="1CE23721">
      <w:pPr>
        <w:pStyle w:val="12"/>
        <w:ind w:firstLine="420"/>
        <w:rPr>
          <w:rFonts w:ascii="宋体" w:eastAsia="宋体" w:cs="宋体"/>
          <w:sz w:val="21"/>
          <w:szCs w:val="21"/>
        </w:rPr>
      </w:pPr>
      <w:r>
        <w:rPr>
          <w:rFonts w:hint="eastAsia" w:ascii="宋体" w:eastAsia="宋体" w:cs="宋体"/>
          <w:color w:val="FF0000"/>
          <w:sz w:val="21"/>
          <w:szCs w:val="21"/>
        </w:rPr>
        <w:t>（1）合同签订后7个工作日内，支付合同总额40％预付款。</w:t>
      </w:r>
    </w:p>
    <w:p w14:paraId="48ADEBB1">
      <w:pPr>
        <w:pStyle w:val="12"/>
        <w:ind w:firstLine="420"/>
        <w:rPr>
          <w:rFonts w:ascii="宋体" w:eastAsia="宋体" w:cs="宋体"/>
          <w:sz w:val="21"/>
          <w:szCs w:val="21"/>
        </w:rPr>
      </w:pPr>
      <w:r>
        <w:rPr>
          <w:rFonts w:hint="eastAsia" w:ascii="宋体" w:eastAsia="宋体" w:cs="宋体"/>
          <w:color w:val="FF0000"/>
          <w:sz w:val="21"/>
          <w:szCs w:val="21"/>
        </w:rPr>
        <w:t>（2）项目完成清理种植任务并经发包人（乡镇）验收合格后，支付至合同总额的60％（含40％预付款）。</w:t>
      </w:r>
    </w:p>
    <w:p w14:paraId="54E41934">
      <w:pPr>
        <w:pStyle w:val="12"/>
        <w:ind w:firstLine="420"/>
        <w:rPr>
          <w:rFonts w:ascii="宋体" w:eastAsia="宋体" w:cs="宋体"/>
          <w:color w:val="FF0000"/>
          <w:sz w:val="21"/>
          <w:szCs w:val="21"/>
        </w:rPr>
      </w:pPr>
      <w:r>
        <w:rPr>
          <w:rFonts w:hint="eastAsia" w:ascii="宋体" w:eastAsia="宋体" w:cs="宋体"/>
          <w:color w:val="FF0000"/>
          <w:sz w:val="21"/>
          <w:szCs w:val="21"/>
        </w:rPr>
        <w:t>（3）项目实施完工（含养护期满）并经发包人（乡镇）验收合格和县级核查通过，发包人收到成交供应商递交的竣工结算报告及完整的结算资料，支付剩余应付款项。</w:t>
      </w:r>
    </w:p>
    <w:p w14:paraId="739220E1">
      <w:pPr>
        <w:pStyle w:val="12"/>
        <w:ind w:firstLine="420"/>
        <w:rPr>
          <w:rFonts w:ascii="宋体" w:eastAsia="宋体" w:cs="宋体"/>
          <w:sz w:val="21"/>
          <w:szCs w:val="21"/>
        </w:rPr>
      </w:pPr>
      <w:r>
        <w:rPr>
          <w:rFonts w:hint="eastAsia" w:ascii="宋体" w:eastAsia="宋体" w:cs="宋体"/>
          <w:color w:val="FF0000"/>
          <w:sz w:val="21"/>
          <w:szCs w:val="21"/>
        </w:rPr>
        <w:t>具体支付时间以财政拨款时间为准，申请每期付款必须开具正式税务发票。</w:t>
      </w:r>
    </w:p>
    <w:p w14:paraId="168FDF27">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九、履约保证金及违约责任</w:t>
      </w:r>
    </w:p>
    <w:p w14:paraId="633A715C">
      <w:pPr>
        <w:spacing w:line="360" w:lineRule="auto"/>
        <w:ind w:firstLine="420" w:firstLineChars="200"/>
        <w:rPr>
          <w:rFonts w:ascii="宋体" w:hAnsi="宋体" w:cs="宋体"/>
          <w:szCs w:val="21"/>
        </w:rPr>
      </w:pPr>
      <w:r>
        <w:rPr>
          <w:rFonts w:hint="eastAsia" w:ascii="宋体" w:hAnsi="宋体" w:cs="宋体"/>
          <w:kern w:val="0"/>
          <w:szCs w:val="21"/>
        </w:rPr>
        <w:t>1、在签订合同时，乙方应上缴甲方合同总价的</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1%</w:t>
      </w:r>
      <w:r>
        <w:rPr>
          <w:rFonts w:hint="eastAsia" w:ascii="宋体" w:hAnsi="宋体" w:cs="宋体"/>
          <w:kern w:val="0"/>
          <w:szCs w:val="21"/>
        </w:rPr>
        <w:t>作为履约保证金。</w:t>
      </w:r>
      <w:r>
        <w:rPr>
          <w:rFonts w:hint="eastAsia" w:ascii="宋体" w:hAnsi="宋体" w:cs="宋体"/>
          <w:szCs w:val="21"/>
        </w:rPr>
        <w:t>方式为：</w:t>
      </w:r>
      <w:r>
        <w:rPr>
          <w:rFonts w:hint="eastAsia" w:ascii="宋体" w:hAnsi="宋体" w:cs="宋体"/>
          <w:szCs w:val="21"/>
          <w:u w:val="single"/>
        </w:rPr>
        <w:t xml:space="preserve"> 转账及甲方认可的包含形式（如银行保函、保险机构保证保险保单和融资担保公司保函） </w:t>
      </w:r>
      <w:r>
        <w:rPr>
          <w:rFonts w:hint="eastAsia" w:ascii="宋体" w:hAnsi="宋体" w:cs="宋体"/>
          <w:szCs w:val="21"/>
        </w:rPr>
        <w:t>。</w:t>
      </w:r>
    </w:p>
    <w:p w14:paraId="4230166F">
      <w:pPr>
        <w:spacing w:line="360" w:lineRule="auto"/>
        <w:ind w:firstLine="420" w:firstLineChars="200"/>
        <w:rPr>
          <w:rFonts w:ascii="宋体" w:hAnsi="宋体" w:cs="宋体"/>
          <w:kern w:val="0"/>
          <w:szCs w:val="21"/>
        </w:rPr>
      </w:pPr>
      <w:r>
        <w:rPr>
          <w:rFonts w:hint="eastAsia" w:ascii="宋体" w:hAnsi="宋体" w:cs="宋体"/>
          <w:szCs w:val="21"/>
        </w:rPr>
        <w:t>2、履约保证金</w:t>
      </w:r>
      <w:r>
        <w:rPr>
          <w:rFonts w:hint="eastAsia" w:ascii="宋体" w:hAnsi="宋体" w:cs="宋体"/>
          <w:kern w:val="0"/>
          <w:szCs w:val="21"/>
        </w:rPr>
        <w:t>在管护期满后5个工作日内，向乙方全额返还（不计息）；如乙方原因造成合同终止，履约担保金不返还；如乙方不能按磋商承诺和合同要求履约，甲方将有权扣除相应甚至全部履约保证金。乙方应保证履约担保在管护期结束前持续有效</w:t>
      </w:r>
      <w:r>
        <w:rPr>
          <w:rFonts w:hint="eastAsia" w:ascii="宋体" w:hAnsi="宋体" w:cs="宋体"/>
          <w:szCs w:val="21"/>
        </w:rPr>
        <w:t>。</w:t>
      </w:r>
    </w:p>
    <w:p w14:paraId="16683D38">
      <w:pPr>
        <w:spacing w:line="360" w:lineRule="auto"/>
        <w:ind w:firstLine="420" w:firstLineChars="200"/>
        <w:rPr>
          <w:rFonts w:ascii="宋体" w:hAnsi="宋体" w:cs="宋体"/>
          <w:kern w:val="0"/>
          <w:szCs w:val="21"/>
        </w:rPr>
      </w:pPr>
      <w:r>
        <w:rPr>
          <w:rFonts w:hint="eastAsia" w:ascii="宋体" w:hAnsi="宋体" w:cs="宋体"/>
          <w:kern w:val="0"/>
          <w:szCs w:val="21"/>
        </w:rPr>
        <w:t>3、合同期限内，甲、乙双方任何一方不得单方解除合同，不得擅自将合同全部或部分转让给第三方，若乙方违反，甲方有权提前解除合同，并没收履约保证金；若甲方违反，甲方应双倍返还履约保证金。</w:t>
      </w:r>
    </w:p>
    <w:p w14:paraId="5E44DAB9">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九、附则</w:t>
      </w:r>
    </w:p>
    <w:p w14:paraId="14B923AB">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1．因自然灾害等不可抗力因素造成本合同养护项目经济损失的，甲、乙双方共同协商妥善解决。 </w:t>
      </w:r>
    </w:p>
    <w:p w14:paraId="22788BD7">
      <w:pPr>
        <w:widowControl/>
        <w:snapToGrid w:val="0"/>
        <w:spacing w:line="360" w:lineRule="auto"/>
        <w:ind w:firstLine="420" w:firstLineChars="200"/>
        <w:jc w:val="left"/>
        <w:rPr>
          <w:rFonts w:ascii="宋体" w:hAnsi="宋体" w:cs="宋体"/>
          <w:szCs w:val="21"/>
        </w:rPr>
      </w:pPr>
      <w:r>
        <w:rPr>
          <w:rFonts w:hint="eastAsia" w:ascii="宋体" w:hAnsi="宋体" w:cs="宋体"/>
          <w:szCs w:val="21"/>
        </w:rPr>
        <w:t>2.合同执行中涉及采购资金和采购内容修改或补充的，须经财政部门审批，并签订书面补充协议报政府采购监督管理部门备案，方可作为主合同不可分割的一部分。</w:t>
      </w:r>
    </w:p>
    <w:p w14:paraId="790CD24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3.本合同招标文件作为合同附件，对合同条款具有补充作用。</w:t>
      </w:r>
    </w:p>
    <w:p w14:paraId="28C1148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4.未尽事宜，甲、乙双方协商解决，并作出书面补充协议。补充协议与本合同具有同等效力。</w:t>
      </w:r>
    </w:p>
    <w:p w14:paraId="0F4F17C1">
      <w:pPr>
        <w:widowControl/>
        <w:snapToGrid w:val="0"/>
        <w:spacing w:line="360" w:lineRule="auto"/>
        <w:ind w:firstLine="420" w:firstLineChars="200"/>
        <w:jc w:val="left"/>
        <w:rPr>
          <w:rFonts w:ascii="宋体" w:hAnsi="宋体" w:cs="宋体"/>
          <w:szCs w:val="21"/>
        </w:rPr>
      </w:pPr>
      <w:r>
        <w:rPr>
          <w:rFonts w:hint="eastAsia" w:ascii="宋体" w:hAnsi="宋体" w:cs="宋体"/>
          <w:szCs w:val="21"/>
        </w:rPr>
        <w:t>5.</w:t>
      </w:r>
      <w:r>
        <w:rPr>
          <w:rFonts w:hint="eastAsia" w:ascii="宋体" w:hAnsi="宋体" w:cs="宋体"/>
          <w:color w:val="000000"/>
          <w:szCs w:val="21"/>
        </w:rPr>
        <w:t>本合同在履行中发生争议，由双方协商解决，协商不成，双方均可向</w:t>
      </w:r>
      <w:r>
        <w:rPr>
          <w:rFonts w:hint="eastAsia" w:ascii="宋体" w:hAnsi="宋体" w:cs="宋体"/>
          <w:color w:val="000000"/>
          <w:szCs w:val="21"/>
          <w:u w:val="single"/>
        </w:rPr>
        <w:t xml:space="preserve"> 台州 </w:t>
      </w:r>
      <w:r>
        <w:rPr>
          <w:rFonts w:hint="eastAsia" w:ascii="宋体" w:hAnsi="宋体" w:cs="宋体"/>
          <w:color w:val="000000"/>
          <w:szCs w:val="21"/>
        </w:rPr>
        <w:t>仲裁委员会申请仲裁或当地人民法院起诉。</w:t>
      </w:r>
    </w:p>
    <w:p w14:paraId="0E94FB02">
      <w:pPr>
        <w:widowControl/>
        <w:snapToGrid w:val="0"/>
        <w:spacing w:line="360" w:lineRule="auto"/>
        <w:ind w:firstLine="420" w:firstLineChars="200"/>
        <w:jc w:val="left"/>
        <w:rPr>
          <w:rFonts w:ascii="宋体" w:hAnsi="宋体" w:cs="宋体"/>
          <w:szCs w:val="21"/>
        </w:rPr>
      </w:pPr>
      <w:r>
        <w:rPr>
          <w:rFonts w:hint="eastAsia" w:ascii="宋体" w:hAnsi="宋体" w:cs="宋体"/>
          <w:szCs w:val="21"/>
        </w:rPr>
        <w:t>6.本合同一式六份，代理机构、</w:t>
      </w:r>
      <w:r>
        <w:rPr>
          <w:rFonts w:hint="eastAsia" w:ascii="宋体" w:hAnsi="宋体" w:cs="宋体"/>
          <w:szCs w:val="21"/>
          <w:lang w:val="zh-CN"/>
        </w:rPr>
        <w:t>仙居县财政局</w:t>
      </w:r>
      <w:r>
        <w:rPr>
          <w:rFonts w:hint="eastAsia" w:ascii="宋体" w:hAnsi="宋体" w:cs="宋体"/>
          <w:szCs w:val="21"/>
        </w:rPr>
        <w:t>各执一份，甲、乙双方各执二份，其都具有同等法律效力。经甲、乙双方法定代表人签字或授权人签章后生效。</w:t>
      </w:r>
    </w:p>
    <w:p w14:paraId="1E6BA009">
      <w:pPr>
        <w:pStyle w:val="45"/>
        <w:widowControl/>
        <w:spacing w:beforeLines="0" w:afterLines="0" w:line="360" w:lineRule="auto"/>
        <w:ind w:firstLine="422"/>
        <w:rPr>
          <w:rFonts w:hAnsi="宋体"/>
          <w:sz w:val="21"/>
        </w:rPr>
      </w:pPr>
    </w:p>
    <w:p w14:paraId="0CA1E5D7">
      <w:pPr>
        <w:pStyle w:val="45"/>
        <w:widowControl/>
        <w:spacing w:beforeLines="0" w:afterLines="0" w:line="360" w:lineRule="auto"/>
        <w:ind w:firstLine="422"/>
        <w:rPr>
          <w:rFonts w:hAnsi="宋体" w:eastAsia="宋体" w:cs="宋体"/>
          <w:sz w:val="21"/>
        </w:rPr>
      </w:pPr>
      <w:r>
        <w:rPr>
          <w:rFonts w:hint="eastAsia" w:hAnsi="宋体" w:eastAsia="宋体" w:cs="宋体"/>
          <w:sz w:val="21"/>
        </w:rPr>
        <w:t>甲    方：    （盖章）                 乙    方：        （盖章）</w:t>
      </w:r>
    </w:p>
    <w:p w14:paraId="125495C9">
      <w:pPr>
        <w:pStyle w:val="45"/>
        <w:widowControl/>
        <w:spacing w:beforeLines="0" w:afterLines="0" w:line="360" w:lineRule="auto"/>
        <w:ind w:firstLine="422"/>
        <w:rPr>
          <w:rFonts w:hAnsi="宋体" w:eastAsia="宋体" w:cs="宋体"/>
          <w:sz w:val="21"/>
        </w:rPr>
      </w:pPr>
      <w:r>
        <w:rPr>
          <w:rFonts w:hint="eastAsia" w:hAnsi="宋体" w:eastAsia="宋体" w:cs="宋体"/>
          <w:sz w:val="21"/>
        </w:rPr>
        <w:t>法定代表人：                           法定代表人：</w:t>
      </w:r>
    </w:p>
    <w:p w14:paraId="0C341D0D">
      <w:pPr>
        <w:pStyle w:val="45"/>
        <w:widowControl/>
        <w:spacing w:beforeLines="0" w:afterLines="0" w:line="360" w:lineRule="auto"/>
        <w:ind w:firstLine="422"/>
        <w:rPr>
          <w:rFonts w:hAnsi="宋体" w:eastAsia="宋体" w:cs="宋体"/>
          <w:sz w:val="21"/>
        </w:rPr>
      </w:pPr>
      <w:r>
        <w:rPr>
          <w:rFonts w:hint="eastAsia" w:hAnsi="宋体" w:eastAsia="宋体" w:cs="宋体"/>
          <w:sz w:val="21"/>
        </w:rPr>
        <w:t>或委托代理人（签字）：                 或委托代理人（签字）：</w:t>
      </w:r>
    </w:p>
    <w:p w14:paraId="1AC37AE7">
      <w:pPr>
        <w:pStyle w:val="45"/>
        <w:widowControl/>
        <w:spacing w:beforeLines="0" w:afterLines="0" w:line="360" w:lineRule="auto"/>
        <w:ind w:firstLine="422"/>
        <w:rPr>
          <w:rFonts w:hAnsi="宋体" w:eastAsia="宋体" w:cs="宋体"/>
          <w:sz w:val="21"/>
        </w:rPr>
      </w:pPr>
      <w:r>
        <w:rPr>
          <w:rFonts w:hint="eastAsia" w:hAnsi="宋体" w:eastAsia="宋体" w:cs="宋体"/>
          <w:sz w:val="21"/>
        </w:rPr>
        <w:t>地    址：                             地    址：</w:t>
      </w:r>
    </w:p>
    <w:p w14:paraId="733EDB4D">
      <w:pPr>
        <w:pStyle w:val="45"/>
        <w:widowControl/>
        <w:spacing w:beforeLines="0" w:afterLines="0" w:line="360" w:lineRule="auto"/>
        <w:ind w:firstLine="422"/>
        <w:rPr>
          <w:rFonts w:hAnsi="宋体" w:eastAsia="宋体" w:cs="宋体"/>
          <w:sz w:val="21"/>
        </w:rPr>
      </w:pPr>
      <w:r>
        <w:rPr>
          <w:rFonts w:hint="eastAsia" w:hAnsi="宋体" w:eastAsia="宋体" w:cs="宋体"/>
          <w:sz w:val="21"/>
        </w:rPr>
        <w:t>联系电话：                             联系电话：</w:t>
      </w:r>
    </w:p>
    <w:p w14:paraId="01F639EA">
      <w:pPr>
        <w:pStyle w:val="45"/>
        <w:widowControl/>
        <w:spacing w:beforeLines="0" w:afterLines="0" w:line="360" w:lineRule="auto"/>
        <w:ind w:firstLine="422"/>
        <w:rPr>
          <w:rFonts w:hAnsi="宋体" w:eastAsia="宋体" w:cs="宋体"/>
          <w:sz w:val="21"/>
        </w:rPr>
      </w:pPr>
      <w:r>
        <w:rPr>
          <w:rFonts w:hint="eastAsia" w:hAnsi="宋体" w:eastAsia="宋体" w:cs="宋体"/>
          <w:sz w:val="21"/>
        </w:rPr>
        <w:t>签订地点：                             签订日期：      年    月    日</w:t>
      </w:r>
    </w:p>
    <w:p w14:paraId="4C0575E8">
      <w:pPr>
        <w:spacing w:line="400" w:lineRule="exact"/>
        <w:rPr>
          <w:rFonts w:ascii="宋体" w:hAnsi="宋体"/>
          <w:b/>
          <w:sz w:val="30"/>
        </w:rPr>
      </w:pPr>
    </w:p>
    <w:p w14:paraId="30B0E04F">
      <w:pPr>
        <w:autoSpaceDE w:val="0"/>
        <w:autoSpaceDN w:val="0"/>
        <w:spacing w:line="360" w:lineRule="exact"/>
        <w:rPr>
          <w:rFonts w:ascii="宋体" w:hAnsi="宋体" w:cs="宋体"/>
          <w:szCs w:val="21"/>
        </w:rPr>
      </w:pPr>
    </w:p>
    <w:p w14:paraId="4494DDD6">
      <w:pPr>
        <w:spacing w:line="360" w:lineRule="exact"/>
        <w:ind w:firstLine="640" w:firstLineChars="200"/>
        <w:jc w:val="center"/>
        <w:rPr>
          <w:rFonts w:hint="eastAsia" w:eastAsia="黑体"/>
          <w:bCs/>
          <w:color w:val="auto"/>
          <w:sz w:val="32"/>
          <w:szCs w:val="32"/>
          <w:highlight w:val="none"/>
        </w:rPr>
      </w:pPr>
      <w:r>
        <w:rPr>
          <w:rFonts w:hint="eastAsia" w:ascii="宋体" w:hAnsi="宋体" w:cs="宋体"/>
          <w:sz w:val="32"/>
          <w:szCs w:val="32"/>
        </w:rPr>
        <w:br w:type="page"/>
      </w:r>
      <w:r>
        <w:rPr>
          <w:rFonts w:hint="eastAsia" w:eastAsia="黑体"/>
          <w:bCs/>
          <w:color w:val="auto"/>
          <w:sz w:val="32"/>
          <w:szCs w:val="32"/>
          <w:highlight w:val="none"/>
        </w:rPr>
        <w:t>工程质量保修书</w:t>
      </w:r>
    </w:p>
    <w:p w14:paraId="18A4A994">
      <w:pPr>
        <w:pStyle w:val="3"/>
        <w:spacing w:before="120" w:after="120" w:line="240" w:lineRule="atLeast"/>
        <w:rPr>
          <w:rFonts w:hint="eastAsia"/>
          <w:color w:val="auto"/>
          <w:sz w:val="36"/>
          <w:szCs w:val="36"/>
          <w:highlight w:val="none"/>
        </w:rPr>
      </w:pPr>
    </w:p>
    <w:p w14:paraId="1C8985CE">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color w:val="auto"/>
          <w:highlight w:val="none"/>
          <w:u w:val="single"/>
        </w:rPr>
      </w:pPr>
      <w:r>
        <w:rPr>
          <w:rFonts w:hint="eastAsia" w:ascii="宋体" w:hAnsi="宋体"/>
          <w:b/>
          <w:bCs/>
          <w:color w:val="auto"/>
          <w:highlight w:val="none"/>
        </w:rPr>
        <w:t>发包人（全称）：</w:t>
      </w:r>
      <w:r>
        <w:rPr>
          <w:rFonts w:hint="eastAsia" w:ascii="宋体" w:hAnsi="宋体"/>
          <w:color w:val="auto"/>
          <w:highlight w:val="none"/>
          <w:u w:val="single"/>
        </w:rPr>
        <w:t xml:space="preserve"> </w:t>
      </w:r>
      <w:r>
        <w:rPr>
          <w:rFonts w:hint="eastAsia" w:ascii="宋体" w:hAnsi="宋体"/>
          <w:iCs/>
          <w:color w:val="auto"/>
          <w:szCs w:val="21"/>
          <w:highlight w:val="none"/>
          <w:u w:val="single"/>
          <w:lang w:eastAsia="zh-CN"/>
        </w:rPr>
        <w:t xml:space="preserve">仙居县淡竹乡人民政府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14:paraId="55715DE5">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_GB2312"/>
          <w:b/>
          <w:color w:val="auto"/>
          <w:szCs w:val="21"/>
          <w:highlight w:val="none"/>
          <w:u w:val="single"/>
        </w:rPr>
      </w:pPr>
      <w:r>
        <w:rPr>
          <w:rFonts w:hint="eastAsia" w:ascii="宋体" w:hAnsi="宋体"/>
          <w:b/>
          <w:bCs/>
          <w:color w:val="auto"/>
          <w:highlight w:val="none"/>
        </w:rPr>
        <w:t>承包人（全称）：</w:t>
      </w:r>
      <w:r>
        <w:rPr>
          <w:rFonts w:hint="eastAsia" w:ascii="仿宋_GB2312"/>
          <w:b/>
          <w:color w:val="auto"/>
          <w:szCs w:val="21"/>
          <w:highlight w:val="none"/>
          <w:u w:val="single"/>
        </w:rPr>
        <w:t xml:space="preserve">            </w:t>
      </w:r>
      <w:r>
        <w:rPr>
          <w:rFonts w:hint="eastAsia" w:ascii="仿宋_GB2312"/>
          <w:b/>
          <w:color w:val="auto"/>
          <w:szCs w:val="21"/>
          <w:highlight w:val="none"/>
          <w:u w:val="single"/>
          <w:lang w:val="en-US" w:eastAsia="zh-CN"/>
        </w:rPr>
        <w:t xml:space="preserve">          </w:t>
      </w:r>
      <w:r>
        <w:rPr>
          <w:rFonts w:hint="eastAsia" w:ascii="仿宋_GB2312"/>
          <w:b/>
          <w:color w:val="auto"/>
          <w:szCs w:val="21"/>
          <w:highlight w:val="none"/>
          <w:u w:val="single"/>
        </w:rPr>
        <w:t xml:space="preserve">          </w:t>
      </w:r>
      <w:r>
        <w:rPr>
          <w:rFonts w:hint="eastAsia" w:ascii="仿宋_GB2312"/>
          <w:b/>
          <w:color w:val="auto"/>
          <w:szCs w:val="21"/>
          <w:highlight w:val="none"/>
          <w:u w:val="single"/>
          <w:lang w:val="en-US" w:eastAsia="zh-CN"/>
        </w:rPr>
        <w:t xml:space="preserve">                                  </w:t>
      </w:r>
      <w:r>
        <w:rPr>
          <w:rFonts w:hint="eastAsia" w:ascii="仿宋_GB2312"/>
          <w:b/>
          <w:color w:val="auto"/>
          <w:szCs w:val="21"/>
          <w:highlight w:val="none"/>
          <w:u w:val="single"/>
        </w:rPr>
        <w:t xml:space="preserve"> </w:t>
      </w:r>
    </w:p>
    <w:p w14:paraId="2063BA63">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auto"/>
          <w:szCs w:val="21"/>
          <w:highlight w:val="none"/>
        </w:rPr>
      </w:pPr>
    </w:p>
    <w:p w14:paraId="5B7FC9D1">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ascii="宋体" w:hAnsi="宋体"/>
          <w:bCs/>
          <w:color w:val="auto"/>
          <w:szCs w:val="21"/>
          <w:highlight w:val="none"/>
        </w:rPr>
      </w:pPr>
      <w:r>
        <w:rPr>
          <w:rFonts w:ascii="宋体" w:hAnsi="宋体"/>
          <w:bCs/>
          <w:color w:val="auto"/>
          <w:szCs w:val="21"/>
          <w:highlight w:val="none"/>
        </w:rPr>
        <w:t>发包人和承包人根据《中华人民共和国建筑法》和《建设工程质量管理条例》，经协商一致就</w:t>
      </w:r>
      <w:r>
        <w:rPr>
          <w:rFonts w:ascii="宋体" w:hAnsi="宋体"/>
          <w:bCs/>
          <w:color w:val="auto"/>
          <w:szCs w:val="21"/>
          <w:highlight w:val="none"/>
          <w:u w:val="single"/>
        </w:rPr>
        <w:t xml:space="preserve"> </w:t>
      </w:r>
      <w:r>
        <w:rPr>
          <w:rFonts w:hint="eastAsia" w:ascii="宋体" w:hAnsi="宋体"/>
          <w:bCs/>
          <w:color w:val="auto"/>
          <w:szCs w:val="21"/>
          <w:highlight w:val="none"/>
          <w:u w:val="single"/>
          <w:lang w:eastAsia="zh-CN"/>
        </w:rPr>
        <w:t>台州市仙居县浙南山地生态系统综合治理及生物多样性保护项目（淡竹乡）</w:t>
      </w:r>
      <w:r>
        <w:rPr>
          <w:rFonts w:ascii="宋体" w:hAnsi="宋体"/>
          <w:bCs/>
          <w:color w:val="auto"/>
          <w:szCs w:val="21"/>
          <w:highlight w:val="none"/>
        </w:rPr>
        <w:t>（工程全称）签订工程质量保修书。</w:t>
      </w:r>
    </w:p>
    <w:p w14:paraId="5785C7A7">
      <w:pPr>
        <w:keepNext w:val="0"/>
        <w:keepLines w:val="0"/>
        <w:pageBreakBefore w:val="0"/>
        <w:widowControl w:val="0"/>
        <w:kinsoku/>
        <w:wordWrap/>
        <w:overflowPunct/>
        <w:topLinePunct w:val="0"/>
        <w:autoSpaceDE/>
        <w:autoSpaceDN/>
        <w:bidi w:val="0"/>
        <w:adjustRightInd w:val="0"/>
        <w:snapToGrid/>
        <w:spacing w:line="400" w:lineRule="exact"/>
        <w:ind w:firstLine="413" w:firstLineChars="196"/>
        <w:textAlignment w:val="auto"/>
        <w:rPr>
          <w:rFonts w:hint="eastAsia" w:ascii="宋体" w:hAnsi="宋体"/>
          <w:b/>
          <w:color w:val="auto"/>
          <w:highlight w:val="none"/>
        </w:rPr>
      </w:pPr>
      <w:r>
        <w:rPr>
          <w:rFonts w:hint="eastAsia" w:ascii="宋体" w:hAnsi="宋体"/>
          <w:b/>
          <w:color w:val="auto"/>
          <w:highlight w:val="none"/>
        </w:rPr>
        <w:t>一．工程质量保修范围和内容</w:t>
      </w:r>
    </w:p>
    <w:p w14:paraId="5E9677F8">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ascii="宋体" w:hAnsi="宋体"/>
          <w:bCs/>
          <w:color w:val="auto"/>
          <w:szCs w:val="21"/>
          <w:highlight w:val="none"/>
        </w:rPr>
      </w:pPr>
      <w:r>
        <w:rPr>
          <w:rFonts w:ascii="宋体" w:hAnsi="宋体"/>
          <w:bCs/>
          <w:color w:val="auto"/>
          <w:szCs w:val="21"/>
          <w:highlight w:val="none"/>
        </w:rPr>
        <w:t>承包人在质量保修期内，按照有关法律规定和合同约定，承担工程质量保修责任。</w:t>
      </w:r>
    </w:p>
    <w:p w14:paraId="2393768B">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auto"/>
          <w:szCs w:val="21"/>
          <w:highlight w:val="none"/>
        </w:rPr>
      </w:pPr>
      <w:r>
        <w:rPr>
          <w:rFonts w:ascii="宋体" w:hAnsi="宋体"/>
          <w:bCs/>
          <w:color w:val="auto"/>
          <w:szCs w:val="21"/>
          <w:highlight w:val="none"/>
        </w:rPr>
        <w:t>质量保修范围包括基础工程、</w:t>
      </w:r>
      <w:r>
        <w:rPr>
          <w:rFonts w:hint="eastAsia" w:ascii="宋体" w:hAnsi="宋体"/>
          <w:bCs/>
          <w:color w:val="auto"/>
          <w:szCs w:val="21"/>
          <w:highlight w:val="none"/>
          <w:lang w:val="en-US" w:eastAsia="zh-CN"/>
        </w:rPr>
        <w:t>市政</w:t>
      </w:r>
      <w:r>
        <w:rPr>
          <w:rFonts w:ascii="宋体" w:hAnsi="宋体"/>
          <w:bCs/>
          <w:color w:val="auto"/>
          <w:szCs w:val="21"/>
          <w:highlight w:val="none"/>
        </w:rPr>
        <w:t>工程，以及双方约定的其他项目。</w:t>
      </w:r>
    </w:p>
    <w:p w14:paraId="4D8C2EDC">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color w:val="auto"/>
          <w:szCs w:val="21"/>
          <w:highlight w:val="none"/>
          <w:u w:val="single"/>
        </w:rPr>
      </w:pPr>
      <w:r>
        <w:rPr>
          <w:rFonts w:ascii="宋体" w:hAnsi="宋体"/>
          <w:bCs/>
          <w:color w:val="auto"/>
          <w:szCs w:val="21"/>
          <w:highlight w:val="none"/>
        </w:rPr>
        <w:t>具体保修的内容，双方约定如下</w:t>
      </w:r>
      <w:r>
        <w:rPr>
          <w:rFonts w:hint="eastAsia" w:ascii="宋体" w:hAnsi="宋体"/>
          <w:bCs/>
          <w:color w:val="auto"/>
          <w:highlight w:val="none"/>
        </w:rPr>
        <w:t>：</w:t>
      </w:r>
      <w:r>
        <w:rPr>
          <w:rFonts w:hint="eastAsia" w:ascii="宋体" w:hAnsi="宋体" w:eastAsia="宋体" w:cs="宋体"/>
          <w:color w:val="auto"/>
          <w:sz w:val="21"/>
          <w:szCs w:val="21"/>
          <w:highlight w:val="none"/>
          <w:u w:val="single"/>
        </w:rPr>
        <w:t>本工程合同范围内的所有工程</w:t>
      </w:r>
      <w:r>
        <w:rPr>
          <w:rFonts w:hint="eastAsia" w:ascii="宋体" w:hAnsi="宋体" w:eastAsia="宋体"/>
          <w:i w:val="0"/>
          <w:iCs w:val="0"/>
          <w:color w:val="auto"/>
          <w:sz w:val="21"/>
          <w:szCs w:val="21"/>
          <w:highlight w:val="none"/>
          <w:u w:val="single"/>
        </w:rPr>
        <w:t>。</w:t>
      </w:r>
    </w:p>
    <w:p w14:paraId="3A464948">
      <w:pPr>
        <w:keepNext w:val="0"/>
        <w:keepLines w:val="0"/>
        <w:pageBreakBefore w:val="0"/>
        <w:widowControl w:val="0"/>
        <w:kinsoku/>
        <w:wordWrap/>
        <w:overflowPunct/>
        <w:topLinePunct w:val="0"/>
        <w:autoSpaceDE/>
        <w:autoSpaceDN/>
        <w:bidi w:val="0"/>
        <w:snapToGrid/>
        <w:spacing w:line="400" w:lineRule="exact"/>
        <w:ind w:firstLine="422" w:firstLineChars="200"/>
        <w:textAlignment w:val="auto"/>
        <w:rPr>
          <w:rFonts w:hint="eastAsia" w:ascii="黑体" w:hAnsi="宋体" w:eastAsia="黑体"/>
          <w:b/>
          <w:color w:val="auto"/>
          <w:szCs w:val="21"/>
          <w:highlight w:val="none"/>
        </w:rPr>
      </w:pPr>
      <w:r>
        <w:rPr>
          <w:rFonts w:hint="eastAsia" w:ascii="宋体" w:hAnsi="宋体"/>
          <w:b/>
          <w:color w:val="auto"/>
          <w:highlight w:val="none"/>
        </w:rPr>
        <w:t>二．质量保修期</w:t>
      </w:r>
    </w:p>
    <w:p w14:paraId="52E12581">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ascii="宋体" w:hAnsi="宋体"/>
          <w:bCs/>
          <w:color w:val="auto"/>
          <w:szCs w:val="21"/>
          <w:highlight w:val="none"/>
        </w:rPr>
      </w:pPr>
      <w:r>
        <w:rPr>
          <w:rFonts w:ascii="宋体" w:hAnsi="宋体"/>
          <w:bCs/>
          <w:color w:val="auto"/>
          <w:szCs w:val="21"/>
          <w:highlight w:val="none"/>
        </w:rPr>
        <w:t>根据《建设工程质量管理条例》及有关规定，工程的质量保修期如下：</w:t>
      </w:r>
    </w:p>
    <w:p w14:paraId="17C06CA9">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bCs/>
          <w:color w:val="auto"/>
          <w:highlight w:val="none"/>
        </w:rPr>
      </w:pPr>
      <w:r>
        <w:rPr>
          <w:rFonts w:hint="eastAsia" w:ascii="宋体" w:hAnsi="宋体"/>
          <w:bCs/>
          <w:color w:val="auto"/>
          <w:highlight w:val="none"/>
        </w:rPr>
        <w:t>1、地基基础工程、主体结构工程为设计文件规定的合理使用年限；</w:t>
      </w:r>
    </w:p>
    <w:p w14:paraId="1F545664">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bCs/>
          <w:color w:val="auto"/>
          <w:highlight w:val="none"/>
        </w:rPr>
      </w:pPr>
      <w:r>
        <w:rPr>
          <w:rFonts w:hint="eastAsia" w:ascii="宋体" w:hAnsi="宋体"/>
          <w:bCs/>
          <w:color w:val="auto"/>
          <w:highlight w:val="none"/>
        </w:rPr>
        <w:t>2、屋面防水工程、有防水要求的卫生间、房间和外墙面的防渗漏工程为</w:t>
      </w:r>
      <w:r>
        <w:rPr>
          <w:rFonts w:hint="eastAsia" w:ascii="宋体" w:hAnsi="宋体"/>
          <w:bCs/>
          <w:color w:val="auto"/>
          <w:highlight w:val="none"/>
          <w:u w:val="single"/>
        </w:rPr>
        <w:t xml:space="preserve">  </w:t>
      </w:r>
      <w:r>
        <w:rPr>
          <w:rFonts w:hint="eastAsia" w:ascii="宋体" w:hAnsi="宋体"/>
          <w:bCs/>
          <w:color w:val="auto"/>
          <w:highlight w:val="none"/>
          <w:u w:val="single"/>
          <w:lang w:val="en-US" w:eastAsia="zh-CN"/>
        </w:rPr>
        <w:t>5</w:t>
      </w:r>
      <w:r>
        <w:rPr>
          <w:rFonts w:hint="eastAsia" w:ascii="宋体" w:hAnsi="宋体"/>
          <w:bCs/>
          <w:color w:val="auto"/>
          <w:highlight w:val="none"/>
          <w:u w:val="single"/>
        </w:rPr>
        <w:t xml:space="preserve">  </w:t>
      </w:r>
      <w:r>
        <w:rPr>
          <w:rFonts w:hint="eastAsia" w:ascii="宋体" w:hAnsi="宋体"/>
          <w:bCs/>
          <w:color w:val="auto"/>
          <w:highlight w:val="none"/>
        </w:rPr>
        <w:t>年；</w:t>
      </w:r>
    </w:p>
    <w:p w14:paraId="395693EC">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bCs/>
          <w:color w:val="auto"/>
          <w:highlight w:val="none"/>
        </w:rPr>
      </w:pPr>
      <w:r>
        <w:rPr>
          <w:rFonts w:hint="eastAsia" w:ascii="宋体" w:hAnsi="宋体"/>
          <w:bCs/>
          <w:color w:val="auto"/>
          <w:highlight w:val="none"/>
        </w:rPr>
        <w:t>3、装修工程为</w:t>
      </w:r>
      <w:r>
        <w:rPr>
          <w:rFonts w:hint="eastAsia" w:ascii="宋体" w:hAnsi="宋体"/>
          <w:bCs/>
          <w:color w:val="auto"/>
          <w:highlight w:val="none"/>
          <w:u w:val="single"/>
        </w:rPr>
        <w:t xml:space="preserve">  </w:t>
      </w:r>
      <w:r>
        <w:rPr>
          <w:rFonts w:hint="eastAsia" w:ascii="宋体" w:hAnsi="宋体"/>
          <w:bCs/>
          <w:color w:val="auto"/>
          <w:highlight w:val="none"/>
          <w:u w:val="single"/>
          <w:lang w:val="en-US" w:eastAsia="zh-CN"/>
        </w:rPr>
        <w:t>2</w:t>
      </w:r>
      <w:r>
        <w:rPr>
          <w:rFonts w:hint="eastAsia" w:ascii="宋体" w:hAnsi="宋体"/>
          <w:bCs/>
          <w:color w:val="auto"/>
          <w:highlight w:val="none"/>
          <w:u w:val="single"/>
        </w:rPr>
        <w:t xml:space="preserve">  </w:t>
      </w:r>
      <w:r>
        <w:rPr>
          <w:rFonts w:hint="eastAsia" w:ascii="宋体" w:hAnsi="宋体"/>
          <w:bCs/>
          <w:color w:val="auto"/>
          <w:highlight w:val="none"/>
        </w:rPr>
        <w:t>年；</w:t>
      </w:r>
    </w:p>
    <w:p w14:paraId="49C4DF82">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bCs/>
          <w:color w:val="auto"/>
          <w:highlight w:val="none"/>
        </w:rPr>
      </w:pPr>
      <w:r>
        <w:rPr>
          <w:rFonts w:hint="eastAsia" w:ascii="宋体" w:hAnsi="宋体"/>
          <w:bCs/>
          <w:color w:val="auto"/>
          <w:highlight w:val="none"/>
        </w:rPr>
        <w:t>4、电气管线、给排水管道、设备安装工程为</w:t>
      </w:r>
      <w:r>
        <w:rPr>
          <w:rFonts w:hint="eastAsia" w:ascii="宋体" w:hAnsi="宋体"/>
          <w:bCs/>
          <w:color w:val="auto"/>
          <w:highlight w:val="none"/>
          <w:u w:val="single"/>
        </w:rPr>
        <w:t xml:space="preserve">  </w:t>
      </w:r>
      <w:r>
        <w:rPr>
          <w:rFonts w:hint="eastAsia" w:ascii="宋体" w:hAnsi="宋体"/>
          <w:bCs/>
          <w:color w:val="auto"/>
          <w:highlight w:val="none"/>
          <w:u w:val="single"/>
          <w:lang w:val="en-US" w:eastAsia="zh-CN"/>
        </w:rPr>
        <w:t>2</w:t>
      </w:r>
      <w:r>
        <w:rPr>
          <w:rFonts w:hint="eastAsia" w:ascii="宋体" w:hAnsi="宋体"/>
          <w:bCs/>
          <w:color w:val="auto"/>
          <w:highlight w:val="none"/>
          <w:u w:val="single"/>
        </w:rPr>
        <w:t xml:space="preserve">  </w:t>
      </w:r>
      <w:r>
        <w:rPr>
          <w:rFonts w:hint="eastAsia" w:ascii="宋体" w:hAnsi="宋体"/>
          <w:bCs/>
          <w:color w:val="auto"/>
          <w:highlight w:val="none"/>
        </w:rPr>
        <w:t>年；</w:t>
      </w:r>
    </w:p>
    <w:p w14:paraId="154F022C">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bCs/>
          <w:color w:val="auto"/>
          <w:highlight w:val="none"/>
        </w:rPr>
      </w:pPr>
      <w:r>
        <w:rPr>
          <w:rFonts w:hint="eastAsia" w:ascii="宋体" w:hAnsi="宋体"/>
          <w:bCs/>
          <w:color w:val="auto"/>
          <w:highlight w:val="none"/>
        </w:rPr>
        <w:t>5、供热和供冷系统工程为</w:t>
      </w:r>
      <w:r>
        <w:rPr>
          <w:rFonts w:hint="eastAsia" w:ascii="宋体" w:hAnsi="宋体"/>
          <w:bCs/>
          <w:color w:val="auto"/>
          <w:highlight w:val="none"/>
          <w:u w:val="single"/>
        </w:rPr>
        <w:t xml:space="preserve">  </w:t>
      </w:r>
      <w:r>
        <w:rPr>
          <w:rFonts w:hint="eastAsia" w:ascii="宋体" w:hAnsi="宋体"/>
          <w:bCs/>
          <w:color w:val="auto"/>
          <w:highlight w:val="none"/>
          <w:u w:val="single"/>
          <w:lang w:val="en-US" w:eastAsia="zh-CN"/>
        </w:rPr>
        <w:t>2</w:t>
      </w:r>
      <w:r>
        <w:rPr>
          <w:rFonts w:hint="eastAsia" w:ascii="宋体" w:hAnsi="宋体"/>
          <w:bCs/>
          <w:color w:val="auto"/>
          <w:highlight w:val="none"/>
          <w:u w:val="single"/>
        </w:rPr>
        <w:t xml:space="preserve"> </w:t>
      </w:r>
      <w:r>
        <w:rPr>
          <w:rFonts w:hint="eastAsia" w:ascii="宋体" w:hAnsi="宋体"/>
          <w:bCs/>
          <w:color w:val="auto"/>
          <w:highlight w:val="none"/>
        </w:rPr>
        <w:t>个采暖期、供冷期；</w:t>
      </w:r>
    </w:p>
    <w:p w14:paraId="4A5429B6">
      <w:pPr>
        <w:keepNext w:val="0"/>
        <w:keepLines w:val="0"/>
        <w:pageBreakBefore w:val="0"/>
        <w:widowControl w:val="0"/>
        <w:kinsoku/>
        <w:wordWrap/>
        <w:overflowPunct/>
        <w:topLinePunct w:val="0"/>
        <w:autoSpaceDE/>
        <w:autoSpaceDN/>
        <w:bidi w:val="0"/>
        <w:adjustRightInd w:val="0"/>
        <w:snapToGrid/>
        <w:spacing w:line="400" w:lineRule="exact"/>
        <w:ind w:firstLine="462" w:firstLineChars="220"/>
        <w:textAlignment w:val="auto"/>
        <w:rPr>
          <w:rFonts w:hint="eastAsia" w:ascii="宋体" w:hAnsi="宋体"/>
          <w:bCs/>
          <w:color w:val="auto"/>
          <w:highlight w:val="none"/>
        </w:rPr>
      </w:pPr>
      <w:r>
        <w:rPr>
          <w:rFonts w:hint="eastAsia" w:ascii="宋体" w:hAnsi="宋体"/>
          <w:bCs/>
          <w:color w:val="auto"/>
          <w:highlight w:val="none"/>
        </w:rPr>
        <w:t>6、住宅小区内的给排水设施、道路等市政公用工程为</w:t>
      </w:r>
      <w:r>
        <w:rPr>
          <w:rFonts w:hint="eastAsia" w:ascii="宋体" w:hAnsi="宋体"/>
          <w:bCs/>
          <w:color w:val="auto"/>
          <w:highlight w:val="none"/>
          <w:u w:val="single"/>
        </w:rPr>
        <w:t xml:space="preserve"> </w:t>
      </w:r>
      <w:r>
        <w:rPr>
          <w:rFonts w:hint="eastAsia" w:ascii="宋体" w:hAnsi="宋体"/>
          <w:bCs/>
          <w:color w:val="auto"/>
          <w:highlight w:val="none"/>
          <w:u w:val="single"/>
          <w:lang w:val="en-US" w:eastAsia="zh-CN"/>
        </w:rPr>
        <w:t>2</w:t>
      </w:r>
      <w:r>
        <w:rPr>
          <w:rFonts w:hint="eastAsia" w:ascii="宋体" w:hAnsi="宋体"/>
          <w:bCs/>
          <w:color w:val="auto"/>
          <w:highlight w:val="none"/>
          <w:u w:val="single"/>
        </w:rPr>
        <w:t xml:space="preserve"> </w:t>
      </w:r>
      <w:r>
        <w:rPr>
          <w:rFonts w:hint="eastAsia" w:ascii="宋体" w:hAnsi="宋体"/>
          <w:bCs/>
          <w:color w:val="auto"/>
          <w:highlight w:val="none"/>
        </w:rPr>
        <w:t>年；</w:t>
      </w:r>
    </w:p>
    <w:p w14:paraId="0D710315">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eastAsia="宋体" w:cs="宋体"/>
          <w:color w:val="auto"/>
          <w:sz w:val="21"/>
          <w:szCs w:val="21"/>
          <w:highlight w:val="none"/>
          <w:u w:val="single"/>
          <w:lang w:eastAsia="zh-CN"/>
        </w:rPr>
      </w:pPr>
      <w:r>
        <w:rPr>
          <w:rFonts w:hint="eastAsia" w:ascii="宋体" w:hAnsi="宋体"/>
          <w:bCs/>
          <w:color w:val="auto"/>
          <w:highlight w:val="none"/>
        </w:rPr>
        <w:t>7、其他项目保修期约定：</w:t>
      </w:r>
      <w:r>
        <w:rPr>
          <w:rFonts w:hint="eastAsia" w:ascii="宋体" w:hAnsi="宋体"/>
          <w:bCs/>
          <w:color w:val="auto"/>
          <w:highlight w:val="none"/>
          <w:u w:val="single"/>
        </w:rPr>
        <w:t xml:space="preserve"> </w:t>
      </w:r>
      <w:r>
        <w:rPr>
          <w:rFonts w:hint="eastAsia" w:ascii="宋体" w:hAnsi="宋体" w:eastAsia="宋体" w:cs="宋体"/>
          <w:color w:val="auto"/>
          <w:sz w:val="21"/>
          <w:szCs w:val="21"/>
          <w:highlight w:val="none"/>
          <w:u w:val="single"/>
        </w:rPr>
        <w:t>本工程的质量保修期（以竣工验收合格之日起算）为</w:t>
      </w:r>
      <w:r>
        <w:rPr>
          <w:rFonts w:hint="eastAsia" w:ascii="宋体" w:hAnsi="宋体" w:cs="宋体"/>
          <w:color w:val="auto"/>
          <w:sz w:val="21"/>
          <w:szCs w:val="21"/>
          <w:highlight w:val="none"/>
          <w:u w:val="single"/>
          <w:lang w:val="en-US" w:eastAsia="zh-CN"/>
        </w:rPr>
        <w:t>壹</w:t>
      </w:r>
      <w:r>
        <w:rPr>
          <w:rFonts w:hint="eastAsia" w:ascii="宋体" w:hAnsi="宋体" w:eastAsia="宋体" w:cs="宋体"/>
          <w:color w:val="auto"/>
          <w:sz w:val="21"/>
          <w:szCs w:val="21"/>
          <w:highlight w:val="none"/>
          <w:u w:val="single"/>
        </w:rPr>
        <w:t>年</w:t>
      </w:r>
      <w:r>
        <w:rPr>
          <w:rFonts w:hint="eastAsia" w:ascii="宋体" w:hAnsi="宋体" w:eastAsia="宋体" w:cs="宋体"/>
          <w:color w:val="auto"/>
          <w:sz w:val="21"/>
          <w:szCs w:val="21"/>
          <w:highlight w:val="none"/>
          <w:u w:val="single"/>
          <w:lang w:eastAsia="zh-CN"/>
        </w:rPr>
        <w:t>。</w:t>
      </w:r>
    </w:p>
    <w:p w14:paraId="3E602208">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bCs/>
          <w:color w:val="auto"/>
          <w:highlight w:val="none"/>
        </w:rPr>
      </w:pPr>
      <w:r>
        <w:rPr>
          <w:color w:val="auto"/>
          <w:szCs w:val="21"/>
          <w:highlight w:val="none"/>
        </w:rPr>
        <w:t>质量保修期自工程竣工验收合格之日起计算。</w:t>
      </w:r>
    </w:p>
    <w:p w14:paraId="1D80B36C">
      <w:pPr>
        <w:keepNext w:val="0"/>
        <w:keepLines w:val="0"/>
        <w:pageBreakBefore w:val="0"/>
        <w:widowControl w:val="0"/>
        <w:kinsoku/>
        <w:wordWrap/>
        <w:overflowPunct/>
        <w:topLinePunct w:val="0"/>
        <w:autoSpaceDE/>
        <w:autoSpaceDN/>
        <w:bidi w:val="0"/>
        <w:snapToGrid/>
        <w:spacing w:line="400" w:lineRule="exact"/>
        <w:ind w:firstLine="413" w:firstLineChars="196"/>
        <w:textAlignment w:val="auto"/>
        <w:rPr>
          <w:rFonts w:ascii="宋体" w:hAnsi="宋体"/>
          <w:b/>
          <w:color w:val="auto"/>
          <w:highlight w:val="none"/>
        </w:rPr>
      </w:pPr>
      <w:r>
        <w:rPr>
          <w:rFonts w:hint="eastAsia" w:ascii="宋体" w:hAnsi="宋体"/>
          <w:b/>
          <w:color w:val="auto"/>
          <w:highlight w:val="none"/>
        </w:rPr>
        <w:t>三．</w:t>
      </w:r>
      <w:r>
        <w:rPr>
          <w:rFonts w:ascii="宋体" w:hAnsi="宋体"/>
          <w:b/>
          <w:color w:val="auto"/>
          <w:highlight w:val="none"/>
        </w:rPr>
        <w:t>缺陷责任期</w:t>
      </w:r>
    </w:p>
    <w:p w14:paraId="63A92E16">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rPr>
      </w:pPr>
      <w:r>
        <w:rPr>
          <w:rFonts w:ascii="宋体" w:hAnsi="宋体"/>
          <w:bCs/>
          <w:color w:val="auto"/>
          <w:highlight w:val="none"/>
        </w:rPr>
        <w:t>工程缺陷责任期为</w:t>
      </w:r>
      <w:r>
        <w:rPr>
          <w:rFonts w:ascii="宋体" w:hAnsi="宋体"/>
          <w:bCs/>
          <w:color w:val="auto"/>
          <w:highlight w:val="none"/>
          <w:u w:val="single"/>
        </w:rPr>
        <w:t xml:space="preserve"> </w:t>
      </w:r>
      <w:r>
        <w:rPr>
          <w:rFonts w:hint="eastAsia" w:ascii="宋体" w:hAnsi="宋体"/>
          <w:bCs/>
          <w:color w:val="auto"/>
          <w:highlight w:val="none"/>
          <w:u w:val="single"/>
          <w:lang w:val="en-US" w:eastAsia="zh-CN"/>
        </w:rPr>
        <w:t xml:space="preserve">12 </w:t>
      </w:r>
      <w:r>
        <w:rPr>
          <w:rFonts w:ascii="宋体" w:hAnsi="宋体"/>
          <w:bCs/>
          <w:color w:val="auto"/>
          <w:highlight w:val="none"/>
        </w:rPr>
        <w:t>个月，缺陷责任期自工程竣工验收合格之日起计算。单位工程先于全部工程进行验收，单位工程缺陷责任期自单位工程验收合格之日起算。</w:t>
      </w:r>
    </w:p>
    <w:p w14:paraId="3A92253C">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ascii="宋体" w:hAnsi="宋体"/>
          <w:b/>
          <w:color w:val="auto"/>
          <w:highlight w:val="none"/>
        </w:rPr>
      </w:pPr>
      <w:r>
        <w:rPr>
          <w:rFonts w:hint="eastAsia" w:ascii="宋体" w:hAnsi="宋体"/>
          <w:b/>
          <w:color w:val="auto"/>
          <w:highlight w:val="none"/>
        </w:rPr>
        <w:t>四．质量</w:t>
      </w:r>
      <w:r>
        <w:rPr>
          <w:rFonts w:ascii="宋体" w:hAnsi="宋体"/>
          <w:b/>
          <w:color w:val="auto"/>
          <w:highlight w:val="none"/>
        </w:rPr>
        <w:t>保修责任</w:t>
      </w:r>
    </w:p>
    <w:p w14:paraId="6ECD8FA1">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属于保修范围、内容的项目，承包人应当在接到保修通知之日起7天内派人保修。承包人不在约定期限内派人保修的，发包人可以委托他人修理。</w:t>
      </w:r>
    </w:p>
    <w:p w14:paraId="3DA30A72">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rPr>
      </w:pPr>
      <w:r>
        <w:rPr>
          <w:rFonts w:hint="eastAsia" w:ascii="宋体" w:hAnsi="宋体"/>
          <w:bCs/>
          <w:color w:val="auto"/>
          <w:highlight w:val="none"/>
        </w:rPr>
        <w:t>2．</w:t>
      </w:r>
      <w:r>
        <w:rPr>
          <w:rFonts w:ascii="宋体" w:hAnsi="宋体"/>
          <w:bCs/>
          <w:color w:val="auto"/>
          <w:highlight w:val="none"/>
        </w:rPr>
        <w:t>发生紧急事故需抢修的，承包人在接到事故通知后，应当立即到达事故现场抢修。</w:t>
      </w:r>
    </w:p>
    <w:p w14:paraId="141EF527">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rPr>
      </w:pPr>
      <w:r>
        <w:rPr>
          <w:rFonts w:hint="eastAsia" w:ascii="宋体" w:hAnsi="宋体"/>
          <w:bCs/>
          <w:color w:val="auto"/>
          <w:highlight w:val="none"/>
        </w:rPr>
        <w:t>3．</w:t>
      </w:r>
      <w:r>
        <w:rPr>
          <w:rFonts w:ascii="宋体" w:hAnsi="宋体"/>
          <w:bCs/>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2609171">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rPr>
      </w:pPr>
      <w:r>
        <w:rPr>
          <w:rFonts w:hint="eastAsia" w:ascii="宋体" w:hAnsi="宋体"/>
          <w:bCs/>
          <w:color w:val="auto"/>
          <w:highlight w:val="none"/>
        </w:rPr>
        <w:t>4．</w:t>
      </w:r>
      <w:r>
        <w:rPr>
          <w:rFonts w:ascii="宋体" w:hAnsi="宋体"/>
          <w:bCs/>
          <w:color w:val="auto"/>
          <w:highlight w:val="none"/>
        </w:rPr>
        <w:t>质量保修完成后，由发包人组织验收。</w:t>
      </w:r>
    </w:p>
    <w:p w14:paraId="754A7B95">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ascii="宋体" w:hAnsi="宋体"/>
          <w:b/>
          <w:color w:val="auto"/>
          <w:highlight w:val="none"/>
        </w:rPr>
      </w:pPr>
      <w:r>
        <w:rPr>
          <w:rFonts w:ascii="宋体" w:hAnsi="宋体"/>
          <w:b/>
          <w:color w:val="auto"/>
          <w:highlight w:val="none"/>
        </w:rPr>
        <w:t>五、保修费用</w:t>
      </w:r>
    </w:p>
    <w:p w14:paraId="78C91145">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eastAsia" w:ascii="宋体" w:hAnsi="宋体"/>
          <w:bCs/>
          <w:color w:val="auto"/>
          <w:highlight w:val="none"/>
        </w:rPr>
      </w:pPr>
      <w:r>
        <w:rPr>
          <w:rFonts w:ascii="宋体" w:hAnsi="宋体"/>
          <w:bCs/>
          <w:color w:val="auto"/>
          <w:highlight w:val="none"/>
        </w:rPr>
        <w:t>保修费用由造成质量缺陷的责任方承担。</w:t>
      </w:r>
    </w:p>
    <w:p w14:paraId="798A3658">
      <w:pPr>
        <w:keepNext w:val="0"/>
        <w:keepLines w:val="0"/>
        <w:pageBreakBefore w:val="0"/>
        <w:widowControl w:val="0"/>
        <w:numPr>
          <w:ilvl w:val="0"/>
          <w:numId w:val="13"/>
        </w:numPr>
        <w:kinsoku/>
        <w:wordWrap/>
        <w:overflowPunct/>
        <w:topLinePunct w:val="0"/>
        <w:autoSpaceDE/>
        <w:autoSpaceDN/>
        <w:bidi w:val="0"/>
        <w:adjustRightInd w:val="0"/>
        <w:snapToGrid/>
        <w:spacing w:line="400" w:lineRule="exact"/>
        <w:ind w:firstLine="422" w:firstLineChars="200"/>
        <w:textAlignment w:val="auto"/>
        <w:rPr>
          <w:rFonts w:hint="eastAsia" w:ascii="宋体" w:hAnsi="宋体"/>
          <w:b/>
          <w:color w:val="auto"/>
          <w:highlight w:val="none"/>
        </w:rPr>
      </w:pPr>
      <w:r>
        <w:rPr>
          <w:rFonts w:ascii="宋体" w:hAnsi="宋体"/>
          <w:b/>
          <w:color w:val="auto"/>
          <w:highlight w:val="none"/>
        </w:rPr>
        <w:t>双方约定的其他工程质量保修事项：</w:t>
      </w:r>
      <w:r>
        <w:rPr>
          <w:rFonts w:hint="eastAsia" w:ascii="宋体" w:hAnsi="宋体"/>
          <w:b/>
          <w:color w:val="auto"/>
          <w:highlight w:val="none"/>
        </w:rPr>
        <w:t xml:space="preserve"> </w:t>
      </w:r>
      <w:r>
        <w:rPr>
          <w:rFonts w:hint="eastAsia" w:ascii="宋体" w:hAnsi="宋体"/>
          <w:b/>
          <w:color w:val="auto"/>
          <w:highlight w:val="none"/>
          <w:u w:val="single"/>
        </w:rPr>
        <w:t xml:space="preserve">                 </w:t>
      </w:r>
    </w:p>
    <w:p w14:paraId="7046A14D">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eastAsia" w:ascii="宋体" w:hAnsi="宋体"/>
          <w:bCs/>
          <w:color w:val="auto"/>
          <w:highlight w:val="none"/>
        </w:rPr>
      </w:pPr>
      <w:r>
        <w:rPr>
          <w:rFonts w:ascii="宋体" w:hAnsi="宋体"/>
          <w:bCs/>
          <w:color w:val="auto"/>
          <w:highlight w:val="none"/>
        </w:rPr>
        <w:t>工程质量保修书由发包人、承包人在工程竣工验收前共同签署，作为施工合同附件，其有效期限至保修期满。</w:t>
      </w:r>
    </w:p>
    <w:p w14:paraId="37F2E5DD">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bCs/>
          <w:color w:val="auto"/>
          <w:highlight w:val="none"/>
        </w:rPr>
      </w:pPr>
    </w:p>
    <w:p w14:paraId="424B725E">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bCs/>
          <w:color w:val="auto"/>
          <w:highlight w:val="none"/>
        </w:rPr>
      </w:pPr>
    </w:p>
    <w:p w14:paraId="7E3A60E3">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bCs/>
          <w:color w:val="auto"/>
          <w:highlight w:val="none"/>
        </w:rPr>
      </w:pPr>
    </w:p>
    <w:p w14:paraId="37C9367A">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eastAsia" w:ascii="宋体" w:hAnsi="宋体"/>
          <w:bCs/>
          <w:color w:val="auto"/>
          <w:highlight w:val="none"/>
          <w:u w:val="single"/>
        </w:rPr>
      </w:pPr>
      <w:r>
        <w:rPr>
          <w:rFonts w:ascii="宋体" w:hAnsi="宋体"/>
          <w:bCs/>
          <w:color w:val="auto"/>
          <w:highlight w:val="none"/>
        </w:rPr>
        <w:t>发包人(公章)：</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ascii="宋体" w:hAnsi="宋体"/>
          <w:bCs/>
          <w:color w:val="auto"/>
          <w:highlight w:val="none"/>
        </w:rPr>
        <w:t xml:space="preserve"> </w:t>
      </w:r>
      <w:r>
        <w:rPr>
          <w:rFonts w:hint="eastAsia" w:ascii="宋体" w:hAnsi="宋体"/>
          <w:bCs/>
          <w:color w:val="auto"/>
          <w:highlight w:val="none"/>
        </w:rPr>
        <w:t xml:space="preserve">    </w:t>
      </w:r>
      <w:r>
        <w:rPr>
          <w:rFonts w:ascii="宋体" w:hAnsi="宋体"/>
          <w:bCs/>
          <w:color w:val="auto"/>
          <w:highlight w:val="none"/>
        </w:rPr>
        <w:t>承包人(公章)：</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p>
    <w:p w14:paraId="7A7D5B4F">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u w:val="single"/>
        </w:rPr>
      </w:pPr>
      <w:r>
        <w:rPr>
          <w:rFonts w:ascii="宋体" w:hAnsi="宋体"/>
          <w:bCs/>
          <w:color w:val="auto"/>
          <w:highlight w:val="none"/>
        </w:rPr>
        <w:t>地  址：</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hint="eastAsia" w:ascii="宋体" w:hAnsi="宋体"/>
          <w:bCs/>
          <w:color w:val="auto"/>
          <w:highlight w:val="none"/>
        </w:rPr>
        <w:t xml:space="preserve">     </w:t>
      </w:r>
      <w:r>
        <w:rPr>
          <w:rFonts w:ascii="宋体" w:hAnsi="宋体"/>
          <w:bCs/>
          <w:color w:val="auto"/>
          <w:highlight w:val="none"/>
        </w:rPr>
        <w:t>地  址：</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p>
    <w:p w14:paraId="395634AB">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u w:val="single"/>
        </w:rPr>
      </w:pPr>
      <w:r>
        <w:rPr>
          <w:rFonts w:ascii="宋体" w:hAnsi="宋体"/>
          <w:bCs/>
          <w:color w:val="auto"/>
          <w:highlight w:val="none"/>
        </w:rPr>
        <w:t>法定代表人(签字)：</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rPr>
        <w:t xml:space="preserve"> </w:t>
      </w:r>
      <w:r>
        <w:rPr>
          <w:rFonts w:hint="eastAsia" w:ascii="宋体" w:hAnsi="宋体"/>
          <w:bCs/>
          <w:color w:val="auto"/>
          <w:highlight w:val="none"/>
        </w:rPr>
        <w:t xml:space="preserve">    </w:t>
      </w:r>
      <w:r>
        <w:rPr>
          <w:rFonts w:ascii="宋体" w:hAnsi="宋体"/>
          <w:bCs/>
          <w:color w:val="auto"/>
          <w:highlight w:val="none"/>
        </w:rPr>
        <w:t>法定代表人(签字)：</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02CB6C96">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u w:val="single"/>
        </w:rPr>
      </w:pPr>
      <w:r>
        <w:rPr>
          <w:rFonts w:ascii="宋体" w:hAnsi="宋体"/>
          <w:bCs/>
          <w:color w:val="auto"/>
          <w:highlight w:val="none"/>
        </w:rPr>
        <w:t>委托代理人(签字)：</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rPr>
        <w:t xml:space="preserve"> </w:t>
      </w:r>
      <w:r>
        <w:rPr>
          <w:rFonts w:hint="eastAsia" w:ascii="宋体" w:hAnsi="宋体"/>
          <w:bCs/>
          <w:color w:val="auto"/>
          <w:highlight w:val="none"/>
        </w:rPr>
        <w:t xml:space="preserve">    </w:t>
      </w:r>
      <w:r>
        <w:rPr>
          <w:rFonts w:ascii="宋体" w:hAnsi="宋体"/>
          <w:bCs/>
          <w:color w:val="auto"/>
          <w:highlight w:val="none"/>
        </w:rPr>
        <w:t>委托代理人(签字)：</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74D81ED2">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u w:val="single"/>
        </w:rPr>
      </w:pPr>
      <w:r>
        <w:rPr>
          <w:rFonts w:ascii="宋体" w:hAnsi="宋体"/>
          <w:bCs/>
          <w:color w:val="auto"/>
          <w:highlight w:val="none"/>
        </w:rPr>
        <w:t>电  话：</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hint="eastAsia" w:ascii="宋体" w:hAnsi="宋体"/>
          <w:bCs/>
          <w:color w:val="auto"/>
          <w:highlight w:val="none"/>
        </w:rPr>
        <w:t xml:space="preserve">     </w:t>
      </w:r>
      <w:r>
        <w:rPr>
          <w:rFonts w:ascii="宋体" w:hAnsi="宋体"/>
          <w:bCs/>
          <w:color w:val="auto"/>
          <w:highlight w:val="none"/>
        </w:rPr>
        <w:t>电  话：</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7CA551A9">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u w:val="single"/>
        </w:rPr>
      </w:pPr>
      <w:r>
        <w:rPr>
          <w:rFonts w:ascii="宋体" w:hAnsi="宋体"/>
          <w:bCs/>
          <w:color w:val="auto"/>
          <w:highlight w:val="none"/>
        </w:rPr>
        <w:t>传  真：</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rPr>
        <w:t xml:space="preserve">     </w:t>
      </w:r>
      <w:r>
        <w:rPr>
          <w:rFonts w:ascii="宋体" w:hAnsi="宋体"/>
          <w:bCs/>
          <w:color w:val="auto"/>
          <w:highlight w:val="none"/>
        </w:rPr>
        <w:t>传  真：</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254DC172">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u w:val="single"/>
        </w:rPr>
      </w:pPr>
      <w:r>
        <w:rPr>
          <w:rFonts w:ascii="宋体" w:hAnsi="宋体"/>
          <w:bCs/>
          <w:color w:val="auto"/>
          <w:highlight w:val="none"/>
        </w:rPr>
        <w:t>开户银行：</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ascii="宋体" w:hAnsi="宋体"/>
          <w:bCs/>
          <w:color w:val="auto"/>
          <w:highlight w:val="none"/>
        </w:rPr>
        <w:t xml:space="preserve"> </w:t>
      </w:r>
      <w:r>
        <w:rPr>
          <w:rFonts w:hint="eastAsia" w:ascii="宋体" w:hAnsi="宋体"/>
          <w:bCs/>
          <w:color w:val="auto"/>
          <w:highlight w:val="none"/>
        </w:rPr>
        <w:t xml:space="preserve">    </w:t>
      </w:r>
      <w:r>
        <w:rPr>
          <w:rFonts w:ascii="宋体" w:hAnsi="宋体"/>
          <w:bCs/>
          <w:color w:val="auto"/>
          <w:highlight w:val="none"/>
        </w:rPr>
        <w:t>开户银行：</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053D983C">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eastAsia" w:ascii="宋体" w:hAnsi="宋体"/>
          <w:bCs/>
          <w:color w:val="auto"/>
          <w:highlight w:val="none"/>
          <w:u w:val="single"/>
        </w:rPr>
      </w:pPr>
      <w:r>
        <w:rPr>
          <w:rFonts w:ascii="宋体" w:hAnsi="宋体"/>
          <w:bCs/>
          <w:color w:val="auto"/>
          <w:highlight w:val="none"/>
        </w:rPr>
        <w:t>账  号：</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rPr>
        <w:t xml:space="preserve">     </w:t>
      </w:r>
      <w:r>
        <w:rPr>
          <w:rFonts w:ascii="宋体" w:hAnsi="宋体"/>
          <w:bCs/>
          <w:color w:val="auto"/>
          <w:highlight w:val="none"/>
        </w:rPr>
        <w:t>账</w:t>
      </w:r>
      <w:r>
        <w:rPr>
          <w:rFonts w:hint="eastAsia" w:ascii="宋体" w:hAnsi="宋体"/>
          <w:bCs/>
          <w:color w:val="auto"/>
          <w:highlight w:val="none"/>
        </w:rPr>
        <w:t xml:space="preserve"> </w:t>
      </w:r>
      <w:r>
        <w:rPr>
          <w:rFonts w:ascii="宋体" w:hAnsi="宋体"/>
          <w:bCs/>
          <w:color w:val="auto"/>
          <w:highlight w:val="none"/>
        </w:rPr>
        <w:t xml:space="preserve"> 号：</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5BB42423">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ascii="宋体" w:hAnsi="宋体"/>
          <w:bCs/>
          <w:color w:val="auto"/>
          <w:highlight w:val="none"/>
          <w:u w:val="single"/>
        </w:rPr>
      </w:pPr>
      <w:r>
        <w:rPr>
          <w:rFonts w:ascii="宋体" w:hAnsi="宋体"/>
          <w:bCs/>
          <w:color w:val="auto"/>
          <w:highlight w:val="none"/>
        </w:rPr>
        <w:t>邮政编码：</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ascii="宋体" w:hAnsi="宋体"/>
          <w:bCs/>
          <w:color w:val="auto"/>
          <w:highlight w:val="none"/>
        </w:rPr>
        <w:t xml:space="preserve"> </w:t>
      </w:r>
      <w:r>
        <w:rPr>
          <w:rFonts w:hint="eastAsia" w:ascii="宋体" w:hAnsi="宋体"/>
          <w:bCs/>
          <w:color w:val="auto"/>
          <w:highlight w:val="none"/>
        </w:rPr>
        <w:t xml:space="preserve">    </w:t>
      </w:r>
      <w:r>
        <w:rPr>
          <w:rFonts w:ascii="宋体" w:hAnsi="宋体"/>
          <w:bCs/>
          <w:color w:val="auto"/>
          <w:highlight w:val="none"/>
        </w:rPr>
        <w:t>邮政编码：</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r>
        <w:rPr>
          <w:rFonts w:ascii="宋体" w:hAnsi="宋体"/>
          <w:bCs/>
          <w:color w:val="auto"/>
          <w:highlight w:val="none"/>
          <w:u w:val="single"/>
        </w:rPr>
        <w:t xml:space="preserve">   </w:t>
      </w:r>
      <w:r>
        <w:rPr>
          <w:rFonts w:hint="eastAsia" w:ascii="宋体" w:hAnsi="宋体"/>
          <w:bCs/>
          <w:color w:val="auto"/>
          <w:highlight w:val="none"/>
          <w:u w:val="single"/>
        </w:rPr>
        <w:t xml:space="preserve">         </w:t>
      </w:r>
    </w:p>
    <w:p w14:paraId="23F9F97C">
      <w:pPr>
        <w:rPr>
          <w:rFonts w:hint="eastAsia"/>
          <w:color w:val="auto"/>
          <w:highlight w:val="none"/>
        </w:rPr>
      </w:pPr>
    </w:p>
    <w:p w14:paraId="019F1A86">
      <w:pPr>
        <w:rPr>
          <w:rFonts w:hint="eastAsia"/>
          <w:color w:val="auto"/>
          <w:highlight w:val="none"/>
        </w:rPr>
        <w:sectPr>
          <w:footerReference r:id="rId6" w:type="first"/>
          <w:footnotePr>
            <w:numRestart w:val="eachPage"/>
          </w:footnotePr>
          <w:endnotePr>
            <w:numRestart w:val="eachSect"/>
          </w:endnotePr>
          <w:pgSz w:w="11907" w:h="16840"/>
          <w:pgMar w:top="1191" w:right="1191" w:bottom="1191" w:left="1191" w:header="851" w:footer="810" w:gutter="0"/>
          <w:pgBorders w:offsetFrom="page">
            <w:top w:val="none" w:sz="0" w:space="0"/>
            <w:left w:val="none" w:sz="0" w:space="0"/>
            <w:bottom w:val="none" w:sz="0" w:space="0"/>
            <w:right w:val="none" w:sz="0" w:space="0"/>
          </w:pgBorders>
          <w:pgNumType w:fmt="numberInDash"/>
          <w:cols w:space="720" w:num="1"/>
          <w:docGrid w:linePitch="435" w:charSpace="-6554"/>
        </w:sectPr>
      </w:pPr>
    </w:p>
    <w:p w14:paraId="3029CC7F">
      <w:pPr>
        <w:adjustRightInd w:val="0"/>
        <w:snapToGrid w:val="0"/>
        <w:jc w:val="both"/>
        <w:outlineLvl w:val="0"/>
        <w:rPr>
          <w:rFonts w:hint="eastAsia" w:ascii="宋体" w:hAnsi="宋体" w:eastAsia="宋体" w:cs="宋体"/>
          <w:b/>
          <w:color w:val="auto"/>
          <w:sz w:val="28"/>
          <w:szCs w:val="28"/>
          <w:highlight w:val="none"/>
        </w:rPr>
      </w:pPr>
      <w:r>
        <w:rPr>
          <w:rFonts w:hint="eastAsia" w:ascii="宋体" w:hAnsi="宋体" w:eastAsia="宋体" w:cs="宋体"/>
          <w:b w:val="0"/>
          <w:bCs/>
          <w:color w:val="auto"/>
          <w:sz w:val="21"/>
          <w:szCs w:val="21"/>
          <w:highlight w:val="none"/>
          <w:lang w:val="en-US" w:eastAsia="zh-CN"/>
        </w:rPr>
        <w:t xml:space="preserve">附件4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安全生产合同</w:t>
      </w:r>
    </w:p>
    <w:p w14:paraId="14CE1AC4">
      <w:pPr>
        <w:pStyle w:val="38"/>
        <w:rPr>
          <w:rFonts w:hint="eastAsia"/>
        </w:rPr>
      </w:pPr>
    </w:p>
    <w:p w14:paraId="64295E8F">
      <w:pPr>
        <w:adjustRightInd w:val="0"/>
        <w:snapToGrid w:val="0"/>
        <w:spacing w:line="44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为在</w:t>
      </w:r>
      <w:r>
        <w:rPr>
          <w:rFonts w:hint="eastAsia" w:ascii="宋体" w:hAnsi="宋体" w:cs="宋体"/>
          <w:color w:val="auto"/>
          <w:sz w:val="21"/>
          <w:szCs w:val="21"/>
          <w:highlight w:val="none"/>
          <w:u w:val="single"/>
          <w:lang w:eastAsia="zh-CN"/>
        </w:rPr>
        <w:t>台州市仙居县浙南山地生态系统综合治理及生物多样性保护项目（淡竹乡）</w:t>
      </w:r>
      <w:r>
        <w:rPr>
          <w:rFonts w:hint="eastAsia" w:ascii="宋体" w:hAnsi="宋体" w:eastAsia="宋体" w:cs="宋体"/>
          <w:color w:val="auto"/>
          <w:sz w:val="21"/>
          <w:szCs w:val="21"/>
          <w:highlight w:val="none"/>
        </w:rPr>
        <w:t>施工合同的实施过程中创造安全、高效的施工环境，切实搞好本项目的安全管理工作，本项目发包人</w:t>
      </w:r>
      <w:r>
        <w:rPr>
          <w:rFonts w:hint="eastAsia" w:ascii="宋体" w:hAnsi="宋体" w:cs="宋体"/>
          <w:color w:val="auto"/>
          <w:sz w:val="21"/>
          <w:szCs w:val="21"/>
          <w:highlight w:val="none"/>
          <w:u w:val="single"/>
          <w:lang w:eastAsia="zh-CN"/>
        </w:rPr>
        <w:t xml:space="preserve">仙居县淡竹乡人民政府 </w:t>
      </w:r>
      <w:r>
        <w:rPr>
          <w:rFonts w:hint="eastAsia" w:ascii="宋体" w:hAnsi="宋体" w:eastAsia="宋体" w:cs="宋体"/>
          <w:color w:val="auto"/>
          <w:sz w:val="21"/>
          <w:szCs w:val="21"/>
          <w:highlight w:val="none"/>
        </w:rPr>
        <w:t>（以下简称“发包人”）与承包人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（以下简称“承包人”）特此签订安全生产合同：</w:t>
      </w:r>
    </w:p>
    <w:p w14:paraId="5F95171C">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 发包人职责</w:t>
      </w:r>
    </w:p>
    <w:p w14:paraId="6E482C61">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（1）严格遵守国家有关安全生产的法律法规，认真执行工程承包合同中的有关安全要求。</w:t>
      </w:r>
    </w:p>
    <w:p w14:paraId="4EB70751">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（2）按照“安全第一、预防为主”和坚持“管生产必须管安全”的原则进行安全生产管理，做到生产与安全工作同时计划、布置、检查、总结和评比。</w:t>
      </w:r>
    </w:p>
    <w:p w14:paraId="3231B369">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（3）重要的安全设施必须坚持与主体工程“三同时”的原则，即：同时设计、审批，同时施工，同时验收，投入使用。</w:t>
      </w:r>
    </w:p>
    <w:p w14:paraId="65C971F3">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（4）定期召开安全生产调度会，及时传达中央及地方有关安全生产的精神。</w:t>
      </w:r>
    </w:p>
    <w:p w14:paraId="35DC0EBC">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（5）组织对承包人施工现场安全生产检查，监督承包人及时处理发现的各种安全隐患。</w:t>
      </w:r>
    </w:p>
    <w:p w14:paraId="2CA24439">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 承包人职责</w:t>
      </w:r>
    </w:p>
    <w:p w14:paraId="73BD229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（1）严格遵守《中华人民共和国安全生产法》、《建设工程安全生产管理条例》等国家有关安全生产的法律法规和有关安全生产的规定。认真执行工程承包合同中的有关安全的要求。</w:t>
      </w:r>
    </w:p>
    <w:p w14:paraId="52820490">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C622F7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（3）建立健全安全生产责任制。从派往项目实施的</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到生产工人（包括临时雇请的民工）的安全生产管理系统必须做到纵向到底，一环不漏；各职能部门、人员的安全生产责任制做到横向到边，人人有责。</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是安全生产的第一责任人。现场设置的安全机构，应配备专职安全生产管理人员，专职负责所有员工的安全和治安保卫工作及预防事故的发生。安全机构人员有权按有关规定发布指令，并采取保护性措施防止事故发生。</w:t>
      </w:r>
    </w:p>
    <w:p w14:paraId="5F1C52B5">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（4）承包人在任何时候都应采取各种合理的预防措施，防止其员工发生任何违法、违禁、暴力或妨碍治安的行为。</w:t>
      </w:r>
    </w:p>
    <w:p w14:paraId="6380A29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特殊工种人员，需经专业培训，获得《安全操作合格证》后，方准持证上岗。施工现场如出现特种作业无证操作现象时，</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必须承担管理责任。对于易燃易爆的材料除应妥善保管之外，还应配备有足够的消防设施，所有施工人员都应熟悉消防设备的性能和使用方法；承包人不得将任何种类的爆炸物给予、易货或以其他方式转让给任何其他人，或允许、容忍上述同样行为。</w:t>
      </w:r>
    </w:p>
    <w:p w14:paraId="7178ABE9">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（6）操作人员上岗，必须按规定穿戴防护用品。施工负责人和安全检查员应随时检查劳动防护用品的穿戴情况，不按规定穿戴防护用品的人员不得上岗。</w:t>
      </w:r>
    </w:p>
    <w:p w14:paraId="1ECBAF62">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所有施工机具设备和高空作业的设备均应定期检查，并有安全员的签字记录，保证其经常处于完好状态；不合格的机具、设备和劳动保护用品严禁使用。施工中采用新技术、新工艺、新设备、新材料时，必须制定相应的安全技术设施，施工现场必须具有相关的安全标志牌。</w:t>
      </w:r>
    </w:p>
    <w:p w14:paraId="46CF8F98">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553D7B92">
      <w:pPr>
        <w:adjustRightInd w:val="0"/>
        <w:snapToGrid w:val="0"/>
        <w:spacing w:line="44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3．违约责任：</w:t>
      </w:r>
      <w:r>
        <w:rPr>
          <w:rFonts w:hint="eastAsia" w:ascii="宋体" w:hAnsi="宋体" w:eastAsia="宋体" w:cs="宋体"/>
          <w:color w:val="auto"/>
          <w:sz w:val="21"/>
          <w:szCs w:val="21"/>
          <w:highlight w:val="none"/>
        </w:rPr>
        <w:t>如因发包人或承包人违约造成安全事故，将依法追究责任。</w:t>
      </w:r>
    </w:p>
    <w:p w14:paraId="2059969B">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4．本合同由双方法定代表人或其委托的代理人签署并加盖单位章后生效，全部工程竣工验收后失效。本合同正本一式</w:t>
      </w:r>
      <w:r>
        <w:rPr>
          <w:rFonts w:hint="eastAsia" w:ascii="宋体" w:hAnsi="宋体" w:eastAsia="宋体" w:cs="宋体"/>
          <w:b/>
          <w:color w:val="auto"/>
          <w:sz w:val="21"/>
          <w:szCs w:val="21"/>
          <w:highlight w:val="none"/>
          <w:u w:val="single"/>
          <w:lang w:eastAsia="zh-CN"/>
        </w:rPr>
        <w:t>两</w:t>
      </w:r>
      <w:r>
        <w:rPr>
          <w:rFonts w:hint="eastAsia" w:ascii="宋体" w:hAnsi="宋体" w:eastAsia="宋体" w:cs="宋体"/>
          <w:b/>
          <w:color w:val="auto"/>
          <w:sz w:val="21"/>
          <w:szCs w:val="21"/>
          <w:highlight w:val="none"/>
        </w:rPr>
        <w:t>份，副本</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u w:val="single"/>
          <w:lang w:val="en-US" w:eastAsia="zh-CN"/>
        </w:rPr>
        <w:t>柒</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份，各执正本</w:t>
      </w:r>
      <w:r>
        <w:rPr>
          <w:rFonts w:hint="eastAsia" w:ascii="宋体" w:hAnsi="宋体" w:eastAsia="宋体" w:cs="宋体"/>
          <w:b/>
          <w:color w:val="auto"/>
          <w:sz w:val="21"/>
          <w:szCs w:val="21"/>
          <w:highlight w:val="none"/>
          <w:u w:val="single"/>
        </w:rPr>
        <w:t xml:space="preserve"> </w:t>
      </w:r>
      <w:r>
        <w:rPr>
          <w:rFonts w:hint="eastAsia" w:ascii="宋体" w:hAnsi="宋体" w:cs="宋体"/>
          <w:b/>
          <w:color w:val="auto"/>
          <w:sz w:val="21"/>
          <w:szCs w:val="21"/>
          <w:highlight w:val="none"/>
          <w:u w:val="single"/>
          <w:lang w:val="en-US" w:eastAsia="zh-CN"/>
        </w:rPr>
        <w:t xml:space="preserve"> 壹</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份，副本</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u w:val="single"/>
          <w:lang w:val="en-US" w:eastAsia="zh-CN"/>
        </w:rPr>
        <w:t>贰</w:t>
      </w:r>
      <w:r>
        <w:rPr>
          <w:rFonts w:hint="eastAsia" w:ascii="宋体" w:hAnsi="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w:t>
      </w:r>
      <w:r>
        <w:rPr>
          <w:rFonts w:hint="eastAsia" w:ascii="宋体" w:hAnsi="宋体" w:eastAsia="宋体" w:cs="宋体"/>
          <w:b/>
          <w:color w:val="auto"/>
          <w:sz w:val="21"/>
          <w:szCs w:val="21"/>
          <w:highlight w:val="none"/>
          <w:lang w:val="en-US" w:eastAsia="zh-CN"/>
        </w:rPr>
        <w:t>代理机构</w:t>
      </w:r>
      <w:r>
        <w:rPr>
          <w:rFonts w:hint="eastAsia" w:ascii="宋体" w:hAnsi="宋体" w:eastAsia="宋体" w:cs="宋体"/>
          <w:b/>
          <w:color w:val="auto"/>
          <w:sz w:val="21"/>
          <w:szCs w:val="21"/>
          <w:highlight w:val="none"/>
          <w:u w:val="single"/>
          <w:lang w:val="en-US" w:eastAsia="zh-CN"/>
        </w:rPr>
        <w:t xml:space="preserve"> 壹 </w:t>
      </w:r>
      <w:r>
        <w:rPr>
          <w:rFonts w:hint="eastAsia" w:ascii="宋体" w:hAnsi="宋体" w:eastAsia="宋体" w:cs="宋体"/>
          <w:b/>
          <w:color w:val="auto"/>
          <w:sz w:val="21"/>
          <w:szCs w:val="21"/>
          <w:highlight w:val="none"/>
          <w:u w:val="none"/>
          <w:lang w:val="en-US" w:eastAsia="zh-CN"/>
        </w:rPr>
        <w:t>份，淡竹乡、仙居县财政局各备案</w:t>
      </w:r>
      <w:r>
        <w:rPr>
          <w:rFonts w:hint="eastAsia" w:ascii="宋体" w:hAnsi="宋体" w:eastAsia="宋体" w:cs="宋体"/>
          <w:b/>
          <w:color w:val="auto"/>
          <w:sz w:val="21"/>
          <w:szCs w:val="21"/>
          <w:highlight w:val="none"/>
          <w:u w:val="single"/>
          <w:lang w:val="en-US" w:eastAsia="zh-CN"/>
        </w:rPr>
        <w:t xml:space="preserve"> 壹 </w:t>
      </w:r>
      <w:r>
        <w:rPr>
          <w:rFonts w:hint="eastAsia" w:ascii="宋体" w:hAnsi="宋体" w:eastAsia="宋体" w:cs="宋体"/>
          <w:b/>
          <w:color w:val="auto"/>
          <w:sz w:val="21"/>
          <w:szCs w:val="21"/>
          <w:highlight w:val="none"/>
          <w:u w:val="none"/>
          <w:lang w:val="en-US" w:eastAsia="zh-CN"/>
        </w:rPr>
        <w:t xml:space="preserve">份， </w:t>
      </w:r>
      <w:r>
        <w:rPr>
          <w:rFonts w:hint="eastAsia" w:ascii="宋体" w:hAnsi="宋体" w:eastAsia="宋体" w:cs="宋体"/>
          <w:b/>
          <w:color w:val="auto"/>
          <w:sz w:val="21"/>
          <w:szCs w:val="21"/>
          <w:highlight w:val="none"/>
        </w:rPr>
        <w:t>当正本与副本的内容不一致时，以正本为准。</w:t>
      </w:r>
    </w:p>
    <w:p w14:paraId="67315C13">
      <w:pPr>
        <w:adjustRightInd w:val="0"/>
        <w:snapToGrid w:val="0"/>
        <w:spacing w:line="240" w:lineRule="exact"/>
        <w:rPr>
          <w:rFonts w:hint="eastAsia" w:ascii="宋体" w:hAnsi="宋体" w:eastAsia="宋体" w:cs="宋体"/>
          <w:b/>
          <w:color w:val="auto"/>
          <w:sz w:val="21"/>
          <w:szCs w:val="21"/>
          <w:highlight w:val="none"/>
        </w:rPr>
      </w:pPr>
    </w:p>
    <w:p w14:paraId="67053EC1">
      <w:pPr>
        <w:adjustRightInd w:val="0"/>
        <w:snapToGrid w:val="0"/>
        <w:spacing w:line="240" w:lineRule="exact"/>
        <w:rPr>
          <w:rFonts w:hint="eastAsia" w:ascii="宋体" w:hAnsi="宋体" w:eastAsia="宋体" w:cs="宋体"/>
          <w:b/>
          <w:color w:val="auto"/>
          <w:sz w:val="21"/>
          <w:szCs w:val="21"/>
          <w:highlight w:val="none"/>
        </w:rPr>
      </w:pPr>
    </w:p>
    <w:p w14:paraId="78AD2FCD">
      <w:pPr>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甲方 ：（名称）      </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 xml:space="preserve">   </w:t>
      </w:r>
      <w:r>
        <w:rPr>
          <w:rFonts w:hint="eastAsia" w:ascii="宋体" w:hAnsi="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乙方 ：（名称）</w:t>
      </w:r>
    </w:p>
    <w:p w14:paraId="71919571">
      <w:pPr>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（公章）                     </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（公章）</w:t>
      </w:r>
    </w:p>
    <w:p w14:paraId="5C4FB504">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p>
    <w:p w14:paraId="0FD8946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 授权代理人</w:t>
      </w:r>
      <w:r>
        <w:rPr>
          <w:rFonts w:hint="eastAsia" w:ascii="宋体" w:hAnsi="宋体" w:eastAsia="宋体" w:cs="宋体"/>
          <w:color w:val="auto"/>
          <w:sz w:val="21"/>
          <w:szCs w:val="21"/>
          <w:highlight w:val="none"/>
          <w:lang w:eastAsia="zh-CN"/>
        </w:rPr>
        <w:t>（签章）</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授权代理人</w:t>
      </w:r>
      <w:r>
        <w:rPr>
          <w:rFonts w:hint="eastAsia" w:ascii="宋体" w:hAnsi="宋体" w:eastAsia="宋体" w:cs="宋体"/>
          <w:color w:val="auto"/>
          <w:sz w:val="21"/>
          <w:szCs w:val="21"/>
          <w:highlight w:val="none"/>
          <w:lang w:eastAsia="zh-CN"/>
        </w:rPr>
        <w:t>（签章）</w:t>
      </w:r>
      <w:r>
        <w:rPr>
          <w:rFonts w:hint="eastAsia" w:ascii="宋体" w:hAnsi="宋体" w:eastAsia="宋体" w:cs="宋体"/>
          <w:color w:val="auto"/>
          <w:sz w:val="21"/>
          <w:szCs w:val="21"/>
          <w:highlight w:val="none"/>
        </w:rPr>
        <w:t>：</w:t>
      </w:r>
    </w:p>
    <w:p w14:paraId="7C53BE3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单位地址：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单位地址：</w:t>
      </w:r>
    </w:p>
    <w:p w14:paraId="471C7FF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联系电话：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联系电话：</w:t>
      </w:r>
    </w:p>
    <w:p w14:paraId="262592B0">
      <w:pPr>
        <w:spacing w:line="360" w:lineRule="auto"/>
        <w:jc w:val="right"/>
        <w:rPr>
          <w:rFonts w:hint="eastAsia" w:ascii="宋体" w:hAnsi="宋体" w:eastAsia="宋体" w:cs="宋体"/>
          <w:color w:val="auto"/>
          <w:sz w:val="21"/>
          <w:szCs w:val="21"/>
          <w:highlight w:val="none"/>
        </w:rPr>
      </w:pPr>
    </w:p>
    <w:p w14:paraId="4B4D788C">
      <w:pPr>
        <w:adjustRightInd w:val="0"/>
        <w:snapToGrid w:val="0"/>
        <w:spacing w:line="360" w:lineRule="auto"/>
        <w:jc w:val="right"/>
        <w:outlineLvl w:val="0"/>
        <w:rPr>
          <w:rFonts w:hint="eastAsia"/>
          <w:color w:val="auto"/>
          <w:sz w:val="24"/>
          <w:highlight w:val="none"/>
        </w:rPr>
      </w:pP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rPr>
        <w:t>　  月  　日</w:t>
      </w:r>
    </w:p>
    <w:p w14:paraId="496BB0CC">
      <w:pPr>
        <w:autoSpaceDE w:val="0"/>
        <w:autoSpaceDN w:val="0"/>
        <w:spacing w:line="360" w:lineRule="auto"/>
        <w:ind w:right="420"/>
        <w:jc w:val="center"/>
        <w:rPr>
          <w:rFonts w:hint="eastAsia"/>
          <w:b/>
          <w:color w:val="auto"/>
          <w:sz w:val="32"/>
          <w:szCs w:val="32"/>
          <w:highlight w:val="none"/>
        </w:rPr>
      </w:pPr>
    </w:p>
    <w:p w14:paraId="7AB5A668">
      <w:pPr>
        <w:autoSpaceDE w:val="0"/>
        <w:autoSpaceDN w:val="0"/>
        <w:spacing w:line="360" w:lineRule="auto"/>
        <w:ind w:right="420"/>
        <w:jc w:val="center"/>
        <w:rPr>
          <w:rFonts w:hint="eastAsia"/>
          <w:b/>
          <w:color w:val="auto"/>
          <w:sz w:val="32"/>
          <w:szCs w:val="32"/>
          <w:highlight w:val="none"/>
        </w:rPr>
      </w:pPr>
    </w:p>
    <w:p w14:paraId="03917249">
      <w:pPr>
        <w:autoSpaceDE w:val="0"/>
        <w:autoSpaceDN w:val="0"/>
        <w:spacing w:line="360" w:lineRule="auto"/>
        <w:ind w:right="420"/>
        <w:jc w:val="center"/>
        <w:rPr>
          <w:rFonts w:hint="eastAsia"/>
          <w:b/>
          <w:color w:val="auto"/>
          <w:sz w:val="32"/>
          <w:szCs w:val="32"/>
          <w:highlight w:val="none"/>
        </w:rPr>
      </w:pPr>
    </w:p>
    <w:p w14:paraId="4CA25C30">
      <w:pPr>
        <w:autoSpaceDE w:val="0"/>
        <w:autoSpaceDN w:val="0"/>
        <w:spacing w:line="360" w:lineRule="auto"/>
        <w:ind w:right="420"/>
        <w:jc w:val="center"/>
        <w:rPr>
          <w:rFonts w:hint="eastAsia"/>
          <w:b/>
          <w:color w:val="auto"/>
          <w:sz w:val="32"/>
          <w:szCs w:val="32"/>
          <w:highlight w:val="none"/>
        </w:rPr>
      </w:pPr>
    </w:p>
    <w:p w14:paraId="2ED0EEE3">
      <w:pPr>
        <w:autoSpaceDE w:val="0"/>
        <w:autoSpaceDN w:val="0"/>
        <w:spacing w:line="360" w:lineRule="auto"/>
        <w:ind w:right="420"/>
        <w:jc w:val="center"/>
        <w:rPr>
          <w:rFonts w:hint="eastAsia"/>
          <w:b/>
          <w:color w:val="auto"/>
          <w:sz w:val="32"/>
          <w:szCs w:val="32"/>
          <w:highlight w:val="none"/>
        </w:rPr>
      </w:pPr>
    </w:p>
    <w:p w14:paraId="3446773D">
      <w:pPr>
        <w:autoSpaceDE w:val="0"/>
        <w:autoSpaceDN w:val="0"/>
        <w:spacing w:line="360" w:lineRule="auto"/>
        <w:ind w:right="420"/>
        <w:jc w:val="center"/>
        <w:rPr>
          <w:rFonts w:hint="eastAsia"/>
          <w:b/>
          <w:color w:val="auto"/>
          <w:sz w:val="32"/>
          <w:szCs w:val="32"/>
          <w:highlight w:val="none"/>
        </w:rPr>
      </w:pPr>
    </w:p>
    <w:p w14:paraId="291E01CD">
      <w:pPr>
        <w:autoSpaceDE w:val="0"/>
        <w:autoSpaceDN w:val="0"/>
        <w:spacing w:line="360" w:lineRule="auto"/>
        <w:ind w:right="420"/>
        <w:jc w:val="left"/>
        <w:rPr>
          <w:rFonts w:hint="eastAsia"/>
          <w:b w:val="0"/>
          <w:bCs/>
          <w:color w:val="auto"/>
          <w:sz w:val="21"/>
          <w:szCs w:val="21"/>
          <w:highlight w:val="none"/>
          <w:lang w:val="en-US" w:eastAsia="zh-CN"/>
        </w:rPr>
      </w:pPr>
    </w:p>
    <w:p w14:paraId="06875054">
      <w:pPr>
        <w:pStyle w:val="15"/>
        <w:rPr>
          <w:rFonts w:hint="eastAsia"/>
          <w:lang w:val="en-US" w:eastAsia="zh-CN"/>
        </w:rPr>
      </w:pPr>
    </w:p>
    <w:p w14:paraId="6A06DF9C">
      <w:pPr>
        <w:autoSpaceDE w:val="0"/>
        <w:autoSpaceDN w:val="0"/>
        <w:spacing w:line="360" w:lineRule="auto"/>
        <w:ind w:right="420"/>
        <w:jc w:val="left"/>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 xml:space="preserve">附件5      </w:t>
      </w:r>
    </w:p>
    <w:p w14:paraId="189C1C71">
      <w:pPr>
        <w:autoSpaceDE w:val="0"/>
        <w:autoSpaceDN w:val="0"/>
        <w:spacing w:line="360" w:lineRule="auto"/>
        <w:ind w:right="420"/>
        <w:jc w:val="center"/>
        <w:rPr>
          <w:rFonts w:hint="eastAsia"/>
          <w:b/>
          <w:color w:val="auto"/>
          <w:sz w:val="32"/>
          <w:szCs w:val="32"/>
          <w:highlight w:val="none"/>
        </w:rPr>
      </w:pPr>
      <w:r>
        <w:rPr>
          <w:rFonts w:hint="eastAsia"/>
          <w:b/>
          <w:color w:val="auto"/>
          <w:sz w:val="32"/>
          <w:szCs w:val="32"/>
          <w:highlight w:val="none"/>
        </w:rPr>
        <w:t>第四部分  工程建设项目廉政责任书</w:t>
      </w:r>
    </w:p>
    <w:p w14:paraId="182A6230">
      <w:pPr>
        <w:wordWrap w:val="0"/>
        <w:autoSpaceDE w:val="0"/>
        <w:autoSpaceDN w:val="0"/>
        <w:spacing w:line="324" w:lineRule="auto"/>
        <w:ind w:firstLine="482"/>
        <w:rPr>
          <w:rFonts w:hint="eastAsia" w:ascii="宋体" w:hAnsi="宋体"/>
          <w:color w:val="auto"/>
          <w:highlight w:val="none"/>
        </w:rPr>
      </w:pPr>
    </w:p>
    <w:p w14:paraId="1117D207">
      <w:pPr>
        <w:keepNext w:val="0"/>
        <w:keepLines w:val="0"/>
        <w:pageBreakBefore w:val="0"/>
        <w:widowControl w:val="0"/>
        <w:kinsoku/>
        <w:wordWrap w:val="0"/>
        <w:overflowPunct/>
        <w:topLinePunct w:val="0"/>
        <w:autoSpaceDE w:val="0"/>
        <w:autoSpaceDN w:val="0"/>
        <w:bidi w:val="0"/>
        <w:snapToGrid/>
        <w:spacing w:line="400" w:lineRule="exact"/>
        <w:ind w:firstLine="482"/>
        <w:textAlignment w:val="auto"/>
        <w:rPr>
          <w:rFonts w:hint="eastAsia" w:ascii="宋体" w:hAnsi="宋体"/>
          <w:color w:val="auto"/>
          <w:highlight w:val="none"/>
        </w:rPr>
      </w:pPr>
      <w:r>
        <w:rPr>
          <w:rFonts w:hint="eastAsia" w:ascii="宋体" w:hAnsi="宋体"/>
          <w:color w:val="auto"/>
          <w:highlight w:val="none"/>
        </w:rPr>
        <w:t>工程项目名称：</w:t>
      </w:r>
      <w:r>
        <w:rPr>
          <w:rFonts w:hint="eastAsia" w:ascii="宋体" w:hAnsi="宋体" w:eastAsia="宋体" w:cs="宋体"/>
          <w:szCs w:val="28"/>
          <w:u w:val="single"/>
          <w:lang w:eastAsia="zh-CN"/>
        </w:rPr>
        <w:t>台州市仙居县浙南山地生态系统综合治理及生物多样性保护项目（淡竹乡</w:t>
      </w:r>
      <w:r>
        <w:rPr>
          <w:rFonts w:hint="eastAsia" w:ascii="宋体" w:hAnsi="宋体" w:cs="宋体"/>
          <w:szCs w:val="28"/>
          <w:u w:val="single"/>
          <w:lang w:eastAsia="zh-CN"/>
        </w:rPr>
        <w:t>）</w:t>
      </w:r>
      <w:r>
        <w:rPr>
          <w:rFonts w:hint="eastAsia" w:ascii="宋体" w:hAnsi="宋体"/>
          <w:color w:val="auto"/>
          <w:szCs w:val="21"/>
          <w:highlight w:val="none"/>
          <w:u w:val="single"/>
        </w:rPr>
        <w:t xml:space="preserve"> </w:t>
      </w:r>
    </w:p>
    <w:p w14:paraId="7F6B40FB">
      <w:pPr>
        <w:keepNext w:val="0"/>
        <w:keepLines w:val="0"/>
        <w:pageBreakBefore w:val="0"/>
        <w:widowControl w:val="0"/>
        <w:kinsoku/>
        <w:wordWrap w:val="0"/>
        <w:overflowPunct/>
        <w:topLinePunct w:val="0"/>
        <w:autoSpaceDE w:val="0"/>
        <w:autoSpaceDN w:val="0"/>
        <w:bidi w:val="0"/>
        <w:snapToGrid/>
        <w:spacing w:line="400" w:lineRule="exact"/>
        <w:ind w:firstLine="482"/>
        <w:textAlignment w:val="auto"/>
        <w:rPr>
          <w:rFonts w:hint="eastAsia" w:ascii="宋体" w:hAnsi="宋体"/>
          <w:color w:val="auto"/>
          <w:highlight w:val="none"/>
        </w:rPr>
      </w:pPr>
      <w:r>
        <w:rPr>
          <w:rFonts w:hint="eastAsia" w:ascii="宋体" w:hAnsi="宋体"/>
          <w:color w:val="auto"/>
          <w:highlight w:val="none"/>
        </w:rPr>
        <w:t>工程项目地址：</w:t>
      </w:r>
      <w:r>
        <w:rPr>
          <w:rFonts w:hint="eastAsia" w:ascii="宋体" w:hAnsi="宋体"/>
          <w:color w:val="auto"/>
          <w:highlight w:val="none"/>
          <w:u w:val="single"/>
          <w:lang w:val="en-US" w:eastAsia="zh-CN"/>
        </w:rPr>
        <w:t>仙居县官路镇</w:t>
      </w:r>
      <w:r>
        <w:rPr>
          <w:rFonts w:hint="eastAsia" w:ascii="宋体" w:hAnsi="宋体"/>
          <w:color w:val="auto"/>
          <w:highlight w:val="none"/>
          <w:u w:val="single"/>
        </w:rPr>
        <w:t xml:space="preserve">  </w:t>
      </w:r>
    </w:p>
    <w:p w14:paraId="15EF5D04">
      <w:pPr>
        <w:keepNext w:val="0"/>
        <w:keepLines w:val="0"/>
        <w:pageBreakBefore w:val="0"/>
        <w:widowControl w:val="0"/>
        <w:kinsoku/>
        <w:wordWrap w:val="0"/>
        <w:overflowPunct/>
        <w:topLinePunct w:val="0"/>
        <w:autoSpaceDE w:val="0"/>
        <w:autoSpaceDN w:val="0"/>
        <w:bidi w:val="0"/>
        <w:snapToGrid/>
        <w:spacing w:line="400" w:lineRule="exact"/>
        <w:ind w:firstLine="482"/>
        <w:textAlignment w:val="auto"/>
        <w:rPr>
          <w:rFonts w:hint="eastAsia" w:ascii="宋体" w:hAnsi="宋体"/>
          <w:color w:val="auto"/>
          <w:highlight w:val="none"/>
        </w:rPr>
      </w:pPr>
      <w:r>
        <w:rPr>
          <w:rFonts w:hint="eastAsia" w:ascii="宋体" w:hAnsi="宋体"/>
          <w:color w:val="auto"/>
          <w:highlight w:val="none"/>
        </w:rPr>
        <w:t>建设单位（甲方）：</w:t>
      </w:r>
      <w:r>
        <w:rPr>
          <w:rFonts w:hint="eastAsia" w:ascii="宋体" w:hAnsi="宋体"/>
          <w:color w:val="auto"/>
          <w:highlight w:val="none"/>
          <w:u w:val="single"/>
          <w:lang w:eastAsia="zh-CN"/>
        </w:rPr>
        <w:t xml:space="preserve">仙居县淡竹乡人民政府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14:paraId="251EE8DC">
      <w:pPr>
        <w:keepNext w:val="0"/>
        <w:keepLines w:val="0"/>
        <w:pageBreakBefore w:val="0"/>
        <w:widowControl w:val="0"/>
        <w:kinsoku/>
        <w:wordWrap w:val="0"/>
        <w:overflowPunct/>
        <w:topLinePunct w:val="0"/>
        <w:autoSpaceDE w:val="0"/>
        <w:autoSpaceDN w:val="0"/>
        <w:bidi w:val="0"/>
        <w:snapToGrid/>
        <w:spacing w:line="400" w:lineRule="exact"/>
        <w:ind w:firstLine="482"/>
        <w:textAlignment w:val="auto"/>
        <w:rPr>
          <w:rFonts w:hint="eastAsia" w:ascii="宋体" w:hAnsi="宋体"/>
          <w:color w:val="auto"/>
          <w:highlight w:val="none"/>
          <w:u w:val="single"/>
        </w:rPr>
      </w:pPr>
      <w:r>
        <w:rPr>
          <w:rFonts w:hint="eastAsia" w:ascii="宋体" w:hAnsi="宋体"/>
          <w:color w:val="auto"/>
          <w:highlight w:val="none"/>
        </w:rPr>
        <w:t>施工单位（乙方）：</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14:paraId="7A429014">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color w:val="auto"/>
          <w:highlight w:val="none"/>
        </w:rPr>
        <w:t>　</w:t>
      </w:r>
      <w:r>
        <w:rPr>
          <w:rFonts w:hint="eastAsia" w:ascii="宋体" w:hAnsi="宋体"/>
          <w:bCs/>
          <w:color w:val="auto"/>
          <w:highlight w:val="none"/>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14:paraId="0A85A5AC">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第一条 甲乙双方的责任</w:t>
      </w:r>
    </w:p>
    <w:p w14:paraId="06E3F0E7">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（一）应严格遵守国家关于市场准入、项目招标投标、工程建设、施工安装和市场活动等有关法律、法规，相关政策，以及廉政建设的各项规定。</w:t>
      </w:r>
    </w:p>
    <w:p w14:paraId="414C6086">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（二）严格执行建设工程项目承发包合同文件，自觉按合同办事。</w:t>
      </w:r>
    </w:p>
    <w:p w14:paraId="20436B4C">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（三）业务活动必须坚持公开、公平、公正、诚信、透明的原则（除法律法规另有规定者外），不得为获取不正当的利益，损害国家、集体和对方利益，不得违反工程建设管理、施工安装的规章制度。</w:t>
      </w:r>
    </w:p>
    <w:p w14:paraId="02024F94">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（四）发现对方在业务活动中有违规、违纪、违法行为的，应及时提醒对方，情节严重的，应向其上级主管部门或纪检监察、司法等有关机关举报。</w:t>
      </w:r>
    </w:p>
    <w:p w14:paraId="257219A3">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第二条 甲方的责任</w:t>
      </w:r>
    </w:p>
    <w:p w14:paraId="3A55A51A">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甲方的领导和从事该建设工程项目的工作人员，在工程建设的事前、事中、事后应遵守以下规定：</w:t>
      </w:r>
    </w:p>
    <w:p w14:paraId="023E4ABE">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（一）不准向乙方和相关单位索要或接受回扣、礼金、有价证券、贵重物品和好处费、感谢费等。</w:t>
      </w:r>
    </w:p>
    <w:p w14:paraId="277CAEC0">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（二）不准在乙方和相关单位报销任何应由甲方或个人支付的费用。</w:t>
      </w:r>
    </w:p>
    <w:p w14:paraId="0B91D60C">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（三）不准要求、暗示和接受乙方和相关单位为个人装修住房、婚丧嫁娶、配偶子女的工作安排以及出国（境）、旅游等提供方便。</w:t>
      </w:r>
    </w:p>
    <w:p w14:paraId="333CB1BC">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（四）不准参加有可能影响公正执行公务的乙方和相关单位的宴请和健身、娱乐等活动。</w:t>
      </w:r>
    </w:p>
    <w:p w14:paraId="1FDF61DE">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14:paraId="0B16A6D9">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第三条 乙方的责任</w:t>
      </w:r>
    </w:p>
    <w:p w14:paraId="1FE41E1C">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应与甲方保持正常的业务交往，按照有关法律法规和程序开展业务工作，严格执行工程建设的有关方针、政策，尤其是有关建筑施工安装的强制性标准和规范，并遵守以下规定：</w:t>
      </w:r>
    </w:p>
    <w:p w14:paraId="0712319A">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（一）不准以任何理由向甲方、相关单位及其工作人员索要、接受或赠送礼金、有价证券、贵重物品和回扣、好处费、感谢费等。</w:t>
      </w:r>
    </w:p>
    <w:p w14:paraId="27491027">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（二）不准以任何理由为甲方和相关单位报销应由对方或个人支付的费用。</w:t>
      </w:r>
    </w:p>
    <w:p w14:paraId="06279407">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（三）不准接受或暗示为甲方、相关单位或个人装修住房、婚丧嫁娶、配偶子女的工作安排以及出国（境）、旅游等提供方便。</w:t>
      </w:r>
    </w:p>
    <w:p w14:paraId="08541C35">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（四）不准以任何理由为甲方、相关单位或个人组织有可能影响公正执行公务的宴请、健身、娱乐等活动。</w:t>
      </w:r>
    </w:p>
    <w:p w14:paraId="2AE51773">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第四条 违约责任</w:t>
      </w:r>
    </w:p>
    <w:p w14:paraId="570497AC">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一）甲方工作人员有违反本责任书第一、二条责任行为的，按照管理权限，依据有关法律法规和规定给予党纪、政纪处分或组织处理；涉嫌犯罪的，移交司法机关追究刑事责任；给乙方单位造成经济损失的，应予以赔偿。</w:t>
      </w:r>
    </w:p>
    <w:p w14:paraId="38DF47EA">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1CA5AA25">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第五条 本责任书作为工程施工合同的附件，与工程施工合同具有同等法律效力。经双方签署后立即生效。</w:t>
      </w:r>
    </w:p>
    <w:p w14:paraId="7756B308">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bCs/>
          <w:color w:val="auto"/>
          <w:highlight w:val="none"/>
        </w:rPr>
      </w:pPr>
      <w:r>
        <w:rPr>
          <w:rFonts w:hint="eastAsia" w:ascii="宋体" w:hAnsi="宋体"/>
          <w:bCs/>
          <w:color w:val="auto"/>
          <w:highlight w:val="none"/>
        </w:rPr>
        <w:t>　　第六条 本责任书的有效期为双方签署之日起至该工程项目竣工验收合格时止。</w:t>
      </w:r>
    </w:p>
    <w:p w14:paraId="358A34DE">
      <w:pPr>
        <w:keepNext w:val="0"/>
        <w:keepLines w:val="0"/>
        <w:pageBreakBefore w:val="0"/>
        <w:widowControl w:val="0"/>
        <w:kinsoku/>
        <w:overflowPunct/>
        <w:topLinePunct w:val="0"/>
        <w:bidi w:val="0"/>
        <w:adjustRightInd w:val="0"/>
        <w:snapToGrid/>
        <w:spacing w:line="400" w:lineRule="exact"/>
        <w:ind w:firstLine="210" w:firstLineChars="100"/>
        <w:textAlignment w:val="auto"/>
        <w:rPr>
          <w:rFonts w:hint="eastAsia" w:ascii="宋体" w:hAnsi="宋体"/>
          <w:color w:val="auto"/>
          <w:highlight w:val="none"/>
        </w:rPr>
      </w:pPr>
      <w:r>
        <w:rPr>
          <w:rFonts w:hint="eastAsia" w:ascii="宋体" w:hAnsi="宋体"/>
          <w:bCs/>
          <w:color w:val="auto"/>
          <w:highlight w:val="none"/>
        </w:rPr>
        <w:t>　　第七条 本责任书一式</w:t>
      </w:r>
      <w:r>
        <w:rPr>
          <w:rFonts w:hint="eastAsia" w:ascii="宋体" w:hAnsi="宋体"/>
          <w:bCs/>
          <w:color w:val="auto"/>
          <w:highlight w:val="none"/>
          <w:lang w:val="en-US" w:eastAsia="zh-CN"/>
        </w:rPr>
        <w:t>五</w:t>
      </w:r>
      <w:r>
        <w:rPr>
          <w:rFonts w:hint="eastAsia" w:ascii="宋体" w:hAnsi="宋体"/>
          <w:bCs/>
          <w:color w:val="auto"/>
          <w:highlight w:val="none"/>
        </w:rPr>
        <w:t>份，由甲乙双方各执一份，送交甲乙双方的监督单位各一份。</w:t>
      </w:r>
    </w:p>
    <w:p w14:paraId="31F7C03B">
      <w:pPr>
        <w:keepNext w:val="0"/>
        <w:keepLines w:val="0"/>
        <w:pageBreakBefore w:val="0"/>
        <w:widowControl w:val="0"/>
        <w:kinsoku/>
        <w:wordWrap w:val="0"/>
        <w:overflowPunct/>
        <w:topLinePunct w:val="0"/>
        <w:autoSpaceDE w:val="0"/>
        <w:autoSpaceDN w:val="0"/>
        <w:bidi w:val="0"/>
        <w:snapToGrid/>
        <w:spacing w:line="400" w:lineRule="exact"/>
        <w:ind w:firstLine="482"/>
        <w:textAlignment w:val="auto"/>
        <w:rPr>
          <w:rFonts w:hint="eastAsia" w:ascii="宋体" w:hAnsi="宋体"/>
          <w:color w:val="auto"/>
          <w:highlight w:val="none"/>
        </w:rPr>
      </w:pPr>
    </w:p>
    <w:p w14:paraId="33909EBE">
      <w:pPr>
        <w:keepNext w:val="0"/>
        <w:keepLines w:val="0"/>
        <w:pageBreakBefore w:val="0"/>
        <w:widowControl w:val="0"/>
        <w:kinsoku/>
        <w:wordWrap w:val="0"/>
        <w:overflowPunct/>
        <w:topLinePunct w:val="0"/>
        <w:autoSpaceDE w:val="0"/>
        <w:autoSpaceDN w:val="0"/>
        <w:bidi w:val="0"/>
        <w:snapToGrid/>
        <w:spacing w:line="400" w:lineRule="exact"/>
        <w:ind w:firstLine="482"/>
        <w:textAlignment w:val="auto"/>
        <w:rPr>
          <w:rFonts w:hint="eastAsia" w:ascii="宋体" w:hAnsi="宋体"/>
          <w:color w:val="auto"/>
          <w:highlight w:val="none"/>
        </w:rPr>
      </w:pPr>
    </w:p>
    <w:p w14:paraId="11917324">
      <w:pPr>
        <w:keepNext w:val="0"/>
        <w:keepLines w:val="0"/>
        <w:pageBreakBefore w:val="0"/>
        <w:widowControl w:val="0"/>
        <w:kinsoku/>
        <w:wordWrap w:val="0"/>
        <w:overflowPunct/>
        <w:topLinePunct w:val="0"/>
        <w:autoSpaceDE w:val="0"/>
        <w:autoSpaceDN w:val="0"/>
        <w:bidi w:val="0"/>
        <w:snapToGrid/>
        <w:spacing w:line="360" w:lineRule="auto"/>
        <w:ind w:firstLine="482"/>
        <w:textAlignment w:val="auto"/>
        <w:rPr>
          <w:rFonts w:hint="eastAsia" w:ascii="宋体" w:hAnsi="宋体"/>
          <w:color w:val="auto"/>
          <w:highlight w:val="none"/>
        </w:rPr>
      </w:pPr>
      <w:r>
        <w:rPr>
          <w:rFonts w:hint="eastAsia" w:ascii="宋体" w:hAnsi="宋体"/>
          <w:color w:val="auto"/>
          <w:highlight w:val="none"/>
        </w:rPr>
        <w:t>甲方单位：（盖章）　　　　　　　　                　　　乙方单位：（盖章）</w:t>
      </w:r>
    </w:p>
    <w:p w14:paraId="7B39015B">
      <w:pPr>
        <w:keepNext w:val="0"/>
        <w:keepLines w:val="0"/>
        <w:pageBreakBefore w:val="0"/>
        <w:widowControl w:val="0"/>
        <w:kinsoku/>
        <w:wordWrap w:val="0"/>
        <w:overflowPunct/>
        <w:topLinePunct w:val="0"/>
        <w:autoSpaceDE w:val="0"/>
        <w:autoSpaceDN w:val="0"/>
        <w:bidi w:val="0"/>
        <w:snapToGrid/>
        <w:spacing w:line="360" w:lineRule="auto"/>
        <w:ind w:firstLine="482"/>
        <w:textAlignment w:val="auto"/>
        <w:rPr>
          <w:rFonts w:hint="eastAsia" w:ascii="宋体" w:hAnsi="宋体"/>
          <w:color w:val="auto"/>
          <w:highlight w:val="none"/>
        </w:rPr>
      </w:pPr>
      <w:r>
        <w:rPr>
          <w:rFonts w:hint="eastAsia" w:ascii="宋体" w:hAnsi="宋体"/>
          <w:color w:val="auto"/>
          <w:highlight w:val="none"/>
        </w:rPr>
        <w:t>法定代表人：　　　　　　　　　               　　　　　法定代表人：</w:t>
      </w:r>
    </w:p>
    <w:p w14:paraId="709545E0">
      <w:pPr>
        <w:keepNext w:val="0"/>
        <w:keepLines w:val="0"/>
        <w:pageBreakBefore w:val="0"/>
        <w:widowControl w:val="0"/>
        <w:kinsoku/>
        <w:wordWrap w:val="0"/>
        <w:overflowPunct/>
        <w:topLinePunct w:val="0"/>
        <w:autoSpaceDE w:val="0"/>
        <w:autoSpaceDN w:val="0"/>
        <w:bidi w:val="0"/>
        <w:snapToGrid/>
        <w:spacing w:line="360" w:lineRule="auto"/>
        <w:ind w:firstLine="482"/>
        <w:textAlignment w:val="auto"/>
        <w:rPr>
          <w:rFonts w:hint="eastAsia" w:ascii="宋体" w:hAnsi="宋体"/>
          <w:color w:val="auto"/>
          <w:highlight w:val="none"/>
        </w:rPr>
      </w:pPr>
      <w:r>
        <w:rPr>
          <w:rFonts w:hint="eastAsia" w:ascii="宋体" w:hAnsi="宋体"/>
          <w:color w:val="auto"/>
          <w:highlight w:val="none"/>
        </w:rPr>
        <w:t>地址：　　　　　　　　　　　　　               　　　　地址：</w:t>
      </w:r>
    </w:p>
    <w:p w14:paraId="186DA6D5">
      <w:pPr>
        <w:keepNext w:val="0"/>
        <w:keepLines w:val="0"/>
        <w:pageBreakBefore w:val="0"/>
        <w:widowControl w:val="0"/>
        <w:kinsoku/>
        <w:wordWrap w:val="0"/>
        <w:overflowPunct/>
        <w:topLinePunct w:val="0"/>
        <w:autoSpaceDE w:val="0"/>
        <w:autoSpaceDN w:val="0"/>
        <w:bidi w:val="0"/>
        <w:snapToGrid/>
        <w:spacing w:line="360" w:lineRule="auto"/>
        <w:ind w:firstLine="482"/>
        <w:textAlignment w:val="auto"/>
        <w:rPr>
          <w:rFonts w:hint="eastAsia" w:ascii="宋体" w:hAnsi="宋体"/>
          <w:color w:val="auto"/>
          <w:highlight w:val="none"/>
        </w:rPr>
      </w:pPr>
      <w:r>
        <w:rPr>
          <w:rFonts w:hint="eastAsia" w:ascii="宋体" w:hAnsi="宋体"/>
          <w:color w:val="auto"/>
          <w:highlight w:val="none"/>
        </w:rPr>
        <w:t>电话：　　　　　　　　　　　　　　　               　　电话：</w:t>
      </w:r>
    </w:p>
    <w:p w14:paraId="24413BE2">
      <w:pPr>
        <w:keepNext w:val="0"/>
        <w:keepLines w:val="0"/>
        <w:pageBreakBefore w:val="0"/>
        <w:widowControl w:val="0"/>
        <w:kinsoku/>
        <w:wordWrap w:val="0"/>
        <w:overflowPunct/>
        <w:topLinePunct w:val="0"/>
        <w:autoSpaceDE w:val="0"/>
        <w:autoSpaceDN w:val="0"/>
        <w:bidi w:val="0"/>
        <w:snapToGrid/>
        <w:spacing w:line="360" w:lineRule="auto"/>
        <w:ind w:firstLine="482"/>
        <w:textAlignment w:val="auto"/>
        <w:rPr>
          <w:rFonts w:hint="eastAsia" w:ascii="宋体" w:hAnsi="宋体"/>
          <w:color w:val="auto"/>
          <w:highlight w:val="none"/>
        </w:rPr>
      </w:pPr>
      <w:r>
        <w:rPr>
          <w:rFonts w:hint="eastAsia" w:ascii="宋体" w:hAnsi="宋体"/>
          <w:color w:val="auto"/>
          <w:highlight w:val="none"/>
        </w:rPr>
        <w:t>年　月　日　　　　　　　　　　　　　               　　年　月　日</w:t>
      </w:r>
    </w:p>
    <w:p w14:paraId="1DAE2286">
      <w:pPr>
        <w:keepNext w:val="0"/>
        <w:keepLines w:val="0"/>
        <w:pageBreakBefore w:val="0"/>
        <w:widowControl w:val="0"/>
        <w:kinsoku/>
        <w:wordWrap w:val="0"/>
        <w:overflowPunct/>
        <w:topLinePunct w:val="0"/>
        <w:autoSpaceDE w:val="0"/>
        <w:autoSpaceDN w:val="0"/>
        <w:bidi w:val="0"/>
        <w:snapToGrid/>
        <w:spacing w:line="360" w:lineRule="auto"/>
        <w:ind w:firstLine="482"/>
        <w:textAlignment w:val="auto"/>
        <w:rPr>
          <w:rFonts w:hint="eastAsia" w:ascii="宋体" w:hAnsi="宋体"/>
          <w:color w:val="auto"/>
          <w:highlight w:val="none"/>
        </w:rPr>
      </w:pPr>
      <w:r>
        <w:rPr>
          <w:rFonts w:hint="eastAsia" w:ascii="宋体" w:hAnsi="宋体"/>
          <w:color w:val="auto"/>
          <w:highlight w:val="none"/>
        </w:rPr>
        <w:t>甲方监督单位（盖章）　　　　　　　　　               　乙方监督单位（盖章）</w:t>
      </w:r>
    </w:p>
    <w:p w14:paraId="56EBCF52">
      <w:pPr>
        <w:keepNext w:val="0"/>
        <w:keepLines w:val="0"/>
        <w:pageBreakBefore w:val="0"/>
        <w:widowControl w:val="0"/>
        <w:kinsoku/>
        <w:overflowPunct/>
        <w:topLinePunct w:val="0"/>
        <w:autoSpaceDE w:val="0"/>
        <w:autoSpaceDN w:val="0"/>
        <w:bidi w:val="0"/>
        <w:snapToGrid/>
        <w:spacing w:line="360" w:lineRule="auto"/>
        <w:ind w:firstLine="482"/>
        <w:textAlignment w:val="auto"/>
        <w:rPr>
          <w:rFonts w:hint="eastAsia" w:ascii="宋体" w:hAnsi="宋体"/>
          <w:color w:val="auto"/>
          <w:highlight w:val="none"/>
        </w:rPr>
      </w:pPr>
      <w:r>
        <w:rPr>
          <w:rFonts w:hint="eastAsia" w:ascii="宋体" w:hAnsi="宋体"/>
          <w:color w:val="auto"/>
          <w:highlight w:val="none"/>
        </w:rPr>
        <w:t>年　月　日　　　　　　　　　　　　　　               　年　月　日</w:t>
      </w:r>
    </w:p>
    <w:p w14:paraId="32153A5C">
      <w:pPr>
        <w:autoSpaceDE w:val="0"/>
        <w:autoSpaceDN w:val="0"/>
        <w:spacing w:line="360" w:lineRule="auto"/>
        <w:ind w:firstLine="482"/>
        <w:jc w:val="right"/>
        <w:rPr>
          <w:rFonts w:hint="eastAsia" w:ascii="宋体" w:hAnsi="宋体"/>
          <w:color w:val="auto"/>
          <w:highlight w:val="none"/>
        </w:rPr>
      </w:pPr>
    </w:p>
    <w:p w14:paraId="32EA64DE">
      <w:pPr>
        <w:autoSpaceDE w:val="0"/>
        <w:autoSpaceDN w:val="0"/>
        <w:spacing w:line="360" w:lineRule="exact"/>
        <w:ind w:firstLine="482"/>
        <w:jc w:val="right"/>
        <w:rPr>
          <w:rFonts w:hint="eastAsia" w:ascii="宋体" w:hAnsi="宋体"/>
          <w:color w:val="auto"/>
          <w:highlight w:val="none"/>
        </w:rPr>
      </w:pPr>
    </w:p>
    <w:p w14:paraId="1A58C358">
      <w:pPr>
        <w:autoSpaceDE w:val="0"/>
        <w:autoSpaceDN w:val="0"/>
        <w:spacing w:line="360" w:lineRule="exact"/>
        <w:ind w:firstLine="482"/>
        <w:jc w:val="right"/>
        <w:rPr>
          <w:rFonts w:hint="eastAsia" w:ascii="宋体" w:hAnsi="宋体"/>
          <w:color w:val="auto"/>
          <w:highlight w:val="none"/>
        </w:rPr>
      </w:pPr>
    </w:p>
    <w:p w14:paraId="0CA1C96C">
      <w:pPr>
        <w:autoSpaceDE w:val="0"/>
        <w:autoSpaceDN w:val="0"/>
        <w:spacing w:line="360" w:lineRule="exact"/>
        <w:ind w:firstLine="482"/>
        <w:jc w:val="right"/>
        <w:rPr>
          <w:rFonts w:hint="eastAsia" w:ascii="宋体" w:hAnsi="宋体"/>
          <w:color w:val="auto"/>
          <w:highlight w:val="none"/>
        </w:rPr>
      </w:pPr>
    </w:p>
    <w:p w14:paraId="59D56936">
      <w:pPr>
        <w:wordWrap w:val="0"/>
        <w:autoSpaceDE w:val="0"/>
        <w:autoSpaceDN w:val="0"/>
        <w:spacing w:line="360" w:lineRule="exact"/>
        <w:ind w:firstLine="482"/>
        <w:jc w:val="right"/>
        <w:rPr>
          <w:rFonts w:hint="eastAsia" w:ascii="宋体" w:hAnsi="宋体"/>
          <w:color w:val="auto"/>
          <w:highlight w:val="none"/>
        </w:rPr>
      </w:pPr>
    </w:p>
    <w:p w14:paraId="29A14543">
      <w:pPr>
        <w:autoSpaceDE w:val="0"/>
        <w:autoSpaceDN w:val="0"/>
        <w:spacing w:line="360" w:lineRule="exact"/>
        <w:ind w:firstLine="482"/>
        <w:jc w:val="right"/>
        <w:rPr>
          <w:rFonts w:hint="eastAsia" w:ascii="宋体" w:hAnsi="宋体"/>
          <w:color w:val="auto"/>
          <w:highlight w:val="none"/>
        </w:rPr>
      </w:pPr>
    </w:p>
    <w:p w14:paraId="7376CD48">
      <w:pPr>
        <w:autoSpaceDE w:val="0"/>
        <w:autoSpaceDN w:val="0"/>
        <w:spacing w:line="360" w:lineRule="exact"/>
        <w:ind w:firstLine="482"/>
        <w:jc w:val="right"/>
        <w:rPr>
          <w:rFonts w:hint="eastAsia" w:ascii="宋体" w:hAnsi="宋体"/>
          <w:color w:val="auto"/>
          <w:highlight w:val="none"/>
        </w:rPr>
      </w:pPr>
    </w:p>
    <w:p w14:paraId="331FDD4E">
      <w:pPr>
        <w:autoSpaceDE w:val="0"/>
        <w:autoSpaceDN w:val="0"/>
        <w:spacing w:line="360" w:lineRule="exact"/>
        <w:ind w:firstLine="482"/>
        <w:jc w:val="right"/>
        <w:rPr>
          <w:rFonts w:hint="eastAsia" w:ascii="宋体" w:hAnsi="宋体"/>
          <w:color w:val="auto"/>
          <w:highlight w:val="none"/>
        </w:rPr>
      </w:pPr>
    </w:p>
    <w:p w14:paraId="2E26EB2A">
      <w:pPr>
        <w:rPr>
          <w:rFonts w:hint="eastAsia"/>
        </w:rPr>
      </w:pPr>
    </w:p>
    <w:p w14:paraId="54729B1E">
      <w:pPr>
        <w:pStyle w:val="15"/>
        <w:rPr>
          <w:rFonts w:hint="eastAsia"/>
        </w:rPr>
      </w:pPr>
    </w:p>
    <w:p w14:paraId="5755520A">
      <w:pPr>
        <w:autoSpaceDE w:val="0"/>
        <w:autoSpaceDN w:val="0"/>
        <w:spacing w:line="360" w:lineRule="auto"/>
        <w:ind w:right="420"/>
        <w:jc w:val="left"/>
        <w:rPr>
          <w:b/>
          <w:color w:val="auto"/>
          <w:szCs w:val="32"/>
          <w:highlight w:val="none"/>
        </w:rPr>
      </w:pPr>
      <w:r>
        <w:rPr>
          <w:rFonts w:hint="eastAsia"/>
          <w:b w:val="0"/>
          <w:bCs/>
          <w:color w:val="auto"/>
          <w:szCs w:val="32"/>
          <w:highlight w:val="none"/>
        </w:rPr>
        <w:t>附件</w:t>
      </w:r>
      <w:r>
        <w:rPr>
          <w:rFonts w:hint="eastAsia"/>
          <w:b w:val="0"/>
          <w:bCs/>
          <w:color w:val="auto"/>
          <w:szCs w:val="32"/>
          <w:highlight w:val="none"/>
          <w:lang w:val="en-US" w:eastAsia="zh-CN"/>
        </w:rPr>
        <w:t>6</w:t>
      </w:r>
      <w:r>
        <w:rPr>
          <w:rFonts w:hint="eastAsia"/>
          <w:b w:val="0"/>
          <w:bCs/>
          <w:color w:val="auto"/>
          <w:szCs w:val="32"/>
          <w:highlight w:val="none"/>
        </w:rPr>
        <w:t>：</w:t>
      </w:r>
      <w:r>
        <w:rPr>
          <w:b/>
          <w:color w:val="auto"/>
          <w:szCs w:val="32"/>
          <w:highlight w:val="none"/>
        </w:rPr>
        <w:t xml:space="preserve">                 </w:t>
      </w:r>
    </w:p>
    <w:p w14:paraId="606F1426">
      <w:pPr>
        <w:autoSpaceDE w:val="0"/>
        <w:autoSpaceDN w:val="0"/>
        <w:spacing w:line="360" w:lineRule="auto"/>
        <w:ind w:right="420"/>
        <w:jc w:val="center"/>
        <w:rPr>
          <w:b/>
          <w:color w:val="auto"/>
          <w:sz w:val="28"/>
          <w:szCs w:val="28"/>
          <w:highlight w:val="none"/>
        </w:rPr>
      </w:pPr>
      <w:r>
        <w:rPr>
          <w:rFonts w:hint="eastAsia"/>
          <w:b/>
          <w:color w:val="auto"/>
          <w:sz w:val="28"/>
          <w:szCs w:val="28"/>
          <w:highlight w:val="none"/>
        </w:rPr>
        <w:t>建筑工程农民工工资专用账户资金托管协议</w:t>
      </w:r>
    </w:p>
    <w:p w14:paraId="0F93D1FF">
      <w:pPr>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甲方（建设单位）：</w:t>
      </w:r>
    </w:p>
    <w:p w14:paraId="4E74593C">
      <w:pPr>
        <w:spacing w:line="400" w:lineRule="exact"/>
        <w:jc w:val="left"/>
        <w:rPr>
          <w:rFonts w:hint="eastAsia" w:ascii="宋体" w:hAnsi="宋体" w:cs="宋体"/>
          <w:b/>
          <w:bCs/>
          <w:color w:val="auto"/>
          <w:szCs w:val="21"/>
          <w:highlight w:val="none"/>
        </w:rPr>
      </w:pPr>
      <w:r>
        <w:rPr>
          <w:rFonts w:hint="eastAsia" w:ascii="宋体" w:hAnsi="宋体" w:cs="宋体"/>
          <w:b/>
          <w:bCs/>
          <w:color w:val="auto"/>
          <w:szCs w:val="21"/>
          <w:highlight w:val="none"/>
        </w:rPr>
        <w:t>乙方（施工单位）：</w:t>
      </w:r>
    </w:p>
    <w:p w14:paraId="66661A93">
      <w:pPr>
        <w:spacing w:line="400" w:lineRule="exact"/>
        <w:jc w:val="left"/>
        <w:rPr>
          <w:rFonts w:hint="eastAsia" w:ascii="宋体" w:hAnsi="宋体" w:cs="宋体"/>
          <w:b/>
          <w:bCs/>
          <w:color w:val="auto"/>
          <w:szCs w:val="21"/>
          <w:highlight w:val="none"/>
        </w:rPr>
      </w:pPr>
      <w:r>
        <w:rPr>
          <w:rFonts w:hint="eastAsia" w:ascii="宋体" w:hAnsi="宋体" w:cs="宋体"/>
          <w:b/>
          <w:bCs/>
          <w:color w:val="auto"/>
          <w:szCs w:val="21"/>
          <w:highlight w:val="none"/>
        </w:rPr>
        <w:t>丙方（银行）：</w:t>
      </w:r>
    </w:p>
    <w:p w14:paraId="6922937C">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根据《浙江省企业工资支付管理办法》，为保证建筑工程农民工工资专用账户（以下简称专户）资金专款专用及农民工工资按月支付，甲、乙双方委托丙方为本项目专户资金监管人，为项目专户资金提供管理，并按照本协议约定履行相关信息披露等服务，甲、乙、丙三方经友好协商，达成以下协议，并共同遵守。</w:t>
      </w:r>
    </w:p>
    <w:p w14:paraId="72905C5B">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第一章 专户设立及管理</w:t>
      </w:r>
    </w:p>
    <w:p w14:paraId="42F5F84B">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第一条 专户的设立</w:t>
      </w:r>
    </w:p>
    <w:p w14:paraId="674E63CA">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乙方须在丙方处设立××建筑公司××项目农民工工资   专户，用于××项目工程农民工工资的发放，不得擅自动用专户资金。</w:t>
      </w:r>
    </w:p>
    <w:p w14:paraId="5C9CFB9B">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第二条 专户的管理</w:t>
      </w:r>
    </w:p>
    <w:p w14:paraId="5890BA9E">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工程建设期间，丙方负责对专户进行管理。丙方需根据本协议约定的条件办理资金支付。</w:t>
      </w:r>
    </w:p>
    <w:p w14:paraId="0EF589F0">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第二章 托管职责、期限</w:t>
      </w:r>
    </w:p>
    <w:p w14:paraId="2EFD23A2">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第三条 丙方作为受托银行，应履行以下职责：</w:t>
      </w:r>
    </w:p>
    <w:p w14:paraId="4B0F860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（一）设立专户，保管托管资金，确保资金安全。</w:t>
      </w:r>
    </w:p>
    <w:p w14:paraId="5EE33D36">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（二）专户首笔由甲方划入的工资性工程预付款（额度为工资性工程款的1%），在该工程主体结构封顶验收合格后抵扣一半，剩余部分在工程竣工验收合格备案后从工程款中抵扣。</w:t>
      </w:r>
    </w:p>
    <w:p w14:paraId="086CCB46">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（三）及时向甲方、乙方披露受托资金的相关信息，每月12日前向甲、乙双方提供受托资金流向信息。</w:t>
      </w:r>
    </w:p>
    <w:p w14:paraId="5E22AFBF">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第四条 协议期限</w:t>
      </w:r>
    </w:p>
    <w:p w14:paraId="3BE1023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丙方对专户内资金履行监督职责的期限自资金划入受托监管账户之日起至收到甲方、乙方开具的并经建设主管部门同意的“关于撤销   工程农民工工资专用账户的函”为止。</w:t>
      </w:r>
    </w:p>
    <w:p w14:paraId="49E9BB09">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第三章 资金托管应提供的资料</w:t>
      </w:r>
    </w:p>
    <w:p w14:paraId="78138F8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第五条 乙方须向丙方提供《建筑业企业劳务用工劳动合同》和经监理单位、建设单位审核确定的每月农民工工资清单审核表。</w:t>
      </w:r>
    </w:p>
    <w:p w14:paraId="78997920">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第四章 托管资金收付</w:t>
      </w:r>
    </w:p>
    <w:p w14:paraId="639406E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第六条 受托资金存入</w:t>
      </w:r>
    </w:p>
    <w:p w14:paraId="1C9B4EDA">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根据施工合同约定，甲方每月将工资性工程进度款划入约定的托管账户，丙方确认资金到账后对账户资金履行管理职责。</w:t>
      </w:r>
    </w:p>
    <w:p w14:paraId="7B4988C4">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第七条 受托资金拨付</w:t>
      </w:r>
    </w:p>
    <w:p w14:paraId="6DFC28F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委托丙方代发农民工工资，代发的农民工个人银行卡申请资料由乙方提供，其真实性由乙方负责。每月月底前，乙方负责将监理单位审核并经建设单位确认后的农民工工资清单报丙方，由丙方从专户（在工资性工程进度款拨付累计额度内）直接划拨至农民工个人银行卡上。工资清单的真实性及准确性由乙方负责。</w:t>
      </w:r>
    </w:p>
    <w:p w14:paraId="09DDA0D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第八条农民工工资监管</w:t>
      </w:r>
    </w:p>
    <w:p w14:paraId="443D455E">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专户资金不得挪作他用，一旦发生乙方拖欠农民工工资的情况，经工程所在地劳动监察部门核实并出具相关证明，丙方可直接从“农民工工资专用账户”余额（工资性工程预付款）中划拨款项，用于支付所欠农民工工资。同时乙方不超过10个工作日内补足该部分工资款。</w:t>
      </w:r>
    </w:p>
    <w:p w14:paraId="3B44761A">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第五章 协议生效与终止</w:t>
      </w:r>
    </w:p>
    <w:p w14:paraId="6396335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第九条本协议经甲、乙、丙三方法定代表人或其委托人签字并加盖法人公章之日起生效。丙方收到甲方、乙方开具的并经建设主管部门同意的“关于撤销   工程农民工工资专用账户的函”为止，该协议终止。</w:t>
      </w:r>
    </w:p>
    <w:p w14:paraId="2E937DE8">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第六章 违约责任和免责条件</w:t>
      </w:r>
    </w:p>
    <w:p w14:paraId="6BFC214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第十条 在工程建设过程中，甲方未及时拨付工资性工程款，乙方提供虚假资料挪用、套用资金的，按《浙江省企业工资支付管理办法》等相关规定追究责任。</w:t>
      </w:r>
    </w:p>
    <w:p w14:paraId="6EBB5F5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第十一条 丙方未按照合同约定的支付条件办理资金支付而形成的直接损失，丙方应承担赔偿责任。专户出现被国家有权机关冻结、扣划的，丙方不承担责任。</w:t>
      </w:r>
    </w:p>
    <w:p w14:paraId="7A063B0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第十二条 如果本协议任何一方因不可抗力不能履行本协议的，可根据不可抗力的影响，部分或全部免除该方的责任。任何一方遭到不可抗力时，应及时通知其他方，并在合理期限内提供不可抗力影响的证明，采取适当措施防止其他方损失的扩大和保护资金的完整。</w:t>
      </w:r>
    </w:p>
    <w:p w14:paraId="1B0549E5">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第七章 其他</w:t>
      </w:r>
    </w:p>
    <w:p w14:paraId="2F73842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第十三条 除法律、法规规定，以及因本工程专户资金托管业务的需要和三方特别约定外，未经三方同意，协议任何一方不得向外提供涉及甲、乙、丙方商业秘密的资料。</w:t>
      </w:r>
    </w:p>
    <w:p w14:paraId="61144F62">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第十四条 协议的变更。本协议生效后，甲、乙、丙三方中任何一方需要变更协议条款时，应经三方协商一致，并签订补充协议，补充协议与本协议具有同等法律效力。</w:t>
      </w:r>
    </w:p>
    <w:p w14:paraId="7BB74B9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第十五条 本协议一式六份，甲方、乙方、丙方各执贰份，每份具有同等法律效力。</w:t>
      </w:r>
    </w:p>
    <w:p w14:paraId="34D086DF">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甲方（签章）：               法定代表人（签字）：</w:t>
      </w:r>
    </w:p>
    <w:p w14:paraId="3CAB4C60">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签订日期：   年  月  日</w:t>
      </w:r>
    </w:p>
    <w:p w14:paraId="27D65A55">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乙方（签章）：               法定代表人（签字）：</w:t>
      </w:r>
    </w:p>
    <w:p w14:paraId="4E63F7E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签字日期：   年  月  日</w:t>
      </w:r>
    </w:p>
    <w:p w14:paraId="6CBB0C7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丙方（签章）：               法定代表人（签字）：</w:t>
      </w:r>
    </w:p>
    <w:p w14:paraId="06337458">
      <w:pPr>
        <w:adjustRightInd w:val="0"/>
        <w:spacing w:line="400" w:lineRule="exact"/>
        <w:ind w:firstLine="420" w:firstLineChars="200"/>
        <w:jc w:val="right"/>
        <w:rPr>
          <w:rFonts w:hint="eastAsia" w:ascii="宋体" w:hAnsi="宋体"/>
          <w:bCs/>
          <w:color w:val="auto"/>
          <w:highlight w:val="none"/>
        </w:rPr>
      </w:pPr>
      <w:r>
        <w:rPr>
          <w:rFonts w:hint="eastAsia" w:ascii="宋体" w:hAnsi="宋体"/>
          <w:bCs/>
          <w:color w:val="auto"/>
          <w:highlight w:val="none"/>
        </w:rPr>
        <w:t>签字日期：   年  月  日</w:t>
      </w:r>
    </w:p>
    <w:p w14:paraId="510C9E9C">
      <w:pPr>
        <w:spacing w:line="400" w:lineRule="exact"/>
        <w:jc w:val="center"/>
        <w:rPr>
          <w:rFonts w:hint="eastAsia" w:ascii="宋体" w:hAnsi="宋体"/>
          <w:bCs/>
          <w:color w:val="auto"/>
          <w:highlight w:val="none"/>
        </w:rPr>
      </w:pPr>
      <w:r>
        <w:rPr>
          <w:rFonts w:hint="eastAsia" w:ascii="宋体" w:hAnsi="宋体"/>
          <w:bCs/>
          <w:color w:val="auto"/>
          <w:highlight w:val="none"/>
        </w:rPr>
        <w:t>注：在工程项目签订合同前，到我县行政区域内的商业银行设立“农民工工资支付专用账户”（以下简称“专户”），并与建设单位、开户银行签订《建筑工程农民工工资专用账户资金托管协议》。</w:t>
      </w:r>
    </w:p>
    <w:p w14:paraId="4FCAA795">
      <w:pPr>
        <w:spacing w:line="400" w:lineRule="exact"/>
        <w:jc w:val="center"/>
        <w:rPr>
          <w:rFonts w:hint="eastAsia" w:ascii="宋体" w:hAnsi="宋体"/>
          <w:bCs/>
          <w:color w:val="auto"/>
          <w:highlight w:val="none"/>
        </w:rPr>
      </w:pPr>
    </w:p>
    <w:p w14:paraId="064A6C65">
      <w:pPr>
        <w:pStyle w:val="40"/>
        <w:rPr>
          <w:rFonts w:hint="eastAsia"/>
          <w:lang w:val="en-US"/>
        </w:rPr>
      </w:pPr>
    </w:p>
    <w:p w14:paraId="6FFE8737">
      <w:pPr>
        <w:rPr>
          <w:rFonts w:ascii="宋体" w:hAnsi="宋体" w:cs="宋体"/>
          <w:sz w:val="32"/>
          <w:szCs w:val="32"/>
        </w:rPr>
      </w:pPr>
    </w:p>
    <w:p w14:paraId="696CA17A">
      <w:pPr>
        <w:pStyle w:val="3"/>
        <w:spacing w:line="380" w:lineRule="exact"/>
        <w:jc w:val="center"/>
        <w:rPr>
          <w:rFonts w:ascii="宋体" w:hAnsi="宋体" w:cs="宋体"/>
          <w:b w:val="0"/>
          <w:bCs w:val="0"/>
          <w:sz w:val="28"/>
          <w:szCs w:val="28"/>
        </w:rPr>
      </w:pPr>
      <w:bookmarkStart w:id="134" w:name="_Toc9902"/>
      <w:r>
        <w:rPr>
          <w:rFonts w:hint="eastAsia" w:ascii="宋体" w:hAnsi="宋体" w:cs="宋体"/>
          <w:sz w:val="32"/>
          <w:szCs w:val="32"/>
        </w:rPr>
        <w:t>第六章　响应文件格式</w:t>
      </w:r>
      <w:bookmarkEnd w:id="130"/>
      <w:bookmarkEnd w:id="131"/>
      <w:bookmarkEnd w:id="132"/>
      <w:bookmarkEnd w:id="133"/>
      <w:bookmarkEnd w:id="134"/>
    </w:p>
    <w:p w14:paraId="465D64AB">
      <w:pPr>
        <w:spacing w:line="360" w:lineRule="auto"/>
        <w:rPr>
          <w:rFonts w:ascii="宋体" w:hAnsi="宋体" w:cs="宋体"/>
          <w:b/>
          <w:bCs/>
          <w:sz w:val="28"/>
          <w:szCs w:val="28"/>
        </w:rPr>
      </w:pPr>
      <w:r>
        <w:rPr>
          <w:rFonts w:hint="eastAsia" w:ascii="宋体" w:hAnsi="宋体" w:cs="宋体"/>
          <w:b/>
          <w:bCs/>
          <w:sz w:val="28"/>
          <w:szCs w:val="28"/>
        </w:rPr>
        <w:t>响应文件封面样式</w:t>
      </w:r>
    </w:p>
    <w:p w14:paraId="4F5B76E8">
      <w:pPr>
        <w:pStyle w:val="17"/>
        <w:spacing w:line="480" w:lineRule="auto"/>
        <w:ind w:left="0" w:leftChars="0" w:right="280"/>
        <w:jc w:val="right"/>
        <w:rPr>
          <w:rFonts w:ascii="宋体" w:hAnsi="宋体" w:cs="宋体"/>
          <w:b/>
          <w:sz w:val="28"/>
        </w:rPr>
      </w:pPr>
    </w:p>
    <w:p w14:paraId="1CE76DEC">
      <w:pPr>
        <w:rPr>
          <w:rFonts w:ascii="宋体" w:hAnsi="宋体" w:cs="宋体"/>
          <w:b/>
          <w:sz w:val="28"/>
        </w:rPr>
      </w:pPr>
    </w:p>
    <w:p w14:paraId="4D6216DA">
      <w:pPr>
        <w:spacing w:line="360" w:lineRule="auto"/>
        <w:jc w:val="center"/>
        <w:rPr>
          <w:rFonts w:ascii="宋体" w:hAnsi="宋体" w:cs="宋体"/>
          <w:sz w:val="84"/>
        </w:rPr>
      </w:pPr>
      <w:r>
        <w:rPr>
          <w:rFonts w:hint="eastAsia" w:ascii="宋体" w:hAnsi="宋体" w:cs="宋体"/>
          <w:sz w:val="84"/>
        </w:rPr>
        <w:t>响 应 文 件</w:t>
      </w:r>
    </w:p>
    <w:p w14:paraId="10A35EB2">
      <w:pPr>
        <w:pStyle w:val="17"/>
        <w:ind w:left="0" w:leftChars="0" w:right="280"/>
        <w:jc w:val="center"/>
        <w:rPr>
          <w:rFonts w:ascii="宋体" w:hAnsi="宋体" w:cs="宋体"/>
          <w:b/>
          <w:sz w:val="32"/>
          <w:szCs w:val="32"/>
        </w:rPr>
      </w:pPr>
      <w:r>
        <w:rPr>
          <w:rFonts w:hint="eastAsia" w:ascii="宋体" w:hAnsi="宋体" w:cs="宋体"/>
          <w:b/>
          <w:sz w:val="32"/>
          <w:szCs w:val="32"/>
          <w:lang w:val="zh-CN"/>
        </w:rPr>
        <w:t>“</w:t>
      </w:r>
      <w:r>
        <w:rPr>
          <w:rFonts w:hint="eastAsia" w:ascii="宋体" w:hAnsi="宋体" w:cs="宋体"/>
          <w:b/>
          <w:sz w:val="32"/>
          <w:szCs w:val="32"/>
        </w:rPr>
        <w:t>资格证明文件”或</w:t>
      </w:r>
      <w:r>
        <w:rPr>
          <w:rFonts w:hint="eastAsia" w:ascii="宋体" w:hAnsi="宋体" w:cs="宋体"/>
          <w:b/>
          <w:sz w:val="32"/>
          <w:szCs w:val="32"/>
          <w:lang w:val="zh-CN"/>
        </w:rPr>
        <w:t>“</w:t>
      </w:r>
      <w:r>
        <w:rPr>
          <w:rFonts w:hint="eastAsia" w:ascii="宋体" w:hAnsi="宋体" w:cs="宋体"/>
          <w:b/>
          <w:sz w:val="32"/>
          <w:szCs w:val="32"/>
        </w:rPr>
        <w:t>商务与技术文件”或“报价文件”</w:t>
      </w:r>
    </w:p>
    <w:p w14:paraId="7CF77E42">
      <w:pPr>
        <w:pStyle w:val="17"/>
        <w:ind w:left="0" w:leftChars="0" w:right="280"/>
        <w:jc w:val="center"/>
        <w:rPr>
          <w:rFonts w:ascii="宋体" w:hAnsi="宋体" w:cs="宋体"/>
          <w:b/>
          <w:sz w:val="32"/>
          <w:szCs w:val="32"/>
        </w:rPr>
      </w:pPr>
      <w:r>
        <w:rPr>
          <w:rFonts w:hint="eastAsia" w:ascii="宋体" w:hAnsi="宋体" w:cs="宋体"/>
          <w:b/>
          <w:sz w:val="32"/>
          <w:szCs w:val="32"/>
        </w:rPr>
        <w:t>（请选择）</w:t>
      </w:r>
    </w:p>
    <w:p w14:paraId="50CEAEBB">
      <w:pPr>
        <w:rPr>
          <w:rFonts w:ascii="宋体" w:hAnsi="宋体" w:cs="宋体"/>
        </w:rPr>
      </w:pPr>
    </w:p>
    <w:p w14:paraId="400D211C">
      <w:pPr>
        <w:rPr>
          <w:rFonts w:ascii="宋体" w:hAnsi="宋体" w:cs="宋体"/>
        </w:rPr>
      </w:pPr>
    </w:p>
    <w:p w14:paraId="042D0BFC">
      <w:pPr>
        <w:rPr>
          <w:rFonts w:ascii="宋体" w:hAnsi="宋体" w:cs="宋体"/>
          <w:sz w:val="28"/>
          <w:szCs w:val="28"/>
        </w:rPr>
      </w:pPr>
    </w:p>
    <w:p w14:paraId="71FA8DBF">
      <w:pPr>
        <w:pStyle w:val="10"/>
        <w:rPr>
          <w:rFonts w:ascii="宋体" w:hAnsi="宋体" w:cs="宋体"/>
          <w:sz w:val="28"/>
          <w:szCs w:val="28"/>
        </w:rPr>
      </w:pPr>
      <w:r>
        <w:rPr>
          <w:rFonts w:hint="eastAsia" w:ascii="宋体" w:hAnsi="宋体" w:cs="宋体"/>
          <w:sz w:val="28"/>
          <w:szCs w:val="28"/>
        </w:rPr>
        <w:t xml:space="preserve">                     </w:t>
      </w:r>
      <w:r>
        <w:rPr>
          <w:rFonts w:hint="eastAsia" w:ascii="宋体" w:hAnsi="宋体" w:cs="宋体"/>
          <w:b/>
          <w:bCs/>
          <w:sz w:val="28"/>
          <w:szCs w:val="28"/>
        </w:rPr>
        <w:t xml:space="preserve">标项号 </w:t>
      </w:r>
      <w:r>
        <w:rPr>
          <w:rFonts w:hint="eastAsia" w:ascii="宋体" w:hAnsi="宋体" w:cs="宋体"/>
          <w:b/>
          <w:bCs/>
          <w:sz w:val="28"/>
          <w:szCs w:val="28"/>
          <w:u w:val="single"/>
        </w:rPr>
        <w:t xml:space="preserve">   </w:t>
      </w:r>
      <w:r>
        <w:rPr>
          <w:rFonts w:hint="eastAsia" w:ascii="宋体" w:hAnsi="宋体" w:cs="宋体"/>
          <w:b/>
          <w:bCs/>
          <w:sz w:val="28"/>
          <w:szCs w:val="28"/>
        </w:rPr>
        <w:t>（如有）</w:t>
      </w:r>
    </w:p>
    <w:p w14:paraId="44968235">
      <w:pPr>
        <w:rPr>
          <w:rFonts w:ascii="宋体" w:hAnsi="宋体" w:cs="宋体"/>
        </w:rPr>
      </w:pPr>
    </w:p>
    <w:p w14:paraId="2E4F8D11">
      <w:pPr>
        <w:pStyle w:val="15"/>
        <w:spacing w:before="156" w:after="156" w:line="480" w:lineRule="auto"/>
        <w:jc w:val="center"/>
        <w:rPr>
          <w:rFonts w:hAnsi="宋体" w:cs="宋体"/>
          <w:b/>
          <w:sz w:val="28"/>
        </w:rPr>
      </w:pPr>
    </w:p>
    <w:p w14:paraId="3194EAF4">
      <w:pPr>
        <w:pStyle w:val="15"/>
        <w:spacing w:before="156" w:after="156" w:line="480" w:lineRule="auto"/>
        <w:ind w:firstLine="980" w:firstLineChars="350"/>
        <w:rPr>
          <w:rFonts w:hAnsi="宋体" w:cs="宋体"/>
          <w:b/>
          <w:bCs/>
          <w:sz w:val="28"/>
          <w:szCs w:val="28"/>
          <w:u w:val="single"/>
        </w:rPr>
      </w:pPr>
      <w:r>
        <w:rPr>
          <w:rFonts w:hint="eastAsia" w:hAnsi="宋体" w:cs="宋体"/>
          <w:bCs/>
          <w:sz w:val="28"/>
          <w:szCs w:val="28"/>
          <w:lang w:val="zh-CN"/>
        </w:rPr>
        <w:t>项目编号:</w:t>
      </w:r>
    </w:p>
    <w:p w14:paraId="074A09B2">
      <w:pPr>
        <w:pStyle w:val="15"/>
        <w:spacing w:before="156" w:after="156" w:line="480" w:lineRule="auto"/>
        <w:ind w:firstLine="980" w:firstLineChars="350"/>
        <w:rPr>
          <w:rFonts w:hAnsi="宋体" w:cs="宋体"/>
          <w:b/>
          <w:bCs/>
          <w:sz w:val="28"/>
          <w:szCs w:val="28"/>
          <w:u w:val="single"/>
        </w:rPr>
      </w:pPr>
      <w:r>
        <w:rPr>
          <w:rFonts w:hint="eastAsia" w:hAnsi="宋体" w:cs="宋体"/>
          <w:sz w:val="28"/>
          <w:szCs w:val="28"/>
        </w:rPr>
        <w:t>项目名</w:t>
      </w:r>
      <w:r>
        <w:rPr>
          <w:rFonts w:hint="eastAsia" w:hAnsi="宋体" w:cs="宋体"/>
          <w:bCs/>
          <w:sz w:val="28"/>
          <w:szCs w:val="28"/>
        </w:rPr>
        <w:t>称</w:t>
      </w:r>
      <w:r>
        <w:rPr>
          <w:rFonts w:hint="eastAsia" w:hAnsi="宋体" w:cs="宋体"/>
          <w:bCs/>
          <w:sz w:val="28"/>
          <w:szCs w:val="28"/>
          <w:lang w:val="zh-CN"/>
        </w:rPr>
        <w:t>:</w:t>
      </w:r>
    </w:p>
    <w:p w14:paraId="265B0168">
      <w:pPr>
        <w:spacing w:line="360" w:lineRule="auto"/>
        <w:ind w:firstLine="2744" w:firstLineChars="980"/>
        <w:jc w:val="left"/>
        <w:rPr>
          <w:rFonts w:ascii="宋体" w:hAnsi="宋体" w:cs="宋体"/>
          <w:sz w:val="28"/>
          <w:szCs w:val="44"/>
        </w:rPr>
      </w:pPr>
    </w:p>
    <w:p w14:paraId="059F29D7">
      <w:pPr>
        <w:pStyle w:val="10"/>
        <w:rPr>
          <w:rFonts w:ascii="宋体" w:hAnsi="宋体" w:cs="宋体"/>
          <w:sz w:val="28"/>
          <w:szCs w:val="44"/>
        </w:rPr>
      </w:pPr>
    </w:p>
    <w:p w14:paraId="3F3CBE5A">
      <w:pPr>
        <w:spacing w:line="360" w:lineRule="auto"/>
        <w:jc w:val="left"/>
        <w:rPr>
          <w:rFonts w:ascii="宋体" w:hAnsi="宋体" w:cs="宋体"/>
          <w:sz w:val="28"/>
          <w:szCs w:val="44"/>
        </w:rPr>
      </w:pPr>
    </w:p>
    <w:p w14:paraId="5F7CF5F9">
      <w:pPr>
        <w:spacing w:line="360" w:lineRule="auto"/>
        <w:ind w:firstLine="980" w:firstLineChars="350"/>
        <w:jc w:val="left"/>
        <w:rPr>
          <w:rFonts w:ascii="宋体" w:hAnsi="宋体" w:cs="宋体"/>
          <w:sz w:val="28"/>
          <w:szCs w:val="44"/>
          <w:u w:val="single"/>
        </w:rPr>
      </w:pPr>
      <w:r>
        <w:rPr>
          <w:rFonts w:hint="eastAsia" w:ascii="宋体" w:hAnsi="宋体" w:cs="宋体"/>
          <w:sz w:val="28"/>
          <w:szCs w:val="44"/>
        </w:rPr>
        <w:t>供应商名称：</w:t>
      </w:r>
      <w:r>
        <w:rPr>
          <w:rFonts w:hint="eastAsia" w:ascii="宋体" w:hAnsi="宋体" w:cs="宋体"/>
          <w:sz w:val="28"/>
          <w:szCs w:val="44"/>
          <w:u w:val="single"/>
        </w:rPr>
        <w:t xml:space="preserve">                         </w:t>
      </w:r>
      <w:r>
        <w:rPr>
          <w:rFonts w:hint="eastAsia" w:ascii="宋体" w:hAnsi="宋体" w:cs="宋体"/>
          <w:sz w:val="28"/>
          <w:szCs w:val="44"/>
        </w:rPr>
        <w:t>（盖单位章）</w:t>
      </w:r>
    </w:p>
    <w:p w14:paraId="403E75A2">
      <w:pPr>
        <w:spacing w:before="156" w:beforeLines="50" w:line="360" w:lineRule="auto"/>
        <w:ind w:firstLine="3920" w:firstLineChars="1400"/>
        <w:jc w:val="left"/>
        <w:rPr>
          <w:rFonts w:ascii="宋体" w:hAnsi="宋体" w:cs="宋体"/>
          <w:sz w:val="28"/>
        </w:rPr>
      </w:pPr>
      <w:r>
        <w:rPr>
          <w:rFonts w:hint="eastAsia" w:ascii="宋体" w:hAnsi="宋体" w:cs="宋体"/>
          <w:sz w:val="28"/>
        </w:rPr>
        <w:t>年   月   日</w:t>
      </w:r>
    </w:p>
    <w:p w14:paraId="59FEFC8E">
      <w:pPr>
        <w:spacing w:before="50" w:after="50" w:line="360" w:lineRule="auto"/>
        <w:rPr>
          <w:rFonts w:ascii="宋体" w:hAnsi="宋体" w:cs="宋体"/>
          <w:sz w:val="24"/>
        </w:rPr>
        <w:sectPr>
          <w:pgSz w:w="11906" w:h="16838"/>
          <w:pgMar w:top="1100" w:right="1077" w:bottom="1100" w:left="1077" w:header="851" w:footer="992" w:gutter="0"/>
          <w:pgNumType w:fmt="decimal"/>
          <w:cols w:space="720" w:num="1"/>
          <w:docGrid w:type="lines" w:linePitch="312" w:charSpace="0"/>
        </w:sectPr>
      </w:pPr>
    </w:p>
    <w:p w14:paraId="75FD5467">
      <w:pPr>
        <w:pStyle w:val="4"/>
        <w:spacing w:before="312" w:beforeLines="100" w:after="0"/>
        <w:jc w:val="center"/>
        <w:rPr>
          <w:rFonts w:ascii="宋体" w:hAnsi="宋体" w:eastAsia="宋体" w:cs="宋体"/>
          <w:bCs w:val="0"/>
          <w:lang w:val="zh-CN"/>
        </w:rPr>
      </w:pPr>
      <w:bookmarkStart w:id="135" w:name="_Toc14856"/>
      <w:bookmarkStart w:id="136" w:name="_Toc528578413"/>
      <w:bookmarkStart w:id="137" w:name="_Toc528927455"/>
      <w:bookmarkStart w:id="138" w:name="_Toc528927456"/>
      <w:bookmarkStart w:id="139" w:name="_Toc528578414"/>
      <w:r>
        <w:rPr>
          <w:rFonts w:hint="eastAsia" w:ascii="宋体" w:hAnsi="宋体" w:eastAsia="宋体" w:cs="宋体"/>
          <w:bCs w:val="0"/>
          <w:lang w:val="zh-CN"/>
        </w:rPr>
        <w:t>1、资格文件格式</w:t>
      </w:r>
      <w:bookmarkEnd w:id="135"/>
      <w:bookmarkEnd w:id="136"/>
      <w:bookmarkEnd w:id="137"/>
    </w:p>
    <w:p w14:paraId="22C9702C">
      <w:pPr>
        <w:spacing w:before="100" w:beforeAutospacing="1" w:line="480" w:lineRule="auto"/>
        <w:jc w:val="center"/>
        <w:rPr>
          <w:rFonts w:ascii="宋体" w:hAnsi="宋体" w:cs="宋体"/>
          <w:b/>
          <w:bCs/>
          <w:color w:val="000000"/>
          <w:sz w:val="32"/>
          <w:szCs w:val="32"/>
        </w:rPr>
      </w:pPr>
      <w:r>
        <w:rPr>
          <w:rFonts w:hint="eastAsia" w:ascii="宋体" w:hAnsi="宋体" w:cs="宋体"/>
          <w:b/>
          <w:bCs/>
          <w:color w:val="000000"/>
          <w:sz w:val="32"/>
          <w:szCs w:val="32"/>
        </w:rPr>
        <w:t>目  录</w:t>
      </w:r>
    </w:p>
    <w:p w14:paraId="6D666F6B">
      <w:pPr>
        <w:spacing w:line="360" w:lineRule="auto"/>
        <w:jc w:val="center"/>
        <w:rPr>
          <w:rFonts w:ascii="宋体" w:hAnsi="宋体" w:cs="宋体"/>
          <w:sz w:val="24"/>
        </w:rPr>
      </w:pPr>
      <w:r>
        <w:rPr>
          <w:rFonts w:hint="eastAsia" w:ascii="宋体" w:hAnsi="宋体" w:cs="宋体"/>
          <w:sz w:val="24"/>
        </w:rPr>
        <w:t>（按照“第三章 磋商须知”有关资格证明文件组成要求编排）</w:t>
      </w:r>
    </w:p>
    <w:p w14:paraId="2CDDDFD7">
      <w:pPr>
        <w:spacing w:before="100" w:beforeAutospacing="1" w:line="480" w:lineRule="auto"/>
        <w:jc w:val="center"/>
        <w:rPr>
          <w:rFonts w:ascii="宋体" w:hAnsi="宋体" w:cs="宋体"/>
          <w:b/>
          <w:bCs/>
          <w:color w:val="000000"/>
          <w:sz w:val="32"/>
          <w:szCs w:val="32"/>
        </w:rPr>
      </w:pPr>
    </w:p>
    <w:p w14:paraId="542D3459">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50A81652">
      <w:pPr>
        <w:spacing w:line="360" w:lineRule="auto"/>
        <w:rPr>
          <w:rFonts w:ascii="宋体" w:hAnsi="宋体" w:cs="宋体"/>
          <w:b/>
          <w:bCs/>
          <w:color w:val="000000"/>
          <w:sz w:val="24"/>
        </w:rPr>
      </w:pPr>
      <w:r>
        <w:rPr>
          <w:rFonts w:hint="eastAsia" w:ascii="宋体" w:hAnsi="宋体" w:cs="宋体"/>
          <w:b/>
          <w:bCs/>
          <w:color w:val="000000"/>
          <w:sz w:val="24"/>
        </w:rPr>
        <w:t>附件1：</w:t>
      </w:r>
    </w:p>
    <w:p w14:paraId="3C1C6F0E">
      <w:pPr>
        <w:spacing w:line="450" w:lineRule="atLeast"/>
        <w:jc w:val="center"/>
        <w:rPr>
          <w:rFonts w:ascii="宋体" w:hAnsi="宋体" w:cs="宋体"/>
          <w:b/>
          <w:bCs/>
          <w:color w:val="000000"/>
          <w:kern w:val="0"/>
          <w:sz w:val="32"/>
          <w:szCs w:val="32"/>
          <w:lang w:val="zh-CN"/>
        </w:rPr>
      </w:pPr>
      <w:r>
        <w:rPr>
          <w:rFonts w:hint="eastAsia" w:ascii="宋体" w:hAnsi="宋体" w:cs="宋体"/>
          <w:b/>
          <w:bCs/>
          <w:color w:val="000000"/>
          <w:kern w:val="0"/>
          <w:sz w:val="32"/>
          <w:szCs w:val="32"/>
        </w:rPr>
        <w:t>磋商</w:t>
      </w:r>
      <w:r>
        <w:rPr>
          <w:rFonts w:hint="eastAsia" w:ascii="宋体" w:hAnsi="宋体" w:cs="宋体"/>
          <w:b/>
          <w:bCs/>
          <w:color w:val="000000"/>
          <w:kern w:val="0"/>
          <w:sz w:val="32"/>
          <w:szCs w:val="32"/>
          <w:lang w:val="zh-CN"/>
        </w:rPr>
        <w:t>声明书</w:t>
      </w:r>
    </w:p>
    <w:p w14:paraId="7B28854F">
      <w:pPr>
        <w:spacing w:line="450" w:lineRule="atLeast"/>
        <w:jc w:val="left"/>
        <w:rPr>
          <w:rFonts w:ascii="宋体" w:hAnsi="宋体" w:cs="宋体"/>
          <w:color w:val="000000"/>
          <w:sz w:val="24"/>
          <w:u w:val="single"/>
        </w:rPr>
      </w:pPr>
      <w:r>
        <w:rPr>
          <w:rFonts w:hint="eastAsia" w:ascii="宋体" w:hAnsi="宋体" w:cs="宋体"/>
          <w:color w:val="000000"/>
          <w:sz w:val="24"/>
          <w:u w:val="single"/>
        </w:rPr>
        <w:t>仙居县</w:t>
      </w:r>
      <w:r>
        <w:rPr>
          <w:rFonts w:hint="eastAsia" w:ascii="宋体" w:hAnsi="宋体" w:cs="宋体"/>
          <w:color w:val="000000"/>
          <w:sz w:val="24"/>
          <w:u w:val="single"/>
          <w:lang w:eastAsia="zh-CN"/>
        </w:rPr>
        <w:t>淡竹乡</w:t>
      </w:r>
      <w:r>
        <w:rPr>
          <w:rFonts w:hint="eastAsia" w:ascii="宋体" w:hAnsi="宋体" w:cs="宋体"/>
          <w:color w:val="000000"/>
          <w:sz w:val="24"/>
          <w:u w:val="single"/>
        </w:rPr>
        <w:t>人民政府：</w:t>
      </w:r>
    </w:p>
    <w:p w14:paraId="17E2D82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______________________________(供应商全称)授权____________ (全权代表姓名)___________(职务、职称)为全权代表，参加贵方组织的</w:t>
      </w:r>
      <w:r>
        <w:rPr>
          <w:rFonts w:hint="eastAsia" w:ascii="宋体" w:hAnsi="宋体" w:cs="宋体"/>
          <w:color w:val="000000"/>
          <w:sz w:val="24"/>
          <w:u w:val="single"/>
        </w:rPr>
        <w:t xml:space="preserve"> </w:t>
      </w:r>
      <w:r>
        <w:rPr>
          <w:rFonts w:hint="eastAsia" w:ascii="宋体" w:hAnsi="宋体" w:cs="宋体"/>
          <w:color w:val="000000"/>
          <w:sz w:val="24"/>
          <w:u w:val="single"/>
          <w:lang w:eastAsia="zh-CN"/>
        </w:rPr>
        <w:t>台州市仙居县浙南山地生态系统综合治理及生物多样性保护项目（淡竹乡）</w:t>
      </w:r>
      <w:r>
        <w:rPr>
          <w:rFonts w:hint="eastAsia" w:ascii="宋体" w:hAnsi="宋体" w:cs="宋体"/>
          <w:color w:val="000000"/>
          <w:sz w:val="24"/>
          <w:u w:val="single"/>
        </w:rPr>
        <w:t>（项目编号：</w:t>
      </w:r>
      <w:r>
        <w:rPr>
          <w:rFonts w:hint="eastAsia" w:ascii="宋体" w:hAnsi="宋体" w:cs="宋体"/>
          <w:color w:val="000000"/>
          <w:sz w:val="24"/>
          <w:u w:val="single"/>
          <w:lang w:eastAsia="zh-CN"/>
        </w:rPr>
        <w:t>ZJGL（202412）002</w:t>
      </w:r>
      <w:r>
        <w:rPr>
          <w:rFonts w:hint="eastAsia" w:ascii="宋体" w:hAnsi="宋体" w:cs="宋体"/>
          <w:color w:val="000000"/>
          <w:sz w:val="24"/>
          <w:u w:val="single"/>
        </w:rPr>
        <w:t xml:space="preserve">）  </w:t>
      </w:r>
      <w:r>
        <w:rPr>
          <w:rFonts w:hint="eastAsia" w:ascii="宋体" w:hAnsi="宋体" w:cs="宋体"/>
          <w:color w:val="000000"/>
          <w:sz w:val="24"/>
        </w:rPr>
        <w:t>采购的有关活动，并对此项目进行投标。为此：</w:t>
      </w:r>
    </w:p>
    <w:p w14:paraId="595AA15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1、我方同意在磋商须知规定的开标日期起遵守本投标书中的承诺且在投标有效期满之前均具有约束力。</w:t>
      </w:r>
    </w:p>
    <w:p w14:paraId="7E65815E">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2、我方承诺已经具备《中华人民共和国政府采购法》中规定的参加政府采购活动的供应商应当具备的条件：</w:t>
      </w:r>
    </w:p>
    <w:p w14:paraId="6B7E28E5">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（1）具有独立承担民事责任的能力；</w:t>
      </w:r>
    </w:p>
    <w:p w14:paraId="4B15EBAE">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（2）遵守国家法律、行政法规，具有良好的信誉和商业道德；</w:t>
      </w:r>
    </w:p>
    <w:p w14:paraId="7A09B9DD">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（3）具有履行合同的能力和良好的履行合同记录；</w:t>
      </w:r>
    </w:p>
    <w:p w14:paraId="53C16208">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（4）良好的资金、财务状况；</w:t>
      </w:r>
    </w:p>
    <w:p w14:paraId="380E9E23">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（5）产品及生产所需装备符合中国政府规定的相应技术标准和环保标准；</w:t>
      </w:r>
    </w:p>
    <w:p w14:paraId="1349CE49">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（6）没有违反政府采购法规、政策的记录；</w:t>
      </w:r>
    </w:p>
    <w:p w14:paraId="2F8180C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（7）没有发生重大经济纠纷和走私犯罪记录；</w:t>
      </w:r>
    </w:p>
    <w:p w14:paraId="5E5BBA02">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 xml:space="preserve"> 3、提供磋商须知规定的全部响应文件，具体内容为：</w:t>
      </w:r>
    </w:p>
    <w:p w14:paraId="41CE66B4">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（1）报价文件；</w:t>
      </w:r>
    </w:p>
    <w:p w14:paraId="47AAABF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（2）商务资信技术文件；</w:t>
      </w:r>
    </w:p>
    <w:p w14:paraId="1E6AC89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（3）磋商须知要求供应商提交的全部文件；</w:t>
      </w:r>
    </w:p>
    <w:p w14:paraId="2845521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4、按采购文件要求提供和交付的货物或服务的投标报价详见报价一览表。</w:t>
      </w:r>
    </w:p>
    <w:p w14:paraId="04D65E66">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5、保证忠实地执行双方所签订的合同，并承担合同规定的责任和义务。</w:t>
      </w:r>
    </w:p>
    <w:p w14:paraId="49267A98">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6、保证遵守采购文件中的其他有关规定。</w:t>
      </w:r>
    </w:p>
    <w:p w14:paraId="0493B2EB">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7、如果在开标后规定的磋商有效期内撤回投标书，我方的投标保证金可不予退回。</w:t>
      </w:r>
    </w:p>
    <w:p w14:paraId="733B3CC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8、我方完全理解贵方不一定要接受最低价的投标。</w:t>
      </w:r>
    </w:p>
    <w:p w14:paraId="703AEF73">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9、我方愿意向贵方提供任何与该项投标有关的数据、情况和技术资料。若贵方需要，我方愿意提供我方作出的一切承诺的证明材料。</w:t>
      </w:r>
    </w:p>
    <w:p w14:paraId="61011C9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10、我方已详细审核全部采购文件，包括采购文件修改书（如有的话）、参考资料及有关附件，确认无误。</w:t>
      </w:r>
    </w:p>
    <w:p w14:paraId="5D3B874A">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11、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9E949B">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a.提供虚假材料谋取中标、成交的；</w:t>
      </w:r>
    </w:p>
    <w:p w14:paraId="7E2CF83A">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b.采取不正当手段诋毁、排挤其他供应商的；</w:t>
      </w:r>
    </w:p>
    <w:p w14:paraId="6EBFD233">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c.与采购人、其他供应商恶意串通的；</w:t>
      </w:r>
    </w:p>
    <w:p w14:paraId="5530F94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d.向采购人行贿或者提供其他不正当利益的；</w:t>
      </w:r>
    </w:p>
    <w:p w14:paraId="4E838F2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e.拒绝有关部门监督检查或提供虚假情况的。</w:t>
      </w:r>
    </w:p>
    <w:p w14:paraId="37ACC7F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12、我方的响应文件自响应文件递交截止之日起</w:t>
      </w:r>
      <w:r>
        <w:rPr>
          <w:rFonts w:hint="eastAsia" w:ascii="宋体" w:hAnsi="宋体" w:cs="宋体"/>
          <w:color w:val="000000"/>
          <w:sz w:val="24"/>
          <w:u w:val="single"/>
        </w:rPr>
        <w:t>90</w:t>
      </w:r>
      <w:r>
        <w:rPr>
          <w:rFonts w:hint="eastAsia" w:ascii="宋体" w:hAnsi="宋体" w:cs="宋体"/>
          <w:color w:val="000000"/>
          <w:sz w:val="24"/>
        </w:rPr>
        <w:t>天内有效。</w:t>
      </w:r>
    </w:p>
    <w:p w14:paraId="75E3D9D4">
      <w:pPr>
        <w:spacing w:line="450" w:lineRule="atLeast"/>
        <w:ind w:firstLine="480" w:firstLineChars="200"/>
        <w:jc w:val="left"/>
        <w:rPr>
          <w:rFonts w:ascii="宋体" w:hAnsi="宋体" w:cs="宋体"/>
          <w:color w:val="000000"/>
          <w:sz w:val="24"/>
        </w:rPr>
      </w:pPr>
    </w:p>
    <w:p w14:paraId="2B9A1022">
      <w:pPr>
        <w:spacing w:line="450" w:lineRule="atLeast"/>
        <w:jc w:val="left"/>
        <w:rPr>
          <w:rFonts w:ascii="宋体" w:hAnsi="宋体" w:cs="宋体"/>
          <w:color w:val="000000"/>
          <w:sz w:val="24"/>
        </w:rPr>
      </w:pPr>
      <w:r>
        <w:rPr>
          <w:rFonts w:hint="eastAsia" w:ascii="宋体" w:hAnsi="宋体" w:cs="宋体"/>
          <w:color w:val="000000"/>
          <w:sz w:val="24"/>
        </w:rPr>
        <w:t> </w:t>
      </w:r>
    </w:p>
    <w:p w14:paraId="367DF856">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与本投标有关的一切往来通讯请寄：</w:t>
      </w:r>
    </w:p>
    <w:p w14:paraId="35422A67">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 xml:space="preserve">地  址：____________________                   </w:t>
      </w:r>
    </w:p>
    <w:p w14:paraId="6C0BAFD2">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邮  编：____________________　</w:t>
      </w:r>
    </w:p>
    <w:p w14:paraId="24EA5946">
      <w:pPr>
        <w:spacing w:line="450" w:lineRule="atLeast"/>
        <w:ind w:firstLine="480" w:firstLineChars="200"/>
        <w:jc w:val="left"/>
        <w:rPr>
          <w:rFonts w:ascii="宋体" w:hAnsi="宋体" w:cs="宋体"/>
          <w:color w:val="000000"/>
          <w:sz w:val="24"/>
          <w:u w:val="single"/>
        </w:rPr>
      </w:pPr>
      <w:r>
        <w:rPr>
          <w:rFonts w:hint="eastAsia" w:ascii="宋体" w:hAnsi="宋体" w:cs="宋体"/>
          <w:color w:val="000000"/>
          <w:sz w:val="24"/>
        </w:rPr>
        <w:t>联系人：____________________</w:t>
      </w:r>
    </w:p>
    <w:p w14:paraId="12C29D0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电  话：____________________　</w:t>
      </w:r>
      <w:r>
        <w:rPr>
          <w:rFonts w:hint="eastAsia" w:ascii="宋体" w:hAnsi="宋体" w:cs="宋体"/>
          <w:i/>
          <w:iCs/>
          <w:color w:val="BEBEBE"/>
          <w:szCs w:val="21"/>
        </w:rPr>
        <w:t xml:space="preserve">（填写固定、移动电话）  </w:t>
      </w:r>
      <w:r>
        <w:rPr>
          <w:rFonts w:hint="eastAsia" w:ascii="宋体" w:hAnsi="宋体" w:cs="宋体"/>
          <w:color w:val="000000"/>
          <w:sz w:val="24"/>
        </w:rPr>
        <w:t xml:space="preserve">               </w:t>
      </w:r>
    </w:p>
    <w:p w14:paraId="5C5A66C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传  真：____________________</w:t>
      </w:r>
    </w:p>
    <w:p w14:paraId="01C174B2">
      <w:pPr>
        <w:spacing w:line="450" w:lineRule="atLeast"/>
        <w:ind w:firstLine="480" w:firstLineChars="200"/>
        <w:jc w:val="left"/>
        <w:rPr>
          <w:rFonts w:ascii="宋体" w:hAnsi="宋体" w:cs="宋体"/>
          <w:color w:val="000000"/>
          <w:sz w:val="24"/>
          <w:u w:val="single"/>
        </w:rPr>
      </w:pPr>
      <w:r>
        <w:rPr>
          <w:rFonts w:hint="eastAsia" w:ascii="宋体" w:hAnsi="宋体" w:cs="宋体"/>
          <w:color w:val="000000"/>
          <w:sz w:val="24"/>
        </w:rPr>
        <w:t>E-mail：____________________</w:t>
      </w:r>
    </w:p>
    <w:p w14:paraId="38AFFB7A">
      <w:pPr>
        <w:spacing w:line="450" w:lineRule="atLeast"/>
        <w:jc w:val="left"/>
        <w:rPr>
          <w:rFonts w:ascii="宋体" w:hAnsi="宋体" w:cs="宋体"/>
          <w:color w:val="000000"/>
          <w:sz w:val="24"/>
        </w:rPr>
      </w:pPr>
      <w:r>
        <w:rPr>
          <w:rFonts w:hint="eastAsia" w:ascii="宋体" w:hAnsi="宋体" w:cs="宋体"/>
          <w:color w:val="000000"/>
          <w:sz w:val="24"/>
        </w:rPr>
        <w:t> </w:t>
      </w:r>
    </w:p>
    <w:p w14:paraId="03F66814">
      <w:pPr>
        <w:spacing w:line="450" w:lineRule="atLeast"/>
        <w:jc w:val="left"/>
        <w:rPr>
          <w:rFonts w:ascii="宋体" w:hAnsi="宋体" w:cs="宋体"/>
          <w:color w:val="000000"/>
          <w:sz w:val="24"/>
        </w:rPr>
      </w:pPr>
    </w:p>
    <w:p w14:paraId="13B2BCA4">
      <w:pPr>
        <w:spacing w:line="450" w:lineRule="atLeast"/>
        <w:jc w:val="left"/>
        <w:rPr>
          <w:rFonts w:ascii="宋体" w:hAnsi="宋体" w:cs="宋体"/>
          <w:b/>
          <w:color w:val="000000"/>
          <w:sz w:val="24"/>
        </w:rPr>
      </w:pPr>
      <w:r>
        <w:rPr>
          <w:rFonts w:hint="eastAsia" w:ascii="宋体" w:hAnsi="宋体" w:cs="宋体"/>
          <w:b/>
          <w:color w:val="000000"/>
          <w:sz w:val="24"/>
        </w:rPr>
        <w:t xml:space="preserve">                                 供应商 (盖单位章)：             </w:t>
      </w:r>
    </w:p>
    <w:p w14:paraId="2B5B8870">
      <w:pPr>
        <w:spacing w:line="450" w:lineRule="atLeast"/>
        <w:jc w:val="left"/>
        <w:rPr>
          <w:rFonts w:ascii="宋体" w:hAnsi="宋体" w:cs="宋体"/>
          <w:b/>
          <w:color w:val="000000"/>
          <w:sz w:val="24"/>
        </w:rPr>
      </w:pPr>
    </w:p>
    <w:p w14:paraId="1401D911">
      <w:pPr>
        <w:spacing w:line="450" w:lineRule="atLeast"/>
        <w:jc w:val="left"/>
        <w:rPr>
          <w:rFonts w:ascii="宋体" w:hAnsi="宋体" w:cs="宋体"/>
          <w:b/>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cs="宋体"/>
          <w:b/>
          <w:color w:val="000000"/>
          <w:sz w:val="24"/>
        </w:rPr>
        <w:t xml:space="preserve">                                            日　期：</w:t>
      </w:r>
    </w:p>
    <w:p w14:paraId="2E677405">
      <w:pPr>
        <w:spacing w:line="360" w:lineRule="auto"/>
        <w:rPr>
          <w:rFonts w:ascii="宋体" w:hAnsi="宋体" w:cs="宋体"/>
          <w:b/>
          <w:bCs/>
          <w:color w:val="000000"/>
          <w:sz w:val="24"/>
        </w:rPr>
      </w:pPr>
      <w:r>
        <w:rPr>
          <w:rFonts w:hint="eastAsia" w:ascii="宋体" w:hAnsi="宋体" w:cs="宋体"/>
          <w:b/>
          <w:bCs/>
          <w:color w:val="000000"/>
          <w:sz w:val="24"/>
        </w:rPr>
        <w:t>附件2：</w:t>
      </w:r>
      <w:r>
        <w:rPr>
          <w:rFonts w:hint="eastAsia"/>
          <w:i/>
          <w:iCs/>
          <w:snapToGrid w:val="0"/>
          <w:color w:val="FF0000"/>
          <w:sz w:val="24"/>
          <w:u w:val="single"/>
        </w:rPr>
        <w:t>（以下二选一）</w:t>
      </w:r>
    </w:p>
    <w:p w14:paraId="2B8024FD">
      <w:pPr>
        <w:jc w:val="center"/>
        <w:rPr>
          <w:snapToGrid w:val="0"/>
          <w:sz w:val="30"/>
          <w:szCs w:val="30"/>
        </w:rPr>
      </w:pPr>
      <w:r>
        <w:rPr>
          <w:rFonts w:hint="eastAsia"/>
          <w:snapToGrid w:val="0"/>
          <w:sz w:val="30"/>
          <w:szCs w:val="30"/>
        </w:rPr>
        <w:t>（1）</w:t>
      </w:r>
      <w:r>
        <w:rPr>
          <w:snapToGrid w:val="0"/>
          <w:sz w:val="30"/>
          <w:szCs w:val="30"/>
        </w:rPr>
        <w:t>法定代表人身份证明</w:t>
      </w:r>
      <w:r>
        <w:rPr>
          <w:rFonts w:hint="eastAsia"/>
          <w:snapToGrid w:val="0"/>
          <w:sz w:val="30"/>
          <w:szCs w:val="30"/>
        </w:rPr>
        <w:t xml:space="preserve">书  </w:t>
      </w:r>
    </w:p>
    <w:p w14:paraId="10D3353E">
      <w:pPr>
        <w:rPr>
          <w:snapToGrid w:val="0"/>
          <w:szCs w:val="21"/>
        </w:rPr>
      </w:pPr>
    </w:p>
    <w:p w14:paraId="78D90043">
      <w:pPr>
        <w:rPr>
          <w:snapToGrid w:val="0"/>
          <w:szCs w:val="21"/>
        </w:rPr>
      </w:pPr>
    </w:p>
    <w:p w14:paraId="31451524">
      <w:pPr>
        <w:spacing w:line="500" w:lineRule="exact"/>
        <w:rPr>
          <w:snapToGrid w:val="0"/>
          <w:sz w:val="24"/>
        </w:rPr>
      </w:pPr>
      <w:r>
        <w:rPr>
          <w:snapToGrid w:val="0"/>
          <w:sz w:val="24"/>
        </w:rPr>
        <w:t>投标人名称：</w:t>
      </w:r>
      <w:r>
        <w:rPr>
          <w:snapToGrid w:val="0"/>
          <w:sz w:val="24"/>
          <w:u w:val="single"/>
        </w:rPr>
        <w:t xml:space="preserve">                     </w:t>
      </w:r>
      <w:r>
        <w:rPr>
          <w:rFonts w:hint="eastAsia"/>
          <w:snapToGrid w:val="0"/>
          <w:sz w:val="24"/>
          <w:u w:val="single"/>
        </w:rPr>
        <w:t xml:space="preserve">                </w:t>
      </w:r>
      <w:r>
        <w:rPr>
          <w:snapToGrid w:val="0"/>
          <w:sz w:val="24"/>
          <w:u w:val="single"/>
        </w:rPr>
        <w:t xml:space="preserve">    </w:t>
      </w:r>
    </w:p>
    <w:p w14:paraId="34644602">
      <w:pPr>
        <w:spacing w:line="500" w:lineRule="exact"/>
        <w:rPr>
          <w:snapToGrid w:val="0"/>
          <w:sz w:val="24"/>
        </w:rPr>
      </w:pPr>
      <w:r>
        <w:rPr>
          <w:snapToGrid w:val="0"/>
          <w:sz w:val="24"/>
        </w:rPr>
        <w:t>单位性质：</w:t>
      </w:r>
      <w:r>
        <w:rPr>
          <w:snapToGrid w:val="0"/>
          <w:sz w:val="24"/>
          <w:u w:val="single"/>
        </w:rPr>
        <w:t xml:space="preserve">                      </w:t>
      </w:r>
      <w:r>
        <w:rPr>
          <w:rFonts w:hint="eastAsia"/>
          <w:snapToGrid w:val="0"/>
          <w:sz w:val="24"/>
          <w:u w:val="single"/>
        </w:rPr>
        <w:t xml:space="preserve">          </w:t>
      </w:r>
      <w:r>
        <w:rPr>
          <w:snapToGrid w:val="0"/>
          <w:sz w:val="24"/>
          <w:u w:val="single"/>
        </w:rPr>
        <w:t xml:space="preserve">           </w:t>
      </w:r>
      <w:r>
        <w:rPr>
          <w:snapToGrid w:val="0"/>
          <w:sz w:val="24"/>
        </w:rPr>
        <w:t xml:space="preserve"> </w:t>
      </w:r>
    </w:p>
    <w:p w14:paraId="496699C2">
      <w:pPr>
        <w:spacing w:line="500" w:lineRule="exact"/>
        <w:rPr>
          <w:snapToGrid w:val="0"/>
          <w:sz w:val="24"/>
        </w:rPr>
      </w:pPr>
      <w:r>
        <w:rPr>
          <w:snapToGrid w:val="0"/>
          <w:sz w:val="24"/>
        </w:rPr>
        <w:t>地址：</w:t>
      </w:r>
      <w:r>
        <w:rPr>
          <w:snapToGrid w:val="0"/>
          <w:sz w:val="24"/>
          <w:u w:val="single"/>
        </w:rPr>
        <w:t xml:space="preserve">                         </w:t>
      </w:r>
      <w:r>
        <w:rPr>
          <w:rFonts w:hint="eastAsia"/>
          <w:snapToGrid w:val="0"/>
          <w:sz w:val="24"/>
          <w:u w:val="single"/>
        </w:rPr>
        <w:t xml:space="preserve">          </w:t>
      </w:r>
      <w:r>
        <w:rPr>
          <w:snapToGrid w:val="0"/>
          <w:sz w:val="24"/>
          <w:u w:val="single"/>
        </w:rPr>
        <w:t xml:space="preserve">            </w:t>
      </w:r>
      <w:r>
        <w:rPr>
          <w:snapToGrid w:val="0"/>
          <w:sz w:val="24"/>
        </w:rPr>
        <w:t xml:space="preserve"> </w:t>
      </w:r>
    </w:p>
    <w:p w14:paraId="082E2B3A">
      <w:pPr>
        <w:spacing w:line="500" w:lineRule="exact"/>
        <w:rPr>
          <w:snapToGrid w:val="0"/>
          <w:sz w:val="24"/>
        </w:rPr>
      </w:pPr>
      <w:r>
        <w:rPr>
          <w:snapToGrid w:val="0"/>
          <w:sz w:val="24"/>
        </w:rPr>
        <w:t>成立时间：</w:t>
      </w:r>
      <w:r>
        <w:rPr>
          <w:snapToGrid w:val="0"/>
          <w:sz w:val="24"/>
          <w:u w:val="single"/>
        </w:rPr>
        <w:t xml:space="preserve">        </w:t>
      </w:r>
      <w:r>
        <w:rPr>
          <w:snapToGrid w:val="0"/>
          <w:sz w:val="24"/>
        </w:rPr>
        <w:t>年</w:t>
      </w:r>
      <w:r>
        <w:rPr>
          <w:snapToGrid w:val="0"/>
          <w:sz w:val="24"/>
          <w:u w:val="single"/>
        </w:rPr>
        <w:t xml:space="preserve">    </w:t>
      </w:r>
      <w:r>
        <w:rPr>
          <w:snapToGrid w:val="0"/>
          <w:sz w:val="24"/>
        </w:rPr>
        <w:t>月</w:t>
      </w:r>
      <w:r>
        <w:rPr>
          <w:snapToGrid w:val="0"/>
          <w:sz w:val="24"/>
          <w:u w:val="single"/>
        </w:rPr>
        <w:t xml:space="preserve">    </w:t>
      </w:r>
      <w:r>
        <w:rPr>
          <w:snapToGrid w:val="0"/>
          <w:sz w:val="24"/>
        </w:rPr>
        <w:t>日</w:t>
      </w:r>
    </w:p>
    <w:p w14:paraId="0DB8E93E">
      <w:pPr>
        <w:spacing w:line="500" w:lineRule="exact"/>
        <w:rPr>
          <w:snapToGrid w:val="0"/>
          <w:sz w:val="24"/>
        </w:rPr>
      </w:pPr>
      <w:r>
        <w:rPr>
          <w:snapToGrid w:val="0"/>
          <w:sz w:val="24"/>
        </w:rPr>
        <w:t>经营期限：</w:t>
      </w:r>
      <w:r>
        <w:rPr>
          <w:snapToGrid w:val="0"/>
          <w:sz w:val="24"/>
          <w:u w:val="single"/>
        </w:rPr>
        <w:t xml:space="preserve">                                </w:t>
      </w:r>
      <w:r>
        <w:rPr>
          <w:snapToGrid w:val="0"/>
          <w:sz w:val="24"/>
        </w:rPr>
        <w:t xml:space="preserve"> </w:t>
      </w:r>
    </w:p>
    <w:p w14:paraId="4CE0020F">
      <w:pPr>
        <w:spacing w:line="500" w:lineRule="exact"/>
        <w:rPr>
          <w:snapToGrid w:val="0"/>
          <w:sz w:val="24"/>
          <w:u w:val="single"/>
        </w:rPr>
      </w:pPr>
      <w:r>
        <w:rPr>
          <w:snapToGrid w:val="0"/>
          <w:sz w:val="24"/>
        </w:rPr>
        <w:t>姓名：</w:t>
      </w:r>
      <w:r>
        <w:rPr>
          <w:snapToGrid w:val="0"/>
          <w:sz w:val="24"/>
          <w:u w:val="single"/>
        </w:rPr>
        <w:t xml:space="preserve">       </w:t>
      </w:r>
      <w:r>
        <w:rPr>
          <w:snapToGrid w:val="0"/>
          <w:sz w:val="24"/>
        </w:rPr>
        <w:t>性别：</w:t>
      </w:r>
      <w:r>
        <w:rPr>
          <w:snapToGrid w:val="0"/>
          <w:sz w:val="24"/>
          <w:u w:val="single"/>
        </w:rPr>
        <w:t xml:space="preserve">    </w:t>
      </w:r>
      <w:r>
        <w:rPr>
          <w:snapToGrid w:val="0"/>
          <w:sz w:val="24"/>
        </w:rPr>
        <w:t>年龄：</w:t>
      </w:r>
      <w:r>
        <w:rPr>
          <w:snapToGrid w:val="0"/>
          <w:sz w:val="24"/>
          <w:u w:val="single"/>
        </w:rPr>
        <w:t xml:space="preserve">    </w:t>
      </w:r>
      <w:r>
        <w:rPr>
          <w:snapToGrid w:val="0"/>
          <w:sz w:val="24"/>
        </w:rPr>
        <w:t>身份证号码</w:t>
      </w:r>
      <w:r>
        <w:rPr>
          <w:snapToGrid w:val="0"/>
          <w:sz w:val="24"/>
          <w:u w:val="single"/>
        </w:rPr>
        <w:t xml:space="preserve">               </w:t>
      </w:r>
    </w:p>
    <w:p w14:paraId="39C1DBE8">
      <w:pPr>
        <w:spacing w:line="500" w:lineRule="exact"/>
        <w:rPr>
          <w:snapToGrid w:val="0"/>
          <w:sz w:val="24"/>
        </w:rPr>
      </w:pPr>
      <w:r>
        <w:rPr>
          <w:snapToGrid w:val="0"/>
          <w:sz w:val="24"/>
        </w:rPr>
        <w:t>职务：</w:t>
      </w:r>
      <w:r>
        <w:rPr>
          <w:snapToGrid w:val="0"/>
          <w:sz w:val="24"/>
          <w:u w:val="single"/>
        </w:rPr>
        <w:t xml:space="preserve">          </w:t>
      </w:r>
      <w:r>
        <w:rPr>
          <w:snapToGrid w:val="0"/>
          <w:sz w:val="24"/>
        </w:rPr>
        <w:t>系</w:t>
      </w:r>
      <w:r>
        <w:rPr>
          <w:snapToGrid w:val="0"/>
          <w:sz w:val="24"/>
          <w:u w:val="single"/>
        </w:rPr>
        <w:t xml:space="preserve">                          </w:t>
      </w:r>
      <w:r>
        <w:rPr>
          <w:snapToGrid w:val="0"/>
          <w:sz w:val="24"/>
        </w:rPr>
        <w:t>（投标人名称</w:t>
      </w:r>
      <w:r>
        <w:rPr>
          <w:rFonts w:hint="eastAsia"/>
          <w:snapToGrid w:val="0"/>
          <w:sz w:val="24"/>
          <w:lang w:eastAsia="zh-CN"/>
        </w:rPr>
        <w:t>）</w:t>
      </w:r>
      <w:r>
        <w:rPr>
          <w:snapToGrid w:val="0"/>
          <w:sz w:val="24"/>
        </w:rPr>
        <w:t>的法定代表人。</w:t>
      </w:r>
    </w:p>
    <w:p w14:paraId="1712DAEF">
      <w:pPr>
        <w:spacing w:line="500" w:lineRule="exact"/>
        <w:rPr>
          <w:snapToGrid w:val="0"/>
          <w:sz w:val="24"/>
        </w:rPr>
      </w:pPr>
      <w:r>
        <w:rPr>
          <w:snapToGrid w:val="0"/>
          <w:sz w:val="24"/>
        </w:rPr>
        <w:t>特此证明。</w:t>
      </w:r>
    </w:p>
    <w:p w14:paraId="3FF835FD">
      <w:pPr>
        <w:spacing w:line="500" w:lineRule="exact"/>
        <w:rPr>
          <w:snapToGrid w:val="0"/>
          <w:sz w:val="24"/>
        </w:rPr>
      </w:pPr>
      <w:r>
        <w:rPr>
          <w:snapToGrid w:val="0"/>
          <w:sz w:val="24"/>
        </w:rPr>
        <w:t xml:space="preserve">                     </w:t>
      </w:r>
      <w:r>
        <w:rPr>
          <w:rFonts w:hint="eastAsia"/>
          <w:snapToGrid w:val="0"/>
          <w:sz w:val="24"/>
        </w:rPr>
        <w:t xml:space="preserve">       供应商</w:t>
      </w:r>
      <w:r>
        <w:rPr>
          <w:snapToGrid w:val="0"/>
          <w:sz w:val="24"/>
        </w:rPr>
        <w:t>：</w:t>
      </w:r>
      <w:r>
        <w:rPr>
          <w:snapToGrid w:val="0"/>
          <w:sz w:val="24"/>
          <w:u w:val="single"/>
        </w:rPr>
        <w:t xml:space="preserve">                 </w:t>
      </w:r>
      <w:r>
        <w:rPr>
          <w:snapToGrid w:val="0"/>
          <w:sz w:val="24"/>
        </w:rPr>
        <w:t>（盖单位章）</w:t>
      </w:r>
    </w:p>
    <w:p w14:paraId="0A0B8707">
      <w:pPr>
        <w:spacing w:line="500" w:lineRule="exact"/>
        <w:rPr>
          <w:snapToGrid w:val="0"/>
          <w:sz w:val="24"/>
        </w:rPr>
      </w:pPr>
      <w:r>
        <w:rPr>
          <w:snapToGrid w:val="0"/>
          <w:sz w:val="24"/>
        </w:rPr>
        <w:t xml:space="preserve">                         </w:t>
      </w:r>
      <w:r>
        <w:rPr>
          <w:rFonts w:hint="eastAsia"/>
          <w:snapToGrid w:val="0"/>
          <w:sz w:val="24"/>
        </w:rPr>
        <w:t xml:space="preserve">    </w:t>
      </w:r>
      <w:r>
        <w:rPr>
          <w:snapToGrid w:val="0"/>
          <w:sz w:val="24"/>
        </w:rPr>
        <w:t xml:space="preserve">      </w:t>
      </w:r>
      <w:r>
        <w:rPr>
          <w:snapToGrid w:val="0"/>
          <w:sz w:val="24"/>
          <w:u w:val="single"/>
        </w:rPr>
        <w:t xml:space="preserve">        </w:t>
      </w:r>
      <w:r>
        <w:rPr>
          <w:snapToGrid w:val="0"/>
          <w:sz w:val="24"/>
        </w:rPr>
        <w:t>年</w:t>
      </w:r>
      <w:r>
        <w:rPr>
          <w:snapToGrid w:val="0"/>
          <w:sz w:val="24"/>
          <w:u w:val="single"/>
        </w:rPr>
        <w:t xml:space="preserve">    </w:t>
      </w:r>
      <w:r>
        <w:rPr>
          <w:snapToGrid w:val="0"/>
          <w:sz w:val="24"/>
        </w:rPr>
        <w:t>月</w:t>
      </w:r>
      <w:r>
        <w:rPr>
          <w:snapToGrid w:val="0"/>
          <w:sz w:val="24"/>
          <w:u w:val="single"/>
        </w:rPr>
        <w:t xml:space="preserve">     </w:t>
      </w:r>
      <w:r>
        <w:rPr>
          <w:snapToGrid w:val="0"/>
          <w:sz w:val="24"/>
        </w:rPr>
        <w:t>日</w:t>
      </w:r>
    </w:p>
    <w:p w14:paraId="54F0C6B0">
      <w:pPr>
        <w:spacing w:line="500" w:lineRule="exact"/>
        <w:rPr>
          <w:snapToGrid w:val="0"/>
          <w:sz w:val="28"/>
          <w:szCs w:val="28"/>
        </w:rPr>
      </w:pPr>
    </w:p>
    <w:p w14:paraId="017EBC79">
      <w:pPr>
        <w:spacing w:line="500" w:lineRule="exact"/>
        <w:rPr>
          <w:snapToGrid w:val="0"/>
          <w:color w:val="FF0000"/>
          <w:sz w:val="24"/>
        </w:rPr>
      </w:pPr>
      <w:r>
        <w:rPr>
          <w:snapToGrid w:val="0"/>
          <w:color w:val="FF0000"/>
          <w:sz w:val="24"/>
        </w:rPr>
        <w:t>注：此证明用于法定代表人</w:t>
      </w:r>
      <w:r>
        <w:rPr>
          <w:rFonts w:hint="eastAsia"/>
          <w:snapToGrid w:val="0"/>
          <w:color w:val="FF0000"/>
          <w:sz w:val="24"/>
        </w:rPr>
        <w:t>本人参加本项目的采购活动</w:t>
      </w:r>
      <w:r>
        <w:rPr>
          <w:snapToGrid w:val="0"/>
          <w:color w:val="FF0000"/>
          <w:sz w:val="24"/>
        </w:rPr>
        <w:t>。</w:t>
      </w:r>
    </w:p>
    <w:p w14:paraId="3592BB4C">
      <w:pPr>
        <w:pStyle w:val="8"/>
        <w:spacing w:line="600" w:lineRule="exact"/>
        <w:ind w:firstLine="0"/>
        <w:rPr>
          <w:sz w:val="24"/>
        </w:rPr>
      </w:pPr>
      <w:r>
        <w:rPr>
          <w:rFonts w:hint="eastAsia"/>
          <w:sz w:val="24"/>
        </w:rPr>
        <w:t>-----------------------------------------------------------------------------------------------------------------</w:t>
      </w:r>
    </w:p>
    <w:p w14:paraId="07C349E7">
      <w:pPr>
        <w:pStyle w:val="8"/>
        <w:spacing w:line="600" w:lineRule="exact"/>
        <w:ind w:firstLine="374" w:firstLineChars="156"/>
        <w:jc w:val="center"/>
        <w:rPr>
          <w:sz w:val="24"/>
        </w:rPr>
      </w:pPr>
    </w:p>
    <w:p w14:paraId="50A19FEE">
      <w:pPr>
        <w:pStyle w:val="8"/>
        <w:spacing w:line="600" w:lineRule="exact"/>
        <w:ind w:firstLine="374" w:firstLineChars="156"/>
        <w:jc w:val="center"/>
        <w:rPr>
          <w:sz w:val="24"/>
        </w:rPr>
      </w:pPr>
    </w:p>
    <w:p w14:paraId="3822E048">
      <w:pPr>
        <w:pStyle w:val="8"/>
        <w:spacing w:line="600" w:lineRule="exact"/>
        <w:ind w:firstLine="0"/>
        <w:jc w:val="center"/>
        <w:rPr>
          <w:sz w:val="24"/>
        </w:rPr>
      </w:pPr>
      <w:r>
        <w:rPr>
          <w:rFonts w:hint="eastAsia"/>
          <w:sz w:val="24"/>
        </w:rPr>
        <w:t>（有效身份证复印件）</w:t>
      </w:r>
    </w:p>
    <w:p w14:paraId="759D478C">
      <w:pPr>
        <w:spacing w:line="480" w:lineRule="auto"/>
        <w:ind w:firstLine="361" w:firstLineChars="100"/>
        <w:jc w:val="center"/>
        <w:rPr>
          <w:b/>
          <w:sz w:val="36"/>
          <w:szCs w:val="36"/>
        </w:rPr>
        <w:sectPr>
          <w:pgSz w:w="11906" w:h="16838"/>
          <w:pgMar w:top="1418" w:right="1418" w:bottom="1418" w:left="1418" w:header="851" w:footer="992" w:gutter="0"/>
          <w:pgNumType w:fmt="decimal"/>
          <w:cols w:space="720" w:num="1"/>
          <w:docGrid w:linePitch="312" w:charSpace="0"/>
        </w:sectPr>
      </w:pPr>
    </w:p>
    <w:p w14:paraId="4174C729">
      <w:pPr>
        <w:snapToGrid w:val="0"/>
        <w:spacing w:before="160" w:beforeLines="50" w:after="50"/>
        <w:jc w:val="center"/>
        <w:rPr>
          <w:rFonts w:ascii="宋体" w:hAnsi="宋体" w:cs="宋体"/>
          <w:b/>
          <w:sz w:val="30"/>
          <w:szCs w:val="30"/>
        </w:rPr>
      </w:pPr>
      <w:r>
        <w:rPr>
          <w:rFonts w:hint="eastAsia" w:ascii="宋体" w:hAnsi="宋体" w:cs="宋体"/>
          <w:b/>
          <w:sz w:val="30"/>
          <w:szCs w:val="30"/>
        </w:rPr>
        <w:t>（2）法定代表人授权委托书</w:t>
      </w:r>
    </w:p>
    <w:p w14:paraId="41F60C66">
      <w:pPr>
        <w:snapToGrid w:val="0"/>
        <w:spacing w:before="160" w:beforeLines="50" w:after="50"/>
        <w:rPr>
          <w:rFonts w:ascii="宋体" w:hAnsi="宋体" w:cs="宋体"/>
          <w:bCs/>
          <w:sz w:val="24"/>
        </w:rPr>
      </w:pPr>
    </w:p>
    <w:p w14:paraId="458F162F">
      <w:pPr>
        <w:snapToGrid w:val="0"/>
        <w:spacing w:before="160" w:beforeLines="50" w:after="50"/>
        <w:rPr>
          <w:rFonts w:ascii="宋体" w:hAnsi="宋体" w:cs="宋体"/>
          <w:b/>
          <w:bCs/>
          <w:sz w:val="24"/>
        </w:rPr>
      </w:pPr>
      <w:r>
        <w:rPr>
          <w:rFonts w:hint="eastAsia" w:ascii="宋体" w:hAnsi="宋体" w:cs="宋体"/>
          <w:bCs/>
          <w:sz w:val="24"/>
        </w:rPr>
        <w:t>致：</w:t>
      </w:r>
      <w:r>
        <w:rPr>
          <w:rFonts w:hint="eastAsia" w:ascii="宋体" w:hAnsi="宋体" w:cs="宋体"/>
          <w:color w:val="000000"/>
          <w:sz w:val="24"/>
          <w:u w:val="single"/>
        </w:rPr>
        <w:t>仙居县</w:t>
      </w:r>
      <w:r>
        <w:rPr>
          <w:rFonts w:hint="eastAsia" w:ascii="宋体" w:hAnsi="宋体" w:cs="宋体"/>
          <w:color w:val="000000"/>
          <w:sz w:val="24"/>
          <w:u w:val="single"/>
          <w:lang w:eastAsia="zh-CN"/>
        </w:rPr>
        <w:t>淡竹乡</w:t>
      </w:r>
      <w:r>
        <w:rPr>
          <w:rFonts w:hint="eastAsia" w:ascii="宋体" w:hAnsi="宋体" w:cs="宋体"/>
          <w:color w:val="000000"/>
          <w:sz w:val="24"/>
          <w:u w:val="single"/>
        </w:rPr>
        <w:t>人民政府</w:t>
      </w:r>
    </w:p>
    <w:p w14:paraId="26002CDA">
      <w:pPr>
        <w:spacing w:line="700" w:lineRule="exact"/>
        <w:ind w:firstLine="840" w:firstLineChars="350"/>
        <w:rPr>
          <w:rFonts w:ascii="宋体" w:hAnsi="宋体" w:cs="宋体"/>
          <w:sz w:val="24"/>
        </w:rPr>
      </w:pPr>
      <w:r>
        <w:rPr>
          <w:rFonts w:hint="eastAsia" w:ascii="宋体" w:hAnsi="宋体" w:cs="宋体"/>
          <w:sz w:val="24"/>
          <w:u w:val="single"/>
        </w:rPr>
        <w:t xml:space="preserve">                      </w:t>
      </w:r>
      <w:r>
        <w:rPr>
          <w:rFonts w:hint="eastAsia" w:ascii="宋体" w:hAnsi="宋体" w:cs="宋体"/>
          <w:sz w:val="24"/>
        </w:rPr>
        <w:t>（磋商供应商全称）法定代表人</w:t>
      </w:r>
      <w:r>
        <w:rPr>
          <w:rFonts w:hint="eastAsia" w:ascii="宋体" w:hAnsi="宋体" w:cs="宋体"/>
          <w:sz w:val="24"/>
          <w:u w:val="single"/>
        </w:rPr>
        <w:t xml:space="preserve">            </w:t>
      </w:r>
      <w:r>
        <w:rPr>
          <w:rFonts w:hint="eastAsia" w:ascii="宋体" w:hAnsi="宋体" w:cs="宋体"/>
          <w:sz w:val="24"/>
        </w:rPr>
        <w:t>授权</w:t>
      </w:r>
    </w:p>
    <w:p w14:paraId="0983ECA6">
      <w:pPr>
        <w:spacing w:line="7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（全称代表姓名）为全权代表，参加贵单位组织的</w:t>
      </w:r>
      <w:r>
        <w:rPr>
          <w:rFonts w:hint="eastAsia" w:ascii="宋体" w:hAnsi="宋体" w:cs="宋体"/>
          <w:sz w:val="24"/>
          <w:u w:val="single"/>
        </w:rPr>
        <w:t xml:space="preserve"> </w:t>
      </w:r>
      <w:r>
        <w:rPr>
          <w:rFonts w:hint="eastAsia" w:ascii="宋体" w:hAnsi="宋体" w:cs="宋体"/>
          <w:sz w:val="24"/>
          <w:u w:val="single"/>
          <w:lang w:eastAsia="zh-CN"/>
        </w:rPr>
        <w:t>台州市仙居县浙南山地生态系统综合治理及生物多样性保护项目（淡竹乡）</w:t>
      </w:r>
      <w:r>
        <w:rPr>
          <w:rFonts w:hint="eastAsia" w:ascii="宋体" w:hAnsi="宋体" w:cs="宋体"/>
          <w:sz w:val="24"/>
          <w:u w:val="single"/>
        </w:rPr>
        <w:t xml:space="preserve"> </w:t>
      </w:r>
      <w:r>
        <w:rPr>
          <w:rFonts w:hint="eastAsia" w:ascii="宋体" w:hAnsi="宋体" w:cs="宋体"/>
          <w:sz w:val="24"/>
        </w:rPr>
        <w:t>编号：</w:t>
      </w:r>
      <w:r>
        <w:rPr>
          <w:rFonts w:hint="eastAsia" w:ascii="宋体" w:hAnsi="宋体" w:cs="宋体"/>
          <w:sz w:val="24"/>
          <w:u w:val="single"/>
        </w:rPr>
        <w:t xml:space="preserve"> </w:t>
      </w:r>
      <w:r>
        <w:rPr>
          <w:rFonts w:hint="eastAsia" w:ascii="宋体" w:hAnsi="宋体" w:cs="宋体"/>
          <w:sz w:val="24"/>
          <w:u w:val="single"/>
          <w:lang w:eastAsia="zh-CN"/>
        </w:rPr>
        <w:t>ZJGL（202412）002</w:t>
      </w:r>
      <w:r>
        <w:rPr>
          <w:rFonts w:hint="eastAsia" w:ascii="宋体" w:hAnsi="宋体" w:cs="宋体"/>
          <w:sz w:val="24"/>
          <w:u w:val="single"/>
        </w:rPr>
        <w:t xml:space="preserve"> </w:t>
      </w:r>
      <w:r>
        <w:rPr>
          <w:rFonts w:hint="eastAsia" w:ascii="宋体" w:hAnsi="宋体" w:cs="宋体"/>
          <w:sz w:val="24"/>
        </w:rPr>
        <w:t>的磋商活动，全权代表我方处理磋商活动中的一切事务，我均予以承认。</w:t>
      </w:r>
    </w:p>
    <w:p w14:paraId="01D67A10">
      <w:pPr>
        <w:spacing w:line="360" w:lineRule="auto"/>
        <w:ind w:firstLine="4094" w:firstLineChars="1706"/>
        <w:rPr>
          <w:rFonts w:ascii="宋体" w:hAnsi="宋体" w:cs="宋体"/>
          <w:sz w:val="24"/>
        </w:rPr>
      </w:pPr>
    </w:p>
    <w:p w14:paraId="74DA3DAD">
      <w:pPr>
        <w:spacing w:line="360" w:lineRule="auto"/>
        <w:ind w:firstLine="3360" w:firstLineChars="1400"/>
        <w:rPr>
          <w:rFonts w:ascii="宋体" w:hAnsi="宋体" w:cs="宋体"/>
          <w:sz w:val="24"/>
        </w:rPr>
      </w:pPr>
    </w:p>
    <w:p w14:paraId="3236F4F6">
      <w:pPr>
        <w:spacing w:line="480" w:lineRule="auto"/>
        <w:ind w:firstLine="3360" w:firstLineChars="1400"/>
        <w:rPr>
          <w:rFonts w:ascii="宋体" w:hAnsi="宋体" w:cs="宋体"/>
          <w:sz w:val="24"/>
        </w:rPr>
      </w:pPr>
      <w:r>
        <w:rPr>
          <w:rFonts w:hint="eastAsia" w:ascii="宋体" w:hAnsi="宋体" w:cs="宋体"/>
          <w:sz w:val="24"/>
        </w:rPr>
        <w:t xml:space="preserve">法定代表人（签字或盖章）：  </w:t>
      </w:r>
    </w:p>
    <w:p w14:paraId="28932D1F">
      <w:pPr>
        <w:spacing w:line="480" w:lineRule="auto"/>
        <w:ind w:firstLine="3360" w:firstLineChars="1400"/>
        <w:rPr>
          <w:rFonts w:ascii="宋体" w:hAnsi="宋体" w:cs="宋体"/>
          <w:sz w:val="24"/>
        </w:rPr>
      </w:pPr>
      <w:r>
        <w:rPr>
          <w:rFonts w:hint="eastAsia" w:ascii="宋体" w:hAnsi="宋体" w:cs="宋体"/>
          <w:sz w:val="24"/>
        </w:rPr>
        <w:t xml:space="preserve"> 供应商 （盖单位章）：</w:t>
      </w:r>
    </w:p>
    <w:p w14:paraId="2DCCEEB3">
      <w:pPr>
        <w:pStyle w:val="15"/>
        <w:spacing w:beforeLines="0" w:afterLines="0" w:line="480" w:lineRule="auto"/>
        <w:rPr>
          <w:rFonts w:hAnsi="宋体"/>
        </w:rPr>
      </w:pPr>
      <w:r>
        <w:rPr>
          <w:rFonts w:hAnsi="宋体"/>
        </w:rPr>
        <w:tab/>
      </w:r>
      <w:r>
        <w:rPr>
          <w:rFonts w:hAnsi="宋体"/>
        </w:rPr>
        <w:tab/>
      </w:r>
      <w:r>
        <w:rPr>
          <w:rFonts w:hAnsi="宋体"/>
        </w:rPr>
        <w:t xml:space="preserve">                                日</w:t>
      </w:r>
      <w:r>
        <w:rPr>
          <w:rFonts w:hint="eastAsia" w:hAnsi="宋体"/>
        </w:rPr>
        <w:t xml:space="preserve">   </w:t>
      </w:r>
      <w:r>
        <w:rPr>
          <w:rFonts w:hAnsi="宋体"/>
        </w:rPr>
        <w:t xml:space="preserve"> 期：</w:t>
      </w:r>
    </w:p>
    <w:p w14:paraId="16F61D5F">
      <w:pPr>
        <w:spacing w:line="360" w:lineRule="auto"/>
        <w:rPr>
          <w:rFonts w:ascii="宋体" w:hAnsi="宋体" w:cs="宋体"/>
          <w:b/>
          <w:bCs/>
          <w:color w:val="000000"/>
          <w:sz w:val="24"/>
        </w:rPr>
      </w:pPr>
    </w:p>
    <w:p w14:paraId="0B5A6FA1">
      <w:r>
        <w:rPr>
          <w:rFonts w:hint="eastAsia" w:ascii="宋体" w:hAnsi="宋体" w:cs="宋体"/>
          <w:b/>
          <w:bCs/>
          <w:color w:val="FF0000"/>
          <w:szCs w:val="21"/>
        </w:rPr>
        <w:t>注：本表后附法定代表人身份证复印件及委托代理人身份证复印件。</w:t>
      </w:r>
    </w:p>
    <w:p w14:paraId="1B92038D">
      <w:pPr>
        <w:pStyle w:val="8"/>
        <w:spacing w:line="600" w:lineRule="exact"/>
        <w:ind w:firstLine="0"/>
        <w:rPr>
          <w:sz w:val="24"/>
        </w:rPr>
      </w:pPr>
      <w:r>
        <w:rPr>
          <w:rFonts w:hint="eastAsia"/>
          <w:sz w:val="24"/>
        </w:rPr>
        <w:t>------------------------------------------------------------------------------------------------------------</w:t>
      </w:r>
    </w:p>
    <w:p w14:paraId="67DA4424">
      <w:pPr>
        <w:sectPr>
          <w:pgSz w:w="11905" w:h="16838"/>
          <w:pgMar w:top="1361" w:right="1587" w:bottom="1361" w:left="1587" w:header="851" w:footer="811" w:gutter="0"/>
          <w:pgNumType w:fmt="decimal"/>
          <w:cols w:space="720" w:num="1"/>
          <w:docGrid w:type="lines" w:linePitch="321" w:charSpace="0"/>
        </w:sectPr>
      </w:pPr>
    </w:p>
    <w:p w14:paraId="4A194742">
      <w:pPr>
        <w:spacing w:line="360" w:lineRule="auto"/>
        <w:rPr>
          <w:rFonts w:ascii="宋体" w:hAnsi="宋体" w:cs="宋体"/>
          <w:b/>
          <w:bCs/>
          <w:color w:val="000000"/>
          <w:sz w:val="24"/>
        </w:rPr>
      </w:pPr>
      <w:r>
        <w:rPr>
          <w:rFonts w:hint="eastAsia" w:ascii="宋体" w:hAnsi="宋体" w:cs="宋体"/>
          <w:b/>
          <w:bCs/>
          <w:color w:val="000000"/>
          <w:sz w:val="24"/>
        </w:rPr>
        <w:t>附件3：</w:t>
      </w:r>
    </w:p>
    <w:p w14:paraId="6B371989">
      <w:pPr>
        <w:pStyle w:val="17"/>
        <w:ind w:left="5250"/>
        <w:rPr>
          <w:rFonts w:hAnsi="宋体" w:cs="宋体"/>
          <w:b/>
          <w:color w:val="000000"/>
          <w:sz w:val="28"/>
          <w:szCs w:val="28"/>
        </w:rPr>
      </w:pPr>
    </w:p>
    <w:p w14:paraId="5D4F29FB">
      <w:pPr>
        <w:spacing w:after="312" w:afterLines="100" w:line="480" w:lineRule="auto"/>
        <w:jc w:val="center"/>
        <w:rPr>
          <w:rFonts w:ascii="宋体" w:hAnsi="宋体" w:cs="宋体"/>
          <w:color w:val="000000"/>
          <w:sz w:val="28"/>
          <w:szCs w:val="28"/>
        </w:rPr>
      </w:pPr>
      <w:bookmarkStart w:id="140" w:name="_Toc51489575"/>
      <w:r>
        <w:rPr>
          <w:rFonts w:hint="eastAsia" w:ascii="宋体" w:hAnsi="宋体" w:cs="宋体"/>
          <w:b/>
          <w:bCs/>
          <w:color w:val="000000"/>
          <w:kern w:val="0"/>
          <w:sz w:val="32"/>
          <w:szCs w:val="32"/>
          <w:lang w:val="zh-CN"/>
        </w:rPr>
        <w:t>依法缴纳税收及社会保障资金的书面承诺</w:t>
      </w:r>
      <w:bookmarkEnd w:id="140"/>
    </w:p>
    <w:p w14:paraId="4B176845">
      <w:pPr>
        <w:spacing w:line="480" w:lineRule="auto"/>
        <w:jc w:val="left"/>
        <w:rPr>
          <w:rFonts w:ascii="宋体" w:hAnsi="宋体" w:cs="宋体"/>
          <w:color w:val="000000"/>
          <w:sz w:val="28"/>
          <w:szCs w:val="28"/>
        </w:rPr>
      </w:pPr>
      <w:r>
        <w:rPr>
          <w:rFonts w:hint="eastAsia" w:ascii="宋体" w:hAnsi="宋体"/>
          <w:kern w:val="0"/>
          <w:sz w:val="28"/>
          <w:szCs w:val="28"/>
        </w:rPr>
        <w:t>致 仙居县</w:t>
      </w:r>
      <w:r>
        <w:rPr>
          <w:rFonts w:hint="eastAsia" w:ascii="宋体" w:hAnsi="宋体"/>
          <w:kern w:val="0"/>
          <w:sz w:val="28"/>
          <w:szCs w:val="28"/>
          <w:lang w:eastAsia="zh-CN"/>
        </w:rPr>
        <w:t>淡竹乡</w:t>
      </w:r>
      <w:r>
        <w:rPr>
          <w:rFonts w:hint="eastAsia" w:ascii="宋体" w:hAnsi="宋体"/>
          <w:kern w:val="0"/>
          <w:sz w:val="28"/>
          <w:szCs w:val="28"/>
        </w:rPr>
        <w:t>人民政府</w:t>
      </w:r>
      <w:r>
        <w:rPr>
          <w:rFonts w:hint="eastAsia" w:ascii="宋体" w:hAnsi="宋体" w:cs="宋体"/>
          <w:color w:val="000000"/>
          <w:sz w:val="28"/>
          <w:szCs w:val="28"/>
        </w:rPr>
        <w:t>：</w:t>
      </w:r>
    </w:p>
    <w:p w14:paraId="4C548B34">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我公司作为本次采购项目的供应商，参加</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u w:val="single"/>
        </w:rPr>
        <w:t xml:space="preserve"> </w:t>
      </w:r>
      <w:r>
        <w:rPr>
          <w:rFonts w:hint="eastAsia" w:ascii="宋体" w:hAnsi="宋体" w:cs="宋体"/>
          <w:color w:val="000000"/>
          <w:sz w:val="28"/>
          <w:szCs w:val="28"/>
        </w:rPr>
        <w:t>的采购活动，根据采购文件要求，现郑重承诺：</w:t>
      </w:r>
    </w:p>
    <w:p w14:paraId="29277572">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我公司已依法缴纳税收及社会保障资金，符合参与政府采购活动的资格条件，不存在税收缴纳、社会保障等方面的失信记录。</w:t>
      </w:r>
    </w:p>
    <w:p w14:paraId="12367EC1">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如本公司对以上条款提供虚假承诺，愿承担一切法律责任。</w:t>
      </w:r>
    </w:p>
    <w:p w14:paraId="23786978">
      <w:pPr>
        <w:spacing w:line="480" w:lineRule="auto"/>
        <w:jc w:val="left"/>
        <w:rPr>
          <w:rFonts w:ascii="宋体" w:hAnsi="宋体" w:cs="宋体"/>
          <w:color w:val="000000"/>
          <w:sz w:val="28"/>
          <w:szCs w:val="28"/>
        </w:rPr>
      </w:pPr>
    </w:p>
    <w:p w14:paraId="714F00C9">
      <w:pPr>
        <w:spacing w:line="480" w:lineRule="auto"/>
        <w:jc w:val="left"/>
        <w:rPr>
          <w:rFonts w:ascii="宋体" w:hAnsi="宋体" w:cs="宋体"/>
          <w:color w:val="000000"/>
          <w:sz w:val="28"/>
          <w:szCs w:val="28"/>
        </w:rPr>
      </w:pPr>
    </w:p>
    <w:p w14:paraId="6AC58F5E">
      <w:pPr>
        <w:spacing w:line="450" w:lineRule="atLeast"/>
        <w:jc w:val="left"/>
        <w:rPr>
          <w:rFonts w:ascii="宋体" w:hAnsi="宋体" w:cs="宋体"/>
          <w:color w:val="000000"/>
          <w:sz w:val="28"/>
          <w:szCs w:val="28"/>
        </w:rPr>
      </w:pPr>
      <w:r>
        <w:rPr>
          <w:rFonts w:hint="eastAsia" w:ascii="宋体" w:hAnsi="宋体" w:cs="宋体"/>
          <w:color w:val="000000"/>
          <w:sz w:val="28"/>
          <w:szCs w:val="28"/>
        </w:rPr>
        <w:t xml:space="preserve">                               承诺人(盖单位章)： </w:t>
      </w:r>
    </w:p>
    <w:p w14:paraId="7CCAC37E">
      <w:pPr>
        <w:pStyle w:val="15"/>
        <w:spacing w:before="156" w:after="156" w:line="360" w:lineRule="auto"/>
        <w:ind w:firstLine="5460" w:firstLineChars="1950"/>
        <w:rPr>
          <w:rFonts w:hAnsi="宋体" w:cs="宋体"/>
          <w:bCs/>
          <w:color w:val="000000"/>
          <w:sz w:val="28"/>
          <w:szCs w:val="28"/>
        </w:rPr>
      </w:pPr>
      <w:r>
        <w:rPr>
          <w:rFonts w:hint="eastAsia" w:hAnsi="宋体" w:cs="宋体"/>
          <w:bCs/>
          <w:sz w:val="28"/>
          <w:szCs w:val="28"/>
        </w:rPr>
        <w:t xml:space="preserve">  </w:t>
      </w:r>
      <w:r>
        <w:rPr>
          <w:rFonts w:hint="eastAsia" w:hAnsi="宋体" w:cs="宋体"/>
          <w:bCs/>
          <w:color w:val="000000"/>
          <w:sz w:val="28"/>
          <w:szCs w:val="28"/>
        </w:rPr>
        <w:t>日　期：</w:t>
      </w:r>
    </w:p>
    <w:p w14:paraId="4E25F3E9">
      <w:pPr>
        <w:ind w:firstLine="600"/>
      </w:pPr>
    </w:p>
    <w:p w14:paraId="25D6CD4F">
      <w:pPr>
        <w:rPr>
          <w:b/>
          <w:bCs/>
        </w:rPr>
      </w:pPr>
    </w:p>
    <w:p w14:paraId="72048553">
      <w:pPr>
        <w:spacing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3243A7E7">
      <w:pPr>
        <w:spacing w:line="360" w:lineRule="auto"/>
        <w:rPr>
          <w:rFonts w:ascii="宋体" w:hAnsi="宋体" w:cs="宋体"/>
          <w:b/>
          <w:bCs/>
          <w:color w:val="000000"/>
          <w:sz w:val="24"/>
        </w:rPr>
      </w:pPr>
      <w:r>
        <w:rPr>
          <w:rFonts w:hint="eastAsia" w:ascii="宋体" w:hAnsi="宋体" w:cs="宋体"/>
          <w:b/>
          <w:bCs/>
          <w:color w:val="000000"/>
          <w:sz w:val="24"/>
        </w:rPr>
        <w:t>附件4：</w:t>
      </w:r>
    </w:p>
    <w:p w14:paraId="3FBD31A9">
      <w:pPr>
        <w:pStyle w:val="10"/>
        <w:rPr>
          <w:b/>
          <w:bCs/>
        </w:rPr>
      </w:pPr>
    </w:p>
    <w:p w14:paraId="6616CA44">
      <w:pPr>
        <w:spacing w:after="312" w:afterLines="100" w:line="480" w:lineRule="auto"/>
        <w:jc w:val="center"/>
      </w:pPr>
      <w:r>
        <w:rPr>
          <w:rFonts w:hint="eastAsia" w:ascii="宋体" w:hAnsi="宋体" w:cs="宋体"/>
          <w:b/>
          <w:bCs/>
          <w:color w:val="000000"/>
          <w:kern w:val="0"/>
          <w:sz w:val="32"/>
          <w:szCs w:val="32"/>
        </w:rPr>
        <w:t>具有良好的商业信誉、</w:t>
      </w:r>
      <w:r>
        <w:rPr>
          <w:rFonts w:hint="eastAsia" w:ascii="宋体" w:hAnsi="宋体" w:cs="宋体"/>
          <w:b/>
          <w:bCs/>
          <w:color w:val="000000"/>
          <w:kern w:val="0"/>
          <w:sz w:val="32"/>
          <w:szCs w:val="32"/>
          <w:lang w:val="zh-CN"/>
        </w:rPr>
        <w:t>健全的财务会计制度承诺函</w:t>
      </w:r>
    </w:p>
    <w:p w14:paraId="3332A649">
      <w:pPr>
        <w:widowControl/>
        <w:spacing w:line="360" w:lineRule="auto"/>
        <w:rPr>
          <w:rFonts w:ascii="宋体" w:hAnsi="宋体"/>
          <w:color w:val="000000"/>
          <w:sz w:val="28"/>
          <w:szCs w:val="28"/>
        </w:rPr>
      </w:pPr>
      <w:r>
        <w:rPr>
          <w:rFonts w:hint="eastAsia" w:ascii="宋体" w:hAnsi="宋体"/>
          <w:kern w:val="0"/>
          <w:sz w:val="28"/>
          <w:szCs w:val="28"/>
        </w:rPr>
        <w:t>致 仙居县</w:t>
      </w:r>
      <w:r>
        <w:rPr>
          <w:rFonts w:hint="eastAsia" w:ascii="宋体" w:hAnsi="宋体"/>
          <w:kern w:val="0"/>
          <w:sz w:val="28"/>
          <w:szCs w:val="28"/>
          <w:lang w:eastAsia="zh-CN"/>
        </w:rPr>
        <w:t>淡竹乡</w:t>
      </w:r>
      <w:r>
        <w:rPr>
          <w:rFonts w:hint="eastAsia" w:ascii="宋体" w:hAnsi="宋体"/>
          <w:kern w:val="0"/>
          <w:sz w:val="28"/>
          <w:szCs w:val="28"/>
        </w:rPr>
        <w:t>人民政府：</w:t>
      </w:r>
      <w:r>
        <w:rPr>
          <w:rFonts w:hint="eastAsia" w:ascii="宋体" w:hAnsi="宋体"/>
          <w:color w:val="000000"/>
          <w:sz w:val="28"/>
          <w:szCs w:val="28"/>
        </w:rPr>
        <w:t xml:space="preserve"> </w:t>
      </w:r>
    </w:p>
    <w:p w14:paraId="21EF42A8">
      <w:pPr>
        <w:pStyle w:val="10"/>
        <w:spacing w:line="360" w:lineRule="auto"/>
        <w:rPr>
          <w:rFonts w:ascii="宋体" w:hAnsi="宋体"/>
          <w:color w:val="000000"/>
          <w:sz w:val="28"/>
          <w:szCs w:val="28"/>
        </w:rPr>
      </w:pPr>
      <w:r>
        <w:rPr>
          <w:rFonts w:hint="eastAsia" w:ascii="宋体" w:hAnsi="宋体"/>
          <w:color w:val="000000"/>
          <w:sz w:val="28"/>
          <w:szCs w:val="28"/>
        </w:rPr>
        <w:t xml:space="preserve">    本公司参加</w:t>
      </w:r>
      <w:r>
        <w:rPr>
          <w:rFonts w:hint="eastAsia" w:ascii="宋体" w:hAnsi="宋体"/>
          <w:color w:val="000000"/>
          <w:sz w:val="28"/>
          <w:szCs w:val="28"/>
          <w:u w:val="single"/>
        </w:rPr>
        <w:t xml:space="preserve"> </w:t>
      </w:r>
      <w:r>
        <w:rPr>
          <w:rFonts w:hint="eastAsia" w:ascii="宋体" w:hAnsi="宋体"/>
          <w:color w:val="000000"/>
          <w:sz w:val="28"/>
          <w:szCs w:val="28"/>
          <w:u w:val="single"/>
          <w:lang w:eastAsia="zh-CN"/>
        </w:rPr>
        <w:t>台州市仙居县浙南山地生态系统综合治理及生物多样性保护项目（淡竹乡）</w:t>
      </w:r>
      <w:r>
        <w:rPr>
          <w:rFonts w:hint="eastAsia" w:ascii="宋体" w:hAnsi="宋体"/>
          <w:color w:val="000000"/>
          <w:sz w:val="28"/>
          <w:szCs w:val="28"/>
        </w:rPr>
        <w:t>的采购活动，现承诺我公司在参加本项目政府采购活动前，</w:t>
      </w:r>
      <w:r>
        <w:rPr>
          <w:rFonts w:hint="eastAsia" w:ascii="宋体" w:hAnsi="宋体"/>
          <w:kern w:val="0"/>
          <w:sz w:val="28"/>
          <w:szCs w:val="28"/>
        </w:rPr>
        <w:t>没有处于被责令停产、财产被接管、冻结或破产状态，具有足够的流动资金，有能力履行合同；我公司</w:t>
      </w:r>
      <w:r>
        <w:rPr>
          <w:rFonts w:hint="eastAsia" w:ascii="宋体" w:hAnsi="宋体"/>
          <w:color w:val="000000"/>
          <w:sz w:val="28"/>
          <w:szCs w:val="28"/>
        </w:rPr>
        <w:t>具有良好的商业信誉和健全的财务会计制度。</w:t>
      </w:r>
    </w:p>
    <w:p w14:paraId="492C5CD1">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如本公司对以上条款提供虚假承诺，愿承担一切法律责任。</w:t>
      </w:r>
    </w:p>
    <w:p w14:paraId="1783F527">
      <w:pPr>
        <w:pStyle w:val="10"/>
        <w:rPr>
          <w:sz w:val="28"/>
          <w:szCs w:val="28"/>
        </w:rPr>
      </w:pPr>
    </w:p>
    <w:p w14:paraId="0427C3CF">
      <w:pPr>
        <w:pStyle w:val="10"/>
        <w:spacing w:line="480" w:lineRule="auto"/>
        <w:rPr>
          <w:sz w:val="28"/>
          <w:szCs w:val="28"/>
        </w:rPr>
      </w:pPr>
    </w:p>
    <w:p w14:paraId="146A924F">
      <w:pPr>
        <w:spacing w:line="480" w:lineRule="auto"/>
        <w:jc w:val="left"/>
        <w:rPr>
          <w:rFonts w:ascii="宋体" w:hAnsi="宋体" w:cs="宋体"/>
          <w:color w:val="000000"/>
          <w:sz w:val="28"/>
          <w:szCs w:val="28"/>
        </w:rPr>
      </w:pPr>
      <w:r>
        <w:rPr>
          <w:rFonts w:hint="eastAsia" w:ascii="宋体" w:hAnsi="宋体" w:cs="宋体"/>
          <w:color w:val="000000"/>
          <w:sz w:val="28"/>
          <w:szCs w:val="28"/>
        </w:rPr>
        <w:t xml:space="preserve">                               承诺人(盖单位章)： </w:t>
      </w:r>
    </w:p>
    <w:p w14:paraId="39BF3FD7">
      <w:pPr>
        <w:pStyle w:val="15"/>
        <w:spacing w:before="156" w:after="156" w:line="480" w:lineRule="auto"/>
        <w:ind w:firstLine="5460" w:firstLineChars="1950"/>
        <w:rPr>
          <w:rFonts w:hAnsi="宋体" w:cs="宋体"/>
          <w:bCs/>
          <w:color w:val="000000"/>
          <w:sz w:val="28"/>
          <w:szCs w:val="28"/>
        </w:rPr>
      </w:pPr>
      <w:r>
        <w:rPr>
          <w:rFonts w:hint="eastAsia" w:hAnsi="宋体" w:cs="宋体"/>
          <w:bCs/>
          <w:sz w:val="28"/>
          <w:szCs w:val="28"/>
        </w:rPr>
        <w:t xml:space="preserve">  </w:t>
      </w:r>
      <w:r>
        <w:rPr>
          <w:rFonts w:hint="eastAsia" w:hAnsi="宋体" w:cs="宋体"/>
          <w:bCs/>
          <w:color w:val="000000"/>
          <w:sz w:val="28"/>
          <w:szCs w:val="28"/>
        </w:rPr>
        <w:t>日　期：</w:t>
      </w:r>
    </w:p>
    <w:p w14:paraId="2FD1CAEC">
      <w:pPr>
        <w:pStyle w:val="4"/>
        <w:spacing w:before="312" w:beforeLines="100" w:after="0"/>
        <w:jc w:val="center"/>
        <w:rPr>
          <w:rFonts w:ascii="宋体" w:hAnsi="宋体" w:eastAsia="宋体" w:cs="宋体"/>
          <w:bCs w:val="0"/>
          <w:lang w:val="zh-CN"/>
        </w:rPr>
      </w:pPr>
    </w:p>
    <w:p w14:paraId="4161221B">
      <w:pPr>
        <w:rPr>
          <w:rFonts w:ascii="宋体" w:hAnsi="宋体" w:cs="宋体"/>
          <w:lang w:val="zh-CN"/>
        </w:rPr>
      </w:pPr>
    </w:p>
    <w:p w14:paraId="2CC449D6">
      <w:pPr>
        <w:pStyle w:val="37"/>
        <w:rPr>
          <w:rFonts w:ascii="宋体" w:hAnsi="宋体" w:cs="宋体"/>
          <w:bCs w:val="0"/>
          <w:lang w:val="zh-CN"/>
        </w:rPr>
      </w:pPr>
    </w:p>
    <w:p w14:paraId="326A9E36">
      <w:pPr>
        <w:pStyle w:val="10"/>
        <w:rPr>
          <w:rFonts w:ascii="宋体" w:hAnsi="宋体" w:cs="宋体"/>
          <w:lang w:val="zh-CN"/>
        </w:rPr>
      </w:pPr>
    </w:p>
    <w:p w14:paraId="6E1B5483">
      <w:pPr>
        <w:pStyle w:val="11"/>
        <w:ind w:firstLine="420"/>
        <w:rPr>
          <w:rFonts w:ascii="宋体" w:hAnsi="宋体" w:cs="宋体"/>
          <w:lang w:val="zh-CN"/>
        </w:rPr>
      </w:pPr>
    </w:p>
    <w:p w14:paraId="1869911B">
      <w:pPr>
        <w:rPr>
          <w:rFonts w:ascii="宋体" w:hAnsi="宋体" w:cs="宋体"/>
          <w:lang w:val="zh-CN"/>
        </w:rPr>
      </w:pPr>
    </w:p>
    <w:p w14:paraId="61D61742">
      <w:pPr>
        <w:pStyle w:val="37"/>
        <w:rPr>
          <w:rFonts w:ascii="宋体" w:hAnsi="宋体" w:cs="宋体"/>
          <w:bCs w:val="0"/>
          <w:lang w:val="zh-CN"/>
        </w:rPr>
      </w:pPr>
    </w:p>
    <w:p w14:paraId="7B302383">
      <w:pPr>
        <w:pStyle w:val="10"/>
        <w:rPr>
          <w:rFonts w:ascii="宋体" w:hAnsi="宋体" w:cs="宋体"/>
          <w:lang w:val="zh-CN"/>
        </w:rPr>
      </w:pPr>
    </w:p>
    <w:p w14:paraId="0EE9D295">
      <w:pPr>
        <w:pStyle w:val="11"/>
        <w:ind w:firstLine="420"/>
        <w:rPr>
          <w:lang w:val="zh-CN"/>
        </w:rPr>
      </w:pPr>
    </w:p>
    <w:p w14:paraId="16F21903">
      <w:pPr>
        <w:spacing w:after="312" w:afterLines="100" w:line="480" w:lineRule="auto"/>
        <w:rPr>
          <w:rFonts w:ascii="宋体" w:hAnsi="宋体" w:cs="宋体"/>
          <w:b/>
          <w:bCs/>
          <w:color w:val="000000"/>
          <w:kern w:val="0"/>
          <w:sz w:val="32"/>
          <w:szCs w:val="32"/>
          <w:lang w:val="zh-CN"/>
        </w:rPr>
      </w:pPr>
      <w:r>
        <w:rPr>
          <w:rFonts w:hint="eastAsia" w:ascii="宋体" w:hAnsi="宋体" w:cs="宋体"/>
          <w:b/>
          <w:bCs/>
          <w:color w:val="000000"/>
          <w:sz w:val="24"/>
        </w:rPr>
        <w:t>附件5：</w:t>
      </w:r>
    </w:p>
    <w:p w14:paraId="0D2358AB">
      <w:pPr>
        <w:spacing w:after="312" w:afterLines="100" w:line="480" w:lineRule="auto"/>
        <w:jc w:val="center"/>
        <w:rPr>
          <w:rFonts w:ascii="宋体" w:hAnsi="宋体" w:cs="宋体"/>
          <w:color w:val="000000"/>
          <w:sz w:val="32"/>
          <w:szCs w:val="32"/>
        </w:rPr>
      </w:pPr>
      <w:r>
        <w:rPr>
          <w:rFonts w:hint="eastAsia" w:ascii="宋体" w:hAnsi="宋体" w:cs="宋体"/>
          <w:b/>
          <w:bCs/>
          <w:color w:val="000000"/>
          <w:kern w:val="0"/>
          <w:sz w:val="32"/>
          <w:szCs w:val="32"/>
          <w:lang w:val="zh-CN"/>
        </w:rPr>
        <w:t>无重大违法记录声明书</w:t>
      </w:r>
    </w:p>
    <w:p w14:paraId="189FC74F">
      <w:pPr>
        <w:spacing w:line="480" w:lineRule="auto"/>
        <w:jc w:val="left"/>
        <w:rPr>
          <w:rFonts w:ascii="宋体" w:hAnsi="宋体" w:cs="宋体"/>
          <w:color w:val="000000"/>
          <w:sz w:val="28"/>
          <w:szCs w:val="28"/>
        </w:rPr>
      </w:pPr>
      <w:r>
        <w:rPr>
          <w:rFonts w:hint="eastAsia" w:ascii="宋体" w:hAnsi="宋体" w:cs="宋体"/>
          <w:color w:val="000000"/>
          <w:sz w:val="28"/>
          <w:szCs w:val="28"/>
        </w:rPr>
        <w:t>致 仙居县</w:t>
      </w:r>
      <w:r>
        <w:rPr>
          <w:rFonts w:hint="eastAsia" w:ascii="宋体" w:hAnsi="宋体" w:cs="宋体"/>
          <w:color w:val="000000"/>
          <w:sz w:val="28"/>
          <w:szCs w:val="28"/>
          <w:lang w:eastAsia="zh-CN"/>
        </w:rPr>
        <w:t>淡竹乡</w:t>
      </w:r>
      <w:r>
        <w:rPr>
          <w:rFonts w:hint="eastAsia" w:ascii="宋体" w:hAnsi="宋体" w:cs="宋体"/>
          <w:color w:val="000000"/>
          <w:sz w:val="28"/>
          <w:szCs w:val="28"/>
        </w:rPr>
        <w:t>人民政府：</w:t>
      </w:r>
    </w:p>
    <w:p w14:paraId="66F332EE">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我方郑重声明：我方参加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u w:val="single"/>
        </w:rPr>
        <w:t xml:space="preserve"> </w:t>
      </w:r>
      <w:r>
        <w:rPr>
          <w:rFonts w:hint="eastAsia" w:ascii="宋体" w:hAnsi="宋体" w:cs="宋体"/>
          <w:color w:val="000000"/>
          <w:sz w:val="28"/>
          <w:szCs w:val="28"/>
        </w:rPr>
        <w:t>的采购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14:paraId="2E520FE3">
      <w:pPr>
        <w:spacing w:line="480" w:lineRule="auto"/>
        <w:ind w:firstLine="560" w:firstLineChars="200"/>
        <w:jc w:val="left"/>
        <w:rPr>
          <w:rFonts w:ascii="宋体" w:hAnsi="宋体" w:cs="宋体"/>
          <w:spacing w:val="6"/>
          <w:sz w:val="28"/>
          <w:szCs w:val="28"/>
        </w:rPr>
      </w:pPr>
      <w:r>
        <w:rPr>
          <w:rFonts w:hint="eastAsia" w:ascii="宋体" w:hAnsi="宋体" w:cs="宋体"/>
          <w:color w:val="000000"/>
          <w:sz w:val="28"/>
          <w:szCs w:val="28"/>
        </w:rPr>
        <w:t>特此声明。</w:t>
      </w:r>
    </w:p>
    <w:p w14:paraId="739D0143">
      <w:pPr>
        <w:pStyle w:val="15"/>
        <w:spacing w:before="156" w:after="156"/>
        <w:jc w:val="center"/>
        <w:rPr>
          <w:rFonts w:hAnsi="宋体" w:cs="宋体"/>
          <w:color w:val="000000"/>
          <w:sz w:val="28"/>
          <w:szCs w:val="28"/>
        </w:rPr>
      </w:pPr>
    </w:p>
    <w:p w14:paraId="5B545C76">
      <w:pPr>
        <w:spacing w:line="450" w:lineRule="atLeast"/>
        <w:jc w:val="left"/>
        <w:rPr>
          <w:rFonts w:ascii="宋体" w:hAnsi="宋体" w:cs="宋体"/>
          <w:color w:val="000000"/>
          <w:sz w:val="28"/>
          <w:szCs w:val="28"/>
        </w:rPr>
      </w:pPr>
      <w:r>
        <w:rPr>
          <w:rFonts w:hint="eastAsia" w:ascii="宋体" w:hAnsi="宋体" w:cs="宋体"/>
          <w:color w:val="000000"/>
          <w:sz w:val="28"/>
          <w:szCs w:val="28"/>
        </w:rPr>
        <w:t>                               声明人 (盖单位章)： </w:t>
      </w:r>
    </w:p>
    <w:p w14:paraId="441B31BE">
      <w:pPr>
        <w:pStyle w:val="15"/>
        <w:spacing w:before="156" w:after="156" w:line="360" w:lineRule="auto"/>
        <w:ind w:firstLine="5481" w:firstLineChars="1950"/>
        <w:rPr>
          <w:rFonts w:hAnsi="宋体" w:cs="宋体"/>
          <w:b/>
          <w:color w:val="000000"/>
          <w:sz w:val="28"/>
          <w:szCs w:val="28"/>
        </w:rPr>
      </w:pPr>
      <w:r>
        <w:rPr>
          <w:rFonts w:hint="eastAsia" w:hAnsi="宋体" w:cs="宋体"/>
          <w:b/>
          <w:sz w:val="28"/>
          <w:szCs w:val="28"/>
        </w:rPr>
        <w:t xml:space="preserve">  </w:t>
      </w:r>
      <w:r>
        <w:rPr>
          <w:rFonts w:hint="eastAsia" w:hAnsi="宋体" w:cs="宋体"/>
          <w:b/>
          <w:color w:val="000000"/>
          <w:sz w:val="28"/>
          <w:szCs w:val="28"/>
        </w:rPr>
        <w:t>日　期：</w:t>
      </w:r>
    </w:p>
    <w:p w14:paraId="6CB17195">
      <w:pPr>
        <w:spacing w:line="480" w:lineRule="auto"/>
        <w:jc w:val="left"/>
        <w:rPr>
          <w:rFonts w:ascii="宋体" w:hAnsi="宋体" w:cs="宋体"/>
          <w:color w:val="000000"/>
          <w:sz w:val="28"/>
          <w:szCs w:val="28"/>
          <w:lang w:val="zh-CN"/>
        </w:rPr>
      </w:pPr>
      <w:r>
        <w:rPr>
          <w:rFonts w:hint="eastAsia" w:hAnsi="宋体" w:cs="宋体"/>
          <w:b/>
          <w:color w:val="000000"/>
          <w:sz w:val="28"/>
          <w:szCs w:val="28"/>
        </w:rPr>
        <w:br w:type="page"/>
      </w:r>
    </w:p>
    <w:p w14:paraId="1F686214">
      <w:pPr>
        <w:spacing w:after="312" w:afterLines="100" w:line="480" w:lineRule="auto"/>
        <w:rPr>
          <w:rFonts w:ascii="宋体" w:hAnsi="宋体" w:cs="宋体"/>
          <w:b/>
          <w:bCs/>
          <w:color w:val="000000"/>
          <w:sz w:val="24"/>
        </w:rPr>
      </w:pPr>
      <w:r>
        <w:rPr>
          <w:rFonts w:hint="eastAsia" w:ascii="宋体" w:hAnsi="宋体" w:cs="宋体"/>
          <w:b/>
          <w:bCs/>
          <w:color w:val="000000"/>
          <w:sz w:val="24"/>
        </w:rPr>
        <w:t>附件6：</w:t>
      </w:r>
    </w:p>
    <w:p w14:paraId="2AAC77F7">
      <w:pPr>
        <w:spacing w:after="312" w:afterLines="100" w:line="480" w:lineRule="auto"/>
        <w:jc w:val="center"/>
        <w:rPr>
          <w:rFonts w:ascii="宋体" w:hAnsi="宋体" w:cs="宋体"/>
          <w:b/>
          <w:bCs/>
          <w:color w:val="000000"/>
          <w:kern w:val="0"/>
          <w:sz w:val="32"/>
          <w:szCs w:val="32"/>
          <w:lang w:val="zh-CN"/>
        </w:rPr>
      </w:pPr>
      <w:r>
        <w:rPr>
          <w:rFonts w:hint="eastAsia" w:ascii="宋体" w:hAnsi="宋体" w:cs="宋体"/>
          <w:b/>
          <w:bCs/>
          <w:color w:val="000000"/>
          <w:kern w:val="0"/>
          <w:sz w:val="32"/>
          <w:szCs w:val="32"/>
          <w:lang w:val="zh-CN"/>
        </w:rPr>
        <w:t>具有履行合同所必需的设备和专业技术能力的承诺函</w:t>
      </w:r>
    </w:p>
    <w:p w14:paraId="51FE5C3D">
      <w:pPr>
        <w:spacing w:line="480" w:lineRule="auto"/>
        <w:jc w:val="left"/>
        <w:rPr>
          <w:rFonts w:ascii="宋体" w:hAnsi="宋体" w:cs="宋体"/>
          <w:color w:val="000000"/>
          <w:sz w:val="28"/>
          <w:szCs w:val="28"/>
        </w:rPr>
      </w:pPr>
      <w:r>
        <w:rPr>
          <w:rFonts w:hint="eastAsia" w:ascii="宋体" w:hAnsi="宋体" w:cs="宋体"/>
          <w:color w:val="000000"/>
          <w:sz w:val="28"/>
          <w:szCs w:val="28"/>
        </w:rPr>
        <w:t xml:space="preserve"> 仙居县</w:t>
      </w:r>
      <w:r>
        <w:rPr>
          <w:rFonts w:hint="eastAsia" w:ascii="宋体" w:hAnsi="宋体" w:cs="宋体"/>
          <w:color w:val="000000"/>
          <w:sz w:val="28"/>
          <w:szCs w:val="28"/>
          <w:lang w:eastAsia="zh-CN"/>
        </w:rPr>
        <w:t>淡竹乡</w:t>
      </w:r>
      <w:r>
        <w:rPr>
          <w:rFonts w:hint="eastAsia" w:ascii="宋体" w:hAnsi="宋体" w:cs="宋体"/>
          <w:color w:val="000000"/>
          <w:sz w:val="28"/>
          <w:szCs w:val="28"/>
        </w:rPr>
        <w:t>人民政府：</w:t>
      </w:r>
    </w:p>
    <w:p w14:paraId="3CCBAE20">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在贵方组织的</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rPr>
        <w:t>磋商邀请，我公司在完全理解本项目采购的技术要求、商务条款及其他内容后，决定参与该项目的采购活动。并承诺，如中标，我公司将提供足够的设备和专业技术能力保证本合同履行。</w:t>
      </w:r>
    </w:p>
    <w:p w14:paraId="2FF3D29B">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本公司对上述承诺的真实性负责。如有虚假，我公司同意按我方合同违约处理，并依法承担相应法律责任。</w:t>
      </w:r>
    </w:p>
    <w:p w14:paraId="15B347C5">
      <w:pPr>
        <w:spacing w:line="450" w:lineRule="atLeast"/>
        <w:ind w:right="480" w:firstLine="5040" w:firstLineChars="1800"/>
        <w:rPr>
          <w:rFonts w:ascii="宋体" w:hAnsi="宋体" w:cs="宋体"/>
          <w:color w:val="000000"/>
          <w:sz w:val="28"/>
          <w:szCs w:val="28"/>
        </w:rPr>
      </w:pPr>
    </w:p>
    <w:p w14:paraId="045F1C95">
      <w:pPr>
        <w:spacing w:line="450" w:lineRule="atLeast"/>
        <w:jc w:val="left"/>
        <w:rPr>
          <w:rFonts w:ascii="宋体" w:hAnsi="宋体" w:cs="宋体"/>
          <w:color w:val="000000"/>
          <w:sz w:val="28"/>
          <w:szCs w:val="28"/>
        </w:rPr>
      </w:pPr>
      <w:r>
        <w:rPr>
          <w:rFonts w:hint="eastAsia" w:ascii="宋体" w:hAnsi="宋体" w:cs="宋体"/>
          <w:color w:val="000000"/>
          <w:sz w:val="28"/>
          <w:szCs w:val="28"/>
        </w:rPr>
        <w:t>                               声明人 (盖单位章)：</w:t>
      </w:r>
    </w:p>
    <w:p w14:paraId="7263E394">
      <w:pPr>
        <w:pStyle w:val="15"/>
        <w:spacing w:before="156" w:after="156" w:line="360" w:lineRule="auto"/>
        <w:ind w:firstLine="5460" w:firstLineChars="1950"/>
        <w:rPr>
          <w:rFonts w:hAnsi="宋体" w:cs="宋体"/>
          <w:bCs/>
          <w:color w:val="000000"/>
          <w:sz w:val="28"/>
          <w:szCs w:val="28"/>
          <w:lang w:val="zh-CN"/>
        </w:rPr>
      </w:pPr>
      <w:r>
        <w:rPr>
          <w:rFonts w:hint="eastAsia" w:hAnsi="宋体" w:cs="宋体"/>
          <w:bCs/>
          <w:sz w:val="28"/>
          <w:szCs w:val="28"/>
        </w:rPr>
        <w:t xml:space="preserve">  </w:t>
      </w:r>
      <w:r>
        <w:rPr>
          <w:rFonts w:hint="eastAsia" w:hAnsi="宋体" w:cs="宋体"/>
          <w:bCs/>
          <w:color w:val="000000"/>
          <w:sz w:val="28"/>
          <w:szCs w:val="28"/>
        </w:rPr>
        <w:t>日　期：</w:t>
      </w:r>
    </w:p>
    <w:p w14:paraId="0F6E4DB9">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271C68CF">
      <w:pPr>
        <w:spacing w:line="360" w:lineRule="auto"/>
        <w:rPr>
          <w:rFonts w:ascii="宋体" w:hAnsi="宋体" w:cs="宋体"/>
          <w:b/>
          <w:bCs/>
          <w:color w:val="000000"/>
          <w:sz w:val="24"/>
        </w:rPr>
      </w:pPr>
      <w:r>
        <w:rPr>
          <w:rFonts w:hint="eastAsia" w:ascii="宋体" w:hAnsi="宋体" w:cs="宋体"/>
          <w:b/>
          <w:bCs/>
          <w:color w:val="000000"/>
          <w:sz w:val="24"/>
        </w:rPr>
        <w:t xml:space="preserve">附件7： </w:t>
      </w:r>
    </w:p>
    <w:p w14:paraId="734DC47B">
      <w:pPr>
        <w:spacing w:after="120" w:afterLines="50" w:line="480" w:lineRule="auto"/>
        <w:jc w:val="center"/>
        <w:rPr>
          <w:rFonts w:ascii="宋体" w:hAnsi="宋体" w:cs="宋体"/>
          <w:b/>
          <w:sz w:val="32"/>
          <w:szCs w:val="32"/>
        </w:rPr>
      </w:pPr>
      <w:r>
        <w:rPr>
          <w:rFonts w:hint="eastAsia" w:ascii="宋体" w:hAnsi="宋体" w:cs="宋体"/>
          <w:b/>
          <w:sz w:val="32"/>
          <w:szCs w:val="32"/>
        </w:rPr>
        <w:t>中小企业声明函（工程、服务）</w:t>
      </w:r>
    </w:p>
    <w:p w14:paraId="1D8107EB">
      <w:pPr>
        <w:spacing w:line="360" w:lineRule="auto"/>
        <w:ind w:firstLine="720" w:firstLineChars="300"/>
        <w:jc w:val="left"/>
        <w:rPr>
          <w:rFonts w:ascii="宋体" w:hAnsi="宋体" w:cs="宋体"/>
          <w:color w:val="000000"/>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 xml:space="preserve"> 仙居县</w:t>
      </w:r>
      <w:r>
        <w:rPr>
          <w:rFonts w:hint="eastAsia" w:ascii="宋体" w:hAnsi="宋体" w:cs="宋体"/>
          <w:sz w:val="24"/>
          <w:u w:val="single"/>
          <w:lang w:eastAsia="zh-CN"/>
        </w:rPr>
        <w:t>淡竹乡</w:t>
      </w:r>
      <w:r>
        <w:rPr>
          <w:rFonts w:hint="eastAsia" w:ascii="宋体" w:hAnsi="宋体" w:cs="宋体"/>
          <w:sz w:val="24"/>
          <w:u w:val="single"/>
        </w:rPr>
        <w:t xml:space="preserve">人民政府 </w:t>
      </w:r>
      <w:r>
        <w:rPr>
          <w:rFonts w:hint="eastAsia" w:ascii="宋体" w:hAnsi="宋体" w:cs="宋体"/>
          <w:sz w:val="24"/>
        </w:rPr>
        <w:t>的</w:t>
      </w:r>
      <w:r>
        <w:rPr>
          <w:rFonts w:hint="eastAsia" w:ascii="宋体" w:hAnsi="宋体" w:cs="宋体"/>
          <w:sz w:val="24"/>
          <w:u w:val="single"/>
        </w:rPr>
        <w:t xml:space="preserve"> </w:t>
      </w:r>
      <w:r>
        <w:fldChar w:fldCharType="begin"/>
      </w:r>
      <w:r>
        <w:instrText xml:space="preserve"> HYPERLINK "https://www.zcygov.cn/proj-procurement/project-result-detail/5db2d3321d37c0db?utm=web-react-project-procurement-front.18f55720.0.0.a9598ed04e4911ebaca96dcf9f189cdf" \t "https://www.zcygov.cn/proj-procurement/self-project/_blank" </w:instrText>
      </w:r>
      <w:r>
        <w:fldChar w:fldCharType="separate"/>
      </w:r>
      <w:r>
        <w:rPr>
          <w:rFonts w:hint="eastAsia" w:ascii="宋体" w:hAnsi="宋体" w:cs="宋体"/>
          <w:sz w:val="24"/>
          <w:u w:val="single"/>
          <w:lang w:eastAsia="zh-CN"/>
        </w:rPr>
        <w:t>台州市仙居县浙南山地生态系统综合治理及生物多样性保护项目（淡竹乡）</w:t>
      </w:r>
      <w:r>
        <w:rPr>
          <w:rFonts w:hint="eastAsia" w:ascii="宋体" w:hAnsi="宋体" w:cs="宋体"/>
          <w:sz w:val="24"/>
          <w:u w:val="single"/>
        </w:rPr>
        <w:fldChar w:fldCharType="end"/>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4F61FBB5">
      <w:pPr>
        <w:pStyle w:val="30"/>
        <w:widowControl w:val="0"/>
        <w:numPr>
          <w:ilvl w:val="0"/>
          <w:numId w:val="14"/>
        </w:numPr>
        <w:spacing w:before="0" w:beforeAutospacing="0" w:after="0" w:afterAutospacing="0" w:line="360" w:lineRule="auto"/>
        <w:ind w:firstLine="480" w:firstLineChars="200"/>
        <w:jc w:val="both"/>
        <w:rPr>
          <w:rFonts w:cs="宋体"/>
        </w:rPr>
      </w:pPr>
      <w:r>
        <w:rPr>
          <w:rFonts w:hint="eastAsia" w:cs="宋体"/>
          <w:u w:val="single"/>
          <w:lang w:eastAsia="zh-CN"/>
        </w:rPr>
        <w:t>台州市仙居县浙南山地生态系统综合治理及生物多样性保护项目（淡竹乡）</w:t>
      </w:r>
      <w:r>
        <w:rPr>
          <w:rFonts w:hint="eastAsia" w:cs="宋体"/>
          <w:u w:val="single"/>
        </w:rPr>
        <w:t xml:space="preserve"> </w:t>
      </w:r>
      <w:r>
        <w:rPr>
          <w:rFonts w:hint="eastAsia" w:cs="宋体"/>
        </w:rPr>
        <w:t>，属于</w:t>
      </w:r>
      <w:r>
        <w:rPr>
          <w:rFonts w:hint="eastAsia" w:cs="宋体"/>
          <w:u w:val="single"/>
        </w:rPr>
        <w:t>农、林、牧、渔业</w:t>
      </w:r>
      <w:r>
        <w:rPr>
          <w:rFonts w:hint="eastAsia" w:cs="宋体"/>
        </w:rPr>
        <w:t>；承建（承接）企业为</w:t>
      </w:r>
      <w:r>
        <w:rPr>
          <w:rFonts w:hint="eastAsia" w:cs="宋体"/>
          <w:u w:val="single"/>
        </w:rPr>
        <w:t xml:space="preserve">  （企业名称）   </w:t>
      </w:r>
      <w:r>
        <w:rPr>
          <w:rFonts w:hint="eastAsia" w:cs="宋体"/>
        </w:rPr>
        <w:t>，从业人员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 xml:space="preserve">； </w:t>
      </w:r>
    </w:p>
    <w:p w14:paraId="59FC1F8A">
      <w:pPr>
        <w:pStyle w:val="30"/>
        <w:widowControl w:val="0"/>
        <w:numPr>
          <w:ilvl w:val="0"/>
          <w:numId w:val="14"/>
        </w:numPr>
        <w:spacing w:before="0" w:beforeAutospacing="0" w:after="0" w:afterAutospacing="0" w:line="360" w:lineRule="auto"/>
        <w:ind w:firstLine="480" w:firstLineChars="200"/>
        <w:jc w:val="both"/>
        <w:rPr>
          <w:rFonts w:cs="宋体"/>
          <w:color w:val="auto"/>
          <w:spacing w:val="6"/>
        </w:rPr>
      </w:pPr>
      <w:r>
        <w:rPr>
          <w:rFonts w:hint="eastAsia" w:cs="宋体"/>
          <w:u w:val="single"/>
        </w:rPr>
        <w:t xml:space="preserve">（标的名称） </w:t>
      </w:r>
      <w:r>
        <w:rPr>
          <w:rFonts w:hint="eastAsia" w:cs="宋体"/>
        </w:rPr>
        <w:t>，属于</w:t>
      </w:r>
      <w:r>
        <w:rPr>
          <w:rFonts w:hint="eastAsia" w:cs="宋体"/>
          <w:u w:val="single"/>
        </w:rPr>
        <w:t>（采购文件中明确的所属行业）</w:t>
      </w:r>
      <w:r>
        <w:rPr>
          <w:rFonts w:hint="eastAsia" w:cs="宋体"/>
        </w:rPr>
        <w:t>；承建（承接）企业为</w:t>
      </w:r>
      <w:r>
        <w:rPr>
          <w:rFonts w:hint="eastAsia" w:cs="宋体"/>
          <w:u w:val="single"/>
        </w:rPr>
        <w:t>（企业名称）</w:t>
      </w:r>
      <w:r>
        <w:rPr>
          <w:rFonts w:hint="eastAsia" w:cs="宋体"/>
        </w:rPr>
        <w:t>，从业人员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w:t>
      </w:r>
    </w:p>
    <w:p w14:paraId="3220833E">
      <w:pPr>
        <w:pStyle w:val="30"/>
        <w:widowControl w:val="0"/>
        <w:spacing w:before="0" w:beforeAutospacing="0" w:after="0" w:afterAutospacing="0" w:line="360" w:lineRule="auto"/>
        <w:ind w:firstLine="480" w:firstLineChars="200"/>
        <w:jc w:val="both"/>
        <w:rPr>
          <w:rFonts w:cs="宋体"/>
          <w:color w:val="auto"/>
          <w:spacing w:val="6"/>
        </w:rPr>
      </w:pPr>
      <w:r>
        <w:rPr>
          <w:rFonts w:hint="eastAsia" w:cs="宋体"/>
        </w:rPr>
        <w:t xml:space="preserve"> …… </w:t>
      </w:r>
    </w:p>
    <w:p w14:paraId="25A93329">
      <w:pPr>
        <w:pStyle w:val="30"/>
        <w:widowControl w:val="0"/>
        <w:spacing w:before="0" w:beforeAutospacing="0" w:after="0" w:afterAutospacing="0" w:line="360" w:lineRule="auto"/>
        <w:ind w:firstLine="480" w:firstLineChars="200"/>
        <w:jc w:val="both"/>
        <w:rPr>
          <w:rFonts w:cs="宋体"/>
        </w:rPr>
      </w:pPr>
      <w:r>
        <w:rPr>
          <w:rFonts w:hint="eastAsia" w:cs="宋体"/>
        </w:rPr>
        <w:t xml:space="preserve">以上企业，不属于大企业的分支机构，不存在控股股东为大企业的情形，也不存在与大企业的负责人为同一人的情形。 本企业对上述声明内容的真实性负责。如有虚假，将依 法承担相应责任。 </w:t>
      </w:r>
    </w:p>
    <w:p w14:paraId="05BBDB57">
      <w:pPr>
        <w:pStyle w:val="30"/>
        <w:widowControl w:val="0"/>
        <w:spacing w:before="0" w:beforeAutospacing="0" w:after="0" w:afterAutospacing="0"/>
        <w:ind w:firstLine="504" w:firstLineChars="200"/>
        <w:jc w:val="both"/>
        <w:rPr>
          <w:rFonts w:cs="宋体"/>
          <w:color w:val="auto"/>
          <w:spacing w:val="6"/>
        </w:rPr>
      </w:pPr>
    </w:p>
    <w:p w14:paraId="15CF4C3E">
      <w:pPr>
        <w:widowControl/>
        <w:ind w:firstLine="482" w:firstLineChars="200"/>
        <w:jc w:val="left"/>
        <w:rPr>
          <w:rFonts w:ascii="宋体"/>
          <w:b/>
          <w:sz w:val="24"/>
          <w:lang w:val="zh-CN"/>
        </w:rPr>
      </w:pPr>
      <w:r>
        <w:rPr>
          <w:rFonts w:hint="eastAsia"/>
          <w:b/>
          <w:sz w:val="24"/>
        </w:rPr>
        <w:t>企业名称（盖章）：</w:t>
      </w:r>
      <w:r>
        <w:rPr>
          <w:rFonts w:ascii="宋体"/>
          <w:b/>
          <w:sz w:val="24"/>
          <w:lang w:val="zh-CN"/>
        </w:rPr>
        <w:t xml:space="preserve">          </w:t>
      </w:r>
    </w:p>
    <w:p w14:paraId="25CE0B46">
      <w:pPr>
        <w:widowControl/>
        <w:ind w:firstLine="480" w:firstLineChars="200"/>
        <w:jc w:val="right"/>
        <w:rPr>
          <w:kern w:val="0"/>
          <w:sz w:val="24"/>
        </w:rPr>
      </w:pPr>
    </w:p>
    <w:p w14:paraId="79412404">
      <w:pPr>
        <w:ind w:firstLine="480" w:firstLineChars="200"/>
        <w:jc w:val="center"/>
        <w:rPr>
          <w:rFonts w:ascii="宋体" w:hAnsi="宋体" w:cs="宋体"/>
          <w:sz w:val="24"/>
          <w:lang w:val="zh-CN"/>
        </w:rPr>
      </w:pPr>
      <w:r>
        <w:rPr>
          <w:sz w:val="24"/>
        </w:rPr>
        <w:t>日期：</w:t>
      </w:r>
    </w:p>
    <w:p w14:paraId="12E782ED">
      <w:pPr>
        <w:pStyle w:val="48"/>
        <w:rPr>
          <w:rFonts w:ascii="宋体" w:hAnsi="宋体"/>
          <w:color w:val="FF0000"/>
          <w:sz w:val="18"/>
          <w:lang w:val="en-GB"/>
        </w:rPr>
      </w:pPr>
    </w:p>
    <w:p w14:paraId="2AAC94E4">
      <w:pPr>
        <w:pStyle w:val="48"/>
        <w:rPr>
          <w:rFonts w:ascii="宋体" w:hAnsi="宋体"/>
          <w:color w:val="FF0000"/>
          <w:sz w:val="18"/>
          <w:lang w:val="en-GB"/>
        </w:rPr>
      </w:pPr>
      <w:r>
        <w:rPr>
          <w:rFonts w:hint="eastAsia" w:ascii="宋体" w:hAnsi="宋体"/>
          <w:color w:val="FF0000"/>
          <w:sz w:val="18"/>
          <w:lang w:val="en-GB"/>
        </w:rPr>
        <w:t>填写注意事项：</w:t>
      </w:r>
    </w:p>
    <w:p w14:paraId="7BED523F">
      <w:pPr>
        <w:pStyle w:val="48"/>
        <w:numPr>
          <w:ilvl w:val="0"/>
          <w:numId w:val="15"/>
        </w:numPr>
        <w:ind w:firstLine="360" w:firstLineChars="200"/>
        <w:rPr>
          <w:rFonts w:ascii="宋体" w:hAnsi="宋体"/>
          <w:color w:val="FF0000"/>
          <w:sz w:val="18"/>
          <w:lang w:val="en-GB"/>
        </w:rPr>
      </w:pPr>
      <w:r>
        <w:rPr>
          <w:rFonts w:hint="eastAsia" w:ascii="宋体" w:hAnsi="宋体"/>
          <w:color w:val="FF0000"/>
          <w:sz w:val="18"/>
        </w:rPr>
        <w:t>从业人员、营业收入、资产总额填报上一年度数据，无上一年度数据的新成立企业可不填报。</w:t>
      </w:r>
    </w:p>
    <w:p w14:paraId="3BEA11F2">
      <w:pPr>
        <w:pStyle w:val="48"/>
        <w:numPr>
          <w:ilvl w:val="0"/>
          <w:numId w:val="15"/>
        </w:numPr>
        <w:ind w:firstLine="360" w:firstLineChars="200"/>
        <w:rPr>
          <w:rFonts w:ascii="宋体" w:hAnsi="宋体"/>
          <w:color w:val="FF0000"/>
          <w:sz w:val="18"/>
        </w:rPr>
      </w:pPr>
      <w:r>
        <w:rPr>
          <w:rFonts w:hint="eastAsia" w:ascii="宋体" w:hAnsi="宋体"/>
          <w:color w:val="FF0000"/>
          <w:sz w:val="18"/>
        </w:rPr>
        <w:t>标的所属行业详见第四章“招标需求”。</w:t>
      </w:r>
    </w:p>
    <w:p w14:paraId="3C3D837C">
      <w:pPr>
        <w:pStyle w:val="48"/>
        <w:numPr>
          <w:ilvl w:val="0"/>
          <w:numId w:val="15"/>
        </w:numPr>
        <w:ind w:firstLine="360" w:firstLineChars="200"/>
        <w:rPr>
          <w:rFonts w:ascii="宋体" w:hAnsi="宋体"/>
          <w:color w:val="FF0000"/>
          <w:sz w:val="18"/>
        </w:rPr>
      </w:pPr>
      <w:r>
        <w:rPr>
          <w:rFonts w:hint="eastAsia" w:ascii="宋体" w:hAnsi="宋体"/>
          <w:color w:val="FF0000"/>
          <w:sz w:val="18"/>
          <w:lang w:val="zh-CN"/>
        </w:rPr>
        <w:t>中型企业、小型企业、微型企业请根据《</w:t>
      </w:r>
      <w:r>
        <w:rPr>
          <w:rFonts w:hint="eastAsia" w:ascii="宋体" w:hAnsi="宋体"/>
          <w:color w:val="FF0000"/>
          <w:sz w:val="18"/>
        </w:rPr>
        <w:t>关于印发中小企业划型标准规定的通知</w:t>
      </w:r>
      <w:r>
        <w:rPr>
          <w:rFonts w:hint="eastAsia" w:ascii="宋体" w:hAnsi="宋体"/>
          <w:color w:val="FF0000"/>
          <w:sz w:val="18"/>
          <w:lang w:val="zh-CN"/>
        </w:rPr>
        <w:t>》</w:t>
      </w:r>
      <w:r>
        <w:rPr>
          <w:rFonts w:hint="eastAsia" w:ascii="宋体" w:hAnsi="宋体"/>
          <w:color w:val="FF0000"/>
          <w:sz w:val="18"/>
        </w:rPr>
        <w:t>工信部联企业〔2011〕300号文件标准填写。</w:t>
      </w:r>
    </w:p>
    <w:p w14:paraId="3F5AC3A0">
      <w:pPr>
        <w:rPr>
          <w:rFonts w:hAnsi="宋体" w:cs="宋体"/>
          <w:sz w:val="32"/>
          <w:szCs w:val="32"/>
          <w:lang w:val="en-GB"/>
        </w:rPr>
      </w:pPr>
      <w:r>
        <w:rPr>
          <w:rFonts w:hint="eastAsia" w:hAnsi="宋体" w:cs="宋体"/>
          <w:sz w:val="32"/>
          <w:szCs w:val="32"/>
          <w:lang w:val="en-GB"/>
        </w:rPr>
        <w:br w:type="page"/>
      </w:r>
    </w:p>
    <w:p w14:paraId="31823C44">
      <w:pPr>
        <w:pStyle w:val="15"/>
        <w:spacing w:before="120" w:after="120" w:line="360" w:lineRule="auto"/>
        <w:jc w:val="center"/>
        <w:rPr>
          <w:rFonts w:hAnsi="宋体" w:cs="宋体"/>
          <w:b/>
          <w:sz w:val="32"/>
          <w:szCs w:val="32"/>
          <w:lang w:val="en-GB"/>
        </w:rPr>
      </w:pPr>
      <w:r>
        <w:rPr>
          <w:rFonts w:hint="eastAsia" w:hAnsi="宋体" w:cs="宋体"/>
          <w:sz w:val="32"/>
          <w:szCs w:val="32"/>
          <w:lang w:val="en-GB"/>
        </w:rPr>
        <w:t>（</w:t>
      </w:r>
      <w:r>
        <w:rPr>
          <w:rFonts w:hint="eastAsia" w:hAnsi="宋体" w:cs="宋体"/>
          <w:sz w:val="32"/>
          <w:szCs w:val="32"/>
        </w:rPr>
        <w:t>2</w:t>
      </w:r>
      <w:r>
        <w:rPr>
          <w:rFonts w:hint="eastAsia" w:hAnsi="宋体" w:cs="宋体"/>
          <w:sz w:val="32"/>
          <w:szCs w:val="32"/>
          <w:lang w:val="en-GB"/>
        </w:rPr>
        <w:t>）残疾人福利性单位声明函</w:t>
      </w:r>
      <w:r>
        <w:rPr>
          <w:rFonts w:hint="eastAsia" w:hAnsi="宋体" w:cs="宋体"/>
          <w:i/>
          <w:sz w:val="28"/>
          <w:szCs w:val="28"/>
        </w:rPr>
        <w:t>（如有）</w:t>
      </w:r>
    </w:p>
    <w:p w14:paraId="5DA016E9">
      <w:pPr>
        <w:spacing w:line="360" w:lineRule="auto"/>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pacing w:val="6"/>
          <w:sz w:val="24"/>
          <w:u w:val="single"/>
        </w:rPr>
        <w:t>浙江广利工程</w:t>
      </w:r>
      <w:r>
        <w:rPr>
          <w:rFonts w:hint="eastAsia" w:ascii="宋体" w:hAnsi="宋体" w:cs="宋体"/>
          <w:spacing w:val="6"/>
          <w:sz w:val="24"/>
          <w:u w:val="single"/>
          <w:lang w:eastAsia="zh-CN"/>
        </w:rPr>
        <w:t>咨询有限公司</w:t>
      </w:r>
      <w:r>
        <w:rPr>
          <w:rFonts w:hint="eastAsia" w:ascii="宋体" w:hAnsi="宋体" w:cs="宋体"/>
          <w:spacing w:val="6"/>
          <w:sz w:val="24"/>
          <w:u w:val="single"/>
        </w:rPr>
        <w:t xml:space="preserve"> </w:t>
      </w:r>
      <w:r>
        <w:rPr>
          <w:rFonts w:hint="eastAsia" w:ascii="宋体" w:hAnsi="宋体" w:cs="宋体"/>
          <w:spacing w:val="6"/>
          <w:sz w:val="24"/>
        </w:rPr>
        <w:t>单位组织的</w:t>
      </w:r>
      <w:r>
        <w:rPr>
          <w:rFonts w:hint="eastAsia" w:ascii="宋体" w:hAnsi="宋体" w:cs="宋体"/>
          <w:spacing w:val="6"/>
          <w:sz w:val="24"/>
          <w:u w:val="single"/>
        </w:rPr>
        <w:t xml:space="preserve"> </w:t>
      </w:r>
      <w:r>
        <w:rPr>
          <w:rFonts w:hint="eastAsia" w:ascii="宋体" w:hAnsi="宋体" w:cs="宋体"/>
          <w:spacing w:val="6"/>
          <w:sz w:val="24"/>
          <w:u w:val="single"/>
          <w:lang w:eastAsia="zh-CN"/>
        </w:rPr>
        <w:t>台州市仙居县浙南山地生态系统综合治理及生物多样性保护项目（淡竹乡）</w:t>
      </w:r>
      <w:r>
        <w:rPr>
          <w:rFonts w:hint="eastAsia" w:ascii="宋体" w:hAnsi="宋体" w:cs="宋体"/>
          <w:spacing w:val="6"/>
          <w:sz w:val="24"/>
        </w:rPr>
        <w:t>项目采购活动提供本单位制造的货物（</w:t>
      </w:r>
      <w:r>
        <w:rPr>
          <w:rFonts w:hint="eastAsia" w:ascii="宋体" w:hAnsi="宋体" w:cs="宋体"/>
          <w:spacing w:val="6"/>
          <w:sz w:val="24"/>
          <w:u w:val="single"/>
        </w:rPr>
        <w:t>由本单位承担工程/提供服务</w:t>
      </w:r>
      <w:r>
        <w:rPr>
          <w:rFonts w:hint="eastAsia" w:ascii="宋体" w:hAnsi="宋体" w:cs="宋体"/>
          <w:spacing w:val="6"/>
          <w:sz w:val="24"/>
        </w:rPr>
        <w:t>），或者提供其他残疾人福利性单位制造的货物（不包括使用非残疾人福利性单位注册商标的货物）。</w:t>
      </w:r>
    </w:p>
    <w:p w14:paraId="579D6ED3">
      <w:pPr>
        <w:spacing w:line="360" w:lineRule="auto"/>
        <w:ind w:firstLine="504" w:firstLineChars="200"/>
        <w:rPr>
          <w:rFonts w:ascii="宋体" w:hAnsi="宋体" w:cs="宋体"/>
          <w:spacing w:val="6"/>
          <w:sz w:val="24"/>
        </w:rPr>
      </w:pPr>
      <w:r>
        <w:rPr>
          <w:rFonts w:hint="eastAsia" w:ascii="宋体" w:hAnsi="宋体" w:cs="宋体"/>
          <w:spacing w:val="6"/>
          <w:sz w:val="24"/>
        </w:rPr>
        <w:t xml:space="preserve">本单位对上述声明的真实性负责。如有虚假，将依法承担相应责任。           </w:t>
      </w:r>
    </w:p>
    <w:p w14:paraId="7D3AF8BD">
      <w:pPr>
        <w:tabs>
          <w:tab w:val="left" w:pos="4860"/>
        </w:tabs>
        <w:spacing w:line="360" w:lineRule="auto"/>
        <w:ind w:right="1560" w:firstLine="504" w:firstLineChars="200"/>
        <w:jc w:val="center"/>
        <w:rPr>
          <w:rFonts w:ascii="宋体" w:hAnsi="宋体" w:cs="宋体"/>
          <w:spacing w:val="6"/>
          <w:sz w:val="24"/>
        </w:rPr>
      </w:pPr>
      <w:r>
        <w:rPr>
          <w:rFonts w:hint="eastAsia" w:ascii="宋体" w:hAnsi="宋体" w:cs="宋体"/>
          <w:spacing w:val="6"/>
          <w:sz w:val="24"/>
        </w:rPr>
        <w:t xml:space="preserve">         </w:t>
      </w:r>
    </w:p>
    <w:p w14:paraId="0C0B7E87">
      <w:pPr>
        <w:tabs>
          <w:tab w:val="left" w:pos="4860"/>
        </w:tabs>
        <w:spacing w:line="360" w:lineRule="auto"/>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14:paraId="51AFFBBB">
      <w:pPr>
        <w:tabs>
          <w:tab w:val="left" w:pos="4860"/>
        </w:tabs>
        <w:spacing w:line="360" w:lineRule="auto"/>
        <w:ind w:right="1560" w:firstLine="504" w:firstLineChars="200"/>
        <w:jc w:val="center"/>
        <w:rPr>
          <w:rFonts w:ascii="宋体" w:hAnsi="宋体" w:cs="宋体"/>
          <w:sz w:val="24"/>
        </w:rPr>
      </w:pPr>
      <w:r>
        <w:rPr>
          <w:rFonts w:hint="eastAsia" w:ascii="宋体" w:hAnsi="宋体" w:cs="宋体"/>
          <w:spacing w:val="6"/>
          <w:sz w:val="24"/>
        </w:rPr>
        <w:t xml:space="preserve">            日  期：</w:t>
      </w:r>
    </w:p>
    <w:p w14:paraId="3AEF0630">
      <w:pPr>
        <w:pStyle w:val="48"/>
        <w:spacing w:after="120" w:line="360" w:lineRule="auto"/>
        <w:rPr>
          <w:rFonts w:ascii="宋体" w:hAnsi="宋体" w:cs="宋体"/>
          <w:sz w:val="24"/>
        </w:rPr>
      </w:pPr>
      <w:r>
        <w:rPr>
          <w:rFonts w:hint="eastAsia" w:ascii="宋体" w:hAnsi="宋体" w:cs="宋体"/>
          <w:sz w:val="24"/>
        </w:rPr>
        <w:t>－－－－－－－－－－－－－－－－－－－－－－－－－－－－－－－－－－－－</w:t>
      </w:r>
    </w:p>
    <w:p w14:paraId="2A98F975">
      <w:pPr>
        <w:pStyle w:val="15"/>
        <w:spacing w:before="120" w:after="120" w:line="360" w:lineRule="auto"/>
        <w:jc w:val="center"/>
        <w:rPr>
          <w:rFonts w:hAnsi="宋体" w:cs="宋体"/>
          <w:sz w:val="32"/>
          <w:szCs w:val="32"/>
          <w:lang w:val="en-GB"/>
        </w:rPr>
      </w:pPr>
      <w:r>
        <w:rPr>
          <w:rFonts w:hint="eastAsia" w:hAnsi="宋体" w:cs="宋体"/>
          <w:sz w:val="32"/>
          <w:szCs w:val="32"/>
          <w:lang w:val="en-GB"/>
        </w:rPr>
        <w:t>（</w:t>
      </w:r>
      <w:r>
        <w:rPr>
          <w:rFonts w:hint="eastAsia" w:hAnsi="宋体" w:cs="宋体"/>
          <w:sz w:val="32"/>
          <w:szCs w:val="32"/>
        </w:rPr>
        <w:t>3</w:t>
      </w:r>
      <w:r>
        <w:rPr>
          <w:rFonts w:hint="eastAsia" w:hAnsi="宋体" w:cs="宋体"/>
          <w:sz w:val="32"/>
          <w:szCs w:val="32"/>
          <w:lang w:val="en-GB"/>
        </w:rPr>
        <w:t>）监狱企业</w:t>
      </w:r>
      <w:r>
        <w:rPr>
          <w:rFonts w:hint="eastAsia" w:hAnsi="宋体" w:cs="宋体"/>
          <w:i/>
          <w:sz w:val="28"/>
          <w:szCs w:val="28"/>
        </w:rPr>
        <w:t>（如有）</w:t>
      </w:r>
    </w:p>
    <w:p w14:paraId="6D9D020A">
      <w:pPr>
        <w:spacing w:line="360" w:lineRule="auto"/>
        <w:ind w:firstLine="420" w:firstLineChars="200"/>
        <w:rPr>
          <w:rFonts w:ascii="宋体" w:hAnsi="宋体" w:cs="宋体"/>
          <w:szCs w:val="21"/>
        </w:rPr>
      </w:pPr>
      <w:r>
        <w:rPr>
          <w:rFonts w:hint="eastAsia" w:ascii="宋体" w:hAnsi="宋体" w:cs="宋体"/>
          <w:szCs w:val="21"/>
          <w:lang w:val="zh-CN"/>
        </w:rPr>
        <w:t>监狱企业参加政府采购活动时，应当提供由省级以上监狱管理局、戒毒管理局（含新疆生产建设兵团）出具的</w:t>
      </w:r>
      <w:r>
        <w:rPr>
          <w:rFonts w:hint="eastAsia" w:ascii="宋体" w:hAnsi="宋体" w:cs="宋体"/>
          <w:b/>
          <w:szCs w:val="21"/>
          <w:u w:val="single"/>
          <w:lang w:val="zh-CN"/>
        </w:rPr>
        <w:t>属于监狱企业的证明文件，视同小型、微型企业，享受小微企业政府采购优惠政策；</w:t>
      </w:r>
    </w:p>
    <w:p w14:paraId="7160E485">
      <w:pPr>
        <w:rPr>
          <w:lang w:val="zh-CN"/>
        </w:rPr>
        <w:sectPr>
          <w:pgSz w:w="11906" w:h="16838"/>
          <w:pgMar w:top="1418" w:right="1418" w:bottom="1418" w:left="1418" w:header="851" w:footer="992" w:gutter="0"/>
          <w:pgNumType w:fmt="decimal"/>
          <w:cols w:space="720" w:num="1"/>
          <w:docGrid w:linePitch="312" w:charSpace="0"/>
        </w:sectPr>
      </w:pPr>
    </w:p>
    <w:p w14:paraId="6FEF1782">
      <w:pPr>
        <w:pStyle w:val="4"/>
        <w:spacing w:before="312" w:beforeLines="100" w:after="0"/>
        <w:jc w:val="center"/>
        <w:rPr>
          <w:rFonts w:ascii="宋体" w:hAnsi="宋体" w:eastAsia="宋体" w:cs="宋体"/>
          <w:bCs w:val="0"/>
          <w:lang w:val="zh-CN"/>
        </w:rPr>
      </w:pPr>
      <w:bookmarkStart w:id="141" w:name="_Toc14537"/>
      <w:r>
        <w:rPr>
          <w:rFonts w:hint="eastAsia" w:ascii="宋体" w:hAnsi="宋体" w:eastAsia="宋体" w:cs="宋体"/>
          <w:bCs w:val="0"/>
          <w:lang w:val="zh-CN"/>
        </w:rPr>
        <w:t>2、商务资信技术文件格式</w:t>
      </w:r>
      <w:bookmarkEnd w:id="138"/>
      <w:bookmarkEnd w:id="139"/>
      <w:bookmarkEnd w:id="141"/>
    </w:p>
    <w:p w14:paraId="3D52DD52">
      <w:pPr>
        <w:spacing w:before="100" w:beforeAutospacing="1" w:after="100" w:afterAutospacing="1"/>
        <w:jc w:val="center"/>
        <w:rPr>
          <w:rFonts w:ascii="宋体" w:hAnsi="宋体" w:cs="宋体"/>
          <w:b/>
          <w:sz w:val="32"/>
          <w:szCs w:val="32"/>
        </w:rPr>
      </w:pPr>
      <w:r>
        <w:rPr>
          <w:rFonts w:hint="eastAsia" w:ascii="宋体" w:hAnsi="宋体" w:cs="宋体"/>
          <w:b/>
          <w:sz w:val="32"/>
          <w:szCs w:val="32"/>
        </w:rPr>
        <w:t>目  录</w:t>
      </w:r>
    </w:p>
    <w:p w14:paraId="1D1F9863">
      <w:pPr>
        <w:spacing w:line="480" w:lineRule="auto"/>
        <w:jc w:val="center"/>
        <w:rPr>
          <w:rFonts w:ascii="宋体" w:hAnsi="宋体" w:cs="宋体"/>
          <w:sz w:val="24"/>
        </w:rPr>
      </w:pPr>
      <w:r>
        <w:rPr>
          <w:rFonts w:hint="eastAsia" w:ascii="宋体" w:hAnsi="宋体" w:cs="宋体"/>
          <w:sz w:val="24"/>
        </w:rPr>
        <w:t>（供应商可参考采购文件“第三章 磋商须知”商务资信技术文件组成要求编排）</w:t>
      </w:r>
    </w:p>
    <w:p w14:paraId="0655F106">
      <w:pPr>
        <w:spacing w:line="450" w:lineRule="atLeast"/>
        <w:jc w:val="left"/>
        <w:rPr>
          <w:rFonts w:ascii="宋体" w:hAnsi="宋体" w:cs="宋体"/>
          <w:b/>
          <w:color w:val="000000"/>
          <w:sz w:val="24"/>
        </w:rPr>
        <w:sectPr>
          <w:pgSz w:w="11906" w:h="16838"/>
          <w:pgMar w:top="1440" w:right="1587" w:bottom="1440" w:left="1587" w:header="851" w:footer="992" w:gutter="0"/>
          <w:pgNumType w:fmt="decimal"/>
          <w:cols w:space="720" w:num="1"/>
          <w:docGrid w:type="lines" w:linePitch="312" w:charSpace="0"/>
        </w:sectPr>
      </w:pPr>
      <w:bookmarkStart w:id="142" w:name="_Toc481505164"/>
      <w:bookmarkStart w:id="143" w:name="_Toc434090250"/>
      <w:r>
        <w:rPr>
          <w:rFonts w:hint="eastAsia" w:ascii="宋体" w:hAnsi="宋体" w:cs="宋体"/>
          <w:b/>
          <w:bCs/>
          <w:color w:val="000000"/>
          <w:sz w:val="24"/>
        </w:rPr>
        <w:br w:type="page"/>
      </w:r>
      <w:bookmarkEnd w:id="142"/>
      <w:bookmarkEnd w:id="143"/>
      <w:bookmarkStart w:id="144" w:name="_Toc481505160"/>
    </w:p>
    <w:p w14:paraId="7E2CBFEE">
      <w:pPr>
        <w:spacing w:line="360" w:lineRule="auto"/>
        <w:rPr>
          <w:rFonts w:ascii="宋体" w:hAnsi="宋体" w:cs="宋体"/>
          <w:b/>
          <w:bCs/>
          <w:color w:val="000000"/>
          <w:sz w:val="24"/>
        </w:rPr>
      </w:pPr>
      <w:r>
        <w:rPr>
          <w:rFonts w:hint="eastAsia" w:ascii="宋体" w:hAnsi="宋体" w:cs="宋体"/>
          <w:b/>
          <w:bCs/>
          <w:color w:val="000000"/>
          <w:sz w:val="24"/>
        </w:rPr>
        <w:t xml:space="preserve">附件8： </w:t>
      </w:r>
    </w:p>
    <w:p w14:paraId="6D2C6415">
      <w:pPr>
        <w:tabs>
          <w:tab w:val="left" w:pos="2790"/>
          <w:tab w:val="left" w:pos="4230"/>
        </w:tabs>
        <w:autoSpaceDE w:val="0"/>
        <w:autoSpaceDN w:val="0"/>
        <w:spacing w:line="440" w:lineRule="exact"/>
        <w:jc w:val="center"/>
        <w:rPr>
          <w:rFonts w:ascii="宋体" w:hAnsi="宋体" w:cs="宋体"/>
          <w:b/>
          <w:bCs/>
          <w:color w:val="000000"/>
          <w:kern w:val="0"/>
          <w:sz w:val="28"/>
          <w:szCs w:val="28"/>
          <w:lang w:val="zh-CN"/>
        </w:rPr>
      </w:pPr>
      <w:r>
        <w:rPr>
          <w:rFonts w:hint="eastAsia" w:ascii="宋体" w:hAnsi="宋体" w:cs="宋体"/>
          <w:b/>
          <w:bCs/>
          <w:color w:val="000000"/>
          <w:kern w:val="0"/>
          <w:sz w:val="28"/>
          <w:szCs w:val="28"/>
          <w:lang w:val="zh-CN"/>
        </w:rPr>
        <w:t>商务响应表</w:t>
      </w:r>
    </w:p>
    <w:p w14:paraId="314D940E">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06716CE3">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829"/>
        <w:gridCol w:w="3329"/>
        <w:gridCol w:w="3329"/>
        <w:gridCol w:w="872"/>
      </w:tblGrid>
      <w:tr w14:paraId="5870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2" w:type="dxa"/>
            <w:vAlign w:val="center"/>
          </w:tcPr>
          <w:p w14:paraId="02F59445">
            <w:pPr>
              <w:jc w:val="center"/>
              <w:rPr>
                <w:rFonts w:ascii="宋体" w:hAnsi="宋体" w:cs="宋体"/>
                <w:szCs w:val="21"/>
              </w:rPr>
            </w:pPr>
            <w:r>
              <w:rPr>
                <w:rFonts w:hint="eastAsia" w:ascii="宋体" w:hAnsi="宋体" w:cs="宋体"/>
                <w:szCs w:val="21"/>
              </w:rPr>
              <w:t>序号</w:t>
            </w:r>
          </w:p>
        </w:tc>
        <w:tc>
          <w:tcPr>
            <w:tcW w:w="1829" w:type="dxa"/>
            <w:vAlign w:val="center"/>
          </w:tcPr>
          <w:p w14:paraId="2C03653D">
            <w:pPr>
              <w:jc w:val="center"/>
              <w:rPr>
                <w:rFonts w:ascii="宋体" w:hAnsi="宋体" w:cs="宋体"/>
                <w:szCs w:val="21"/>
              </w:rPr>
            </w:pPr>
            <w:r>
              <w:rPr>
                <w:rFonts w:hint="eastAsia" w:ascii="宋体" w:hAnsi="宋体" w:cs="宋体"/>
                <w:szCs w:val="21"/>
              </w:rPr>
              <w:t>内  容</w:t>
            </w:r>
          </w:p>
        </w:tc>
        <w:tc>
          <w:tcPr>
            <w:tcW w:w="3329" w:type="dxa"/>
            <w:vAlign w:val="center"/>
          </w:tcPr>
          <w:p w14:paraId="5316F672">
            <w:pPr>
              <w:jc w:val="center"/>
              <w:rPr>
                <w:rFonts w:ascii="宋体" w:hAnsi="宋体" w:cs="宋体"/>
                <w:szCs w:val="21"/>
              </w:rPr>
            </w:pPr>
            <w:r>
              <w:rPr>
                <w:rFonts w:hint="eastAsia" w:ascii="宋体" w:hAnsi="宋体" w:cs="宋体"/>
                <w:szCs w:val="21"/>
              </w:rPr>
              <w:t>采购文件要求</w:t>
            </w:r>
          </w:p>
        </w:tc>
        <w:tc>
          <w:tcPr>
            <w:tcW w:w="3329" w:type="dxa"/>
            <w:vAlign w:val="center"/>
          </w:tcPr>
          <w:p w14:paraId="3770BEAB">
            <w:pPr>
              <w:jc w:val="center"/>
              <w:rPr>
                <w:rFonts w:ascii="宋体" w:hAnsi="宋体" w:cs="宋体"/>
                <w:szCs w:val="21"/>
              </w:rPr>
            </w:pPr>
            <w:r>
              <w:rPr>
                <w:rFonts w:hint="eastAsia" w:ascii="宋体" w:hAnsi="宋体" w:cs="宋体"/>
                <w:szCs w:val="21"/>
              </w:rPr>
              <w:t>供应商承诺</w:t>
            </w:r>
          </w:p>
        </w:tc>
        <w:tc>
          <w:tcPr>
            <w:tcW w:w="872" w:type="dxa"/>
            <w:vAlign w:val="center"/>
          </w:tcPr>
          <w:p w14:paraId="731620F9">
            <w:pPr>
              <w:jc w:val="center"/>
              <w:rPr>
                <w:rFonts w:ascii="宋体" w:hAnsi="宋体" w:cs="宋体"/>
                <w:szCs w:val="21"/>
              </w:rPr>
            </w:pPr>
            <w:r>
              <w:rPr>
                <w:rFonts w:hint="eastAsia" w:ascii="宋体" w:hAnsi="宋体"/>
                <w:szCs w:val="21"/>
              </w:rPr>
              <w:t>是否响应</w:t>
            </w:r>
          </w:p>
        </w:tc>
      </w:tr>
      <w:tr w14:paraId="69EC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63A561D7">
            <w:pPr>
              <w:spacing w:before="50" w:after="50" w:line="360" w:lineRule="auto"/>
              <w:jc w:val="center"/>
              <w:rPr>
                <w:rFonts w:ascii="宋体" w:hAnsi="宋体" w:cs="宋体"/>
                <w:szCs w:val="21"/>
              </w:rPr>
            </w:pPr>
            <w:r>
              <w:rPr>
                <w:rFonts w:hint="eastAsia" w:ascii="宋体" w:hAnsi="宋体" w:cs="宋体"/>
                <w:szCs w:val="21"/>
              </w:rPr>
              <w:t>1</w:t>
            </w:r>
          </w:p>
        </w:tc>
        <w:tc>
          <w:tcPr>
            <w:tcW w:w="1829" w:type="dxa"/>
            <w:shd w:val="clear" w:color="auto" w:fill="auto"/>
            <w:vAlign w:val="center"/>
          </w:tcPr>
          <w:p w14:paraId="5D00FAFF">
            <w:pPr>
              <w:jc w:val="center"/>
              <w:rPr>
                <w:rFonts w:ascii="宋体" w:hAnsi="宋体" w:cs="宋体"/>
                <w:szCs w:val="21"/>
                <w:highlight w:val="yellow"/>
              </w:rPr>
            </w:pPr>
          </w:p>
        </w:tc>
        <w:tc>
          <w:tcPr>
            <w:tcW w:w="3329" w:type="dxa"/>
            <w:vAlign w:val="center"/>
          </w:tcPr>
          <w:p w14:paraId="41897234">
            <w:pPr>
              <w:spacing w:line="360" w:lineRule="auto"/>
              <w:jc w:val="left"/>
              <w:rPr>
                <w:rFonts w:ascii="宋体" w:hAnsi="宋体" w:cs="宋体"/>
                <w:bCs/>
                <w:color w:val="0000FF"/>
                <w:szCs w:val="21"/>
                <w:highlight w:val="yellow"/>
              </w:rPr>
            </w:pPr>
          </w:p>
        </w:tc>
        <w:tc>
          <w:tcPr>
            <w:tcW w:w="3329" w:type="dxa"/>
            <w:vAlign w:val="center"/>
          </w:tcPr>
          <w:p w14:paraId="66B34F6A">
            <w:pPr>
              <w:spacing w:before="50" w:after="50" w:line="360" w:lineRule="auto"/>
              <w:jc w:val="center"/>
              <w:rPr>
                <w:rFonts w:ascii="宋体" w:hAnsi="宋体" w:cs="宋体"/>
                <w:szCs w:val="21"/>
              </w:rPr>
            </w:pPr>
          </w:p>
        </w:tc>
        <w:tc>
          <w:tcPr>
            <w:tcW w:w="872" w:type="dxa"/>
            <w:vAlign w:val="center"/>
          </w:tcPr>
          <w:p w14:paraId="68E9BCFF">
            <w:pPr>
              <w:spacing w:before="50" w:after="50" w:line="360" w:lineRule="auto"/>
              <w:jc w:val="center"/>
              <w:rPr>
                <w:rFonts w:ascii="宋体" w:hAnsi="宋体" w:cs="宋体"/>
                <w:szCs w:val="21"/>
              </w:rPr>
            </w:pPr>
          </w:p>
        </w:tc>
      </w:tr>
      <w:tr w14:paraId="5470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478F3843">
            <w:pPr>
              <w:spacing w:before="50" w:after="50" w:line="360" w:lineRule="auto"/>
              <w:jc w:val="center"/>
              <w:rPr>
                <w:rFonts w:ascii="宋体" w:hAnsi="宋体" w:cs="宋体"/>
                <w:szCs w:val="21"/>
              </w:rPr>
            </w:pPr>
            <w:r>
              <w:rPr>
                <w:rFonts w:hint="eastAsia" w:ascii="宋体" w:hAnsi="宋体" w:cs="宋体"/>
                <w:szCs w:val="21"/>
              </w:rPr>
              <w:t>2</w:t>
            </w:r>
          </w:p>
        </w:tc>
        <w:tc>
          <w:tcPr>
            <w:tcW w:w="1829" w:type="dxa"/>
            <w:shd w:val="clear" w:color="auto" w:fill="auto"/>
            <w:vAlign w:val="center"/>
          </w:tcPr>
          <w:p w14:paraId="0BDC7244">
            <w:pPr>
              <w:jc w:val="center"/>
              <w:rPr>
                <w:rFonts w:ascii="宋体" w:hAnsi="宋体" w:cs="宋体"/>
                <w:szCs w:val="21"/>
                <w:highlight w:val="yellow"/>
              </w:rPr>
            </w:pPr>
          </w:p>
        </w:tc>
        <w:tc>
          <w:tcPr>
            <w:tcW w:w="3329" w:type="dxa"/>
            <w:vAlign w:val="center"/>
          </w:tcPr>
          <w:p w14:paraId="0E080DF4">
            <w:pPr>
              <w:spacing w:line="360" w:lineRule="auto"/>
              <w:jc w:val="left"/>
              <w:rPr>
                <w:rFonts w:ascii="宋体" w:hAnsi="宋体" w:cs="宋体"/>
                <w:bCs/>
                <w:color w:val="0000FF"/>
                <w:szCs w:val="21"/>
                <w:highlight w:val="yellow"/>
              </w:rPr>
            </w:pPr>
          </w:p>
        </w:tc>
        <w:tc>
          <w:tcPr>
            <w:tcW w:w="3329" w:type="dxa"/>
            <w:vAlign w:val="center"/>
          </w:tcPr>
          <w:p w14:paraId="40B0206B">
            <w:pPr>
              <w:spacing w:before="50" w:after="50" w:line="360" w:lineRule="auto"/>
              <w:jc w:val="center"/>
              <w:rPr>
                <w:rFonts w:ascii="宋体" w:hAnsi="宋体" w:cs="宋体"/>
                <w:szCs w:val="21"/>
              </w:rPr>
            </w:pPr>
          </w:p>
        </w:tc>
        <w:tc>
          <w:tcPr>
            <w:tcW w:w="872" w:type="dxa"/>
            <w:vAlign w:val="center"/>
          </w:tcPr>
          <w:p w14:paraId="733A4A7D">
            <w:pPr>
              <w:spacing w:before="50" w:after="50" w:line="360" w:lineRule="auto"/>
              <w:jc w:val="center"/>
              <w:rPr>
                <w:rFonts w:ascii="宋体" w:hAnsi="宋体" w:cs="宋体"/>
                <w:szCs w:val="21"/>
              </w:rPr>
            </w:pPr>
          </w:p>
        </w:tc>
      </w:tr>
      <w:tr w14:paraId="660B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61ECCAE4">
            <w:pPr>
              <w:spacing w:before="50" w:after="50" w:line="360" w:lineRule="auto"/>
              <w:jc w:val="center"/>
              <w:rPr>
                <w:rFonts w:ascii="宋体" w:hAnsi="宋体" w:cs="宋体"/>
                <w:szCs w:val="21"/>
              </w:rPr>
            </w:pPr>
            <w:r>
              <w:rPr>
                <w:rFonts w:hint="eastAsia" w:ascii="宋体" w:hAnsi="宋体" w:cs="宋体"/>
                <w:szCs w:val="21"/>
              </w:rPr>
              <w:t>3</w:t>
            </w:r>
          </w:p>
        </w:tc>
        <w:tc>
          <w:tcPr>
            <w:tcW w:w="1829" w:type="dxa"/>
            <w:shd w:val="clear" w:color="auto" w:fill="auto"/>
            <w:vAlign w:val="center"/>
          </w:tcPr>
          <w:p w14:paraId="6CBAF7B6">
            <w:pPr>
              <w:pStyle w:val="4"/>
              <w:spacing w:before="0" w:after="0" w:line="360" w:lineRule="auto"/>
              <w:jc w:val="center"/>
              <w:rPr>
                <w:rFonts w:ascii="宋体" w:hAnsi="宋体" w:eastAsia="宋体" w:cs="宋体"/>
                <w:szCs w:val="21"/>
                <w:highlight w:val="yellow"/>
              </w:rPr>
            </w:pPr>
          </w:p>
        </w:tc>
        <w:tc>
          <w:tcPr>
            <w:tcW w:w="3329" w:type="dxa"/>
            <w:vAlign w:val="center"/>
          </w:tcPr>
          <w:p w14:paraId="42FAC4AB">
            <w:pPr>
              <w:spacing w:line="360" w:lineRule="auto"/>
              <w:jc w:val="left"/>
              <w:rPr>
                <w:rFonts w:ascii="宋体" w:hAnsi="宋体" w:cs="宋体"/>
                <w:bCs/>
                <w:color w:val="0000FF"/>
                <w:szCs w:val="21"/>
                <w:highlight w:val="yellow"/>
              </w:rPr>
            </w:pPr>
          </w:p>
        </w:tc>
        <w:tc>
          <w:tcPr>
            <w:tcW w:w="3329" w:type="dxa"/>
            <w:vAlign w:val="center"/>
          </w:tcPr>
          <w:p w14:paraId="5984176B">
            <w:pPr>
              <w:spacing w:before="50" w:after="50" w:line="360" w:lineRule="auto"/>
              <w:jc w:val="center"/>
              <w:rPr>
                <w:rFonts w:ascii="宋体" w:hAnsi="宋体" w:cs="宋体"/>
                <w:szCs w:val="21"/>
              </w:rPr>
            </w:pPr>
          </w:p>
        </w:tc>
        <w:tc>
          <w:tcPr>
            <w:tcW w:w="872" w:type="dxa"/>
            <w:vAlign w:val="center"/>
          </w:tcPr>
          <w:p w14:paraId="70C347F6">
            <w:pPr>
              <w:spacing w:before="50" w:after="50" w:line="360" w:lineRule="auto"/>
              <w:jc w:val="center"/>
              <w:rPr>
                <w:rFonts w:ascii="宋体" w:hAnsi="宋体" w:cs="宋体"/>
                <w:szCs w:val="21"/>
              </w:rPr>
            </w:pPr>
          </w:p>
        </w:tc>
      </w:tr>
      <w:tr w14:paraId="6EB2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59943460">
            <w:pPr>
              <w:spacing w:before="50" w:after="50" w:line="360" w:lineRule="auto"/>
              <w:jc w:val="center"/>
              <w:rPr>
                <w:rFonts w:ascii="宋体" w:hAnsi="宋体" w:cs="宋体"/>
                <w:szCs w:val="21"/>
              </w:rPr>
            </w:pPr>
            <w:r>
              <w:rPr>
                <w:rFonts w:hint="eastAsia" w:ascii="宋体" w:hAnsi="宋体" w:cs="宋体"/>
                <w:szCs w:val="21"/>
              </w:rPr>
              <w:t>4</w:t>
            </w:r>
          </w:p>
        </w:tc>
        <w:tc>
          <w:tcPr>
            <w:tcW w:w="1829" w:type="dxa"/>
            <w:vAlign w:val="center"/>
          </w:tcPr>
          <w:p w14:paraId="68547559">
            <w:pPr>
              <w:jc w:val="center"/>
              <w:rPr>
                <w:rFonts w:ascii="宋体" w:hAnsi="宋体" w:cs="宋体"/>
                <w:szCs w:val="21"/>
                <w:highlight w:val="yellow"/>
              </w:rPr>
            </w:pPr>
            <w:r>
              <w:rPr>
                <w:rFonts w:hint="eastAsia" w:ascii="宋体" w:hAnsi="宋体" w:cs="宋体"/>
                <w:szCs w:val="21"/>
              </w:rPr>
              <w:t>…</w:t>
            </w:r>
          </w:p>
        </w:tc>
        <w:tc>
          <w:tcPr>
            <w:tcW w:w="3329" w:type="dxa"/>
            <w:vAlign w:val="center"/>
          </w:tcPr>
          <w:p w14:paraId="4311D4BD">
            <w:pPr>
              <w:spacing w:line="276" w:lineRule="auto"/>
              <w:rPr>
                <w:rFonts w:ascii="宋体"/>
                <w:color w:val="0000FF"/>
                <w:szCs w:val="21"/>
                <w:highlight w:val="yellow"/>
              </w:rPr>
            </w:pPr>
          </w:p>
        </w:tc>
        <w:tc>
          <w:tcPr>
            <w:tcW w:w="3329" w:type="dxa"/>
            <w:vAlign w:val="center"/>
          </w:tcPr>
          <w:p w14:paraId="2B78A251">
            <w:pPr>
              <w:spacing w:before="50" w:after="50" w:line="360" w:lineRule="auto"/>
              <w:jc w:val="center"/>
              <w:rPr>
                <w:rFonts w:ascii="宋体" w:hAnsi="宋体" w:cs="宋体"/>
                <w:szCs w:val="21"/>
              </w:rPr>
            </w:pPr>
          </w:p>
        </w:tc>
        <w:tc>
          <w:tcPr>
            <w:tcW w:w="872" w:type="dxa"/>
            <w:vAlign w:val="center"/>
          </w:tcPr>
          <w:p w14:paraId="6CF0D50C">
            <w:pPr>
              <w:spacing w:before="50" w:after="50" w:line="360" w:lineRule="auto"/>
              <w:jc w:val="center"/>
              <w:rPr>
                <w:rFonts w:ascii="宋体" w:hAnsi="宋体" w:cs="宋体"/>
                <w:szCs w:val="21"/>
              </w:rPr>
            </w:pPr>
          </w:p>
        </w:tc>
      </w:tr>
      <w:tr w14:paraId="190F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12E5AD02">
            <w:pPr>
              <w:spacing w:before="50" w:after="50" w:line="360" w:lineRule="auto"/>
              <w:jc w:val="center"/>
              <w:rPr>
                <w:rFonts w:ascii="宋体" w:hAnsi="宋体" w:cs="宋体"/>
                <w:szCs w:val="21"/>
              </w:rPr>
            </w:pPr>
            <w:r>
              <w:rPr>
                <w:rFonts w:hint="eastAsia" w:ascii="宋体" w:hAnsi="宋体" w:cs="宋体"/>
                <w:szCs w:val="21"/>
              </w:rPr>
              <w:t>5</w:t>
            </w:r>
          </w:p>
        </w:tc>
        <w:tc>
          <w:tcPr>
            <w:tcW w:w="1829" w:type="dxa"/>
            <w:vAlign w:val="center"/>
          </w:tcPr>
          <w:p w14:paraId="08DC1E06">
            <w:pPr>
              <w:jc w:val="center"/>
              <w:rPr>
                <w:rFonts w:ascii="宋体" w:hAnsi="宋体" w:cs="宋体"/>
                <w:szCs w:val="21"/>
                <w:highlight w:val="yellow"/>
              </w:rPr>
            </w:pPr>
          </w:p>
        </w:tc>
        <w:tc>
          <w:tcPr>
            <w:tcW w:w="3329" w:type="dxa"/>
            <w:vAlign w:val="center"/>
          </w:tcPr>
          <w:p w14:paraId="192651DA">
            <w:pPr>
              <w:spacing w:line="276" w:lineRule="auto"/>
              <w:rPr>
                <w:rFonts w:ascii="宋体" w:hAnsi="宋体"/>
                <w:color w:val="0000FF"/>
                <w:szCs w:val="21"/>
                <w:highlight w:val="yellow"/>
              </w:rPr>
            </w:pPr>
          </w:p>
        </w:tc>
        <w:tc>
          <w:tcPr>
            <w:tcW w:w="3329" w:type="dxa"/>
            <w:vAlign w:val="center"/>
          </w:tcPr>
          <w:p w14:paraId="56569597">
            <w:pPr>
              <w:spacing w:before="50" w:after="50" w:line="360" w:lineRule="auto"/>
              <w:jc w:val="center"/>
              <w:rPr>
                <w:rFonts w:ascii="宋体" w:hAnsi="宋体" w:cs="宋体"/>
                <w:szCs w:val="21"/>
              </w:rPr>
            </w:pPr>
          </w:p>
        </w:tc>
        <w:tc>
          <w:tcPr>
            <w:tcW w:w="872" w:type="dxa"/>
            <w:vAlign w:val="center"/>
          </w:tcPr>
          <w:p w14:paraId="1770AC8C">
            <w:pPr>
              <w:spacing w:before="50" w:after="50" w:line="360" w:lineRule="auto"/>
              <w:jc w:val="center"/>
              <w:rPr>
                <w:rFonts w:ascii="宋体" w:hAnsi="宋体" w:cs="宋体"/>
                <w:szCs w:val="21"/>
              </w:rPr>
            </w:pPr>
          </w:p>
        </w:tc>
      </w:tr>
      <w:tr w14:paraId="1DE5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3B2708E9">
            <w:pPr>
              <w:spacing w:before="50" w:after="50" w:line="360" w:lineRule="auto"/>
              <w:jc w:val="center"/>
              <w:rPr>
                <w:rFonts w:ascii="宋体" w:hAnsi="宋体" w:cs="宋体"/>
                <w:szCs w:val="21"/>
              </w:rPr>
            </w:pPr>
            <w:r>
              <w:rPr>
                <w:rFonts w:hint="eastAsia" w:ascii="宋体" w:hAnsi="宋体" w:cs="宋体"/>
                <w:szCs w:val="21"/>
              </w:rPr>
              <w:t>…</w:t>
            </w:r>
          </w:p>
        </w:tc>
        <w:tc>
          <w:tcPr>
            <w:tcW w:w="1829" w:type="dxa"/>
            <w:vAlign w:val="center"/>
          </w:tcPr>
          <w:p w14:paraId="7E58AD65">
            <w:pPr>
              <w:autoSpaceDE w:val="0"/>
              <w:autoSpaceDN w:val="0"/>
              <w:spacing w:line="360" w:lineRule="auto"/>
              <w:ind w:firstLine="210" w:firstLineChars="100"/>
              <w:jc w:val="center"/>
              <w:rPr>
                <w:rFonts w:ascii="宋体" w:hAnsi="宋体" w:cs="宋体"/>
                <w:szCs w:val="21"/>
              </w:rPr>
            </w:pPr>
          </w:p>
        </w:tc>
        <w:tc>
          <w:tcPr>
            <w:tcW w:w="3329" w:type="dxa"/>
            <w:vAlign w:val="center"/>
          </w:tcPr>
          <w:p w14:paraId="3DEADC41">
            <w:pPr>
              <w:spacing w:before="50" w:after="50" w:line="360" w:lineRule="auto"/>
              <w:jc w:val="center"/>
              <w:rPr>
                <w:rFonts w:ascii="宋体" w:hAnsi="宋体" w:cs="宋体"/>
                <w:szCs w:val="21"/>
              </w:rPr>
            </w:pPr>
          </w:p>
        </w:tc>
        <w:tc>
          <w:tcPr>
            <w:tcW w:w="3329" w:type="dxa"/>
            <w:vAlign w:val="center"/>
          </w:tcPr>
          <w:p w14:paraId="260758C0">
            <w:pPr>
              <w:spacing w:before="50" w:after="50" w:line="360" w:lineRule="auto"/>
              <w:jc w:val="center"/>
              <w:rPr>
                <w:rFonts w:ascii="宋体" w:hAnsi="宋体" w:cs="宋体"/>
                <w:szCs w:val="21"/>
              </w:rPr>
            </w:pPr>
          </w:p>
        </w:tc>
        <w:tc>
          <w:tcPr>
            <w:tcW w:w="872" w:type="dxa"/>
            <w:vAlign w:val="center"/>
          </w:tcPr>
          <w:p w14:paraId="0FF95249">
            <w:pPr>
              <w:spacing w:before="50" w:after="50" w:line="360" w:lineRule="auto"/>
              <w:jc w:val="center"/>
              <w:rPr>
                <w:rFonts w:ascii="宋体" w:hAnsi="宋体" w:cs="宋体"/>
                <w:szCs w:val="21"/>
              </w:rPr>
            </w:pPr>
          </w:p>
        </w:tc>
      </w:tr>
    </w:tbl>
    <w:p w14:paraId="22852CE9">
      <w:pPr>
        <w:pStyle w:val="15"/>
        <w:spacing w:beforeLines="0" w:afterLines="0" w:line="360" w:lineRule="auto"/>
        <w:rPr>
          <w:rFonts w:hAnsi="宋体" w:cs="宋体"/>
          <w:kern w:val="0"/>
          <w:sz w:val="21"/>
          <w:szCs w:val="21"/>
        </w:rPr>
      </w:pPr>
      <w:r>
        <w:rPr>
          <w:rFonts w:hint="eastAsia" w:hAnsi="宋体"/>
          <w:b/>
          <w:bCs/>
          <w:sz w:val="21"/>
          <w:szCs w:val="21"/>
        </w:rPr>
        <w:t>备注：此表可延续，如不填写或未填写完整将视为对磋商文件所有实质性响应条款及商务要求完全响应。</w:t>
      </w:r>
    </w:p>
    <w:p w14:paraId="749AB3EC">
      <w:pPr>
        <w:rPr>
          <w:rFonts w:ascii="宋体" w:hAnsi="宋体" w:cs="宋体"/>
          <w:b/>
          <w:sz w:val="24"/>
        </w:rPr>
      </w:pPr>
    </w:p>
    <w:p w14:paraId="7BD438DB">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r>
        <w:rPr>
          <w:rFonts w:hint="eastAsia" w:ascii="宋体" w:hAnsi="宋体" w:cs="宋体"/>
          <w:b/>
          <w:szCs w:val="21"/>
        </w:rPr>
        <w:t xml:space="preserve">     </w:t>
      </w:r>
      <w:r>
        <w:rPr>
          <w:rFonts w:hint="eastAsia" w:ascii="宋体" w:hAnsi="宋体" w:cs="宋体"/>
          <w:b/>
          <w:szCs w:val="21"/>
          <w:lang w:val="zh-CN"/>
        </w:rPr>
        <w:t xml:space="preserve">   供应商（盖单位章）： </w:t>
      </w:r>
    </w:p>
    <w:p w14:paraId="0F87DCE7">
      <w:pPr>
        <w:spacing w:line="480" w:lineRule="auto"/>
        <w:ind w:right="42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日  期：</w:t>
      </w:r>
    </w:p>
    <w:p w14:paraId="3DE2B62D">
      <w:pPr>
        <w:rPr>
          <w:rFonts w:ascii="宋体" w:hAnsi="宋体" w:cs="宋体"/>
          <w:b/>
          <w:bCs/>
          <w:color w:val="000000"/>
          <w:kern w:val="0"/>
          <w:sz w:val="28"/>
          <w:szCs w:val="28"/>
          <w:lang w:val="zh-CN"/>
        </w:rPr>
      </w:pPr>
      <w:r>
        <w:rPr>
          <w:rFonts w:hint="eastAsia" w:ascii="宋体" w:hAnsi="宋体" w:cs="宋体"/>
          <w:b/>
          <w:bCs/>
          <w:color w:val="000000"/>
          <w:kern w:val="0"/>
          <w:sz w:val="28"/>
          <w:szCs w:val="28"/>
          <w:lang w:val="zh-CN"/>
        </w:rPr>
        <w:br w:type="page"/>
      </w:r>
    </w:p>
    <w:p w14:paraId="382B2A71">
      <w:pPr>
        <w:spacing w:before="100" w:beforeAutospacing="1" w:line="360" w:lineRule="auto"/>
        <w:rPr>
          <w:rFonts w:ascii="宋体" w:hAnsi="宋体" w:cs="宋体"/>
          <w:b/>
          <w:bCs/>
          <w:color w:val="000000"/>
          <w:sz w:val="24"/>
        </w:rPr>
      </w:pPr>
      <w:r>
        <w:rPr>
          <w:rFonts w:hint="eastAsia" w:ascii="宋体" w:hAnsi="宋体" w:cs="宋体"/>
          <w:b/>
          <w:bCs/>
          <w:color w:val="000000"/>
          <w:sz w:val="24"/>
        </w:rPr>
        <w:t xml:space="preserve">附件9： </w:t>
      </w:r>
    </w:p>
    <w:p w14:paraId="6E4DD8B0">
      <w:pPr>
        <w:tabs>
          <w:tab w:val="left" w:pos="2790"/>
          <w:tab w:val="left" w:pos="4230"/>
        </w:tabs>
        <w:autoSpaceDE w:val="0"/>
        <w:autoSpaceDN w:val="0"/>
        <w:spacing w:line="440" w:lineRule="exact"/>
        <w:jc w:val="center"/>
        <w:rPr>
          <w:rFonts w:ascii="宋体" w:hAnsi="宋体" w:cs="宋体"/>
          <w:b/>
          <w:color w:val="000000"/>
          <w:sz w:val="28"/>
          <w:szCs w:val="28"/>
        </w:rPr>
      </w:pPr>
      <w:r>
        <w:rPr>
          <w:rFonts w:hint="eastAsia" w:ascii="宋体" w:hAnsi="宋体" w:cs="宋体"/>
          <w:b/>
          <w:color w:val="000000"/>
          <w:sz w:val="28"/>
          <w:szCs w:val="28"/>
        </w:rPr>
        <w:t>类似项目业绩一览表</w:t>
      </w:r>
    </w:p>
    <w:p w14:paraId="6D297050">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513210EF">
      <w:r>
        <w:rPr>
          <w:rFonts w:hint="eastAsia" w:ascii="宋体" w:hAnsi="宋体" w:cs="宋体"/>
          <w:szCs w:val="21"/>
        </w:rPr>
        <w:t>项目名称：</w:t>
      </w:r>
      <w:r>
        <w:rPr>
          <w:rFonts w:hint="eastAsia" w:hAnsi="宋体" w:cs="宋体"/>
          <w:szCs w:val="21"/>
          <w:lang w:eastAsia="zh-CN"/>
        </w:rPr>
        <w:t>台州市仙居县浙南山地生态系统综合治理及生物多样性保护项目（淡竹乡）</w:t>
      </w:r>
    </w:p>
    <w:tbl>
      <w:tblPr>
        <w:tblStyle w:val="3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49"/>
        <w:gridCol w:w="1744"/>
        <w:gridCol w:w="1260"/>
        <w:gridCol w:w="1800"/>
        <w:gridCol w:w="2194"/>
      </w:tblGrid>
      <w:tr w14:paraId="7882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75" w:type="dxa"/>
            <w:vAlign w:val="center"/>
          </w:tcPr>
          <w:p w14:paraId="4575F39B">
            <w:pPr>
              <w:pStyle w:val="15"/>
              <w:spacing w:before="156" w:after="156"/>
              <w:jc w:val="center"/>
              <w:rPr>
                <w:rFonts w:hAnsi="宋体" w:cs="宋体"/>
                <w:b/>
                <w:bCs/>
                <w:kern w:val="0"/>
                <w:sz w:val="21"/>
                <w:szCs w:val="21"/>
              </w:rPr>
            </w:pPr>
            <w:r>
              <w:rPr>
                <w:rFonts w:hint="eastAsia" w:hAnsi="宋体" w:cs="宋体"/>
                <w:bCs/>
                <w:kern w:val="0"/>
                <w:sz w:val="21"/>
                <w:szCs w:val="21"/>
              </w:rPr>
              <w:t>序号</w:t>
            </w:r>
          </w:p>
        </w:tc>
        <w:tc>
          <w:tcPr>
            <w:tcW w:w="1649" w:type="dxa"/>
            <w:vAlign w:val="center"/>
          </w:tcPr>
          <w:p w14:paraId="34E3E102">
            <w:pPr>
              <w:pStyle w:val="15"/>
              <w:spacing w:before="156" w:after="156"/>
              <w:jc w:val="center"/>
              <w:rPr>
                <w:rFonts w:hAnsi="宋体" w:cs="宋体"/>
                <w:b/>
                <w:bCs/>
                <w:kern w:val="0"/>
                <w:sz w:val="21"/>
                <w:szCs w:val="21"/>
              </w:rPr>
            </w:pPr>
            <w:r>
              <w:rPr>
                <w:rFonts w:hint="eastAsia" w:hAnsi="宋体" w:cs="宋体"/>
                <w:bCs/>
                <w:kern w:val="0"/>
                <w:sz w:val="21"/>
                <w:szCs w:val="21"/>
              </w:rPr>
              <w:t>项目名称</w:t>
            </w:r>
          </w:p>
        </w:tc>
        <w:tc>
          <w:tcPr>
            <w:tcW w:w="1744" w:type="dxa"/>
            <w:vAlign w:val="center"/>
          </w:tcPr>
          <w:p w14:paraId="16A65B7A">
            <w:pPr>
              <w:pStyle w:val="15"/>
              <w:spacing w:before="156" w:after="156"/>
              <w:jc w:val="center"/>
              <w:rPr>
                <w:rFonts w:hAnsi="宋体" w:cs="宋体"/>
                <w:b/>
                <w:bCs/>
                <w:kern w:val="0"/>
                <w:sz w:val="21"/>
                <w:szCs w:val="21"/>
              </w:rPr>
            </w:pPr>
            <w:r>
              <w:rPr>
                <w:rFonts w:hint="eastAsia" w:hAnsi="宋体" w:cs="宋体"/>
                <w:bCs/>
                <w:kern w:val="0"/>
                <w:sz w:val="21"/>
                <w:szCs w:val="21"/>
              </w:rPr>
              <w:t>业主单位</w:t>
            </w:r>
          </w:p>
        </w:tc>
        <w:tc>
          <w:tcPr>
            <w:tcW w:w="1260" w:type="dxa"/>
            <w:vAlign w:val="center"/>
          </w:tcPr>
          <w:p w14:paraId="7E8F9E26">
            <w:pPr>
              <w:pStyle w:val="15"/>
              <w:spacing w:before="156" w:after="156"/>
              <w:jc w:val="center"/>
              <w:rPr>
                <w:rFonts w:hAnsi="宋体" w:cs="宋体"/>
                <w:b/>
                <w:bCs/>
                <w:kern w:val="0"/>
                <w:sz w:val="21"/>
                <w:szCs w:val="21"/>
              </w:rPr>
            </w:pPr>
            <w:r>
              <w:rPr>
                <w:rFonts w:hint="eastAsia" w:hAnsi="宋体" w:cs="宋体"/>
                <w:bCs/>
                <w:kern w:val="0"/>
                <w:sz w:val="21"/>
                <w:szCs w:val="21"/>
              </w:rPr>
              <w:t>合同金额</w:t>
            </w:r>
          </w:p>
        </w:tc>
        <w:tc>
          <w:tcPr>
            <w:tcW w:w="1800" w:type="dxa"/>
            <w:vAlign w:val="center"/>
          </w:tcPr>
          <w:p w14:paraId="376193A1">
            <w:pPr>
              <w:pStyle w:val="15"/>
              <w:spacing w:before="156" w:after="156"/>
              <w:jc w:val="center"/>
              <w:rPr>
                <w:rFonts w:hAnsi="宋体" w:cs="宋体"/>
                <w:b/>
                <w:bCs/>
                <w:kern w:val="0"/>
                <w:sz w:val="21"/>
                <w:szCs w:val="21"/>
              </w:rPr>
            </w:pPr>
            <w:r>
              <w:rPr>
                <w:rFonts w:hint="eastAsia" w:hAnsi="宋体" w:cs="宋体"/>
                <w:bCs/>
                <w:kern w:val="0"/>
                <w:sz w:val="21"/>
                <w:szCs w:val="21"/>
              </w:rPr>
              <w:t>合同签订时间</w:t>
            </w:r>
          </w:p>
        </w:tc>
        <w:tc>
          <w:tcPr>
            <w:tcW w:w="2194" w:type="dxa"/>
            <w:vAlign w:val="center"/>
          </w:tcPr>
          <w:p w14:paraId="3DEF0E59">
            <w:pPr>
              <w:pStyle w:val="15"/>
              <w:spacing w:before="156" w:after="156"/>
              <w:jc w:val="center"/>
              <w:rPr>
                <w:rFonts w:hAnsi="宋体" w:cs="宋体"/>
                <w:b/>
                <w:bCs/>
                <w:kern w:val="0"/>
                <w:sz w:val="21"/>
                <w:szCs w:val="21"/>
              </w:rPr>
            </w:pPr>
            <w:r>
              <w:rPr>
                <w:rFonts w:hint="eastAsia" w:hAnsi="宋体" w:cs="宋体"/>
                <w:bCs/>
                <w:kern w:val="0"/>
                <w:sz w:val="21"/>
                <w:szCs w:val="21"/>
              </w:rPr>
              <w:t>联系人/电话</w:t>
            </w:r>
          </w:p>
        </w:tc>
      </w:tr>
      <w:tr w14:paraId="4E2D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6916FA25">
            <w:pPr>
              <w:pStyle w:val="15"/>
              <w:spacing w:before="156" w:after="156"/>
              <w:rPr>
                <w:rFonts w:hAnsi="宋体" w:cs="宋体"/>
                <w:b/>
                <w:kern w:val="0"/>
                <w:sz w:val="21"/>
                <w:szCs w:val="21"/>
              </w:rPr>
            </w:pPr>
          </w:p>
        </w:tc>
        <w:tc>
          <w:tcPr>
            <w:tcW w:w="1649" w:type="dxa"/>
            <w:vAlign w:val="center"/>
          </w:tcPr>
          <w:p w14:paraId="1014523B">
            <w:pPr>
              <w:pStyle w:val="15"/>
              <w:spacing w:before="156" w:after="156"/>
              <w:rPr>
                <w:rFonts w:hAnsi="宋体" w:cs="宋体"/>
                <w:b/>
                <w:kern w:val="0"/>
                <w:sz w:val="21"/>
                <w:szCs w:val="21"/>
              </w:rPr>
            </w:pPr>
          </w:p>
        </w:tc>
        <w:tc>
          <w:tcPr>
            <w:tcW w:w="1744" w:type="dxa"/>
            <w:vAlign w:val="center"/>
          </w:tcPr>
          <w:p w14:paraId="5B7C4FBC">
            <w:pPr>
              <w:pStyle w:val="15"/>
              <w:spacing w:before="156" w:after="156"/>
              <w:rPr>
                <w:rFonts w:hAnsi="宋体" w:cs="宋体"/>
                <w:b/>
                <w:kern w:val="0"/>
                <w:sz w:val="21"/>
                <w:szCs w:val="21"/>
              </w:rPr>
            </w:pPr>
          </w:p>
        </w:tc>
        <w:tc>
          <w:tcPr>
            <w:tcW w:w="1260" w:type="dxa"/>
            <w:vAlign w:val="center"/>
          </w:tcPr>
          <w:p w14:paraId="0F0C0677">
            <w:pPr>
              <w:pStyle w:val="15"/>
              <w:spacing w:before="156" w:after="156"/>
              <w:rPr>
                <w:rFonts w:hAnsi="宋体" w:cs="宋体"/>
                <w:b/>
                <w:kern w:val="0"/>
                <w:sz w:val="21"/>
                <w:szCs w:val="21"/>
              </w:rPr>
            </w:pPr>
          </w:p>
        </w:tc>
        <w:tc>
          <w:tcPr>
            <w:tcW w:w="1800" w:type="dxa"/>
            <w:vAlign w:val="center"/>
          </w:tcPr>
          <w:p w14:paraId="28500271">
            <w:pPr>
              <w:pStyle w:val="15"/>
              <w:spacing w:before="156" w:after="156"/>
              <w:rPr>
                <w:rFonts w:hAnsi="宋体" w:cs="宋体"/>
                <w:b/>
                <w:kern w:val="0"/>
                <w:sz w:val="21"/>
                <w:szCs w:val="21"/>
              </w:rPr>
            </w:pPr>
          </w:p>
        </w:tc>
        <w:tc>
          <w:tcPr>
            <w:tcW w:w="2194" w:type="dxa"/>
            <w:vAlign w:val="center"/>
          </w:tcPr>
          <w:p w14:paraId="16A80E4A">
            <w:pPr>
              <w:pStyle w:val="15"/>
              <w:spacing w:before="156" w:after="156"/>
              <w:rPr>
                <w:rFonts w:hAnsi="宋体" w:cs="宋体"/>
                <w:b/>
                <w:kern w:val="0"/>
                <w:sz w:val="21"/>
                <w:szCs w:val="21"/>
              </w:rPr>
            </w:pPr>
          </w:p>
        </w:tc>
      </w:tr>
      <w:tr w14:paraId="063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15538267">
            <w:pPr>
              <w:pStyle w:val="15"/>
              <w:spacing w:before="156" w:after="156"/>
              <w:rPr>
                <w:rFonts w:hAnsi="宋体" w:cs="宋体"/>
                <w:b/>
                <w:kern w:val="0"/>
                <w:sz w:val="21"/>
                <w:szCs w:val="21"/>
              </w:rPr>
            </w:pPr>
          </w:p>
        </w:tc>
        <w:tc>
          <w:tcPr>
            <w:tcW w:w="1649" w:type="dxa"/>
            <w:vAlign w:val="center"/>
          </w:tcPr>
          <w:p w14:paraId="35D32235">
            <w:pPr>
              <w:pStyle w:val="15"/>
              <w:spacing w:before="156" w:after="156"/>
              <w:rPr>
                <w:rFonts w:hAnsi="宋体" w:cs="宋体"/>
                <w:b/>
                <w:kern w:val="0"/>
                <w:sz w:val="21"/>
                <w:szCs w:val="21"/>
              </w:rPr>
            </w:pPr>
          </w:p>
        </w:tc>
        <w:tc>
          <w:tcPr>
            <w:tcW w:w="1744" w:type="dxa"/>
            <w:vAlign w:val="center"/>
          </w:tcPr>
          <w:p w14:paraId="079064FD">
            <w:pPr>
              <w:pStyle w:val="15"/>
              <w:spacing w:before="156" w:after="156"/>
              <w:rPr>
                <w:rFonts w:hAnsi="宋体" w:cs="宋体"/>
                <w:b/>
                <w:kern w:val="0"/>
                <w:sz w:val="21"/>
                <w:szCs w:val="21"/>
              </w:rPr>
            </w:pPr>
          </w:p>
        </w:tc>
        <w:tc>
          <w:tcPr>
            <w:tcW w:w="1260" w:type="dxa"/>
            <w:vAlign w:val="center"/>
          </w:tcPr>
          <w:p w14:paraId="7973610B">
            <w:pPr>
              <w:pStyle w:val="15"/>
              <w:spacing w:before="156" w:after="156"/>
              <w:rPr>
                <w:rFonts w:hAnsi="宋体" w:cs="宋体"/>
                <w:b/>
                <w:kern w:val="0"/>
                <w:sz w:val="21"/>
                <w:szCs w:val="21"/>
              </w:rPr>
            </w:pPr>
          </w:p>
        </w:tc>
        <w:tc>
          <w:tcPr>
            <w:tcW w:w="1800" w:type="dxa"/>
            <w:vAlign w:val="center"/>
          </w:tcPr>
          <w:p w14:paraId="3B9AA53F">
            <w:pPr>
              <w:pStyle w:val="15"/>
              <w:spacing w:before="156" w:after="156"/>
              <w:rPr>
                <w:rFonts w:hAnsi="宋体" w:cs="宋体"/>
                <w:b/>
                <w:kern w:val="0"/>
                <w:sz w:val="21"/>
                <w:szCs w:val="21"/>
              </w:rPr>
            </w:pPr>
          </w:p>
        </w:tc>
        <w:tc>
          <w:tcPr>
            <w:tcW w:w="2194" w:type="dxa"/>
            <w:vAlign w:val="center"/>
          </w:tcPr>
          <w:p w14:paraId="04807F50">
            <w:pPr>
              <w:pStyle w:val="15"/>
              <w:spacing w:before="156" w:after="156"/>
              <w:rPr>
                <w:rFonts w:hAnsi="宋体" w:cs="宋体"/>
                <w:b/>
                <w:kern w:val="0"/>
                <w:sz w:val="21"/>
                <w:szCs w:val="21"/>
              </w:rPr>
            </w:pPr>
          </w:p>
        </w:tc>
      </w:tr>
      <w:tr w14:paraId="0A79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0DEF660A">
            <w:pPr>
              <w:pStyle w:val="15"/>
              <w:spacing w:before="156" w:after="156"/>
              <w:rPr>
                <w:rFonts w:hAnsi="宋体" w:cs="宋体"/>
                <w:b/>
                <w:kern w:val="0"/>
                <w:sz w:val="21"/>
                <w:szCs w:val="21"/>
              </w:rPr>
            </w:pPr>
          </w:p>
        </w:tc>
        <w:tc>
          <w:tcPr>
            <w:tcW w:w="1649" w:type="dxa"/>
            <w:vAlign w:val="center"/>
          </w:tcPr>
          <w:p w14:paraId="6BA7D4DE">
            <w:pPr>
              <w:pStyle w:val="15"/>
              <w:spacing w:before="156" w:after="156"/>
              <w:rPr>
                <w:rFonts w:hAnsi="宋体" w:cs="宋体"/>
                <w:b/>
                <w:kern w:val="0"/>
                <w:sz w:val="21"/>
                <w:szCs w:val="21"/>
              </w:rPr>
            </w:pPr>
          </w:p>
        </w:tc>
        <w:tc>
          <w:tcPr>
            <w:tcW w:w="1744" w:type="dxa"/>
            <w:vAlign w:val="center"/>
          </w:tcPr>
          <w:p w14:paraId="4B2E8707">
            <w:pPr>
              <w:pStyle w:val="15"/>
              <w:spacing w:before="156" w:after="156"/>
              <w:rPr>
                <w:rFonts w:hAnsi="宋体" w:cs="宋体"/>
                <w:b/>
                <w:kern w:val="0"/>
                <w:sz w:val="21"/>
                <w:szCs w:val="21"/>
              </w:rPr>
            </w:pPr>
          </w:p>
        </w:tc>
        <w:tc>
          <w:tcPr>
            <w:tcW w:w="1260" w:type="dxa"/>
            <w:vAlign w:val="center"/>
          </w:tcPr>
          <w:p w14:paraId="45BD990E">
            <w:pPr>
              <w:pStyle w:val="15"/>
              <w:spacing w:before="156" w:after="156"/>
              <w:rPr>
                <w:rFonts w:hAnsi="宋体" w:cs="宋体"/>
                <w:b/>
                <w:kern w:val="0"/>
                <w:sz w:val="21"/>
                <w:szCs w:val="21"/>
              </w:rPr>
            </w:pPr>
          </w:p>
        </w:tc>
        <w:tc>
          <w:tcPr>
            <w:tcW w:w="1800" w:type="dxa"/>
            <w:vAlign w:val="center"/>
          </w:tcPr>
          <w:p w14:paraId="7CD727A0">
            <w:pPr>
              <w:pStyle w:val="15"/>
              <w:spacing w:before="156" w:after="156"/>
              <w:rPr>
                <w:rFonts w:hAnsi="宋体" w:cs="宋体"/>
                <w:b/>
                <w:kern w:val="0"/>
                <w:sz w:val="21"/>
                <w:szCs w:val="21"/>
              </w:rPr>
            </w:pPr>
          </w:p>
        </w:tc>
        <w:tc>
          <w:tcPr>
            <w:tcW w:w="2194" w:type="dxa"/>
            <w:vAlign w:val="center"/>
          </w:tcPr>
          <w:p w14:paraId="5B15D02F">
            <w:pPr>
              <w:pStyle w:val="15"/>
              <w:spacing w:before="156" w:after="156"/>
              <w:rPr>
                <w:rFonts w:hAnsi="宋体" w:cs="宋体"/>
                <w:b/>
                <w:kern w:val="0"/>
                <w:sz w:val="21"/>
                <w:szCs w:val="21"/>
              </w:rPr>
            </w:pPr>
          </w:p>
        </w:tc>
      </w:tr>
      <w:tr w14:paraId="71CE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5DA74F6F">
            <w:pPr>
              <w:pStyle w:val="15"/>
              <w:spacing w:before="156" w:after="156"/>
              <w:rPr>
                <w:rFonts w:hAnsi="宋体" w:cs="宋体"/>
                <w:b/>
                <w:kern w:val="0"/>
                <w:sz w:val="21"/>
                <w:szCs w:val="21"/>
              </w:rPr>
            </w:pPr>
          </w:p>
        </w:tc>
        <w:tc>
          <w:tcPr>
            <w:tcW w:w="1649" w:type="dxa"/>
            <w:vAlign w:val="center"/>
          </w:tcPr>
          <w:p w14:paraId="3C6A2F67">
            <w:pPr>
              <w:pStyle w:val="15"/>
              <w:spacing w:before="156" w:after="156"/>
              <w:rPr>
                <w:rFonts w:hAnsi="宋体" w:cs="宋体"/>
                <w:b/>
                <w:kern w:val="0"/>
                <w:sz w:val="21"/>
                <w:szCs w:val="21"/>
              </w:rPr>
            </w:pPr>
          </w:p>
        </w:tc>
        <w:tc>
          <w:tcPr>
            <w:tcW w:w="1744" w:type="dxa"/>
            <w:vAlign w:val="center"/>
          </w:tcPr>
          <w:p w14:paraId="5C61D168">
            <w:pPr>
              <w:pStyle w:val="15"/>
              <w:spacing w:before="156" w:after="156"/>
              <w:rPr>
                <w:rFonts w:hAnsi="宋体" w:cs="宋体"/>
                <w:b/>
                <w:kern w:val="0"/>
                <w:sz w:val="21"/>
                <w:szCs w:val="21"/>
              </w:rPr>
            </w:pPr>
          </w:p>
        </w:tc>
        <w:tc>
          <w:tcPr>
            <w:tcW w:w="1260" w:type="dxa"/>
            <w:vAlign w:val="center"/>
          </w:tcPr>
          <w:p w14:paraId="4FA2C1FE">
            <w:pPr>
              <w:pStyle w:val="15"/>
              <w:spacing w:before="156" w:after="156"/>
              <w:rPr>
                <w:rFonts w:hAnsi="宋体" w:cs="宋体"/>
                <w:b/>
                <w:kern w:val="0"/>
                <w:sz w:val="21"/>
                <w:szCs w:val="21"/>
              </w:rPr>
            </w:pPr>
          </w:p>
        </w:tc>
        <w:tc>
          <w:tcPr>
            <w:tcW w:w="1800" w:type="dxa"/>
            <w:vAlign w:val="center"/>
          </w:tcPr>
          <w:p w14:paraId="2A30182C">
            <w:pPr>
              <w:pStyle w:val="15"/>
              <w:spacing w:before="156" w:after="156"/>
              <w:rPr>
                <w:rFonts w:hAnsi="宋体" w:cs="宋体"/>
                <w:b/>
                <w:kern w:val="0"/>
                <w:sz w:val="21"/>
                <w:szCs w:val="21"/>
              </w:rPr>
            </w:pPr>
          </w:p>
        </w:tc>
        <w:tc>
          <w:tcPr>
            <w:tcW w:w="2194" w:type="dxa"/>
            <w:vAlign w:val="center"/>
          </w:tcPr>
          <w:p w14:paraId="3AE364BE">
            <w:pPr>
              <w:pStyle w:val="15"/>
              <w:spacing w:before="156" w:after="156"/>
              <w:rPr>
                <w:rFonts w:hAnsi="宋体" w:cs="宋体"/>
                <w:b/>
                <w:kern w:val="0"/>
                <w:sz w:val="21"/>
                <w:szCs w:val="21"/>
              </w:rPr>
            </w:pPr>
          </w:p>
        </w:tc>
      </w:tr>
      <w:tr w14:paraId="491D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7B55DADC">
            <w:pPr>
              <w:pStyle w:val="15"/>
              <w:spacing w:before="156" w:after="156"/>
              <w:rPr>
                <w:rFonts w:hAnsi="宋体" w:cs="宋体"/>
                <w:b/>
                <w:kern w:val="0"/>
                <w:sz w:val="21"/>
                <w:szCs w:val="21"/>
              </w:rPr>
            </w:pPr>
          </w:p>
        </w:tc>
        <w:tc>
          <w:tcPr>
            <w:tcW w:w="1649" w:type="dxa"/>
            <w:vAlign w:val="center"/>
          </w:tcPr>
          <w:p w14:paraId="35022445">
            <w:pPr>
              <w:pStyle w:val="15"/>
              <w:spacing w:before="156" w:after="156"/>
              <w:rPr>
                <w:rFonts w:hAnsi="宋体" w:cs="宋体"/>
                <w:b/>
                <w:kern w:val="0"/>
                <w:sz w:val="21"/>
                <w:szCs w:val="21"/>
              </w:rPr>
            </w:pPr>
          </w:p>
        </w:tc>
        <w:tc>
          <w:tcPr>
            <w:tcW w:w="1744" w:type="dxa"/>
            <w:vAlign w:val="center"/>
          </w:tcPr>
          <w:p w14:paraId="2786EC51">
            <w:pPr>
              <w:pStyle w:val="15"/>
              <w:spacing w:before="156" w:after="156"/>
              <w:rPr>
                <w:rFonts w:hAnsi="宋体" w:cs="宋体"/>
                <w:b/>
                <w:kern w:val="0"/>
                <w:sz w:val="21"/>
                <w:szCs w:val="21"/>
              </w:rPr>
            </w:pPr>
          </w:p>
        </w:tc>
        <w:tc>
          <w:tcPr>
            <w:tcW w:w="1260" w:type="dxa"/>
            <w:vAlign w:val="center"/>
          </w:tcPr>
          <w:p w14:paraId="7D0529EA">
            <w:pPr>
              <w:pStyle w:val="15"/>
              <w:spacing w:before="156" w:after="156"/>
              <w:rPr>
                <w:rFonts w:hAnsi="宋体" w:cs="宋体"/>
                <w:b/>
                <w:kern w:val="0"/>
                <w:sz w:val="21"/>
                <w:szCs w:val="21"/>
              </w:rPr>
            </w:pPr>
          </w:p>
        </w:tc>
        <w:tc>
          <w:tcPr>
            <w:tcW w:w="1800" w:type="dxa"/>
            <w:vAlign w:val="center"/>
          </w:tcPr>
          <w:p w14:paraId="10B1E3B6">
            <w:pPr>
              <w:pStyle w:val="15"/>
              <w:spacing w:before="156" w:after="156"/>
              <w:rPr>
                <w:rFonts w:hAnsi="宋体" w:cs="宋体"/>
                <w:b/>
                <w:kern w:val="0"/>
                <w:sz w:val="21"/>
                <w:szCs w:val="21"/>
              </w:rPr>
            </w:pPr>
          </w:p>
        </w:tc>
        <w:tc>
          <w:tcPr>
            <w:tcW w:w="2194" w:type="dxa"/>
            <w:vAlign w:val="center"/>
          </w:tcPr>
          <w:p w14:paraId="47BC4A5F">
            <w:pPr>
              <w:pStyle w:val="15"/>
              <w:spacing w:before="156" w:after="156"/>
              <w:rPr>
                <w:rFonts w:hAnsi="宋体" w:cs="宋体"/>
                <w:b/>
                <w:kern w:val="0"/>
                <w:sz w:val="21"/>
                <w:szCs w:val="21"/>
              </w:rPr>
            </w:pPr>
          </w:p>
        </w:tc>
      </w:tr>
      <w:tr w14:paraId="125D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4321C57D">
            <w:pPr>
              <w:pStyle w:val="15"/>
              <w:spacing w:before="156" w:after="156"/>
              <w:rPr>
                <w:rFonts w:hAnsi="宋体" w:cs="宋体"/>
                <w:b/>
                <w:kern w:val="0"/>
                <w:sz w:val="21"/>
                <w:szCs w:val="21"/>
              </w:rPr>
            </w:pPr>
          </w:p>
        </w:tc>
        <w:tc>
          <w:tcPr>
            <w:tcW w:w="1649" w:type="dxa"/>
            <w:vAlign w:val="center"/>
          </w:tcPr>
          <w:p w14:paraId="08EC97DC">
            <w:pPr>
              <w:pStyle w:val="15"/>
              <w:spacing w:before="156" w:after="156"/>
              <w:rPr>
                <w:rFonts w:hAnsi="宋体" w:cs="宋体"/>
                <w:b/>
                <w:kern w:val="0"/>
                <w:sz w:val="21"/>
                <w:szCs w:val="21"/>
              </w:rPr>
            </w:pPr>
          </w:p>
        </w:tc>
        <w:tc>
          <w:tcPr>
            <w:tcW w:w="1744" w:type="dxa"/>
            <w:vAlign w:val="center"/>
          </w:tcPr>
          <w:p w14:paraId="6E4778AD">
            <w:pPr>
              <w:pStyle w:val="15"/>
              <w:spacing w:before="156" w:after="156"/>
              <w:rPr>
                <w:rFonts w:hAnsi="宋体" w:cs="宋体"/>
                <w:b/>
                <w:kern w:val="0"/>
                <w:sz w:val="21"/>
                <w:szCs w:val="21"/>
              </w:rPr>
            </w:pPr>
          </w:p>
        </w:tc>
        <w:tc>
          <w:tcPr>
            <w:tcW w:w="1260" w:type="dxa"/>
            <w:vAlign w:val="center"/>
          </w:tcPr>
          <w:p w14:paraId="301FAAB5">
            <w:pPr>
              <w:pStyle w:val="15"/>
              <w:spacing w:before="156" w:after="156"/>
              <w:rPr>
                <w:rFonts w:hAnsi="宋体" w:cs="宋体"/>
                <w:b/>
                <w:kern w:val="0"/>
                <w:sz w:val="21"/>
                <w:szCs w:val="21"/>
              </w:rPr>
            </w:pPr>
          </w:p>
        </w:tc>
        <w:tc>
          <w:tcPr>
            <w:tcW w:w="1800" w:type="dxa"/>
            <w:vAlign w:val="center"/>
          </w:tcPr>
          <w:p w14:paraId="4C985D99">
            <w:pPr>
              <w:pStyle w:val="15"/>
              <w:spacing w:before="156" w:after="156"/>
              <w:rPr>
                <w:rFonts w:hAnsi="宋体" w:cs="宋体"/>
                <w:b/>
                <w:kern w:val="0"/>
                <w:sz w:val="21"/>
                <w:szCs w:val="21"/>
              </w:rPr>
            </w:pPr>
          </w:p>
        </w:tc>
        <w:tc>
          <w:tcPr>
            <w:tcW w:w="2194" w:type="dxa"/>
            <w:vAlign w:val="center"/>
          </w:tcPr>
          <w:p w14:paraId="3A2C3FE0">
            <w:pPr>
              <w:pStyle w:val="15"/>
              <w:spacing w:before="156" w:after="156"/>
              <w:rPr>
                <w:rFonts w:hAnsi="宋体" w:cs="宋体"/>
                <w:b/>
                <w:kern w:val="0"/>
                <w:sz w:val="21"/>
                <w:szCs w:val="21"/>
              </w:rPr>
            </w:pPr>
          </w:p>
        </w:tc>
      </w:tr>
      <w:tr w14:paraId="623C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38A56B73">
            <w:pPr>
              <w:pStyle w:val="15"/>
              <w:spacing w:before="156" w:after="156"/>
              <w:rPr>
                <w:rFonts w:hAnsi="宋体" w:cs="宋体"/>
                <w:b/>
                <w:kern w:val="0"/>
                <w:sz w:val="21"/>
                <w:szCs w:val="21"/>
              </w:rPr>
            </w:pPr>
          </w:p>
        </w:tc>
        <w:tc>
          <w:tcPr>
            <w:tcW w:w="1649" w:type="dxa"/>
            <w:vAlign w:val="center"/>
          </w:tcPr>
          <w:p w14:paraId="14432919">
            <w:pPr>
              <w:pStyle w:val="15"/>
              <w:spacing w:before="156" w:after="156"/>
              <w:rPr>
                <w:rFonts w:hAnsi="宋体" w:cs="宋体"/>
                <w:b/>
                <w:kern w:val="0"/>
                <w:sz w:val="21"/>
                <w:szCs w:val="21"/>
              </w:rPr>
            </w:pPr>
          </w:p>
        </w:tc>
        <w:tc>
          <w:tcPr>
            <w:tcW w:w="1744" w:type="dxa"/>
            <w:vAlign w:val="center"/>
          </w:tcPr>
          <w:p w14:paraId="29656E0E">
            <w:pPr>
              <w:pStyle w:val="15"/>
              <w:spacing w:before="156" w:after="156"/>
              <w:rPr>
                <w:rFonts w:hAnsi="宋体" w:cs="宋体"/>
                <w:b/>
                <w:kern w:val="0"/>
                <w:sz w:val="21"/>
                <w:szCs w:val="21"/>
              </w:rPr>
            </w:pPr>
          </w:p>
        </w:tc>
        <w:tc>
          <w:tcPr>
            <w:tcW w:w="1260" w:type="dxa"/>
            <w:vAlign w:val="center"/>
          </w:tcPr>
          <w:p w14:paraId="13CC09F8">
            <w:pPr>
              <w:pStyle w:val="15"/>
              <w:spacing w:before="156" w:after="156"/>
              <w:rPr>
                <w:rFonts w:hAnsi="宋体" w:cs="宋体"/>
                <w:b/>
                <w:kern w:val="0"/>
                <w:sz w:val="21"/>
                <w:szCs w:val="21"/>
              </w:rPr>
            </w:pPr>
          </w:p>
        </w:tc>
        <w:tc>
          <w:tcPr>
            <w:tcW w:w="1800" w:type="dxa"/>
            <w:vAlign w:val="center"/>
          </w:tcPr>
          <w:p w14:paraId="43728420">
            <w:pPr>
              <w:pStyle w:val="15"/>
              <w:spacing w:before="156" w:after="156"/>
              <w:rPr>
                <w:rFonts w:hAnsi="宋体" w:cs="宋体"/>
                <w:b/>
                <w:kern w:val="0"/>
                <w:sz w:val="21"/>
                <w:szCs w:val="21"/>
              </w:rPr>
            </w:pPr>
          </w:p>
        </w:tc>
        <w:tc>
          <w:tcPr>
            <w:tcW w:w="2194" w:type="dxa"/>
            <w:vAlign w:val="center"/>
          </w:tcPr>
          <w:p w14:paraId="722D2ED2">
            <w:pPr>
              <w:pStyle w:val="15"/>
              <w:spacing w:before="156" w:after="156"/>
              <w:rPr>
                <w:rFonts w:hAnsi="宋体" w:cs="宋体"/>
                <w:b/>
                <w:kern w:val="0"/>
                <w:sz w:val="21"/>
                <w:szCs w:val="21"/>
              </w:rPr>
            </w:pPr>
          </w:p>
        </w:tc>
      </w:tr>
      <w:tr w14:paraId="508E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675" w:type="dxa"/>
            <w:vAlign w:val="center"/>
          </w:tcPr>
          <w:p w14:paraId="48CAAF4A">
            <w:pPr>
              <w:pStyle w:val="15"/>
              <w:spacing w:before="156" w:after="156"/>
              <w:rPr>
                <w:rFonts w:hAnsi="宋体" w:cs="宋体"/>
                <w:b/>
                <w:kern w:val="0"/>
                <w:sz w:val="21"/>
                <w:szCs w:val="21"/>
              </w:rPr>
            </w:pPr>
          </w:p>
        </w:tc>
        <w:tc>
          <w:tcPr>
            <w:tcW w:w="1649" w:type="dxa"/>
            <w:vAlign w:val="center"/>
          </w:tcPr>
          <w:p w14:paraId="59DE7732">
            <w:pPr>
              <w:pStyle w:val="15"/>
              <w:spacing w:before="156" w:after="156"/>
              <w:rPr>
                <w:rFonts w:hAnsi="宋体" w:cs="宋体"/>
                <w:b/>
                <w:kern w:val="0"/>
                <w:sz w:val="21"/>
                <w:szCs w:val="21"/>
              </w:rPr>
            </w:pPr>
          </w:p>
        </w:tc>
        <w:tc>
          <w:tcPr>
            <w:tcW w:w="1744" w:type="dxa"/>
            <w:vAlign w:val="center"/>
          </w:tcPr>
          <w:p w14:paraId="3A2E4E08">
            <w:pPr>
              <w:pStyle w:val="15"/>
              <w:spacing w:before="156" w:after="156"/>
              <w:rPr>
                <w:rFonts w:hAnsi="宋体" w:cs="宋体"/>
                <w:b/>
                <w:kern w:val="0"/>
                <w:sz w:val="21"/>
                <w:szCs w:val="21"/>
              </w:rPr>
            </w:pPr>
          </w:p>
        </w:tc>
        <w:tc>
          <w:tcPr>
            <w:tcW w:w="1260" w:type="dxa"/>
            <w:vAlign w:val="center"/>
          </w:tcPr>
          <w:p w14:paraId="02C24392">
            <w:pPr>
              <w:pStyle w:val="15"/>
              <w:spacing w:before="156" w:after="156"/>
              <w:rPr>
                <w:rFonts w:hAnsi="宋体" w:cs="宋体"/>
                <w:b/>
                <w:kern w:val="0"/>
                <w:sz w:val="21"/>
                <w:szCs w:val="21"/>
              </w:rPr>
            </w:pPr>
          </w:p>
        </w:tc>
        <w:tc>
          <w:tcPr>
            <w:tcW w:w="1800" w:type="dxa"/>
            <w:vAlign w:val="center"/>
          </w:tcPr>
          <w:p w14:paraId="19847058">
            <w:pPr>
              <w:pStyle w:val="15"/>
              <w:spacing w:before="156" w:after="156"/>
              <w:rPr>
                <w:rFonts w:hAnsi="宋体" w:cs="宋体"/>
                <w:b/>
                <w:kern w:val="0"/>
                <w:sz w:val="21"/>
                <w:szCs w:val="21"/>
              </w:rPr>
            </w:pPr>
          </w:p>
        </w:tc>
        <w:tc>
          <w:tcPr>
            <w:tcW w:w="2194" w:type="dxa"/>
            <w:vAlign w:val="center"/>
          </w:tcPr>
          <w:p w14:paraId="31EE1F5E">
            <w:pPr>
              <w:pStyle w:val="15"/>
              <w:spacing w:before="156" w:after="156"/>
              <w:rPr>
                <w:rFonts w:hAnsi="宋体" w:cs="宋体"/>
                <w:b/>
                <w:kern w:val="0"/>
                <w:sz w:val="21"/>
                <w:szCs w:val="21"/>
              </w:rPr>
            </w:pPr>
          </w:p>
        </w:tc>
      </w:tr>
    </w:tbl>
    <w:p w14:paraId="73AC6A83">
      <w:pPr>
        <w:pStyle w:val="15"/>
        <w:spacing w:beforeLines="0" w:afterLines="0" w:line="360" w:lineRule="auto"/>
        <w:rPr>
          <w:rFonts w:hAnsi="宋体" w:cs="宋体"/>
          <w:b/>
          <w:bCs/>
          <w:kern w:val="0"/>
          <w:sz w:val="21"/>
          <w:szCs w:val="21"/>
        </w:rPr>
      </w:pPr>
      <w:r>
        <w:rPr>
          <w:rFonts w:hint="eastAsia" w:hAnsi="宋体" w:cs="宋体"/>
          <w:bCs/>
          <w:kern w:val="0"/>
          <w:sz w:val="21"/>
          <w:szCs w:val="21"/>
        </w:rPr>
        <w:t>注：1.表中业绩参照“第四章 磋商评审办法”中要求提供，并附上每个业绩相关材料。</w:t>
      </w:r>
    </w:p>
    <w:p w14:paraId="0AAFDCCF">
      <w:pPr>
        <w:pStyle w:val="15"/>
        <w:spacing w:beforeLines="0" w:afterLines="0" w:line="360" w:lineRule="auto"/>
        <w:ind w:firstLine="420" w:firstLineChars="200"/>
        <w:rPr>
          <w:rFonts w:hAnsi="宋体" w:cs="宋体"/>
          <w:b/>
          <w:bCs/>
          <w:kern w:val="0"/>
          <w:sz w:val="21"/>
          <w:szCs w:val="21"/>
        </w:rPr>
      </w:pPr>
      <w:r>
        <w:rPr>
          <w:rFonts w:hint="eastAsia" w:hAnsi="宋体" w:cs="宋体"/>
          <w:bCs/>
          <w:kern w:val="0"/>
          <w:sz w:val="21"/>
          <w:szCs w:val="21"/>
        </w:rPr>
        <w:t>2.供应商承诺提供的上述业绩相关材料真实不假，否则作为磋商响应文件提供虚假材料，按照采购文件相关条款处理，承担一切责任。</w:t>
      </w:r>
    </w:p>
    <w:p w14:paraId="7C035202">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p>
    <w:p w14:paraId="29CE1DAC">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r>
        <w:rPr>
          <w:rFonts w:hint="eastAsia" w:ascii="宋体" w:hAnsi="宋体" w:cs="宋体"/>
          <w:b/>
          <w:szCs w:val="21"/>
        </w:rPr>
        <w:t xml:space="preserve">     </w:t>
      </w:r>
      <w:r>
        <w:rPr>
          <w:rFonts w:hint="eastAsia" w:ascii="宋体" w:hAnsi="宋体" w:cs="宋体"/>
          <w:b/>
          <w:szCs w:val="21"/>
          <w:lang w:val="zh-CN"/>
        </w:rPr>
        <w:t xml:space="preserve">   供应商（盖单位章）： </w:t>
      </w:r>
    </w:p>
    <w:p w14:paraId="5A9AF5D5">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26943772">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cs="宋体"/>
          <w:b/>
          <w:bCs/>
          <w:color w:val="000000"/>
          <w:sz w:val="24"/>
        </w:rPr>
        <w:t xml:space="preserve"> </w:t>
      </w:r>
    </w:p>
    <w:p w14:paraId="106DBE12">
      <w:pPr>
        <w:spacing w:line="360" w:lineRule="auto"/>
        <w:rPr>
          <w:rFonts w:ascii="宋体" w:hAnsi="宋体" w:cs="宋体"/>
          <w:b/>
          <w:bCs/>
          <w:color w:val="000000"/>
          <w:sz w:val="24"/>
        </w:rPr>
      </w:pPr>
      <w:r>
        <w:rPr>
          <w:rFonts w:hint="eastAsia" w:ascii="宋体" w:hAnsi="宋体" w:cs="宋体"/>
          <w:b/>
          <w:bCs/>
          <w:color w:val="000000"/>
          <w:sz w:val="24"/>
        </w:rPr>
        <w:t>附件10：</w:t>
      </w:r>
    </w:p>
    <w:p w14:paraId="03D15870">
      <w:pPr>
        <w:pStyle w:val="15"/>
        <w:adjustRightInd w:val="0"/>
        <w:snapToGrid w:val="0"/>
        <w:spacing w:before="156" w:after="156" w:line="360" w:lineRule="auto"/>
        <w:jc w:val="center"/>
        <w:rPr>
          <w:rFonts w:hAnsi="宋体" w:cs="宋体"/>
          <w:b/>
          <w:sz w:val="32"/>
          <w:szCs w:val="32"/>
        </w:rPr>
      </w:pPr>
      <w:r>
        <w:rPr>
          <w:rFonts w:hint="eastAsia" w:hAnsi="宋体" w:cs="宋体"/>
          <w:b/>
          <w:sz w:val="32"/>
          <w:szCs w:val="32"/>
        </w:rPr>
        <w:t>项目经理简历表</w:t>
      </w:r>
    </w:p>
    <w:p w14:paraId="45B9FF12">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7BF97A49">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W w:w="9038" w:type="dxa"/>
        <w:tblInd w:w="108" w:type="dxa"/>
        <w:tblLayout w:type="fixed"/>
        <w:tblCellMar>
          <w:top w:w="0" w:type="dxa"/>
          <w:left w:w="108" w:type="dxa"/>
          <w:bottom w:w="0" w:type="dxa"/>
          <w:right w:w="108" w:type="dxa"/>
        </w:tblCellMar>
      </w:tblPr>
      <w:tblGrid>
        <w:gridCol w:w="1089"/>
        <w:gridCol w:w="279"/>
        <w:gridCol w:w="664"/>
        <w:gridCol w:w="894"/>
        <w:gridCol w:w="1089"/>
        <w:gridCol w:w="1116"/>
        <w:gridCol w:w="933"/>
        <w:gridCol w:w="972"/>
        <w:gridCol w:w="2002"/>
      </w:tblGrid>
      <w:tr w14:paraId="2A2E0C1A">
        <w:tblPrEx>
          <w:tblCellMar>
            <w:top w:w="0" w:type="dxa"/>
            <w:left w:w="108" w:type="dxa"/>
            <w:bottom w:w="0" w:type="dxa"/>
            <w:right w:w="108" w:type="dxa"/>
          </w:tblCellMar>
        </w:tblPrEx>
        <w:trPr>
          <w:trHeight w:val="475" w:hRule="atLeast"/>
        </w:trPr>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3006C">
            <w:pPr>
              <w:widowControl/>
              <w:jc w:val="center"/>
              <w:rPr>
                <w:rFonts w:cs="宋体"/>
                <w:kern w:val="0"/>
                <w:szCs w:val="21"/>
              </w:rPr>
            </w:pPr>
            <w:r>
              <w:rPr>
                <w:rFonts w:hint="eastAsia" w:cs="宋体"/>
                <w:kern w:val="0"/>
                <w:szCs w:val="21"/>
              </w:rPr>
              <w:t>姓名</w:t>
            </w:r>
          </w:p>
        </w:tc>
        <w:tc>
          <w:tcPr>
            <w:tcW w:w="943" w:type="dxa"/>
            <w:gridSpan w:val="2"/>
            <w:tcBorders>
              <w:top w:val="single" w:color="000000" w:sz="4" w:space="0"/>
              <w:left w:val="nil"/>
              <w:bottom w:val="single" w:color="000000" w:sz="4" w:space="0"/>
              <w:right w:val="single" w:color="000000" w:sz="4" w:space="0"/>
            </w:tcBorders>
            <w:shd w:val="clear" w:color="auto" w:fill="FFFFFF"/>
            <w:vAlign w:val="center"/>
          </w:tcPr>
          <w:p w14:paraId="062B6137">
            <w:pPr>
              <w:widowControl/>
              <w:jc w:val="center"/>
              <w:rPr>
                <w:rFonts w:cs="宋体"/>
                <w:kern w:val="0"/>
                <w:szCs w:val="21"/>
              </w:rPr>
            </w:pPr>
            <w:r>
              <w:rPr>
                <w:rFonts w:hint="eastAsia" w:cs="宋体"/>
                <w:kern w:val="0"/>
                <w:szCs w:val="21"/>
              </w:rPr>
              <w:t>　</w:t>
            </w:r>
          </w:p>
        </w:tc>
        <w:tc>
          <w:tcPr>
            <w:tcW w:w="894" w:type="dxa"/>
            <w:tcBorders>
              <w:top w:val="single" w:color="000000" w:sz="4" w:space="0"/>
              <w:left w:val="nil"/>
              <w:bottom w:val="single" w:color="000000" w:sz="4" w:space="0"/>
              <w:right w:val="single" w:color="000000" w:sz="4" w:space="0"/>
            </w:tcBorders>
            <w:shd w:val="clear" w:color="auto" w:fill="FFFFFF"/>
            <w:vAlign w:val="center"/>
          </w:tcPr>
          <w:p w14:paraId="5573F75B">
            <w:pPr>
              <w:widowControl/>
              <w:jc w:val="center"/>
              <w:rPr>
                <w:rFonts w:cs="宋体"/>
                <w:kern w:val="0"/>
                <w:szCs w:val="21"/>
              </w:rPr>
            </w:pPr>
            <w:r>
              <w:rPr>
                <w:rFonts w:hint="eastAsia" w:cs="宋体"/>
                <w:kern w:val="0"/>
                <w:szCs w:val="21"/>
              </w:rPr>
              <w:t>性别</w:t>
            </w:r>
          </w:p>
        </w:tc>
        <w:tc>
          <w:tcPr>
            <w:tcW w:w="1089" w:type="dxa"/>
            <w:tcBorders>
              <w:top w:val="single" w:color="000000" w:sz="4" w:space="0"/>
              <w:left w:val="nil"/>
              <w:bottom w:val="single" w:color="000000" w:sz="4" w:space="0"/>
              <w:right w:val="single" w:color="000000" w:sz="4" w:space="0"/>
            </w:tcBorders>
            <w:shd w:val="clear" w:color="auto" w:fill="FFFFFF"/>
            <w:vAlign w:val="center"/>
          </w:tcPr>
          <w:p w14:paraId="5BF6FF8E">
            <w:pPr>
              <w:widowControl/>
              <w:jc w:val="center"/>
              <w:rPr>
                <w:rFonts w:cs="宋体"/>
                <w:kern w:val="0"/>
                <w:szCs w:val="21"/>
              </w:rPr>
            </w:pPr>
            <w:r>
              <w:rPr>
                <w:rFonts w:hint="eastAsia" w:cs="宋体"/>
                <w:kern w:val="0"/>
                <w:szCs w:val="21"/>
              </w:rPr>
              <w:t>　</w:t>
            </w:r>
          </w:p>
        </w:tc>
        <w:tc>
          <w:tcPr>
            <w:tcW w:w="1116" w:type="dxa"/>
            <w:tcBorders>
              <w:top w:val="single" w:color="000000" w:sz="4" w:space="0"/>
              <w:left w:val="nil"/>
              <w:bottom w:val="single" w:color="000000" w:sz="4" w:space="0"/>
              <w:right w:val="single" w:color="000000" w:sz="4" w:space="0"/>
            </w:tcBorders>
            <w:shd w:val="clear" w:color="auto" w:fill="FFFFFF"/>
            <w:vAlign w:val="center"/>
          </w:tcPr>
          <w:p w14:paraId="3F1EFB88">
            <w:pPr>
              <w:widowControl/>
              <w:jc w:val="center"/>
              <w:rPr>
                <w:rFonts w:cs="宋体"/>
                <w:kern w:val="0"/>
                <w:szCs w:val="21"/>
              </w:rPr>
            </w:pPr>
            <w:r>
              <w:rPr>
                <w:rFonts w:hint="eastAsia" w:cs="宋体"/>
                <w:kern w:val="0"/>
                <w:szCs w:val="21"/>
              </w:rPr>
              <w:t>年龄</w:t>
            </w:r>
          </w:p>
        </w:tc>
        <w:tc>
          <w:tcPr>
            <w:tcW w:w="933" w:type="dxa"/>
            <w:tcBorders>
              <w:top w:val="single" w:color="000000" w:sz="4" w:space="0"/>
              <w:left w:val="nil"/>
              <w:bottom w:val="single" w:color="000000" w:sz="4" w:space="0"/>
              <w:right w:val="single" w:color="000000" w:sz="4" w:space="0"/>
            </w:tcBorders>
            <w:shd w:val="clear" w:color="auto" w:fill="FFFFFF"/>
            <w:vAlign w:val="center"/>
          </w:tcPr>
          <w:p w14:paraId="4597B8EE">
            <w:pPr>
              <w:widowControl/>
              <w:jc w:val="center"/>
              <w:rPr>
                <w:rFonts w:cs="宋体"/>
                <w:kern w:val="0"/>
                <w:szCs w:val="21"/>
              </w:rPr>
            </w:pPr>
            <w:r>
              <w:rPr>
                <w:rFonts w:hint="eastAsia" w:cs="宋体"/>
                <w:kern w:val="0"/>
                <w:szCs w:val="21"/>
              </w:rPr>
              <w:t>　</w:t>
            </w:r>
          </w:p>
        </w:tc>
        <w:tc>
          <w:tcPr>
            <w:tcW w:w="972" w:type="dxa"/>
            <w:tcBorders>
              <w:top w:val="single" w:color="000000" w:sz="4" w:space="0"/>
              <w:left w:val="nil"/>
              <w:bottom w:val="single" w:color="000000" w:sz="4" w:space="0"/>
              <w:right w:val="single" w:color="000000" w:sz="4" w:space="0"/>
            </w:tcBorders>
            <w:shd w:val="clear" w:color="auto" w:fill="FFFFFF"/>
            <w:vAlign w:val="center"/>
          </w:tcPr>
          <w:p w14:paraId="5A0B1BD6">
            <w:pPr>
              <w:widowControl/>
              <w:jc w:val="center"/>
              <w:rPr>
                <w:rFonts w:cs="宋体"/>
                <w:kern w:val="0"/>
                <w:szCs w:val="21"/>
              </w:rPr>
            </w:pPr>
            <w:r>
              <w:rPr>
                <w:rFonts w:hint="eastAsia" w:cs="宋体"/>
                <w:kern w:val="0"/>
                <w:szCs w:val="21"/>
              </w:rPr>
              <w:t>专业</w:t>
            </w:r>
          </w:p>
        </w:tc>
        <w:tc>
          <w:tcPr>
            <w:tcW w:w="2002" w:type="dxa"/>
            <w:tcBorders>
              <w:top w:val="single" w:color="000000" w:sz="4" w:space="0"/>
              <w:left w:val="nil"/>
              <w:bottom w:val="single" w:color="000000" w:sz="4" w:space="0"/>
              <w:right w:val="single" w:color="000000" w:sz="4" w:space="0"/>
            </w:tcBorders>
            <w:shd w:val="clear" w:color="auto" w:fill="FFFFFF"/>
            <w:vAlign w:val="center"/>
          </w:tcPr>
          <w:p w14:paraId="5D2A02CA">
            <w:pPr>
              <w:widowControl/>
              <w:jc w:val="center"/>
              <w:rPr>
                <w:rFonts w:cs="宋体"/>
                <w:kern w:val="0"/>
                <w:szCs w:val="21"/>
              </w:rPr>
            </w:pPr>
            <w:r>
              <w:rPr>
                <w:rFonts w:hint="eastAsia" w:cs="宋体"/>
                <w:kern w:val="0"/>
                <w:szCs w:val="21"/>
              </w:rPr>
              <w:t>　</w:t>
            </w:r>
          </w:p>
        </w:tc>
      </w:tr>
      <w:tr w14:paraId="17C09854">
        <w:tblPrEx>
          <w:tblCellMar>
            <w:top w:w="0" w:type="dxa"/>
            <w:left w:w="108" w:type="dxa"/>
            <w:bottom w:w="0" w:type="dxa"/>
            <w:right w:w="108" w:type="dxa"/>
          </w:tblCellMar>
        </w:tblPrEx>
        <w:trPr>
          <w:trHeight w:val="489"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FDA759">
            <w:pPr>
              <w:widowControl/>
              <w:jc w:val="center"/>
              <w:rPr>
                <w:rFonts w:cs="宋体"/>
                <w:kern w:val="0"/>
                <w:szCs w:val="21"/>
              </w:rPr>
            </w:pPr>
            <w:r>
              <w:rPr>
                <w:rFonts w:hint="eastAsia" w:cs="宋体"/>
                <w:kern w:val="0"/>
                <w:szCs w:val="21"/>
              </w:rPr>
              <w:t>资质等级</w:t>
            </w:r>
          </w:p>
        </w:tc>
        <w:tc>
          <w:tcPr>
            <w:tcW w:w="1558" w:type="dxa"/>
            <w:gridSpan w:val="2"/>
            <w:tcBorders>
              <w:top w:val="single" w:color="000000" w:sz="4" w:space="0"/>
              <w:left w:val="nil"/>
              <w:bottom w:val="single" w:color="000000" w:sz="4" w:space="0"/>
              <w:right w:val="single" w:color="000000" w:sz="4" w:space="0"/>
            </w:tcBorders>
            <w:shd w:val="clear" w:color="auto" w:fill="FFFFFF"/>
            <w:vAlign w:val="center"/>
          </w:tcPr>
          <w:p w14:paraId="2E1240F6">
            <w:pPr>
              <w:widowControl/>
              <w:jc w:val="center"/>
              <w:rPr>
                <w:rFonts w:cs="宋体"/>
                <w:kern w:val="0"/>
                <w:szCs w:val="21"/>
              </w:rPr>
            </w:pPr>
            <w:r>
              <w:rPr>
                <w:rFonts w:hint="eastAsia" w:cs="宋体"/>
                <w:kern w:val="0"/>
                <w:szCs w:val="21"/>
              </w:rPr>
              <w:t>　</w:t>
            </w:r>
          </w:p>
        </w:tc>
        <w:tc>
          <w:tcPr>
            <w:tcW w:w="1089" w:type="dxa"/>
            <w:tcBorders>
              <w:top w:val="nil"/>
              <w:left w:val="nil"/>
              <w:bottom w:val="single" w:color="000000" w:sz="4" w:space="0"/>
              <w:right w:val="single" w:color="000000" w:sz="4" w:space="0"/>
            </w:tcBorders>
            <w:shd w:val="clear" w:color="auto" w:fill="FFFFFF"/>
            <w:vAlign w:val="center"/>
          </w:tcPr>
          <w:p w14:paraId="48C3C845">
            <w:pPr>
              <w:widowControl/>
              <w:jc w:val="center"/>
              <w:rPr>
                <w:rFonts w:cs="宋体"/>
                <w:kern w:val="0"/>
                <w:szCs w:val="21"/>
              </w:rPr>
            </w:pPr>
            <w:r>
              <w:rPr>
                <w:rFonts w:hint="eastAsia" w:cs="宋体"/>
                <w:kern w:val="0"/>
                <w:szCs w:val="21"/>
              </w:rPr>
              <w:t>职称</w:t>
            </w:r>
          </w:p>
        </w:tc>
        <w:tc>
          <w:tcPr>
            <w:tcW w:w="2049" w:type="dxa"/>
            <w:gridSpan w:val="2"/>
            <w:tcBorders>
              <w:top w:val="single" w:color="000000" w:sz="4" w:space="0"/>
              <w:left w:val="nil"/>
              <w:bottom w:val="single" w:color="000000" w:sz="4" w:space="0"/>
              <w:right w:val="single" w:color="000000" w:sz="4" w:space="0"/>
            </w:tcBorders>
            <w:shd w:val="clear" w:color="auto" w:fill="FFFFFF"/>
            <w:vAlign w:val="center"/>
          </w:tcPr>
          <w:p w14:paraId="1E09FE35">
            <w:pPr>
              <w:widowControl/>
              <w:jc w:val="center"/>
              <w:rPr>
                <w:rFonts w:cs="宋体"/>
                <w:kern w:val="0"/>
                <w:szCs w:val="21"/>
              </w:rPr>
            </w:pPr>
            <w:r>
              <w:rPr>
                <w:rFonts w:hint="eastAsia" w:cs="宋体"/>
                <w:kern w:val="0"/>
                <w:szCs w:val="21"/>
              </w:rPr>
              <w:t>　</w:t>
            </w:r>
          </w:p>
        </w:tc>
        <w:tc>
          <w:tcPr>
            <w:tcW w:w="972" w:type="dxa"/>
            <w:tcBorders>
              <w:top w:val="nil"/>
              <w:left w:val="nil"/>
              <w:bottom w:val="single" w:color="000000" w:sz="4" w:space="0"/>
              <w:right w:val="single" w:color="000000" w:sz="4" w:space="0"/>
            </w:tcBorders>
            <w:shd w:val="clear" w:color="auto" w:fill="FFFFFF"/>
            <w:vAlign w:val="center"/>
          </w:tcPr>
          <w:p w14:paraId="419980BC">
            <w:pPr>
              <w:widowControl/>
              <w:jc w:val="center"/>
              <w:rPr>
                <w:rFonts w:cs="宋体"/>
                <w:kern w:val="0"/>
                <w:szCs w:val="21"/>
              </w:rPr>
            </w:pPr>
            <w:r>
              <w:rPr>
                <w:rFonts w:hint="eastAsia" w:cs="宋体"/>
                <w:kern w:val="0"/>
                <w:szCs w:val="21"/>
              </w:rPr>
              <w:t>学历</w:t>
            </w:r>
          </w:p>
        </w:tc>
        <w:tc>
          <w:tcPr>
            <w:tcW w:w="2002" w:type="dxa"/>
            <w:tcBorders>
              <w:top w:val="nil"/>
              <w:left w:val="nil"/>
              <w:bottom w:val="single" w:color="000000" w:sz="4" w:space="0"/>
              <w:right w:val="single" w:color="000000" w:sz="4" w:space="0"/>
            </w:tcBorders>
            <w:shd w:val="clear" w:color="auto" w:fill="FFFFFF"/>
            <w:vAlign w:val="center"/>
          </w:tcPr>
          <w:p w14:paraId="780AB97B">
            <w:pPr>
              <w:widowControl/>
              <w:jc w:val="center"/>
              <w:rPr>
                <w:rFonts w:cs="宋体"/>
                <w:kern w:val="0"/>
                <w:szCs w:val="21"/>
              </w:rPr>
            </w:pPr>
            <w:r>
              <w:rPr>
                <w:rFonts w:hint="eastAsia" w:cs="宋体"/>
                <w:kern w:val="0"/>
                <w:szCs w:val="21"/>
              </w:rPr>
              <w:t>　</w:t>
            </w:r>
          </w:p>
        </w:tc>
      </w:tr>
      <w:tr w14:paraId="7D056AAE">
        <w:tblPrEx>
          <w:tblCellMar>
            <w:top w:w="0" w:type="dxa"/>
            <w:left w:w="108" w:type="dxa"/>
            <w:bottom w:w="0" w:type="dxa"/>
            <w:right w:w="108" w:type="dxa"/>
          </w:tblCellMar>
        </w:tblPrEx>
        <w:trPr>
          <w:trHeight w:val="500" w:hRule="atLeast"/>
        </w:trPr>
        <w:tc>
          <w:tcPr>
            <w:tcW w:w="20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028638">
            <w:pPr>
              <w:widowControl/>
              <w:jc w:val="center"/>
              <w:rPr>
                <w:rFonts w:cs="宋体"/>
                <w:kern w:val="0"/>
                <w:szCs w:val="21"/>
              </w:rPr>
            </w:pPr>
            <w:r>
              <w:rPr>
                <w:rFonts w:hint="eastAsia" w:cs="宋体"/>
                <w:kern w:val="0"/>
                <w:szCs w:val="21"/>
              </w:rPr>
              <w:t>参加工作时间</w:t>
            </w:r>
          </w:p>
        </w:tc>
        <w:tc>
          <w:tcPr>
            <w:tcW w:w="1983" w:type="dxa"/>
            <w:gridSpan w:val="2"/>
            <w:tcBorders>
              <w:top w:val="single" w:color="000000" w:sz="4" w:space="0"/>
              <w:left w:val="nil"/>
              <w:bottom w:val="single" w:color="000000" w:sz="4" w:space="0"/>
              <w:right w:val="single" w:color="000000" w:sz="4" w:space="0"/>
            </w:tcBorders>
            <w:shd w:val="clear" w:color="auto" w:fill="FFFFFF"/>
            <w:vAlign w:val="center"/>
          </w:tcPr>
          <w:p w14:paraId="01FE9870">
            <w:pPr>
              <w:widowControl/>
              <w:ind w:left="-36" w:leftChars="-137" w:hanging="252" w:hangingChars="120"/>
              <w:jc w:val="left"/>
              <w:rPr>
                <w:rFonts w:cs="宋体"/>
                <w:kern w:val="0"/>
                <w:szCs w:val="21"/>
              </w:rPr>
            </w:pPr>
          </w:p>
        </w:tc>
        <w:tc>
          <w:tcPr>
            <w:tcW w:w="3021" w:type="dxa"/>
            <w:gridSpan w:val="3"/>
            <w:tcBorders>
              <w:top w:val="single" w:color="000000" w:sz="4" w:space="0"/>
              <w:left w:val="nil"/>
              <w:bottom w:val="single" w:color="000000" w:sz="4" w:space="0"/>
              <w:right w:val="single" w:color="000000" w:sz="4" w:space="0"/>
            </w:tcBorders>
            <w:shd w:val="clear" w:color="auto" w:fill="FFFFFF"/>
            <w:vAlign w:val="center"/>
          </w:tcPr>
          <w:p w14:paraId="0839DA6B">
            <w:pPr>
              <w:widowControl/>
              <w:jc w:val="center"/>
              <w:rPr>
                <w:rFonts w:cs="宋体"/>
                <w:kern w:val="0"/>
                <w:szCs w:val="21"/>
              </w:rPr>
            </w:pPr>
            <w:r>
              <w:rPr>
                <w:rFonts w:hint="eastAsia" w:cs="宋体"/>
                <w:kern w:val="0"/>
                <w:szCs w:val="21"/>
              </w:rPr>
              <w:t>从事</w:t>
            </w:r>
            <w:r>
              <w:rPr>
                <w:rFonts w:hint="eastAsia" w:cs="宋体"/>
                <w:kern w:val="0"/>
                <w:szCs w:val="21"/>
                <w:lang w:val="zh-CN"/>
              </w:rPr>
              <w:t>项目经理</w:t>
            </w:r>
            <w:r>
              <w:rPr>
                <w:rFonts w:hint="eastAsia" w:cs="宋体"/>
                <w:kern w:val="0"/>
                <w:szCs w:val="21"/>
              </w:rPr>
              <w:t>年限</w:t>
            </w:r>
          </w:p>
        </w:tc>
        <w:tc>
          <w:tcPr>
            <w:tcW w:w="2002" w:type="dxa"/>
            <w:tcBorders>
              <w:top w:val="nil"/>
              <w:left w:val="nil"/>
              <w:bottom w:val="single" w:color="000000" w:sz="4" w:space="0"/>
              <w:right w:val="single" w:color="000000" w:sz="4" w:space="0"/>
            </w:tcBorders>
            <w:shd w:val="clear" w:color="auto" w:fill="FFFFFF"/>
            <w:vAlign w:val="center"/>
          </w:tcPr>
          <w:p w14:paraId="608DFBCE">
            <w:pPr>
              <w:widowControl/>
              <w:jc w:val="left"/>
              <w:rPr>
                <w:rFonts w:cs="宋体"/>
                <w:kern w:val="0"/>
                <w:szCs w:val="21"/>
              </w:rPr>
            </w:pPr>
            <w:r>
              <w:rPr>
                <w:rFonts w:hint="eastAsia" w:cs="宋体"/>
                <w:kern w:val="0"/>
                <w:szCs w:val="21"/>
              </w:rPr>
              <w:t>　</w:t>
            </w:r>
          </w:p>
        </w:tc>
      </w:tr>
      <w:tr w14:paraId="14E39810">
        <w:tblPrEx>
          <w:tblCellMar>
            <w:top w:w="0" w:type="dxa"/>
            <w:left w:w="108" w:type="dxa"/>
            <w:bottom w:w="0" w:type="dxa"/>
            <w:right w:w="108" w:type="dxa"/>
          </w:tblCellMar>
        </w:tblPrEx>
        <w:trPr>
          <w:trHeight w:val="513"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B1D3F4">
            <w:pPr>
              <w:widowControl/>
              <w:jc w:val="center"/>
              <w:rPr>
                <w:rFonts w:cs="宋体"/>
                <w:kern w:val="0"/>
                <w:szCs w:val="21"/>
              </w:rPr>
            </w:pPr>
            <w:r>
              <w:rPr>
                <w:rFonts w:hint="eastAsia" w:cs="宋体"/>
                <w:kern w:val="0"/>
                <w:szCs w:val="21"/>
              </w:rPr>
              <w:t>证书号</w:t>
            </w:r>
          </w:p>
        </w:tc>
        <w:tc>
          <w:tcPr>
            <w:tcW w:w="2647" w:type="dxa"/>
            <w:gridSpan w:val="3"/>
            <w:tcBorders>
              <w:top w:val="single" w:color="000000" w:sz="4" w:space="0"/>
              <w:left w:val="nil"/>
              <w:bottom w:val="single" w:color="000000" w:sz="4" w:space="0"/>
              <w:right w:val="single" w:color="000000" w:sz="4" w:space="0"/>
            </w:tcBorders>
            <w:shd w:val="clear" w:color="auto" w:fill="FFFFFF"/>
            <w:vAlign w:val="center"/>
          </w:tcPr>
          <w:p w14:paraId="3E9082E9">
            <w:pPr>
              <w:widowControl/>
              <w:jc w:val="center"/>
              <w:rPr>
                <w:rFonts w:cs="宋体"/>
                <w:kern w:val="0"/>
                <w:szCs w:val="21"/>
              </w:rPr>
            </w:pPr>
            <w:r>
              <w:rPr>
                <w:rFonts w:hint="eastAsia" w:cs="宋体"/>
                <w:kern w:val="0"/>
                <w:szCs w:val="21"/>
              </w:rPr>
              <w:t>　</w:t>
            </w:r>
          </w:p>
        </w:tc>
        <w:tc>
          <w:tcPr>
            <w:tcW w:w="1116" w:type="dxa"/>
            <w:tcBorders>
              <w:top w:val="nil"/>
              <w:left w:val="nil"/>
              <w:bottom w:val="single" w:color="000000" w:sz="4" w:space="0"/>
              <w:right w:val="single" w:color="000000" w:sz="4" w:space="0"/>
            </w:tcBorders>
            <w:shd w:val="clear" w:color="auto" w:fill="FFFFFF"/>
            <w:vAlign w:val="center"/>
          </w:tcPr>
          <w:p w14:paraId="6ED93B5D">
            <w:pPr>
              <w:widowControl/>
              <w:jc w:val="center"/>
              <w:rPr>
                <w:rFonts w:cs="宋体"/>
                <w:kern w:val="0"/>
                <w:szCs w:val="21"/>
              </w:rPr>
            </w:pPr>
            <w:r>
              <w:rPr>
                <w:rFonts w:hint="eastAsia" w:cs="宋体"/>
                <w:kern w:val="0"/>
                <w:szCs w:val="21"/>
              </w:rPr>
              <w:t>身份证</w:t>
            </w:r>
          </w:p>
        </w:tc>
        <w:tc>
          <w:tcPr>
            <w:tcW w:w="3907" w:type="dxa"/>
            <w:gridSpan w:val="3"/>
            <w:tcBorders>
              <w:top w:val="single" w:color="000000" w:sz="4" w:space="0"/>
              <w:left w:val="nil"/>
              <w:bottom w:val="single" w:color="000000" w:sz="4" w:space="0"/>
              <w:right w:val="single" w:color="000000" w:sz="4" w:space="0"/>
            </w:tcBorders>
            <w:shd w:val="clear" w:color="auto" w:fill="FFFFFF"/>
            <w:vAlign w:val="center"/>
          </w:tcPr>
          <w:p w14:paraId="1B3FB66A">
            <w:pPr>
              <w:widowControl/>
              <w:jc w:val="center"/>
              <w:rPr>
                <w:rFonts w:cs="宋体"/>
                <w:kern w:val="0"/>
                <w:szCs w:val="21"/>
              </w:rPr>
            </w:pPr>
            <w:r>
              <w:rPr>
                <w:rFonts w:hint="eastAsia" w:cs="宋体"/>
                <w:kern w:val="0"/>
                <w:szCs w:val="21"/>
              </w:rPr>
              <w:t>　</w:t>
            </w:r>
          </w:p>
        </w:tc>
      </w:tr>
      <w:tr w14:paraId="4901A5A1">
        <w:tblPrEx>
          <w:tblCellMar>
            <w:top w:w="0" w:type="dxa"/>
            <w:left w:w="108" w:type="dxa"/>
            <w:bottom w:w="0" w:type="dxa"/>
            <w:right w:w="108" w:type="dxa"/>
          </w:tblCellMar>
        </w:tblPrEx>
        <w:trPr>
          <w:trHeight w:val="7405" w:hRule="atLeast"/>
        </w:trPr>
        <w:tc>
          <w:tcPr>
            <w:tcW w:w="1089" w:type="dxa"/>
            <w:vMerge w:val="restart"/>
            <w:tcBorders>
              <w:top w:val="nil"/>
              <w:left w:val="single" w:color="000000" w:sz="4" w:space="0"/>
              <w:bottom w:val="single" w:color="000000" w:sz="4" w:space="0"/>
              <w:right w:val="single" w:color="000000" w:sz="4" w:space="0"/>
            </w:tcBorders>
            <w:shd w:val="clear" w:color="auto" w:fill="FFFFFF"/>
            <w:vAlign w:val="center"/>
          </w:tcPr>
          <w:p w14:paraId="3E1D505B">
            <w:pPr>
              <w:widowControl/>
              <w:jc w:val="center"/>
              <w:rPr>
                <w:rFonts w:cs="宋体"/>
                <w:kern w:val="0"/>
                <w:szCs w:val="21"/>
              </w:rPr>
            </w:pPr>
            <w:r>
              <w:rPr>
                <w:rFonts w:hint="eastAsia" w:cs="宋体"/>
                <w:kern w:val="0"/>
                <w:szCs w:val="21"/>
              </w:rPr>
              <w:t>简</w:t>
            </w:r>
          </w:p>
          <w:p w14:paraId="65D6523E">
            <w:pPr>
              <w:widowControl/>
              <w:jc w:val="center"/>
              <w:rPr>
                <w:rFonts w:cs="宋体"/>
                <w:kern w:val="0"/>
                <w:szCs w:val="21"/>
              </w:rPr>
            </w:pPr>
          </w:p>
          <w:p w14:paraId="2D8AFACA">
            <w:pPr>
              <w:widowControl/>
              <w:jc w:val="center"/>
              <w:rPr>
                <w:rFonts w:cs="宋体"/>
                <w:kern w:val="0"/>
                <w:szCs w:val="21"/>
              </w:rPr>
            </w:pPr>
          </w:p>
          <w:p w14:paraId="17AB2F6E">
            <w:pPr>
              <w:widowControl/>
              <w:jc w:val="center"/>
              <w:rPr>
                <w:rFonts w:cs="宋体"/>
                <w:kern w:val="0"/>
                <w:szCs w:val="21"/>
              </w:rPr>
            </w:pPr>
          </w:p>
          <w:p w14:paraId="325C434A">
            <w:pPr>
              <w:widowControl/>
              <w:jc w:val="center"/>
              <w:rPr>
                <w:rFonts w:cs="宋体"/>
                <w:kern w:val="0"/>
                <w:szCs w:val="21"/>
              </w:rPr>
            </w:pPr>
          </w:p>
          <w:p w14:paraId="727BC5F2">
            <w:pPr>
              <w:widowControl/>
              <w:jc w:val="center"/>
              <w:rPr>
                <w:rFonts w:cs="宋体"/>
                <w:kern w:val="0"/>
                <w:szCs w:val="21"/>
              </w:rPr>
            </w:pPr>
          </w:p>
          <w:p w14:paraId="021F065B">
            <w:pPr>
              <w:widowControl/>
              <w:jc w:val="center"/>
              <w:rPr>
                <w:rFonts w:cs="宋体"/>
                <w:kern w:val="0"/>
                <w:szCs w:val="21"/>
              </w:rPr>
            </w:pPr>
            <w:r>
              <w:rPr>
                <w:rFonts w:hint="eastAsia" w:cs="宋体"/>
                <w:kern w:val="0"/>
                <w:szCs w:val="21"/>
              </w:rPr>
              <w:t>历</w:t>
            </w:r>
          </w:p>
        </w:tc>
        <w:tc>
          <w:tcPr>
            <w:tcW w:w="7949"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tcPr>
          <w:p w14:paraId="0A770D44">
            <w:pPr>
              <w:widowControl/>
              <w:jc w:val="left"/>
              <w:rPr>
                <w:rFonts w:cs="宋体"/>
                <w:kern w:val="0"/>
                <w:szCs w:val="21"/>
              </w:rPr>
            </w:pPr>
          </w:p>
        </w:tc>
      </w:tr>
      <w:tr w14:paraId="1DE89F05">
        <w:tblPrEx>
          <w:tblCellMar>
            <w:top w:w="0" w:type="dxa"/>
            <w:left w:w="108" w:type="dxa"/>
            <w:bottom w:w="0" w:type="dxa"/>
            <w:right w:w="108" w:type="dxa"/>
          </w:tblCellMar>
        </w:tblPrEx>
        <w:trPr>
          <w:trHeight w:val="312" w:hRule="atLeast"/>
        </w:trPr>
        <w:tc>
          <w:tcPr>
            <w:tcW w:w="1089" w:type="dxa"/>
            <w:vMerge w:val="continue"/>
            <w:tcBorders>
              <w:top w:val="nil"/>
              <w:left w:val="single" w:color="000000" w:sz="4" w:space="0"/>
              <w:bottom w:val="single" w:color="000000" w:sz="4" w:space="0"/>
              <w:right w:val="single" w:color="000000" w:sz="4" w:space="0"/>
            </w:tcBorders>
            <w:vAlign w:val="center"/>
          </w:tcPr>
          <w:p w14:paraId="4BB2C014">
            <w:pPr>
              <w:widowControl/>
              <w:jc w:val="left"/>
              <w:rPr>
                <w:rFonts w:cs="宋体"/>
                <w:kern w:val="0"/>
                <w:szCs w:val="21"/>
              </w:rPr>
            </w:pPr>
          </w:p>
        </w:tc>
        <w:tc>
          <w:tcPr>
            <w:tcW w:w="7949" w:type="dxa"/>
            <w:gridSpan w:val="8"/>
            <w:vMerge w:val="continue"/>
            <w:tcBorders>
              <w:top w:val="single" w:color="000000" w:sz="4" w:space="0"/>
              <w:left w:val="single" w:color="000000" w:sz="4" w:space="0"/>
              <w:bottom w:val="single" w:color="000000" w:sz="4" w:space="0"/>
              <w:right w:val="single" w:color="000000" w:sz="4" w:space="0"/>
            </w:tcBorders>
            <w:vAlign w:val="center"/>
          </w:tcPr>
          <w:p w14:paraId="0403698E">
            <w:pPr>
              <w:widowControl/>
              <w:jc w:val="left"/>
              <w:rPr>
                <w:rFonts w:cs="宋体"/>
                <w:kern w:val="0"/>
                <w:szCs w:val="21"/>
              </w:rPr>
            </w:pPr>
          </w:p>
        </w:tc>
      </w:tr>
    </w:tbl>
    <w:p w14:paraId="492793AF">
      <w:pPr>
        <w:adjustRightInd w:val="0"/>
        <w:snapToGrid w:val="0"/>
        <w:spacing w:line="360" w:lineRule="auto"/>
        <w:rPr>
          <w:rFonts w:ascii="宋体" w:hAnsi="宋体"/>
          <w:sz w:val="24"/>
        </w:rPr>
      </w:pPr>
    </w:p>
    <w:p w14:paraId="187FC30B">
      <w:pPr>
        <w:spacing w:line="480" w:lineRule="auto"/>
        <w:ind w:right="84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 xml:space="preserve">供应商（盖单位章）： </w:t>
      </w:r>
    </w:p>
    <w:p w14:paraId="6EC70F00">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3BF89C9D">
      <w:pPr>
        <w:spacing w:line="360" w:lineRule="auto"/>
        <w:rPr>
          <w:rFonts w:ascii="宋体" w:hAnsi="宋体" w:cs="宋体"/>
          <w:b/>
          <w:bCs/>
          <w:color w:val="000000"/>
          <w:sz w:val="24"/>
        </w:rPr>
      </w:pPr>
      <w:r>
        <w:rPr>
          <w:rFonts w:hint="eastAsia" w:ascii="宋体" w:hAnsi="宋体" w:cs="宋体"/>
          <w:b/>
          <w:bCs/>
          <w:color w:val="000000"/>
          <w:sz w:val="24"/>
        </w:rPr>
        <w:t>附件11：</w:t>
      </w:r>
    </w:p>
    <w:p w14:paraId="3BB34115">
      <w:pPr>
        <w:tabs>
          <w:tab w:val="left" w:pos="2790"/>
          <w:tab w:val="left" w:pos="4230"/>
        </w:tabs>
        <w:autoSpaceDE w:val="0"/>
        <w:autoSpaceDN w:val="0"/>
        <w:spacing w:line="360" w:lineRule="auto"/>
        <w:jc w:val="center"/>
        <w:rPr>
          <w:rFonts w:ascii="宋体" w:hAnsi="宋体" w:cs="宋体"/>
          <w:b/>
          <w:sz w:val="28"/>
          <w:szCs w:val="28"/>
        </w:rPr>
      </w:pPr>
      <w:r>
        <w:rPr>
          <w:rFonts w:hint="eastAsia" w:ascii="宋体" w:hAnsi="宋体" w:cs="宋体"/>
          <w:b/>
          <w:sz w:val="28"/>
          <w:szCs w:val="28"/>
        </w:rPr>
        <w:t>项目实施人员名单一览表</w:t>
      </w:r>
    </w:p>
    <w:p w14:paraId="3CCA459D">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w:t>
      </w:r>
      <w:r>
        <w:rPr>
          <w:rFonts w:hint="eastAsia" w:hAnsi="宋体" w:cs="宋体"/>
          <w:color w:val="000000"/>
          <w:sz w:val="21"/>
          <w:szCs w:val="21"/>
          <w:lang w:val="en-US" w:eastAsia="zh-CN"/>
        </w:rPr>
        <w:t>4</w:t>
      </w:r>
      <w:r>
        <w:rPr>
          <w:rFonts w:hint="eastAsia" w:hAnsi="宋体" w:cs="宋体"/>
          <w:color w:val="000000"/>
          <w:sz w:val="21"/>
          <w:szCs w:val="21"/>
          <w:lang w:val="zh-CN"/>
        </w:rPr>
        <w:t>12）002</w:t>
      </w:r>
    </w:p>
    <w:p w14:paraId="0375F6C7">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pPr w:leftFromText="180" w:rightFromText="180" w:vertAnchor="text" w:horzAnchor="page" w:tblpX="1426" w:tblpY="132"/>
        <w:tblOverlap w:val="never"/>
        <w:tblW w:w="931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9"/>
        <w:gridCol w:w="1466"/>
        <w:gridCol w:w="1038"/>
        <w:gridCol w:w="902"/>
        <w:gridCol w:w="936"/>
        <w:gridCol w:w="970"/>
        <w:gridCol w:w="1060"/>
        <w:gridCol w:w="925"/>
        <w:gridCol w:w="1335"/>
      </w:tblGrid>
      <w:tr w14:paraId="4AEBC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679" w:type="dxa"/>
            <w:tcBorders>
              <w:top w:val="single" w:color="auto" w:sz="4" w:space="0"/>
              <w:bottom w:val="single" w:color="auto" w:sz="4" w:space="0"/>
              <w:right w:val="single" w:color="auto" w:sz="4" w:space="0"/>
            </w:tcBorders>
            <w:vAlign w:val="center"/>
          </w:tcPr>
          <w:p w14:paraId="6481A843">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序号</w:t>
            </w:r>
          </w:p>
        </w:tc>
        <w:tc>
          <w:tcPr>
            <w:tcW w:w="1466" w:type="dxa"/>
            <w:tcBorders>
              <w:top w:val="single" w:color="auto" w:sz="4" w:space="0"/>
              <w:left w:val="single" w:color="auto" w:sz="4" w:space="0"/>
              <w:bottom w:val="single" w:color="auto" w:sz="4" w:space="0"/>
              <w:right w:val="single" w:color="auto" w:sz="4" w:space="0"/>
            </w:tcBorders>
            <w:vAlign w:val="center"/>
          </w:tcPr>
          <w:p w14:paraId="574AEAF4">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拟任岗位</w:t>
            </w:r>
          </w:p>
        </w:tc>
        <w:tc>
          <w:tcPr>
            <w:tcW w:w="1038" w:type="dxa"/>
            <w:tcBorders>
              <w:top w:val="single" w:color="auto" w:sz="4" w:space="0"/>
              <w:left w:val="single" w:color="auto" w:sz="4" w:space="0"/>
              <w:bottom w:val="single" w:color="auto" w:sz="4" w:space="0"/>
              <w:right w:val="single" w:color="auto" w:sz="4" w:space="0"/>
            </w:tcBorders>
            <w:vAlign w:val="center"/>
          </w:tcPr>
          <w:p w14:paraId="440D6DDE">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姓名</w:t>
            </w:r>
          </w:p>
        </w:tc>
        <w:tc>
          <w:tcPr>
            <w:tcW w:w="902" w:type="dxa"/>
            <w:tcBorders>
              <w:top w:val="single" w:color="auto" w:sz="4" w:space="0"/>
              <w:left w:val="single" w:color="auto" w:sz="4" w:space="0"/>
              <w:bottom w:val="single" w:color="auto" w:sz="4" w:space="0"/>
              <w:right w:val="single" w:color="auto" w:sz="4" w:space="0"/>
            </w:tcBorders>
            <w:vAlign w:val="center"/>
          </w:tcPr>
          <w:p w14:paraId="6660EAA9">
            <w:pPr>
              <w:spacing w:line="276" w:lineRule="auto"/>
              <w:jc w:val="center"/>
              <w:rPr>
                <w:rFonts w:ascii="宋体" w:hAnsi="宋体" w:cs="宋体"/>
                <w:bCs/>
                <w:color w:val="000000"/>
                <w:szCs w:val="21"/>
              </w:rPr>
            </w:pPr>
            <w:r>
              <w:rPr>
                <w:rFonts w:hint="eastAsia" w:ascii="宋体" w:hAnsi="宋体" w:cs="宋体"/>
                <w:bCs/>
                <w:color w:val="000000"/>
                <w:szCs w:val="21"/>
              </w:rPr>
              <w:t>年龄</w:t>
            </w:r>
          </w:p>
        </w:tc>
        <w:tc>
          <w:tcPr>
            <w:tcW w:w="936" w:type="dxa"/>
            <w:tcBorders>
              <w:top w:val="single" w:color="auto" w:sz="4" w:space="0"/>
              <w:left w:val="single" w:color="auto" w:sz="4" w:space="0"/>
              <w:bottom w:val="single" w:color="auto" w:sz="4" w:space="0"/>
              <w:right w:val="single" w:color="auto" w:sz="4" w:space="0"/>
            </w:tcBorders>
            <w:vAlign w:val="center"/>
          </w:tcPr>
          <w:p w14:paraId="20EA0F2E">
            <w:pPr>
              <w:spacing w:line="276" w:lineRule="auto"/>
              <w:jc w:val="center"/>
              <w:rPr>
                <w:rFonts w:ascii="宋体" w:hAnsi="宋体" w:cs="宋体"/>
                <w:bCs/>
                <w:color w:val="000000"/>
                <w:szCs w:val="21"/>
              </w:rPr>
            </w:pPr>
            <w:r>
              <w:rPr>
                <w:rFonts w:hint="eastAsia" w:ascii="宋体" w:hAnsi="宋体" w:cs="宋体"/>
                <w:bCs/>
                <w:color w:val="000000"/>
                <w:szCs w:val="21"/>
              </w:rPr>
              <w:t>性别</w:t>
            </w:r>
          </w:p>
        </w:tc>
        <w:tc>
          <w:tcPr>
            <w:tcW w:w="970" w:type="dxa"/>
            <w:tcBorders>
              <w:top w:val="single" w:color="auto" w:sz="4" w:space="0"/>
              <w:left w:val="single" w:color="auto" w:sz="4" w:space="0"/>
              <w:bottom w:val="single" w:color="auto" w:sz="4" w:space="0"/>
              <w:right w:val="single" w:color="auto" w:sz="4" w:space="0"/>
            </w:tcBorders>
            <w:vAlign w:val="center"/>
          </w:tcPr>
          <w:p w14:paraId="00101B11">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劳动合同编号</w:t>
            </w:r>
          </w:p>
        </w:tc>
        <w:tc>
          <w:tcPr>
            <w:tcW w:w="1060" w:type="dxa"/>
            <w:tcBorders>
              <w:top w:val="single" w:color="auto" w:sz="4" w:space="0"/>
              <w:left w:val="single" w:color="auto" w:sz="4" w:space="0"/>
              <w:bottom w:val="single" w:color="auto" w:sz="4" w:space="0"/>
              <w:right w:val="single" w:color="auto" w:sz="4" w:space="0"/>
            </w:tcBorders>
            <w:vAlign w:val="center"/>
          </w:tcPr>
          <w:p w14:paraId="0E1970FD">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从事本工作时间</w:t>
            </w:r>
          </w:p>
        </w:tc>
        <w:tc>
          <w:tcPr>
            <w:tcW w:w="925" w:type="dxa"/>
            <w:tcBorders>
              <w:top w:val="single" w:color="auto" w:sz="4" w:space="0"/>
              <w:left w:val="single" w:color="auto" w:sz="4" w:space="0"/>
              <w:bottom w:val="single" w:color="auto" w:sz="4" w:space="0"/>
            </w:tcBorders>
            <w:vAlign w:val="center"/>
          </w:tcPr>
          <w:p w14:paraId="1E7944BE">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证书名称、编号</w:t>
            </w:r>
          </w:p>
        </w:tc>
        <w:tc>
          <w:tcPr>
            <w:tcW w:w="1335" w:type="dxa"/>
            <w:tcBorders>
              <w:top w:val="single" w:color="auto" w:sz="4" w:space="0"/>
              <w:left w:val="single" w:color="auto" w:sz="4" w:space="0"/>
              <w:bottom w:val="single" w:color="auto" w:sz="4" w:space="0"/>
            </w:tcBorders>
            <w:vAlign w:val="center"/>
          </w:tcPr>
          <w:p w14:paraId="10370F27">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评审材料</w:t>
            </w:r>
          </w:p>
          <w:p w14:paraId="298318FA">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（页码）</w:t>
            </w:r>
          </w:p>
        </w:tc>
      </w:tr>
      <w:tr w14:paraId="007A3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634BBD6">
            <w:pPr>
              <w:pStyle w:val="19"/>
              <w:jc w:val="center"/>
              <w:rPr>
                <w:rFonts w:ascii="宋体" w:hAnsi="宋体" w:cs="宋体"/>
                <w:color w:val="000000"/>
                <w:sz w:val="21"/>
                <w:szCs w:val="21"/>
              </w:rPr>
            </w:pPr>
            <w:r>
              <w:rPr>
                <w:rFonts w:hint="eastAsia" w:ascii="宋体" w:hAnsi="宋体" w:cs="宋体"/>
                <w:color w:val="000000"/>
                <w:sz w:val="21"/>
                <w:szCs w:val="21"/>
              </w:rPr>
              <w:t>1</w:t>
            </w:r>
          </w:p>
        </w:tc>
        <w:tc>
          <w:tcPr>
            <w:tcW w:w="1466" w:type="dxa"/>
            <w:tcBorders>
              <w:top w:val="single" w:color="auto" w:sz="4" w:space="0"/>
              <w:left w:val="single" w:color="auto" w:sz="4" w:space="0"/>
              <w:bottom w:val="single" w:color="auto" w:sz="4" w:space="0"/>
              <w:right w:val="single" w:color="auto" w:sz="4" w:space="0"/>
            </w:tcBorders>
            <w:vAlign w:val="center"/>
          </w:tcPr>
          <w:p w14:paraId="4B05759C">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27671A27">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41A57F25">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50045E30">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DF4DCD0">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44E009DA">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6629AF25">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17D98B08">
            <w:pPr>
              <w:pStyle w:val="19"/>
              <w:jc w:val="center"/>
              <w:rPr>
                <w:rFonts w:ascii="宋体" w:hAnsi="宋体" w:cs="宋体"/>
                <w:color w:val="000000"/>
                <w:sz w:val="21"/>
                <w:szCs w:val="21"/>
              </w:rPr>
            </w:pPr>
          </w:p>
        </w:tc>
      </w:tr>
      <w:tr w14:paraId="11A0A6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216226F7">
            <w:pPr>
              <w:pStyle w:val="19"/>
              <w:jc w:val="center"/>
              <w:rPr>
                <w:rFonts w:ascii="宋体" w:hAnsi="宋体" w:cs="宋体"/>
                <w:color w:val="000000"/>
                <w:sz w:val="21"/>
                <w:szCs w:val="21"/>
              </w:rPr>
            </w:pPr>
            <w:r>
              <w:rPr>
                <w:rFonts w:hint="eastAsia" w:ascii="宋体" w:hAnsi="宋体" w:cs="宋体"/>
                <w:color w:val="000000"/>
                <w:sz w:val="21"/>
                <w:szCs w:val="21"/>
              </w:rPr>
              <w:t>2</w:t>
            </w:r>
          </w:p>
        </w:tc>
        <w:tc>
          <w:tcPr>
            <w:tcW w:w="1466" w:type="dxa"/>
            <w:tcBorders>
              <w:top w:val="single" w:color="auto" w:sz="4" w:space="0"/>
              <w:left w:val="single" w:color="auto" w:sz="4" w:space="0"/>
              <w:bottom w:val="single" w:color="auto" w:sz="4" w:space="0"/>
              <w:right w:val="single" w:color="auto" w:sz="4" w:space="0"/>
            </w:tcBorders>
            <w:vAlign w:val="center"/>
          </w:tcPr>
          <w:p w14:paraId="046A1FA6">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56949C07">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7E2C0A50">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437F13FA">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EBC82F3">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334C1248">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728A17A0">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035F5307">
            <w:pPr>
              <w:pStyle w:val="19"/>
              <w:jc w:val="center"/>
              <w:rPr>
                <w:rFonts w:ascii="宋体" w:hAnsi="宋体" w:cs="宋体"/>
                <w:color w:val="000000"/>
                <w:sz w:val="21"/>
                <w:szCs w:val="21"/>
              </w:rPr>
            </w:pPr>
          </w:p>
        </w:tc>
      </w:tr>
      <w:tr w14:paraId="01678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77FA8730">
            <w:pPr>
              <w:pStyle w:val="19"/>
              <w:jc w:val="center"/>
              <w:rPr>
                <w:rFonts w:ascii="宋体" w:hAnsi="宋体" w:cs="宋体"/>
                <w:color w:val="000000"/>
                <w:sz w:val="21"/>
                <w:szCs w:val="21"/>
              </w:rPr>
            </w:pPr>
            <w:r>
              <w:rPr>
                <w:rFonts w:hint="eastAsia" w:ascii="宋体" w:hAnsi="宋体" w:cs="宋体"/>
                <w:color w:val="000000"/>
                <w:sz w:val="21"/>
                <w:szCs w:val="21"/>
              </w:rPr>
              <w:t>3</w:t>
            </w:r>
          </w:p>
        </w:tc>
        <w:tc>
          <w:tcPr>
            <w:tcW w:w="1466" w:type="dxa"/>
            <w:tcBorders>
              <w:top w:val="single" w:color="auto" w:sz="4" w:space="0"/>
              <w:left w:val="single" w:color="auto" w:sz="4" w:space="0"/>
              <w:bottom w:val="single" w:color="auto" w:sz="4" w:space="0"/>
              <w:right w:val="single" w:color="auto" w:sz="4" w:space="0"/>
            </w:tcBorders>
            <w:vAlign w:val="center"/>
          </w:tcPr>
          <w:p w14:paraId="21217518">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683DF5F1">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526473AD">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406F08E5">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460CCFBF">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39C94AC7">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525857E1">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676C69E5">
            <w:pPr>
              <w:pStyle w:val="19"/>
              <w:jc w:val="center"/>
              <w:rPr>
                <w:rFonts w:ascii="宋体" w:hAnsi="宋体" w:cs="宋体"/>
                <w:color w:val="000000"/>
                <w:sz w:val="21"/>
                <w:szCs w:val="21"/>
              </w:rPr>
            </w:pPr>
          </w:p>
        </w:tc>
      </w:tr>
      <w:tr w14:paraId="7272EF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406AC1C8">
            <w:pPr>
              <w:pStyle w:val="19"/>
              <w:jc w:val="center"/>
              <w:rPr>
                <w:rFonts w:ascii="宋体" w:hAnsi="宋体" w:cs="宋体"/>
                <w:color w:val="000000"/>
                <w:sz w:val="21"/>
                <w:szCs w:val="21"/>
              </w:rPr>
            </w:pPr>
            <w:r>
              <w:rPr>
                <w:rFonts w:hint="eastAsia" w:ascii="宋体" w:hAnsi="宋体" w:cs="宋体"/>
                <w:color w:val="000000"/>
                <w:sz w:val="21"/>
                <w:szCs w:val="21"/>
              </w:rPr>
              <w:t>4</w:t>
            </w:r>
          </w:p>
        </w:tc>
        <w:tc>
          <w:tcPr>
            <w:tcW w:w="1466" w:type="dxa"/>
            <w:tcBorders>
              <w:top w:val="single" w:color="auto" w:sz="4" w:space="0"/>
              <w:left w:val="single" w:color="auto" w:sz="4" w:space="0"/>
              <w:bottom w:val="single" w:color="auto" w:sz="4" w:space="0"/>
              <w:right w:val="single" w:color="auto" w:sz="4" w:space="0"/>
            </w:tcBorders>
            <w:vAlign w:val="center"/>
          </w:tcPr>
          <w:p w14:paraId="49A4E887">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757D164E">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67B24AF0">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2D2957C7">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75CD8F2">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40D6C937">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3930AC15">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33C79F8C">
            <w:pPr>
              <w:pStyle w:val="19"/>
              <w:jc w:val="center"/>
              <w:rPr>
                <w:rFonts w:ascii="宋体" w:hAnsi="宋体" w:cs="宋体"/>
                <w:color w:val="000000"/>
                <w:sz w:val="21"/>
                <w:szCs w:val="21"/>
              </w:rPr>
            </w:pPr>
          </w:p>
        </w:tc>
      </w:tr>
      <w:tr w14:paraId="21738A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770CB772">
            <w:pPr>
              <w:pStyle w:val="19"/>
              <w:jc w:val="center"/>
              <w:rPr>
                <w:rFonts w:ascii="宋体" w:hAnsi="宋体" w:cs="宋体"/>
                <w:color w:val="000000"/>
                <w:sz w:val="21"/>
                <w:szCs w:val="21"/>
              </w:rPr>
            </w:pPr>
            <w:r>
              <w:rPr>
                <w:rFonts w:hint="eastAsia" w:ascii="宋体" w:hAnsi="宋体" w:cs="宋体"/>
                <w:color w:val="000000"/>
                <w:sz w:val="21"/>
                <w:szCs w:val="21"/>
              </w:rPr>
              <w:t>5</w:t>
            </w:r>
          </w:p>
        </w:tc>
        <w:tc>
          <w:tcPr>
            <w:tcW w:w="1466" w:type="dxa"/>
            <w:tcBorders>
              <w:top w:val="single" w:color="auto" w:sz="4" w:space="0"/>
              <w:left w:val="single" w:color="auto" w:sz="4" w:space="0"/>
              <w:bottom w:val="single" w:color="auto" w:sz="4" w:space="0"/>
              <w:right w:val="single" w:color="auto" w:sz="4" w:space="0"/>
            </w:tcBorders>
            <w:vAlign w:val="center"/>
          </w:tcPr>
          <w:p w14:paraId="1BA1AB9A">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37D3F4A4">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7C462941">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12808496">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C5BED6F">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60E6CD51">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3E4142B4">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61F0F540">
            <w:pPr>
              <w:pStyle w:val="19"/>
              <w:jc w:val="center"/>
              <w:rPr>
                <w:rFonts w:ascii="宋体" w:hAnsi="宋体" w:cs="宋体"/>
                <w:color w:val="000000"/>
                <w:sz w:val="21"/>
                <w:szCs w:val="21"/>
              </w:rPr>
            </w:pPr>
          </w:p>
        </w:tc>
      </w:tr>
      <w:tr w14:paraId="76F660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B414EA9">
            <w:pPr>
              <w:jc w:val="center"/>
              <w:rPr>
                <w:rFonts w:ascii="宋体" w:hAnsi="宋体" w:cs="宋体"/>
                <w:color w:val="000000"/>
                <w:szCs w:val="21"/>
              </w:rPr>
            </w:pPr>
            <w:r>
              <w:rPr>
                <w:rFonts w:hint="eastAsia" w:ascii="宋体" w:hAnsi="宋体" w:cs="宋体"/>
                <w:color w:val="000000"/>
                <w:szCs w:val="21"/>
              </w:rPr>
              <w:t>…</w:t>
            </w:r>
          </w:p>
        </w:tc>
        <w:tc>
          <w:tcPr>
            <w:tcW w:w="1466" w:type="dxa"/>
            <w:tcBorders>
              <w:top w:val="single" w:color="auto" w:sz="4" w:space="0"/>
              <w:left w:val="single" w:color="auto" w:sz="4" w:space="0"/>
              <w:bottom w:val="single" w:color="auto" w:sz="4" w:space="0"/>
              <w:right w:val="single" w:color="auto" w:sz="4" w:space="0"/>
            </w:tcBorders>
            <w:vAlign w:val="center"/>
          </w:tcPr>
          <w:p w14:paraId="3AD444B5">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4BE5E000">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09A728A8">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55F700AF">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43EC133E">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2AB8D5F3">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139A254A">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5726060D">
            <w:pPr>
              <w:rPr>
                <w:rFonts w:ascii="宋体" w:hAnsi="宋体" w:cs="宋体"/>
                <w:color w:val="000000"/>
                <w:szCs w:val="21"/>
              </w:rPr>
            </w:pPr>
          </w:p>
        </w:tc>
      </w:tr>
      <w:tr w14:paraId="6C09F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21DC298C">
            <w:pPr>
              <w:jc w:val="center"/>
              <w:rPr>
                <w:rFonts w:ascii="宋体" w:hAnsi="宋体" w:cs="宋体"/>
                <w:color w:val="000000"/>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3064BC02">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734E1C63">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635AE50F">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186516BF">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88D4469">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2B17715F">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41919800">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62BDAE72">
            <w:pPr>
              <w:rPr>
                <w:rFonts w:ascii="宋体" w:hAnsi="宋体" w:cs="宋体"/>
                <w:color w:val="000000"/>
                <w:szCs w:val="21"/>
              </w:rPr>
            </w:pPr>
          </w:p>
        </w:tc>
      </w:tr>
      <w:tr w14:paraId="19F76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E796FF6">
            <w:pPr>
              <w:jc w:val="center"/>
              <w:rPr>
                <w:rFonts w:ascii="宋体" w:hAnsi="宋体" w:cs="宋体"/>
                <w:color w:val="000000"/>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117A4B9A">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21254E77">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4B855C62">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20C8D3D8">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4DEA02D">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6A99869B">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78BC96F6">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096E4FD9">
            <w:pPr>
              <w:rPr>
                <w:rFonts w:ascii="宋体" w:hAnsi="宋体" w:cs="宋体"/>
                <w:color w:val="000000"/>
                <w:szCs w:val="21"/>
              </w:rPr>
            </w:pPr>
          </w:p>
        </w:tc>
      </w:tr>
    </w:tbl>
    <w:p w14:paraId="3E664A93">
      <w:pPr>
        <w:pStyle w:val="15"/>
        <w:spacing w:beforeLines="0" w:afterLines="0" w:line="360" w:lineRule="auto"/>
        <w:rPr>
          <w:rFonts w:hAnsi="宋体" w:cs="宋体"/>
          <w:b/>
          <w:bCs/>
          <w:color w:val="FF0000"/>
          <w:kern w:val="0"/>
          <w:sz w:val="21"/>
          <w:szCs w:val="21"/>
        </w:rPr>
      </w:pPr>
      <w:r>
        <w:rPr>
          <w:rFonts w:hint="eastAsia" w:hAnsi="宋体" w:cs="宋体"/>
          <w:bCs/>
          <w:color w:val="FF0000"/>
          <w:kern w:val="0"/>
          <w:sz w:val="21"/>
          <w:szCs w:val="21"/>
        </w:rPr>
        <w:t>注：1.表中拟派岗位人员请参照“第四章 磋商评审办法”中拟派人员要求填写，并附上相关人员的职称、资格、业绩、获奖等影响资格评审或评分的材料。</w:t>
      </w:r>
    </w:p>
    <w:p w14:paraId="69824057">
      <w:pPr>
        <w:pStyle w:val="15"/>
        <w:spacing w:beforeLines="0" w:afterLines="0" w:line="360" w:lineRule="auto"/>
        <w:rPr>
          <w:rFonts w:hAnsi="宋体" w:cs="宋体"/>
          <w:b/>
          <w:bCs/>
          <w:color w:val="FF0000"/>
          <w:kern w:val="0"/>
          <w:sz w:val="21"/>
          <w:szCs w:val="21"/>
        </w:rPr>
      </w:pPr>
      <w:r>
        <w:rPr>
          <w:rFonts w:hint="eastAsia" w:hAnsi="宋体" w:cs="宋体"/>
          <w:bCs/>
          <w:color w:val="FF0000"/>
          <w:kern w:val="0"/>
          <w:sz w:val="21"/>
          <w:szCs w:val="21"/>
        </w:rPr>
        <w:t xml:space="preserve">    2.投标人可根据自身情况调整表格。</w:t>
      </w:r>
    </w:p>
    <w:p w14:paraId="22D98F43">
      <w:pPr>
        <w:pStyle w:val="15"/>
        <w:spacing w:beforeLines="0" w:afterLines="0" w:line="360" w:lineRule="auto"/>
        <w:ind w:firstLine="420"/>
        <w:rPr>
          <w:rFonts w:hAnsi="宋体" w:cs="宋体"/>
          <w:b/>
          <w:bCs/>
          <w:kern w:val="0"/>
          <w:sz w:val="21"/>
          <w:szCs w:val="21"/>
        </w:rPr>
      </w:pPr>
    </w:p>
    <w:p w14:paraId="258177BA">
      <w:pPr>
        <w:spacing w:line="480" w:lineRule="auto"/>
        <w:ind w:right="84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 xml:space="preserve">供应商（盖单位章）： </w:t>
      </w:r>
    </w:p>
    <w:p w14:paraId="33CA16B3">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2CB7987E">
      <w:pPr>
        <w:pStyle w:val="12"/>
        <w:rPr>
          <w:lang w:val="zh-CN"/>
        </w:rPr>
      </w:pPr>
    </w:p>
    <w:p w14:paraId="42968D65">
      <w:pPr>
        <w:pStyle w:val="13"/>
        <w:ind w:firstLine="602"/>
        <w:rPr>
          <w:rFonts w:ascii="宋体" w:eastAsia="宋体" w:cs="宋体"/>
          <w:b/>
          <w:szCs w:val="21"/>
          <w:lang w:val="zh-CN"/>
        </w:rPr>
      </w:pPr>
    </w:p>
    <w:p w14:paraId="4AAF27BD">
      <w:pPr>
        <w:pStyle w:val="11"/>
        <w:ind w:firstLine="422"/>
        <w:rPr>
          <w:rFonts w:ascii="宋体" w:hAnsi="宋体" w:cs="宋体"/>
          <w:b/>
          <w:szCs w:val="21"/>
          <w:lang w:val="zh-CN"/>
        </w:rPr>
      </w:pPr>
    </w:p>
    <w:p w14:paraId="2A11FF6F">
      <w:pPr>
        <w:spacing w:line="360" w:lineRule="auto"/>
        <w:rPr>
          <w:rFonts w:ascii="宋体" w:hAnsi="宋体" w:cs="宋体"/>
          <w:b/>
          <w:bCs/>
          <w:color w:val="000000"/>
          <w:sz w:val="24"/>
        </w:rPr>
      </w:pPr>
    </w:p>
    <w:p w14:paraId="0184CF66">
      <w:pPr>
        <w:pStyle w:val="4"/>
        <w:spacing w:before="312" w:beforeLines="100" w:after="0"/>
        <w:jc w:val="center"/>
        <w:rPr>
          <w:rFonts w:ascii="宋体" w:hAnsi="宋体" w:eastAsia="宋体" w:cs="宋体"/>
          <w:bCs w:val="0"/>
          <w:lang w:val="zh-CN"/>
        </w:rPr>
      </w:pPr>
      <w:bookmarkStart w:id="145" w:name="_Toc29702"/>
      <w:bookmarkStart w:id="146" w:name="_Toc528578415"/>
      <w:bookmarkStart w:id="147" w:name="_Toc528927457"/>
      <w:r>
        <w:rPr>
          <w:rFonts w:hint="eastAsia" w:ascii="宋体" w:hAnsi="宋体" w:eastAsia="宋体" w:cs="宋体"/>
          <w:bCs w:val="0"/>
          <w:lang w:val="zh-CN"/>
        </w:rPr>
        <w:t>3、报价文件格式</w:t>
      </w:r>
      <w:bookmarkEnd w:id="145"/>
      <w:bookmarkEnd w:id="146"/>
      <w:bookmarkEnd w:id="147"/>
    </w:p>
    <w:p w14:paraId="64C26FEF">
      <w:pPr>
        <w:spacing w:before="100" w:beforeAutospacing="1" w:line="360" w:lineRule="auto"/>
        <w:jc w:val="center"/>
        <w:rPr>
          <w:rFonts w:ascii="宋体" w:hAnsi="宋体" w:cs="宋体"/>
          <w:b/>
          <w:bCs/>
          <w:color w:val="000000"/>
          <w:sz w:val="28"/>
          <w:szCs w:val="28"/>
        </w:rPr>
      </w:pPr>
      <w:r>
        <w:rPr>
          <w:rFonts w:hint="eastAsia" w:ascii="宋体" w:hAnsi="宋体" w:cs="宋体"/>
          <w:b/>
          <w:bCs/>
          <w:color w:val="000000"/>
          <w:sz w:val="28"/>
          <w:szCs w:val="28"/>
        </w:rPr>
        <w:t>目   录</w:t>
      </w:r>
    </w:p>
    <w:p w14:paraId="10DACAEA">
      <w:pPr>
        <w:numPr>
          <w:ilvl w:val="0"/>
          <w:numId w:val="16"/>
        </w:numPr>
        <w:spacing w:line="360" w:lineRule="auto"/>
        <w:ind w:left="420"/>
        <w:rPr>
          <w:rFonts w:ascii="宋体" w:hAnsi="宋体"/>
          <w:szCs w:val="21"/>
        </w:rPr>
      </w:pPr>
      <w:r>
        <w:rPr>
          <w:rFonts w:hint="eastAsia" w:ascii="宋体" w:hAnsi="宋体"/>
          <w:szCs w:val="21"/>
        </w:rPr>
        <w:t>报价一览表</w:t>
      </w:r>
    </w:p>
    <w:p w14:paraId="48594DDC">
      <w:pPr>
        <w:pStyle w:val="38"/>
      </w:pPr>
    </w:p>
    <w:p w14:paraId="502F4568">
      <w:pPr>
        <w:spacing w:line="360" w:lineRule="auto"/>
        <w:ind w:left="420"/>
        <w:rPr>
          <w:rFonts w:ascii="宋体" w:hAnsi="宋体"/>
          <w:szCs w:val="21"/>
        </w:rPr>
      </w:pPr>
      <w:r>
        <w:rPr>
          <w:rFonts w:hint="eastAsia" w:ascii="宋体" w:hAnsi="宋体"/>
          <w:szCs w:val="21"/>
        </w:rPr>
        <w:t>（2）报价明细表及附录</w:t>
      </w:r>
    </w:p>
    <w:p w14:paraId="5ED9AFA9">
      <w:pPr>
        <w:spacing w:line="360" w:lineRule="auto"/>
        <w:rPr>
          <w:rFonts w:ascii="宋体" w:hAnsi="宋体"/>
          <w:szCs w:val="21"/>
        </w:rPr>
      </w:pPr>
    </w:p>
    <w:p w14:paraId="376C4953">
      <w:pPr>
        <w:spacing w:line="360" w:lineRule="auto"/>
        <w:ind w:left="420"/>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szCs w:val="21"/>
        </w:rPr>
        <w:t>（3）磋商供应商针对报价需要说明的其他文件和说明（如有）</w:t>
      </w:r>
    </w:p>
    <w:p w14:paraId="03D3DB0E">
      <w:pPr>
        <w:spacing w:line="360" w:lineRule="auto"/>
        <w:rPr>
          <w:rFonts w:ascii="宋体" w:hAnsi="宋体" w:cs="宋体"/>
          <w:b/>
          <w:bCs/>
          <w:color w:val="000000"/>
          <w:sz w:val="24"/>
        </w:rPr>
      </w:pPr>
      <w:r>
        <w:rPr>
          <w:rFonts w:hint="eastAsia" w:ascii="宋体" w:hAnsi="宋体" w:cs="宋体"/>
          <w:b/>
          <w:bCs/>
          <w:color w:val="000000"/>
          <w:sz w:val="24"/>
        </w:rPr>
        <w:t xml:space="preserve">附件12： </w:t>
      </w:r>
    </w:p>
    <w:p w14:paraId="1F0000E1">
      <w:pPr>
        <w:spacing w:line="480" w:lineRule="auto"/>
        <w:jc w:val="center"/>
        <w:rPr>
          <w:rFonts w:ascii="宋体" w:hAnsi="宋体" w:cs="宋体"/>
          <w:b/>
          <w:sz w:val="28"/>
          <w:szCs w:val="28"/>
        </w:rPr>
      </w:pPr>
      <w:r>
        <w:rPr>
          <w:rFonts w:hint="eastAsia" w:ascii="宋体" w:hAnsi="宋体" w:cs="宋体"/>
          <w:b/>
          <w:sz w:val="28"/>
          <w:szCs w:val="28"/>
        </w:rPr>
        <w:t>报价一览表</w:t>
      </w:r>
      <w:r>
        <w:rPr>
          <w:rFonts w:hint="eastAsia" w:ascii="宋体" w:hAnsi="宋体" w:cs="宋体"/>
          <w:b/>
          <w:color w:val="FF0000"/>
          <w:sz w:val="28"/>
          <w:szCs w:val="28"/>
        </w:rPr>
        <w:t>（请选择首次/最终报价）</w:t>
      </w:r>
      <w:r>
        <w:rPr>
          <w:rFonts w:hint="eastAsia" w:ascii="宋体" w:hAnsi="宋体" w:cs="宋体"/>
          <w:b/>
          <w:sz w:val="28"/>
          <w:szCs w:val="28"/>
        </w:rPr>
        <w:t xml:space="preserve"> </w:t>
      </w:r>
    </w:p>
    <w:p w14:paraId="19F220B4">
      <w:pPr>
        <w:pStyle w:val="15"/>
        <w:spacing w:beforeLines="0" w:afterLines="0" w:line="276" w:lineRule="auto"/>
        <w:rPr>
          <w:rFonts w:hint="eastAsia" w:hAnsi="宋体" w:cs="宋体"/>
          <w:sz w:val="21"/>
          <w:szCs w:val="21"/>
          <w:lang w:eastAsia="zh-CN"/>
        </w:rPr>
      </w:pPr>
      <w:r>
        <w:rPr>
          <w:rFonts w:hint="eastAsia" w:hAnsi="宋体" w:cs="宋体"/>
          <w:sz w:val="21"/>
          <w:szCs w:val="21"/>
        </w:rPr>
        <w:t>项目编号：</w:t>
      </w:r>
      <w:r>
        <w:rPr>
          <w:rFonts w:hint="eastAsia" w:hAnsi="宋体" w:cs="宋体"/>
          <w:sz w:val="21"/>
          <w:szCs w:val="21"/>
          <w:lang w:eastAsia="zh-CN"/>
        </w:rPr>
        <w:t>ZJGL（202</w:t>
      </w:r>
      <w:r>
        <w:rPr>
          <w:rFonts w:hint="eastAsia" w:hAnsi="宋体" w:cs="宋体"/>
          <w:sz w:val="21"/>
          <w:szCs w:val="21"/>
          <w:lang w:val="en-US" w:eastAsia="zh-CN"/>
        </w:rPr>
        <w:t>4</w:t>
      </w:r>
      <w:r>
        <w:rPr>
          <w:rFonts w:hint="eastAsia" w:hAnsi="宋体" w:cs="宋体"/>
          <w:sz w:val="21"/>
          <w:szCs w:val="21"/>
          <w:lang w:eastAsia="zh-CN"/>
        </w:rPr>
        <w:t>12）002</w:t>
      </w:r>
    </w:p>
    <w:p w14:paraId="239709BB">
      <w:pPr>
        <w:snapToGrid w:val="0"/>
        <w:spacing w:before="50" w:after="50" w:line="360" w:lineRule="auto"/>
        <w:ind w:right="-617" w:rightChars="-294"/>
        <w:jc w:val="both"/>
        <w:rPr>
          <w:rFonts w:hint="eastAsia" w:ascii="宋体" w:hAnsi="宋体" w:eastAsia="宋体" w:cs="宋体"/>
          <w:sz w:val="21"/>
          <w:szCs w:val="21"/>
          <w:lang w:eastAsia="zh-CN"/>
        </w:rPr>
      </w:pPr>
      <w:r>
        <w:rPr>
          <w:rFonts w:hint="eastAsia" w:ascii="宋体" w:hAnsi="宋体" w:eastAsia="宋体" w:cs="宋体"/>
          <w:sz w:val="21"/>
          <w:szCs w:val="21"/>
        </w:rPr>
        <w:t>项目名称：</w:t>
      </w:r>
      <w:r>
        <w:rPr>
          <w:rFonts w:hint="eastAsia" w:ascii="宋体" w:hAnsi="宋体" w:eastAsia="宋体" w:cs="宋体"/>
          <w:sz w:val="21"/>
          <w:szCs w:val="21"/>
          <w:lang w:eastAsia="zh-CN"/>
        </w:rPr>
        <w:t>台州市仙居县浙南山地生态系统综合治理及生物多样性保护项目（淡竹乡）</w:t>
      </w:r>
    </w:p>
    <w:p w14:paraId="56232706">
      <w:pPr>
        <w:jc w:val="both"/>
        <w:rPr>
          <w:rFonts w:hint="default"/>
          <w:b/>
          <w:bCs/>
          <w:color w:val="FF0000"/>
          <w:sz w:val="32"/>
          <w:szCs w:val="32"/>
          <w:lang w:val="en-US" w:eastAsia="zh-CN"/>
        </w:rPr>
      </w:pPr>
      <w:r>
        <w:rPr>
          <w:rFonts w:hint="eastAsia"/>
          <w:b/>
          <w:bCs/>
          <w:color w:val="FF0000"/>
          <w:sz w:val="32"/>
          <w:szCs w:val="32"/>
          <w:lang w:val="en-US" w:eastAsia="zh-CN"/>
        </w:rPr>
        <w:t>标项（  ）</w:t>
      </w:r>
    </w:p>
    <w:tbl>
      <w:tblPr>
        <w:tblStyle w:val="32"/>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11"/>
        <w:gridCol w:w="2291"/>
        <w:gridCol w:w="4916"/>
      </w:tblGrid>
      <w:tr w14:paraId="71D7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2911" w:type="dxa"/>
            <w:vMerge w:val="restart"/>
            <w:vAlign w:val="center"/>
          </w:tcPr>
          <w:p w14:paraId="4124FC30">
            <w:pPr>
              <w:snapToGrid w:val="0"/>
              <w:spacing w:line="360" w:lineRule="auto"/>
              <w:jc w:val="center"/>
              <w:rPr>
                <w:rFonts w:hint="eastAsia" w:ascii="宋体" w:hAnsi="宋体"/>
                <w:b/>
                <w:szCs w:val="21"/>
              </w:rPr>
            </w:pPr>
            <w:r>
              <w:rPr>
                <w:rFonts w:hint="eastAsia" w:ascii="宋体" w:hAnsi="宋体"/>
                <w:b/>
                <w:szCs w:val="21"/>
              </w:rPr>
              <w:t>投标报价（总价，元）</w:t>
            </w:r>
          </w:p>
        </w:tc>
        <w:tc>
          <w:tcPr>
            <w:tcW w:w="2291" w:type="dxa"/>
            <w:vAlign w:val="center"/>
          </w:tcPr>
          <w:p w14:paraId="12D6AC8E">
            <w:pPr>
              <w:snapToGrid w:val="0"/>
              <w:spacing w:line="360" w:lineRule="auto"/>
              <w:jc w:val="center"/>
              <w:rPr>
                <w:rFonts w:ascii="宋体" w:hAnsi="宋体"/>
                <w:b/>
                <w:szCs w:val="21"/>
              </w:rPr>
            </w:pPr>
            <w:r>
              <w:rPr>
                <w:rFonts w:hint="eastAsia" w:ascii="宋体" w:hAnsi="宋体"/>
                <w:b/>
                <w:szCs w:val="21"/>
              </w:rPr>
              <w:t>大写</w:t>
            </w:r>
          </w:p>
        </w:tc>
        <w:tc>
          <w:tcPr>
            <w:tcW w:w="4916" w:type="dxa"/>
            <w:vAlign w:val="center"/>
          </w:tcPr>
          <w:p w14:paraId="58A2B3CE">
            <w:pPr>
              <w:snapToGrid w:val="0"/>
              <w:spacing w:line="360" w:lineRule="auto"/>
              <w:jc w:val="left"/>
              <w:rPr>
                <w:rFonts w:ascii="宋体" w:hAnsi="宋体" w:cs="宋体"/>
                <w:b/>
                <w:bCs/>
                <w:sz w:val="24"/>
              </w:rPr>
            </w:pPr>
          </w:p>
          <w:p w14:paraId="3A9B344C">
            <w:pPr>
              <w:snapToGrid w:val="0"/>
              <w:spacing w:line="360" w:lineRule="auto"/>
              <w:jc w:val="left"/>
              <w:rPr>
                <w:rFonts w:ascii="宋体" w:hAnsi="宋体" w:cs="宋体"/>
                <w:sz w:val="24"/>
              </w:rPr>
            </w:pPr>
            <w:r>
              <w:rPr>
                <w:rFonts w:hint="eastAsia" w:ascii="宋体" w:hAnsi="宋体" w:cs="宋体"/>
                <w:b/>
                <w:bCs/>
                <w:sz w:val="24"/>
              </w:rPr>
              <w:t>人民币：</w:t>
            </w:r>
            <w:r>
              <w:rPr>
                <w:rFonts w:hint="eastAsia" w:ascii="宋体" w:hAnsi="宋体" w:cs="宋体"/>
                <w:b/>
                <w:bCs/>
                <w:sz w:val="24"/>
                <w:u w:val="single"/>
              </w:rPr>
              <w:t xml:space="preserve">                         </w:t>
            </w:r>
          </w:p>
        </w:tc>
      </w:tr>
      <w:tr w14:paraId="1CE4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2911" w:type="dxa"/>
            <w:vMerge w:val="continue"/>
            <w:vAlign w:val="center"/>
          </w:tcPr>
          <w:p w14:paraId="311ABF45">
            <w:pPr>
              <w:snapToGrid w:val="0"/>
              <w:spacing w:line="360" w:lineRule="auto"/>
              <w:jc w:val="center"/>
              <w:rPr>
                <w:rFonts w:hint="eastAsia" w:ascii="宋体" w:hAnsi="宋体"/>
                <w:b/>
                <w:szCs w:val="21"/>
              </w:rPr>
            </w:pPr>
          </w:p>
        </w:tc>
        <w:tc>
          <w:tcPr>
            <w:tcW w:w="2291" w:type="dxa"/>
            <w:vAlign w:val="center"/>
          </w:tcPr>
          <w:p w14:paraId="58726C2C">
            <w:pPr>
              <w:snapToGrid w:val="0"/>
              <w:spacing w:line="360" w:lineRule="auto"/>
              <w:jc w:val="center"/>
              <w:rPr>
                <w:rFonts w:ascii="宋体" w:hAnsi="宋体"/>
                <w:b/>
                <w:szCs w:val="21"/>
              </w:rPr>
            </w:pPr>
            <w:r>
              <w:rPr>
                <w:rFonts w:hint="eastAsia" w:ascii="宋体" w:hAnsi="宋体"/>
                <w:b/>
                <w:szCs w:val="21"/>
              </w:rPr>
              <w:t>小写</w:t>
            </w:r>
          </w:p>
        </w:tc>
        <w:tc>
          <w:tcPr>
            <w:tcW w:w="4916" w:type="dxa"/>
            <w:vAlign w:val="center"/>
          </w:tcPr>
          <w:p w14:paraId="6825A641">
            <w:pPr>
              <w:snapToGrid w:val="0"/>
              <w:spacing w:line="360" w:lineRule="auto"/>
              <w:jc w:val="left"/>
              <w:rPr>
                <w:rFonts w:ascii="宋体" w:hAnsi="宋体" w:cs="宋体"/>
                <w:b/>
                <w:bCs/>
                <w:sz w:val="24"/>
              </w:rPr>
            </w:pPr>
          </w:p>
          <w:p w14:paraId="753F51F0">
            <w:pPr>
              <w:snapToGrid w:val="0"/>
              <w:spacing w:line="360" w:lineRule="auto"/>
              <w:jc w:val="left"/>
              <w:rPr>
                <w:rFonts w:ascii="宋体" w:hAnsi="宋体" w:cs="宋体"/>
                <w:sz w:val="24"/>
                <w:u w:val="single"/>
              </w:rPr>
            </w:pPr>
            <w:r>
              <w:rPr>
                <w:rFonts w:hint="eastAsia" w:ascii="宋体" w:hAnsi="宋体" w:cs="宋体"/>
                <w:b/>
                <w:bCs/>
                <w:sz w:val="24"/>
              </w:rPr>
              <w:t>¥：</w:t>
            </w:r>
            <w:r>
              <w:rPr>
                <w:rFonts w:hint="eastAsia" w:ascii="宋体" w:hAnsi="宋体" w:cs="宋体"/>
                <w:b/>
                <w:bCs/>
                <w:sz w:val="24"/>
                <w:u w:val="single"/>
              </w:rPr>
              <w:t xml:space="preserve">                              </w:t>
            </w:r>
          </w:p>
        </w:tc>
      </w:tr>
    </w:tbl>
    <w:p w14:paraId="1A5A5E8C">
      <w:pPr>
        <w:spacing w:line="276" w:lineRule="auto"/>
        <w:jc w:val="left"/>
        <w:rPr>
          <w:rFonts w:ascii="宋体" w:hAnsi="宋体" w:cs="宋体"/>
          <w:szCs w:val="21"/>
        </w:rPr>
      </w:pPr>
      <w:r>
        <w:rPr>
          <w:rFonts w:hint="eastAsia" w:ascii="宋体" w:hAnsi="宋体" w:cs="宋体"/>
          <w:szCs w:val="21"/>
        </w:rPr>
        <w:t xml:space="preserve">                  </w:t>
      </w:r>
    </w:p>
    <w:p w14:paraId="197630C3">
      <w:pPr>
        <w:spacing w:line="360" w:lineRule="auto"/>
        <w:rPr>
          <w:rFonts w:ascii="宋体" w:hAnsi="宋体" w:cs="宋体"/>
          <w:szCs w:val="21"/>
        </w:rPr>
      </w:pPr>
      <w:r>
        <w:rPr>
          <w:rFonts w:hint="eastAsia" w:ascii="宋体" w:hAnsi="宋体" w:cs="宋体"/>
          <w:bCs/>
          <w:szCs w:val="21"/>
        </w:rPr>
        <w:t>注:</w:t>
      </w:r>
      <w:r>
        <w:rPr>
          <w:rFonts w:hint="eastAsia" w:ascii="宋体" w:hAnsi="宋体" w:cs="宋体"/>
          <w:b/>
          <w:szCs w:val="21"/>
        </w:rPr>
        <w:t xml:space="preserve"> </w:t>
      </w:r>
      <w:r>
        <w:rPr>
          <w:rFonts w:hint="eastAsia" w:ascii="宋体" w:hAnsi="宋体" w:cs="宋体"/>
          <w:szCs w:val="21"/>
        </w:rPr>
        <w:t xml:space="preserve"> 1、投标报价指完成本项目所需的包含场地整理、苗木运输种植、挖穴、施肥、一年管护、人员工资、设备或工具购置、临时设施、测量、勘察、保险、管理费、税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14:paraId="58FC0872">
      <w:pPr>
        <w:numPr>
          <w:ilvl w:val="0"/>
          <w:numId w:val="17"/>
        </w:numPr>
        <w:spacing w:line="360" w:lineRule="auto"/>
        <w:ind w:firstLine="420" w:firstLineChars="200"/>
        <w:jc w:val="left"/>
        <w:rPr>
          <w:rFonts w:hint="eastAsia" w:ascii="宋体" w:hAnsi="宋体" w:cs="宋体"/>
          <w:szCs w:val="21"/>
        </w:rPr>
      </w:pPr>
      <w:r>
        <w:rPr>
          <w:rFonts w:hint="eastAsia" w:ascii="宋体" w:hAnsi="宋体" w:cs="宋体"/>
          <w:szCs w:val="21"/>
        </w:rPr>
        <w:t>报价一经涂改，应在涂改处加盖单位公章或者由法定代表人或授权委托人签字或盖章，否则其投标作无效标处理。</w:t>
      </w:r>
    </w:p>
    <w:p w14:paraId="7CF34D79">
      <w:pPr>
        <w:spacing w:line="360" w:lineRule="auto"/>
        <w:ind w:firstLine="420" w:firstLineChars="200"/>
        <w:jc w:val="left"/>
        <w:rPr>
          <w:rFonts w:ascii="宋体" w:hAnsi="宋体" w:cs="宋体"/>
          <w:szCs w:val="21"/>
        </w:rPr>
      </w:pPr>
    </w:p>
    <w:p w14:paraId="05C831B7">
      <w:pPr>
        <w:spacing w:line="360" w:lineRule="auto"/>
        <w:ind w:firstLine="480" w:firstLineChars="200"/>
        <w:jc w:val="left"/>
        <w:rPr>
          <w:rFonts w:ascii="宋体" w:hAnsi="宋体" w:cs="宋体"/>
          <w:sz w:val="24"/>
        </w:rPr>
      </w:pPr>
    </w:p>
    <w:p w14:paraId="526BC8F9">
      <w:pPr>
        <w:spacing w:line="480" w:lineRule="auto"/>
        <w:ind w:right="840"/>
        <w:jc w:val="center"/>
        <w:rPr>
          <w:rFonts w:ascii="宋体" w:hAnsi="宋体" w:cs="宋体"/>
          <w:b/>
          <w:szCs w:val="21"/>
          <w:lang w:val="zh-CN"/>
        </w:rPr>
      </w:pPr>
      <w:bookmarkStart w:id="148" w:name="_Toc481505161"/>
      <w:r>
        <w:rPr>
          <w:rFonts w:hint="eastAsia" w:ascii="宋体" w:hAnsi="宋体" w:cs="宋体"/>
          <w:b/>
          <w:sz w:val="24"/>
          <w:lang w:val="zh-CN"/>
        </w:rPr>
        <w:t xml:space="preserve">       </w:t>
      </w:r>
      <w:r>
        <w:rPr>
          <w:rFonts w:hint="eastAsia" w:ascii="宋体" w:hAnsi="宋体" w:cs="宋体"/>
          <w:b/>
          <w:sz w:val="24"/>
        </w:rPr>
        <w:t xml:space="preserve">   </w:t>
      </w:r>
      <w:r>
        <w:rPr>
          <w:rFonts w:hint="eastAsia" w:ascii="宋体" w:hAnsi="宋体" w:cs="宋体"/>
          <w:b/>
          <w:sz w:val="24"/>
          <w:lang w:val="zh-CN"/>
        </w:rPr>
        <w:t xml:space="preserve">  </w:t>
      </w:r>
      <w:r>
        <w:rPr>
          <w:rFonts w:hint="eastAsia" w:ascii="宋体" w:hAnsi="宋体" w:cs="宋体"/>
          <w:b/>
          <w:szCs w:val="21"/>
          <w:lang w:val="zh-CN"/>
        </w:rPr>
        <w:t xml:space="preserve">  供应商（盖单位章）： </w:t>
      </w:r>
    </w:p>
    <w:p w14:paraId="3DBB1632">
      <w:pPr>
        <w:spacing w:line="480" w:lineRule="auto"/>
        <w:ind w:right="420" w:firstLine="5068" w:firstLineChars="2404"/>
        <w:rPr>
          <w:rFonts w:ascii="宋体" w:hAnsi="宋体" w:cs="宋体"/>
          <w:b/>
          <w:szCs w:val="21"/>
          <w:lang w:val="zh-CN"/>
        </w:rPr>
      </w:pPr>
      <w:r>
        <w:rPr>
          <w:rFonts w:hint="eastAsia" w:ascii="宋体" w:hAnsi="宋体" w:cs="宋体"/>
          <w:b/>
          <w:szCs w:val="21"/>
          <w:lang w:val="zh-CN"/>
        </w:rPr>
        <w:t>日  期：</w:t>
      </w:r>
    </w:p>
    <w:bookmarkEnd w:id="148"/>
    <w:p w14:paraId="6F974BDB">
      <w:pPr>
        <w:pStyle w:val="13"/>
        <w:ind w:firstLine="0" w:firstLineChars="0"/>
        <w:rPr>
          <w:rFonts w:ascii="宋体"/>
          <w:b/>
          <w:szCs w:val="21"/>
          <w:lang w:val="zh-CN"/>
        </w:rPr>
      </w:pPr>
      <w:bookmarkStart w:id="149" w:name="_Toc434090253"/>
      <w:bookmarkStart w:id="150" w:name="_Toc481505162"/>
    </w:p>
    <w:p w14:paraId="6CA385E6">
      <w:pPr>
        <w:spacing w:line="312" w:lineRule="auto"/>
        <w:rPr>
          <w:rFonts w:ascii="宋体" w:hAnsi="宋体"/>
          <w:color w:val="FF0000"/>
          <w:spacing w:val="6"/>
          <w:sz w:val="18"/>
          <w:szCs w:val="18"/>
          <w:u w:val="single"/>
        </w:rPr>
      </w:pPr>
      <w:r>
        <w:rPr>
          <w:rFonts w:hint="eastAsia" w:ascii="宋体" w:hAnsi="宋体"/>
          <w:color w:val="FF0000"/>
          <w:spacing w:val="6"/>
          <w:sz w:val="18"/>
          <w:szCs w:val="18"/>
          <w:u w:val="single"/>
        </w:rPr>
        <w:t>说明：（1）</w:t>
      </w:r>
      <w:r>
        <w:rPr>
          <w:rFonts w:hint="eastAsia" w:ascii="宋体" w:hAnsi="宋体" w:cs="宋体"/>
          <w:color w:val="FF0000"/>
          <w:spacing w:val="6"/>
          <w:sz w:val="18"/>
          <w:szCs w:val="18"/>
          <w:u w:val="single"/>
        </w:rPr>
        <w:t>本项目的最终报价</w:t>
      </w:r>
      <w:r>
        <w:rPr>
          <w:rFonts w:hint="eastAsia" w:ascii="宋体" w:hAnsi="宋体"/>
          <w:color w:val="FF0000"/>
          <w:spacing w:val="6"/>
          <w:sz w:val="18"/>
          <w:szCs w:val="18"/>
          <w:u w:val="single"/>
        </w:rPr>
        <w:t>在磋商结束由采购代理机构发布最终报价指令后，参加磋商供应商在规定的时间内将最终报价的</w:t>
      </w:r>
      <w:r>
        <w:rPr>
          <w:rFonts w:hint="eastAsia" w:ascii="宋体" w:hAnsi="宋体" w:cs="宋体"/>
          <w:color w:val="FF0000"/>
          <w:spacing w:val="6"/>
          <w:sz w:val="18"/>
          <w:szCs w:val="18"/>
          <w:u w:val="single"/>
        </w:rPr>
        <w:t>《报价一览表》盖章后</w:t>
      </w:r>
      <w:r>
        <w:rPr>
          <w:rFonts w:hint="eastAsia" w:ascii="宋体" w:hAnsi="宋体"/>
          <w:color w:val="FF0000"/>
          <w:spacing w:val="6"/>
          <w:sz w:val="18"/>
          <w:szCs w:val="18"/>
          <w:u w:val="single"/>
        </w:rPr>
        <w:t>通过政采云平台在线附件上传。供应商应按照</w:t>
      </w:r>
      <w:r>
        <w:rPr>
          <w:rFonts w:hint="eastAsia" w:ascii="宋体" w:hAnsi="宋体" w:cs="宋体"/>
          <w:color w:val="FF0000"/>
          <w:spacing w:val="6"/>
          <w:sz w:val="18"/>
          <w:szCs w:val="18"/>
          <w:u w:val="single"/>
        </w:rPr>
        <w:t>最后报价不得高于首次报价的原则投报（磋商小组另有决议的除外）。</w:t>
      </w:r>
    </w:p>
    <w:p w14:paraId="163BE252">
      <w:pPr>
        <w:ind w:firstLine="540" w:firstLineChars="300"/>
        <w:rPr>
          <w:rFonts w:ascii="宋体" w:hAnsi="宋体"/>
          <w:b/>
          <w:bCs/>
          <w:color w:val="FF0000"/>
          <w:spacing w:val="6"/>
          <w:sz w:val="18"/>
          <w:szCs w:val="18"/>
          <w:u w:val="single"/>
        </w:rPr>
      </w:pPr>
      <w:r>
        <w:rPr>
          <w:sz w:val="18"/>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34925</wp:posOffset>
                </wp:positionV>
                <wp:extent cx="342900" cy="160655"/>
                <wp:effectExtent l="4445" t="10795" r="14605" b="19050"/>
                <wp:wrapNone/>
                <wp:docPr id="2" name="任意多边形 2"/>
                <wp:cNvGraphicFramePr/>
                <a:graphic xmlns:a="http://schemas.openxmlformats.org/drawingml/2006/main">
                  <a:graphicData uri="http://schemas.microsoft.com/office/word/2010/wordprocessingShape">
                    <wps:wsp>
                      <wps:cNvSpPr/>
                      <wps:spPr>
                        <a:xfrm>
                          <a:off x="0" y="0"/>
                          <a:ext cx="342900" cy="160655"/>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txbx>
                        <w:txbxContent>
                          <w:p w14:paraId="0E54A55E"/>
                        </w:txbxContent>
                      </wps:txbx>
                      <wps:bodyPr upright="1"/>
                    </wps:wsp>
                  </a:graphicData>
                </a:graphic>
              </wp:anchor>
            </w:drawing>
          </mc:Choice>
          <mc:Fallback>
            <w:pict>
              <v:shape id="_x0000_s1026" o:spid="_x0000_s1026" o:spt="100" style="position:absolute;left:0pt;margin-left:-1.4pt;margin-top:2.75pt;height:12.65pt;width:27pt;z-index:251660288;mso-width-relative:page;mso-height-relative:page;" fillcolor="#FFFFFF" filled="t" stroked="t" coordsize="21600,21600" o:gfxdata="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QFe6LVAAAABgEAAA8AAAAA&#10;AAAAAQAgAAAAIgAAAGRycy9kb3ducmV2LnhtbFBLAQIUABQAAAAIAIdO4kBfD3LONAMAABcJAAAO&#10;AAAAAAAAAAEAIAAAACQBAABkcnMvZTJvRG9jLnhtbFBLBQYAAAAABgAGAFkBAADKBgAAAAA=&#10;" path="m16200,0l16200,5400,3375,5400,3375,16200,16200,16200,16200,21600,21600,10800xem1350,5400l1350,16200,2700,16200,2700,5400xem0,5400l0,16200,675,16200,675,5400xe">
                <v:path textboxrect="0,0,21600,21600" o:connectlocs="16200,0;0,10800;16200,21600;21600,10800" o:connectangles="0,0,0,0"/>
                <v:fill on="t" focussize="0,0"/>
                <v:stroke color="#000000" joinstyle="miter"/>
                <v:imagedata o:title=""/>
                <o:lock v:ext="edit" aspectratio="f"/>
                <v:textbox>
                  <w:txbxContent>
                    <w:p w14:paraId="0E54A55E"/>
                  </w:txbxContent>
                </v:textbox>
              </v:shape>
            </w:pict>
          </mc:Fallback>
        </mc:AlternateContent>
      </w:r>
      <w:r>
        <w:rPr>
          <w:rFonts w:hint="eastAsia" w:ascii="宋体" w:hAnsi="宋体"/>
          <w:b/>
          <w:bCs/>
          <w:color w:val="FF0000"/>
          <w:spacing w:val="6"/>
          <w:sz w:val="18"/>
          <w:szCs w:val="18"/>
          <w:u w:val="single"/>
        </w:rPr>
        <w:t>（2）最终报价不能随首次报价提交，否则引起的任何后果由供应商自己承担。</w:t>
      </w:r>
    </w:p>
    <w:p w14:paraId="24FB0489">
      <w:pPr>
        <w:pStyle w:val="31"/>
        <w:sectPr>
          <w:pgSz w:w="11905" w:h="16838"/>
          <w:pgMar w:top="1440" w:right="1587" w:bottom="1440" w:left="1587" w:header="851" w:footer="992" w:gutter="0"/>
          <w:pgNumType w:fmt="decimal"/>
          <w:cols w:space="720" w:num="1"/>
          <w:docGrid w:type="lines" w:linePitch="303" w:charSpace="0"/>
        </w:sectPr>
      </w:pPr>
    </w:p>
    <w:bookmarkEnd w:id="149"/>
    <w:bookmarkEnd w:id="150"/>
    <w:p w14:paraId="660F25F5">
      <w:pPr>
        <w:spacing w:line="360" w:lineRule="auto"/>
        <w:rPr>
          <w:rFonts w:ascii="宋体" w:hAnsi="宋体"/>
          <w:b/>
          <w:bCs/>
          <w:sz w:val="24"/>
        </w:rPr>
      </w:pPr>
      <w:r>
        <w:rPr>
          <w:rFonts w:hint="eastAsia" w:ascii="宋体" w:hAnsi="宋体"/>
          <w:b/>
          <w:bCs/>
          <w:sz w:val="24"/>
        </w:rPr>
        <w:t>附件13：报价明细表:</w:t>
      </w:r>
    </w:p>
    <w:p w14:paraId="0EAE6D78">
      <w:pPr>
        <w:spacing w:line="360" w:lineRule="exact"/>
        <w:ind w:left="480"/>
        <w:jc w:val="center"/>
        <w:rPr>
          <w:rFonts w:ascii="宋体" w:hAnsi="宋体" w:cs="宋体"/>
          <w:b/>
          <w:sz w:val="28"/>
          <w:szCs w:val="28"/>
        </w:rPr>
      </w:pPr>
      <w:r>
        <w:rPr>
          <w:rFonts w:hint="eastAsia" w:ascii="宋体" w:hAnsi="宋体" w:cs="宋体"/>
          <w:b/>
          <w:sz w:val="28"/>
          <w:szCs w:val="28"/>
        </w:rPr>
        <w:t>报价明细表</w:t>
      </w:r>
    </w:p>
    <w:p w14:paraId="12754E4A">
      <w:pPr>
        <w:pStyle w:val="10"/>
        <w:spacing w:after="0" w:line="240" w:lineRule="exact"/>
        <w:rPr>
          <w:rFonts w:hint="eastAsia"/>
          <w:color w:val="FF0000"/>
          <w:sz w:val="18"/>
          <w:szCs w:val="18"/>
        </w:rPr>
      </w:pPr>
    </w:p>
    <w:p w14:paraId="07CE1495">
      <w:pPr>
        <w:pStyle w:val="11"/>
        <w:rPr>
          <w:rFonts w:hint="eastAsia"/>
          <w:color w:val="FF0000"/>
          <w:sz w:val="18"/>
          <w:szCs w:val="18"/>
        </w:rPr>
      </w:pPr>
    </w:p>
    <w:p w14:paraId="73315C77">
      <w:pPr>
        <w:rPr>
          <w:rFonts w:hint="eastAsia"/>
          <w:color w:val="FF0000"/>
          <w:sz w:val="18"/>
          <w:szCs w:val="18"/>
        </w:rPr>
      </w:pPr>
    </w:p>
    <w:p w14:paraId="4F4083B2">
      <w:pPr>
        <w:pStyle w:val="2"/>
        <w:rPr>
          <w:rFonts w:hint="eastAsia"/>
          <w:color w:val="FF0000"/>
          <w:sz w:val="18"/>
          <w:szCs w:val="18"/>
        </w:rPr>
      </w:pPr>
    </w:p>
    <w:p w14:paraId="2404EF0C">
      <w:pPr>
        <w:rPr>
          <w:rFonts w:hint="eastAsia"/>
        </w:rPr>
      </w:pPr>
    </w:p>
    <w:p w14:paraId="0F7D197D">
      <w:pPr>
        <w:rPr>
          <w:rFonts w:hint="eastAsia"/>
          <w:color w:val="FF0000"/>
          <w:sz w:val="18"/>
          <w:szCs w:val="18"/>
        </w:rPr>
      </w:pPr>
    </w:p>
    <w:p w14:paraId="08E2CCF9">
      <w:pPr>
        <w:pStyle w:val="2"/>
        <w:rPr>
          <w:rFonts w:hint="eastAsia"/>
          <w:color w:val="FF0000"/>
          <w:sz w:val="18"/>
          <w:szCs w:val="18"/>
        </w:rPr>
      </w:pPr>
    </w:p>
    <w:p w14:paraId="5A750161">
      <w:pPr>
        <w:rPr>
          <w:rFonts w:hint="eastAsia"/>
          <w:color w:val="FF0000"/>
          <w:sz w:val="18"/>
          <w:szCs w:val="18"/>
        </w:rPr>
      </w:pPr>
    </w:p>
    <w:p w14:paraId="69D65BD2">
      <w:pPr>
        <w:pStyle w:val="2"/>
        <w:jc w:val="center"/>
        <w:rPr>
          <w:rFonts w:hint="eastAsia"/>
          <w:b/>
          <w:bCs/>
          <w:color w:val="auto"/>
          <w:sz w:val="52"/>
          <w:szCs w:val="52"/>
          <w:lang w:val="en-US" w:eastAsia="zh-CN"/>
        </w:rPr>
      </w:pPr>
      <w:r>
        <w:rPr>
          <w:rFonts w:hint="eastAsia"/>
          <w:b/>
          <w:bCs/>
          <w:color w:val="auto"/>
          <w:sz w:val="52"/>
          <w:szCs w:val="52"/>
          <w:lang w:val="en-US" w:eastAsia="zh-CN"/>
        </w:rPr>
        <w:t>见另册“工程量清单”</w:t>
      </w:r>
    </w:p>
    <w:p w14:paraId="54856070">
      <w:pPr>
        <w:rPr>
          <w:rFonts w:hint="eastAsia"/>
          <w:color w:val="auto"/>
          <w:sz w:val="44"/>
          <w:szCs w:val="44"/>
          <w:lang w:val="en-US" w:eastAsia="zh-CN"/>
        </w:rPr>
      </w:pPr>
    </w:p>
    <w:p w14:paraId="6F0952A4">
      <w:pPr>
        <w:pStyle w:val="2"/>
        <w:rPr>
          <w:rFonts w:hint="eastAsia"/>
          <w:color w:val="auto"/>
          <w:sz w:val="44"/>
          <w:szCs w:val="44"/>
          <w:lang w:val="en-US" w:eastAsia="zh-CN"/>
        </w:rPr>
      </w:pPr>
    </w:p>
    <w:p w14:paraId="0736401D">
      <w:pPr>
        <w:rPr>
          <w:rFonts w:hint="eastAsia"/>
          <w:color w:val="auto"/>
          <w:sz w:val="44"/>
          <w:szCs w:val="44"/>
          <w:lang w:val="en-US" w:eastAsia="zh-CN"/>
        </w:rPr>
      </w:pPr>
    </w:p>
    <w:p w14:paraId="4D88B070">
      <w:pPr>
        <w:pStyle w:val="2"/>
        <w:rPr>
          <w:rFonts w:hint="eastAsia"/>
          <w:lang w:val="en-US" w:eastAsia="zh-CN"/>
        </w:rPr>
      </w:pPr>
    </w:p>
    <w:p w14:paraId="71B44CED">
      <w:pPr>
        <w:pStyle w:val="2"/>
        <w:rPr>
          <w:rFonts w:hint="eastAsia"/>
          <w:lang w:val="en-US" w:eastAsia="zh-CN"/>
        </w:rPr>
      </w:pPr>
    </w:p>
    <w:p w14:paraId="4DEFE513">
      <w:pPr>
        <w:rPr>
          <w:rFonts w:hint="eastAsia"/>
          <w:color w:val="auto"/>
          <w:sz w:val="44"/>
          <w:szCs w:val="44"/>
          <w:lang w:val="en-US" w:eastAsia="zh-CN"/>
        </w:rPr>
      </w:pPr>
    </w:p>
    <w:p w14:paraId="1021C381">
      <w:pPr>
        <w:widowControl/>
        <w:spacing w:line="360" w:lineRule="auto"/>
        <w:rPr>
          <w:rFonts w:hint="eastAsia"/>
        </w:rPr>
      </w:pPr>
      <w:r>
        <w:rPr>
          <w:rFonts w:hint="eastAsia"/>
          <w:b/>
          <w:szCs w:val="21"/>
        </w:rPr>
        <w:t>注：</w:t>
      </w:r>
      <w:r>
        <w:rPr>
          <w:rFonts w:hint="eastAsia" w:ascii="宋体"/>
          <w:b/>
          <w:szCs w:val="21"/>
        </w:rPr>
        <w:t>表所填内容应根据投标人实际情况填写。如有漏报的，视同已包含在投标报（总）价内或已作优惠处理。有重大缺项的将作无效标处理。</w:t>
      </w:r>
    </w:p>
    <w:p w14:paraId="073517EC">
      <w:pPr>
        <w:widowControl/>
        <w:wordWrap w:val="0"/>
        <w:spacing w:line="360" w:lineRule="auto"/>
        <w:jc w:val="right"/>
        <w:rPr>
          <w:rFonts w:hint="default" w:ascii="宋体" w:eastAsia="宋体" w:cs="宋体"/>
          <w:b/>
          <w:bCs/>
          <w:sz w:val="21"/>
          <w:szCs w:val="21"/>
          <w:lang w:val="en-US" w:eastAsia="zh-CN"/>
        </w:rPr>
      </w:pPr>
      <w:r>
        <w:rPr>
          <w:rFonts w:hint="eastAsia" w:ascii="宋体" w:eastAsia="宋体" w:cs="宋体"/>
          <w:b/>
          <w:bCs/>
          <w:sz w:val="21"/>
          <w:szCs w:val="21"/>
        </w:rPr>
        <w:t>供应商（盖单位章）：</w:t>
      </w:r>
      <w:r>
        <w:rPr>
          <w:rFonts w:hint="eastAsia" w:ascii="宋体" w:cs="宋体"/>
          <w:b/>
          <w:bCs/>
          <w:sz w:val="21"/>
          <w:szCs w:val="21"/>
          <w:lang w:val="en-US" w:eastAsia="zh-CN"/>
        </w:rPr>
        <w:t xml:space="preserve">                              </w:t>
      </w:r>
    </w:p>
    <w:p w14:paraId="6ED56EF1">
      <w:pPr>
        <w:pStyle w:val="12"/>
        <w:ind w:firstLine="3795" w:firstLineChars="1800"/>
        <w:rPr>
          <w:rFonts w:ascii="宋体" w:eastAsia="宋体" w:cs="宋体"/>
          <w:b/>
          <w:bCs/>
          <w:sz w:val="21"/>
          <w:szCs w:val="21"/>
        </w:rPr>
      </w:pPr>
    </w:p>
    <w:p w14:paraId="0687963A">
      <w:pPr>
        <w:pStyle w:val="38"/>
        <w:ind w:firstLine="5060" w:firstLineChars="2400"/>
        <w:sectPr>
          <w:pgSz w:w="11905" w:h="16838"/>
          <w:pgMar w:top="1361" w:right="1587" w:bottom="1361" w:left="1587" w:header="850" w:footer="811" w:gutter="0"/>
          <w:pgNumType w:fmt="decimal"/>
          <w:cols w:space="0" w:num="1"/>
          <w:docGrid w:type="lines" w:linePitch="307" w:charSpace="0"/>
        </w:sectPr>
      </w:pPr>
      <w:r>
        <w:rPr>
          <w:rFonts w:hint="eastAsia"/>
          <w:b/>
          <w:bCs/>
          <w:sz w:val="21"/>
          <w:szCs w:val="21"/>
        </w:rPr>
        <w:t>日期：     年   月   日</w:t>
      </w:r>
    </w:p>
    <w:p w14:paraId="33EF8E5D">
      <w:pPr>
        <w:pStyle w:val="10"/>
        <w:spacing w:after="0" w:line="240" w:lineRule="exact"/>
        <w:rPr>
          <w:color w:val="FF0000"/>
          <w:sz w:val="18"/>
          <w:szCs w:val="18"/>
        </w:rPr>
      </w:pPr>
      <w:r>
        <w:rPr>
          <w:rFonts w:hint="eastAsia"/>
          <w:color w:val="FF0000"/>
          <w:sz w:val="18"/>
          <w:szCs w:val="18"/>
        </w:rPr>
        <w:t>注：1、本声明书非响应文件的组成内容，无须在响应文件中提供。</w:t>
      </w:r>
    </w:p>
    <w:p w14:paraId="74FFA6FF">
      <w:pPr>
        <w:spacing w:line="240" w:lineRule="exact"/>
        <w:rPr>
          <w:rFonts w:ascii="宋体" w:hAnsi="宋体" w:cs="宋体"/>
          <w:b/>
          <w:bCs/>
          <w:color w:val="000000"/>
          <w:sz w:val="24"/>
        </w:rPr>
      </w:pPr>
      <w:r>
        <w:rPr>
          <w:rFonts w:hint="eastAsia"/>
          <w:color w:val="FF0000"/>
          <w:sz w:val="18"/>
          <w:szCs w:val="18"/>
        </w:rPr>
        <w:t xml:space="preserve">    2、各供应商提前打印本表，待标书件解密结束后，签署完毕后上传至政采云平台。上传途径由采购组织机构发起在线（询标）通知后，供应商按时上传递交。</w:t>
      </w:r>
      <w:r>
        <w:rPr>
          <w:rFonts w:hint="eastAsia" w:ascii="宋体" w:hAnsi="宋体" w:cs="宋体"/>
          <w:b/>
          <w:bCs/>
          <w:color w:val="000000"/>
          <w:sz w:val="24"/>
        </w:rPr>
        <w:t xml:space="preserve"> </w:t>
      </w:r>
    </w:p>
    <w:p w14:paraId="7EA0B8F4">
      <w:pPr>
        <w:pStyle w:val="49"/>
        <w:snapToGrid w:val="0"/>
        <w:spacing w:line="500" w:lineRule="exact"/>
        <w:jc w:val="center"/>
        <w:rPr>
          <w:rFonts w:hint="default" w:cs="宋体"/>
          <w:sz w:val="21"/>
          <w:szCs w:val="21"/>
        </w:rPr>
      </w:pPr>
      <w:r>
        <w:rPr>
          <w:rFonts w:cs="宋体"/>
          <w:b/>
          <w:bCs/>
          <w:sz w:val="21"/>
          <w:szCs w:val="21"/>
        </w:rPr>
        <w:t>政府采购活动现</w:t>
      </w:r>
      <w:r>
        <w:rPr>
          <w:rFonts w:cs="宋体"/>
          <w:b/>
          <w:sz w:val="21"/>
          <w:szCs w:val="21"/>
        </w:rPr>
        <w:t>场确认声明书（被授权人）</w:t>
      </w:r>
      <w:r>
        <w:rPr>
          <w:rFonts w:cs="宋体"/>
          <w:b/>
          <w:i/>
          <w:iCs/>
          <w:color w:val="FF0000"/>
          <w:sz w:val="21"/>
          <w:szCs w:val="21"/>
        </w:rPr>
        <w:t>（以下二选一）</w:t>
      </w:r>
    </w:p>
    <w:p w14:paraId="1EF444EF">
      <w:pPr>
        <w:pStyle w:val="49"/>
        <w:snapToGrid w:val="0"/>
        <w:spacing w:line="500" w:lineRule="exact"/>
        <w:rPr>
          <w:rFonts w:hint="default" w:cs="宋体"/>
          <w:b/>
          <w:sz w:val="21"/>
          <w:szCs w:val="21"/>
        </w:rPr>
      </w:pPr>
      <w:r>
        <w:rPr>
          <w:rFonts w:cs="宋体"/>
          <w:kern w:val="0"/>
          <w:sz w:val="21"/>
          <w:szCs w:val="21"/>
          <w:u w:val="single"/>
        </w:rPr>
        <w:t xml:space="preserve"> 浙江广利工程</w:t>
      </w:r>
      <w:r>
        <w:rPr>
          <w:rFonts w:hint="eastAsia" w:cs="宋体"/>
          <w:kern w:val="0"/>
          <w:sz w:val="21"/>
          <w:szCs w:val="21"/>
          <w:u w:val="single"/>
          <w:lang w:eastAsia="zh-CN"/>
        </w:rPr>
        <w:t>咨询有限公司</w:t>
      </w:r>
      <w:r>
        <w:rPr>
          <w:rFonts w:cs="宋体"/>
          <w:kern w:val="0"/>
          <w:sz w:val="21"/>
          <w:szCs w:val="21"/>
          <w:u w:val="single"/>
        </w:rPr>
        <w:t xml:space="preserve">  </w:t>
      </w:r>
      <w:r>
        <w:rPr>
          <w:rFonts w:cs="宋体"/>
          <w:kern w:val="0"/>
          <w:sz w:val="21"/>
          <w:szCs w:val="21"/>
        </w:rPr>
        <w:t>（采购组织机构名称）：</w:t>
      </w:r>
    </w:p>
    <w:p w14:paraId="4E8EA5DE">
      <w:pPr>
        <w:pStyle w:val="49"/>
        <w:snapToGrid w:val="0"/>
        <w:spacing w:line="500" w:lineRule="exact"/>
        <w:ind w:firstLine="444" w:firstLineChars="200"/>
        <w:rPr>
          <w:rFonts w:hint="default" w:cs="宋体"/>
          <w:spacing w:val="6"/>
          <w:sz w:val="21"/>
          <w:szCs w:val="21"/>
        </w:rPr>
      </w:pPr>
      <w:r>
        <w:rPr>
          <w:rFonts w:cs="宋体"/>
          <w:spacing w:val="6"/>
          <w:sz w:val="21"/>
          <w:szCs w:val="21"/>
        </w:rPr>
        <w:t>本人</w:t>
      </w:r>
      <w:r>
        <w:rPr>
          <w:rFonts w:cs="宋体"/>
          <w:spacing w:val="6"/>
          <w:sz w:val="21"/>
          <w:szCs w:val="21"/>
          <w:u w:val="single"/>
        </w:rPr>
        <w:t xml:space="preserve">        （姓名）</w:t>
      </w:r>
      <w:r>
        <w:rPr>
          <w:rFonts w:cs="宋体"/>
          <w:spacing w:val="6"/>
          <w:sz w:val="21"/>
          <w:szCs w:val="21"/>
        </w:rPr>
        <w:t>经由</w:t>
      </w:r>
      <w:r>
        <w:rPr>
          <w:rFonts w:cs="宋体"/>
          <w:spacing w:val="6"/>
          <w:sz w:val="21"/>
          <w:szCs w:val="21"/>
          <w:u w:val="single"/>
        </w:rPr>
        <w:t xml:space="preserve"> </w:t>
      </w:r>
      <w:r>
        <w:rPr>
          <w:rFonts w:cs="宋体"/>
          <w:kern w:val="0"/>
          <w:sz w:val="21"/>
          <w:szCs w:val="21"/>
          <w:u w:val="single"/>
        </w:rPr>
        <w:t xml:space="preserve">               </w:t>
      </w:r>
      <w:r>
        <w:rPr>
          <w:rFonts w:cs="宋体"/>
          <w:spacing w:val="6"/>
          <w:sz w:val="21"/>
          <w:szCs w:val="21"/>
          <w:u w:val="single"/>
        </w:rPr>
        <w:t>（单位）</w:t>
      </w:r>
      <w:r>
        <w:rPr>
          <w:rFonts w:cs="宋体"/>
          <w:spacing w:val="6"/>
          <w:sz w:val="21"/>
          <w:szCs w:val="21"/>
        </w:rPr>
        <w:t>负责人</w:t>
      </w:r>
      <w:r>
        <w:rPr>
          <w:rFonts w:cs="宋体"/>
          <w:spacing w:val="6"/>
          <w:sz w:val="21"/>
          <w:szCs w:val="21"/>
          <w:u w:val="single"/>
        </w:rPr>
        <w:t xml:space="preserve">       （姓名）</w:t>
      </w:r>
      <w:r>
        <w:rPr>
          <w:rFonts w:cs="宋体"/>
          <w:spacing w:val="6"/>
          <w:sz w:val="21"/>
          <w:szCs w:val="21"/>
        </w:rPr>
        <w:t>合法授权参加</w:t>
      </w:r>
      <w:r>
        <w:rPr>
          <w:rFonts w:cs="宋体"/>
          <w:spacing w:val="6"/>
          <w:sz w:val="21"/>
          <w:szCs w:val="21"/>
          <w:u w:val="single"/>
        </w:rPr>
        <w:t xml:space="preserve">              </w:t>
      </w:r>
      <w:r>
        <w:rPr>
          <w:rFonts w:cs="宋体"/>
          <w:spacing w:val="6"/>
          <w:sz w:val="21"/>
          <w:szCs w:val="21"/>
        </w:rPr>
        <w:t>（编号：</w:t>
      </w:r>
      <w:r>
        <w:rPr>
          <w:rFonts w:cs="宋体"/>
          <w:spacing w:val="6"/>
          <w:sz w:val="21"/>
          <w:szCs w:val="21"/>
          <w:u w:val="single"/>
        </w:rPr>
        <w:t xml:space="preserve">               </w:t>
      </w:r>
      <w:r>
        <w:rPr>
          <w:rFonts w:cs="宋体"/>
          <w:spacing w:val="6"/>
          <w:sz w:val="21"/>
          <w:szCs w:val="21"/>
        </w:rPr>
        <w:t xml:space="preserve">）政府采购活动，经与本单位法人代表（负责人）联系确认，现就有关公平竞争事项郑重声明如下： </w:t>
      </w:r>
    </w:p>
    <w:p w14:paraId="12E58F26">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本单位与采购人之间 □不存在利害关系 □存在下列利害关系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DFB2477">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A.投资关系    B.行政隶属关系    C.业务指导关系</w:t>
      </w:r>
    </w:p>
    <w:p w14:paraId="29317EDB">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D.其他可能</w:t>
      </w:r>
      <w:r>
        <w:rPr>
          <w:rFonts w:hint="eastAsia" w:ascii="宋体" w:hAnsi="宋体" w:cs="宋体"/>
          <w:szCs w:val="21"/>
        </w:rPr>
        <w:t>影响采购公正的</w:t>
      </w:r>
      <w:r>
        <w:rPr>
          <w:rFonts w:hint="eastAsia" w:ascii="宋体" w:hAnsi="宋体" w:cs="宋体"/>
          <w:kern w:val="0"/>
          <w:szCs w:val="21"/>
        </w:rPr>
        <w:t>利害关系</w:t>
      </w:r>
      <w:r>
        <w:rPr>
          <w:rFonts w:hint="eastAsia" w:ascii="宋体" w:hAnsi="宋体" w:cs="宋体"/>
          <w:kern w:val="0"/>
          <w:szCs w:val="21"/>
          <w:u w:val="single"/>
        </w:rPr>
        <w:t xml:space="preserve">（如有，请如实说明）                 </w:t>
      </w:r>
      <w:r>
        <w:rPr>
          <w:rFonts w:hint="eastAsia" w:ascii="宋体" w:hAnsi="宋体" w:cs="宋体"/>
          <w:kern w:val="0"/>
          <w:szCs w:val="21"/>
        </w:rPr>
        <w:t>。</w:t>
      </w:r>
    </w:p>
    <w:p w14:paraId="21D9A9DC">
      <w:pPr>
        <w:pStyle w:val="50"/>
        <w:widowControl/>
        <w:snapToGrid w:val="0"/>
        <w:spacing w:line="500" w:lineRule="exact"/>
        <w:rPr>
          <w:rFonts w:ascii="宋体" w:hAnsi="宋体" w:cs="宋体"/>
          <w:kern w:val="0"/>
          <w:szCs w:val="21"/>
        </w:rPr>
      </w:pPr>
      <w:r>
        <w:rPr>
          <w:rFonts w:hint="eastAsia" w:ascii="宋体" w:hAnsi="宋体" w:cs="宋体"/>
          <w:spacing w:val="6"/>
          <w:szCs w:val="21"/>
        </w:rPr>
        <w:t xml:space="preserve">  二、</w:t>
      </w:r>
      <w:r>
        <w:rPr>
          <w:rFonts w:hint="eastAsia" w:ascii="宋体" w:hAnsi="宋体" w:cs="宋体"/>
          <w:kern w:val="0"/>
          <w:szCs w:val="21"/>
        </w:rPr>
        <w:t>现已清楚知道参加本项目采购活动的其他所有供应商名称，本单位 □与其他所有供应商之间均不存在利害关系 □与</w:t>
      </w:r>
      <w:r>
        <w:rPr>
          <w:rFonts w:hint="eastAsia" w:ascii="宋体" w:hAnsi="宋体" w:cs="宋体"/>
          <w:kern w:val="0"/>
          <w:szCs w:val="21"/>
          <w:u w:val="single"/>
        </w:rPr>
        <w:t xml:space="preserve">           （供应商名称）</w:t>
      </w:r>
      <w:r>
        <w:rPr>
          <w:rFonts w:hint="eastAsia" w:ascii="宋体" w:hAnsi="宋体" w:cs="宋体"/>
          <w:kern w:val="0"/>
          <w:szCs w:val="21"/>
        </w:rPr>
        <w:t>之间存在下列利害关系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BA95D61">
      <w:pPr>
        <w:pStyle w:val="49"/>
        <w:snapToGrid w:val="0"/>
        <w:spacing w:line="500" w:lineRule="exact"/>
        <w:rPr>
          <w:rFonts w:hint="default" w:cs="宋体"/>
          <w:kern w:val="0"/>
          <w:sz w:val="21"/>
          <w:szCs w:val="21"/>
        </w:rPr>
      </w:pPr>
      <w:r>
        <w:rPr>
          <w:rFonts w:cs="宋体"/>
          <w:kern w:val="0"/>
          <w:sz w:val="21"/>
          <w:szCs w:val="21"/>
        </w:rPr>
        <w:t xml:space="preserve">  A.法定代表人或负责人或实际控制人是同一人</w:t>
      </w:r>
    </w:p>
    <w:p w14:paraId="5BEF4469">
      <w:pPr>
        <w:pStyle w:val="49"/>
        <w:snapToGrid w:val="0"/>
        <w:spacing w:line="500" w:lineRule="exact"/>
        <w:rPr>
          <w:rFonts w:hint="default" w:cs="宋体"/>
          <w:spacing w:val="6"/>
          <w:sz w:val="21"/>
          <w:szCs w:val="21"/>
        </w:rPr>
      </w:pPr>
      <w:r>
        <w:rPr>
          <w:rFonts w:cs="宋体"/>
          <w:kern w:val="0"/>
          <w:sz w:val="21"/>
          <w:szCs w:val="21"/>
        </w:rPr>
        <w:t xml:space="preserve">  B.法定代表人或负责人或实际控制人是夫妻关系</w:t>
      </w:r>
    </w:p>
    <w:p w14:paraId="4440E041">
      <w:pPr>
        <w:pStyle w:val="49"/>
        <w:snapToGrid w:val="0"/>
        <w:spacing w:line="500" w:lineRule="exact"/>
        <w:rPr>
          <w:rFonts w:hint="default" w:cs="宋体"/>
          <w:spacing w:val="6"/>
          <w:sz w:val="21"/>
          <w:szCs w:val="21"/>
        </w:rPr>
      </w:pPr>
      <w:r>
        <w:rPr>
          <w:rFonts w:cs="宋体"/>
          <w:kern w:val="0"/>
          <w:sz w:val="21"/>
          <w:szCs w:val="21"/>
        </w:rPr>
        <w:t xml:space="preserve">  C.法定代表人或负责人或实际控制人是直系血亲关系</w:t>
      </w:r>
    </w:p>
    <w:p w14:paraId="77AF1814">
      <w:pPr>
        <w:pStyle w:val="49"/>
        <w:snapToGrid w:val="0"/>
        <w:spacing w:line="500" w:lineRule="exact"/>
        <w:rPr>
          <w:rFonts w:hint="default" w:cs="宋体"/>
          <w:spacing w:val="6"/>
          <w:sz w:val="21"/>
          <w:szCs w:val="21"/>
        </w:rPr>
      </w:pPr>
      <w:r>
        <w:rPr>
          <w:rFonts w:cs="宋体"/>
          <w:kern w:val="0"/>
          <w:sz w:val="21"/>
          <w:szCs w:val="21"/>
        </w:rPr>
        <w:t xml:space="preserve">  D.法定代表人或负责人或实际控制人存在三代以内旁系血亲关系</w:t>
      </w:r>
    </w:p>
    <w:p w14:paraId="36336A65">
      <w:pPr>
        <w:pStyle w:val="49"/>
        <w:snapToGrid w:val="0"/>
        <w:spacing w:line="500" w:lineRule="exact"/>
        <w:rPr>
          <w:rFonts w:hint="default" w:cs="宋体"/>
          <w:kern w:val="0"/>
          <w:sz w:val="21"/>
          <w:szCs w:val="21"/>
        </w:rPr>
      </w:pPr>
      <w:r>
        <w:rPr>
          <w:rFonts w:cs="宋体"/>
          <w:kern w:val="0"/>
          <w:sz w:val="21"/>
          <w:szCs w:val="21"/>
        </w:rPr>
        <w:t xml:space="preserve">  E.法定代表人或负责人或实际控制人存在近姻亲关系</w:t>
      </w:r>
    </w:p>
    <w:p w14:paraId="7AFA22E1">
      <w:pPr>
        <w:pStyle w:val="49"/>
        <w:snapToGrid w:val="0"/>
        <w:spacing w:line="500" w:lineRule="exact"/>
        <w:rPr>
          <w:rFonts w:hint="default" w:cs="宋体"/>
          <w:kern w:val="0"/>
          <w:sz w:val="21"/>
          <w:szCs w:val="21"/>
        </w:rPr>
      </w:pPr>
      <w:r>
        <w:rPr>
          <w:rFonts w:cs="宋体"/>
          <w:kern w:val="0"/>
          <w:sz w:val="21"/>
          <w:szCs w:val="21"/>
        </w:rPr>
        <w:t xml:space="preserve">  F.法定代表人或负责人或实际控制人存在股份控制或实际控制关系</w:t>
      </w:r>
    </w:p>
    <w:p w14:paraId="28E4F543">
      <w:pPr>
        <w:pStyle w:val="49"/>
        <w:snapToGrid w:val="0"/>
        <w:spacing w:line="500" w:lineRule="exact"/>
        <w:outlineLvl w:val="0"/>
        <w:rPr>
          <w:rFonts w:hint="default" w:cs="宋体"/>
          <w:kern w:val="0"/>
          <w:sz w:val="21"/>
          <w:szCs w:val="21"/>
        </w:rPr>
      </w:pPr>
      <w:r>
        <w:rPr>
          <w:rFonts w:cs="宋体"/>
          <w:kern w:val="0"/>
          <w:sz w:val="21"/>
          <w:szCs w:val="21"/>
        </w:rPr>
        <w:t xml:space="preserve">  </w:t>
      </w:r>
      <w:bookmarkStart w:id="151" w:name="_Toc13822"/>
      <w:bookmarkStart w:id="152" w:name="_Toc9934"/>
      <w:r>
        <w:rPr>
          <w:rFonts w:cs="宋体"/>
          <w:kern w:val="0"/>
          <w:sz w:val="21"/>
          <w:szCs w:val="21"/>
        </w:rPr>
        <w:t>G.存在共同直接或间接投资设立子公司、联营企业和合营企业情况</w:t>
      </w:r>
      <w:bookmarkEnd w:id="151"/>
      <w:bookmarkEnd w:id="152"/>
    </w:p>
    <w:p w14:paraId="0EC24FF8">
      <w:pPr>
        <w:pStyle w:val="49"/>
        <w:snapToGrid w:val="0"/>
        <w:spacing w:line="500" w:lineRule="exact"/>
        <w:rPr>
          <w:rFonts w:hint="default" w:cs="宋体"/>
          <w:sz w:val="21"/>
          <w:szCs w:val="21"/>
        </w:rPr>
      </w:pPr>
      <w:r>
        <w:rPr>
          <w:rFonts w:cs="宋体"/>
          <w:kern w:val="0"/>
          <w:sz w:val="21"/>
          <w:szCs w:val="21"/>
        </w:rPr>
        <w:t xml:space="preserve">  H.存在分级代理或代销关系、同一生产制造商关系、</w:t>
      </w:r>
      <w:r>
        <w:rPr>
          <w:rFonts w:cs="宋体"/>
          <w:sz w:val="21"/>
          <w:szCs w:val="21"/>
        </w:rPr>
        <w:t>管理关系、重要业务（占主营业务收入50%以上）或重要财务往来关系（如融资）等其他实质性控制关系</w:t>
      </w:r>
    </w:p>
    <w:p w14:paraId="4B86189A">
      <w:pPr>
        <w:pStyle w:val="49"/>
        <w:snapToGrid w:val="0"/>
        <w:spacing w:line="500" w:lineRule="exact"/>
        <w:rPr>
          <w:rFonts w:hint="default" w:cs="宋体"/>
          <w:spacing w:val="6"/>
          <w:sz w:val="21"/>
          <w:szCs w:val="21"/>
        </w:rPr>
      </w:pPr>
      <w:r>
        <w:rPr>
          <w:rFonts w:cs="宋体"/>
          <w:sz w:val="21"/>
          <w:szCs w:val="21"/>
        </w:rPr>
        <w:t xml:space="preserve">  I</w:t>
      </w:r>
      <w:r>
        <w:rPr>
          <w:rFonts w:cs="宋体"/>
          <w:kern w:val="0"/>
          <w:sz w:val="21"/>
          <w:szCs w:val="21"/>
        </w:rPr>
        <w:t>.</w:t>
      </w:r>
      <w:r>
        <w:rPr>
          <w:rFonts w:cs="宋体"/>
          <w:sz w:val="21"/>
          <w:szCs w:val="21"/>
        </w:rPr>
        <w:t>其他利害关系情况</w:t>
      </w:r>
      <w:r>
        <w:rPr>
          <w:rFonts w:cs="宋体"/>
          <w:sz w:val="21"/>
          <w:szCs w:val="21"/>
          <w:u w:val="single"/>
        </w:rPr>
        <w:t xml:space="preserve">                              </w:t>
      </w:r>
      <w:r>
        <w:rPr>
          <w:rFonts w:cs="宋体"/>
          <w:kern w:val="0"/>
          <w:sz w:val="21"/>
          <w:szCs w:val="21"/>
        </w:rPr>
        <w:t>。</w:t>
      </w:r>
    </w:p>
    <w:p w14:paraId="3E4B42A2">
      <w:pPr>
        <w:pStyle w:val="50"/>
        <w:widowControl/>
        <w:numPr>
          <w:ilvl w:val="0"/>
          <w:numId w:val="19"/>
        </w:numPr>
        <w:snapToGrid w:val="0"/>
        <w:spacing w:line="500" w:lineRule="exact"/>
        <w:ind w:firstLine="396" w:firstLineChars="189"/>
        <w:rPr>
          <w:rFonts w:ascii="宋体" w:hAnsi="宋体" w:cs="宋体"/>
          <w:kern w:val="0"/>
          <w:szCs w:val="21"/>
        </w:rPr>
      </w:pPr>
      <w:r>
        <w:rPr>
          <w:rFonts w:hint="eastAsia" w:ascii="宋体" w:hAnsi="宋体" w:cs="宋体"/>
          <w:szCs w:val="21"/>
        </w:rPr>
        <w:t>现已清楚知道并</w:t>
      </w:r>
      <w:r>
        <w:rPr>
          <w:rFonts w:hint="eastAsia" w:ascii="宋体" w:hAnsi="宋体" w:cs="宋体"/>
          <w:kern w:val="0"/>
          <w:szCs w:val="21"/>
        </w:rPr>
        <w:t>严格遵守政府采购法律法规和现场纪律。</w:t>
      </w:r>
    </w:p>
    <w:p w14:paraId="6D7C4AB3">
      <w:pPr>
        <w:pStyle w:val="50"/>
        <w:widowControl/>
        <w:numPr>
          <w:ilvl w:val="0"/>
          <w:numId w:val="19"/>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我发现</w:t>
      </w:r>
      <w:r>
        <w:rPr>
          <w:rFonts w:hint="eastAsia" w:ascii="宋体" w:hAnsi="宋体" w:cs="宋体"/>
          <w:kern w:val="0"/>
          <w:szCs w:val="21"/>
          <w:u w:val="single"/>
        </w:rPr>
        <w:t xml:space="preserve">                    </w:t>
      </w:r>
      <w:r>
        <w:rPr>
          <w:rFonts w:hint="eastAsia" w:ascii="宋体" w:hAnsi="宋体" w:cs="宋体"/>
          <w:kern w:val="0"/>
          <w:szCs w:val="21"/>
        </w:rPr>
        <w:t>供应商之间存在或可能存在上述第二条第</w:t>
      </w:r>
      <w:r>
        <w:rPr>
          <w:rFonts w:hint="eastAsia" w:ascii="宋体" w:hAnsi="宋体" w:cs="宋体"/>
          <w:kern w:val="0"/>
          <w:szCs w:val="21"/>
          <w:u w:val="single"/>
        </w:rPr>
        <w:t xml:space="preserve">        </w:t>
      </w:r>
      <w:r>
        <w:rPr>
          <w:rFonts w:hint="eastAsia" w:ascii="宋体" w:hAnsi="宋体" w:cs="宋体"/>
          <w:kern w:val="0"/>
          <w:szCs w:val="21"/>
        </w:rPr>
        <w:t>项利害关系。</w:t>
      </w:r>
    </w:p>
    <w:p w14:paraId="36BF90BF">
      <w:pPr>
        <w:pStyle w:val="49"/>
        <w:snapToGrid w:val="0"/>
        <w:spacing w:line="500" w:lineRule="exact"/>
        <w:rPr>
          <w:rFonts w:hint="default" w:cs="宋体"/>
          <w:sz w:val="21"/>
          <w:szCs w:val="21"/>
        </w:rPr>
      </w:pPr>
      <w:r>
        <w:rPr>
          <w:rFonts w:cs="宋体"/>
          <w:sz w:val="21"/>
          <w:szCs w:val="21"/>
        </w:rPr>
        <w:t xml:space="preserve">                                        供应商代表签名：</w:t>
      </w:r>
    </w:p>
    <w:p w14:paraId="4CAB4D25">
      <w:pPr>
        <w:spacing w:after="297" w:afterLines="100" w:line="600" w:lineRule="exact"/>
        <w:jc w:val="center"/>
        <w:rPr>
          <w:rFonts w:ascii="宋体" w:hAnsi="宋体" w:cs="宋体"/>
          <w:szCs w:val="21"/>
        </w:rPr>
      </w:pPr>
      <w:r>
        <w:rPr>
          <w:rFonts w:hint="eastAsia" w:ascii="宋体" w:hAnsi="宋体" w:cs="宋体"/>
          <w:szCs w:val="21"/>
        </w:rPr>
        <w:t xml:space="preserve">                                       日期：    年   月   日</w:t>
      </w:r>
    </w:p>
    <w:p w14:paraId="664903BF">
      <w:pPr>
        <w:pStyle w:val="49"/>
        <w:snapToGrid w:val="0"/>
        <w:spacing w:line="500" w:lineRule="exact"/>
        <w:jc w:val="center"/>
        <w:rPr>
          <w:rFonts w:hint="default" w:cs="宋体"/>
          <w:b/>
          <w:bCs/>
          <w:sz w:val="21"/>
          <w:szCs w:val="21"/>
        </w:rPr>
        <w:sectPr>
          <w:pgSz w:w="11905" w:h="16838"/>
          <w:pgMar w:top="1417" w:right="1587" w:bottom="1417" w:left="1587" w:header="851" w:footer="992" w:gutter="0"/>
          <w:pgNumType w:fmt="decimal"/>
          <w:cols w:space="720" w:num="1"/>
          <w:docGrid w:type="lines" w:linePitch="297" w:charSpace="0"/>
        </w:sectPr>
      </w:pPr>
    </w:p>
    <w:p w14:paraId="2EB1C698">
      <w:pPr>
        <w:pStyle w:val="49"/>
        <w:adjustRightInd/>
        <w:spacing w:before="148" w:beforeLines="50" w:after="148" w:afterLines="50"/>
        <w:jc w:val="center"/>
        <w:rPr>
          <w:rFonts w:hint="default" w:cs="宋体"/>
          <w:sz w:val="21"/>
          <w:szCs w:val="21"/>
        </w:rPr>
      </w:pPr>
      <w:r>
        <w:rPr>
          <w:rFonts w:cs="宋体"/>
          <w:b/>
          <w:bCs/>
          <w:sz w:val="21"/>
          <w:szCs w:val="21"/>
        </w:rPr>
        <w:t>政府采购活动现</w:t>
      </w:r>
      <w:r>
        <w:rPr>
          <w:rFonts w:cs="宋体"/>
          <w:b/>
          <w:sz w:val="21"/>
          <w:szCs w:val="21"/>
        </w:rPr>
        <w:t>场确认声明书（法人）</w:t>
      </w:r>
    </w:p>
    <w:p w14:paraId="08E9EECD">
      <w:pPr>
        <w:pStyle w:val="49"/>
        <w:snapToGrid w:val="0"/>
        <w:spacing w:line="500" w:lineRule="exact"/>
        <w:rPr>
          <w:rFonts w:hint="default" w:cs="宋体"/>
          <w:b/>
          <w:sz w:val="21"/>
          <w:szCs w:val="21"/>
        </w:rPr>
      </w:pPr>
      <w:r>
        <w:rPr>
          <w:rFonts w:cs="宋体"/>
          <w:kern w:val="0"/>
          <w:sz w:val="21"/>
          <w:szCs w:val="21"/>
          <w:u w:val="single"/>
        </w:rPr>
        <w:t xml:space="preserve"> 浙江广利工程</w:t>
      </w:r>
      <w:r>
        <w:rPr>
          <w:rFonts w:hint="eastAsia" w:cs="宋体"/>
          <w:kern w:val="0"/>
          <w:sz w:val="21"/>
          <w:szCs w:val="21"/>
          <w:u w:val="single"/>
          <w:lang w:eastAsia="zh-CN"/>
        </w:rPr>
        <w:t>咨询有限公司</w:t>
      </w:r>
      <w:r>
        <w:rPr>
          <w:rFonts w:cs="宋体"/>
          <w:kern w:val="0"/>
          <w:sz w:val="21"/>
          <w:szCs w:val="21"/>
          <w:u w:val="single"/>
        </w:rPr>
        <w:t xml:space="preserve">  </w:t>
      </w:r>
      <w:r>
        <w:rPr>
          <w:rFonts w:cs="宋体"/>
          <w:kern w:val="0"/>
          <w:sz w:val="21"/>
          <w:szCs w:val="21"/>
        </w:rPr>
        <w:t>（采购组织机构名称）：</w:t>
      </w:r>
    </w:p>
    <w:p w14:paraId="6CAC3D5F">
      <w:pPr>
        <w:pStyle w:val="49"/>
        <w:snapToGrid w:val="0"/>
        <w:spacing w:line="500" w:lineRule="exact"/>
        <w:ind w:firstLine="444" w:firstLineChars="200"/>
        <w:rPr>
          <w:rFonts w:hint="default" w:cs="宋体"/>
          <w:spacing w:val="6"/>
          <w:sz w:val="21"/>
          <w:szCs w:val="21"/>
        </w:rPr>
      </w:pPr>
      <w:r>
        <w:rPr>
          <w:rFonts w:cs="宋体"/>
          <w:spacing w:val="6"/>
          <w:sz w:val="21"/>
          <w:szCs w:val="21"/>
        </w:rPr>
        <w:t>本人</w:t>
      </w:r>
      <w:r>
        <w:rPr>
          <w:rFonts w:cs="宋体"/>
          <w:spacing w:val="6"/>
          <w:sz w:val="21"/>
          <w:szCs w:val="21"/>
          <w:u w:val="single"/>
        </w:rPr>
        <w:t xml:space="preserve">        （姓名）</w:t>
      </w:r>
      <w:r>
        <w:rPr>
          <w:rFonts w:cs="宋体"/>
          <w:spacing w:val="6"/>
          <w:sz w:val="21"/>
          <w:szCs w:val="21"/>
        </w:rPr>
        <w:t>为</w:t>
      </w:r>
      <w:r>
        <w:rPr>
          <w:rFonts w:cs="宋体"/>
          <w:spacing w:val="6"/>
          <w:sz w:val="21"/>
          <w:szCs w:val="21"/>
          <w:u w:val="single"/>
        </w:rPr>
        <w:t xml:space="preserve"> </w:t>
      </w:r>
      <w:r>
        <w:rPr>
          <w:rFonts w:cs="宋体"/>
          <w:kern w:val="0"/>
          <w:sz w:val="21"/>
          <w:szCs w:val="21"/>
          <w:u w:val="single"/>
        </w:rPr>
        <w:t xml:space="preserve">                </w:t>
      </w:r>
      <w:r>
        <w:rPr>
          <w:rFonts w:cs="宋体"/>
          <w:spacing w:val="6"/>
          <w:sz w:val="21"/>
          <w:szCs w:val="21"/>
          <w:u w:val="single"/>
        </w:rPr>
        <w:t>（单位）</w:t>
      </w:r>
      <w:r>
        <w:rPr>
          <w:rFonts w:cs="宋体"/>
          <w:spacing w:val="6"/>
          <w:sz w:val="21"/>
          <w:szCs w:val="21"/>
        </w:rPr>
        <w:t>负责人参加</w:t>
      </w:r>
      <w:r>
        <w:rPr>
          <w:rFonts w:cs="宋体"/>
          <w:spacing w:val="6"/>
          <w:sz w:val="21"/>
          <w:szCs w:val="21"/>
          <w:u w:val="single"/>
        </w:rPr>
        <w:t xml:space="preserve">           </w:t>
      </w:r>
      <w:r>
        <w:rPr>
          <w:rFonts w:cs="宋体"/>
          <w:spacing w:val="6"/>
          <w:sz w:val="21"/>
          <w:szCs w:val="21"/>
        </w:rPr>
        <w:t>（编号：</w:t>
      </w:r>
      <w:r>
        <w:rPr>
          <w:rFonts w:cs="宋体"/>
          <w:spacing w:val="6"/>
          <w:sz w:val="21"/>
          <w:szCs w:val="21"/>
          <w:u w:val="single"/>
        </w:rPr>
        <w:t xml:space="preserve">     </w:t>
      </w:r>
      <w:r>
        <w:rPr>
          <w:rFonts w:cs="宋体"/>
          <w:spacing w:val="6"/>
          <w:sz w:val="21"/>
          <w:szCs w:val="21"/>
        </w:rPr>
        <w:t xml:space="preserve">）政府采购活动，现就有关公平竞争事项郑重声明如下： </w:t>
      </w:r>
    </w:p>
    <w:p w14:paraId="75297FCC">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本单位与采购人之间 □不存在利害关系 □存在下列利害关系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1085512">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A.投资关系    B.行政隶属关系    C.业务指导关系</w:t>
      </w:r>
    </w:p>
    <w:p w14:paraId="3D3B6A2E">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D.其他可能</w:t>
      </w:r>
      <w:r>
        <w:rPr>
          <w:rFonts w:hint="eastAsia" w:ascii="宋体" w:hAnsi="宋体" w:cs="宋体"/>
          <w:szCs w:val="21"/>
        </w:rPr>
        <w:t>影响采购公正的</w:t>
      </w:r>
      <w:r>
        <w:rPr>
          <w:rFonts w:hint="eastAsia" w:ascii="宋体" w:hAnsi="宋体" w:cs="宋体"/>
          <w:kern w:val="0"/>
          <w:szCs w:val="21"/>
        </w:rPr>
        <w:t>利害关系</w:t>
      </w:r>
      <w:r>
        <w:rPr>
          <w:rFonts w:hint="eastAsia" w:ascii="宋体" w:hAnsi="宋体" w:cs="宋体"/>
          <w:kern w:val="0"/>
          <w:szCs w:val="21"/>
          <w:u w:val="single"/>
        </w:rPr>
        <w:t xml:space="preserve">（如有，请如实说明）                 </w:t>
      </w:r>
      <w:r>
        <w:rPr>
          <w:rFonts w:hint="eastAsia" w:ascii="宋体" w:hAnsi="宋体" w:cs="宋体"/>
          <w:kern w:val="0"/>
          <w:szCs w:val="21"/>
        </w:rPr>
        <w:t>。</w:t>
      </w:r>
    </w:p>
    <w:p w14:paraId="06DFFC50">
      <w:pPr>
        <w:pStyle w:val="50"/>
        <w:widowControl/>
        <w:snapToGrid w:val="0"/>
        <w:spacing w:line="500" w:lineRule="exact"/>
        <w:rPr>
          <w:rFonts w:ascii="宋体" w:hAnsi="宋体" w:cs="宋体"/>
          <w:kern w:val="0"/>
          <w:szCs w:val="21"/>
        </w:rPr>
      </w:pPr>
      <w:r>
        <w:rPr>
          <w:rFonts w:hint="eastAsia" w:ascii="宋体" w:hAnsi="宋体" w:cs="宋体"/>
          <w:spacing w:val="6"/>
          <w:szCs w:val="21"/>
        </w:rPr>
        <w:t xml:space="preserve">  二、</w:t>
      </w:r>
      <w:r>
        <w:rPr>
          <w:rFonts w:hint="eastAsia" w:ascii="宋体" w:hAnsi="宋体" w:cs="宋体"/>
          <w:kern w:val="0"/>
          <w:szCs w:val="21"/>
        </w:rPr>
        <w:t>现已清楚知道参加本项目采购活动的其他所有供应商名称，本单位 □与其他所有供应商之间均不存在利害关系 □与</w:t>
      </w:r>
      <w:r>
        <w:rPr>
          <w:rFonts w:hint="eastAsia" w:ascii="宋体" w:hAnsi="宋体" w:cs="宋体"/>
          <w:kern w:val="0"/>
          <w:szCs w:val="21"/>
          <w:u w:val="single"/>
        </w:rPr>
        <w:t xml:space="preserve">           （供应商名称）</w:t>
      </w:r>
      <w:r>
        <w:rPr>
          <w:rFonts w:hint="eastAsia" w:ascii="宋体" w:hAnsi="宋体" w:cs="宋体"/>
          <w:kern w:val="0"/>
          <w:szCs w:val="21"/>
        </w:rPr>
        <w:t>之间存在下列利害关系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0A763501">
      <w:pPr>
        <w:pStyle w:val="49"/>
        <w:snapToGrid w:val="0"/>
        <w:spacing w:line="500" w:lineRule="exact"/>
        <w:rPr>
          <w:rFonts w:hint="default" w:cs="宋体"/>
          <w:kern w:val="0"/>
          <w:sz w:val="21"/>
          <w:szCs w:val="21"/>
        </w:rPr>
      </w:pPr>
      <w:r>
        <w:rPr>
          <w:rFonts w:cs="宋体"/>
          <w:kern w:val="0"/>
          <w:sz w:val="21"/>
          <w:szCs w:val="21"/>
        </w:rPr>
        <w:t xml:space="preserve">  A.法定代表人或负责人或实际控制人是同一人</w:t>
      </w:r>
    </w:p>
    <w:p w14:paraId="5DF11DE9">
      <w:pPr>
        <w:pStyle w:val="49"/>
        <w:snapToGrid w:val="0"/>
        <w:spacing w:line="500" w:lineRule="exact"/>
        <w:rPr>
          <w:rFonts w:hint="default" w:cs="宋体"/>
          <w:spacing w:val="6"/>
          <w:sz w:val="21"/>
          <w:szCs w:val="21"/>
        </w:rPr>
      </w:pPr>
      <w:r>
        <w:rPr>
          <w:rFonts w:cs="宋体"/>
          <w:kern w:val="0"/>
          <w:sz w:val="21"/>
          <w:szCs w:val="21"/>
        </w:rPr>
        <w:t xml:space="preserve">  B.法定代表人或负责人或实际控制人是夫妻关系</w:t>
      </w:r>
    </w:p>
    <w:p w14:paraId="11045A7C">
      <w:pPr>
        <w:pStyle w:val="49"/>
        <w:snapToGrid w:val="0"/>
        <w:spacing w:line="500" w:lineRule="exact"/>
        <w:rPr>
          <w:rFonts w:hint="default" w:cs="宋体"/>
          <w:spacing w:val="6"/>
          <w:sz w:val="21"/>
          <w:szCs w:val="21"/>
        </w:rPr>
      </w:pPr>
      <w:r>
        <w:rPr>
          <w:rFonts w:cs="宋体"/>
          <w:kern w:val="0"/>
          <w:sz w:val="21"/>
          <w:szCs w:val="21"/>
        </w:rPr>
        <w:t xml:space="preserve">  C.法定代表人或负责人或实际控制人是直系血亲关系</w:t>
      </w:r>
    </w:p>
    <w:p w14:paraId="3F2674E0">
      <w:pPr>
        <w:pStyle w:val="49"/>
        <w:snapToGrid w:val="0"/>
        <w:spacing w:line="500" w:lineRule="exact"/>
        <w:rPr>
          <w:rFonts w:hint="default" w:cs="宋体"/>
          <w:spacing w:val="6"/>
          <w:sz w:val="21"/>
          <w:szCs w:val="21"/>
        </w:rPr>
      </w:pPr>
      <w:r>
        <w:rPr>
          <w:rFonts w:cs="宋体"/>
          <w:kern w:val="0"/>
          <w:sz w:val="21"/>
          <w:szCs w:val="21"/>
        </w:rPr>
        <w:t xml:space="preserve">  D.法定代表人或负责人或实际控制人存在三代以内旁系血亲关系</w:t>
      </w:r>
    </w:p>
    <w:p w14:paraId="220777DD">
      <w:pPr>
        <w:pStyle w:val="49"/>
        <w:snapToGrid w:val="0"/>
        <w:spacing w:line="500" w:lineRule="exact"/>
        <w:rPr>
          <w:rFonts w:hint="default" w:cs="宋体"/>
          <w:kern w:val="0"/>
          <w:sz w:val="21"/>
          <w:szCs w:val="21"/>
        </w:rPr>
      </w:pPr>
      <w:r>
        <w:rPr>
          <w:rFonts w:cs="宋体"/>
          <w:kern w:val="0"/>
          <w:sz w:val="21"/>
          <w:szCs w:val="21"/>
        </w:rPr>
        <w:t xml:space="preserve">  E.法定代表人或负责人或实际控制人存在近姻亲关系</w:t>
      </w:r>
    </w:p>
    <w:p w14:paraId="6E10F6A9">
      <w:pPr>
        <w:pStyle w:val="49"/>
        <w:snapToGrid w:val="0"/>
        <w:spacing w:line="500" w:lineRule="exact"/>
        <w:rPr>
          <w:rFonts w:hint="default" w:cs="宋体"/>
          <w:kern w:val="0"/>
          <w:sz w:val="21"/>
          <w:szCs w:val="21"/>
        </w:rPr>
      </w:pPr>
      <w:r>
        <w:rPr>
          <w:rFonts w:cs="宋体"/>
          <w:kern w:val="0"/>
          <w:sz w:val="21"/>
          <w:szCs w:val="21"/>
        </w:rPr>
        <w:t xml:space="preserve">  F.法定代表人或负责人或实际控制人存在股份控制或实际控制关系</w:t>
      </w:r>
    </w:p>
    <w:p w14:paraId="3D277C18">
      <w:pPr>
        <w:pStyle w:val="49"/>
        <w:snapToGrid w:val="0"/>
        <w:spacing w:line="500" w:lineRule="exact"/>
        <w:outlineLvl w:val="0"/>
        <w:rPr>
          <w:rFonts w:hint="default" w:cs="宋体"/>
          <w:kern w:val="0"/>
          <w:sz w:val="21"/>
          <w:szCs w:val="21"/>
        </w:rPr>
      </w:pPr>
      <w:r>
        <w:rPr>
          <w:rFonts w:cs="宋体"/>
          <w:kern w:val="0"/>
          <w:sz w:val="21"/>
          <w:szCs w:val="21"/>
        </w:rPr>
        <w:t xml:space="preserve">  </w:t>
      </w:r>
      <w:bookmarkStart w:id="153" w:name="_Toc1661"/>
      <w:bookmarkStart w:id="154" w:name="_Toc4469"/>
      <w:r>
        <w:rPr>
          <w:rFonts w:cs="宋体"/>
          <w:kern w:val="0"/>
          <w:sz w:val="21"/>
          <w:szCs w:val="21"/>
        </w:rPr>
        <w:t>G.存在共同直接或间接投资设立子公司、联营企业和合营企业情况</w:t>
      </w:r>
      <w:bookmarkEnd w:id="153"/>
      <w:bookmarkEnd w:id="154"/>
    </w:p>
    <w:p w14:paraId="3EEDFD96">
      <w:pPr>
        <w:pStyle w:val="49"/>
        <w:snapToGrid w:val="0"/>
        <w:spacing w:line="500" w:lineRule="exact"/>
        <w:rPr>
          <w:rFonts w:hint="default" w:cs="宋体"/>
          <w:sz w:val="21"/>
          <w:szCs w:val="21"/>
        </w:rPr>
      </w:pPr>
      <w:r>
        <w:rPr>
          <w:rFonts w:cs="宋体"/>
          <w:kern w:val="0"/>
          <w:sz w:val="21"/>
          <w:szCs w:val="21"/>
        </w:rPr>
        <w:t xml:space="preserve">  H.存在分级代理或代销关系、同一生产制造商关系、</w:t>
      </w:r>
      <w:r>
        <w:rPr>
          <w:rFonts w:cs="宋体"/>
          <w:sz w:val="21"/>
          <w:szCs w:val="21"/>
        </w:rPr>
        <w:t>管理关系、重要业务（占主营业务收入50%以上）或重要财务往来关系（如融资）等其他实质性控制关系</w:t>
      </w:r>
    </w:p>
    <w:p w14:paraId="740CE3EE">
      <w:pPr>
        <w:pStyle w:val="49"/>
        <w:snapToGrid w:val="0"/>
        <w:spacing w:line="500" w:lineRule="exact"/>
        <w:rPr>
          <w:rFonts w:hint="default" w:cs="宋体"/>
          <w:spacing w:val="6"/>
          <w:sz w:val="21"/>
          <w:szCs w:val="21"/>
        </w:rPr>
      </w:pPr>
      <w:r>
        <w:rPr>
          <w:rFonts w:cs="宋体"/>
          <w:sz w:val="21"/>
          <w:szCs w:val="21"/>
        </w:rPr>
        <w:t xml:space="preserve">  I</w:t>
      </w:r>
      <w:r>
        <w:rPr>
          <w:rFonts w:cs="宋体"/>
          <w:kern w:val="0"/>
          <w:sz w:val="21"/>
          <w:szCs w:val="21"/>
        </w:rPr>
        <w:t>.</w:t>
      </w:r>
      <w:r>
        <w:rPr>
          <w:rFonts w:cs="宋体"/>
          <w:sz w:val="21"/>
          <w:szCs w:val="21"/>
        </w:rPr>
        <w:t>其他利害关系情况</w:t>
      </w:r>
      <w:r>
        <w:rPr>
          <w:rFonts w:cs="宋体"/>
          <w:sz w:val="21"/>
          <w:szCs w:val="21"/>
          <w:u w:val="single"/>
        </w:rPr>
        <w:t xml:space="preserve">                              </w:t>
      </w:r>
      <w:r>
        <w:rPr>
          <w:rFonts w:cs="宋体"/>
          <w:kern w:val="0"/>
          <w:sz w:val="21"/>
          <w:szCs w:val="21"/>
        </w:rPr>
        <w:t>。</w:t>
      </w:r>
    </w:p>
    <w:p w14:paraId="1DC1DCDD">
      <w:pPr>
        <w:pStyle w:val="50"/>
        <w:widowControl/>
        <w:numPr>
          <w:ilvl w:val="0"/>
          <w:numId w:val="19"/>
        </w:numPr>
        <w:snapToGrid w:val="0"/>
        <w:spacing w:line="500" w:lineRule="exact"/>
        <w:ind w:firstLine="396" w:firstLineChars="189"/>
        <w:rPr>
          <w:rFonts w:ascii="宋体" w:hAnsi="宋体" w:cs="宋体"/>
          <w:kern w:val="0"/>
          <w:szCs w:val="21"/>
        </w:rPr>
      </w:pPr>
      <w:r>
        <w:rPr>
          <w:rFonts w:hint="eastAsia" w:ascii="宋体" w:hAnsi="宋体" w:cs="宋体"/>
          <w:szCs w:val="21"/>
        </w:rPr>
        <w:t>现已清楚知道并</w:t>
      </w:r>
      <w:r>
        <w:rPr>
          <w:rFonts w:hint="eastAsia" w:ascii="宋体" w:hAnsi="宋体" w:cs="宋体"/>
          <w:kern w:val="0"/>
          <w:szCs w:val="21"/>
        </w:rPr>
        <w:t>严格遵守政府采购法律法规和现场纪律。</w:t>
      </w:r>
    </w:p>
    <w:p w14:paraId="3959F1FE">
      <w:pPr>
        <w:pStyle w:val="50"/>
        <w:widowControl/>
        <w:numPr>
          <w:ilvl w:val="0"/>
          <w:numId w:val="19"/>
        </w:numPr>
        <w:snapToGrid w:val="0"/>
        <w:spacing w:line="500" w:lineRule="exact"/>
        <w:ind w:firstLine="396" w:firstLineChars="189"/>
        <w:rPr>
          <w:rFonts w:ascii="宋体" w:hAnsi="宋体" w:cs="宋体"/>
          <w:kern w:val="0"/>
          <w:szCs w:val="21"/>
        </w:rPr>
      </w:pPr>
      <w:r>
        <w:rPr>
          <w:rFonts w:hint="eastAsia" w:ascii="宋体" w:hAnsi="宋体" w:cs="宋体"/>
          <w:kern w:val="0"/>
          <w:szCs w:val="21"/>
          <w:u w:val="single"/>
        </w:rPr>
        <w:t xml:space="preserve">我发现                    </w:t>
      </w:r>
      <w:r>
        <w:rPr>
          <w:rFonts w:hint="eastAsia" w:ascii="宋体" w:hAnsi="宋体" w:cs="宋体"/>
          <w:kern w:val="0"/>
          <w:szCs w:val="21"/>
        </w:rPr>
        <w:t>供应商之间存在或可能存在上述第二条第</w:t>
      </w:r>
      <w:r>
        <w:rPr>
          <w:rFonts w:hint="eastAsia" w:ascii="宋体" w:hAnsi="宋体" w:cs="宋体"/>
          <w:kern w:val="0"/>
          <w:szCs w:val="21"/>
          <w:u w:val="single"/>
        </w:rPr>
        <w:t xml:space="preserve">        </w:t>
      </w:r>
      <w:r>
        <w:rPr>
          <w:rFonts w:hint="eastAsia" w:ascii="宋体" w:hAnsi="宋体" w:cs="宋体"/>
          <w:kern w:val="0"/>
          <w:szCs w:val="21"/>
        </w:rPr>
        <w:t>项利害关系。</w:t>
      </w:r>
    </w:p>
    <w:p w14:paraId="533ECC0F">
      <w:pPr>
        <w:pStyle w:val="49"/>
        <w:snapToGrid w:val="0"/>
        <w:spacing w:line="500" w:lineRule="exact"/>
        <w:rPr>
          <w:rFonts w:hint="default" w:cs="宋体"/>
          <w:sz w:val="21"/>
          <w:szCs w:val="21"/>
        </w:rPr>
      </w:pPr>
      <w:r>
        <w:rPr>
          <w:rFonts w:cs="宋体"/>
          <w:sz w:val="21"/>
          <w:szCs w:val="21"/>
        </w:rPr>
        <w:t xml:space="preserve">                                        供应商代表签名：</w:t>
      </w:r>
    </w:p>
    <w:p w14:paraId="75E567B5">
      <w:pPr>
        <w:spacing w:after="148" w:afterLines="50" w:line="360" w:lineRule="auto"/>
        <w:jc w:val="center"/>
        <w:rPr>
          <w:b/>
          <w:bCs/>
          <w:color w:val="FF0000"/>
        </w:rPr>
      </w:pPr>
      <w:r>
        <w:rPr>
          <w:rFonts w:hint="eastAsia" w:ascii="宋体" w:hAnsi="宋体" w:cs="宋体"/>
          <w:szCs w:val="21"/>
        </w:rPr>
        <w:t xml:space="preserve">                                       日期：    年   月   日</w:t>
      </w:r>
    </w:p>
    <w:p w14:paraId="6781D469">
      <w:pPr>
        <w:pStyle w:val="10"/>
        <w:spacing w:after="0"/>
        <w:rPr>
          <w:color w:val="FF0000"/>
          <w:sz w:val="18"/>
          <w:szCs w:val="18"/>
        </w:rPr>
      </w:pPr>
      <w:r>
        <w:rPr>
          <w:rFonts w:hint="eastAsia"/>
          <w:color w:val="FF0000"/>
          <w:sz w:val="18"/>
          <w:szCs w:val="18"/>
        </w:rPr>
        <w:t>注：1、本声明书非响应文件的组成内容，无须在响应文件中提供。</w:t>
      </w:r>
    </w:p>
    <w:p w14:paraId="7E3331BA">
      <w:pPr>
        <w:pStyle w:val="10"/>
        <w:spacing w:after="0"/>
      </w:pPr>
      <w:r>
        <w:rPr>
          <w:rFonts w:hint="eastAsia"/>
          <w:color w:val="FF0000"/>
          <w:sz w:val="18"/>
          <w:szCs w:val="18"/>
        </w:rPr>
        <w:t xml:space="preserve">    2、各供应商提前打印本表，待标书件解密结束后，签署完毕后上传至政采云平台。上传途径由采购组织机构发起在线（询标）通知后，供应商按时上传递交。</w:t>
      </w:r>
      <w:bookmarkEnd w:id="42"/>
      <w:bookmarkEnd w:id="144"/>
    </w:p>
    <w:sectPr>
      <w:pgSz w:w="11905" w:h="16838"/>
      <w:pgMar w:top="1417" w:right="1587" w:bottom="1417" w:left="1587" w:header="851" w:footer="992" w:gutter="0"/>
      <w:pgNumType w:fmt="decimal"/>
      <w:cols w:space="720" w:num="1"/>
      <w:docGrid w:type="lines" w:linePitch="29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9DE99">
    <w:pPr>
      <w:pStyle w:val="20"/>
      <w:jc w:val="right"/>
      <w:rPr>
        <w:rFonts w:ascii="宋体" w:hAnsi="宋体" w:cs="宋体"/>
        <w:color w:val="000099"/>
        <w:sz w:val="15"/>
        <w:szCs w:val="15"/>
      </w:rPr>
    </w:pPr>
    <w:r>
      <w:rPr>
        <w:rFonts w:hint="eastAsia"/>
        <w:color w:val="000099"/>
        <w:sz w:val="15"/>
        <w:szCs w:val="15"/>
      </w:rPr>
      <w:t>浙江广利工程</w:t>
    </w:r>
    <w:r>
      <w:rPr>
        <w:rFonts w:hint="eastAsia"/>
        <w:color w:val="000099"/>
        <w:sz w:val="15"/>
        <w:szCs w:val="15"/>
        <w:lang w:eastAsia="zh-CN"/>
      </w:rPr>
      <w:t>咨询有限公司</w:t>
    </w:r>
    <w:r>
      <w:rPr>
        <w:rFonts w:hint="eastAsia" w:ascii="宋体" w:hAnsi="宋体" w:cs="宋体"/>
        <w:color w:val="000099"/>
        <w:sz w:val="15"/>
        <w:szCs w:val="15"/>
      </w:rPr>
      <w:t>仙居县环城北路63号7楼   电话：180677067702898</w:t>
    </w:r>
  </w:p>
  <w:p w14:paraId="1FBA53BF">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AEC57">
                          <w:pPr>
                            <w:pStyle w:val="2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D1AEC57">
                    <w:pPr>
                      <w:pStyle w:val="2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614B4">
    <w:pPr>
      <w:pStyle w:val="25"/>
      <w:framePr w:wrap="around" w:vAnchor="text" w:hAnchor="page" w:x="5897" w:y="97"/>
      <w:rPr>
        <w:rStyle w:val="36"/>
      </w:rPr>
    </w:pPr>
    <w:r>
      <w:fldChar w:fldCharType="begin"/>
    </w:r>
    <w:r>
      <w:rPr>
        <w:rStyle w:val="36"/>
      </w:rPr>
      <w:instrText xml:space="preserve">PAGE  </w:instrText>
    </w:r>
    <w:r>
      <w:fldChar w:fldCharType="separate"/>
    </w:r>
    <w:r>
      <w:rPr>
        <w:rStyle w:val="36"/>
      </w:rPr>
      <w:t>70</w:t>
    </w:r>
    <w:r>
      <w:fldChar w:fldCharType="end"/>
    </w:r>
  </w:p>
  <w:p w14:paraId="4985BBA6">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8F03B">
    <w:pPr>
      <w:pStyle w:val="22"/>
      <w:pBdr>
        <w:bottom w:val="single" w:color="auto" w:sz="4" w:space="1"/>
      </w:pBdr>
      <w:jc w:val="right"/>
      <w:rPr>
        <w:rFonts w:ascii="宋体" w:hAnsi="宋体" w:cs="宋体"/>
      </w:rPr>
    </w:pPr>
  </w:p>
  <w:p w14:paraId="721886FE">
    <w:pPr>
      <w:pStyle w:val="22"/>
      <w:pBdr>
        <w:bottom w:val="single" w:color="auto" w:sz="4" w:space="1"/>
      </w:pBdr>
      <w:jc w:val="right"/>
      <w:rPr>
        <w:rFonts w:ascii="宋体" w:hAnsi="宋体" w:cs="宋体"/>
      </w:rPr>
    </w:pPr>
    <w:r>
      <w:rPr>
        <w:rFonts w:hint="eastAsia" w:ascii="宋体" w:hAnsi="宋体" w:cs="宋体"/>
        <w:lang w:eastAsia="zh-CN"/>
      </w:rPr>
      <w:t>台州市仙居县浙南山地生态系统综合治理及生物多样性保护项目（淡竹乡）</w:t>
    </w:r>
    <w:r>
      <w:rPr>
        <w:rFonts w:hint="eastAsia" w:ascii="宋体" w:hAnsi="宋体" w:cs="宋体"/>
      </w:rPr>
      <w:t>-采购文件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D6ADD">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95851"/>
    <w:multiLevelType w:val="multilevel"/>
    <w:tmpl w:val="83D95851"/>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969A19AE"/>
    <w:multiLevelType w:val="singleLevel"/>
    <w:tmpl w:val="969A19AE"/>
    <w:lvl w:ilvl="0" w:tentative="0">
      <w:start w:val="1"/>
      <w:numFmt w:val="decimal"/>
      <w:suff w:val="nothing"/>
      <w:lvlText w:val="（%1）"/>
      <w:lvlJc w:val="left"/>
    </w:lvl>
  </w:abstractNum>
  <w:abstractNum w:abstractNumId="2">
    <w:nsid w:val="A807E937"/>
    <w:multiLevelType w:val="singleLevel"/>
    <w:tmpl w:val="A807E937"/>
    <w:lvl w:ilvl="0" w:tentative="0">
      <w:start w:val="1"/>
      <w:numFmt w:val="decimal"/>
      <w:suff w:val="nothing"/>
      <w:lvlText w:val="（%1）"/>
      <w:lvlJc w:val="left"/>
    </w:lvl>
  </w:abstractNum>
  <w:abstractNum w:abstractNumId="3">
    <w:nsid w:val="ABC67BF2"/>
    <w:multiLevelType w:val="singleLevel"/>
    <w:tmpl w:val="ABC67BF2"/>
    <w:lvl w:ilvl="0" w:tentative="0">
      <w:start w:val="6"/>
      <w:numFmt w:val="chineseCounting"/>
      <w:suff w:val="nothing"/>
      <w:lvlText w:val="%1、"/>
      <w:lvlJc w:val="left"/>
      <w:rPr>
        <w:rFonts w:hint="eastAsia"/>
      </w:rPr>
    </w:lvl>
  </w:abstractNum>
  <w:abstractNum w:abstractNumId="4">
    <w:nsid w:val="C29A69D4"/>
    <w:multiLevelType w:val="multilevel"/>
    <w:tmpl w:val="C29A69D4"/>
    <w:lvl w:ilvl="0" w:tentative="0">
      <w:start w:val="1"/>
      <w:numFmt w:val="decimal"/>
      <w:suff w:val="space"/>
      <w:lvlText w:val="%1."/>
      <w:lvlJc w:val="center"/>
      <w:pPr>
        <w:tabs>
          <w:tab w:val="left" w:pos="0"/>
        </w:tabs>
        <w:ind w:left="425" w:hanging="425"/>
      </w:pPr>
      <w:rPr>
        <w:rFonts w:hint="eastAsia"/>
      </w:rPr>
    </w:lvl>
    <w:lvl w:ilvl="1" w:tentative="0">
      <w:start w:val="1"/>
      <w:numFmt w:val="decimal"/>
      <w:suff w:val="space"/>
      <w:lvlText w:val="%1.%2"/>
      <w:lvlJc w:val="left"/>
      <w:pPr>
        <w:tabs>
          <w:tab w:val="left" w:pos="0"/>
        </w:tabs>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DCAA9869"/>
    <w:multiLevelType w:val="singleLevel"/>
    <w:tmpl w:val="DCAA9869"/>
    <w:lvl w:ilvl="0" w:tentative="0">
      <w:start w:val="1"/>
      <w:numFmt w:val="decimal"/>
      <w:suff w:val="nothing"/>
      <w:lvlText w:val="（%1）"/>
      <w:lvlJc w:val="left"/>
    </w:lvl>
  </w:abstractNum>
  <w:abstractNum w:abstractNumId="6">
    <w:nsid w:val="E569491F"/>
    <w:multiLevelType w:val="multilevel"/>
    <w:tmpl w:val="E569491F"/>
    <w:lvl w:ilvl="0" w:tentative="0">
      <w:start w:val="1"/>
      <w:numFmt w:val="chineseCountingThousand"/>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E77D8556"/>
    <w:multiLevelType w:val="singleLevel"/>
    <w:tmpl w:val="E77D8556"/>
    <w:lvl w:ilvl="0" w:tentative="0">
      <w:start w:val="5"/>
      <w:numFmt w:val="chineseCounting"/>
      <w:suff w:val="nothing"/>
      <w:lvlText w:val="（%1）"/>
      <w:lvlJc w:val="left"/>
      <w:rPr>
        <w:rFonts w:hint="eastAsia"/>
      </w:rPr>
    </w:lvl>
  </w:abstractNum>
  <w:abstractNum w:abstractNumId="8">
    <w:nsid w:val="1705CBD3"/>
    <w:multiLevelType w:val="singleLevel"/>
    <w:tmpl w:val="1705CBD3"/>
    <w:lvl w:ilvl="0" w:tentative="0">
      <w:start w:val="1"/>
      <w:numFmt w:val="decimal"/>
      <w:suff w:val="space"/>
      <w:lvlText w:val="%1."/>
      <w:lvlJc w:val="left"/>
    </w:lvl>
  </w:abstractNum>
  <w:abstractNum w:abstractNumId="9">
    <w:nsid w:val="371F5A95"/>
    <w:multiLevelType w:val="multilevel"/>
    <w:tmpl w:val="371F5A95"/>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EAC3C66"/>
    <w:multiLevelType w:val="singleLevel"/>
    <w:tmpl w:val="3EAC3C66"/>
    <w:lvl w:ilvl="0" w:tentative="0">
      <w:start w:val="1"/>
      <w:numFmt w:val="decimal"/>
      <w:suff w:val="nothing"/>
      <w:lvlText w:val="（%1）"/>
      <w:lvlJc w:val="left"/>
    </w:lvl>
  </w:abstractNum>
  <w:abstractNum w:abstractNumId="11">
    <w:nsid w:val="4168066A"/>
    <w:multiLevelType w:val="singleLevel"/>
    <w:tmpl w:val="4168066A"/>
    <w:lvl w:ilvl="0" w:tentative="0">
      <w:start w:val="1"/>
      <w:numFmt w:val="chineseCounting"/>
      <w:suff w:val="nothing"/>
      <w:lvlText w:val="%1、"/>
      <w:lvlJc w:val="left"/>
      <w:pPr>
        <w:ind w:left="0" w:firstLine="420"/>
      </w:pPr>
      <w:rPr>
        <w:rFonts w:hint="eastAsia"/>
      </w:rPr>
    </w:lvl>
  </w:abstractNum>
  <w:abstractNum w:abstractNumId="12">
    <w:nsid w:val="4CD1834A"/>
    <w:multiLevelType w:val="singleLevel"/>
    <w:tmpl w:val="4CD1834A"/>
    <w:lvl w:ilvl="0" w:tentative="0">
      <w:start w:val="2"/>
      <w:numFmt w:val="decimal"/>
      <w:suff w:val="nothing"/>
      <w:lvlText w:val="%1、"/>
      <w:lvlJc w:val="left"/>
    </w:lvl>
  </w:abstractNum>
  <w:abstractNum w:abstractNumId="13">
    <w:nsid w:val="54F403B5"/>
    <w:multiLevelType w:val="singleLevel"/>
    <w:tmpl w:val="54F403B5"/>
    <w:lvl w:ilvl="0" w:tentative="0">
      <w:start w:val="1"/>
      <w:numFmt w:val="chineseCounting"/>
      <w:suff w:val="nothing"/>
      <w:lvlText w:val="%1、"/>
      <w:lvlJc w:val="left"/>
      <w:rPr>
        <w:rFonts w:cs="Times New Roman"/>
      </w:rPr>
    </w:lvl>
  </w:abstractNum>
  <w:abstractNum w:abstractNumId="14">
    <w:nsid w:val="557FD3DA"/>
    <w:multiLevelType w:val="singleLevel"/>
    <w:tmpl w:val="557FD3DA"/>
    <w:lvl w:ilvl="0" w:tentative="0">
      <w:start w:val="3"/>
      <w:numFmt w:val="chineseCounting"/>
      <w:suff w:val="nothing"/>
      <w:lvlText w:val="%1、"/>
      <w:lvlJc w:val="left"/>
      <w:rPr>
        <w:rFonts w:cs="Times New Roman"/>
      </w:rPr>
    </w:lvl>
  </w:abstractNum>
  <w:abstractNum w:abstractNumId="15">
    <w:nsid w:val="591A6E74"/>
    <w:multiLevelType w:val="singleLevel"/>
    <w:tmpl w:val="591A6E74"/>
    <w:lvl w:ilvl="0" w:tentative="0">
      <w:start w:val="6"/>
      <w:numFmt w:val="chineseCounting"/>
      <w:suff w:val="nothing"/>
      <w:lvlText w:val="%1、"/>
      <w:lvlJc w:val="left"/>
    </w:lvl>
  </w:abstractNum>
  <w:abstractNum w:abstractNumId="16">
    <w:nsid w:val="5A205BE0"/>
    <w:multiLevelType w:val="singleLevel"/>
    <w:tmpl w:val="5A205BE0"/>
    <w:lvl w:ilvl="0" w:tentative="0">
      <w:start w:val="1"/>
      <w:numFmt w:val="decimal"/>
      <w:suff w:val="space"/>
      <w:lvlText w:val="%1."/>
      <w:lvlJc w:val="left"/>
    </w:lvl>
  </w:abstractNum>
  <w:abstractNum w:abstractNumId="17">
    <w:nsid w:val="5F6D8940"/>
    <w:multiLevelType w:val="singleLevel"/>
    <w:tmpl w:val="5F6D8940"/>
    <w:lvl w:ilvl="0" w:tentative="0">
      <w:start w:val="1"/>
      <w:numFmt w:val="decimal"/>
      <w:suff w:val="nothing"/>
      <w:lvlText w:val="（%1）"/>
      <w:lvlJc w:val="left"/>
    </w:lvl>
  </w:abstractNum>
  <w:abstractNum w:abstractNumId="18">
    <w:nsid w:val="65BE188B"/>
    <w:multiLevelType w:val="multilevel"/>
    <w:tmpl w:val="65BE188B"/>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lvlOverride w:ilvl="0">
      <w:lvl w:ilvl="0" w:tentative="1">
        <w:start w:val="1"/>
        <w:numFmt w:val="chineseCountingThousand"/>
        <w:suff w:val="space"/>
        <w:lvlText w:val="%1、"/>
        <w:lvlJc w:val="left"/>
        <w:pPr>
          <w:ind w:left="420" w:hanging="420"/>
        </w:pPr>
      </w:lvl>
    </w:lvlOverride>
    <w:lvlOverride w:ilvl="1">
      <w:lvl w:ilvl="1" w:tentative="1">
        <w:start w:val="1"/>
        <w:numFmt w:val="lowerLetter"/>
        <w:lvlRestart w:val="0"/>
        <w:lvlText w:val="%2)"/>
        <w:lvlJc w:val="left"/>
        <w:pPr>
          <w:ind w:left="840" w:hanging="420"/>
        </w:pPr>
      </w:lvl>
    </w:lvlOverride>
    <w:lvlOverride w:ilvl="2">
      <w:lvl w:ilvl="2" w:tentative="1">
        <w:start w:val="1"/>
        <w:numFmt w:val="lowerRoman"/>
        <w:lvlRestart w:val="0"/>
        <w:lvlText w:val="%3."/>
        <w:lvlJc w:val="right"/>
        <w:pPr>
          <w:ind w:left="1260" w:hanging="420"/>
        </w:pPr>
      </w:lvl>
    </w:lvlOverride>
    <w:lvlOverride w:ilvl="3">
      <w:lvl w:ilvl="3" w:tentative="1">
        <w:start w:val="1"/>
        <w:numFmt w:val="decimal"/>
        <w:lvlRestart w:val="0"/>
        <w:lvlText w:val="%4."/>
        <w:lvlJc w:val="left"/>
        <w:pPr>
          <w:ind w:left="1680" w:hanging="420"/>
        </w:pPr>
      </w:lvl>
    </w:lvlOverride>
    <w:lvlOverride w:ilvl="4">
      <w:lvl w:ilvl="4" w:tentative="1">
        <w:start w:val="1"/>
        <w:numFmt w:val="lowerLetter"/>
        <w:lvlRestart w:val="0"/>
        <w:lvlText w:val="%5)"/>
        <w:lvlJc w:val="left"/>
        <w:pPr>
          <w:ind w:left="2100" w:hanging="420"/>
        </w:pPr>
      </w:lvl>
    </w:lvlOverride>
    <w:lvlOverride w:ilvl="5">
      <w:lvl w:ilvl="5" w:tentative="1">
        <w:start w:val="1"/>
        <w:numFmt w:val="lowerRoman"/>
        <w:lvlRestart w:val="0"/>
        <w:lvlText w:val="%6."/>
        <w:lvlJc w:val="right"/>
        <w:pPr>
          <w:ind w:left="2520" w:hanging="420"/>
        </w:pPr>
      </w:lvl>
    </w:lvlOverride>
    <w:lvlOverride w:ilvl="6">
      <w:lvl w:ilvl="6" w:tentative="1">
        <w:start w:val="1"/>
        <w:numFmt w:val="decimal"/>
        <w:lvlRestart w:val="0"/>
        <w:lvlText w:val="%7."/>
        <w:lvlJc w:val="left"/>
        <w:pPr>
          <w:ind w:left="2940" w:hanging="420"/>
        </w:pPr>
      </w:lvl>
    </w:lvlOverride>
    <w:lvlOverride w:ilvl="7">
      <w:lvl w:ilvl="7" w:tentative="1">
        <w:start w:val="1"/>
        <w:numFmt w:val="lowerLetter"/>
        <w:lvlRestart w:val="0"/>
        <w:lvlText w:val="%8)"/>
        <w:lvlJc w:val="left"/>
        <w:pPr>
          <w:ind w:left="3360" w:hanging="420"/>
        </w:pPr>
      </w:lvl>
    </w:lvlOverride>
    <w:lvlOverride w:ilvl="8">
      <w:lvl w:ilvl="8" w:tentative="1">
        <w:start w:val="1"/>
        <w:numFmt w:val="lowerRoman"/>
        <w:lvlRestart w:val="0"/>
        <w:lvlText w:val="%9."/>
        <w:lvlJc w:val="right"/>
        <w:pPr>
          <w:ind w:left="3780" w:hanging="420"/>
        </w:pPr>
      </w:lvl>
    </w:lvlOverride>
  </w:num>
  <w:num w:numId="2">
    <w:abstractNumId w:val="3"/>
  </w:num>
  <w:num w:numId="3">
    <w:abstractNumId w:val="7"/>
  </w:num>
  <w:num w:numId="4">
    <w:abstractNumId w:val="4"/>
  </w:num>
  <w:num w:numId="5">
    <w:abstractNumId w:val="2"/>
  </w:num>
  <w:num w:numId="6">
    <w:abstractNumId w:val="0"/>
  </w:num>
  <w:num w:numId="7">
    <w:abstractNumId w:val="18"/>
  </w:num>
  <w:num w:numId="8">
    <w:abstractNumId w:val="9"/>
  </w:num>
  <w:num w:numId="9">
    <w:abstractNumId w:val="5"/>
  </w:num>
  <w:num w:numId="10">
    <w:abstractNumId w:val="10"/>
  </w:num>
  <w:num w:numId="11">
    <w:abstractNumId w:val="11"/>
  </w:num>
  <w:num w:numId="12">
    <w:abstractNumId w:val="17"/>
  </w:num>
  <w:num w:numId="13">
    <w:abstractNumId w:val="15"/>
  </w:num>
  <w:num w:numId="14">
    <w:abstractNumId w:val="8"/>
  </w:num>
  <w:num w:numId="15">
    <w:abstractNumId w:val="16"/>
  </w:num>
  <w:num w:numId="16">
    <w:abstractNumId w:val="1"/>
  </w:num>
  <w:num w:numId="17">
    <w:abstractNumId w:val="12"/>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0NGU0NjU4MjIzY2NkNTQzOWFlN2E4MzUzZDI5NTgifQ=="/>
  </w:docVars>
  <w:rsids>
    <w:rsidRoot w:val="5A135A05"/>
    <w:rsid w:val="000B4DA8"/>
    <w:rsid w:val="001B2778"/>
    <w:rsid w:val="002821F6"/>
    <w:rsid w:val="004B096E"/>
    <w:rsid w:val="006115EB"/>
    <w:rsid w:val="00671FDF"/>
    <w:rsid w:val="00684831"/>
    <w:rsid w:val="006F0027"/>
    <w:rsid w:val="00753810"/>
    <w:rsid w:val="007D53A6"/>
    <w:rsid w:val="00876819"/>
    <w:rsid w:val="009F447C"/>
    <w:rsid w:val="009F61A0"/>
    <w:rsid w:val="009F6E2D"/>
    <w:rsid w:val="00A86244"/>
    <w:rsid w:val="00AA5E84"/>
    <w:rsid w:val="00AB327B"/>
    <w:rsid w:val="00AE7297"/>
    <w:rsid w:val="00BE1545"/>
    <w:rsid w:val="00D074CA"/>
    <w:rsid w:val="00D41750"/>
    <w:rsid w:val="00E019EA"/>
    <w:rsid w:val="00EB21CE"/>
    <w:rsid w:val="00F05314"/>
    <w:rsid w:val="00FC6C5A"/>
    <w:rsid w:val="011B013A"/>
    <w:rsid w:val="0123584C"/>
    <w:rsid w:val="01347A59"/>
    <w:rsid w:val="01766C70"/>
    <w:rsid w:val="017B5688"/>
    <w:rsid w:val="01960BF8"/>
    <w:rsid w:val="01A57A79"/>
    <w:rsid w:val="01CE78F9"/>
    <w:rsid w:val="01D4402A"/>
    <w:rsid w:val="01E202A3"/>
    <w:rsid w:val="01E23011"/>
    <w:rsid w:val="01F42D45"/>
    <w:rsid w:val="02233B24"/>
    <w:rsid w:val="02662A7A"/>
    <w:rsid w:val="02820350"/>
    <w:rsid w:val="02B04EBD"/>
    <w:rsid w:val="02C32E43"/>
    <w:rsid w:val="02DA7F65"/>
    <w:rsid w:val="02EC16A9"/>
    <w:rsid w:val="02F0175E"/>
    <w:rsid w:val="03012D45"/>
    <w:rsid w:val="03084030"/>
    <w:rsid w:val="030D40BE"/>
    <w:rsid w:val="03232B43"/>
    <w:rsid w:val="03280EF8"/>
    <w:rsid w:val="03546BF3"/>
    <w:rsid w:val="03561F09"/>
    <w:rsid w:val="03885EBA"/>
    <w:rsid w:val="03990047"/>
    <w:rsid w:val="03B95FF4"/>
    <w:rsid w:val="03BB41F9"/>
    <w:rsid w:val="03C86237"/>
    <w:rsid w:val="03C93EF2"/>
    <w:rsid w:val="03DC3FEC"/>
    <w:rsid w:val="03DD7F34"/>
    <w:rsid w:val="03E5503B"/>
    <w:rsid w:val="03E662ED"/>
    <w:rsid w:val="04472DF8"/>
    <w:rsid w:val="04561A95"/>
    <w:rsid w:val="04587485"/>
    <w:rsid w:val="04610B65"/>
    <w:rsid w:val="0487744A"/>
    <w:rsid w:val="048E396E"/>
    <w:rsid w:val="04C8107D"/>
    <w:rsid w:val="04CC71F8"/>
    <w:rsid w:val="04ED064B"/>
    <w:rsid w:val="05391C88"/>
    <w:rsid w:val="053E7F1C"/>
    <w:rsid w:val="057C552B"/>
    <w:rsid w:val="05F257ED"/>
    <w:rsid w:val="06317000"/>
    <w:rsid w:val="063B451F"/>
    <w:rsid w:val="065564A8"/>
    <w:rsid w:val="06651825"/>
    <w:rsid w:val="06654A60"/>
    <w:rsid w:val="068614B2"/>
    <w:rsid w:val="06922992"/>
    <w:rsid w:val="069D1BFD"/>
    <w:rsid w:val="06B75E22"/>
    <w:rsid w:val="06C158EB"/>
    <w:rsid w:val="06D32584"/>
    <w:rsid w:val="06DA075B"/>
    <w:rsid w:val="070677A2"/>
    <w:rsid w:val="071A324D"/>
    <w:rsid w:val="073C7FDB"/>
    <w:rsid w:val="077147B1"/>
    <w:rsid w:val="0776197B"/>
    <w:rsid w:val="07795BA7"/>
    <w:rsid w:val="077F7DAE"/>
    <w:rsid w:val="07990201"/>
    <w:rsid w:val="07A04665"/>
    <w:rsid w:val="07A92999"/>
    <w:rsid w:val="07BD7771"/>
    <w:rsid w:val="07C03DF5"/>
    <w:rsid w:val="07CD206E"/>
    <w:rsid w:val="07D23B28"/>
    <w:rsid w:val="07E55609"/>
    <w:rsid w:val="07FC0BA5"/>
    <w:rsid w:val="08173232"/>
    <w:rsid w:val="08277056"/>
    <w:rsid w:val="082A3964"/>
    <w:rsid w:val="082A6CC4"/>
    <w:rsid w:val="08602EE2"/>
    <w:rsid w:val="08634780"/>
    <w:rsid w:val="086A1FB2"/>
    <w:rsid w:val="08A13C26"/>
    <w:rsid w:val="08C6543B"/>
    <w:rsid w:val="08D67572"/>
    <w:rsid w:val="08F04266"/>
    <w:rsid w:val="0902043D"/>
    <w:rsid w:val="090E0B90"/>
    <w:rsid w:val="090F4EB6"/>
    <w:rsid w:val="09271C52"/>
    <w:rsid w:val="09496D37"/>
    <w:rsid w:val="094E5A0C"/>
    <w:rsid w:val="095C5D9F"/>
    <w:rsid w:val="098B0432"/>
    <w:rsid w:val="098F7F23"/>
    <w:rsid w:val="09905A49"/>
    <w:rsid w:val="09C23374"/>
    <w:rsid w:val="09D8054E"/>
    <w:rsid w:val="09D83A6D"/>
    <w:rsid w:val="09D9302B"/>
    <w:rsid w:val="09ED69F7"/>
    <w:rsid w:val="09EE3789"/>
    <w:rsid w:val="0A03621B"/>
    <w:rsid w:val="0A8D3D36"/>
    <w:rsid w:val="0A923371"/>
    <w:rsid w:val="0A943317"/>
    <w:rsid w:val="0A9805B1"/>
    <w:rsid w:val="0AB67731"/>
    <w:rsid w:val="0ACF3715"/>
    <w:rsid w:val="0AF3003D"/>
    <w:rsid w:val="0B362885"/>
    <w:rsid w:val="0B372620"/>
    <w:rsid w:val="0B494101"/>
    <w:rsid w:val="0B920297"/>
    <w:rsid w:val="0B970E43"/>
    <w:rsid w:val="0B9E1E32"/>
    <w:rsid w:val="0BDF6813"/>
    <w:rsid w:val="0BEB340A"/>
    <w:rsid w:val="0BF00B65"/>
    <w:rsid w:val="0BFE313E"/>
    <w:rsid w:val="0C004AA5"/>
    <w:rsid w:val="0C1A784C"/>
    <w:rsid w:val="0C1B3CF0"/>
    <w:rsid w:val="0C34046E"/>
    <w:rsid w:val="0C4843B9"/>
    <w:rsid w:val="0C564D28"/>
    <w:rsid w:val="0C582030"/>
    <w:rsid w:val="0C5C1C12"/>
    <w:rsid w:val="0C9870EE"/>
    <w:rsid w:val="0CC90DD1"/>
    <w:rsid w:val="0CCC4FB6"/>
    <w:rsid w:val="0CE021D4"/>
    <w:rsid w:val="0CEC5F94"/>
    <w:rsid w:val="0D093B48"/>
    <w:rsid w:val="0D2210AE"/>
    <w:rsid w:val="0D35035F"/>
    <w:rsid w:val="0D4A5F0F"/>
    <w:rsid w:val="0D5C50BE"/>
    <w:rsid w:val="0D613984"/>
    <w:rsid w:val="0D6276EC"/>
    <w:rsid w:val="0D674D12"/>
    <w:rsid w:val="0D725B91"/>
    <w:rsid w:val="0D7C0716"/>
    <w:rsid w:val="0D8256A8"/>
    <w:rsid w:val="0D8853B5"/>
    <w:rsid w:val="0D9773A6"/>
    <w:rsid w:val="0DA675E9"/>
    <w:rsid w:val="0DAD4070"/>
    <w:rsid w:val="0DBF27B3"/>
    <w:rsid w:val="0DC87621"/>
    <w:rsid w:val="0DD51C7C"/>
    <w:rsid w:val="0DEE4B1B"/>
    <w:rsid w:val="0DF100CC"/>
    <w:rsid w:val="0E0F340D"/>
    <w:rsid w:val="0E1924B1"/>
    <w:rsid w:val="0E534B9F"/>
    <w:rsid w:val="0E686A3B"/>
    <w:rsid w:val="0E8F7AE7"/>
    <w:rsid w:val="0EB61C78"/>
    <w:rsid w:val="0EBB3A12"/>
    <w:rsid w:val="0EBE0ACB"/>
    <w:rsid w:val="0EC57F43"/>
    <w:rsid w:val="0ED70CC9"/>
    <w:rsid w:val="0EE91E83"/>
    <w:rsid w:val="0EEB6DB7"/>
    <w:rsid w:val="0F042B6F"/>
    <w:rsid w:val="0F053294"/>
    <w:rsid w:val="0F19728A"/>
    <w:rsid w:val="0F1A64E0"/>
    <w:rsid w:val="0F263A31"/>
    <w:rsid w:val="0F2918CA"/>
    <w:rsid w:val="0F2A5EAE"/>
    <w:rsid w:val="0F307AB2"/>
    <w:rsid w:val="0F441DE8"/>
    <w:rsid w:val="0F451083"/>
    <w:rsid w:val="0F582B65"/>
    <w:rsid w:val="0F5D017B"/>
    <w:rsid w:val="0F680C0A"/>
    <w:rsid w:val="0F6F3739"/>
    <w:rsid w:val="0F8971C2"/>
    <w:rsid w:val="0F9C6EF5"/>
    <w:rsid w:val="0FA21C1C"/>
    <w:rsid w:val="0FBB04C6"/>
    <w:rsid w:val="0FCC498E"/>
    <w:rsid w:val="0FDC6702"/>
    <w:rsid w:val="105A732D"/>
    <w:rsid w:val="10637A13"/>
    <w:rsid w:val="10771710"/>
    <w:rsid w:val="108365AF"/>
    <w:rsid w:val="108A4FA0"/>
    <w:rsid w:val="10A32505"/>
    <w:rsid w:val="10B335E5"/>
    <w:rsid w:val="10DF7048"/>
    <w:rsid w:val="10E50428"/>
    <w:rsid w:val="10F42D61"/>
    <w:rsid w:val="10FB40F0"/>
    <w:rsid w:val="11032FA4"/>
    <w:rsid w:val="110C11C5"/>
    <w:rsid w:val="11167DF6"/>
    <w:rsid w:val="111E393A"/>
    <w:rsid w:val="113118BF"/>
    <w:rsid w:val="117660A5"/>
    <w:rsid w:val="11825597"/>
    <w:rsid w:val="11AB6BD9"/>
    <w:rsid w:val="11F03528"/>
    <w:rsid w:val="11FF551A"/>
    <w:rsid w:val="12017849"/>
    <w:rsid w:val="121E18AD"/>
    <w:rsid w:val="121F1E63"/>
    <w:rsid w:val="121F3E0E"/>
    <w:rsid w:val="122D652B"/>
    <w:rsid w:val="12601BA1"/>
    <w:rsid w:val="12706417"/>
    <w:rsid w:val="1288104C"/>
    <w:rsid w:val="129B7938"/>
    <w:rsid w:val="12B409FA"/>
    <w:rsid w:val="12B72DB3"/>
    <w:rsid w:val="12CF1390"/>
    <w:rsid w:val="12FA017B"/>
    <w:rsid w:val="13003E71"/>
    <w:rsid w:val="132711CC"/>
    <w:rsid w:val="13431A4F"/>
    <w:rsid w:val="1346151B"/>
    <w:rsid w:val="138E1B40"/>
    <w:rsid w:val="13912AE9"/>
    <w:rsid w:val="13DA623E"/>
    <w:rsid w:val="141259D8"/>
    <w:rsid w:val="14125C6A"/>
    <w:rsid w:val="141602BC"/>
    <w:rsid w:val="1420103F"/>
    <w:rsid w:val="142A7604"/>
    <w:rsid w:val="143C2A55"/>
    <w:rsid w:val="1451004B"/>
    <w:rsid w:val="145E0C1D"/>
    <w:rsid w:val="14603804"/>
    <w:rsid w:val="147026FF"/>
    <w:rsid w:val="149D4B90"/>
    <w:rsid w:val="14CE4FD7"/>
    <w:rsid w:val="14D507B4"/>
    <w:rsid w:val="14D5183F"/>
    <w:rsid w:val="14D640F8"/>
    <w:rsid w:val="14F614AD"/>
    <w:rsid w:val="14FA35B4"/>
    <w:rsid w:val="150B2427"/>
    <w:rsid w:val="15115C90"/>
    <w:rsid w:val="15602773"/>
    <w:rsid w:val="15884E79"/>
    <w:rsid w:val="15B12FCF"/>
    <w:rsid w:val="15B34F99"/>
    <w:rsid w:val="15CB0132"/>
    <w:rsid w:val="15E72E94"/>
    <w:rsid w:val="15FC2B6A"/>
    <w:rsid w:val="160121B4"/>
    <w:rsid w:val="16113A6D"/>
    <w:rsid w:val="16205E44"/>
    <w:rsid w:val="16294BEA"/>
    <w:rsid w:val="164B51D1"/>
    <w:rsid w:val="1650051A"/>
    <w:rsid w:val="16517624"/>
    <w:rsid w:val="16537F7D"/>
    <w:rsid w:val="16611797"/>
    <w:rsid w:val="16661FBB"/>
    <w:rsid w:val="16665843"/>
    <w:rsid w:val="1672275E"/>
    <w:rsid w:val="167E62EF"/>
    <w:rsid w:val="16B07BAF"/>
    <w:rsid w:val="16BC4251"/>
    <w:rsid w:val="16C17241"/>
    <w:rsid w:val="16C31068"/>
    <w:rsid w:val="16C62AAA"/>
    <w:rsid w:val="16D276A1"/>
    <w:rsid w:val="16EA0A0B"/>
    <w:rsid w:val="16EA7BE5"/>
    <w:rsid w:val="16ED1DAE"/>
    <w:rsid w:val="16EF2001"/>
    <w:rsid w:val="16FC296F"/>
    <w:rsid w:val="174F22CC"/>
    <w:rsid w:val="17982698"/>
    <w:rsid w:val="17AA6F37"/>
    <w:rsid w:val="17E01B36"/>
    <w:rsid w:val="18094D47"/>
    <w:rsid w:val="180A2E6A"/>
    <w:rsid w:val="18223BA0"/>
    <w:rsid w:val="18563119"/>
    <w:rsid w:val="185C36C6"/>
    <w:rsid w:val="1869193F"/>
    <w:rsid w:val="18827918"/>
    <w:rsid w:val="188306BC"/>
    <w:rsid w:val="18B91472"/>
    <w:rsid w:val="18BE1FCB"/>
    <w:rsid w:val="18CB3C55"/>
    <w:rsid w:val="18E83972"/>
    <w:rsid w:val="18EF2C75"/>
    <w:rsid w:val="190B4AAB"/>
    <w:rsid w:val="191C10A7"/>
    <w:rsid w:val="192F2350"/>
    <w:rsid w:val="192F4936"/>
    <w:rsid w:val="19461DFB"/>
    <w:rsid w:val="1973006D"/>
    <w:rsid w:val="19834C82"/>
    <w:rsid w:val="199576CF"/>
    <w:rsid w:val="19AB6C74"/>
    <w:rsid w:val="19B17A41"/>
    <w:rsid w:val="19B57B9A"/>
    <w:rsid w:val="19CA0B03"/>
    <w:rsid w:val="19D51DED"/>
    <w:rsid w:val="19E72434"/>
    <w:rsid w:val="19EA6AAF"/>
    <w:rsid w:val="1A134258"/>
    <w:rsid w:val="1A424B3D"/>
    <w:rsid w:val="1A5160A4"/>
    <w:rsid w:val="1A8727E9"/>
    <w:rsid w:val="1AB01AA7"/>
    <w:rsid w:val="1AB33345"/>
    <w:rsid w:val="1AB578CC"/>
    <w:rsid w:val="1ABD5F72"/>
    <w:rsid w:val="1AE16104"/>
    <w:rsid w:val="1AED7F38"/>
    <w:rsid w:val="1AF21191"/>
    <w:rsid w:val="1AF94EA4"/>
    <w:rsid w:val="1AFD102F"/>
    <w:rsid w:val="1AFD2812"/>
    <w:rsid w:val="1B473137"/>
    <w:rsid w:val="1B483D25"/>
    <w:rsid w:val="1B4F4EDD"/>
    <w:rsid w:val="1B6237FB"/>
    <w:rsid w:val="1B672584"/>
    <w:rsid w:val="1B7374FE"/>
    <w:rsid w:val="1B7C5E2D"/>
    <w:rsid w:val="1B915731"/>
    <w:rsid w:val="1B9B6A8A"/>
    <w:rsid w:val="1BAF566F"/>
    <w:rsid w:val="1BF4474B"/>
    <w:rsid w:val="1C02002B"/>
    <w:rsid w:val="1C22234B"/>
    <w:rsid w:val="1C413713"/>
    <w:rsid w:val="1C5803F8"/>
    <w:rsid w:val="1C7865F4"/>
    <w:rsid w:val="1CA95615"/>
    <w:rsid w:val="1CA96A4D"/>
    <w:rsid w:val="1CC41428"/>
    <w:rsid w:val="1D0B4F98"/>
    <w:rsid w:val="1D33076D"/>
    <w:rsid w:val="1D5B1A68"/>
    <w:rsid w:val="1D752371"/>
    <w:rsid w:val="1D76400B"/>
    <w:rsid w:val="1D862F93"/>
    <w:rsid w:val="1D994A74"/>
    <w:rsid w:val="1DA149A3"/>
    <w:rsid w:val="1DBE097F"/>
    <w:rsid w:val="1DD71A40"/>
    <w:rsid w:val="1E12731B"/>
    <w:rsid w:val="1E181BDB"/>
    <w:rsid w:val="1E2E5632"/>
    <w:rsid w:val="1E390B4D"/>
    <w:rsid w:val="1E3D7AF5"/>
    <w:rsid w:val="1E4F496B"/>
    <w:rsid w:val="1E6A4663"/>
    <w:rsid w:val="1E8277F9"/>
    <w:rsid w:val="1E8411D7"/>
    <w:rsid w:val="1EB15EC8"/>
    <w:rsid w:val="1EBF061E"/>
    <w:rsid w:val="1EC24504"/>
    <w:rsid w:val="1EC26DF6"/>
    <w:rsid w:val="1F4849A4"/>
    <w:rsid w:val="1F511C17"/>
    <w:rsid w:val="1F630954"/>
    <w:rsid w:val="1F7A36E2"/>
    <w:rsid w:val="1F8D1B58"/>
    <w:rsid w:val="1F903C55"/>
    <w:rsid w:val="1FB7378B"/>
    <w:rsid w:val="1FD23E4F"/>
    <w:rsid w:val="1FF9734B"/>
    <w:rsid w:val="200224D8"/>
    <w:rsid w:val="200A0E90"/>
    <w:rsid w:val="200C3C23"/>
    <w:rsid w:val="20104A4D"/>
    <w:rsid w:val="20235623"/>
    <w:rsid w:val="205E1FA5"/>
    <w:rsid w:val="20784E15"/>
    <w:rsid w:val="20831A0C"/>
    <w:rsid w:val="20C07D28"/>
    <w:rsid w:val="20E26732"/>
    <w:rsid w:val="20E833E5"/>
    <w:rsid w:val="20F070A1"/>
    <w:rsid w:val="20F957B1"/>
    <w:rsid w:val="20FD2D5C"/>
    <w:rsid w:val="21150CB8"/>
    <w:rsid w:val="21155C47"/>
    <w:rsid w:val="211B39F2"/>
    <w:rsid w:val="21290151"/>
    <w:rsid w:val="213A656E"/>
    <w:rsid w:val="213D605E"/>
    <w:rsid w:val="21535882"/>
    <w:rsid w:val="21661A3B"/>
    <w:rsid w:val="21715D2F"/>
    <w:rsid w:val="21792A9A"/>
    <w:rsid w:val="21BD027C"/>
    <w:rsid w:val="21BF0821"/>
    <w:rsid w:val="21C5597E"/>
    <w:rsid w:val="21F5395B"/>
    <w:rsid w:val="2246271F"/>
    <w:rsid w:val="22576CAC"/>
    <w:rsid w:val="22726914"/>
    <w:rsid w:val="227E692E"/>
    <w:rsid w:val="228829BB"/>
    <w:rsid w:val="22893834"/>
    <w:rsid w:val="228D7546"/>
    <w:rsid w:val="229121BE"/>
    <w:rsid w:val="22AC349C"/>
    <w:rsid w:val="22C97BBF"/>
    <w:rsid w:val="22E63B6F"/>
    <w:rsid w:val="22F917D2"/>
    <w:rsid w:val="2302130E"/>
    <w:rsid w:val="23333C83"/>
    <w:rsid w:val="2340234F"/>
    <w:rsid w:val="234E7D22"/>
    <w:rsid w:val="23515DF1"/>
    <w:rsid w:val="237D2740"/>
    <w:rsid w:val="239D3B02"/>
    <w:rsid w:val="23B646A9"/>
    <w:rsid w:val="23B95E70"/>
    <w:rsid w:val="23BC14BC"/>
    <w:rsid w:val="23EC3D11"/>
    <w:rsid w:val="242B6642"/>
    <w:rsid w:val="242E0CD7"/>
    <w:rsid w:val="244871F4"/>
    <w:rsid w:val="246D4199"/>
    <w:rsid w:val="24764C2E"/>
    <w:rsid w:val="24AA3A0B"/>
    <w:rsid w:val="24AC1531"/>
    <w:rsid w:val="24BA535F"/>
    <w:rsid w:val="24BB11DE"/>
    <w:rsid w:val="24C74DF4"/>
    <w:rsid w:val="24C90110"/>
    <w:rsid w:val="24CD14A7"/>
    <w:rsid w:val="24D32F62"/>
    <w:rsid w:val="24EC4023"/>
    <w:rsid w:val="24EF141E"/>
    <w:rsid w:val="252B6457"/>
    <w:rsid w:val="2563786A"/>
    <w:rsid w:val="259C37F0"/>
    <w:rsid w:val="25DB056B"/>
    <w:rsid w:val="25DC4098"/>
    <w:rsid w:val="263E265D"/>
    <w:rsid w:val="264137C8"/>
    <w:rsid w:val="264A1001"/>
    <w:rsid w:val="26555BF8"/>
    <w:rsid w:val="26612E05"/>
    <w:rsid w:val="2673294D"/>
    <w:rsid w:val="2685203A"/>
    <w:rsid w:val="26887965"/>
    <w:rsid w:val="26A30712"/>
    <w:rsid w:val="26A64D3D"/>
    <w:rsid w:val="26B665B8"/>
    <w:rsid w:val="26CC5EBA"/>
    <w:rsid w:val="26D63D39"/>
    <w:rsid w:val="26E36166"/>
    <w:rsid w:val="2707493A"/>
    <w:rsid w:val="270F24F9"/>
    <w:rsid w:val="270F7B55"/>
    <w:rsid w:val="272F6449"/>
    <w:rsid w:val="2739158C"/>
    <w:rsid w:val="273E043A"/>
    <w:rsid w:val="276E51C4"/>
    <w:rsid w:val="27873B8F"/>
    <w:rsid w:val="278A3680"/>
    <w:rsid w:val="27BE3550"/>
    <w:rsid w:val="27C76682"/>
    <w:rsid w:val="27E2170E"/>
    <w:rsid w:val="27F0320C"/>
    <w:rsid w:val="27F8683B"/>
    <w:rsid w:val="281E1EFD"/>
    <w:rsid w:val="28225AA8"/>
    <w:rsid w:val="28302A61"/>
    <w:rsid w:val="283852AB"/>
    <w:rsid w:val="284101E2"/>
    <w:rsid w:val="28436CDD"/>
    <w:rsid w:val="28686379"/>
    <w:rsid w:val="287F1449"/>
    <w:rsid w:val="28852586"/>
    <w:rsid w:val="28DC0C29"/>
    <w:rsid w:val="28E53263"/>
    <w:rsid w:val="28E65517"/>
    <w:rsid w:val="292A19FE"/>
    <w:rsid w:val="298F4F7D"/>
    <w:rsid w:val="29C56BF1"/>
    <w:rsid w:val="29DF4157"/>
    <w:rsid w:val="29E61678"/>
    <w:rsid w:val="2A04596B"/>
    <w:rsid w:val="2A0E67EA"/>
    <w:rsid w:val="2A3C5105"/>
    <w:rsid w:val="2A594CE9"/>
    <w:rsid w:val="2A66694D"/>
    <w:rsid w:val="2A7F1496"/>
    <w:rsid w:val="2AA16847"/>
    <w:rsid w:val="2AA669D3"/>
    <w:rsid w:val="2ADF07C0"/>
    <w:rsid w:val="2AEB3E2E"/>
    <w:rsid w:val="2AFD022A"/>
    <w:rsid w:val="2B053749"/>
    <w:rsid w:val="2B13630C"/>
    <w:rsid w:val="2B1E2A5D"/>
    <w:rsid w:val="2B3265D2"/>
    <w:rsid w:val="2B3F1B5C"/>
    <w:rsid w:val="2B4C0DE1"/>
    <w:rsid w:val="2B6F2C13"/>
    <w:rsid w:val="2B8A339E"/>
    <w:rsid w:val="2BB263D1"/>
    <w:rsid w:val="2BB55F27"/>
    <w:rsid w:val="2BE94A4C"/>
    <w:rsid w:val="2BEE68D3"/>
    <w:rsid w:val="2C136339"/>
    <w:rsid w:val="2C7F5513"/>
    <w:rsid w:val="2CE10D2D"/>
    <w:rsid w:val="2CFD5C4F"/>
    <w:rsid w:val="2D031489"/>
    <w:rsid w:val="2D122D03"/>
    <w:rsid w:val="2D297497"/>
    <w:rsid w:val="2D2C1F30"/>
    <w:rsid w:val="2D2F4DAB"/>
    <w:rsid w:val="2D5C5ABE"/>
    <w:rsid w:val="2D79500B"/>
    <w:rsid w:val="2D856DC3"/>
    <w:rsid w:val="2D880661"/>
    <w:rsid w:val="2D9C5EBB"/>
    <w:rsid w:val="2DB3174E"/>
    <w:rsid w:val="2DF301D1"/>
    <w:rsid w:val="2E206AEC"/>
    <w:rsid w:val="2E232138"/>
    <w:rsid w:val="2E4D2271"/>
    <w:rsid w:val="2E620EB2"/>
    <w:rsid w:val="2E627104"/>
    <w:rsid w:val="2E9207B3"/>
    <w:rsid w:val="2EA96910"/>
    <w:rsid w:val="2EC97183"/>
    <w:rsid w:val="2EE26E88"/>
    <w:rsid w:val="2EF52C24"/>
    <w:rsid w:val="2F20249B"/>
    <w:rsid w:val="2F2F336C"/>
    <w:rsid w:val="2F603644"/>
    <w:rsid w:val="2F8F023A"/>
    <w:rsid w:val="2F8F3F29"/>
    <w:rsid w:val="2FCA4F61"/>
    <w:rsid w:val="2FDA0335"/>
    <w:rsid w:val="2FDB2CCA"/>
    <w:rsid w:val="30071D11"/>
    <w:rsid w:val="30414EF3"/>
    <w:rsid w:val="3044131B"/>
    <w:rsid w:val="304B0DA5"/>
    <w:rsid w:val="308726CA"/>
    <w:rsid w:val="30894E1C"/>
    <w:rsid w:val="309733E0"/>
    <w:rsid w:val="30997731"/>
    <w:rsid w:val="309F4F91"/>
    <w:rsid w:val="30BC6FA0"/>
    <w:rsid w:val="30C41C15"/>
    <w:rsid w:val="30C85944"/>
    <w:rsid w:val="30DA505F"/>
    <w:rsid w:val="30F304E8"/>
    <w:rsid w:val="313905F0"/>
    <w:rsid w:val="313E1763"/>
    <w:rsid w:val="31592A40"/>
    <w:rsid w:val="317B29B7"/>
    <w:rsid w:val="318178A1"/>
    <w:rsid w:val="31BE6E53"/>
    <w:rsid w:val="31C942FB"/>
    <w:rsid w:val="31D12040"/>
    <w:rsid w:val="31D85ACB"/>
    <w:rsid w:val="31E60613"/>
    <w:rsid w:val="3220355E"/>
    <w:rsid w:val="322546D1"/>
    <w:rsid w:val="32473DFA"/>
    <w:rsid w:val="3277039E"/>
    <w:rsid w:val="329B185C"/>
    <w:rsid w:val="32B86E31"/>
    <w:rsid w:val="32BF68D3"/>
    <w:rsid w:val="32DC0CFD"/>
    <w:rsid w:val="32E16A98"/>
    <w:rsid w:val="32E427DE"/>
    <w:rsid w:val="32EE5483"/>
    <w:rsid w:val="32F12805"/>
    <w:rsid w:val="32F9644E"/>
    <w:rsid w:val="3301513E"/>
    <w:rsid w:val="33042538"/>
    <w:rsid w:val="33471930"/>
    <w:rsid w:val="336B2EA4"/>
    <w:rsid w:val="336E20A7"/>
    <w:rsid w:val="33766337"/>
    <w:rsid w:val="33784CD4"/>
    <w:rsid w:val="33791178"/>
    <w:rsid w:val="33BE01F6"/>
    <w:rsid w:val="33C65A3F"/>
    <w:rsid w:val="33EB6605"/>
    <w:rsid w:val="33EE2C76"/>
    <w:rsid w:val="33F9587F"/>
    <w:rsid w:val="33FB1EA4"/>
    <w:rsid w:val="340547BA"/>
    <w:rsid w:val="34202060"/>
    <w:rsid w:val="34696952"/>
    <w:rsid w:val="3474193F"/>
    <w:rsid w:val="34796F56"/>
    <w:rsid w:val="34897627"/>
    <w:rsid w:val="349072D0"/>
    <w:rsid w:val="349D0E96"/>
    <w:rsid w:val="349F56CD"/>
    <w:rsid w:val="34AF205A"/>
    <w:rsid w:val="34DA1D12"/>
    <w:rsid w:val="34DE1BBE"/>
    <w:rsid w:val="34E92E3A"/>
    <w:rsid w:val="34F53753"/>
    <w:rsid w:val="34F760D5"/>
    <w:rsid w:val="34FD2B33"/>
    <w:rsid w:val="351139AD"/>
    <w:rsid w:val="35185716"/>
    <w:rsid w:val="353115DE"/>
    <w:rsid w:val="353702EB"/>
    <w:rsid w:val="3555133A"/>
    <w:rsid w:val="35633E8E"/>
    <w:rsid w:val="357C6CFE"/>
    <w:rsid w:val="3583008C"/>
    <w:rsid w:val="358B7B22"/>
    <w:rsid w:val="35AB1391"/>
    <w:rsid w:val="35BF4E3C"/>
    <w:rsid w:val="35D629F5"/>
    <w:rsid w:val="35DA1C76"/>
    <w:rsid w:val="35F9034E"/>
    <w:rsid w:val="36074868"/>
    <w:rsid w:val="361A4768"/>
    <w:rsid w:val="36363112"/>
    <w:rsid w:val="36380816"/>
    <w:rsid w:val="366411E5"/>
    <w:rsid w:val="36820344"/>
    <w:rsid w:val="36985DB9"/>
    <w:rsid w:val="36A42C8E"/>
    <w:rsid w:val="36B060E9"/>
    <w:rsid w:val="36B424C7"/>
    <w:rsid w:val="36D16757"/>
    <w:rsid w:val="36D36976"/>
    <w:rsid w:val="372C52B2"/>
    <w:rsid w:val="3731724F"/>
    <w:rsid w:val="374270A7"/>
    <w:rsid w:val="379A2814"/>
    <w:rsid w:val="379E73FF"/>
    <w:rsid w:val="37A92245"/>
    <w:rsid w:val="37DA41AF"/>
    <w:rsid w:val="380C2D0A"/>
    <w:rsid w:val="382947EF"/>
    <w:rsid w:val="38343179"/>
    <w:rsid w:val="38621C44"/>
    <w:rsid w:val="386C12AB"/>
    <w:rsid w:val="388F6D48"/>
    <w:rsid w:val="38C033A5"/>
    <w:rsid w:val="38E5105E"/>
    <w:rsid w:val="38ED217A"/>
    <w:rsid w:val="390E2B7A"/>
    <w:rsid w:val="392B2074"/>
    <w:rsid w:val="39377035"/>
    <w:rsid w:val="3942200C"/>
    <w:rsid w:val="394B67E8"/>
    <w:rsid w:val="395C5838"/>
    <w:rsid w:val="39D42649"/>
    <w:rsid w:val="39D8471E"/>
    <w:rsid w:val="3A0A0D7C"/>
    <w:rsid w:val="3A3B7187"/>
    <w:rsid w:val="3A415917"/>
    <w:rsid w:val="3A596D1C"/>
    <w:rsid w:val="3A9307BE"/>
    <w:rsid w:val="3A96589A"/>
    <w:rsid w:val="3AA64BD0"/>
    <w:rsid w:val="3AA80595"/>
    <w:rsid w:val="3AB40CE8"/>
    <w:rsid w:val="3B210BD3"/>
    <w:rsid w:val="3B6439C5"/>
    <w:rsid w:val="3B7A49D5"/>
    <w:rsid w:val="3B8065B2"/>
    <w:rsid w:val="3B847C8D"/>
    <w:rsid w:val="3BA40D5C"/>
    <w:rsid w:val="3BA90120"/>
    <w:rsid w:val="3BCE5DD9"/>
    <w:rsid w:val="3BDA75E5"/>
    <w:rsid w:val="3BDE564E"/>
    <w:rsid w:val="3BEA07A4"/>
    <w:rsid w:val="3BF07AFD"/>
    <w:rsid w:val="3C0941EB"/>
    <w:rsid w:val="3C243C4B"/>
    <w:rsid w:val="3C3C2D43"/>
    <w:rsid w:val="3C4D49B9"/>
    <w:rsid w:val="3C5B3823"/>
    <w:rsid w:val="3C6779A4"/>
    <w:rsid w:val="3C681D8A"/>
    <w:rsid w:val="3C865DF7"/>
    <w:rsid w:val="3CA7387B"/>
    <w:rsid w:val="3CB03193"/>
    <w:rsid w:val="3CB20F63"/>
    <w:rsid w:val="3CB52AF5"/>
    <w:rsid w:val="3CEA4A31"/>
    <w:rsid w:val="3D483FA5"/>
    <w:rsid w:val="3D566086"/>
    <w:rsid w:val="3D916E0D"/>
    <w:rsid w:val="3DAC6A92"/>
    <w:rsid w:val="3DAD1CC3"/>
    <w:rsid w:val="3DB52A87"/>
    <w:rsid w:val="3DD61232"/>
    <w:rsid w:val="3DF80EEB"/>
    <w:rsid w:val="3E075B1F"/>
    <w:rsid w:val="3E143A42"/>
    <w:rsid w:val="3E145966"/>
    <w:rsid w:val="3E230966"/>
    <w:rsid w:val="3E4546F9"/>
    <w:rsid w:val="3E536F70"/>
    <w:rsid w:val="3E636CAD"/>
    <w:rsid w:val="3E642A25"/>
    <w:rsid w:val="3E652608"/>
    <w:rsid w:val="3E6E2F0C"/>
    <w:rsid w:val="3E7041CD"/>
    <w:rsid w:val="3E734F55"/>
    <w:rsid w:val="3E742C68"/>
    <w:rsid w:val="3E990920"/>
    <w:rsid w:val="3E9A6446"/>
    <w:rsid w:val="3EA0270D"/>
    <w:rsid w:val="3EDE27D7"/>
    <w:rsid w:val="3EEA4CD8"/>
    <w:rsid w:val="3F261A88"/>
    <w:rsid w:val="3F3F538E"/>
    <w:rsid w:val="3F577E93"/>
    <w:rsid w:val="3F6C5837"/>
    <w:rsid w:val="3F70371B"/>
    <w:rsid w:val="3F956C40"/>
    <w:rsid w:val="3F986C05"/>
    <w:rsid w:val="3F9A4C3B"/>
    <w:rsid w:val="3FAE3F57"/>
    <w:rsid w:val="3FD5399A"/>
    <w:rsid w:val="3FFC1167"/>
    <w:rsid w:val="3FFD0A3B"/>
    <w:rsid w:val="402D5F84"/>
    <w:rsid w:val="4033445D"/>
    <w:rsid w:val="40550877"/>
    <w:rsid w:val="40552625"/>
    <w:rsid w:val="405759DA"/>
    <w:rsid w:val="405E3BCF"/>
    <w:rsid w:val="405E4E4F"/>
    <w:rsid w:val="40642868"/>
    <w:rsid w:val="40774C14"/>
    <w:rsid w:val="407A208B"/>
    <w:rsid w:val="40806076"/>
    <w:rsid w:val="408647C8"/>
    <w:rsid w:val="40AD420F"/>
    <w:rsid w:val="40B06B97"/>
    <w:rsid w:val="40BC4452"/>
    <w:rsid w:val="40BF0D8F"/>
    <w:rsid w:val="40CE2A45"/>
    <w:rsid w:val="40D645E9"/>
    <w:rsid w:val="40DB0225"/>
    <w:rsid w:val="410F6C78"/>
    <w:rsid w:val="411A40CF"/>
    <w:rsid w:val="411C1395"/>
    <w:rsid w:val="414A7CB0"/>
    <w:rsid w:val="414C6A7B"/>
    <w:rsid w:val="414F3004"/>
    <w:rsid w:val="41780CC1"/>
    <w:rsid w:val="41792343"/>
    <w:rsid w:val="41A03D74"/>
    <w:rsid w:val="41B45F41"/>
    <w:rsid w:val="423C4CAC"/>
    <w:rsid w:val="42425A2A"/>
    <w:rsid w:val="424B5BA7"/>
    <w:rsid w:val="42526F39"/>
    <w:rsid w:val="426B25D4"/>
    <w:rsid w:val="42B70645"/>
    <w:rsid w:val="42C121F4"/>
    <w:rsid w:val="42DE18F7"/>
    <w:rsid w:val="42E1081D"/>
    <w:rsid w:val="43496F4C"/>
    <w:rsid w:val="43644AEF"/>
    <w:rsid w:val="43655275"/>
    <w:rsid w:val="437B0FDD"/>
    <w:rsid w:val="439416B6"/>
    <w:rsid w:val="43FD5D9C"/>
    <w:rsid w:val="440865DF"/>
    <w:rsid w:val="443A71AC"/>
    <w:rsid w:val="443F7874"/>
    <w:rsid w:val="446B4FA9"/>
    <w:rsid w:val="446C2633"/>
    <w:rsid w:val="448E25A9"/>
    <w:rsid w:val="44915BF6"/>
    <w:rsid w:val="44C525FD"/>
    <w:rsid w:val="44C935E1"/>
    <w:rsid w:val="450A41AE"/>
    <w:rsid w:val="452B1BA6"/>
    <w:rsid w:val="45343151"/>
    <w:rsid w:val="45476DEF"/>
    <w:rsid w:val="45815C6A"/>
    <w:rsid w:val="4585575A"/>
    <w:rsid w:val="45991206"/>
    <w:rsid w:val="45A33E32"/>
    <w:rsid w:val="45AA51C1"/>
    <w:rsid w:val="45AF0A29"/>
    <w:rsid w:val="45B24076"/>
    <w:rsid w:val="45BB10DA"/>
    <w:rsid w:val="45DA3828"/>
    <w:rsid w:val="45F4468E"/>
    <w:rsid w:val="45F4582C"/>
    <w:rsid w:val="46194489"/>
    <w:rsid w:val="46205483"/>
    <w:rsid w:val="46592743"/>
    <w:rsid w:val="466730B2"/>
    <w:rsid w:val="46696E2A"/>
    <w:rsid w:val="4670640B"/>
    <w:rsid w:val="467767AB"/>
    <w:rsid w:val="46900162"/>
    <w:rsid w:val="46967346"/>
    <w:rsid w:val="469F40CF"/>
    <w:rsid w:val="46A75BA4"/>
    <w:rsid w:val="46BE45FF"/>
    <w:rsid w:val="46D00020"/>
    <w:rsid w:val="46DF70EC"/>
    <w:rsid w:val="46E42955"/>
    <w:rsid w:val="47330B3B"/>
    <w:rsid w:val="47373CCA"/>
    <w:rsid w:val="475A49C5"/>
    <w:rsid w:val="47857C94"/>
    <w:rsid w:val="47C85535"/>
    <w:rsid w:val="47CA56A6"/>
    <w:rsid w:val="47EB386F"/>
    <w:rsid w:val="4800556C"/>
    <w:rsid w:val="4812529F"/>
    <w:rsid w:val="48205C0E"/>
    <w:rsid w:val="48284AC3"/>
    <w:rsid w:val="48442155"/>
    <w:rsid w:val="48546AD3"/>
    <w:rsid w:val="485853A8"/>
    <w:rsid w:val="48592ECE"/>
    <w:rsid w:val="486A6E89"/>
    <w:rsid w:val="48820171"/>
    <w:rsid w:val="489266CB"/>
    <w:rsid w:val="48B22379"/>
    <w:rsid w:val="48DE70C5"/>
    <w:rsid w:val="48F16A3B"/>
    <w:rsid w:val="48FA7DB5"/>
    <w:rsid w:val="48FF3A76"/>
    <w:rsid w:val="490F76E4"/>
    <w:rsid w:val="49282FCC"/>
    <w:rsid w:val="4931796E"/>
    <w:rsid w:val="49434EF7"/>
    <w:rsid w:val="495955CE"/>
    <w:rsid w:val="495C4A24"/>
    <w:rsid w:val="495E4B1E"/>
    <w:rsid w:val="496C1724"/>
    <w:rsid w:val="49E52450"/>
    <w:rsid w:val="49FE1E14"/>
    <w:rsid w:val="4A0D5D1E"/>
    <w:rsid w:val="4A1672C9"/>
    <w:rsid w:val="4A384051"/>
    <w:rsid w:val="4A3C3C76"/>
    <w:rsid w:val="4A45195C"/>
    <w:rsid w:val="4A524ECF"/>
    <w:rsid w:val="4A82670C"/>
    <w:rsid w:val="4A9E5367"/>
    <w:rsid w:val="4A9E67FA"/>
    <w:rsid w:val="4AA26FEC"/>
    <w:rsid w:val="4AAD305D"/>
    <w:rsid w:val="4ADC3898"/>
    <w:rsid w:val="4B38326F"/>
    <w:rsid w:val="4B43754F"/>
    <w:rsid w:val="4B656733"/>
    <w:rsid w:val="4BA46B58"/>
    <w:rsid w:val="4BBF4900"/>
    <w:rsid w:val="4BD00598"/>
    <w:rsid w:val="4BE11211"/>
    <w:rsid w:val="4BF52F0E"/>
    <w:rsid w:val="4BFF523D"/>
    <w:rsid w:val="4C075C03"/>
    <w:rsid w:val="4C121D12"/>
    <w:rsid w:val="4C136D28"/>
    <w:rsid w:val="4C213D03"/>
    <w:rsid w:val="4C3439F7"/>
    <w:rsid w:val="4C486160"/>
    <w:rsid w:val="4C4E2C9C"/>
    <w:rsid w:val="4C527C04"/>
    <w:rsid w:val="4C5668F1"/>
    <w:rsid w:val="4C5C00D2"/>
    <w:rsid w:val="4C893887"/>
    <w:rsid w:val="4C9132C7"/>
    <w:rsid w:val="4C97567A"/>
    <w:rsid w:val="4CB56D37"/>
    <w:rsid w:val="4CB875D3"/>
    <w:rsid w:val="4CCA7EF7"/>
    <w:rsid w:val="4CE76CFB"/>
    <w:rsid w:val="4D0258E3"/>
    <w:rsid w:val="4D0C050F"/>
    <w:rsid w:val="4D0E072B"/>
    <w:rsid w:val="4D243AAB"/>
    <w:rsid w:val="4DA90454"/>
    <w:rsid w:val="4DBC1F35"/>
    <w:rsid w:val="4DCC0E28"/>
    <w:rsid w:val="4DF63A58"/>
    <w:rsid w:val="4DFF1E22"/>
    <w:rsid w:val="4E2E3530"/>
    <w:rsid w:val="4E6B6CEB"/>
    <w:rsid w:val="4E8E48B1"/>
    <w:rsid w:val="4EB77EA6"/>
    <w:rsid w:val="4EBB21ED"/>
    <w:rsid w:val="4F336227"/>
    <w:rsid w:val="4F4C72E9"/>
    <w:rsid w:val="4F587A3C"/>
    <w:rsid w:val="4F5F526E"/>
    <w:rsid w:val="4F7B5396"/>
    <w:rsid w:val="4F93316A"/>
    <w:rsid w:val="4F974A08"/>
    <w:rsid w:val="4F9E57F1"/>
    <w:rsid w:val="4FAE4233"/>
    <w:rsid w:val="4FB21842"/>
    <w:rsid w:val="4FBC621D"/>
    <w:rsid w:val="4FC03AB2"/>
    <w:rsid w:val="4FCE5F50"/>
    <w:rsid w:val="4FDD1914"/>
    <w:rsid w:val="50026E59"/>
    <w:rsid w:val="50091115"/>
    <w:rsid w:val="5019541D"/>
    <w:rsid w:val="501E5474"/>
    <w:rsid w:val="503264DF"/>
    <w:rsid w:val="50A146A9"/>
    <w:rsid w:val="50A42D51"/>
    <w:rsid w:val="50A9222A"/>
    <w:rsid w:val="50BC224C"/>
    <w:rsid w:val="50DC591D"/>
    <w:rsid w:val="51165E00"/>
    <w:rsid w:val="511D718F"/>
    <w:rsid w:val="51255C83"/>
    <w:rsid w:val="512E33DB"/>
    <w:rsid w:val="51600054"/>
    <w:rsid w:val="518B5EA5"/>
    <w:rsid w:val="51917235"/>
    <w:rsid w:val="51A21442"/>
    <w:rsid w:val="51B722DE"/>
    <w:rsid w:val="51FE0488"/>
    <w:rsid w:val="51FF4AE6"/>
    <w:rsid w:val="52642504"/>
    <w:rsid w:val="52666914"/>
    <w:rsid w:val="52854FEC"/>
    <w:rsid w:val="528B1ED6"/>
    <w:rsid w:val="5292555D"/>
    <w:rsid w:val="52994D0A"/>
    <w:rsid w:val="52CB4996"/>
    <w:rsid w:val="52E33AC0"/>
    <w:rsid w:val="52E71802"/>
    <w:rsid w:val="52EA30A1"/>
    <w:rsid w:val="530E3233"/>
    <w:rsid w:val="5311478A"/>
    <w:rsid w:val="53186CB2"/>
    <w:rsid w:val="53234805"/>
    <w:rsid w:val="5334431C"/>
    <w:rsid w:val="534B31D2"/>
    <w:rsid w:val="534F27A6"/>
    <w:rsid w:val="53513120"/>
    <w:rsid w:val="535D78A6"/>
    <w:rsid w:val="536C2340"/>
    <w:rsid w:val="537A5052"/>
    <w:rsid w:val="53887C35"/>
    <w:rsid w:val="53B27FC3"/>
    <w:rsid w:val="53DB0C3B"/>
    <w:rsid w:val="542B79A2"/>
    <w:rsid w:val="544669FD"/>
    <w:rsid w:val="544B2D16"/>
    <w:rsid w:val="54505185"/>
    <w:rsid w:val="54763440"/>
    <w:rsid w:val="547E1787"/>
    <w:rsid w:val="5483645C"/>
    <w:rsid w:val="54907C78"/>
    <w:rsid w:val="54931516"/>
    <w:rsid w:val="54A47A80"/>
    <w:rsid w:val="54C13D1B"/>
    <w:rsid w:val="54DC2EBD"/>
    <w:rsid w:val="54DE20EF"/>
    <w:rsid w:val="54E7478C"/>
    <w:rsid w:val="552D3719"/>
    <w:rsid w:val="55440772"/>
    <w:rsid w:val="55472A2C"/>
    <w:rsid w:val="554D5B69"/>
    <w:rsid w:val="5553107B"/>
    <w:rsid w:val="558077B3"/>
    <w:rsid w:val="558D54D6"/>
    <w:rsid w:val="559429E6"/>
    <w:rsid w:val="55A058CC"/>
    <w:rsid w:val="55AA4980"/>
    <w:rsid w:val="55BD2CEE"/>
    <w:rsid w:val="55BF0815"/>
    <w:rsid w:val="55CB762E"/>
    <w:rsid w:val="55CF47D0"/>
    <w:rsid w:val="55D21FF1"/>
    <w:rsid w:val="55DD513F"/>
    <w:rsid w:val="5632548A"/>
    <w:rsid w:val="56D73EF4"/>
    <w:rsid w:val="56D93B58"/>
    <w:rsid w:val="56E542AB"/>
    <w:rsid w:val="570010E5"/>
    <w:rsid w:val="5705494D"/>
    <w:rsid w:val="57197B1A"/>
    <w:rsid w:val="57271230"/>
    <w:rsid w:val="572C44D0"/>
    <w:rsid w:val="57340D8E"/>
    <w:rsid w:val="5789411E"/>
    <w:rsid w:val="57932DC4"/>
    <w:rsid w:val="57940A96"/>
    <w:rsid w:val="57D32355"/>
    <w:rsid w:val="57D766A7"/>
    <w:rsid w:val="57DE14FE"/>
    <w:rsid w:val="57E831CA"/>
    <w:rsid w:val="57E83927"/>
    <w:rsid w:val="58240E03"/>
    <w:rsid w:val="58426A50"/>
    <w:rsid w:val="5864776B"/>
    <w:rsid w:val="58A14202"/>
    <w:rsid w:val="58B57CAD"/>
    <w:rsid w:val="58B7457C"/>
    <w:rsid w:val="58D16CDC"/>
    <w:rsid w:val="58D354A2"/>
    <w:rsid w:val="58E33CEB"/>
    <w:rsid w:val="58E80082"/>
    <w:rsid w:val="59050C34"/>
    <w:rsid w:val="592D018B"/>
    <w:rsid w:val="592F7A5F"/>
    <w:rsid w:val="596D2D7B"/>
    <w:rsid w:val="596F5E5F"/>
    <w:rsid w:val="59E26E21"/>
    <w:rsid w:val="59EE22C3"/>
    <w:rsid w:val="59F44805"/>
    <w:rsid w:val="59FF21EA"/>
    <w:rsid w:val="5A0802B0"/>
    <w:rsid w:val="5A135A05"/>
    <w:rsid w:val="5A18057C"/>
    <w:rsid w:val="5A2E7D17"/>
    <w:rsid w:val="5A3966BC"/>
    <w:rsid w:val="5A3C1FE1"/>
    <w:rsid w:val="5A61468E"/>
    <w:rsid w:val="5A957D96"/>
    <w:rsid w:val="5AA004E9"/>
    <w:rsid w:val="5AA1498D"/>
    <w:rsid w:val="5AB12B07"/>
    <w:rsid w:val="5ACE057E"/>
    <w:rsid w:val="5AE26D53"/>
    <w:rsid w:val="5AEF2A2A"/>
    <w:rsid w:val="5B0373F5"/>
    <w:rsid w:val="5B182775"/>
    <w:rsid w:val="5B21162A"/>
    <w:rsid w:val="5B24111A"/>
    <w:rsid w:val="5B50104F"/>
    <w:rsid w:val="5B503CBD"/>
    <w:rsid w:val="5B540F34"/>
    <w:rsid w:val="5B705EE2"/>
    <w:rsid w:val="5B735536"/>
    <w:rsid w:val="5B750A14"/>
    <w:rsid w:val="5C642116"/>
    <w:rsid w:val="5C6E6AF1"/>
    <w:rsid w:val="5CA943D8"/>
    <w:rsid w:val="5CDA4186"/>
    <w:rsid w:val="5CDC6150"/>
    <w:rsid w:val="5CF44DF6"/>
    <w:rsid w:val="5D1464F0"/>
    <w:rsid w:val="5D350E26"/>
    <w:rsid w:val="5D373386"/>
    <w:rsid w:val="5D3C274B"/>
    <w:rsid w:val="5D480AC5"/>
    <w:rsid w:val="5D4D2BAA"/>
    <w:rsid w:val="5D5958B4"/>
    <w:rsid w:val="5D661248"/>
    <w:rsid w:val="5D79648E"/>
    <w:rsid w:val="5DA14CA4"/>
    <w:rsid w:val="5DBF0831"/>
    <w:rsid w:val="5DF03535"/>
    <w:rsid w:val="5E105508"/>
    <w:rsid w:val="5E2753FD"/>
    <w:rsid w:val="5E455888"/>
    <w:rsid w:val="5E581806"/>
    <w:rsid w:val="5E745606"/>
    <w:rsid w:val="5E7C09F8"/>
    <w:rsid w:val="5E8F0FA0"/>
    <w:rsid w:val="5E914D18"/>
    <w:rsid w:val="5EAF7A90"/>
    <w:rsid w:val="5EB153BA"/>
    <w:rsid w:val="5EB20980"/>
    <w:rsid w:val="5EDF5A84"/>
    <w:rsid w:val="5F184590"/>
    <w:rsid w:val="5F6E5059"/>
    <w:rsid w:val="5F8246EB"/>
    <w:rsid w:val="5F93061C"/>
    <w:rsid w:val="5F9F66C6"/>
    <w:rsid w:val="5FB35BEB"/>
    <w:rsid w:val="5FD41360"/>
    <w:rsid w:val="5FE5531C"/>
    <w:rsid w:val="5FE62498"/>
    <w:rsid w:val="600A2FD4"/>
    <w:rsid w:val="606467B8"/>
    <w:rsid w:val="608A01D4"/>
    <w:rsid w:val="609A4D89"/>
    <w:rsid w:val="60D96503"/>
    <w:rsid w:val="60F35816"/>
    <w:rsid w:val="6106379C"/>
    <w:rsid w:val="6130419C"/>
    <w:rsid w:val="61483DB4"/>
    <w:rsid w:val="61485D26"/>
    <w:rsid w:val="614E6EF1"/>
    <w:rsid w:val="6191235B"/>
    <w:rsid w:val="619736AB"/>
    <w:rsid w:val="61AC31DA"/>
    <w:rsid w:val="61BF1B9C"/>
    <w:rsid w:val="61D27B22"/>
    <w:rsid w:val="61DB4C28"/>
    <w:rsid w:val="61E3588B"/>
    <w:rsid w:val="61EB473F"/>
    <w:rsid w:val="62105334"/>
    <w:rsid w:val="623275D1"/>
    <w:rsid w:val="62436329"/>
    <w:rsid w:val="625978FB"/>
    <w:rsid w:val="625C73EB"/>
    <w:rsid w:val="62705CF3"/>
    <w:rsid w:val="6287090C"/>
    <w:rsid w:val="62976109"/>
    <w:rsid w:val="62D173A3"/>
    <w:rsid w:val="62E80840"/>
    <w:rsid w:val="62F6339C"/>
    <w:rsid w:val="633661A8"/>
    <w:rsid w:val="63377F9B"/>
    <w:rsid w:val="633A5E1F"/>
    <w:rsid w:val="63473BF7"/>
    <w:rsid w:val="639C3F43"/>
    <w:rsid w:val="63C819F6"/>
    <w:rsid w:val="63D52BD9"/>
    <w:rsid w:val="63E47698"/>
    <w:rsid w:val="64514E09"/>
    <w:rsid w:val="64550596"/>
    <w:rsid w:val="645B2050"/>
    <w:rsid w:val="646157DF"/>
    <w:rsid w:val="64676364"/>
    <w:rsid w:val="646B0FC6"/>
    <w:rsid w:val="64930C78"/>
    <w:rsid w:val="64B251B8"/>
    <w:rsid w:val="64B81251"/>
    <w:rsid w:val="64C63465"/>
    <w:rsid w:val="64C86FBA"/>
    <w:rsid w:val="64D502BE"/>
    <w:rsid w:val="64D56443"/>
    <w:rsid w:val="65051FBC"/>
    <w:rsid w:val="650F6997"/>
    <w:rsid w:val="65110EF3"/>
    <w:rsid w:val="653B778C"/>
    <w:rsid w:val="654B3E73"/>
    <w:rsid w:val="65644F35"/>
    <w:rsid w:val="6569254B"/>
    <w:rsid w:val="65870C23"/>
    <w:rsid w:val="658B24C1"/>
    <w:rsid w:val="66062A8D"/>
    <w:rsid w:val="6607508D"/>
    <w:rsid w:val="667D7E62"/>
    <w:rsid w:val="668A4527"/>
    <w:rsid w:val="66AF3F8D"/>
    <w:rsid w:val="6703310F"/>
    <w:rsid w:val="67656D42"/>
    <w:rsid w:val="676E3E49"/>
    <w:rsid w:val="67753429"/>
    <w:rsid w:val="679D41BA"/>
    <w:rsid w:val="67B918F5"/>
    <w:rsid w:val="67D75E41"/>
    <w:rsid w:val="67E05DA8"/>
    <w:rsid w:val="67EA7CCE"/>
    <w:rsid w:val="67F64323"/>
    <w:rsid w:val="67FF7197"/>
    <w:rsid w:val="68093B71"/>
    <w:rsid w:val="682F7F51"/>
    <w:rsid w:val="68356714"/>
    <w:rsid w:val="683732BE"/>
    <w:rsid w:val="68467C21"/>
    <w:rsid w:val="687234C5"/>
    <w:rsid w:val="687F1367"/>
    <w:rsid w:val="68863414"/>
    <w:rsid w:val="688F22C8"/>
    <w:rsid w:val="689335DA"/>
    <w:rsid w:val="68A5389A"/>
    <w:rsid w:val="68DD74D8"/>
    <w:rsid w:val="68F04F40"/>
    <w:rsid w:val="6916074D"/>
    <w:rsid w:val="692E4A0A"/>
    <w:rsid w:val="693B7D53"/>
    <w:rsid w:val="694B09D7"/>
    <w:rsid w:val="697A6FA0"/>
    <w:rsid w:val="697C3D03"/>
    <w:rsid w:val="697D4817"/>
    <w:rsid w:val="69A262CD"/>
    <w:rsid w:val="69A267ED"/>
    <w:rsid w:val="69AA354B"/>
    <w:rsid w:val="69B800B4"/>
    <w:rsid w:val="69BD4C13"/>
    <w:rsid w:val="69C40C04"/>
    <w:rsid w:val="69DA2919"/>
    <w:rsid w:val="69F557DF"/>
    <w:rsid w:val="69FD7706"/>
    <w:rsid w:val="6A1631A0"/>
    <w:rsid w:val="6A590A2D"/>
    <w:rsid w:val="6A616BFC"/>
    <w:rsid w:val="6A7B2CCA"/>
    <w:rsid w:val="6A8E65B0"/>
    <w:rsid w:val="6AF24D81"/>
    <w:rsid w:val="6AF723A7"/>
    <w:rsid w:val="6B0D3978"/>
    <w:rsid w:val="6B1F7EEB"/>
    <w:rsid w:val="6B20545A"/>
    <w:rsid w:val="6B4849B1"/>
    <w:rsid w:val="6B5B46E4"/>
    <w:rsid w:val="6B72229B"/>
    <w:rsid w:val="6B7B4D86"/>
    <w:rsid w:val="6BFA1456"/>
    <w:rsid w:val="6C0C59DE"/>
    <w:rsid w:val="6C1325D3"/>
    <w:rsid w:val="6C20659F"/>
    <w:rsid w:val="6C4258A4"/>
    <w:rsid w:val="6CA51091"/>
    <w:rsid w:val="6CC835E5"/>
    <w:rsid w:val="6CCB5899"/>
    <w:rsid w:val="6CDC7AA6"/>
    <w:rsid w:val="6CE05F40"/>
    <w:rsid w:val="6D1239A9"/>
    <w:rsid w:val="6D4B4ECE"/>
    <w:rsid w:val="6D6A3304"/>
    <w:rsid w:val="6D6D06FE"/>
    <w:rsid w:val="6D7221B9"/>
    <w:rsid w:val="6D8819FA"/>
    <w:rsid w:val="6DAD31F1"/>
    <w:rsid w:val="6DAE7C8E"/>
    <w:rsid w:val="6DB427D1"/>
    <w:rsid w:val="6DEC3D4C"/>
    <w:rsid w:val="6E3C23F0"/>
    <w:rsid w:val="6E4E0530"/>
    <w:rsid w:val="6E5A6C22"/>
    <w:rsid w:val="6E7A54B6"/>
    <w:rsid w:val="6E8B74FE"/>
    <w:rsid w:val="6E9005CF"/>
    <w:rsid w:val="6EAD16FA"/>
    <w:rsid w:val="6EB56801"/>
    <w:rsid w:val="6EBC193D"/>
    <w:rsid w:val="6F1751E2"/>
    <w:rsid w:val="6F1928EC"/>
    <w:rsid w:val="6F386608"/>
    <w:rsid w:val="6F6D49E6"/>
    <w:rsid w:val="6F89280C"/>
    <w:rsid w:val="6FBB7E47"/>
    <w:rsid w:val="6FC65B2A"/>
    <w:rsid w:val="6FD131C7"/>
    <w:rsid w:val="6FD66A2F"/>
    <w:rsid w:val="6FDC1B6B"/>
    <w:rsid w:val="6FDC62BB"/>
    <w:rsid w:val="6FEC0000"/>
    <w:rsid w:val="6FF670D1"/>
    <w:rsid w:val="70094E7A"/>
    <w:rsid w:val="7037082E"/>
    <w:rsid w:val="704A7F86"/>
    <w:rsid w:val="704E0CBB"/>
    <w:rsid w:val="70BE0057"/>
    <w:rsid w:val="70C3004D"/>
    <w:rsid w:val="70D34D1C"/>
    <w:rsid w:val="70E60EF4"/>
    <w:rsid w:val="71367A0A"/>
    <w:rsid w:val="713D769E"/>
    <w:rsid w:val="716A4C05"/>
    <w:rsid w:val="716B764B"/>
    <w:rsid w:val="71796B56"/>
    <w:rsid w:val="71954A73"/>
    <w:rsid w:val="719A3A8C"/>
    <w:rsid w:val="71D04977"/>
    <w:rsid w:val="71D7083C"/>
    <w:rsid w:val="71EB263C"/>
    <w:rsid w:val="71FE6C54"/>
    <w:rsid w:val="72170632"/>
    <w:rsid w:val="72677E12"/>
    <w:rsid w:val="728704B4"/>
    <w:rsid w:val="728E2A0C"/>
    <w:rsid w:val="729535C8"/>
    <w:rsid w:val="729F135A"/>
    <w:rsid w:val="72AD2A8C"/>
    <w:rsid w:val="72B2730F"/>
    <w:rsid w:val="72BF41FF"/>
    <w:rsid w:val="72E113DC"/>
    <w:rsid w:val="72E2406D"/>
    <w:rsid w:val="72FD3C68"/>
    <w:rsid w:val="73236401"/>
    <w:rsid w:val="733C2BE0"/>
    <w:rsid w:val="73622F7D"/>
    <w:rsid w:val="736304E5"/>
    <w:rsid w:val="736B748E"/>
    <w:rsid w:val="7376008C"/>
    <w:rsid w:val="73BE521F"/>
    <w:rsid w:val="73D547B7"/>
    <w:rsid w:val="73E442FB"/>
    <w:rsid w:val="73F41B79"/>
    <w:rsid w:val="740E25F9"/>
    <w:rsid w:val="741A6878"/>
    <w:rsid w:val="741E09A4"/>
    <w:rsid w:val="74327C85"/>
    <w:rsid w:val="746D0776"/>
    <w:rsid w:val="746D7236"/>
    <w:rsid w:val="7476258E"/>
    <w:rsid w:val="749E5641"/>
    <w:rsid w:val="74B454CD"/>
    <w:rsid w:val="74EE4392"/>
    <w:rsid w:val="74F11BE7"/>
    <w:rsid w:val="74FA4F6E"/>
    <w:rsid w:val="75071439"/>
    <w:rsid w:val="75083042"/>
    <w:rsid w:val="752C5223"/>
    <w:rsid w:val="753D6540"/>
    <w:rsid w:val="75510906"/>
    <w:rsid w:val="7557416E"/>
    <w:rsid w:val="7561323F"/>
    <w:rsid w:val="759C7DD3"/>
    <w:rsid w:val="75B95D13"/>
    <w:rsid w:val="75CC1ED0"/>
    <w:rsid w:val="75D02172"/>
    <w:rsid w:val="762229CE"/>
    <w:rsid w:val="762C55FB"/>
    <w:rsid w:val="76320737"/>
    <w:rsid w:val="767D1768"/>
    <w:rsid w:val="767E5FFC"/>
    <w:rsid w:val="768F16E6"/>
    <w:rsid w:val="76B34F7A"/>
    <w:rsid w:val="76CC0B8C"/>
    <w:rsid w:val="76F679B7"/>
    <w:rsid w:val="77132317"/>
    <w:rsid w:val="771A5453"/>
    <w:rsid w:val="771B741D"/>
    <w:rsid w:val="773A5701"/>
    <w:rsid w:val="773C186D"/>
    <w:rsid w:val="77423369"/>
    <w:rsid w:val="774424D0"/>
    <w:rsid w:val="77545277"/>
    <w:rsid w:val="776B473D"/>
    <w:rsid w:val="77951B94"/>
    <w:rsid w:val="77A64252"/>
    <w:rsid w:val="77D77C03"/>
    <w:rsid w:val="77D870BC"/>
    <w:rsid w:val="780172DC"/>
    <w:rsid w:val="7811647C"/>
    <w:rsid w:val="78361D87"/>
    <w:rsid w:val="785045E1"/>
    <w:rsid w:val="78544995"/>
    <w:rsid w:val="78732638"/>
    <w:rsid w:val="78743289"/>
    <w:rsid w:val="787B2197"/>
    <w:rsid w:val="788B01D8"/>
    <w:rsid w:val="78A70F68"/>
    <w:rsid w:val="78A94DBA"/>
    <w:rsid w:val="78E421BD"/>
    <w:rsid w:val="78F6044D"/>
    <w:rsid w:val="79064EBE"/>
    <w:rsid w:val="79102392"/>
    <w:rsid w:val="794C1B10"/>
    <w:rsid w:val="79517126"/>
    <w:rsid w:val="795D3A81"/>
    <w:rsid w:val="79652BD2"/>
    <w:rsid w:val="797352EE"/>
    <w:rsid w:val="797439F5"/>
    <w:rsid w:val="799367E3"/>
    <w:rsid w:val="79A11E5C"/>
    <w:rsid w:val="79C25397"/>
    <w:rsid w:val="7A4E6B0D"/>
    <w:rsid w:val="7A56445E"/>
    <w:rsid w:val="7A8D2CB9"/>
    <w:rsid w:val="7A946795"/>
    <w:rsid w:val="7AA21FFC"/>
    <w:rsid w:val="7AAD2A82"/>
    <w:rsid w:val="7AB006D4"/>
    <w:rsid w:val="7AE2097E"/>
    <w:rsid w:val="7AE528AE"/>
    <w:rsid w:val="7AE534E4"/>
    <w:rsid w:val="7AE70D64"/>
    <w:rsid w:val="7AE74C21"/>
    <w:rsid w:val="7B155FAB"/>
    <w:rsid w:val="7B2D5DB9"/>
    <w:rsid w:val="7B2F4F94"/>
    <w:rsid w:val="7B3A5D7D"/>
    <w:rsid w:val="7B416A71"/>
    <w:rsid w:val="7B62386D"/>
    <w:rsid w:val="7B9C62A6"/>
    <w:rsid w:val="7B9E4951"/>
    <w:rsid w:val="7B9E67A2"/>
    <w:rsid w:val="7BA67BFD"/>
    <w:rsid w:val="7BB37C24"/>
    <w:rsid w:val="7C13614C"/>
    <w:rsid w:val="7C3074C7"/>
    <w:rsid w:val="7C5E1319"/>
    <w:rsid w:val="7C683105"/>
    <w:rsid w:val="7C8B6DF3"/>
    <w:rsid w:val="7C9712F4"/>
    <w:rsid w:val="7CA12173"/>
    <w:rsid w:val="7CBE0F77"/>
    <w:rsid w:val="7CCA791B"/>
    <w:rsid w:val="7CD2057E"/>
    <w:rsid w:val="7CD73DE6"/>
    <w:rsid w:val="7CEA2722"/>
    <w:rsid w:val="7D035CF0"/>
    <w:rsid w:val="7D1110A6"/>
    <w:rsid w:val="7D18155A"/>
    <w:rsid w:val="7D1B0177"/>
    <w:rsid w:val="7D4F5637"/>
    <w:rsid w:val="7D935F5F"/>
    <w:rsid w:val="7DA77C5D"/>
    <w:rsid w:val="7DD079BB"/>
    <w:rsid w:val="7DF2712A"/>
    <w:rsid w:val="7DFA4230"/>
    <w:rsid w:val="7E0F7639"/>
    <w:rsid w:val="7E390352"/>
    <w:rsid w:val="7E3E74B8"/>
    <w:rsid w:val="7E503E50"/>
    <w:rsid w:val="7E6B6EDC"/>
    <w:rsid w:val="7E7044F2"/>
    <w:rsid w:val="7E73476D"/>
    <w:rsid w:val="7E7C69F3"/>
    <w:rsid w:val="7E835FD4"/>
    <w:rsid w:val="7E8B4E88"/>
    <w:rsid w:val="7EAD0204"/>
    <w:rsid w:val="7EEB3B79"/>
    <w:rsid w:val="7EED78F1"/>
    <w:rsid w:val="7EF3291A"/>
    <w:rsid w:val="7EFB3DBC"/>
    <w:rsid w:val="7EFD5193"/>
    <w:rsid w:val="7EFE1AFE"/>
    <w:rsid w:val="7F1629A4"/>
    <w:rsid w:val="7F266D9C"/>
    <w:rsid w:val="7F354B67"/>
    <w:rsid w:val="7F45772D"/>
    <w:rsid w:val="7F6851CA"/>
    <w:rsid w:val="7F6F47AA"/>
    <w:rsid w:val="7F724BB2"/>
    <w:rsid w:val="7F822297"/>
    <w:rsid w:val="7F8F09A8"/>
    <w:rsid w:val="7F963AE5"/>
    <w:rsid w:val="7F9F508F"/>
    <w:rsid w:val="7FAB5685"/>
    <w:rsid w:val="7FBD5515"/>
    <w:rsid w:val="7FC14C86"/>
    <w:rsid w:val="7FD82F57"/>
    <w:rsid w:val="7FDD34C2"/>
    <w:rsid w:val="7FE60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索引 41"/>
    <w:basedOn w:val="1"/>
    <w:next w:val="1"/>
    <w:unhideWhenUsed/>
    <w:qFormat/>
    <w:uiPriority w:val="99"/>
    <w:pPr>
      <w:ind w:left="600"/>
    </w:p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w:basedOn w:val="1"/>
    <w:next w:val="11"/>
    <w:qFormat/>
    <w:uiPriority w:val="0"/>
    <w:pPr>
      <w:spacing w:after="120"/>
    </w:pPr>
  </w:style>
  <w:style w:type="paragraph" w:styleId="11">
    <w:name w:val="Body Text First Indent"/>
    <w:basedOn w:val="10"/>
    <w:next w:val="1"/>
    <w:qFormat/>
    <w:uiPriority w:val="0"/>
    <w:pPr>
      <w:spacing w:line="360" w:lineRule="auto"/>
      <w:ind w:firstLine="200" w:firstLineChars="200"/>
      <w:jc w:val="left"/>
    </w:pPr>
  </w:style>
  <w:style w:type="paragraph" w:styleId="12">
    <w:name w:val="Body Text Indent"/>
    <w:basedOn w:val="1"/>
    <w:next w:val="13"/>
    <w:qFormat/>
    <w:uiPriority w:val="0"/>
    <w:pPr>
      <w:spacing w:line="360" w:lineRule="auto"/>
      <w:ind w:firstLine="600" w:firstLineChars="200"/>
    </w:pPr>
    <w:rPr>
      <w:rFonts w:ascii="仿宋_GB2312" w:hAnsi="宋体" w:eastAsia="仿宋_GB2312"/>
      <w:sz w:val="30"/>
    </w:rPr>
  </w:style>
  <w:style w:type="paragraph" w:styleId="13">
    <w:name w:val="Body Text First Indent 2"/>
    <w:basedOn w:val="12"/>
    <w:next w:val="11"/>
    <w:qFormat/>
    <w:uiPriority w:val="0"/>
    <w:pPr>
      <w:ind w:firstLine="420"/>
    </w:pPr>
  </w:style>
  <w:style w:type="paragraph" w:styleId="14">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5">
    <w:name w:val="Plain Text"/>
    <w:basedOn w:val="1"/>
    <w:next w:val="1"/>
    <w:qFormat/>
    <w:uiPriority w:val="99"/>
    <w:pPr>
      <w:spacing w:beforeLines="50" w:afterLines="50" w:line="400" w:lineRule="exact"/>
    </w:pPr>
    <w:rPr>
      <w:rFonts w:ascii="宋体" w:hAnsi="Courier New"/>
      <w:sz w:val="24"/>
    </w:rPr>
  </w:style>
  <w:style w:type="paragraph" w:styleId="16">
    <w:name w:val="toc 8"/>
    <w:basedOn w:val="1"/>
    <w:next w:val="1"/>
    <w:unhideWhenUsed/>
    <w:qFormat/>
    <w:uiPriority w:val="39"/>
    <w:pPr>
      <w:ind w:left="2940" w:leftChars="1400"/>
    </w:pPr>
    <w:rPr>
      <w:rFonts w:ascii="Calibri" w:hAnsi="Calibr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line="480" w:lineRule="auto"/>
      <w:ind w:left="420" w:leftChars="200"/>
    </w:pPr>
  </w:style>
  <w:style w:type="paragraph" w:styleId="19">
    <w:name w:val="Balloon Text"/>
    <w:basedOn w:val="1"/>
    <w:qFormat/>
    <w:uiPriority w:val="99"/>
    <w:rPr>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envelope return"/>
    <w:basedOn w:val="1"/>
    <w:qFormat/>
    <w:uiPriority w:val="0"/>
    <w:pPr>
      <w:snapToGrid w:val="0"/>
    </w:pPr>
    <w:rPr>
      <w:rFonts w:ascii="Arial" w:hAnsi="Arial"/>
    </w:rPr>
  </w:style>
  <w:style w:type="paragraph" w:styleId="2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494"/>
      </w:tabs>
    </w:pPr>
    <w:rPr>
      <w:rFonts w:ascii="宋体" w:hAnsi="宋体"/>
      <w:sz w:val="32"/>
    </w:rPr>
  </w:style>
  <w:style w:type="paragraph" w:styleId="24">
    <w:name w:val="toc 4"/>
    <w:basedOn w:val="1"/>
    <w:next w:val="1"/>
    <w:qFormat/>
    <w:uiPriority w:val="0"/>
    <w:pPr>
      <w:ind w:left="630"/>
      <w:jc w:val="left"/>
    </w:pPr>
    <w:rPr>
      <w:sz w:val="18"/>
      <w:szCs w:val="18"/>
    </w:rPr>
  </w:style>
  <w:style w:type="paragraph" w:styleId="25">
    <w:name w:val="footnote text"/>
    <w:basedOn w:val="1"/>
    <w:qFormat/>
    <w:uiPriority w:val="0"/>
    <w:pPr>
      <w:snapToGrid w:val="0"/>
      <w:jc w:val="left"/>
    </w:pPr>
    <w:rPr>
      <w:rFonts w:eastAsia="仿宋_GB2312"/>
      <w:sz w:val="18"/>
      <w:szCs w:val="20"/>
    </w:rPr>
  </w:style>
  <w:style w:type="paragraph" w:styleId="26">
    <w:name w:val="toc 6"/>
    <w:basedOn w:val="1"/>
    <w:next w:val="1"/>
    <w:qFormat/>
    <w:uiPriority w:val="99"/>
    <w:pPr>
      <w:ind w:left="2100" w:leftChars="1000"/>
    </w:pPr>
    <w:rPr>
      <w:szCs w:val="22"/>
    </w:rPr>
  </w:style>
  <w:style w:type="paragraph" w:styleId="27">
    <w:name w:val="Body Text Indent 3"/>
    <w:basedOn w:val="1"/>
    <w:qFormat/>
    <w:uiPriority w:val="0"/>
    <w:pPr>
      <w:spacing w:after="120"/>
      <w:ind w:left="420" w:leftChars="200"/>
    </w:pPr>
    <w:rPr>
      <w:sz w:val="16"/>
      <w:szCs w:val="16"/>
    </w:rPr>
  </w:style>
  <w:style w:type="paragraph" w:styleId="28">
    <w:name w:val="toc 2"/>
    <w:basedOn w:val="1"/>
    <w:next w:val="1"/>
    <w:qFormat/>
    <w:uiPriority w:val="39"/>
    <w:pPr>
      <w:tabs>
        <w:tab w:val="right" w:leader="dot" w:pos="8494"/>
      </w:tabs>
    </w:pPr>
    <w:rPr>
      <w:sz w:val="30"/>
    </w:rPr>
  </w:style>
  <w:style w:type="paragraph" w:styleId="29">
    <w:name w:val="Body Text 2"/>
    <w:basedOn w:val="1"/>
    <w:qFormat/>
    <w:uiPriority w:val="0"/>
    <w:pPr>
      <w:autoSpaceDE w:val="0"/>
      <w:autoSpaceDN w:val="0"/>
      <w:adjustRightInd w:val="0"/>
    </w:pPr>
    <w:rPr>
      <w:color w:val="000000"/>
    </w:rPr>
  </w:style>
  <w:style w:type="paragraph" w:styleId="30">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1">
    <w:name w:val="Title"/>
    <w:basedOn w:val="1"/>
    <w:next w:val="1"/>
    <w:qFormat/>
    <w:uiPriority w:val="0"/>
    <w:pPr>
      <w:widowControl/>
      <w:overflowPunct w:val="0"/>
      <w:autoSpaceDE w:val="0"/>
      <w:autoSpaceDN w:val="0"/>
      <w:adjustRightInd w:val="0"/>
      <w:jc w:val="center"/>
      <w:textAlignment w:val="baseline"/>
    </w:pPr>
    <w:rPr>
      <w:b/>
      <w:kern w:val="0"/>
      <w:sz w:val="24"/>
      <w:szCs w:val="20"/>
      <w:lang w:val="en-GB"/>
    </w:rPr>
  </w:style>
  <w:style w:type="table" w:styleId="33">
    <w:name w:val="Table Grid"/>
    <w:basedOn w:val="3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Hyperlink"/>
    <w:qFormat/>
    <w:uiPriority w:val="99"/>
    <w:rPr>
      <w:color w:val="0000FF"/>
      <w:u w:val="single"/>
    </w:rPr>
  </w:style>
  <w:style w:type="character" w:styleId="36">
    <w:name w:val="footnote reference"/>
    <w:qFormat/>
    <w:uiPriority w:val="0"/>
    <w:rPr>
      <w:vertAlign w:val="superscript"/>
    </w:rPr>
  </w:style>
  <w:style w:type="paragraph" w:customStyle="1" w:styleId="37">
    <w:name w:val="表格文字"/>
    <w:basedOn w:val="1"/>
    <w:next w:val="10"/>
    <w:qFormat/>
    <w:uiPriority w:val="0"/>
    <w:pPr>
      <w:spacing w:before="25" w:after="25"/>
      <w:jc w:val="left"/>
    </w:pPr>
    <w:rPr>
      <w:bCs/>
      <w:spacing w:val="10"/>
      <w:kern w:val="0"/>
      <w:sz w:val="24"/>
      <w:szCs w:val="20"/>
    </w:rPr>
  </w:style>
  <w:style w:type="paragraph" w:customStyle="1" w:styleId="38">
    <w:name w:val="Default"/>
    <w:next w:val="3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0">
    <w:name w:val="首行缩进"/>
    <w:basedOn w:val="1"/>
    <w:qFormat/>
    <w:uiPriority w:val="0"/>
    <w:rPr>
      <w:lang w:val="zh-CN"/>
    </w:rPr>
  </w:style>
  <w:style w:type="character" w:customStyle="1" w:styleId="41">
    <w:name w:val="标题 1 Char"/>
    <w:link w:val="3"/>
    <w:qFormat/>
    <w:uiPriority w:val="0"/>
    <w:rPr>
      <w:b/>
      <w:bCs/>
      <w:kern w:val="44"/>
      <w:sz w:val="44"/>
      <w:szCs w:val="44"/>
    </w:rPr>
  </w:style>
  <w:style w:type="paragraph" w:styleId="42">
    <w:name w:val="List Paragraph"/>
    <w:basedOn w:val="1"/>
    <w:qFormat/>
    <w:uiPriority w:val="34"/>
    <w:pPr>
      <w:ind w:firstLine="420" w:firstLineChars="200"/>
    </w:pPr>
    <w:rPr>
      <w:rFonts w:ascii="Calibri" w:hAnsi="Calibri"/>
      <w:szCs w:val="22"/>
    </w:rPr>
  </w:style>
  <w:style w:type="paragraph" w:customStyle="1" w:styleId="43">
    <w:name w:val="List Paragraph1"/>
    <w:basedOn w:val="1"/>
    <w:qFormat/>
    <w:uiPriority w:val="0"/>
    <w:pPr>
      <w:ind w:firstLine="420" w:firstLineChars="200"/>
    </w:pPr>
    <w:rPr>
      <w:szCs w:val="21"/>
    </w:rPr>
  </w:style>
  <w:style w:type="paragraph" w:customStyle="1" w:styleId="44">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45">
    <w:name w:val="纯文本1"/>
    <w:basedOn w:val="46"/>
    <w:qFormat/>
    <w:uiPriority w:val="0"/>
    <w:pPr>
      <w:spacing w:beforeLines="50" w:afterLines="50" w:line="400" w:lineRule="exact"/>
    </w:pPr>
    <w:rPr>
      <w:rFonts w:hAnsi="Courier New" w:eastAsia="仿宋_GB2312"/>
      <w:b/>
    </w:rPr>
  </w:style>
  <w:style w:type="paragraph" w:customStyle="1" w:styleId="46">
    <w:name w:val="正文1"/>
    <w:basedOn w:val="1"/>
    <w:qFormat/>
    <w:uiPriority w:val="0"/>
    <w:pPr>
      <w:spacing w:line="360" w:lineRule="auto"/>
      <w:ind w:firstLine="200" w:firstLineChars="200"/>
      <w:jc w:val="left"/>
    </w:pPr>
    <w:rPr>
      <w:rFonts w:ascii="宋体" w:hAnsi="宋体"/>
      <w:color w:val="000000"/>
      <w:kern w:val="0"/>
      <w:sz w:val="24"/>
      <w:szCs w:val="20"/>
    </w:rPr>
  </w:style>
  <w:style w:type="paragraph" w:customStyle="1" w:styleId="47">
    <w:name w:val="纯文本2"/>
    <w:basedOn w:val="1"/>
    <w:qFormat/>
    <w:uiPriority w:val="0"/>
    <w:pPr>
      <w:spacing w:beforeLines="50" w:afterLines="50" w:line="400" w:lineRule="exact"/>
    </w:pPr>
    <w:rPr>
      <w:rFonts w:ascii="宋体" w:hAnsi="Courier New" w:eastAsia="仿宋_GB2312"/>
      <w:b/>
      <w:sz w:val="24"/>
    </w:rPr>
  </w:style>
  <w:style w:type="paragraph" w:customStyle="1" w:styleId="4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Plain Text1"/>
    <w:basedOn w:val="50"/>
    <w:qFormat/>
    <w:uiPriority w:val="0"/>
    <w:pPr>
      <w:autoSpaceDE w:val="0"/>
      <w:autoSpaceDN w:val="0"/>
      <w:adjustRightInd w:val="0"/>
      <w:spacing w:line="360" w:lineRule="auto"/>
    </w:pPr>
    <w:rPr>
      <w:rFonts w:hint="eastAsia" w:ascii="宋体" w:hAnsi="宋体"/>
      <w:sz w:val="24"/>
      <w:szCs w:val="20"/>
    </w:rPr>
  </w:style>
  <w:style w:type="paragraph" w:customStyle="1" w:styleId="50">
    <w:name w:val="Norm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
    <w:name w:val="_Style 3"/>
    <w:basedOn w:val="1"/>
    <w:qFormat/>
    <w:uiPriority w:val="34"/>
    <w:pPr>
      <w:ind w:firstLine="420" w:firstLineChars="200"/>
    </w:pPr>
    <w:rPr>
      <w:rFonts w:ascii="Calibri" w:hAnsi="Calibri"/>
      <w:szCs w:val="22"/>
    </w:rPr>
  </w:style>
  <w:style w:type="paragraph" w:customStyle="1" w:styleId="52">
    <w:name w:val="[Normal]"/>
    <w:qFormat/>
    <w:uiPriority w:val="0"/>
    <w:rPr>
      <w:rFonts w:ascii="宋体" w:hAnsi="宋体" w:eastAsia="宋体" w:cs="Times New Roman"/>
      <w:sz w:val="24"/>
      <w:szCs w:val="22"/>
      <w:lang w:val="zh-CN" w:eastAsia="zh-CN" w:bidi="ar-SA"/>
    </w:rPr>
  </w:style>
  <w:style w:type="paragraph" w:customStyle="1" w:styleId="53">
    <w:name w:val="正文 A"/>
    <w:basedOn w:val="1"/>
    <w:qFormat/>
    <w:uiPriority w:val="0"/>
    <w:pPr>
      <w:spacing w:line="360" w:lineRule="auto"/>
    </w:pPr>
    <w:rPr>
      <w:rFonts w:eastAsia="Arial Unicode MS" w:cs="Arial Unicode MS"/>
      <w:color w:val="000000"/>
      <w:sz w:val="24"/>
    </w:rPr>
  </w:style>
  <w:style w:type="character" w:customStyle="1" w:styleId="54">
    <w:name w:val="15"/>
    <w:qFormat/>
    <w:uiPriority w:val="0"/>
    <w:rPr>
      <w:rFonts w:hint="default" w:ascii="Calibri" w:hAnsi="Calibri"/>
    </w:rPr>
  </w:style>
  <w:style w:type="paragraph" w:customStyle="1" w:styleId="55">
    <w:name w:val="列出段落1"/>
    <w:basedOn w:val="1"/>
    <w:qFormat/>
    <w:uiPriority w:val="99"/>
    <w:pPr>
      <w:ind w:firstLine="420" w:firstLineChars="200"/>
    </w:pPr>
    <w:rPr>
      <w:rFonts w:ascii="Calibri" w:hAnsi="Calibri"/>
      <w:szCs w:val="22"/>
    </w:rPr>
  </w:style>
  <w:style w:type="paragraph" w:customStyle="1" w:styleId="56">
    <w:name w:val="Table Paragraph"/>
    <w:basedOn w:val="1"/>
    <w:qFormat/>
    <w:uiPriority w:val="1"/>
    <w:pPr>
      <w:jc w:val="left"/>
    </w:pPr>
    <w:rPr>
      <w:rFonts w:ascii="Calibri" w:hAnsi="Calibri"/>
      <w:kern w:val="0"/>
      <w:sz w:val="22"/>
      <w:szCs w:val="22"/>
      <w:lang w:eastAsia="en-US"/>
    </w:rPr>
  </w:style>
  <w:style w:type="paragraph" w:customStyle="1" w:styleId="57">
    <w:name w:val="无间隔11"/>
    <w:qFormat/>
    <w:uiPriority w:val="99"/>
    <w:pPr>
      <w:adjustRightInd w:val="0"/>
      <w:snapToGrid w:val="0"/>
    </w:pPr>
    <w:rPr>
      <w:rFonts w:ascii="Tahoma" w:hAnsi="Tahoma" w:eastAsia="微软雅黑" w:cs="Times New Roman"/>
      <w:sz w:val="22"/>
      <w:szCs w:val="22"/>
      <w:lang w:val="en-US" w:eastAsia="zh-CN" w:bidi="ar-SA"/>
    </w:rPr>
  </w:style>
  <w:style w:type="paragraph" w:customStyle="1" w:styleId="58">
    <w:name w:val="内文正文"/>
    <w:basedOn w:val="15"/>
    <w:qFormat/>
    <w:uiPriority w:val="99"/>
    <w:pPr>
      <w:adjustRightInd w:val="0"/>
      <w:snapToGrid w:val="0"/>
      <w:ind w:firstLine="200" w:firstLineChars="200"/>
    </w:pPr>
    <w:rPr>
      <w:rFonts w:ascii="Arial" w:hAnsi="Arial"/>
      <w:color w:val="000000"/>
      <w:szCs w:val="21"/>
    </w:rPr>
  </w:style>
  <w:style w:type="paragraph" w:customStyle="1" w:styleId="59">
    <w:name w:val="样式 标题 3 + Arial"/>
    <w:basedOn w:val="5"/>
    <w:qFormat/>
    <w:uiPriority w:val="0"/>
    <w:pPr>
      <w:spacing w:before="100" w:beforeLines="100" w:after="0" w:line="360" w:lineRule="auto"/>
    </w:pPr>
    <w:rPr>
      <w:rFonts w:ascii="Arial" w:hAnsi="Arial"/>
      <w:sz w:val="24"/>
    </w:rPr>
  </w:style>
  <w:style w:type="paragraph" w:customStyle="1" w:styleId="60">
    <w:name w:val="样式 样式1 + 首行缩进:  2 字符"/>
    <w:basedOn w:val="1"/>
    <w:qFormat/>
    <w:uiPriority w:val="0"/>
    <w:pPr>
      <w:spacing w:line="360" w:lineRule="exact"/>
      <w:ind w:firstLine="420" w:firstLineChars="200"/>
    </w:pPr>
    <w:rPr>
      <w:rFonts w:ascii="Arial" w:hAnsi="Arial" w:cs="宋体"/>
      <w:szCs w:val="20"/>
    </w:rPr>
  </w:style>
  <w:style w:type="paragraph" w:customStyle="1" w:styleId="61">
    <w:name w:val="样式 标题 2 + Times New Roman 四号 非加粗 段前: 5 磅 段后: 0 磅 行距: 固定值 20..."/>
    <w:basedOn w:val="4"/>
    <w:qFormat/>
    <w:uiPriority w:val="0"/>
    <w:pPr>
      <w:tabs>
        <w:tab w:val="left" w:pos="3765"/>
      </w:tabs>
      <w:spacing w:before="100" w:after="0" w:line="400" w:lineRule="exact"/>
    </w:pPr>
    <w:rPr>
      <w:rFonts w:ascii="Times New Roman" w:hAnsi="Times New Roman" w:cs="宋体"/>
      <w:b w:val="0"/>
      <w:bCs w:val="0"/>
      <w:sz w:val="28"/>
      <w:szCs w:val="20"/>
    </w:rPr>
  </w:style>
  <w:style w:type="paragraph" w:customStyle="1" w:styleId="62">
    <w:name w:val="标题4"/>
    <w:basedOn w:val="1"/>
    <w:qFormat/>
    <w:uiPriority w:val="0"/>
    <w:rPr>
      <w:rFonts w:eastAsia="仿宋_GB2312"/>
      <w:sz w:val="32"/>
      <w:szCs w:val="20"/>
    </w:rPr>
  </w:style>
  <w:style w:type="character" w:customStyle="1" w:styleId="63">
    <w:name w:val="font161"/>
    <w:basedOn w:val="34"/>
    <w:qFormat/>
    <w:uiPriority w:val="0"/>
    <w:rPr>
      <w:rFonts w:hint="eastAsia" w:ascii="宋体" w:hAnsi="宋体" w:eastAsia="宋体" w:cs="宋体"/>
      <w:b/>
      <w:bCs/>
      <w:color w:val="000000"/>
      <w:sz w:val="28"/>
      <w:szCs w:val="28"/>
      <w:u w:val="none"/>
    </w:rPr>
  </w:style>
  <w:style w:type="character" w:customStyle="1" w:styleId="64">
    <w:name w:val="font171"/>
    <w:basedOn w:val="34"/>
    <w:qFormat/>
    <w:uiPriority w:val="0"/>
    <w:rPr>
      <w:rFonts w:hint="eastAsia" w:ascii="宋体" w:hAnsi="宋体" w:eastAsia="宋体" w:cs="宋体"/>
      <w:color w:val="000000"/>
      <w:sz w:val="22"/>
      <w:szCs w:val="22"/>
      <w:u w:val="none"/>
    </w:rPr>
  </w:style>
  <w:style w:type="character" w:customStyle="1" w:styleId="65">
    <w:name w:val="font191"/>
    <w:basedOn w:val="34"/>
    <w:qFormat/>
    <w:uiPriority w:val="0"/>
    <w:rPr>
      <w:rFonts w:hint="eastAsia" w:ascii="宋体" w:hAnsi="宋体" w:eastAsia="宋体" w:cs="宋体"/>
      <w:b/>
      <w:bCs/>
      <w:color w:val="000000"/>
      <w:sz w:val="24"/>
      <w:szCs w:val="24"/>
      <w:u w:val="none"/>
    </w:rPr>
  </w:style>
  <w:style w:type="character" w:customStyle="1" w:styleId="66">
    <w:name w:val="font201"/>
    <w:basedOn w:val="34"/>
    <w:qFormat/>
    <w:uiPriority w:val="0"/>
    <w:rPr>
      <w:rFonts w:hint="eastAsia" w:ascii="宋体" w:hAnsi="宋体" w:eastAsia="宋体" w:cs="宋体"/>
      <w:color w:val="000000"/>
      <w:sz w:val="24"/>
      <w:szCs w:val="24"/>
      <w:u w:val="none"/>
    </w:rPr>
  </w:style>
  <w:style w:type="character" w:customStyle="1" w:styleId="67">
    <w:name w:val="font151"/>
    <w:basedOn w:val="34"/>
    <w:qFormat/>
    <w:uiPriority w:val="0"/>
    <w:rPr>
      <w:rFonts w:hint="eastAsia" w:ascii="宋体" w:hAnsi="宋体" w:eastAsia="宋体" w:cs="宋体"/>
      <w:color w:val="000000"/>
      <w:sz w:val="24"/>
      <w:szCs w:val="24"/>
      <w:u w:val="none"/>
    </w:rPr>
  </w:style>
  <w:style w:type="character" w:customStyle="1" w:styleId="68">
    <w:name w:val="font212"/>
    <w:basedOn w:val="34"/>
    <w:qFormat/>
    <w:uiPriority w:val="0"/>
    <w:rPr>
      <w:rFonts w:hint="default" w:ascii="Times New Roman" w:hAnsi="Times New Roman" w:cs="Times New Roman"/>
      <w:color w:val="000000"/>
      <w:sz w:val="24"/>
      <w:szCs w:val="24"/>
      <w:u w:val="none"/>
    </w:rPr>
  </w:style>
  <w:style w:type="character" w:customStyle="1" w:styleId="69">
    <w:name w:val="font41"/>
    <w:basedOn w:val="34"/>
    <w:qFormat/>
    <w:uiPriority w:val="0"/>
    <w:rPr>
      <w:rFonts w:hint="eastAsia" w:ascii="宋体" w:hAnsi="宋体" w:eastAsia="宋体" w:cs="宋体"/>
      <w:color w:val="000000"/>
      <w:sz w:val="32"/>
      <w:szCs w:val="32"/>
      <w:u w:val="none"/>
    </w:rPr>
  </w:style>
  <w:style w:type="character" w:customStyle="1" w:styleId="70">
    <w:name w:val="font21"/>
    <w:basedOn w:val="34"/>
    <w:qFormat/>
    <w:uiPriority w:val="0"/>
    <w:rPr>
      <w:rFonts w:hint="eastAsia" w:ascii="宋体" w:hAnsi="宋体" w:eastAsia="宋体" w:cs="宋体"/>
      <w:b/>
      <w:bCs/>
      <w:color w:val="000000"/>
      <w:sz w:val="32"/>
      <w:szCs w:val="32"/>
      <w:u w:val="none"/>
    </w:rPr>
  </w:style>
  <w:style w:type="character" w:customStyle="1" w:styleId="71">
    <w:name w:val="font01"/>
    <w:basedOn w:val="34"/>
    <w:qFormat/>
    <w:uiPriority w:val="0"/>
    <w:rPr>
      <w:rFonts w:hint="eastAsia" w:ascii="宋体" w:hAnsi="宋体" w:eastAsia="宋体" w:cs="宋体"/>
      <w:b/>
      <w:bCs/>
      <w:color w:val="000000"/>
      <w:sz w:val="36"/>
      <w:szCs w:val="36"/>
      <w:u w:val="none"/>
    </w:rPr>
  </w:style>
  <w:style w:type="character" w:customStyle="1" w:styleId="72">
    <w:name w:val="font11"/>
    <w:basedOn w:val="34"/>
    <w:qFormat/>
    <w:uiPriority w:val="0"/>
    <w:rPr>
      <w:rFonts w:hint="default" w:ascii="Times New Roman" w:hAnsi="Times New Roman" w:cs="Times New Roman"/>
      <w:color w:val="000000"/>
      <w:sz w:val="22"/>
      <w:szCs w:val="22"/>
      <w:u w:val="none"/>
    </w:rPr>
  </w:style>
  <w:style w:type="paragraph" w:customStyle="1" w:styleId="73">
    <w:name w:val="正文段"/>
    <w:basedOn w:val="1"/>
    <w:qFormat/>
    <w:uiPriority w:val="0"/>
    <w:pPr>
      <w:widowControl/>
      <w:snapToGrid w:val="0"/>
      <w:spacing w:after="156" w:afterLines="50"/>
      <w:ind w:firstLine="200" w:firstLineChars="200"/>
    </w:pPr>
    <w:rPr>
      <w:kern w:val="0"/>
      <w:sz w:val="24"/>
      <w:szCs w:val="20"/>
    </w:rPr>
  </w:style>
  <w:style w:type="character" w:customStyle="1" w:styleId="74">
    <w:name w:val="font71"/>
    <w:basedOn w:val="34"/>
    <w:qFormat/>
    <w:uiPriority w:val="0"/>
    <w:rPr>
      <w:rFonts w:hint="default" w:ascii="Times New Roman" w:hAnsi="Times New Roman" w:cs="Times New Roman"/>
      <w:b/>
      <w:bCs/>
      <w:color w:val="000000"/>
      <w:sz w:val="18"/>
      <w:szCs w:val="18"/>
      <w:u w:val="none"/>
    </w:rPr>
  </w:style>
  <w:style w:type="character" w:customStyle="1" w:styleId="75">
    <w:name w:val="font81"/>
    <w:basedOn w:val="34"/>
    <w:qFormat/>
    <w:uiPriority w:val="0"/>
    <w:rPr>
      <w:rFonts w:hint="eastAsia" w:ascii="宋体" w:hAnsi="宋体" w:eastAsia="宋体" w:cs="宋体"/>
      <w:b/>
      <w:bCs/>
      <w:color w:val="000000"/>
      <w:sz w:val="24"/>
      <w:szCs w:val="24"/>
      <w:u w:val="none"/>
    </w:rPr>
  </w:style>
  <w:style w:type="character" w:customStyle="1" w:styleId="76">
    <w:name w:val="font91"/>
    <w:basedOn w:val="34"/>
    <w:qFormat/>
    <w:uiPriority w:val="0"/>
    <w:rPr>
      <w:rFonts w:hint="eastAsia" w:ascii="宋体" w:hAnsi="宋体" w:eastAsia="宋体" w:cs="宋体"/>
      <w:color w:val="000000"/>
      <w:sz w:val="18"/>
      <w:szCs w:val="18"/>
      <w:u w:val="none"/>
    </w:rPr>
  </w:style>
  <w:style w:type="character" w:customStyle="1" w:styleId="77">
    <w:name w:val="font51"/>
    <w:basedOn w:val="34"/>
    <w:qFormat/>
    <w:uiPriority w:val="0"/>
    <w:rPr>
      <w:rFonts w:hint="eastAsia" w:ascii="宋体" w:hAnsi="宋体" w:eastAsia="宋体" w:cs="宋体"/>
      <w:color w:val="000000"/>
      <w:sz w:val="24"/>
      <w:szCs w:val="24"/>
      <w:u w:val="none"/>
    </w:rPr>
  </w:style>
  <w:style w:type="character" w:customStyle="1" w:styleId="78">
    <w:name w:val="font31"/>
    <w:basedOn w:val="34"/>
    <w:qFormat/>
    <w:uiPriority w:val="0"/>
    <w:rPr>
      <w:rFonts w:hint="eastAsia" w:ascii="宋体" w:hAnsi="宋体" w:eastAsia="宋体" w:cs="宋体"/>
      <w:color w:val="000000"/>
      <w:sz w:val="22"/>
      <w:szCs w:val="22"/>
      <w:u w:val="none"/>
    </w:rPr>
  </w:style>
  <w:style w:type="character" w:customStyle="1" w:styleId="79">
    <w:name w:val="font61"/>
    <w:basedOn w:val="34"/>
    <w:qFormat/>
    <w:uiPriority w:val="0"/>
    <w:rPr>
      <w:rFonts w:hint="default" w:ascii="Times New Roman" w:hAnsi="Times New Roman" w:cs="Times New Roman"/>
      <w:b/>
      <w:bCs/>
      <w:color w:val="000000"/>
      <w:sz w:val="21"/>
      <w:szCs w:val="21"/>
      <w:u w:val="none"/>
    </w:rPr>
  </w:style>
  <w:style w:type="paragraph" w:customStyle="1" w:styleId="80">
    <w:name w:val="Table Text"/>
    <w:basedOn w:val="1"/>
    <w:semiHidden/>
    <w:qFormat/>
    <w:uiPriority w:val="0"/>
    <w:rPr>
      <w:rFonts w:ascii="宋体" w:hAnsi="宋体" w:cs="宋体"/>
      <w:sz w:val="28"/>
      <w:szCs w:val="28"/>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84</Pages>
  <Words>5215</Words>
  <Characters>5746</Characters>
  <Lines>380</Lines>
  <Paragraphs>106</Paragraphs>
  <TotalTime>3</TotalTime>
  <ScaleCrop>false</ScaleCrop>
  <LinksUpToDate>false</LinksUpToDate>
  <CharactersWithSpaces>5996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2021-10-23T07:49:00Z</dcterms:created>
  <dc:creator>123</dc:creator>
  <cp:lastModifiedBy>潇洒兄弟</cp:lastModifiedBy>
  <cp:lastPrinted>2024-12-26T06:51:00Z</cp:lastPrinted>
  <dcterms:modified xsi:type="dcterms:W3CDTF">2024-12-27T06:23:06Z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5FE76F1079AA490DA575EE47FB0416E7_13</vt:lpwstr>
  </property>
</Properties>
</file>