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adjustRightInd/>
        <w:spacing w:line="360" w:lineRule="auto"/>
        <w:jc w:val="center"/>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杭州第九中学树范学校</w:t>
      </w:r>
    </w:p>
    <w:p>
      <w:pPr>
        <w:adjustRightInd/>
        <w:spacing w:line="360" w:lineRule="auto"/>
        <w:jc w:val="center"/>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 xml:space="preserve">计算机网络及网络安全系统采购项目 </w:t>
      </w:r>
    </w:p>
    <w:p>
      <w:pPr>
        <w:adjustRightInd/>
        <w:spacing w:line="360" w:lineRule="auto"/>
        <w:jc w:val="center"/>
        <w:rPr>
          <w:rFonts w:hint="eastAsia" w:ascii="宋体" w:hAnsi="宋体" w:cs="宋体"/>
          <w:sz w:val="48"/>
          <w:szCs w:val="48"/>
        </w:rPr>
      </w:pPr>
    </w:p>
    <w:p>
      <w:pPr>
        <w:adjustRightInd/>
        <w:spacing w:line="360" w:lineRule="auto"/>
        <w:jc w:val="center"/>
        <w:rPr>
          <w:rFonts w:hint="eastAsia" w:ascii="宋体" w:hAnsi="宋体" w:cs="宋体"/>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72"/>
          <w:szCs w:val="72"/>
        </w:rPr>
        <w:t>招标文件</w:t>
      </w:r>
      <w:r>
        <w:rPr>
          <w:rFonts w:hint="eastAsia" w:ascii="宋体" w:hAnsi="宋体" w:cs="宋体"/>
          <w:sz w:val="48"/>
          <w:szCs w:val="48"/>
        </w:rPr>
        <w:t xml:space="preserve"> </w:t>
      </w:r>
    </w:p>
    <w:p>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cs="宋体"/>
          <w:sz w:val="30"/>
          <w:szCs w:val="30"/>
        </w:rPr>
      </w:pPr>
      <w:r>
        <w:rPr>
          <w:rFonts w:hint="eastAsia" w:ascii="宋体" w:hAnsi="宋体" w:cs="宋体"/>
          <w:sz w:val="30"/>
          <w:szCs w:val="30"/>
        </w:rPr>
        <w:t>项目编号：ZYZB-GK-2025-004</w:t>
      </w:r>
    </w:p>
    <w:p>
      <w:pPr>
        <w:adjustRightInd/>
        <w:spacing w:line="360" w:lineRule="auto"/>
        <w:rPr>
          <w:rFonts w:hint="eastAsia" w:ascii="宋体" w:hAnsi="宋体" w:cs="宋体"/>
          <w:sz w:val="28"/>
          <w:szCs w:val="20"/>
        </w:rPr>
      </w:pPr>
    </w:p>
    <w:p>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rPr>
          <w:rFonts w:hint="eastAsia" w:ascii="宋体" w:hAnsi="宋体" w:cs="宋体"/>
          <w:sz w:val="32"/>
          <w:szCs w:val="32"/>
        </w:rPr>
      </w:pPr>
    </w:p>
    <w:p>
      <w:pPr>
        <w:snapToGrid w:val="0"/>
        <w:spacing w:line="360" w:lineRule="auto"/>
        <w:jc w:val="center"/>
        <w:rPr>
          <w:rFonts w:hint="eastAsia" w:ascii="宋体" w:hAnsi="宋体" w:cs="宋体"/>
          <w:sz w:val="32"/>
          <w:szCs w:val="32"/>
        </w:rPr>
      </w:pPr>
      <w:r>
        <w:rPr>
          <w:rFonts w:hint="eastAsia" w:ascii="宋体" w:hAnsi="宋体" w:cs="宋体"/>
          <w:sz w:val="32"/>
          <w:szCs w:val="32"/>
        </w:rPr>
        <w:t>杭州第九中学树范学校</w:t>
      </w:r>
    </w:p>
    <w:p>
      <w:pPr>
        <w:spacing w:line="360" w:lineRule="auto"/>
        <w:jc w:val="center"/>
        <w:rPr>
          <w:rFonts w:hint="eastAsia" w:ascii="宋体" w:hAnsi="宋体" w:cs="宋体"/>
          <w:bCs/>
          <w:sz w:val="32"/>
          <w:szCs w:val="32"/>
        </w:rPr>
      </w:pPr>
      <w:r>
        <w:rPr>
          <w:rFonts w:hint="eastAsia" w:ascii="宋体" w:hAnsi="宋体" w:cs="宋体"/>
          <w:bCs/>
          <w:sz w:val="32"/>
          <w:szCs w:val="32"/>
        </w:rPr>
        <w:t>杭州洲源招标代理有限公司</w:t>
      </w:r>
    </w:p>
    <w:p>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二〇二五年一月</w:t>
      </w:r>
    </w:p>
    <w:p>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hint="eastAsia" w:ascii="宋体" w:hAnsi="宋体" w:cs="宋体"/>
          <w:b/>
          <w:sz w:val="48"/>
          <w:szCs w:val="48"/>
        </w:rPr>
      </w:pPr>
      <w:r>
        <w:rPr>
          <w:rFonts w:hint="eastAsia" w:ascii="宋体" w:hAnsi="宋体" w:cs="宋体"/>
          <w:b/>
          <w:sz w:val="48"/>
          <w:szCs w:val="48"/>
        </w:rPr>
        <w:t>目  录</w:t>
      </w:r>
    </w:p>
    <w:p>
      <w:pPr>
        <w:spacing w:line="360" w:lineRule="auto"/>
        <w:rPr>
          <w:rFonts w:hint="eastAsia" w:ascii="宋体" w:hAnsi="宋体" w:cs="宋体"/>
          <w:sz w:val="32"/>
          <w:szCs w:val="32"/>
        </w:rPr>
      </w:pPr>
    </w:p>
    <w:p>
      <w:pPr>
        <w:spacing w:line="360" w:lineRule="auto"/>
        <w:rPr>
          <w:rFonts w:hint="eastAsia" w:ascii="宋体" w:hAnsi="宋体" w:cs="宋体"/>
          <w:sz w:val="32"/>
          <w:szCs w:val="32"/>
        </w:rPr>
      </w:pPr>
    </w:p>
    <w:p>
      <w:pPr>
        <w:spacing w:line="480" w:lineRule="auto"/>
        <w:ind w:firstLine="2560" w:firstLineChars="800"/>
        <w:rPr>
          <w:rFonts w:hint="eastAsia" w:ascii="宋体" w:hAnsi="宋体" w:cs="宋体"/>
          <w:sz w:val="32"/>
          <w:szCs w:val="32"/>
        </w:rPr>
      </w:pPr>
      <w:r>
        <w:rPr>
          <w:rFonts w:hint="eastAsia" w:ascii="宋体" w:hAnsi="宋体" w:cs="宋体"/>
          <w:sz w:val="32"/>
          <w:szCs w:val="32"/>
        </w:rPr>
        <w:t>第一部分      招标公告</w:t>
      </w:r>
    </w:p>
    <w:p>
      <w:pPr>
        <w:spacing w:line="480" w:lineRule="auto"/>
        <w:ind w:firstLine="2560" w:firstLineChars="800"/>
        <w:rPr>
          <w:rFonts w:hint="eastAsia" w:ascii="宋体" w:hAnsi="宋体" w:cs="宋体"/>
          <w:sz w:val="32"/>
          <w:szCs w:val="32"/>
        </w:rPr>
      </w:pPr>
      <w:r>
        <w:rPr>
          <w:rFonts w:hint="eastAsia" w:ascii="宋体" w:hAnsi="宋体" w:cs="宋体"/>
          <w:sz w:val="32"/>
          <w:szCs w:val="32"/>
        </w:rPr>
        <w:t>第二部分      投标人须知</w:t>
      </w:r>
    </w:p>
    <w:p>
      <w:pPr>
        <w:spacing w:line="480" w:lineRule="auto"/>
        <w:ind w:firstLine="2560" w:firstLineChars="800"/>
        <w:rPr>
          <w:rFonts w:hint="eastAsia" w:ascii="宋体" w:hAnsi="宋体" w:cs="宋体"/>
          <w:sz w:val="32"/>
          <w:szCs w:val="32"/>
        </w:rPr>
      </w:pPr>
      <w:r>
        <w:rPr>
          <w:rFonts w:hint="eastAsia" w:ascii="宋体" w:hAnsi="宋体" w:cs="宋体"/>
          <w:sz w:val="32"/>
          <w:szCs w:val="32"/>
        </w:rPr>
        <w:t>第三部分      采购需求</w:t>
      </w:r>
    </w:p>
    <w:p>
      <w:pPr>
        <w:spacing w:line="480" w:lineRule="auto"/>
        <w:ind w:firstLine="2560" w:firstLineChars="800"/>
        <w:rPr>
          <w:rFonts w:hint="eastAsia" w:ascii="宋体" w:hAnsi="宋体" w:cs="宋体"/>
          <w:sz w:val="32"/>
          <w:szCs w:val="32"/>
        </w:rPr>
      </w:pPr>
      <w:r>
        <w:rPr>
          <w:rFonts w:hint="eastAsia" w:ascii="宋体" w:hAnsi="宋体" w:cs="宋体"/>
          <w:sz w:val="32"/>
          <w:szCs w:val="32"/>
        </w:rPr>
        <w:t>第四部分      评标办法</w:t>
      </w:r>
    </w:p>
    <w:p>
      <w:pPr>
        <w:spacing w:line="480" w:lineRule="auto"/>
        <w:ind w:firstLine="2560" w:firstLineChars="800"/>
        <w:rPr>
          <w:rFonts w:hint="eastAsia" w:ascii="宋体" w:hAnsi="宋体" w:cs="宋体"/>
          <w:sz w:val="32"/>
          <w:szCs w:val="32"/>
        </w:rPr>
      </w:pPr>
      <w:r>
        <w:rPr>
          <w:rFonts w:hint="eastAsia" w:ascii="宋体" w:hAnsi="宋体" w:cs="宋体"/>
          <w:sz w:val="32"/>
          <w:szCs w:val="32"/>
        </w:rPr>
        <w:t>第五部分      拟签订的合同文本</w:t>
      </w:r>
    </w:p>
    <w:p>
      <w:pPr>
        <w:spacing w:line="480" w:lineRule="auto"/>
        <w:ind w:firstLine="2560" w:firstLineChars="800"/>
        <w:rPr>
          <w:rFonts w:hint="eastAsia" w:ascii="宋体" w:hAnsi="宋体" w:cs="宋体"/>
          <w:sz w:val="24"/>
        </w:rPr>
      </w:pPr>
      <w:r>
        <w:rPr>
          <w:rFonts w:hint="eastAsia" w:ascii="宋体" w:hAnsi="宋体" w:cs="宋体"/>
          <w:sz w:val="32"/>
          <w:szCs w:val="32"/>
        </w:rPr>
        <w:t>第六部分      应提交的有关格式范例</w:t>
      </w:r>
      <w:bookmarkStart w:id="1" w:name="_Hlt91233176"/>
      <w:bookmarkEnd w:id="1"/>
      <w:bookmarkStart w:id="2" w:name="_Toc91899869"/>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rPr>
          <w:rFonts w:hint="eastAsia" w:ascii="宋体" w:hAnsi="宋体" w:cs="宋体"/>
          <w:sz w:val="24"/>
        </w:rPr>
      </w:pPr>
    </w:p>
    <w:p>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宋体" w:hAnsi="宋体" w:cs="宋体"/>
          <w:sz w:val="24"/>
        </w:rPr>
      </w:pPr>
      <w:r>
        <w:rPr>
          <w:rFonts w:hint="eastAsia" w:ascii="宋体" w:hAnsi="宋体" w:cs="宋体"/>
          <w:sz w:val="24"/>
        </w:rPr>
        <w:t>杭州第九中学树范学校计算机网络及网络安全系统采购项目招标项目的潜在投标人应在政采云平台（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rPr>
        <w:t>2025年02月1</w:t>
      </w:r>
      <w:r>
        <w:rPr>
          <w:rFonts w:hint="eastAsia" w:ascii="宋体" w:hAnsi="宋体" w:cs="宋体"/>
          <w:sz w:val="24"/>
          <w:lang w:val="en-US" w:eastAsia="zh-CN"/>
        </w:rPr>
        <w:t>7</w:t>
      </w:r>
      <w:r>
        <w:rPr>
          <w:rFonts w:hint="eastAsia" w:ascii="宋体" w:hAnsi="宋体" w:cs="宋体"/>
          <w:sz w:val="24"/>
        </w:rPr>
        <w:t>日</w:t>
      </w:r>
      <w:r>
        <w:rPr>
          <w:rFonts w:hint="eastAsia" w:ascii="宋体" w:hAnsi="宋体" w:cs="宋体"/>
          <w:sz w:val="24"/>
        </w:rPr>
        <w:fldChar w:fldCharType="end"/>
      </w:r>
      <w:r>
        <w:rPr>
          <w:rFonts w:hint="eastAsia" w:ascii="宋体" w:hAnsi="宋体" w:cs="宋体"/>
          <w:sz w:val="24"/>
        </w:rPr>
        <w:t>13</w:t>
      </w:r>
      <w:r>
        <w:rPr>
          <w:rFonts w:hint="eastAsia" w:ascii="宋体" w:hAnsi="宋体" w:cs="宋体"/>
          <w:bCs/>
          <w:sz w:val="24"/>
        </w:rPr>
        <w:t>:00（北京时间）前</w:t>
      </w:r>
      <w:r>
        <w:rPr>
          <w:rFonts w:hint="eastAsia" w:ascii="宋体" w:hAnsi="宋体" w:cs="宋体"/>
          <w:sz w:val="24"/>
        </w:rPr>
        <w:t>递交（上传）投标文件。</w:t>
      </w:r>
    </w:p>
    <w:p>
      <w:pPr>
        <w:spacing w:before="120" w:beforeLines="50" w:line="360" w:lineRule="auto"/>
        <w:rPr>
          <w:rFonts w:hint="eastAsia"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cs="宋体"/>
          <w:sz w:val="24"/>
        </w:rPr>
      </w:pPr>
      <w:r>
        <w:rPr>
          <w:rFonts w:hint="eastAsia" w:ascii="宋体" w:hAnsi="宋体" w:cs="宋体"/>
          <w:sz w:val="24"/>
        </w:rPr>
        <w:t xml:space="preserve">    项目编号：ZYZB-GK-2025-004</w:t>
      </w:r>
    </w:p>
    <w:p>
      <w:pPr>
        <w:spacing w:line="360" w:lineRule="auto"/>
        <w:rPr>
          <w:rFonts w:hint="eastAsia" w:ascii="宋体" w:hAnsi="宋体" w:cs="宋体"/>
          <w:sz w:val="24"/>
        </w:rPr>
      </w:pPr>
      <w:r>
        <w:rPr>
          <w:rFonts w:hint="eastAsia" w:ascii="宋体" w:hAnsi="宋体" w:cs="宋体"/>
          <w:sz w:val="24"/>
        </w:rPr>
        <w:t xml:space="preserve">    项目名称：杭州第九中学树范学校计算机网络及网络安全系统采购项目 </w:t>
      </w:r>
    </w:p>
    <w:p>
      <w:pPr>
        <w:spacing w:line="360" w:lineRule="auto"/>
        <w:rPr>
          <w:rFonts w:hint="eastAsia" w:ascii="宋体" w:hAnsi="宋体" w:cs="宋体"/>
          <w:sz w:val="24"/>
        </w:rPr>
      </w:pPr>
      <w:r>
        <w:rPr>
          <w:rFonts w:hint="eastAsia" w:ascii="宋体" w:hAnsi="宋体" w:cs="宋体"/>
          <w:sz w:val="24"/>
        </w:rPr>
        <w:t xml:space="preserve">    预算金额（元）：3855000.00</w:t>
      </w:r>
    </w:p>
    <w:p>
      <w:pPr>
        <w:spacing w:line="360" w:lineRule="auto"/>
        <w:ind w:firstLine="480"/>
        <w:rPr>
          <w:rFonts w:hint="eastAsia" w:ascii="宋体" w:hAnsi="宋体" w:cs="宋体"/>
          <w:sz w:val="24"/>
        </w:rPr>
      </w:pPr>
      <w:r>
        <w:rPr>
          <w:rFonts w:hint="eastAsia" w:ascii="宋体" w:hAnsi="宋体" w:cs="宋体"/>
          <w:sz w:val="24"/>
        </w:rPr>
        <w:t>最高限价（元）：3855000.00 </w:t>
      </w:r>
    </w:p>
    <w:p>
      <w:pPr>
        <w:pStyle w:val="6"/>
        <w:spacing w:line="360" w:lineRule="auto"/>
        <w:ind w:firstLine="480"/>
        <w:rPr>
          <w:rFonts w:hint="eastAsia" w:hAnsi="宋体" w:cs="宋体"/>
          <w:color w:val="auto"/>
          <w:sz w:val="24"/>
        </w:rPr>
      </w:pPr>
      <w:r>
        <w:rPr>
          <w:rFonts w:hint="eastAsia" w:hAnsi="宋体" w:cs="宋体"/>
          <w:color w:val="auto"/>
          <w:sz w:val="24"/>
        </w:rPr>
        <w:t>采购需求：</w:t>
      </w:r>
    </w:p>
    <w:p>
      <w:pPr>
        <w:pStyle w:val="6"/>
        <w:spacing w:line="360" w:lineRule="auto"/>
        <w:ind w:firstLine="480"/>
        <w:rPr>
          <w:rFonts w:hint="eastAsia" w:hAnsi="宋体" w:cs="宋体"/>
          <w:color w:val="auto"/>
          <w:sz w:val="24"/>
        </w:rPr>
      </w:pPr>
    </w:p>
    <w:p>
      <w:pPr>
        <w:pStyle w:val="57"/>
        <w:spacing w:before="0" w:beforeAutospacing="0" w:after="0" w:afterAutospacing="0" w:line="360" w:lineRule="auto"/>
        <w:ind w:firstLine="480"/>
        <w:jc w:val="both"/>
        <w:rPr>
          <w:rFonts w:hint="eastAsia" w:cs="宋体"/>
          <w:sz w:val="21"/>
          <w:szCs w:val="21"/>
        </w:rPr>
      </w:pPr>
      <w:r>
        <w:rPr>
          <w:rFonts w:hint="eastAsia" w:cs="宋体"/>
        </w:rPr>
        <w:t>标项名称：杭州第九中学树范学校计算机网络及网络安全系统采购项目  </w:t>
      </w:r>
    </w:p>
    <w:p>
      <w:pPr>
        <w:pStyle w:val="57"/>
        <w:spacing w:before="0" w:beforeAutospacing="0" w:after="0" w:afterAutospacing="0" w:line="360" w:lineRule="auto"/>
        <w:ind w:firstLine="480"/>
        <w:jc w:val="both"/>
        <w:rPr>
          <w:rFonts w:hint="eastAsia" w:cs="宋体"/>
          <w:sz w:val="21"/>
          <w:szCs w:val="21"/>
        </w:rPr>
      </w:pPr>
      <w:r>
        <w:rPr>
          <w:rFonts w:hint="eastAsia" w:cs="宋体"/>
        </w:rPr>
        <w:t>数量：1  </w:t>
      </w:r>
    </w:p>
    <w:p>
      <w:pPr>
        <w:spacing w:line="360" w:lineRule="auto"/>
        <w:ind w:firstLine="480" w:firstLineChars="200"/>
        <w:rPr>
          <w:rFonts w:hint="eastAsia" w:ascii="宋体" w:hAnsi="宋体" w:cs="宋体"/>
          <w:bCs/>
          <w:sz w:val="24"/>
        </w:rPr>
      </w:pPr>
      <w:r>
        <w:rPr>
          <w:rFonts w:hint="eastAsia" w:ascii="宋体" w:hAnsi="宋体" w:cs="宋体"/>
          <w:sz w:val="24"/>
        </w:rPr>
        <w:t>预算金额（元）：3855000.00</w:t>
      </w:r>
    </w:p>
    <w:p>
      <w:pPr>
        <w:spacing w:line="360" w:lineRule="auto"/>
        <w:ind w:firstLine="480" w:firstLineChars="200"/>
        <w:rPr>
          <w:rFonts w:hint="eastAsia" w:ascii="宋体" w:hAnsi="宋体" w:cs="宋体"/>
          <w:bCs/>
          <w:sz w:val="24"/>
        </w:rPr>
      </w:pPr>
      <w:r>
        <w:rPr>
          <w:rFonts w:hint="eastAsia" w:ascii="宋体" w:hAnsi="宋体" w:cs="宋体"/>
          <w:bCs/>
          <w:sz w:val="24"/>
        </w:rPr>
        <w:t>简要规格描述或项目基本概况介绍、用途：</w:t>
      </w:r>
      <w:r>
        <w:rPr>
          <w:rFonts w:hint="eastAsia" w:hAnsi="宋体" w:cs="宋体"/>
          <w:bCs/>
          <w:sz w:val="24"/>
        </w:rPr>
        <w:t>杭州第九中学树范学校计算机网络及网络安全系统采购项目，主要内容包括全光校园网系统、无线网络系统、云计算资源系统、网络安全系统、机房运维系统、网络中心机房系统等。</w:t>
      </w:r>
      <w:r>
        <w:rPr>
          <w:rFonts w:hint="eastAsia" w:asciiTheme="minorEastAsia" w:hAnsiTheme="minorEastAsia" w:eastAsiaTheme="minorEastAsia"/>
          <w:sz w:val="24"/>
        </w:rPr>
        <w:t>具体以招标文件第三部分采购需求为准，供应商可点击本公告下方“浏览采购文件”查看采购需求。</w:t>
      </w:r>
    </w:p>
    <w:p>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rPr>
        <w:t>备注：</w:t>
      </w:r>
    </w:p>
    <w:p>
      <w:pPr>
        <w:autoSpaceDE w:val="0"/>
        <w:spacing w:line="360" w:lineRule="auto"/>
        <w:ind w:firstLine="480" w:firstLineChars="200"/>
        <w:jc w:val="left"/>
        <w:rPr>
          <w:rFonts w:hint="eastAsia" w:ascii="宋体" w:hAnsi="宋体" w:cs="宋体"/>
          <w:bCs/>
          <w:sz w:val="24"/>
        </w:rPr>
      </w:pPr>
    </w:p>
    <w:p>
      <w:pPr>
        <w:autoSpaceDE w:val="0"/>
        <w:spacing w:line="360" w:lineRule="auto"/>
        <w:ind w:firstLine="480" w:firstLineChars="200"/>
        <w:jc w:val="left"/>
        <w:rPr>
          <w:rFonts w:hint="eastAsia" w:ascii="宋体" w:hAnsi="宋体" w:cs="宋体"/>
          <w:bCs/>
          <w:sz w:val="24"/>
        </w:rPr>
      </w:pPr>
      <w:r>
        <w:rPr>
          <w:rFonts w:hint="eastAsia" w:ascii="宋体" w:hAnsi="宋体" w:cs="宋体"/>
          <w:bCs/>
          <w:sz w:val="24"/>
        </w:rPr>
        <w:t>合同履约期限：本项目要求在2025年6月30日前完成实施。</w:t>
      </w:r>
    </w:p>
    <w:p>
      <w:pPr>
        <w:pStyle w:val="6"/>
        <w:spacing w:line="360" w:lineRule="auto"/>
        <w:ind w:firstLine="480"/>
        <w:rPr>
          <w:rFonts w:hint="eastAsia" w:hAnsi="宋体" w:cs="宋体"/>
          <w:b/>
          <w:color w:val="auto"/>
          <w:sz w:val="24"/>
        </w:rPr>
      </w:pPr>
      <w:r>
        <w:rPr>
          <w:rFonts w:hint="eastAsia" w:hAnsi="宋体" w:cs="宋体"/>
          <w:bCs/>
          <w:color w:val="auto"/>
          <w:sz w:val="24"/>
        </w:rPr>
        <w:t>本项目接受联合体投标：</w:t>
      </w:r>
      <w:r>
        <w:rPr>
          <w:rFonts w:hAnsi="宋体" w:cs="宋体"/>
          <w:bCs/>
          <w:color w:val="auto"/>
          <w:kern w:val="0"/>
          <w:sz w:val="24"/>
        </w:rPr>
        <w:sym w:font="Wingdings" w:char="00FE"/>
      </w:r>
      <w:r>
        <w:rPr>
          <w:rFonts w:hint="eastAsia" w:hAnsi="宋体" w:cs="宋体"/>
          <w:bCs/>
          <w:color w:val="auto"/>
          <w:sz w:val="24"/>
        </w:rPr>
        <w:t>是；</w:t>
      </w:r>
      <w:r>
        <w:rPr>
          <w:rFonts w:hAnsi="宋体" w:cs="宋体"/>
          <w:bCs/>
          <w:color w:val="auto"/>
          <w:kern w:val="0"/>
          <w:sz w:val="24"/>
        </w:rPr>
        <w:sym w:font="Wingdings" w:char="00A8"/>
      </w:r>
      <w:r>
        <w:rPr>
          <w:rFonts w:hint="eastAsia" w:hAnsi="宋体" w:cs="宋体"/>
          <w:bCs/>
          <w:color w:val="auto"/>
          <w:sz w:val="24"/>
        </w:rPr>
        <w:t>否</w:t>
      </w:r>
      <w:r>
        <w:rPr>
          <w:rFonts w:hint="eastAsia" w:hAnsi="宋体" w:cs="宋体"/>
          <w:bCs/>
          <w:color w:val="auto"/>
          <w:kern w:val="0"/>
          <w:sz w:val="24"/>
        </w:rPr>
        <w:t>。</w:t>
      </w:r>
    </w:p>
    <w:p>
      <w:pPr>
        <w:spacing w:line="360" w:lineRule="auto"/>
        <w:rPr>
          <w:rFonts w:hint="eastAsia" w:ascii="宋体" w:hAnsi="宋体" w:cs="宋体"/>
          <w:b/>
          <w:sz w:val="24"/>
        </w:rPr>
      </w:pPr>
      <w:r>
        <w:rPr>
          <w:rFonts w:hint="eastAsia" w:ascii="宋体" w:hAnsi="宋体" w:cs="宋体"/>
          <w:b/>
          <w:sz w:val="24"/>
        </w:rPr>
        <w:t>二、申请人的资格要求</w:t>
      </w:r>
    </w:p>
    <w:p>
      <w:pPr>
        <w:spacing w:line="360" w:lineRule="auto"/>
        <w:ind w:firstLine="480"/>
        <w:jc w:val="left"/>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w:t>
      </w:r>
    </w:p>
    <w:p>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hint="eastAsia" w:ascii="宋体" w:hAnsi="宋体" w:cs="宋体"/>
          <w:sz w:val="24"/>
        </w:rPr>
      </w:pPr>
      <w:r>
        <w:rPr>
          <w:rFonts w:hint="eastAsia" w:ascii="宋体" w:hAnsi="宋体" w:cs="宋体"/>
          <w:kern w:val="0"/>
          <w:sz w:val="24"/>
        </w:rPr>
        <w:sym w:font="Wingdings" w:char="00FE"/>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hint="eastAsia"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hint="eastAsia" w:ascii="宋体" w:hAnsi="宋体" w:cs="宋体"/>
          <w:sz w:val="24"/>
          <w:u w:val="single"/>
        </w:rPr>
      </w:pPr>
      <w:r>
        <w:rPr>
          <w:rFonts w:hint="eastAsia" w:ascii="宋体" w:hAnsi="宋体" w:cs="宋体"/>
          <w:kern w:val="0"/>
          <w:sz w:val="24"/>
        </w:rPr>
        <w:sym w:font="Wingdings" w:char="00A8"/>
      </w:r>
      <w:r>
        <w:rPr>
          <w:rFonts w:hint="eastAsia" w:ascii="宋体" w:hAnsi="宋体" w:cs="宋体"/>
          <w:sz w:val="24"/>
        </w:rPr>
        <w:t>货物全部由符合政策要求的中小企业制造，提供中小企业声明函；</w:t>
      </w:r>
    </w:p>
    <w:p>
      <w:pPr>
        <w:spacing w:line="360" w:lineRule="auto"/>
        <w:ind w:firstLine="897" w:firstLineChars="374"/>
        <w:rPr>
          <w:rFonts w:hint="eastAsia" w:ascii="宋体" w:hAnsi="宋体" w:cs="宋体"/>
          <w:sz w:val="24"/>
        </w:rPr>
      </w:pPr>
      <w:r>
        <w:rPr>
          <w:rFonts w:hint="eastAsia" w:ascii="宋体" w:hAnsi="宋体" w:cs="宋体"/>
          <w:kern w:val="0"/>
          <w:sz w:val="24"/>
        </w:rPr>
        <w:sym w:font="Wingdings" w:char="00A8"/>
      </w:r>
      <w:r>
        <w:rPr>
          <w:rFonts w:hint="eastAsia" w:ascii="宋体" w:hAnsi="宋体" w:cs="宋体"/>
          <w:sz w:val="24"/>
        </w:rPr>
        <w:t>货物全部由符合政策要求的小微企业制造，提供中小企业声明函；</w:t>
      </w:r>
    </w:p>
    <w:p>
      <w:pPr>
        <w:spacing w:line="360" w:lineRule="auto"/>
        <w:ind w:firstLine="480" w:firstLineChars="200"/>
        <w:rPr>
          <w:rFonts w:hint="eastAsia" w:ascii="宋体" w:hAnsi="宋体" w:cs="宋体"/>
          <w:kern w:val="0"/>
          <w:sz w:val="24"/>
        </w:rPr>
      </w:pPr>
      <w:r>
        <w:rPr>
          <w:rFonts w:hint="eastAsia" w:ascii="宋体" w:hAnsi="宋体" w:cs="宋体"/>
          <w:kern w:val="0"/>
          <w:sz w:val="24"/>
        </w:rPr>
        <w:sym w:font="Wingdings 2" w:char="00A3"/>
      </w:r>
      <w:r>
        <w:rPr>
          <w:rFonts w:hint="eastAsia" w:ascii="宋体" w:hAnsi="宋体" w:cs="宋体"/>
          <w:kern w:val="0"/>
          <w:sz w:val="24"/>
        </w:rPr>
        <w:t>本项目专门预留份额面向中小企业采购，供应商可通过以下两种方式中的任意一种参加采购活动：</w:t>
      </w:r>
    </w:p>
    <w:p>
      <w:pPr>
        <w:spacing w:line="360" w:lineRule="auto"/>
        <w:ind w:firstLine="480" w:firstLineChars="200"/>
        <w:rPr>
          <w:rFonts w:hint="eastAsia"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要求以联合体形式参加，提供联合协议和中小企业声明函，联合协议中所有标的部分的中小微企业合同金额应当达到40%；如果供应商本身提供所有标的均由中小企业制造、承建或承接，并相应达到了前述比例要求，视同符合了资格条件，无需再与其他中小企业组成联合体参加政府采购活动，无需提供联合协议；专门预留份额面向中小微企业采购的所有标的详见采购需求；</w:t>
      </w:r>
    </w:p>
    <w:p>
      <w:pPr>
        <w:spacing w:line="360" w:lineRule="auto"/>
        <w:ind w:firstLine="480" w:firstLineChars="200"/>
        <w:rPr>
          <w:rFonts w:hint="eastAsia"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要求合同分包，提供分包意向协议和中小企业声明函，分包意向协议中所有标的部分的中小微企业合同金额应当达到40%；如果供应商本身提供所有标的均由中小企业制造、承建或承接，并相应达到了前述比例要求，视同符合了资格条件，无需再向中小企业分包，无需提供分包意向协议；专门预留份额面向中小微企业采购的所有标的详见采购需求。</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本项目的特定资格要求：</w:t>
      </w:r>
    </w:p>
    <w:p>
      <w:pPr>
        <w:spacing w:line="360" w:lineRule="auto"/>
        <w:ind w:firstLine="482" w:firstLineChars="200"/>
        <w:rPr>
          <w:rFonts w:hint="eastAsia" w:ascii="宋体" w:hAnsi="宋体" w:cs="宋体"/>
          <w:b/>
          <w:bCs/>
          <w:sz w:val="24"/>
        </w:rPr>
      </w:pPr>
      <w:r>
        <w:rPr>
          <w:rFonts w:hint="eastAsia" w:ascii="宋体" w:hAnsi="宋体" w:cs="宋体"/>
          <w:b/>
          <w:bCs/>
          <w:snapToGrid w:val="0"/>
          <w:kern w:val="28"/>
          <w:sz w:val="24"/>
          <w:szCs w:val="20"/>
        </w:rPr>
        <w:sym w:font="Wingdings" w:char="00FE"/>
      </w:r>
      <w:r>
        <w:rPr>
          <w:rFonts w:hint="eastAsia" w:ascii="宋体" w:hAnsi="宋体" w:cs="宋体"/>
          <w:b/>
          <w:bCs/>
          <w:sz w:val="24"/>
        </w:rPr>
        <w:t>无。</w:t>
      </w:r>
    </w:p>
    <w:p>
      <w:pPr>
        <w:spacing w:line="360" w:lineRule="auto"/>
        <w:ind w:firstLine="480" w:firstLineChars="200"/>
        <w:rPr>
          <w:rFonts w:hint="eastAsia" w:ascii="宋体" w:hAnsi="宋体" w:cs="宋体"/>
          <w:sz w:val="24"/>
        </w:rPr>
      </w:pPr>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5.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sz w:val="24"/>
        </w:rPr>
      </w:pPr>
      <w:r>
        <w:rPr>
          <w:rFonts w:hint="eastAsia" w:ascii="宋体" w:hAnsi="宋体" w:cs="宋体"/>
          <w:b/>
          <w:sz w:val="24"/>
        </w:rPr>
        <w:t xml:space="preserve">三、获取招标文件 </w:t>
      </w:r>
    </w:p>
    <w:p>
      <w:pPr>
        <w:spacing w:line="360" w:lineRule="auto"/>
        <w:ind w:firstLine="480" w:firstLineChars="200"/>
        <w:rPr>
          <w:rFonts w:hint="eastAsia" w:ascii="宋体" w:hAnsi="宋体" w:cs="宋体"/>
          <w:bCs/>
          <w:sz w:val="24"/>
        </w:rPr>
      </w:pPr>
      <w:r>
        <w:rPr>
          <w:rFonts w:hint="eastAsia" w:ascii="宋体" w:hAnsi="宋体" w:cs="宋体"/>
          <w:bCs/>
          <w:sz w:val="24"/>
        </w:rPr>
        <w:t>时间：/至2025年02月1</w:t>
      </w:r>
      <w:r>
        <w:rPr>
          <w:rFonts w:hint="eastAsia" w:ascii="宋体" w:hAnsi="宋体" w:cs="宋体"/>
          <w:bCs/>
          <w:sz w:val="24"/>
          <w:lang w:val="en-US" w:eastAsia="zh-CN"/>
        </w:rPr>
        <w:t>7</w:t>
      </w:r>
      <w:r>
        <w:rPr>
          <w:rFonts w:hint="eastAsia" w:ascii="宋体" w:hAnsi="宋体" w:cs="宋体"/>
          <w:bCs/>
          <w:sz w:val="24"/>
        </w:rPr>
        <w:t>日，每天上午00:00至12:00 ，下午12:00至23:59（北京时间，线上获取法定节假日均可，线下获取文件法定节假日除外）</w:t>
      </w:r>
    </w:p>
    <w:p>
      <w:pPr>
        <w:spacing w:line="360" w:lineRule="auto"/>
        <w:ind w:firstLine="480" w:firstLineChars="200"/>
        <w:rPr>
          <w:rFonts w:hint="eastAsia" w:ascii="宋体" w:hAnsi="宋体" w:cs="宋体"/>
          <w:bCs/>
          <w:sz w:val="24"/>
        </w:rPr>
      </w:pPr>
      <w:r>
        <w:rPr>
          <w:rFonts w:hint="eastAsia" w:ascii="宋体" w:hAnsi="宋体" w:cs="宋体"/>
          <w:bCs/>
          <w:sz w:val="24"/>
        </w:rPr>
        <w:t xml:space="preserve">地点（网址）：政采云平台（https://www.zcygov.cn/） </w:t>
      </w:r>
    </w:p>
    <w:p>
      <w:pPr>
        <w:spacing w:line="360" w:lineRule="auto"/>
        <w:ind w:firstLine="480" w:firstLineChars="200"/>
        <w:rPr>
          <w:rFonts w:hint="eastAsia" w:ascii="宋体" w:hAnsi="宋体" w:cs="宋体"/>
          <w:bCs/>
          <w:sz w:val="24"/>
        </w:rPr>
      </w:pPr>
      <w:r>
        <w:rPr>
          <w:rFonts w:hint="eastAsia" w:ascii="宋体" w:hAnsi="宋体" w:cs="宋体"/>
          <w:bCs/>
          <w:sz w:val="24"/>
        </w:rPr>
        <w:t xml:space="preserve">方式：投标人登录政采云平台https://www.zcygov.cn/在线申请获取采购文件（进入“项目采购”应用，在获取采购文件菜单中选择项目，申请获取采购文件） </w:t>
      </w:r>
    </w:p>
    <w:p>
      <w:pPr>
        <w:spacing w:line="360" w:lineRule="auto"/>
        <w:ind w:firstLine="480" w:firstLineChars="200"/>
        <w:rPr>
          <w:rFonts w:hint="eastAsia" w:ascii="宋体" w:hAnsi="宋体" w:cs="宋体"/>
          <w:bCs/>
          <w:sz w:val="24"/>
        </w:rPr>
      </w:pPr>
      <w:r>
        <w:rPr>
          <w:rFonts w:hint="eastAsia" w:ascii="宋体" w:hAnsi="宋体" w:cs="宋体"/>
          <w:bCs/>
          <w:sz w:val="24"/>
        </w:rPr>
        <w:t xml:space="preserve">售价（元）：0 </w:t>
      </w:r>
      <w:r>
        <w:rPr>
          <w:rFonts w:hint="eastAsia" w:ascii="宋体" w:hAnsi="宋体" w:cs="宋体"/>
          <w:bCs/>
          <w:sz w:val="24"/>
        </w:rPr>
        <w:tab/>
      </w:r>
    </w:p>
    <w:p>
      <w:pPr>
        <w:spacing w:line="360" w:lineRule="auto"/>
        <w:rPr>
          <w:rFonts w:hint="eastAsia" w:ascii="宋体" w:hAnsi="宋体" w:cs="宋体"/>
          <w:b/>
          <w:sz w:val="24"/>
        </w:rPr>
      </w:pPr>
      <w:r>
        <w:rPr>
          <w:rFonts w:hint="eastAsia" w:ascii="宋体" w:hAnsi="宋体" w:cs="宋体"/>
          <w:b/>
          <w:sz w:val="24"/>
        </w:rPr>
        <w:t>四、提交投标文件截止时间、开标时间和地点</w:t>
      </w:r>
    </w:p>
    <w:p>
      <w:pPr>
        <w:spacing w:line="360" w:lineRule="auto"/>
        <w:ind w:firstLine="480" w:firstLineChars="200"/>
        <w:rPr>
          <w:rFonts w:hint="eastAsia" w:ascii="宋体" w:hAnsi="宋体" w:cs="宋体"/>
          <w:bCs/>
          <w:sz w:val="24"/>
        </w:rPr>
      </w:pPr>
      <w:r>
        <w:rPr>
          <w:rFonts w:hint="eastAsia" w:ascii="宋体" w:hAnsi="宋体" w:cs="宋体"/>
          <w:bCs/>
          <w:sz w:val="24"/>
        </w:rPr>
        <w:t>提交投标文件截止时间：2025年02月1</w:t>
      </w:r>
      <w:r>
        <w:rPr>
          <w:rFonts w:hint="eastAsia" w:ascii="宋体" w:hAnsi="宋体" w:cs="宋体"/>
          <w:bCs/>
          <w:sz w:val="24"/>
          <w:lang w:val="en-US" w:eastAsia="zh-CN"/>
        </w:rPr>
        <w:t>7</w:t>
      </w:r>
      <w:r>
        <w:rPr>
          <w:rFonts w:hint="eastAsia" w:ascii="宋体" w:hAnsi="宋体" w:cs="宋体"/>
          <w:bCs/>
          <w:sz w:val="24"/>
        </w:rPr>
        <w:t>日 13:00（北京时间）</w:t>
      </w:r>
    </w:p>
    <w:p>
      <w:pPr>
        <w:spacing w:line="360" w:lineRule="auto"/>
        <w:ind w:firstLine="480" w:firstLineChars="200"/>
        <w:rPr>
          <w:rFonts w:hint="eastAsia" w:ascii="宋体" w:hAnsi="宋体" w:cs="宋体"/>
          <w:bCs/>
          <w:sz w:val="24"/>
        </w:rPr>
      </w:pPr>
      <w:r>
        <w:rPr>
          <w:rFonts w:hint="eastAsia" w:ascii="宋体" w:hAnsi="宋体" w:cs="宋体"/>
          <w:bCs/>
          <w:sz w:val="24"/>
        </w:rPr>
        <w:t xml:space="preserve">投标地点（网址）：政采云平台（https://www.zcygov.cn/）在线递交 </w:t>
      </w:r>
    </w:p>
    <w:p>
      <w:pPr>
        <w:spacing w:line="360" w:lineRule="auto"/>
        <w:ind w:firstLine="480" w:firstLineChars="200"/>
        <w:rPr>
          <w:rFonts w:hint="eastAsia" w:ascii="宋体" w:hAnsi="宋体" w:cs="宋体"/>
          <w:bCs/>
          <w:sz w:val="24"/>
          <w:u w:val="single"/>
        </w:rPr>
      </w:pPr>
      <w:r>
        <w:rPr>
          <w:rFonts w:hint="eastAsia" w:ascii="宋体" w:hAnsi="宋体" w:cs="宋体"/>
          <w:bCs/>
          <w:sz w:val="24"/>
        </w:rPr>
        <w:t>开标时间：2025年02月1</w:t>
      </w:r>
      <w:r>
        <w:rPr>
          <w:rFonts w:hint="eastAsia" w:ascii="宋体" w:hAnsi="宋体" w:cs="宋体"/>
          <w:bCs/>
          <w:sz w:val="24"/>
          <w:lang w:val="en-US" w:eastAsia="zh-CN"/>
        </w:rPr>
        <w:t>7</w:t>
      </w:r>
      <w:r>
        <w:rPr>
          <w:rFonts w:hint="eastAsia" w:ascii="宋体" w:hAnsi="宋体" w:cs="宋体"/>
          <w:bCs/>
          <w:sz w:val="24"/>
        </w:rPr>
        <w:t>日 13:00（北京时间）</w:t>
      </w:r>
    </w:p>
    <w:p>
      <w:pPr>
        <w:spacing w:line="360" w:lineRule="auto"/>
        <w:ind w:firstLine="480" w:firstLineChars="200"/>
        <w:rPr>
          <w:rFonts w:hint="eastAsia" w:ascii="宋体" w:hAnsi="宋体" w:cs="宋体"/>
          <w:bCs/>
          <w:sz w:val="24"/>
        </w:rPr>
      </w:pPr>
      <w:r>
        <w:rPr>
          <w:rFonts w:hint="eastAsia" w:ascii="宋体" w:hAnsi="宋体" w:cs="宋体"/>
          <w:bCs/>
          <w:sz w:val="24"/>
        </w:rPr>
        <w:t>开标地点（网址）：政采云平台（https://www.zcygov.cn/）（线下：杭州市上城区环站东路99号云峰大厦1幢12楼开标室）</w:t>
      </w:r>
    </w:p>
    <w:p>
      <w:pPr>
        <w:spacing w:line="360" w:lineRule="auto"/>
        <w:rPr>
          <w:rFonts w:hint="eastAsia" w:ascii="宋体" w:hAnsi="宋体" w:cs="宋体"/>
          <w:b/>
          <w:sz w:val="24"/>
        </w:rPr>
      </w:pPr>
      <w:r>
        <w:rPr>
          <w:rFonts w:hint="eastAsia" w:ascii="宋体" w:hAnsi="宋体" w:cs="宋体"/>
          <w:b/>
          <w:sz w:val="24"/>
        </w:rPr>
        <w:t>五、采购意向公开链接</w:t>
      </w:r>
    </w:p>
    <w:p>
      <w:pPr>
        <w:spacing w:line="360" w:lineRule="auto"/>
        <w:ind w:firstLine="720" w:firstLineChars="300"/>
        <w:rPr>
          <w:rFonts w:hint="eastAsia" w:ascii="宋体" w:hAnsi="宋体" w:cs="宋体"/>
          <w:bCs/>
          <w:sz w:val="24"/>
        </w:rPr>
      </w:pPr>
      <w:r>
        <w:rPr>
          <w:rFonts w:hint="eastAsia" w:ascii="宋体" w:hAnsi="宋体" w:cs="宋体"/>
          <w:bCs/>
          <w:sz w:val="24"/>
        </w:rPr>
        <w:t>https://zfcg.czt.zj.gov.cn/site/detail?categoryCode=ZcyAnnouncement&amp;parentId=600007&amp;articleId=eDMUlWaOOPoHuf+8Uc3ieg==</w:t>
      </w:r>
    </w:p>
    <w:p>
      <w:pPr>
        <w:spacing w:line="360" w:lineRule="auto"/>
        <w:rPr>
          <w:rFonts w:hint="eastAsia" w:ascii="宋体" w:hAnsi="宋体" w:cs="宋体"/>
          <w:sz w:val="24"/>
        </w:rPr>
      </w:pPr>
      <w:r>
        <w:rPr>
          <w:rFonts w:hint="eastAsia" w:ascii="宋体" w:hAnsi="宋体" w:cs="宋体"/>
          <w:b/>
          <w:sz w:val="24"/>
        </w:rPr>
        <w:t xml:space="preserve">六、公告期限 </w:t>
      </w:r>
    </w:p>
    <w:p>
      <w:pPr>
        <w:spacing w:line="360" w:lineRule="auto"/>
        <w:ind w:firstLine="480" w:firstLineChars="200"/>
        <w:rPr>
          <w:rFonts w:hint="eastAsia" w:ascii="宋体" w:hAnsi="宋体" w:cs="宋体"/>
          <w:b/>
          <w:sz w:val="24"/>
        </w:rPr>
      </w:pPr>
      <w:r>
        <w:rPr>
          <w:rFonts w:hint="eastAsia" w:ascii="宋体" w:hAnsi="宋体" w:cs="宋体"/>
          <w:sz w:val="24"/>
        </w:rPr>
        <w:t>自本公告发布之日起5个工作日。</w:t>
      </w:r>
    </w:p>
    <w:p>
      <w:pPr>
        <w:spacing w:line="360" w:lineRule="auto"/>
        <w:rPr>
          <w:rFonts w:hint="eastAsia" w:ascii="宋体" w:hAnsi="宋体" w:cs="宋体"/>
          <w:b/>
          <w:sz w:val="24"/>
        </w:rPr>
      </w:pPr>
      <w:r>
        <w:rPr>
          <w:rFonts w:hint="eastAsia" w:ascii="宋体" w:hAnsi="宋体" w:cs="宋体"/>
          <w:b/>
          <w:sz w:val="24"/>
        </w:rPr>
        <w:t>七、其他补充事宜</w:t>
      </w:r>
    </w:p>
    <w:p>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w:t>
      </w:r>
    </w:p>
    <w:p>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投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hint="eastAsia" w:ascii="宋体" w:hAnsi="宋体" w:cs="宋体"/>
          <w:sz w:val="24"/>
        </w:rPr>
      </w:pPr>
      <w:r>
        <w:rPr>
          <w:rFonts w:hint="eastAsia" w:ascii="宋体" w:hAnsi="宋体" w:cs="宋体"/>
          <w:sz w:val="24"/>
        </w:rPr>
        <w:t>（3）招标文件公告期限与招标公告的公告期限一致。</w:t>
      </w:r>
    </w:p>
    <w:p>
      <w:pPr>
        <w:spacing w:line="360" w:lineRule="auto"/>
        <w:rPr>
          <w:rFonts w:hint="eastAsia" w:ascii="宋体" w:hAnsi="宋体" w:cs="宋体"/>
          <w:b/>
          <w:sz w:val="24"/>
        </w:rPr>
      </w:pPr>
      <w:r>
        <w:rPr>
          <w:rFonts w:hint="eastAsia" w:ascii="宋体" w:hAnsi="宋体" w:cs="宋体"/>
          <w:b/>
          <w:sz w:val="24"/>
        </w:rPr>
        <w:t>八、对本次采购提出询问、质疑、投诉，请按以下方式联系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firstLine="480" w:firstLineChars="200"/>
        <w:rPr>
          <w:rFonts w:hint="eastAsia" w:ascii="宋体" w:hAnsi="宋体" w:cs="宋体"/>
          <w:sz w:val="24"/>
        </w:rPr>
      </w:pPr>
      <w:r>
        <w:rPr>
          <w:rFonts w:hint="eastAsia" w:ascii="宋体" w:hAnsi="宋体" w:cs="宋体"/>
          <w:sz w:val="24"/>
        </w:rPr>
        <w:t>名  称：杭州第九中学树范学校</w:t>
      </w:r>
    </w:p>
    <w:p>
      <w:pPr>
        <w:spacing w:line="360" w:lineRule="auto"/>
        <w:ind w:firstLine="480" w:firstLineChars="200"/>
        <w:rPr>
          <w:rFonts w:hint="eastAsia" w:ascii="宋体" w:hAnsi="宋体" w:cs="宋体"/>
          <w:sz w:val="24"/>
        </w:rPr>
      </w:pPr>
      <w:r>
        <w:rPr>
          <w:rFonts w:hint="eastAsia" w:ascii="宋体" w:hAnsi="宋体" w:cs="宋体"/>
          <w:sz w:val="24"/>
        </w:rPr>
        <w:t xml:space="preserve">地  址：杭州市上城区金山支路1号                  </w:t>
      </w:r>
    </w:p>
    <w:p>
      <w:pPr>
        <w:spacing w:line="360" w:lineRule="auto"/>
        <w:ind w:firstLine="480" w:firstLineChars="200"/>
        <w:rPr>
          <w:rFonts w:hint="eastAsia" w:ascii="宋体" w:hAnsi="宋体" w:cs="宋体"/>
          <w:sz w:val="24"/>
        </w:rPr>
      </w:pPr>
      <w:r>
        <w:rPr>
          <w:rFonts w:hint="eastAsia" w:ascii="宋体" w:hAnsi="宋体" w:cs="宋体"/>
          <w:sz w:val="24"/>
        </w:rPr>
        <w:t>传  真：</w:t>
      </w:r>
      <w:bookmarkStart w:id="11" w:name="OLE_LINK1"/>
      <w:r>
        <w:rPr>
          <w:rFonts w:hint="eastAsia" w:ascii="宋体" w:hAnsi="宋体" w:cs="宋体"/>
          <w:sz w:val="24"/>
        </w:rPr>
        <w:t>0571-8643226</w:t>
      </w:r>
      <w:bookmarkEnd w:id="11"/>
      <w:r>
        <w:rPr>
          <w:rFonts w:hint="eastAsia" w:ascii="宋体" w:hAnsi="宋体" w:cs="宋体"/>
          <w:sz w:val="24"/>
        </w:rPr>
        <w:t xml:space="preserve">0  </w:t>
      </w:r>
      <w:r>
        <w:rPr>
          <w:rFonts w:hint="eastAsia"/>
          <w:color w:val="FF0000"/>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项目联系人（询问）：舒老师</w:t>
      </w:r>
    </w:p>
    <w:p>
      <w:pPr>
        <w:spacing w:line="360" w:lineRule="auto"/>
        <w:ind w:firstLine="480" w:firstLineChars="200"/>
        <w:rPr>
          <w:rFonts w:hint="eastAsia" w:ascii="宋体" w:hAnsi="宋体" w:cs="宋体"/>
          <w:sz w:val="24"/>
        </w:rPr>
      </w:pPr>
      <w:r>
        <w:rPr>
          <w:rFonts w:hint="eastAsia" w:ascii="宋体" w:hAnsi="宋体" w:cs="宋体"/>
          <w:sz w:val="24"/>
        </w:rPr>
        <w:t>项目联系方式（询问）：0571-86939091</w:t>
      </w:r>
    </w:p>
    <w:p>
      <w:pPr>
        <w:spacing w:line="360" w:lineRule="auto"/>
        <w:ind w:firstLine="480" w:firstLineChars="200"/>
        <w:rPr>
          <w:rFonts w:hint="eastAsia" w:ascii="宋体" w:hAnsi="宋体" w:cs="宋体"/>
          <w:sz w:val="24"/>
        </w:rPr>
      </w:pPr>
      <w:r>
        <w:rPr>
          <w:rFonts w:hint="eastAsia" w:ascii="宋体" w:hAnsi="宋体" w:cs="宋体"/>
          <w:sz w:val="24"/>
        </w:rPr>
        <w:t>质疑联系人：陈老师</w:t>
      </w:r>
    </w:p>
    <w:p>
      <w:pPr>
        <w:spacing w:line="360" w:lineRule="auto"/>
        <w:ind w:firstLine="480" w:firstLineChars="200"/>
        <w:rPr>
          <w:rFonts w:hint="eastAsia" w:ascii="宋体" w:hAnsi="宋体" w:cs="宋体"/>
          <w:sz w:val="24"/>
        </w:rPr>
      </w:pPr>
      <w:r>
        <w:rPr>
          <w:rFonts w:hint="eastAsia" w:ascii="宋体" w:hAnsi="宋体" w:cs="宋体"/>
          <w:sz w:val="24"/>
        </w:rPr>
        <w:t>质疑联系方式：0571-86046266</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2.采购代理机构信息</w:t>
      </w:r>
    </w:p>
    <w:p>
      <w:pPr>
        <w:spacing w:line="360" w:lineRule="auto"/>
        <w:ind w:firstLine="480" w:firstLineChars="200"/>
        <w:rPr>
          <w:rFonts w:hint="eastAsia" w:ascii="宋体" w:hAnsi="宋体" w:cs="宋体"/>
          <w:sz w:val="24"/>
        </w:rPr>
      </w:pPr>
      <w:r>
        <w:rPr>
          <w:rFonts w:hint="eastAsia" w:ascii="宋体" w:hAnsi="宋体" w:cs="宋体"/>
          <w:sz w:val="24"/>
        </w:rPr>
        <w:t>名  称：杭州洲源招标代理有限公司</w:t>
      </w:r>
    </w:p>
    <w:p>
      <w:pPr>
        <w:spacing w:line="360" w:lineRule="auto"/>
        <w:ind w:firstLine="480" w:firstLineChars="200"/>
        <w:rPr>
          <w:rFonts w:hint="eastAsia" w:ascii="宋体" w:hAnsi="宋体" w:cs="宋体"/>
          <w:sz w:val="24"/>
        </w:rPr>
      </w:pPr>
      <w:r>
        <w:rPr>
          <w:rFonts w:hint="eastAsia" w:ascii="宋体" w:hAnsi="宋体" w:cs="宋体"/>
          <w:sz w:val="24"/>
        </w:rPr>
        <w:t>地  址：杭州市上城区环站东路99号云峰大厦1幢12楼</w:t>
      </w:r>
    </w:p>
    <w:p>
      <w:pPr>
        <w:spacing w:line="360" w:lineRule="auto"/>
        <w:ind w:firstLine="480" w:firstLineChars="200"/>
        <w:rPr>
          <w:rFonts w:hint="eastAsia" w:ascii="宋体" w:hAnsi="宋体" w:cs="宋体"/>
          <w:sz w:val="24"/>
        </w:rPr>
      </w:pPr>
      <w:r>
        <w:rPr>
          <w:rFonts w:hint="eastAsia" w:ascii="宋体" w:hAnsi="宋体" w:cs="宋体"/>
          <w:sz w:val="24"/>
        </w:rPr>
        <w:t>传  真：0571-85292825</w:t>
      </w:r>
    </w:p>
    <w:p>
      <w:pPr>
        <w:spacing w:line="360" w:lineRule="auto"/>
        <w:ind w:firstLine="480" w:firstLineChars="200"/>
        <w:rPr>
          <w:rFonts w:hint="eastAsia" w:ascii="宋体" w:hAnsi="宋体" w:cs="宋体"/>
          <w:sz w:val="24"/>
        </w:rPr>
      </w:pPr>
      <w:r>
        <w:rPr>
          <w:rFonts w:hint="eastAsia" w:ascii="宋体" w:hAnsi="宋体" w:cs="宋体"/>
          <w:sz w:val="24"/>
        </w:rPr>
        <w:t>项目联系人（询问）：陈工、羊工</w:t>
      </w:r>
    </w:p>
    <w:p>
      <w:pPr>
        <w:spacing w:line="360" w:lineRule="auto"/>
        <w:ind w:firstLine="480" w:firstLineChars="200"/>
        <w:rPr>
          <w:rFonts w:hint="eastAsia" w:ascii="宋体" w:hAnsi="宋体" w:cs="宋体"/>
          <w:sz w:val="24"/>
        </w:rPr>
      </w:pPr>
      <w:r>
        <w:rPr>
          <w:rFonts w:hint="eastAsia" w:ascii="宋体" w:hAnsi="宋体" w:cs="宋体"/>
          <w:sz w:val="24"/>
        </w:rPr>
        <w:t>项目联系方式（询问）：0571-85292825</w:t>
      </w:r>
    </w:p>
    <w:p>
      <w:pPr>
        <w:spacing w:line="360" w:lineRule="auto"/>
        <w:ind w:firstLine="480" w:firstLineChars="200"/>
        <w:rPr>
          <w:rFonts w:hint="eastAsia" w:ascii="宋体" w:hAnsi="宋体" w:cs="宋体"/>
          <w:sz w:val="24"/>
        </w:rPr>
      </w:pPr>
      <w:r>
        <w:rPr>
          <w:rFonts w:hint="eastAsia" w:ascii="宋体" w:hAnsi="宋体" w:cs="宋体"/>
          <w:sz w:val="24"/>
        </w:rPr>
        <w:t>质疑联系人：蓝工</w:t>
      </w:r>
    </w:p>
    <w:p>
      <w:pPr>
        <w:spacing w:line="360" w:lineRule="auto"/>
        <w:ind w:firstLine="480" w:firstLineChars="200"/>
        <w:rPr>
          <w:rFonts w:hint="eastAsia" w:ascii="宋体" w:hAnsi="宋体" w:cs="宋体"/>
          <w:sz w:val="24"/>
        </w:rPr>
      </w:pPr>
      <w:r>
        <w:rPr>
          <w:rFonts w:hint="eastAsia" w:ascii="宋体" w:hAnsi="宋体" w:cs="宋体"/>
          <w:sz w:val="24"/>
        </w:rPr>
        <w:t>质疑联系方式：0571-85292825</w:t>
      </w: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3.同级政府采购监督管理部门</w:t>
      </w:r>
    </w:p>
    <w:p>
      <w:pPr>
        <w:spacing w:line="360" w:lineRule="auto"/>
        <w:ind w:firstLine="480" w:firstLineChars="200"/>
        <w:rPr>
          <w:rFonts w:hint="eastAsia" w:ascii="宋体" w:hAnsi="宋体" w:cs="宋体"/>
          <w:sz w:val="24"/>
        </w:rPr>
      </w:pPr>
      <w:r>
        <w:rPr>
          <w:rFonts w:hint="eastAsia" w:ascii="宋体" w:hAnsi="宋体" w:cs="宋体"/>
          <w:sz w:val="24"/>
        </w:rPr>
        <w:t>名  称：</w:t>
      </w:r>
      <w:r>
        <w:rPr>
          <w:rFonts w:hint="eastAsia" w:asciiTheme="minorEastAsia" w:hAnsiTheme="minorEastAsia" w:eastAsiaTheme="minorEastAsia" w:cstheme="minorEastAsia"/>
          <w:sz w:val="24"/>
        </w:rPr>
        <w:t>杭州市财政局政府采购监管处/浙江省政府采购行政裁决服务中心</w:t>
      </w:r>
      <w:r>
        <w:rPr>
          <w:rFonts w:hint="eastAsia" w:ascii="宋体" w:hAnsi="宋体" w:cs="宋体"/>
          <w:sz w:val="24"/>
        </w:rPr>
        <w:t>（杭州）</w:t>
      </w:r>
    </w:p>
    <w:p>
      <w:pPr>
        <w:spacing w:line="360" w:lineRule="auto"/>
        <w:ind w:firstLine="480" w:firstLineChars="200"/>
        <w:rPr>
          <w:rFonts w:hint="eastAsia" w:ascii="宋体" w:hAnsi="宋体" w:cs="宋体" w:eastAsiaTheme="minorEastAsia"/>
          <w:sz w:val="24"/>
        </w:rPr>
      </w:pPr>
      <w:r>
        <w:rPr>
          <w:rFonts w:hint="eastAsia" w:ascii="宋体" w:hAnsi="宋体" w:cs="宋体"/>
          <w:sz w:val="24"/>
        </w:rPr>
        <w:t>地  址：</w:t>
      </w:r>
      <w:r>
        <w:rPr>
          <w:rFonts w:hint="eastAsia" w:asciiTheme="minorEastAsia" w:hAnsiTheme="minorEastAsia" w:eastAsiaTheme="minorEastAsia" w:cstheme="minorEastAsia"/>
          <w:sz w:val="24"/>
        </w:rPr>
        <w:t>杭州市上城区清泰街549号城建综合大楼11楼（快递仅限ems或顺丰）</w:t>
      </w:r>
    </w:p>
    <w:p>
      <w:pPr>
        <w:spacing w:line="360" w:lineRule="auto"/>
        <w:ind w:firstLine="480" w:firstLineChars="200"/>
        <w:rPr>
          <w:rFonts w:hint="eastAsia" w:ascii="宋体" w:hAnsi="宋体" w:cs="宋体"/>
          <w:sz w:val="24"/>
        </w:rPr>
      </w:pPr>
      <w:r>
        <w:rPr>
          <w:rFonts w:hint="eastAsia" w:ascii="宋体" w:hAnsi="宋体" w:cs="宋体"/>
          <w:sz w:val="24"/>
        </w:rPr>
        <w:t>传  真：/</w:t>
      </w:r>
    </w:p>
    <w:p>
      <w:pPr>
        <w:spacing w:line="360" w:lineRule="auto"/>
        <w:ind w:firstLine="480" w:firstLineChars="200"/>
        <w:rPr>
          <w:rFonts w:hint="eastAsia" w:ascii="宋体" w:hAnsi="宋体" w:cs="宋体"/>
          <w:sz w:val="24"/>
        </w:rPr>
      </w:pPr>
      <w:r>
        <w:rPr>
          <w:rFonts w:hint="eastAsia" w:ascii="宋体" w:hAnsi="宋体" w:cs="宋体"/>
          <w:sz w:val="24"/>
        </w:rPr>
        <w:t>联系人：朱女士/王女士</w:t>
      </w:r>
    </w:p>
    <w:p>
      <w:pPr>
        <w:spacing w:line="360" w:lineRule="auto"/>
        <w:ind w:firstLine="480" w:firstLineChars="200"/>
        <w:rPr>
          <w:rFonts w:hint="eastAsia" w:ascii="宋体" w:hAnsi="宋体" w:cs="宋体"/>
          <w:sz w:val="24"/>
        </w:rPr>
      </w:pPr>
      <w:r>
        <w:rPr>
          <w:rFonts w:hint="eastAsia" w:asciiTheme="minorEastAsia" w:hAnsiTheme="minorEastAsia" w:eastAsiaTheme="minorEastAsia" w:cstheme="minorEastAsia"/>
          <w:sz w:val="24"/>
        </w:rPr>
        <w:t>监督投诉电话：0571-87227671/0571-87800218</w:t>
      </w:r>
    </w:p>
    <w:p>
      <w:pPr>
        <w:spacing w:line="360" w:lineRule="auto"/>
        <w:ind w:firstLine="480" w:firstLineChars="200"/>
        <w:rPr>
          <w:rFonts w:hint="eastAsia" w:ascii="宋体" w:hAnsi="宋体" w:cs="宋体"/>
          <w:sz w:val="24"/>
        </w:rPr>
      </w:pPr>
      <w:r>
        <w:rPr>
          <w:rFonts w:hint="eastAsia" w:ascii="宋体" w:hAnsi="宋体" w:cs="宋体"/>
          <w:sz w:val="24"/>
        </w:rPr>
        <w:t>政策咨询：陈先生0571-89580460（政府采购监管部门工作人员）</w:t>
      </w:r>
    </w:p>
    <w:p>
      <w:pPr>
        <w:spacing w:line="360" w:lineRule="auto"/>
        <w:ind w:firstLine="480" w:firstLineChars="200"/>
        <w:rPr>
          <w:rFonts w:hint="eastAsia" w:ascii="宋体" w:hAnsi="宋体" w:cs="宋体"/>
          <w:sz w:val="24"/>
        </w:rPr>
      </w:pPr>
    </w:p>
    <w:p>
      <w:pPr>
        <w:spacing w:line="360" w:lineRule="auto"/>
        <w:ind w:firstLine="480" w:firstLineChars="200"/>
        <w:jc w:val="left"/>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hAnsi="宋体" w:cs="宋体"/>
          <w:sz w:val="24"/>
        </w:rPr>
      </w:pPr>
      <w:r>
        <w:rPr>
          <w:rFonts w:hint="eastAsia" w:ascii="宋体" w:hAnsi="宋体" w:cs="宋体"/>
          <w:sz w:val="24"/>
        </w:rPr>
        <w:t>CA问题联系电话（人工）：汇信CA 400-888-4636；天谷CA 400-087-8198。</w:t>
      </w:r>
      <w:r>
        <w:rPr>
          <w:rFonts w:hint="eastAsia" w:hAnsi="宋体" w:cs="宋体"/>
          <w:sz w:val="24"/>
        </w:rPr>
        <w:t xml:space="preserve">                          </w:t>
      </w:r>
    </w:p>
    <w:p>
      <w:pPr>
        <w:rPr>
          <w:rFonts w:hint="eastAsia" w:hAnsi="宋体" w:cs="宋体"/>
          <w:sz w:val="24"/>
        </w:rPr>
      </w:pPr>
      <w:r>
        <w:rPr>
          <w:rFonts w:hint="eastAsia" w:hAnsi="宋体" w:cs="宋体"/>
          <w:sz w:val="24"/>
        </w:rPr>
        <w:br w:type="page"/>
      </w:r>
    </w:p>
    <w:p>
      <w:pPr>
        <w:pStyle w:val="32"/>
        <w:spacing w:line="360" w:lineRule="auto"/>
        <w:jc w:val="center"/>
        <w:rPr>
          <w:rFonts w:hint="eastAsia"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2"/>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2807"/>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570" w:type="dxa"/>
            <w:vAlign w:val="center"/>
          </w:tcPr>
          <w:p>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2807" w:type="dxa"/>
            <w:vAlign w:val="center"/>
          </w:tcPr>
          <w:p>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485" w:type="dxa"/>
            <w:vAlign w:val="center"/>
          </w:tcPr>
          <w:p>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Mar>
              <w:top w:w="0" w:type="dxa"/>
              <w:left w:w="28" w:type="dxa"/>
              <w:bottom w:w="0" w:type="dxa"/>
              <w:right w:w="28" w:type="dxa"/>
            </w:tcMar>
            <w:vAlign w:val="center"/>
          </w:tcPr>
          <w:p>
            <w:pPr>
              <w:snapToGrid w:val="0"/>
              <w:spacing w:line="360" w:lineRule="auto"/>
              <w:jc w:val="center"/>
              <w:rPr>
                <w:rFonts w:hint="eastAsia" w:ascii="宋体" w:hAnsi="宋体"/>
                <w:b/>
                <w:sz w:val="24"/>
              </w:rPr>
            </w:pPr>
            <w:r>
              <w:rPr>
                <w:rFonts w:hint="eastAsia" w:ascii="宋体" w:hAnsi="宋体"/>
                <w:b/>
                <w:sz w:val="24"/>
              </w:rPr>
              <w:t>/</w:t>
            </w:r>
          </w:p>
        </w:tc>
        <w:tc>
          <w:tcPr>
            <w:tcW w:w="2807" w:type="dxa"/>
            <w:tcMar>
              <w:top w:w="0" w:type="dxa"/>
              <w:left w:w="28" w:type="dxa"/>
              <w:bottom w:w="0" w:type="dxa"/>
              <w:right w:w="28" w:type="dxa"/>
            </w:tcMar>
            <w:vAlign w:val="center"/>
          </w:tcPr>
          <w:p>
            <w:pPr>
              <w:snapToGrid w:val="0"/>
              <w:spacing w:line="360" w:lineRule="auto"/>
              <w:jc w:val="center"/>
              <w:rPr>
                <w:rFonts w:hint="eastAsia" w:ascii="宋体" w:hAnsi="宋体"/>
                <w:bCs/>
                <w:sz w:val="24"/>
              </w:rPr>
            </w:pPr>
            <w:r>
              <w:rPr>
                <w:rFonts w:hint="eastAsia" w:ascii="宋体" w:hAnsi="宋体"/>
                <w:bCs/>
                <w:sz w:val="24"/>
              </w:rPr>
              <w:t>采购计划书文号</w:t>
            </w:r>
          </w:p>
        </w:tc>
        <w:tc>
          <w:tcPr>
            <w:tcW w:w="6485" w:type="dxa"/>
            <w:tcMar>
              <w:top w:w="0" w:type="dxa"/>
              <w:left w:w="28" w:type="dxa"/>
              <w:bottom w:w="0" w:type="dxa"/>
              <w:right w:w="28" w:type="dxa"/>
            </w:tcMar>
            <w:vAlign w:val="center"/>
          </w:tcPr>
          <w:p>
            <w:pPr>
              <w:snapToGrid w:val="0"/>
              <w:spacing w:line="360" w:lineRule="auto"/>
              <w:jc w:val="left"/>
              <w:rPr>
                <w:rFonts w:hint="eastAsia" w:ascii="宋体" w:hAnsi="宋体"/>
                <w:bCs/>
                <w:sz w:val="24"/>
              </w:rPr>
            </w:pPr>
            <w:r>
              <w:fldChar w:fldCharType="begin"/>
            </w:r>
            <w:r>
              <w:instrText xml:space="preserve"> HYPERLINK "https://pay.zcygov.cn/purchaseplan_front/" \l "/plan/list/view?id=1000000000015153772" \t "https://www.zcygov.cn/delegation-order/_procurement_/order/orderInfo/detail/_blank" </w:instrText>
            </w:r>
            <w:r>
              <w:fldChar w:fldCharType="separate"/>
            </w:r>
            <w:r>
              <w:rPr>
                <w:rFonts w:hint="eastAsia" w:ascii="宋体" w:hAnsi="宋体"/>
                <w:bCs/>
                <w:sz w:val="24"/>
              </w:rPr>
              <w:t>临[2024]17511号</w:t>
            </w:r>
            <w:r>
              <w:rPr>
                <w:rFonts w:hint="eastAsia" w:ascii="宋体" w:hAnsi="宋体"/>
                <w:bCs/>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Mar>
              <w:top w:w="0" w:type="dxa"/>
              <w:left w:w="28" w:type="dxa"/>
              <w:bottom w:w="0" w:type="dxa"/>
              <w:right w:w="28" w:type="dxa"/>
            </w:tcMar>
            <w:vAlign w:val="center"/>
          </w:tcPr>
          <w:p>
            <w:pPr>
              <w:snapToGrid w:val="0"/>
              <w:spacing w:line="360" w:lineRule="auto"/>
              <w:jc w:val="center"/>
              <w:rPr>
                <w:rFonts w:hint="eastAsia" w:ascii="宋体" w:hAnsi="宋体"/>
                <w:sz w:val="24"/>
              </w:rPr>
            </w:pPr>
            <w:r>
              <w:rPr>
                <w:rFonts w:hint="eastAsia" w:ascii="宋体" w:hAnsi="宋体"/>
                <w:sz w:val="24"/>
              </w:rPr>
              <w:t>1</w:t>
            </w:r>
          </w:p>
        </w:tc>
        <w:tc>
          <w:tcPr>
            <w:tcW w:w="2807" w:type="dxa"/>
            <w:tcMar>
              <w:top w:w="0" w:type="dxa"/>
              <w:left w:w="28" w:type="dxa"/>
              <w:bottom w:w="0" w:type="dxa"/>
              <w:right w:w="28" w:type="dxa"/>
            </w:tcMar>
            <w:vAlign w:val="center"/>
          </w:tcPr>
          <w:p>
            <w:pPr>
              <w:snapToGrid w:val="0"/>
              <w:spacing w:line="360" w:lineRule="auto"/>
              <w:jc w:val="center"/>
              <w:rPr>
                <w:rFonts w:hint="eastAsia" w:ascii="宋体" w:hAnsi="宋体"/>
                <w:sz w:val="24"/>
              </w:rPr>
            </w:pPr>
            <w:r>
              <w:rPr>
                <w:rFonts w:hint="eastAsia" w:ascii="宋体" w:hAnsi="宋体"/>
                <w:sz w:val="24"/>
              </w:rPr>
              <w:t>项目属性及核心产品</w:t>
            </w:r>
          </w:p>
        </w:tc>
        <w:tc>
          <w:tcPr>
            <w:tcW w:w="6485" w:type="dxa"/>
            <w:tcMar>
              <w:top w:w="0" w:type="dxa"/>
              <w:left w:w="28" w:type="dxa"/>
              <w:bottom w:w="0" w:type="dxa"/>
              <w:right w:w="28" w:type="dxa"/>
            </w:tcMar>
            <w:vAlign w:val="center"/>
          </w:tcPr>
          <w:p>
            <w:pPr>
              <w:spacing w:line="360" w:lineRule="auto"/>
              <w:rPr>
                <w:rFonts w:hint="eastAsia" w:ascii="宋体" w:hAnsi="宋体"/>
                <w:sz w:val="24"/>
              </w:rPr>
            </w:pPr>
            <w:r>
              <w:rPr>
                <w:rFonts w:hint="eastAsia" w:ascii="宋体" w:hAnsi="宋体"/>
                <w:sz w:val="24"/>
              </w:rPr>
              <w:t>货物类，单一产品或核心产品为：</w:t>
            </w:r>
            <w:r>
              <w:rPr>
                <w:rFonts w:hint="eastAsia" w:ascii="宋体" w:hAnsi="宋体"/>
                <w:sz w:val="24"/>
                <w:u w:val="single"/>
              </w:rPr>
              <w:t>全光校园网系统的核心交换机，网络安全系统的下一代防火墙</w:t>
            </w:r>
            <w:r>
              <w:rPr>
                <w:rFonts w:hint="eastAsia" w:ascii="宋体" w:hAnsi="宋体"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2807" w:type="dxa"/>
            <w:vAlign w:val="center"/>
          </w:tcPr>
          <w:p>
            <w:pPr>
              <w:snapToGrid w:val="0"/>
              <w:spacing w:line="360" w:lineRule="auto"/>
              <w:jc w:val="left"/>
              <w:rPr>
                <w:rFonts w:hint="eastAsia" w:ascii="宋体" w:hAnsi="宋体" w:cs="宋体"/>
                <w:bCs/>
                <w:sz w:val="24"/>
              </w:rPr>
            </w:pPr>
            <w:r>
              <w:rPr>
                <w:rFonts w:hint="eastAsia" w:ascii="宋体" w:hAnsi="宋体" w:cs="宋体"/>
                <w:bCs/>
                <w:sz w:val="24"/>
              </w:rPr>
              <w:t>采购标的及其对应的中小企业划分标准所属行业</w:t>
            </w:r>
          </w:p>
        </w:tc>
        <w:tc>
          <w:tcPr>
            <w:tcW w:w="6485" w:type="dxa"/>
            <w:vAlign w:val="center"/>
          </w:tcPr>
          <w:p>
            <w:pPr>
              <w:snapToGrid w:val="0"/>
              <w:spacing w:line="360" w:lineRule="auto"/>
              <w:ind w:right="143" w:rightChars="68"/>
              <w:jc w:val="left"/>
              <w:rPr>
                <w:rFonts w:hint="eastAsia" w:ascii="宋体" w:hAnsi="宋体"/>
                <w:sz w:val="24"/>
              </w:rPr>
            </w:pPr>
            <w:r>
              <w:rPr>
                <w:rFonts w:hint="eastAsia" w:ascii="宋体" w:hAnsi="宋体"/>
                <w:sz w:val="24"/>
              </w:rPr>
              <w:t>（1）标的：</w:t>
            </w:r>
            <w:r>
              <w:rPr>
                <w:rFonts w:hint="eastAsia" w:ascii="宋体" w:hAnsi="宋体" w:cs="宋体"/>
                <w:kern w:val="0"/>
                <w:sz w:val="24"/>
                <w:u w:val="single"/>
              </w:rPr>
              <w:t xml:space="preserve">标的清单内的所有设备 </w:t>
            </w:r>
            <w:r>
              <w:rPr>
                <w:rFonts w:hint="eastAsia" w:ascii="宋体" w:hAnsi="宋体"/>
                <w:sz w:val="22"/>
              </w:rPr>
              <w:t>；</w:t>
            </w:r>
            <w:r>
              <w:rPr>
                <w:rFonts w:hint="eastAsia" w:ascii="宋体" w:hAnsi="宋体"/>
                <w:sz w:val="24"/>
              </w:rPr>
              <w:t>属于</w:t>
            </w:r>
            <w:r>
              <w:rPr>
                <w:rFonts w:hint="eastAsia" w:ascii="宋体" w:hAnsi="宋体"/>
                <w:sz w:val="24"/>
                <w:u w:val="single"/>
              </w:rPr>
              <w:t xml:space="preserve"> 工业 </w:t>
            </w:r>
            <w:r>
              <w:rPr>
                <w:rFonts w:hint="eastAsia" w:ascii="宋体" w:hAnsi="宋体"/>
                <w:sz w:val="24"/>
              </w:rPr>
              <w:t>；</w:t>
            </w:r>
          </w:p>
          <w:p>
            <w:pPr>
              <w:snapToGrid w:val="0"/>
              <w:spacing w:line="360" w:lineRule="auto"/>
              <w:ind w:right="143" w:rightChars="68"/>
              <w:jc w:val="left"/>
              <w:rPr>
                <w:rFonts w:hint="eastAsia" w:ascii="宋体" w:hAnsi="宋体"/>
                <w:kern w:val="0"/>
                <w:sz w:val="24"/>
                <w:u w:val="single"/>
              </w:rPr>
            </w:pPr>
            <w:r>
              <w:rPr>
                <w:rFonts w:hint="eastAsia" w:ascii="宋体" w:hAnsi="宋体"/>
                <w:kern w:val="0"/>
                <w:sz w:val="24"/>
              </w:rPr>
              <w:t>根据《关于印发中小企业划型标准规定的通知》（工信部联企业〔2011〕300）第四条第（二）项规定对应行业划分标准：</w:t>
            </w:r>
            <w:r>
              <w:rPr>
                <w:rFonts w:hint="eastAsia" w:ascii="宋体" w:hAnsi="宋体"/>
                <w:kern w:val="0"/>
                <w:sz w:val="24"/>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numPr>
                <w:ilvl w:val="0"/>
                <w:numId w:val="2"/>
              </w:numPr>
              <w:snapToGrid w:val="0"/>
              <w:spacing w:line="360" w:lineRule="auto"/>
              <w:ind w:right="143" w:rightChars="68"/>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本项目扶持力度：</w:t>
            </w:r>
          </w:p>
          <w:p>
            <w:pPr>
              <w:snapToGrid w:val="0"/>
              <w:spacing w:line="348" w:lineRule="auto"/>
              <w:ind w:right="143" w:rightChars="68"/>
              <w:rPr>
                <w:rFonts w:hint="eastAsia" w:ascii="宋体" w:hAnsi="宋体" w:cs="宋体"/>
                <w:color w:val="0000FF"/>
                <w:sz w:val="24"/>
              </w:rPr>
            </w:pPr>
            <w:r>
              <w:rPr>
                <w:rFonts w:hint="eastAsia" w:ascii="宋体" w:hAnsi="宋体" w:cs="宋体"/>
                <w:sz w:val="24"/>
              </w:rPr>
              <w:sym w:font="Wingdings 2" w:char="00A3"/>
            </w:r>
            <w:r>
              <w:rPr>
                <w:rFonts w:hint="eastAsia" w:ascii="宋体" w:hAnsi="宋体" w:cs="宋体"/>
                <w:sz w:val="24"/>
              </w:rPr>
              <w:t>A专门预留中小企业份额项目；</w:t>
            </w:r>
          </w:p>
          <w:p>
            <w:pPr>
              <w:snapToGrid w:val="0"/>
              <w:spacing w:line="360" w:lineRule="auto"/>
              <w:ind w:right="143" w:rightChars="68"/>
              <w:jc w:val="left"/>
              <w:rPr>
                <w:rFonts w:hint="eastAsia" w:asciiTheme="minorEastAsia" w:hAnsiTheme="minorEastAsia" w:eastAsiaTheme="minorEastAsia" w:cstheme="minorEastAsia"/>
                <w:sz w:val="24"/>
              </w:rPr>
            </w:pPr>
            <w:r>
              <w:rPr>
                <w:rFonts w:hint="eastAsia" w:ascii="宋体" w:hAnsi="宋体" w:cs="宋体"/>
                <w:sz w:val="24"/>
              </w:rPr>
              <w:sym w:font="Wingdings 2" w:char="00A3"/>
            </w:r>
            <w:r>
              <w:rPr>
                <w:rFonts w:hint="eastAsia" w:ascii="宋体" w:hAnsi="宋体" w:cs="宋体"/>
                <w:sz w:val="24"/>
              </w:rPr>
              <w:t>B适宜面向中小企业，</w:t>
            </w:r>
            <w:r>
              <w:rPr>
                <w:rFonts w:hint="eastAsia" w:asciiTheme="minorEastAsia" w:hAnsiTheme="minorEastAsia" w:eastAsiaTheme="minorEastAsia" w:cstheme="minorEastAsia"/>
                <w:sz w:val="24"/>
              </w:rPr>
              <w:t>本项目预留要求达到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%（允许联合或分包），不再做价格扶持；</w:t>
            </w:r>
          </w:p>
          <w:p>
            <w:pPr>
              <w:snapToGrid w:val="0"/>
              <w:spacing w:line="360" w:lineRule="auto"/>
              <w:ind w:right="143" w:rightChars="68"/>
              <w:jc w:val="left"/>
              <w:rPr>
                <w:rFonts w:hint="eastAsia" w:ascii="宋体" w:hAnsi="宋体" w:cs="宋体"/>
                <w:bCs/>
                <w:sz w:val="24"/>
              </w:rPr>
            </w:pPr>
            <w:r>
              <w:rPr>
                <w:rFonts w:hint="eastAsia" w:ascii="宋体" w:hAnsi="宋体" w:cs="宋体"/>
                <w:b/>
                <w:sz w:val="24"/>
              </w:rPr>
              <w:sym w:font="Wingdings 2" w:char="0052"/>
            </w:r>
            <w:r>
              <w:rPr>
                <w:rFonts w:hint="eastAsia" w:ascii="宋体" w:hAnsi="宋体" w:cs="宋体"/>
                <w:b/>
                <w:sz w:val="24"/>
              </w:rPr>
              <w:t>C</w:t>
            </w:r>
            <w:r>
              <w:rPr>
                <w:rFonts w:hint="eastAsia" w:ascii="宋体" w:hAnsi="宋体" w:cs="宋体"/>
                <w:bCs/>
                <w:sz w:val="24"/>
              </w:rPr>
              <w:t>对于未预留份额专门面向中小企业的政府采购服务项目，以及预留份额政府采购服务项目中的非预留部分标项，对小型和微型企业的投标报价给予</w:t>
            </w:r>
            <w:r>
              <w:rPr>
                <w:rFonts w:hint="eastAsia" w:ascii="宋体" w:hAnsi="宋体" w:cs="宋体"/>
                <w:bCs/>
                <w:sz w:val="24"/>
                <w:u w:val="single"/>
              </w:rPr>
              <w:t xml:space="preserve"> 10% </w:t>
            </w:r>
            <w:r>
              <w:rPr>
                <w:rFonts w:hint="eastAsia" w:ascii="宋体" w:hAnsi="宋体" w:cs="宋体"/>
                <w:bCs/>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Cs/>
                <w:sz w:val="24"/>
                <w:u w:val="single"/>
              </w:rPr>
              <w:t xml:space="preserve"> 4% </w:t>
            </w:r>
            <w:r>
              <w:rPr>
                <w:rFonts w:hint="eastAsia" w:ascii="宋体" w:hAnsi="宋体" w:cs="宋体"/>
                <w:bCs/>
                <w:sz w:val="24"/>
              </w:rPr>
              <w:t>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3</w:t>
            </w:r>
          </w:p>
        </w:tc>
        <w:tc>
          <w:tcPr>
            <w:tcW w:w="2807" w:type="dxa"/>
            <w:vAlign w:val="center"/>
          </w:tcPr>
          <w:p>
            <w:pPr>
              <w:snapToGrid w:val="0"/>
              <w:spacing w:line="360" w:lineRule="auto"/>
              <w:jc w:val="left"/>
              <w:rPr>
                <w:rFonts w:hint="eastAsia" w:ascii="宋体" w:hAnsi="宋体" w:cs="宋体"/>
                <w:bCs/>
                <w:sz w:val="24"/>
              </w:rPr>
            </w:pPr>
            <w:r>
              <w:rPr>
                <w:rFonts w:hint="eastAsia" w:ascii="宋体" w:hAnsi="宋体" w:cs="宋体"/>
                <w:bCs/>
                <w:sz w:val="24"/>
              </w:rPr>
              <w:t>是否允许采购进口产品</w:t>
            </w:r>
          </w:p>
        </w:tc>
        <w:tc>
          <w:tcPr>
            <w:tcW w:w="6485" w:type="dxa"/>
            <w:vAlign w:val="center"/>
          </w:tcPr>
          <w:p>
            <w:pPr>
              <w:spacing w:line="360" w:lineRule="auto"/>
              <w:jc w:val="left"/>
              <w:rPr>
                <w:rFonts w:hint="eastAsia" w:ascii="宋体" w:hAnsi="宋体" w:cs="宋体"/>
                <w:bCs/>
                <w:kern w:val="0"/>
                <w:sz w:val="24"/>
              </w:rPr>
            </w:pPr>
            <w:r>
              <w:rPr>
                <w:rFonts w:hint="eastAsia" w:ascii="宋体" w:hAnsi="宋体" w:cs="宋体"/>
                <w:b/>
                <w:kern w:val="0"/>
                <w:sz w:val="24"/>
              </w:rPr>
              <w:sym w:font="Wingdings" w:char="F0FE"/>
            </w:r>
            <w:r>
              <w:rPr>
                <w:rFonts w:hint="eastAsia" w:ascii="宋体" w:hAnsi="宋体" w:cs="宋体"/>
                <w:b/>
                <w:kern w:val="0"/>
                <w:sz w:val="24"/>
              </w:rPr>
              <w:t>本项目不允许采购进口产品。</w:t>
            </w:r>
          </w:p>
          <w:p>
            <w:pPr>
              <w:spacing w:line="360" w:lineRule="auto"/>
              <w:jc w:val="left"/>
              <w:rPr>
                <w:rFonts w:hint="eastAsia" w:ascii="宋体" w:hAnsi="宋体" w:cs="宋体"/>
                <w:bCs/>
                <w:sz w:val="24"/>
              </w:rPr>
            </w:pPr>
            <w:r>
              <w:rPr>
                <w:rFonts w:hint="eastAsia" w:ascii="宋体" w:hAnsi="宋体" w:cs="宋体"/>
                <w:bCs/>
                <w:kern w:val="0"/>
                <w:sz w:val="24"/>
              </w:rPr>
              <w:t>☐可以就</w:t>
            </w:r>
            <w:r>
              <w:rPr>
                <w:rFonts w:hint="eastAsia" w:ascii="宋体" w:hAnsi="宋体" w:cs="宋体"/>
                <w:bCs/>
                <w:sz w:val="24"/>
                <w:u w:val="single"/>
              </w:rPr>
              <w:t xml:space="preserve">    </w:t>
            </w:r>
            <w:r>
              <w:rPr>
                <w:rFonts w:hint="eastAsia" w:ascii="宋体" w:hAnsi="宋体" w:cs="宋体"/>
                <w:bCs/>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4</w:t>
            </w:r>
          </w:p>
        </w:tc>
        <w:tc>
          <w:tcPr>
            <w:tcW w:w="2807" w:type="dxa"/>
            <w:vAlign w:val="center"/>
          </w:tcPr>
          <w:p>
            <w:pPr>
              <w:snapToGrid w:val="0"/>
              <w:spacing w:line="360" w:lineRule="auto"/>
              <w:jc w:val="left"/>
              <w:rPr>
                <w:rFonts w:hint="eastAsia" w:ascii="宋体" w:hAnsi="宋体" w:cs="宋体"/>
                <w:bCs/>
                <w:sz w:val="24"/>
              </w:rPr>
            </w:pPr>
            <w:r>
              <w:rPr>
                <w:rFonts w:hint="eastAsia" w:ascii="宋体" w:hAnsi="宋体" w:cs="宋体"/>
                <w:bCs/>
                <w:sz w:val="24"/>
              </w:rPr>
              <w:t>分包</w:t>
            </w:r>
          </w:p>
        </w:tc>
        <w:tc>
          <w:tcPr>
            <w:tcW w:w="6485" w:type="dxa"/>
            <w:vAlign w:val="center"/>
          </w:tcPr>
          <w:p>
            <w:pPr>
              <w:spacing w:line="360" w:lineRule="auto"/>
              <w:jc w:val="left"/>
              <w:rPr>
                <w:rFonts w:hint="eastAsia" w:ascii="宋体" w:hAnsi="宋体" w:cs="宋体"/>
                <w:b/>
                <w:sz w:val="24"/>
              </w:rPr>
            </w:pPr>
            <w:r>
              <w:rPr>
                <w:rFonts w:ascii="Wingdings" w:hAnsi="Wingdings" w:cs="宋体"/>
                <w:b/>
                <w:kern w:val="0"/>
                <w:sz w:val="24"/>
              </w:rPr>
              <w:t></w:t>
            </w:r>
            <w:r>
              <w:rPr>
                <w:rFonts w:hint="eastAsia" w:ascii="宋体" w:hAnsi="宋体" w:cs="宋体"/>
                <w:b/>
                <w:kern w:val="0"/>
                <w:sz w:val="24"/>
              </w:rPr>
              <w:t>A</w:t>
            </w:r>
            <w:r>
              <w:rPr>
                <w:rFonts w:hint="eastAsia" w:ascii="宋体" w:hAnsi="宋体" w:cs="宋体"/>
                <w:b/>
                <w:sz w:val="24"/>
              </w:rPr>
              <w:t>同意将非主体、非关键性的</w:t>
            </w:r>
            <w:r>
              <w:rPr>
                <w:rFonts w:hint="eastAsia" w:ascii="宋体" w:hAnsi="宋体" w:cs="宋体"/>
                <w:b/>
                <w:sz w:val="24"/>
                <w:u w:val="single"/>
              </w:rPr>
              <w:t xml:space="preserve">  运输  </w:t>
            </w:r>
            <w:r>
              <w:rPr>
                <w:rFonts w:hint="eastAsia" w:ascii="宋体" w:hAnsi="宋体" w:cs="宋体"/>
                <w:b/>
                <w:sz w:val="24"/>
              </w:rPr>
              <w:t>工作分包（需报备经采购人同意）。</w:t>
            </w:r>
          </w:p>
          <w:p>
            <w:pPr>
              <w:spacing w:line="360" w:lineRule="auto"/>
              <w:jc w:val="left"/>
              <w:rPr>
                <w:rFonts w:hint="eastAsia" w:ascii="宋体" w:hAnsi="宋体" w:cs="宋体"/>
                <w:bCs/>
                <w:sz w:val="24"/>
              </w:rPr>
            </w:pPr>
            <w:r>
              <w:rPr>
                <w:rFonts w:hint="eastAsia" w:ascii="MS Gothic" w:hAnsi="MS Gothic" w:cs="宋体"/>
                <w:bCs/>
                <w:kern w:val="0"/>
                <w:sz w:val="24"/>
              </w:rPr>
              <w:t>☐</w:t>
            </w:r>
            <w:r>
              <w:rPr>
                <w:rFonts w:hint="eastAsia" w:ascii="宋体" w:hAnsi="宋体" w:cs="宋体"/>
                <w:bCs/>
                <w:kern w:val="0"/>
                <w:sz w:val="24"/>
              </w:rPr>
              <w:t>B</w:t>
            </w:r>
            <w:r>
              <w:rPr>
                <w:rFonts w:hint="eastAsia" w:ascii="宋体" w:hAnsi="宋体" w:cs="宋体"/>
                <w:bCs/>
                <w:sz w:val="24"/>
              </w:rPr>
              <w:t>不同意分包。</w:t>
            </w:r>
          </w:p>
          <w:p>
            <w:pPr>
              <w:spacing w:line="360" w:lineRule="auto"/>
              <w:jc w:val="left"/>
              <w:rPr>
                <w:rFonts w:hint="eastAsia" w:ascii="宋体" w:hAnsi="宋体" w:cs="宋体"/>
                <w:bCs/>
                <w:sz w:val="24"/>
              </w:rPr>
            </w:pPr>
            <w:r>
              <w:rPr>
                <w:rFonts w:hint="eastAsia" w:ascii="宋体" w:hAnsi="宋体" w:cs="宋体"/>
                <w:bCs/>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5</w:t>
            </w:r>
          </w:p>
        </w:tc>
        <w:tc>
          <w:tcPr>
            <w:tcW w:w="2807" w:type="dxa"/>
            <w:vAlign w:val="center"/>
          </w:tcPr>
          <w:p>
            <w:pPr>
              <w:snapToGrid w:val="0"/>
              <w:spacing w:line="360" w:lineRule="auto"/>
              <w:jc w:val="left"/>
              <w:rPr>
                <w:rFonts w:hint="eastAsia" w:ascii="宋体" w:hAnsi="宋体" w:cs="宋体"/>
                <w:bCs/>
                <w:sz w:val="24"/>
              </w:rPr>
            </w:pPr>
            <w:r>
              <w:rPr>
                <w:rFonts w:hint="eastAsia" w:ascii="宋体" w:hAnsi="宋体" w:cs="宋体"/>
                <w:bCs/>
                <w:sz w:val="24"/>
              </w:rPr>
              <w:t>开标前答疑会或现场考察</w:t>
            </w:r>
          </w:p>
        </w:tc>
        <w:tc>
          <w:tcPr>
            <w:tcW w:w="6485" w:type="dxa"/>
            <w:vAlign w:val="center"/>
          </w:tcPr>
          <w:p>
            <w:pPr>
              <w:spacing w:line="360" w:lineRule="auto"/>
              <w:jc w:val="left"/>
              <w:rPr>
                <w:rFonts w:hint="eastAsia" w:ascii="宋体" w:hAnsi="宋体" w:cs="宋体"/>
                <w:b/>
                <w:sz w:val="24"/>
              </w:rPr>
            </w:pPr>
            <w:r>
              <w:rPr>
                <w:rFonts w:hint="eastAsia" w:ascii="宋体" w:hAnsi="宋体" w:cs="宋体"/>
                <w:b/>
                <w:kern w:val="0"/>
                <w:sz w:val="24"/>
              </w:rPr>
              <w:sym w:font="Wingdings" w:char="00FE"/>
            </w:r>
            <w:r>
              <w:rPr>
                <w:rFonts w:hint="eastAsia" w:ascii="宋体" w:hAnsi="宋体" w:cs="宋体"/>
                <w:b/>
                <w:kern w:val="0"/>
                <w:sz w:val="24"/>
              </w:rPr>
              <w:t>A</w:t>
            </w:r>
            <w:r>
              <w:rPr>
                <w:rFonts w:hint="eastAsia" w:ascii="宋体" w:hAnsi="宋体" w:cs="宋体"/>
                <w:b/>
                <w:sz w:val="24"/>
              </w:rPr>
              <w:t>不组织。</w:t>
            </w:r>
          </w:p>
          <w:p>
            <w:pPr>
              <w:spacing w:line="360" w:lineRule="auto"/>
              <w:jc w:val="left"/>
              <w:rPr>
                <w:rFonts w:hint="eastAsia" w:ascii="宋体" w:hAnsi="宋体" w:cs="宋体"/>
                <w:bCs/>
                <w:sz w:val="24"/>
              </w:rPr>
            </w:pPr>
            <w:r>
              <w:rPr>
                <w:rFonts w:hint="eastAsia" w:ascii="宋体" w:hAnsi="宋体" w:cs="宋体"/>
                <w:bCs/>
                <w:kern w:val="0"/>
                <w:sz w:val="24"/>
              </w:rPr>
              <w:t>☐B组织，</w:t>
            </w:r>
            <w:r>
              <w:rPr>
                <w:rFonts w:hint="eastAsia" w:ascii="宋体" w:hAnsi="宋体" w:cs="宋体"/>
                <w:bCs/>
                <w:sz w:val="24"/>
              </w:rPr>
              <w:t>时间：</w:t>
            </w:r>
            <w:r>
              <w:rPr>
                <w:rFonts w:hint="eastAsia" w:ascii="宋体" w:hAnsi="宋体" w:cs="宋体"/>
                <w:bCs/>
                <w:sz w:val="24"/>
                <w:u w:val="single"/>
              </w:rPr>
              <w:t xml:space="preserve">      </w:t>
            </w:r>
            <w:r>
              <w:rPr>
                <w:rFonts w:hint="eastAsia" w:ascii="宋体" w:hAnsi="宋体" w:cs="宋体"/>
                <w:bCs/>
                <w:sz w:val="24"/>
              </w:rPr>
              <w:t>,地点：</w:t>
            </w:r>
            <w:r>
              <w:rPr>
                <w:rFonts w:hint="eastAsia" w:ascii="宋体" w:hAnsi="宋体" w:cs="宋体"/>
                <w:bCs/>
                <w:sz w:val="24"/>
                <w:u w:val="single"/>
              </w:rPr>
              <w:t xml:space="preserve">      </w:t>
            </w: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bCs/>
                <w:sz w:val="24"/>
              </w:rPr>
              <w:t>。</w:t>
            </w:r>
          </w:p>
          <w:p>
            <w:pPr>
              <w:spacing w:line="360" w:lineRule="auto"/>
              <w:jc w:val="left"/>
              <w:rPr>
                <w:rFonts w:hint="eastAsia" w:ascii="宋体" w:hAnsi="宋体" w:cs="宋体"/>
                <w:bCs/>
                <w:sz w:val="24"/>
              </w:rPr>
            </w:pPr>
            <w:r>
              <w:rPr>
                <w:rFonts w:hint="eastAsia" w:ascii="宋体" w:hAnsi="宋体" w:cs="宋体"/>
                <w:bCs/>
                <w:kern w:val="0"/>
                <w:sz w:val="24"/>
              </w:rPr>
              <w:sym w:font="Wingdings" w:char="00A8"/>
            </w:r>
            <w:r>
              <w:rPr>
                <w:rFonts w:hint="eastAsia" w:ascii="宋体" w:hAnsi="宋体" w:cs="宋体"/>
                <w:bCs/>
                <w:kern w:val="0"/>
                <w:sz w:val="24"/>
              </w:rPr>
              <w:t>C不统一组织，供应商在获取采购文件后，可自行至项目现场考察。</w:t>
            </w:r>
            <w:r>
              <w:rPr>
                <w:rFonts w:hint="eastAsia" w:ascii="宋体" w:hAnsi="宋体" w:cs="宋体"/>
                <w:bCs/>
                <w:sz w:val="24"/>
              </w:rPr>
              <w:t>地点：</w:t>
            </w:r>
            <w:r>
              <w:rPr>
                <w:rFonts w:hint="eastAsia" w:ascii="宋体" w:hAnsi="宋体" w:cs="宋体"/>
                <w:bCs/>
                <w:sz w:val="24"/>
                <w:u w:val="single"/>
              </w:rPr>
              <w:t xml:space="preserve">        </w:t>
            </w: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6</w:t>
            </w:r>
          </w:p>
        </w:tc>
        <w:tc>
          <w:tcPr>
            <w:tcW w:w="2807" w:type="dxa"/>
            <w:vAlign w:val="center"/>
          </w:tcPr>
          <w:p>
            <w:pPr>
              <w:snapToGrid w:val="0"/>
              <w:spacing w:line="360" w:lineRule="auto"/>
              <w:jc w:val="left"/>
              <w:rPr>
                <w:rFonts w:hint="eastAsia" w:ascii="宋体" w:hAnsi="宋体" w:cs="宋体"/>
                <w:bCs/>
                <w:sz w:val="24"/>
              </w:rPr>
            </w:pPr>
            <w:r>
              <w:rPr>
                <w:rFonts w:hint="eastAsia" w:ascii="宋体" w:hAnsi="宋体" w:cs="宋体"/>
                <w:bCs/>
                <w:sz w:val="24"/>
              </w:rPr>
              <w:t>样品提供</w:t>
            </w:r>
          </w:p>
        </w:tc>
        <w:tc>
          <w:tcPr>
            <w:tcW w:w="6485" w:type="dxa"/>
            <w:vAlign w:val="center"/>
          </w:tcPr>
          <w:p>
            <w:pPr>
              <w:spacing w:line="360" w:lineRule="auto"/>
              <w:jc w:val="left"/>
              <w:rPr>
                <w:rFonts w:hint="eastAsia" w:ascii="宋体" w:hAnsi="宋体" w:cs="宋体"/>
                <w:b/>
                <w:sz w:val="24"/>
              </w:rPr>
            </w:pPr>
            <w:r>
              <w:rPr>
                <w:rFonts w:hint="eastAsia" w:ascii="Wingdings" w:hAnsi="Wingdings" w:eastAsia="MS Gothic" w:cs="宋体"/>
                <w:b/>
                <w:kern w:val="0"/>
                <w:sz w:val="24"/>
              </w:rPr>
              <w:sym w:font="Wingdings" w:char="00FE"/>
            </w:r>
            <w:r>
              <w:rPr>
                <w:rFonts w:hint="eastAsia" w:ascii="宋体" w:hAnsi="宋体" w:cs="宋体"/>
                <w:b/>
                <w:kern w:val="0"/>
                <w:sz w:val="24"/>
              </w:rPr>
              <w:t>A</w:t>
            </w:r>
            <w:r>
              <w:rPr>
                <w:rFonts w:hint="eastAsia" w:ascii="宋体" w:hAnsi="宋体" w:cs="宋体"/>
                <w:b/>
                <w:sz w:val="24"/>
              </w:rPr>
              <w:t>不要求提供；</w:t>
            </w:r>
          </w:p>
          <w:p>
            <w:pPr>
              <w:spacing w:line="360" w:lineRule="auto"/>
              <w:jc w:val="left"/>
              <w:rPr>
                <w:rFonts w:hint="eastAsia" w:ascii="宋体" w:hAnsi="宋体" w:cs="宋体"/>
                <w:bCs/>
                <w:kern w:val="0"/>
                <w:sz w:val="24"/>
              </w:rPr>
            </w:pPr>
            <w:r>
              <w:rPr>
                <w:rFonts w:hint="eastAsia" w:ascii="宋体" w:hAnsi="宋体" w:cs="宋体"/>
                <w:bCs/>
                <w:sz w:val="24"/>
              </w:rPr>
              <w:sym w:font="Wingdings 2" w:char="00A3"/>
            </w:r>
            <w:r>
              <w:rPr>
                <w:rFonts w:hint="eastAsia" w:ascii="宋体" w:hAnsi="宋体" w:cs="宋体"/>
                <w:bCs/>
                <w:kern w:val="0"/>
                <w:sz w:val="24"/>
              </w:rPr>
              <w:t>B▲要求提供（未提供样品或提供样品不满足采购需求实质性条件的供应商，投标无效）。</w:t>
            </w:r>
          </w:p>
          <w:p>
            <w:pPr>
              <w:spacing w:line="360" w:lineRule="auto"/>
              <w:rPr>
                <w:rFonts w:hint="eastAsia"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snapToGrid w:val="0"/>
                <w:kern w:val="28"/>
                <w:sz w:val="24"/>
              </w:rPr>
              <w:t>样品：/</w:t>
            </w:r>
            <w:r>
              <w:rPr>
                <w:rFonts w:hint="eastAsia" w:ascii="宋体" w:hAnsi="宋体"/>
                <w:kern w:val="0"/>
                <w:sz w:val="24"/>
              </w:rPr>
              <w:t>；</w:t>
            </w:r>
          </w:p>
          <w:p>
            <w:pPr>
              <w:spacing w:line="360" w:lineRule="auto"/>
              <w:rPr>
                <w:rFonts w:hint="eastAsia"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snapToGrid w:val="0"/>
                <w:kern w:val="28"/>
                <w:sz w:val="24"/>
              </w:rPr>
              <w:t>样品制作的标准和要求：</w:t>
            </w:r>
            <w:r>
              <w:rPr>
                <w:rFonts w:hint="eastAsia" w:ascii="宋体" w:hAnsi="宋体"/>
                <w:sz w:val="24"/>
                <w:u w:val="single"/>
              </w:rPr>
              <w:t xml:space="preserve"> /</w:t>
            </w:r>
            <w:r>
              <w:rPr>
                <w:rFonts w:hint="eastAsia" w:ascii="宋体" w:hAnsi="宋体"/>
                <w:kern w:val="0"/>
                <w:sz w:val="24"/>
              </w:rPr>
              <w:t>；</w:t>
            </w:r>
          </w:p>
          <w:p>
            <w:pPr>
              <w:spacing w:line="360" w:lineRule="auto"/>
              <w:rPr>
                <w:rFonts w:hint="eastAsia" w:ascii="宋体" w:hAnsi="宋体"/>
                <w:snapToGrid w:val="0"/>
                <w:kern w:val="28"/>
                <w:sz w:val="24"/>
              </w:rPr>
            </w:pPr>
            <w:r>
              <w:rPr>
                <w:rFonts w:hint="eastAsia" w:ascii="宋体" w:hAnsi="宋体"/>
                <w:kern w:val="0"/>
                <w:sz w:val="24"/>
              </w:rPr>
              <w:t>（</w:t>
            </w:r>
            <w:r>
              <w:rPr>
                <w:rFonts w:ascii="宋体" w:hAnsi="宋体"/>
                <w:kern w:val="0"/>
                <w:sz w:val="24"/>
              </w:rPr>
              <w:t>3）样品的评审方法以及评审标准</w:t>
            </w:r>
            <w:r>
              <w:rPr>
                <w:rFonts w:hint="eastAsia" w:ascii="宋体" w:hAnsi="宋体"/>
                <w:snapToGrid w:val="0"/>
                <w:kern w:val="28"/>
                <w:sz w:val="24"/>
              </w:rPr>
              <w:t>：</w:t>
            </w:r>
          </w:p>
          <w:p>
            <w:pPr>
              <w:spacing w:line="360" w:lineRule="auto"/>
              <w:ind w:firstLine="240" w:firstLineChars="100"/>
              <w:rPr>
                <w:rFonts w:hint="eastAsia" w:ascii="宋体" w:hAnsi="宋体"/>
                <w:snapToGrid w:val="0"/>
                <w:kern w:val="28"/>
                <w:sz w:val="24"/>
              </w:rPr>
            </w:pPr>
            <w:sdt>
              <w:sdtPr>
                <w:rPr>
                  <w:rFonts w:hint="eastAsia" w:ascii="宋体" w:hAnsi="宋体"/>
                  <w:snapToGrid w:val="0"/>
                  <w:kern w:val="28"/>
                  <w:sz w:val="24"/>
                </w:rPr>
                <w:id w:val="147465057"/>
                <w14:checkbox>
                  <w14:checked w14:val="0"/>
                  <w14:checkedState w14:val="00FE" w14:font="Wingdings"/>
                  <w14:uncheckedState w14:val="2610" w14:font="MS Gothic"/>
                </w14:checkbox>
              </w:sdtPr>
              <w:sdtEndPr>
                <w:rPr>
                  <w:rFonts w:hint="eastAsia" w:ascii="宋体" w:hAnsi="宋体"/>
                  <w:snapToGrid w:val="0"/>
                  <w:kern w:val="28"/>
                  <w:sz w:val="24"/>
                </w:rPr>
              </w:sdtEndPr>
              <w:sdtContent>
                <w:r>
                  <w:rPr>
                    <w:rFonts w:hint="eastAsia" w:ascii="MS Gothic" w:hAnsi="MS Gothic" w:eastAsia="MS Gothic"/>
                    <w:snapToGrid w:val="0"/>
                    <w:kern w:val="28"/>
                    <w:sz w:val="24"/>
                  </w:rPr>
                  <w:t>☐</w:t>
                </w:r>
              </w:sdtContent>
            </w:sdt>
            <w:r>
              <w:rPr>
                <w:rFonts w:hint="eastAsia" w:ascii="宋体" w:hAnsi="宋体"/>
                <w:snapToGrid w:val="0"/>
                <w:kern w:val="28"/>
                <w:sz w:val="24"/>
              </w:rPr>
              <w:t>样品分未超过价格分的50%；</w:t>
            </w:r>
          </w:p>
          <w:p>
            <w:pPr>
              <w:spacing w:line="360" w:lineRule="auto"/>
              <w:ind w:firstLine="240" w:firstLineChars="100"/>
              <w:rPr>
                <w:rFonts w:hint="eastAsia" w:ascii="宋体" w:hAnsi="宋体"/>
                <w:snapToGrid w:val="0"/>
                <w:kern w:val="28"/>
                <w:sz w:val="24"/>
              </w:rPr>
            </w:pPr>
            <w:sdt>
              <w:sdtPr>
                <w:rPr>
                  <w:rFonts w:hint="eastAsia" w:ascii="宋体" w:hAnsi="宋体"/>
                  <w:snapToGrid w:val="0"/>
                  <w:kern w:val="28"/>
                  <w:sz w:val="24"/>
                </w:rPr>
                <w:id w:val="147474085"/>
                <w14:checkbox>
                  <w14:checked w14:val="0"/>
                  <w14:checkedState w14:val="00FE" w14:font="Wingdings"/>
                  <w14:uncheckedState w14:val="2610" w14:font="MS Gothic"/>
                </w14:checkbox>
              </w:sdtPr>
              <w:sdtEndPr>
                <w:rPr>
                  <w:rFonts w:hint="eastAsia" w:ascii="宋体" w:hAnsi="宋体"/>
                  <w:snapToGrid w:val="0"/>
                  <w:kern w:val="28"/>
                  <w:sz w:val="24"/>
                </w:rPr>
              </w:sdtEndPr>
              <w:sdtContent>
                <w:r>
                  <w:rPr>
                    <w:rFonts w:hint="eastAsia" w:ascii="宋体" w:hAnsi="宋体"/>
                    <w:snapToGrid w:val="0"/>
                    <w:kern w:val="28"/>
                    <w:sz w:val="24"/>
                  </w:rPr>
                  <w:t>☐</w:t>
                </w:r>
              </w:sdtContent>
            </w:sdt>
            <w:r>
              <w:rPr>
                <w:rFonts w:hint="eastAsia" w:ascii="宋体" w:hAnsi="宋体"/>
                <w:snapToGrid w:val="0"/>
                <w:kern w:val="28"/>
                <w:sz w:val="24"/>
              </w:rPr>
              <w:t>样品分超过价格分的50%，理由</w:t>
            </w:r>
            <w:r>
              <w:rPr>
                <w:rFonts w:hint="eastAsia" w:ascii="宋体" w:hAnsi="宋体"/>
                <w:snapToGrid w:val="0"/>
                <w:kern w:val="28"/>
                <w:sz w:val="24"/>
                <w:u w:val="single"/>
              </w:rPr>
              <w:t xml:space="preserve">      </w:t>
            </w:r>
            <w:r>
              <w:rPr>
                <w:rFonts w:hint="eastAsia" w:ascii="宋体" w:hAnsi="宋体"/>
                <w:snapToGrid w:val="0"/>
                <w:kern w:val="28"/>
                <w:sz w:val="24"/>
              </w:rPr>
              <w:t>；</w:t>
            </w:r>
          </w:p>
          <w:p>
            <w:pPr>
              <w:spacing w:line="360" w:lineRule="auto"/>
              <w:ind w:firstLine="240" w:firstLineChars="100"/>
              <w:rPr>
                <w:rFonts w:hint="eastAsia" w:ascii="宋体" w:hAnsi="宋体"/>
                <w:kern w:val="0"/>
                <w:sz w:val="24"/>
              </w:rPr>
            </w:pPr>
            <w:r>
              <w:rPr>
                <w:rFonts w:hint="eastAsia" w:ascii="宋体" w:hAnsi="宋体"/>
                <w:snapToGrid w:val="0"/>
                <w:kern w:val="28"/>
                <w:sz w:val="24"/>
              </w:rPr>
              <w:t>详见</w:t>
            </w:r>
            <w:r>
              <w:rPr>
                <w:rFonts w:hint="eastAsia" w:ascii="宋体" w:hAnsi="宋体"/>
                <w:sz w:val="24"/>
                <w:u w:val="single"/>
              </w:rPr>
              <w:t>评标办法</w:t>
            </w:r>
            <w:r>
              <w:rPr>
                <w:rFonts w:hint="eastAsia" w:ascii="宋体" w:hAnsi="宋体"/>
                <w:kern w:val="0"/>
                <w:sz w:val="24"/>
              </w:rPr>
              <w:t>；</w:t>
            </w:r>
          </w:p>
          <w:p>
            <w:pPr>
              <w:spacing w:line="360" w:lineRule="auto"/>
              <w:rPr>
                <w:rFonts w:hint="eastAsia" w:ascii="宋体" w:hAnsi="宋体"/>
                <w:kern w:val="0"/>
                <w:sz w:val="24"/>
              </w:rPr>
            </w:pPr>
            <w:r>
              <w:rPr>
                <w:rFonts w:hint="eastAsia" w:ascii="宋体" w:hAnsi="宋体"/>
                <w:kern w:val="0"/>
                <w:sz w:val="24"/>
              </w:rPr>
              <w:t>（</w:t>
            </w:r>
            <w:r>
              <w:rPr>
                <w:rFonts w:ascii="宋体" w:hAnsi="宋体"/>
                <w:kern w:val="0"/>
                <w:sz w:val="24"/>
              </w:rPr>
              <w:t>4）是否需要随样品提交检测报告</w:t>
            </w:r>
            <w:r>
              <w:rPr>
                <w:rFonts w:hint="eastAsia" w:ascii="宋体" w:hAnsi="宋体"/>
                <w:kern w:val="0"/>
                <w:sz w:val="24"/>
              </w:rPr>
              <w:t>：</w:t>
            </w:r>
            <w:r>
              <w:rPr>
                <w:rFonts w:ascii="宋体" w:hAnsi="MS Gothic" w:cs="Arial"/>
                <w:kern w:val="0"/>
                <w:sz w:val="24"/>
              </w:rPr>
              <w:t>☐</w:t>
            </w:r>
            <w:r>
              <w:rPr>
                <w:rFonts w:ascii="宋体" w:hAnsi="宋体"/>
                <w:kern w:val="0"/>
                <w:sz w:val="24"/>
              </w:rPr>
              <w:t>否；</w:t>
            </w:r>
            <w:r>
              <w:rPr>
                <w:rFonts w:ascii="宋体" w:hAnsi="MS Gothic" w:cs="Arial"/>
                <w:kern w:val="0"/>
                <w:sz w:val="24"/>
              </w:rPr>
              <w:t>☐</w:t>
            </w:r>
            <w:r>
              <w:rPr>
                <w:rFonts w:ascii="宋体" w:hAnsi="宋体"/>
                <w:kern w:val="0"/>
                <w:sz w:val="24"/>
              </w:rPr>
              <w:t>是，检测机构的要求</w:t>
            </w:r>
            <w:r>
              <w:rPr>
                <w:rFonts w:hint="eastAsia" w:ascii="宋体" w:hAnsi="宋体"/>
                <w:sz w:val="24"/>
              </w:rPr>
              <w:t>：</w:t>
            </w:r>
            <w:r>
              <w:rPr>
                <w:rFonts w:hint="eastAsia" w:ascii="宋体" w:hAnsi="宋体"/>
                <w:sz w:val="24"/>
                <w:u w:val="single"/>
              </w:rPr>
              <w:t xml:space="preserve">    </w:t>
            </w:r>
            <w:r>
              <w:rPr>
                <w:rFonts w:hint="eastAsia" w:ascii="宋体" w:hAnsi="宋体"/>
                <w:kern w:val="0"/>
                <w:sz w:val="24"/>
              </w:rPr>
              <w:t>；检测内容</w:t>
            </w:r>
            <w:r>
              <w:rPr>
                <w:rFonts w:hint="eastAsia" w:ascii="宋体" w:hAnsi="宋体"/>
                <w:sz w:val="24"/>
              </w:rPr>
              <w:t>：</w:t>
            </w:r>
            <w:r>
              <w:rPr>
                <w:rFonts w:hint="eastAsia" w:ascii="宋体" w:hAnsi="宋体"/>
                <w:sz w:val="24"/>
                <w:u w:val="single"/>
              </w:rPr>
              <w:t xml:space="preserve">    </w:t>
            </w:r>
            <w:r>
              <w:rPr>
                <w:rFonts w:hint="eastAsia" w:ascii="宋体" w:hAnsi="宋体"/>
                <w:kern w:val="0"/>
                <w:sz w:val="24"/>
              </w:rPr>
              <w:t>。</w:t>
            </w:r>
          </w:p>
          <w:p>
            <w:pPr>
              <w:spacing w:line="360" w:lineRule="auto"/>
              <w:rPr>
                <w:rFonts w:hint="eastAsia" w:ascii="宋体" w:hAnsi="宋体"/>
                <w:sz w:val="24"/>
              </w:rPr>
            </w:pPr>
            <w:r>
              <w:rPr>
                <w:rFonts w:hint="eastAsia" w:ascii="宋体" w:hAnsi="宋体"/>
                <w:sz w:val="24"/>
              </w:rPr>
              <w:t>（</w:t>
            </w:r>
            <w:r>
              <w:rPr>
                <w:rFonts w:ascii="宋体" w:hAnsi="宋体"/>
                <w:sz w:val="24"/>
              </w:rPr>
              <w:t>5）提供样品的时间：</w:t>
            </w:r>
            <w:r>
              <w:rPr>
                <w:rFonts w:hint="eastAsia" w:ascii="宋体" w:hAnsi="宋体"/>
                <w:sz w:val="24"/>
                <w:u w:val="single"/>
              </w:rPr>
              <w:t xml:space="preserve">  /  </w:t>
            </w:r>
            <w:r>
              <w:rPr>
                <w:rFonts w:hint="eastAsia" w:ascii="宋体" w:hAnsi="宋体"/>
                <w:kern w:val="0"/>
                <w:sz w:val="24"/>
              </w:rPr>
              <w:t>；地点：</w:t>
            </w:r>
            <w:r>
              <w:rPr>
                <w:rFonts w:hint="eastAsia" w:ascii="宋体" w:hAnsi="宋体"/>
                <w:sz w:val="24"/>
                <w:u w:val="single"/>
              </w:rPr>
              <w:t xml:space="preserve">  / </w:t>
            </w:r>
            <w:r>
              <w:rPr>
                <w:rFonts w:hint="eastAsia" w:ascii="宋体" w:hAnsi="宋体"/>
                <w:kern w:val="0"/>
                <w:sz w:val="24"/>
              </w:rPr>
              <w:t>；联系人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hint="eastAsia" w:ascii="宋体" w:hAnsi="宋体"/>
                <w:kern w:val="28"/>
                <w:sz w:val="24"/>
              </w:rPr>
              <w:t>联系电话：</w:t>
            </w:r>
            <w:r>
              <w:rPr>
                <w:rFonts w:hint="eastAsia" w:ascii="宋体" w:hAnsi="宋体"/>
                <w:sz w:val="24"/>
                <w:u w:val="single"/>
              </w:rPr>
              <w:t xml:space="preserve"> /   </w:t>
            </w:r>
            <w:r>
              <w:rPr>
                <w:rFonts w:hint="eastAsia" w:ascii="宋体" w:hAnsi="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sz w:val="24"/>
              </w:rPr>
            </w:pPr>
            <w:r>
              <w:rPr>
                <w:rFonts w:hint="eastAsia" w:ascii="宋体" w:hAnsi="宋体"/>
                <w:sz w:val="24"/>
              </w:rPr>
              <w:t>（6）</w:t>
            </w:r>
            <w:r>
              <w:rPr>
                <w:rFonts w:ascii="宋体" w:hAnsi="宋体"/>
                <w:sz w:val="24"/>
              </w:rPr>
              <w:t>采购活动结束后，对于未中标人提供的样品，</w:t>
            </w:r>
            <w:r>
              <w:rPr>
                <w:rFonts w:hint="eastAsia" w:ascii="宋体" w:hAnsi="宋体"/>
                <w:sz w:val="24"/>
              </w:rPr>
              <w:t>采购人、采购代理机构将通知</w:t>
            </w:r>
            <w:r>
              <w:rPr>
                <w:rFonts w:ascii="宋体" w:hAnsi="宋体"/>
                <w:sz w:val="24"/>
              </w:rPr>
              <w:t>未中标人</w:t>
            </w:r>
            <w:r>
              <w:rPr>
                <w:rFonts w:hint="eastAsia" w:ascii="宋体" w:hAnsi="宋体"/>
                <w:sz w:val="24"/>
              </w:rPr>
              <w:t>在规定的时间内取回，逾期未取回的，采购人、采购代理机构不负保管义务</w:t>
            </w:r>
            <w:r>
              <w:rPr>
                <w:rFonts w:ascii="宋体" w:hAnsi="宋体"/>
                <w:sz w:val="24"/>
              </w:rPr>
              <w:t>；对于中标人提供的样品，</w:t>
            </w:r>
            <w:r>
              <w:rPr>
                <w:rFonts w:hint="eastAsia" w:ascii="宋体" w:hAnsi="宋体"/>
                <w:sz w:val="24"/>
              </w:rPr>
              <w:t>采购人将进</w:t>
            </w:r>
            <w:r>
              <w:rPr>
                <w:rFonts w:ascii="宋体" w:hAnsi="宋体"/>
                <w:sz w:val="24"/>
              </w:rPr>
              <w:t>行保管、封存，并作为履约验收的参考</w:t>
            </w:r>
            <w:r>
              <w:rPr>
                <w:rFonts w:hint="eastAsia" w:ascii="宋体" w:hAnsi="宋体"/>
                <w:sz w:val="24"/>
              </w:rPr>
              <w:t>。（详见第三部分 采购需求）</w:t>
            </w:r>
          </w:p>
          <w:p>
            <w:pPr>
              <w:spacing w:line="360" w:lineRule="auto"/>
              <w:jc w:val="left"/>
              <w:rPr>
                <w:rFonts w:hint="eastAsia" w:ascii="宋体" w:hAnsi="宋体" w:cs="宋体"/>
                <w:bCs/>
                <w:sz w:val="24"/>
              </w:rPr>
            </w:pPr>
            <w:r>
              <w:rPr>
                <w:rFonts w:hint="eastAsia" w:ascii="宋体" w:hAnsi="宋体"/>
                <w:sz w:val="24"/>
              </w:rPr>
              <w:t>（</w:t>
            </w:r>
            <w:r>
              <w:rPr>
                <w:rFonts w:ascii="宋体" w:hAnsi="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7</w:t>
            </w:r>
          </w:p>
        </w:tc>
        <w:tc>
          <w:tcPr>
            <w:tcW w:w="2807" w:type="dxa"/>
            <w:vAlign w:val="center"/>
          </w:tcPr>
          <w:p>
            <w:pPr>
              <w:snapToGrid w:val="0"/>
              <w:spacing w:line="360" w:lineRule="auto"/>
              <w:jc w:val="left"/>
              <w:rPr>
                <w:rFonts w:hint="eastAsia" w:ascii="宋体" w:hAnsi="宋体" w:cs="宋体"/>
                <w:bCs/>
                <w:sz w:val="24"/>
              </w:rPr>
            </w:pPr>
            <w:r>
              <w:rPr>
                <w:rFonts w:hint="eastAsia" w:ascii="宋体" w:hAnsi="宋体" w:cs="仿宋_GB2312"/>
                <w:bCs/>
                <w:sz w:val="24"/>
              </w:rPr>
              <w:t>方案讲解演示</w:t>
            </w:r>
          </w:p>
        </w:tc>
        <w:tc>
          <w:tcPr>
            <w:tcW w:w="6485" w:type="dxa"/>
            <w:vAlign w:val="center"/>
          </w:tcPr>
          <w:p>
            <w:pPr>
              <w:spacing w:line="360" w:lineRule="auto"/>
              <w:ind w:right="143" w:rightChars="68" w:firstLine="81" w:firstLineChars="34"/>
              <w:jc w:val="left"/>
              <w:rPr>
                <w:rFonts w:hint="eastAsia" w:ascii="宋体" w:hAnsi="宋体"/>
                <w:bCs/>
                <w:sz w:val="24"/>
              </w:rPr>
            </w:pPr>
            <w:r>
              <w:rPr>
                <w:rFonts w:hint="eastAsia" w:ascii="宋体" w:hAnsi="宋体" w:cs="宋体"/>
                <w:bCs/>
                <w:sz w:val="24"/>
              </w:rPr>
              <w:sym w:font="Wingdings 2" w:char="00A3"/>
            </w:r>
            <w:r>
              <w:rPr>
                <w:rFonts w:hint="eastAsia" w:ascii="宋体" w:hAnsi="MS Gothic" w:cs="Arial"/>
                <w:bCs/>
                <w:sz w:val="24"/>
              </w:rPr>
              <w:t xml:space="preserve"> </w:t>
            </w:r>
            <w:r>
              <w:rPr>
                <w:rFonts w:ascii="宋体" w:hAnsi="宋体" w:cs="Arial"/>
                <w:bCs/>
                <w:sz w:val="24"/>
              </w:rPr>
              <w:t>A</w:t>
            </w:r>
            <w:r>
              <w:rPr>
                <w:rFonts w:hint="eastAsia" w:ascii="宋体" w:hAnsi="宋体"/>
                <w:bCs/>
                <w:sz w:val="24"/>
              </w:rPr>
              <w:t>不组织；</w:t>
            </w:r>
          </w:p>
          <w:p>
            <w:pPr>
              <w:spacing w:line="360" w:lineRule="auto"/>
              <w:ind w:right="143" w:rightChars="68" w:firstLine="82" w:firstLineChars="34"/>
              <w:jc w:val="left"/>
              <w:rPr>
                <w:rFonts w:hint="eastAsia" w:ascii="宋体" w:hAnsi="宋体"/>
                <w:b/>
                <w:sz w:val="24"/>
              </w:rPr>
            </w:pPr>
            <w:r>
              <w:rPr>
                <w:rFonts w:hint="eastAsia" w:ascii="宋体" w:hAnsi="宋体" w:cs="宋体"/>
                <w:b/>
                <w:sz w:val="24"/>
              </w:rPr>
              <w:sym w:font="Wingdings 2" w:char="0052"/>
            </w:r>
            <w:r>
              <w:rPr>
                <w:rFonts w:hint="eastAsia" w:ascii="宋体" w:hAnsi="MS Gothic" w:cs="Arial"/>
                <w:b/>
                <w:sz w:val="24"/>
              </w:rPr>
              <w:t xml:space="preserve"> </w:t>
            </w:r>
            <w:r>
              <w:rPr>
                <w:rFonts w:ascii="宋体" w:hAnsi="宋体"/>
                <w:b/>
                <w:sz w:val="24"/>
              </w:rPr>
              <w:t>B组织。</w:t>
            </w:r>
          </w:p>
          <w:p>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w:t>
            </w:r>
            <w:r>
              <w:rPr>
                <w:rFonts w:ascii="宋体" w:hAnsi="宋体"/>
                <w:bCs/>
                <w:sz w:val="24"/>
              </w:rPr>
              <w:t>1）在评标时安排每个</w:t>
            </w:r>
            <w:r>
              <w:rPr>
                <w:rFonts w:hint="eastAsia" w:ascii="宋体" w:hAnsi="宋体"/>
                <w:bCs/>
                <w:sz w:val="24"/>
              </w:rPr>
              <w:t>投标人</w:t>
            </w:r>
            <w:r>
              <w:rPr>
                <w:rFonts w:ascii="宋体" w:hAnsi="宋体"/>
                <w:bCs/>
                <w:sz w:val="24"/>
              </w:rPr>
              <w:t>进行方案讲解演示。每个</w:t>
            </w:r>
            <w:r>
              <w:rPr>
                <w:rFonts w:hint="eastAsia" w:ascii="宋体" w:hAnsi="宋体"/>
                <w:bCs/>
                <w:sz w:val="24"/>
              </w:rPr>
              <w:t>投标人</w:t>
            </w:r>
            <w:r>
              <w:rPr>
                <w:rFonts w:ascii="宋体" w:hAnsi="宋体"/>
                <w:bCs/>
                <w:sz w:val="24"/>
              </w:rPr>
              <w:t>时间不超过</w:t>
            </w:r>
            <w:r>
              <w:rPr>
                <w:rFonts w:hint="eastAsia" w:ascii="宋体" w:hAnsi="宋体"/>
                <w:bCs/>
                <w:sz w:val="24"/>
              </w:rPr>
              <w:t>15</w:t>
            </w:r>
            <w:r>
              <w:rPr>
                <w:rFonts w:ascii="宋体" w:hAnsi="宋体"/>
                <w:bCs/>
                <w:sz w:val="24"/>
              </w:rPr>
              <w:t>分钟，讲解次序以投标文件解密时间先后次序为准，讲解演示人员不超过3人。讲解演示结束后按要求解答评标委员会提问。</w:t>
            </w:r>
          </w:p>
          <w:p>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w:t>
            </w:r>
            <w:r>
              <w:rPr>
                <w:rFonts w:ascii="宋体" w:hAnsi="宋体"/>
                <w:bCs/>
                <w:sz w:val="24"/>
              </w:rPr>
              <w:t>2）方案讲解演示可选择</w:t>
            </w:r>
            <w:r>
              <w:rPr>
                <w:rFonts w:hint="eastAsia" w:ascii="宋体" w:hAnsi="宋体"/>
                <w:bCs/>
                <w:sz w:val="24"/>
              </w:rPr>
              <w:t>以下其中一种方式：</w:t>
            </w:r>
          </w:p>
          <w:p>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方式一：政采云平台在线讲解演示。政采云平台在线讲解需投标人根据政采云平台操作要求做好准备工作，提前完善软硬件配置环境。</w:t>
            </w:r>
          </w:p>
          <w:p>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方式二：现场讲解演示：地点为</w:t>
            </w:r>
            <w:r>
              <w:rPr>
                <w:rFonts w:hint="eastAsia" w:ascii="宋体" w:hAnsi="宋体"/>
                <w:bCs/>
                <w:sz w:val="24"/>
                <w:u w:val="single"/>
              </w:rPr>
              <w:t xml:space="preserve">  杭州市上城区环站东路99号云峰大厦1号楼12楼评标室 </w:t>
            </w:r>
            <w:r>
              <w:rPr>
                <w:rFonts w:hint="eastAsia" w:ascii="宋体" w:hAnsi="宋体"/>
                <w:bCs/>
                <w:sz w:val="24"/>
              </w:rPr>
              <w:t>，讲解演示所用电脑等设备由投标人自备。现场讲解演示人员进场时提供讲解人员名单（加盖公章）及身份证明，否则不得讲解演示。</w:t>
            </w:r>
          </w:p>
          <w:p>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方式三：录屏讲解演示：</w:t>
            </w:r>
            <w:r>
              <w:rPr>
                <w:rFonts w:ascii="宋体" w:hAnsi="宋体"/>
                <w:bCs/>
                <w:sz w:val="24"/>
              </w:rPr>
              <w:t>若</w:t>
            </w:r>
            <w:r>
              <w:rPr>
                <w:rFonts w:hint="eastAsia" w:ascii="宋体" w:hAnsi="宋体"/>
                <w:bCs/>
                <w:sz w:val="24"/>
              </w:rPr>
              <w:t>投标人</w:t>
            </w:r>
            <w:r>
              <w:rPr>
                <w:rFonts w:ascii="宋体" w:hAnsi="宋体"/>
                <w:bCs/>
                <w:sz w:val="24"/>
              </w:rPr>
              <w:t>不到现场，提供演示录屏（视频格式为非常规格式提供</w:t>
            </w:r>
            <w:r>
              <w:rPr>
                <w:rFonts w:hint="eastAsia" w:ascii="宋体" w:hAnsi="宋体"/>
                <w:bCs/>
                <w:sz w:val="24"/>
              </w:rPr>
              <w:t>视频</w:t>
            </w:r>
            <w:r>
              <w:rPr>
                <w:rFonts w:ascii="宋体" w:hAnsi="宋体"/>
                <w:bCs/>
                <w:sz w:val="24"/>
              </w:rPr>
              <w:t>安装软件，以免无法播放），可与备份文件一起邮寄</w:t>
            </w:r>
            <w:r>
              <w:rPr>
                <w:rFonts w:hint="eastAsia" w:ascii="宋体" w:hAnsi="宋体"/>
                <w:bCs/>
                <w:sz w:val="24"/>
              </w:rPr>
              <w:t>，需明确备注</w:t>
            </w:r>
            <w:r>
              <w:rPr>
                <w:rFonts w:ascii="宋体" w:hAnsi="宋体"/>
                <w:bCs/>
                <w:sz w:val="24"/>
              </w:rPr>
              <w:t>。</w:t>
            </w:r>
          </w:p>
          <w:p>
            <w:pPr>
              <w:snapToGrid w:val="0"/>
              <w:spacing w:line="360" w:lineRule="auto"/>
              <w:ind w:right="143" w:rightChars="68" w:firstLine="81" w:firstLineChars="34"/>
              <w:jc w:val="left"/>
              <w:rPr>
                <w:rFonts w:hint="eastAsia" w:ascii="宋体" w:hAnsi="宋体" w:cs="宋体"/>
                <w:bCs/>
                <w:kern w:val="0"/>
                <w:sz w:val="24"/>
                <w:lang w:val="zh-CN"/>
              </w:rPr>
            </w:pPr>
            <w:r>
              <w:rPr>
                <w:rFonts w:hint="eastAsia" w:ascii="宋体" w:hAnsi="宋体"/>
                <w:bCs/>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8</w:t>
            </w:r>
          </w:p>
        </w:tc>
        <w:tc>
          <w:tcPr>
            <w:tcW w:w="2807" w:type="dxa"/>
            <w:vAlign w:val="center"/>
          </w:tcPr>
          <w:p>
            <w:pPr>
              <w:snapToGrid w:val="0"/>
              <w:spacing w:line="360" w:lineRule="auto"/>
              <w:jc w:val="left"/>
              <w:rPr>
                <w:rFonts w:hint="eastAsia" w:ascii="宋体" w:hAnsi="宋体" w:cs="宋体"/>
                <w:bCs/>
                <w:sz w:val="24"/>
              </w:rPr>
            </w:pPr>
            <w:r>
              <w:rPr>
                <w:rFonts w:hint="eastAsia" w:ascii="宋体" w:hAnsi="宋体" w:cs="宋体"/>
                <w:bCs/>
                <w:sz w:val="24"/>
              </w:rPr>
              <w:t>投标人应当提供的资格、资信证明文件</w:t>
            </w:r>
          </w:p>
        </w:tc>
        <w:tc>
          <w:tcPr>
            <w:tcW w:w="6485" w:type="dxa"/>
            <w:vAlign w:val="center"/>
          </w:tcPr>
          <w:p>
            <w:pPr>
              <w:spacing w:line="360" w:lineRule="auto"/>
              <w:jc w:val="left"/>
              <w:rPr>
                <w:rFonts w:hint="eastAsia" w:ascii="宋体" w:hAnsi="宋体" w:cs="宋体"/>
                <w:bCs/>
                <w:sz w:val="24"/>
              </w:rPr>
            </w:pPr>
            <w:r>
              <w:rPr>
                <w:rFonts w:hint="eastAsia" w:ascii="宋体" w:hAnsi="宋体" w:cs="宋体"/>
                <w:bCs/>
                <w:sz w:val="24"/>
              </w:rPr>
              <w:t>（1）资格证明文件：见招标文件第二部分11.1。</w:t>
            </w:r>
          </w:p>
          <w:p>
            <w:pPr>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投标人未提供有效的资格证明文件的，视为投标人不具备招标文件中规定的资格要求，投标无效。</w:t>
            </w:r>
          </w:p>
          <w:p>
            <w:pPr>
              <w:spacing w:line="360" w:lineRule="auto"/>
              <w:jc w:val="left"/>
              <w:rPr>
                <w:rFonts w:hint="eastAsia" w:ascii="宋体" w:hAnsi="宋体" w:cs="宋体"/>
                <w:bCs/>
                <w:snapToGrid w:val="0"/>
                <w:kern w:val="0"/>
                <w:sz w:val="24"/>
              </w:rPr>
            </w:pPr>
            <w:r>
              <w:rPr>
                <w:rFonts w:hint="eastAsia" w:ascii="宋体" w:hAnsi="宋体" w:cs="宋体"/>
                <w:bCs/>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9</w:t>
            </w:r>
          </w:p>
        </w:tc>
        <w:tc>
          <w:tcPr>
            <w:tcW w:w="2807" w:type="dxa"/>
            <w:vAlign w:val="center"/>
          </w:tcPr>
          <w:p>
            <w:pPr>
              <w:snapToGrid w:val="0"/>
              <w:spacing w:line="360" w:lineRule="auto"/>
              <w:jc w:val="left"/>
              <w:rPr>
                <w:rFonts w:hint="eastAsia" w:ascii="宋体" w:hAnsi="宋体" w:cs="宋体"/>
                <w:bCs/>
                <w:sz w:val="24"/>
              </w:rPr>
            </w:pPr>
            <w:r>
              <w:rPr>
                <w:rFonts w:hint="eastAsia" w:ascii="宋体" w:hAnsi="宋体" w:cs="宋体"/>
                <w:bCs/>
                <w:sz w:val="24"/>
              </w:rPr>
              <w:t>节能产品、环境标志产品</w:t>
            </w:r>
          </w:p>
        </w:tc>
        <w:tc>
          <w:tcPr>
            <w:tcW w:w="6485" w:type="dxa"/>
            <w:vAlign w:val="center"/>
          </w:tcPr>
          <w:p>
            <w:pPr>
              <w:snapToGri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ind w:firstLine="480" w:firstLineChars="200"/>
              <w:jc w:val="left"/>
              <w:rPr>
                <w:rFonts w:hint="eastAsia" w:ascii="宋体" w:hAnsi="宋体" w:cs="宋体"/>
                <w:bCs/>
                <w:kern w:val="0"/>
                <w:sz w:val="24"/>
              </w:rPr>
            </w:pPr>
            <w:sdt>
              <w:sdtPr>
                <w:rPr>
                  <w:rFonts w:hint="eastAsia" w:ascii="宋体" w:hAnsi="宋体" w:cs="宋体"/>
                  <w:bCs/>
                  <w:color w:val="FF0000"/>
                  <w:kern w:val="0"/>
                  <w:sz w:val="24"/>
                </w:rPr>
                <w:id w:val="147464366"/>
                <w14:checkbox>
                  <w14:checked w14:val="1"/>
                  <w14:checkedState w14:val="00FE" w14:font="Wingdings"/>
                  <w14:uncheckedState w14:val="2610" w14:font="MS Gothic"/>
                </w14:checkbox>
              </w:sdtPr>
              <w:sdtEndPr>
                <w:rPr>
                  <w:rFonts w:hint="eastAsia" w:ascii="宋体" w:hAnsi="宋体" w:cs="宋体"/>
                  <w:bCs/>
                  <w:color w:val="auto"/>
                  <w:kern w:val="0"/>
                  <w:sz w:val="24"/>
                </w:rPr>
              </w:sdtEndPr>
              <w:sdtContent>
                <w:r>
                  <w:rPr>
                    <w:rFonts w:hint="eastAsia" w:ascii="宋体" w:hAnsi="宋体" w:cs="宋体"/>
                    <w:bCs/>
                    <w:kern w:val="0"/>
                    <w:sz w:val="24"/>
                  </w:rPr>
                  <w:sym w:font="Wingdings" w:char="F0FE"/>
                </w:r>
              </w:sdtContent>
            </w:sdt>
            <w:r>
              <w:rPr>
                <w:rFonts w:hint="eastAsia" w:ascii="宋体" w:hAnsi="宋体" w:cs="宋体"/>
                <w:kern w:val="0"/>
                <w:sz w:val="24"/>
                <w:lang w:val="zh-CN"/>
              </w:rPr>
              <w:t>▲</w:t>
            </w:r>
            <w:r>
              <w:rPr>
                <w:rFonts w:hint="eastAsia" w:ascii="宋体" w:hAnsi="宋体" w:cs="宋体"/>
                <w:bCs/>
                <w:kern w:val="0"/>
                <w:sz w:val="24"/>
              </w:rPr>
              <w:t>强制采购。产品：</w:t>
            </w:r>
            <w:r>
              <w:rPr>
                <w:rFonts w:hint="eastAsia" w:ascii="宋体" w:hAnsi="宋体" w:cs="宋体"/>
                <w:bCs/>
                <w:kern w:val="0"/>
                <w:sz w:val="24"/>
                <w:u w:val="single"/>
              </w:rPr>
              <w:t xml:space="preserve">冷通道数据展示屏、行级精密空调 </w:t>
            </w:r>
            <w:r>
              <w:rPr>
                <w:rFonts w:hint="eastAsia" w:ascii="宋体" w:hAnsi="宋体" w:cs="宋体"/>
                <w:bCs/>
                <w:kern w:val="0"/>
                <w:sz w:val="24"/>
              </w:rPr>
              <w:t xml:space="preserve">    </w:t>
            </w:r>
          </w:p>
          <w:p>
            <w:pPr>
              <w:snapToGri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□优先采购节能产品。产品：</w:t>
            </w:r>
            <w:r>
              <w:rPr>
                <w:rFonts w:hint="eastAsia" w:ascii="宋体" w:hAnsi="宋体" w:cs="宋体"/>
                <w:bCs/>
                <w:kern w:val="0"/>
                <w:sz w:val="24"/>
                <w:u w:val="single"/>
              </w:rPr>
              <w:t xml:space="preserve">    /      </w:t>
            </w:r>
            <w:r>
              <w:rPr>
                <w:rFonts w:hint="eastAsia" w:ascii="宋体" w:hAnsi="宋体" w:cs="宋体"/>
                <w:bCs/>
                <w:kern w:val="0"/>
                <w:sz w:val="24"/>
              </w:rPr>
              <w:t xml:space="preserve">   </w:t>
            </w:r>
          </w:p>
          <w:p>
            <w:pPr>
              <w:snapToGri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□优先采购环保产品。产品：</w:t>
            </w:r>
            <w:r>
              <w:rPr>
                <w:rFonts w:hint="eastAsia" w:ascii="宋体" w:hAnsi="宋体" w:cs="宋体"/>
                <w:bCs/>
                <w:kern w:val="0"/>
                <w:sz w:val="24"/>
                <w:u w:val="single"/>
              </w:rPr>
              <w:t xml:space="preserve">    /      </w:t>
            </w:r>
            <w:r>
              <w:rPr>
                <w:rFonts w:hint="eastAsia" w:ascii="宋体" w:hAnsi="宋体" w:cs="宋体"/>
                <w:bCs/>
                <w:kern w:val="0"/>
                <w:sz w:val="24"/>
              </w:rPr>
              <w:t xml:space="preserve">    </w:t>
            </w:r>
          </w:p>
          <w:p>
            <w:pPr>
              <w:snapToGrid w:val="0"/>
              <w:spacing w:line="360" w:lineRule="auto"/>
              <w:ind w:firstLine="480" w:firstLineChars="200"/>
              <w:jc w:val="left"/>
              <w:rPr>
                <w:rFonts w:hint="eastAsia" w:ascii="宋体" w:hAnsi="宋体" w:cs="宋体"/>
                <w:bCs/>
                <w:sz w:val="24"/>
              </w:rPr>
            </w:pPr>
            <w:r>
              <w:rPr>
                <w:rFonts w:hint="eastAsia" w:ascii="宋体" w:hAnsi="宋体" w:cs="宋体"/>
                <w:bCs/>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10</w:t>
            </w:r>
          </w:p>
        </w:tc>
        <w:tc>
          <w:tcPr>
            <w:tcW w:w="2807" w:type="dxa"/>
            <w:vAlign w:val="center"/>
          </w:tcPr>
          <w:p>
            <w:pPr>
              <w:snapToGrid w:val="0"/>
              <w:spacing w:line="360" w:lineRule="auto"/>
              <w:jc w:val="left"/>
              <w:rPr>
                <w:rFonts w:hint="eastAsia" w:ascii="宋体" w:hAnsi="宋体" w:cs="宋体"/>
                <w:bCs/>
                <w:sz w:val="24"/>
              </w:rPr>
            </w:pPr>
            <w:r>
              <w:rPr>
                <w:rFonts w:hint="eastAsia" w:ascii="宋体" w:hAnsi="宋体" w:cs="宋体"/>
                <w:bCs/>
                <w:sz w:val="24"/>
              </w:rPr>
              <w:t>报价要求</w:t>
            </w:r>
          </w:p>
        </w:tc>
        <w:tc>
          <w:tcPr>
            <w:tcW w:w="6485" w:type="dxa"/>
            <w:vAlign w:val="center"/>
          </w:tcPr>
          <w:p>
            <w:pPr>
              <w:snapToGrid w:val="0"/>
              <w:spacing w:line="360" w:lineRule="auto"/>
              <w:ind w:firstLine="480" w:firstLineChars="200"/>
              <w:jc w:val="left"/>
              <w:rPr>
                <w:rFonts w:hint="eastAsia" w:ascii="宋体" w:hAnsi="宋体" w:cs="宋体"/>
                <w:bCs/>
                <w:kern w:val="0"/>
                <w:sz w:val="24"/>
                <w:lang w:val="zh-CN"/>
              </w:rPr>
            </w:pPr>
            <w:r>
              <w:rPr>
                <w:rFonts w:hint="eastAsia" w:ascii="宋体" w:hAnsi="宋体" w:cs="宋体"/>
                <w:bCs/>
                <w:kern w:val="0"/>
                <w:sz w:val="24"/>
                <w:lang w:val="zh-CN"/>
              </w:rPr>
              <w:t>有关本项目实施所需的所有费用（含税费）均计入报价。投标文件</w:t>
            </w:r>
            <w:r>
              <w:rPr>
                <w:rFonts w:hint="eastAsia" w:ascii="宋体" w:hAnsi="宋体" w:cs="宋体"/>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投标报价出现下列情形的，投标无效：</w:t>
            </w:r>
          </w:p>
          <w:p>
            <w:pPr>
              <w:snapToGrid w:val="0"/>
              <w:spacing w:line="360" w:lineRule="auto"/>
              <w:ind w:firstLine="240" w:firstLineChars="100"/>
              <w:jc w:val="left"/>
              <w:rPr>
                <w:rFonts w:hint="eastAsia" w:ascii="宋体" w:hAnsi="宋体" w:cs="宋体"/>
                <w:bCs/>
                <w:kern w:val="0"/>
                <w:sz w:val="24"/>
                <w:lang w:val="zh-CN"/>
              </w:rPr>
            </w:pPr>
            <w:r>
              <w:rPr>
                <w:rFonts w:hint="eastAsia" w:ascii="宋体" w:hAnsi="宋体" w:cs="宋体"/>
                <w:bCs/>
                <w:kern w:val="0"/>
                <w:sz w:val="24"/>
                <w:lang w:val="zh-CN"/>
              </w:rPr>
              <w:t>投标文件出现不是唯一的、有选择性投标报价的；</w:t>
            </w:r>
          </w:p>
          <w:p>
            <w:pPr>
              <w:snapToGrid w:val="0"/>
              <w:spacing w:line="360" w:lineRule="auto"/>
              <w:ind w:firstLine="240" w:firstLineChars="100"/>
              <w:jc w:val="left"/>
              <w:rPr>
                <w:rFonts w:hint="eastAsia" w:ascii="宋体" w:hAnsi="宋体" w:cs="宋体"/>
                <w:bCs/>
                <w:kern w:val="0"/>
                <w:sz w:val="24"/>
                <w:lang w:val="zh-CN"/>
              </w:rPr>
            </w:pPr>
            <w:r>
              <w:rPr>
                <w:rFonts w:hint="eastAsia" w:ascii="宋体" w:hAnsi="宋体" w:cs="宋体"/>
                <w:bCs/>
                <w:kern w:val="0"/>
                <w:sz w:val="24"/>
                <w:lang w:val="zh-CN"/>
              </w:rPr>
              <w:t>投标报价超过招标文件中规定的预算金额或者最高限价的；</w:t>
            </w:r>
          </w:p>
          <w:p>
            <w:pPr>
              <w:spacing w:line="360" w:lineRule="auto"/>
              <w:ind w:firstLine="240" w:firstLineChars="100"/>
              <w:jc w:val="left"/>
              <w:rPr>
                <w:rFonts w:hint="eastAsia" w:ascii="宋体" w:hAnsi="宋体" w:cs="宋体"/>
                <w:bCs/>
                <w:sz w:val="24"/>
              </w:rPr>
            </w:pPr>
            <w:r>
              <w:rPr>
                <w:rFonts w:hint="eastAsia" w:ascii="宋体" w:hAnsi="宋体" w:cs="宋体"/>
                <w:bCs/>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sz w:val="24"/>
              </w:rPr>
              <w:t>；</w:t>
            </w:r>
          </w:p>
          <w:p>
            <w:pPr>
              <w:spacing w:line="360" w:lineRule="auto"/>
              <w:ind w:firstLine="240" w:firstLineChars="100"/>
              <w:jc w:val="left"/>
              <w:rPr>
                <w:rFonts w:hint="eastAsia" w:ascii="宋体" w:hAnsi="宋体" w:cs="宋体"/>
                <w:bCs/>
                <w:sz w:val="24"/>
              </w:rPr>
            </w:pPr>
            <w:r>
              <w:rPr>
                <w:rFonts w:hint="eastAsia" w:ascii="宋体" w:hAnsi="宋体" w:cs="宋体"/>
                <w:bCs/>
                <w:kern w:val="0"/>
                <w:sz w:val="24"/>
              </w:rPr>
              <w:t>投标人对根据修正原则修正后的报价不确认的</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11</w:t>
            </w:r>
          </w:p>
        </w:tc>
        <w:tc>
          <w:tcPr>
            <w:tcW w:w="2807" w:type="dxa"/>
            <w:vAlign w:val="center"/>
          </w:tcPr>
          <w:p>
            <w:pPr>
              <w:snapToGrid w:val="0"/>
              <w:spacing w:line="360" w:lineRule="auto"/>
              <w:jc w:val="left"/>
              <w:rPr>
                <w:rFonts w:hint="eastAsia" w:ascii="宋体" w:hAnsi="宋体"/>
                <w:sz w:val="24"/>
              </w:rPr>
            </w:pPr>
            <w:r>
              <w:rPr>
                <w:rFonts w:hint="eastAsia" w:ascii="宋体" w:hAnsi="宋体"/>
                <w:sz w:val="24"/>
              </w:rPr>
              <w:t>中小企业信用融资</w:t>
            </w:r>
          </w:p>
        </w:tc>
        <w:tc>
          <w:tcPr>
            <w:tcW w:w="6485" w:type="dxa"/>
            <w:vAlign w:val="center"/>
          </w:tcPr>
          <w:p>
            <w:pPr>
              <w:spacing w:line="360" w:lineRule="auto"/>
              <w:ind w:firstLine="480" w:firstLineChars="200"/>
              <w:jc w:val="left"/>
              <w:rPr>
                <w:rFonts w:hint="eastAsia" w:ascii="宋体" w:hAnsi="宋体"/>
                <w:snapToGrid w:val="0"/>
                <w:kern w:val="28"/>
                <w:sz w:val="24"/>
              </w:rPr>
            </w:pPr>
            <w:r>
              <w:rPr>
                <w:rFonts w:hint="eastAsia" w:ascii="宋体" w:hAnsi="宋体"/>
                <w:snapToGrid w:val="0"/>
                <w:kern w:val="28"/>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12</w:t>
            </w:r>
          </w:p>
        </w:tc>
        <w:tc>
          <w:tcPr>
            <w:tcW w:w="2807" w:type="dxa"/>
            <w:vAlign w:val="center"/>
          </w:tcPr>
          <w:p>
            <w:pPr>
              <w:snapToGrid w:val="0"/>
              <w:spacing w:line="360" w:lineRule="auto"/>
              <w:jc w:val="left"/>
              <w:rPr>
                <w:rFonts w:hint="eastAsia" w:ascii="宋体" w:hAnsi="宋体" w:cs="宋体"/>
                <w:bCs/>
                <w:sz w:val="24"/>
              </w:rPr>
            </w:pPr>
            <w:r>
              <w:rPr>
                <w:rFonts w:hint="eastAsia" w:ascii="宋体" w:hAnsi="宋体" w:cs="仿宋_GB2312"/>
                <w:bCs/>
                <w:sz w:val="24"/>
              </w:rPr>
              <w:t>备份投标文件送达地点和签收人员</w:t>
            </w:r>
          </w:p>
        </w:tc>
        <w:tc>
          <w:tcPr>
            <w:tcW w:w="6485" w:type="dxa"/>
            <w:vAlign w:val="center"/>
          </w:tcPr>
          <w:p>
            <w:pPr>
              <w:pStyle w:val="32"/>
              <w:spacing w:line="360" w:lineRule="auto"/>
              <w:ind w:right="143" w:rightChars="68" w:firstLine="480" w:firstLineChars="200"/>
              <w:jc w:val="left"/>
              <w:rPr>
                <w:rFonts w:hint="eastAsia" w:hAnsi="宋体" w:cs="宋体"/>
                <w:bCs/>
                <w:kern w:val="28"/>
                <w:sz w:val="24"/>
                <w:szCs w:val="24"/>
              </w:rPr>
            </w:pPr>
            <w:r>
              <w:rPr>
                <w:rFonts w:hint="eastAsia" w:hAnsi="宋体"/>
                <w:bCs/>
                <w:kern w:val="28"/>
                <w:sz w:val="24"/>
                <w:szCs w:val="24"/>
              </w:rPr>
              <w:t>备份投标文件送达地点：</w:t>
            </w:r>
            <w:r>
              <w:rPr>
                <w:rFonts w:hint="eastAsia" w:hAnsi="宋体"/>
                <w:bCs/>
                <w:sz w:val="24"/>
                <w:szCs w:val="24"/>
                <w:u w:val="single"/>
              </w:rPr>
              <w:t>杭州市上城区环站东路99号云峰大厦1幢12楼（接受邮寄，需在投标截止前寄达签收）</w:t>
            </w:r>
            <w:r>
              <w:rPr>
                <w:rFonts w:hint="eastAsia" w:hAnsi="宋体"/>
                <w:bCs/>
                <w:kern w:val="28"/>
                <w:sz w:val="24"/>
                <w:szCs w:val="24"/>
              </w:rPr>
              <w:t>；备份投标文件签收人员联系电话：</w:t>
            </w:r>
            <w:r>
              <w:rPr>
                <w:rFonts w:hint="eastAsia" w:hAnsi="宋体"/>
                <w:bCs/>
                <w:kern w:val="28"/>
                <w:sz w:val="24"/>
                <w:szCs w:val="24"/>
                <w:u w:val="single"/>
              </w:rPr>
              <w:t xml:space="preserve"> </w:t>
            </w:r>
            <w:r>
              <w:rPr>
                <w:rFonts w:hint="eastAsia" w:hAnsi="宋体"/>
                <w:bCs/>
                <w:sz w:val="24"/>
                <w:szCs w:val="24"/>
                <w:u w:val="single"/>
              </w:rPr>
              <w:t xml:space="preserve">成晓松 18221599746  </w:t>
            </w:r>
            <w:r>
              <w:rPr>
                <w:rFonts w:hint="eastAsia" w:hAnsi="宋体" w:cs="仿宋_GB2312"/>
                <w:bCs/>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restart"/>
            <w:vAlign w:val="center"/>
          </w:tcPr>
          <w:p>
            <w:pPr>
              <w:snapToGrid w:val="0"/>
              <w:spacing w:line="360" w:lineRule="auto"/>
              <w:jc w:val="center"/>
              <w:rPr>
                <w:rFonts w:hint="eastAsia" w:ascii="宋体" w:hAnsi="宋体" w:cs="宋体"/>
                <w:bCs/>
                <w:sz w:val="24"/>
              </w:rPr>
            </w:pPr>
            <w:r>
              <w:rPr>
                <w:rFonts w:hint="eastAsia" w:ascii="宋体" w:hAnsi="宋体" w:cs="宋体"/>
                <w:bCs/>
                <w:sz w:val="24"/>
              </w:rPr>
              <w:t>13</w:t>
            </w:r>
          </w:p>
        </w:tc>
        <w:tc>
          <w:tcPr>
            <w:tcW w:w="2807" w:type="dxa"/>
            <w:vMerge w:val="restart"/>
            <w:vAlign w:val="center"/>
          </w:tcPr>
          <w:p>
            <w:pPr>
              <w:snapToGrid w:val="0"/>
              <w:spacing w:line="360" w:lineRule="auto"/>
              <w:jc w:val="left"/>
              <w:rPr>
                <w:rFonts w:hint="eastAsia" w:ascii="宋体" w:hAnsi="宋体" w:cs="宋体"/>
                <w:bCs/>
                <w:sz w:val="24"/>
              </w:rPr>
            </w:pPr>
            <w:r>
              <w:rPr>
                <w:rFonts w:hint="eastAsia" w:ascii="宋体" w:hAnsi="宋体" w:cs="仿宋_GB2312"/>
                <w:bCs/>
                <w:sz w:val="24"/>
              </w:rPr>
              <w:t>特别说明</w:t>
            </w:r>
          </w:p>
        </w:tc>
        <w:tc>
          <w:tcPr>
            <w:tcW w:w="6485" w:type="dxa"/>
            <w:vAlign w:val="center"/>
          </w:tcPr>
          <w:p>
            <w:pPr>
              <w:spacing w:line="360" w:lineRule="auto"/>
              <w:ind w:firstLine="480" w:firstLineChars="200"/>
              <w:jc w:val="left"/>
              <w:rPr>
                <w:rFonts w:hint="eastAsia" w:ascii="宋体" w:hAnsi="宋体" w:cs="宋体"/>
                <w:bCs/>
                <w:snapToGrid w:val="0"/>
                <w:kern w:val="28"/>
                <w:sz w:val="24"/>
              </w:rPr>
            </w:pPr>
            <w:r>
              <w:rPr>
                <w:rFonts w:hint="eastAsia" w:ascii="宋体" w:hAnsi="宋体" w:cs="宋体"/>
                <w:bCs/>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pPr>
              <w:snapToGrid w:val="0"/>
              <w:spacing w:line="360" w:lineRule="auto"/>
              <w:jc w:val="center"/>
              <w:rPr>
                <w:rFonts w:hint="eastAsia" w:ascii="宋体" w:hAnsi="宋体" w:cs="宋体"/>
                <w:bCs/>
                <w:sz w:val="24"/>
              </w:rPr>
            </w:pPr>
          </w:p>
        </w:tc>
        <w:tc>
          <w:tcPr>
            <w:tcW w:w="2807" w:type="dxa"/>
            <w:vMerge w:val="continue"/>
            <w:vAlign w:val="center"/>
          </w:tcPr>
          <w:p>
            <w:pPr>
              <w:snapToGrid w:val="0"/>
              <w:spacing w:line="360" w:lineRule="auto"/>
              <w:jc w:val="left"/>
              <w:rPr>
                <w:rFonts w:hint="eastAsia" w:ascii="宋体" w:hAnsi="宋体" w:cs="宋体"/>
                <w:bCs/>
                <w:sz w:val="24"/>
              </w:rPr>
            </w:pPr>
          </w:p>
        </w:tc>
        <w:tc>
          <w:tcPr>
            <w:tcW w:w="6485" w:type="dxa"/>
            <w:vAlign w:val="center"/>
          </w:tcPr>
          <w:p>
            <w:pPr>
              <w:spacing w:line="360" w:lineRule="auto"/>
              <w:ind w:firstLine="480" w:firstLineChars="200"/>
              <w:jc w:val="left"/>
              <w:rPr>
                <w:rFonts w:hint="eastAsia" w:ascii="宋体" w:hAnsi="宋体" w:cs="宋体"/>
                <w:bCs/>
                <w:snapToGrid w:val="0"/>
                <w:kern w:val="28"/>
                <w:sz w:val="24"/>
              </w:rPr>
            </w:pPr>
            <w:r>
              <w:rPr>
                <w:rFonts w:hint="eastAsia" w:ascii="宋体" w:hAnsi="宋体" w:cs="宋体"/>
                <w:bCs/>
                <w:snapToGrid w:val="0"/>
                <w:kern w:val="28"/>
                <w:sz w:val="24"/>
              </w:rPr>
              <w:t>☐联合体投标的，联合体各方均需按招标文件第四部分评标标准要求提供资信证明文件，否则视为不符合相关要求。</w:t>
            </w:r>
          </w:p>
          <w:p>
            <w:pPr>
              <w:spacing w:line="360" w:lineRule="auto"/>
              <w:ind w:firstLine="480" w:firstLineChars="200"/>
              <w:jc w:val="left"/>
              <w:rPr>
                <w:rFonts w:hint="eastAsia" w:ascii="宋体" w:hAnsi="宋体" w:cs="宋体"/>
                <w:bCs/>
                <w:snapToGrid w:val="0"/>
                <w:kern w:val="28"/>
                <w:sz w:val="24"/>
              </w:rPr>
            </w:pPr>
            <w:r>
              <w:rPr>
                <w:rFonts w:hint="eastAsia" w:ascii="宋体" w:hAnsi="宋体" w:cs="宋体"/>
                <w:bCs/>
                <w:snapToGrid w:val="0"/>
                <w:kern w:val="28"/>
                <w:sz w:val="24"/>
              </w:rPr>
              <w:sym w:font="Wingdings" w:char="F0FE"/>
            </w:r>
            <w:r>
              <w:rPr>
                <w:rFonts w:hint="eastAsia" w:ascii="宋体" w:hAnsi="宋体" w:cs="宋体"/>
                <w:bCs/>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pPr>
              <w:snapToGrid w:val="0"/>
              <w:spacing w:line="360" w:lineRule="auto"/>
              <w:jc w:val="center"/>
              <w:rPr>
                <w:rFonts w:hint="eastAsia" w:ascii="宋体" w:hAnsi="宋体" w:cs="宋体"/>
                <w:bCs/>
                <w:sz w:val="24"/>
              </w:rPr>
            </w:pPr>
          </w:p>
        </w:tc>
        <w:tc>
          <w:tcPr>
            <w:tcW w:w="2807" w:type="dxa"/>
            <w:vMerge w:val="continue"/>
            <w:vAlign w:val="center"/>
          </w:tcPr>
          <w:p>
            <w:pPr>
              <w:snapToGrid w:val="0"/>
              <w:spacing w:line="360" w:lineRule="auto"/>
              <w:jc w:val="left"/>
              <w:rPr>
                <w:rFonts w:hint="eastAsia" w:ascii="宋体" w:hAnsi="宋体" w:cs="宋体"/>
                <w:bCs/>
                <w:sz w:val="24"/>
              </w:rPr>
            </w:pPr>
          </w:p>
        </w:tc>
        <w:tc>
          <w:tcPr>
            <w:tcW w:w="6485" w:type="dxa"/>
            <w:vAlign w:val="center"/>
          </w:tcPr>
          <w:p>
            <w:pPr>
              <w:spacing w:line="360" w:lineRule="auto"/>
              <w:ind w:firstLine="480" w:firstLineChars="200"/>
              <w:jc w:val="left"/>
              <w:rPr>
                <w:rFonts w:hint="eastAsia" w:ascii="宋体" w:hAnsi="宋体" w:cs="宋体"/>
                <w:bCs/>
                <w:snapToGrid w:val="0"/>
                <w:kern w:val="28"/>
                <w:sz w:val="24"/>
              </w:rPr>
            </w:pPr>
            <w:r>
              <w:rPr>
                <w:rFonts w:hint="eastAsia" w:ascii="宋体" w:hAnsi="宋体" w:cs="宋体"/>
                <w:bCs/>
                <w:snapToGrid w:val="0"/>
                <w:kern w:val="28"/>
                <w:sz w:val="24"/>
                <w:lang w:val="en"/>
              </w:rPr>
              <w:t>本项目推荐的中标候选人数量：</w:t>
            </w:r>
            <w:r>
              <w:rPr>
                <w:rFonts w:hint="eastAsia" w:ascii="宋体" w:hAnsi="宋体" w:cs="宋体"/>
                <w:bCs/>
                <w:snapToGrid w:val="0"/>
                <w:kern w:val="28"/>
                <w:sz w:val="24"/>
                <w:u w:val="single"/>
              </w:rPr>
              <w:t>3</w:t>
            </w:r>
            <w:r>
              <w:rPr>
                <w:rFonts w:hint="eastAsia" w:ascii="宋体" w:hAnsi="宋体" w:cs="宋体"/>
                <w:sz w:val="24"/>
                <w:u w:val="single"/>
              </w:rPr>
              <w:t>家</w:t>
            </w:r>
            <w:r>
              <w:rPr>
                <w:rFonts w:hint="eastAsia" w:ascii="宋体" w:hAnsi="宋体" w:cs="宋体"/>
                <w:bCs/>
                <w:snapToGrid w:val="0"/>
                <w:kern w:val="28"/>
                <w:sz w:val="24"/>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pPr>
              <w:snapToGrid w:val="0"/>
              <w:spacing w:line="360" w:lineRule="auto"/>
              <w:jc w:val="center"/>
              <w:rPr>
                <w:rFonts w:hint="eastAsia" w:ascii="宋体" w:hAnsi="宋体" w:cs="宋体"/>
                <w:bCs/>
                <w:sz w:val="24"/>
              </w:rPr>
            </w:pPr>
            <w:r>
              <w:rPr>
                <w:rFonts w:hint="eastAsia" w:ascii="宋体" w:hAnsi="宋体" w:cs="宋体"/>
                <w:bCs/>
                <w:sz w:val="24"/>
              </w:rPr>
              <w:t>14</w:t>
            </w:r>
          </w:p>
        </w:tc>
        <w:tc>
          <w:tcPr>
            <w:tcW w:w="2807" w:type="dxa"/>
            <w:vAlign w:val="center"/>
          </w:tcPr>
          <w:p>
            <w:pPr>
              <w:snapToGrid w:val="0"/>
              <w:spacing w:line="360" w:lineRule="auto"/>
              <w:jc w:val="left"/>
              <w:rPr>
                <w:rFonts w:hint="eastAsia" w:ascii="宋体" w:hAnsi="宋体" w:cs="宋体"/>
                <w:bCs/>
                <w:sz w:val="24"/>
              </w:rPr>
            </w:pPr>
            <w:r>
              <w:rPr>
                <w:rFonts w:hint="eastAsia" w:ascii="宋体" w:hAnsi="宋体" w:cs="宋体"/>
                <w:bCs/>
                <w:sz w:val="24"/>
              </w:rPr>
              <w:t>其他</w:t>
            </w:r>
          </w:p>
        </w:tc>
        <w:tc>
          <w:tcPr>
            <w:tcW w:w="6485" w:type="dxa"/>
            <w:vAlign w:val="center"/>
          </w:tcPr>
          <w:p>
            <w:pPr>
              <w:snapToGrid w:val="0"/>
              <w:spacing w:line="360" w:lineRule="auto"/>
              <w:ind w:right="143" w:rightChars="68" w:firstLine="81" w:firstLineChars="34"/>
              <w:jc w:val="left"/>
              <w:rPr>
                <w:rFonts w:hint="eastAsia" w:ascii="宋体" w:hAnsi="宋体"/>
                <w:bCs/>
                <w:kern w:val="28"/>
                <w:sz w:val="24"/>
              </w:rPr>
            </w:pPr>
            <w:r>
              <w:rPr>
                <w:rFonts w:hint="eastAsia" w:ascii="宋体" w:hAnsi="宋体"/>
                <w:bCs/>
                <w:sz w:val="24"/>
              </w:rPr>
              <w:t>（1）</w:t>
            </w:r>
            <w:r>
              <w:rPr>
                <w:rFonts w:ascii="宋体" w:hAnsi="宋体"/>
                <w:bCs/>
                <w:sz w:val="24"/>
              </w:rPr>
              <w:t>中标通知书发出后30日</w:t>
            </w:r>
            <w:r>
              <w:rPr>
                <w:rFonts w:hint="eastAsia" w:ascii="宋体" w:hAnsi="宋体"/>
                <w:bCs/>
                <w:sz w:val="24"/>
              </w:rPr>
              <w:t>（鼓励有条件的缩短至10个工作日）</w:t>
            </w:r>
            <w:r>
              <w:rPr>
                <w:rFonts w:ascii="宋体" w:hAnsi="宋体"/>
                <w:bCs/>
                <w:sz w:val="24"/>
              </w:rPr>
              <w:t>内，中标供应商持中标通知书与采购人签订合同</w:t>
            </w:r>
            <w:r>
              <w:rPr>
                <w:rFonts w:hint="eastAsia" w:ascii="宋体" w:hAnsi="宋体"/>
                <w:bCs/>
                <w:sz w:val="24"/>
              </w:rPr>
              <w:t>；合同签订后需在2个工作日内进行备案公示。</w:t>
            </w:r>
          </w:p>
          <w:p>
            <w:pPr>
              <w:snapToGrid w:val="0"/>
              <w:spacing w:line="360" w:lineRule="auto"/>
              <w:ind w:right="143" w:rightChars="68" w:firstLine="81" w:firstLineChars="34"/>
              <w:jc w:val="left"/>
              <w:rPr>
                <w:rFonts w:hint="eastAsia" w:ascii="宋体" w:hAnsi="宋体"/>
                <w:bCs/>
                <w:kern w:val="28"/>
                <w:sz w:val="24"/>
              </w:rPr>
            </w:pPr>
            <w:r>
              <w:rPr>
                <w:rFonts w:hint="eastAsia" w:ascii="宋体" w:hAnsi="宋体"/>
                <w:bCs/>
                <w:kern w:val="28"/>
                <w:sz w:val="24"/>
              </w:rPr>
              <w:t>（2）</w:t>
            </w:r>
            <w:r>
              <w:rPr>
                <w:rFonts w:hint="eastAsia" w:ascii="宋体" w:hAnsi="宋体"/>
                <w:bCs/>
                <w:sz w:val="24"/>
              </w:rPr>
              <w:t>中标供应商在收到中标通知后7个工作日内提交纸质版胶装投标文件（内容同电子投标文件）一正两副或系统解密版打印三份（封面盖章加骑缝），用于项目资料存档。（邮寄地址：杭州市上城区环站东路99号云峰大厦1幢12楼，成晓松 18221599746收）</w:t>
            </w:r>
          </w:p>
          <w:p>
            <w:pPr>
              <w:snapToGrid w:val="0"/>
              <w:spacing w:line="360" w:lineRule="auto"/>
              <w:ind w:right="143" w:rightChars="68" w:firstLine="81" w:firstLineChars="34"/>
              <w:jc w:val="left"/>
              <w:rPr>
                <w:rFonts w:hint="eastAsia" w:ascii="宋体" w:hAnsi="宋体"/>
                <w:bCs/>
                <w:sz w:val="24"/>
              </w:rPr>
            </w:pPr>
            <w:r>
              <w:rPr>
                <w:rFonts w:hint="eastAsia" w:ascii="宋体" w:hAnsi="宋体"/>
                <w:bCs/>
                <w:kern w:val="28"/>
                <w:sz w:val="24"/>
              </w:rPr>
              <w:t>（3）</w:t>
            </w:r>
            <w:r>
              <w:rPr>
                <w:rFonts w:hint="eastAsia" w:ascii="宋体" w:hAnsi="宋体"/>
                <w:bCs/>
                <w:sz w:val="24"/>
              </w:rPr>
              <w:t>本项目招标代理服务费收费标准为：</w:t>
            </w:r>
            <w:r>
              <w:rPr>
                <w:rFonts w:ascii="宋体" w:hAnsi="宋体"/>
                <w:sz w:val="24"/>
              </w:rPr>
              <w:t>按浙价服(2003)77号文规定的收费标准</w:t>
            </w:r>
            <w:r>
              <w:rPr>
                <w:rFonts w:hint="eastAsia" w:ascii="宋体" w:hAnsi="宋体"/>
                <w:sz w:val="24"/>
              </w:rPr>
              <w:t>八折</w:t>
            </w:r>
            <w:r>
              <w:rPr>
                <w:rFonts w:ascii="宋体" w:hAnsi="宋体"/>
                <w:sz w:val="24"/>
              </w:rPr>
              <w:t>计取，不足</w:t>
            </w:r>
            <w:r>
              <w:rPr>
                <w:rFonts w:hint="eastAsia" w:ascii="宋体" w:hAnsi="宋体"/>
                <w:sz w:val="24"/>
              </w:rPr>
              <w:t>伍</w:t>
            </w:r>
            <w:r>
              <w:rPr>
                <w:rFonts w:ascii="宋体" w:hAnsi="宋体"/>
                <w:sz w:val="24"/>
              </w:rPr>
              <w:t>仟元按</w:t>
            </w:r>
            <w:r>
              <w:rPr>
                <w:rFonts w:hint="eastAsia" w:ascii="宋体" w:hAnsi="宋体"/>
                <w:sz w:val="24"/>
              </w:rPr>
              <w:t>伍</w:t>
            </w:r>
            <w:r>
              <w:rPr>
                <w:rFonts w:ascii="宋体" w:hAnsi="宋体"/>
                <w:sz w:val="24"/>
              </w:rPr>
              <w:t>仟元计取</w:t>
            </w:r>
            <w:r>
              <w:rPr>
                <w:rFonts w:hint="eastAsia" w:ascii="宋体" w:hAnsi="宋体"/>
                <w:sz w:val="24"/>
              </w:rPr>
              <w:t>。</w:t>
            </w:r>
          </w:p>
          <w:p>
            <w:pPr>
              <w:snapToGrid w:val="0"/>
              <w:spacing w:line="360" w:lineRule="auto"/>
              <w:ind w:right="143" w:rightChars="68"/>
              <w:jc w:val="left"/>
              <w:rPr>
                <w:rFonts w:hint="eastAsia" w:ascii="宋体" w:hAnsi="宋体"/>
                <w:bCs/>
                <w:sz w:val="24"/>
              </w:rPr>
            </w:pPr>
            <w:r>
              <w:rPr>
                <w:rFonts w:hint="eastAsia" w:ascii="宋体" w:hAnsi="宋体"/>
                <w:bCs/>
                <w:sz w:val="24"/>
              </w:rPr>
              <w:sym w:font="Wingdings 2" w:char="00A3"/>
            </w:r>
            <w:r>
              <w:rPr>
                <w:rFonts w:hint="eastAsia" w:ascii="宋体" w:hAnsi="宋体"/>
                <w:bCs/>
                <w:sz w:val="24"/>
              </w:rPr>
              <w:t>采购人在招标完成后支付；</w:t>
            </w:r>
          </w:p>
          <w:p>
            <w:pPr>
              <w:snapToGrid w:val="0"/>
              <w:spacing w:line="360" w:lineRule="auto"/>
              <w:ind w:right="143" w:rightChars="68"/>
              <w:jc w:val="left"/>
              <w:rPr>
                <w:rFonts w:hint="eastAsia" w:ascii="宋体" w:hAnsi="宋体"/>
                <w:b/>
                <w:sz w:val="24"/>
              </w:rPr>
            </w:pPr>
            <w:r>
              <w:rPr>
                <w:rFonts w:hint="eastAsia" w:ascii="宋体" w:hAnsi="宋体"/>
                <w:b/>
                <w:sz w:val="24"/>
              </w:rPr>
              <w:sym w:font="Wingdings 2" w:char="0052"/>
            </w:r>
            <w:r>
              <w:rPr>
                <w:rFonts w:hint="eastAsia" w:ascii="宋体" w:hAnsi="宋体"/>
                <w:b/>
                <w:sz w:val="24"/>
              </w:rPr>
              <w:t>由中标供应商在领取中标通知书后7个工作日内向采购代理机构一次性缴纳。</w:t>
            </w:r>
          </w:p>
          <w:p>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收款单位：杭州洲源招标代理有限公司</w:t>
            </w:r>
          </w:p>
          <w:p>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开户银行：</w:t>
            </w:r>
            <w:r>
              <w:rPr>
                <w:rFonts w:hint="eastAsia" w:ascii="宋体" w:hAnsi="宋体" w:cs="宋体"/>
                <w:sz w:val="24"/>
              </w:rPr>
              <w:t>中信银行杭州西湖支行</w:t>
            </w:r>
          </w:p>
          <w:p>
            <w:pPr>
              <w:snapToGrid w:val="0"/>
              <w:spacing w:line="360" w:lineRule="auto"/>
              <w:ind w:right="143" w:rightChars="68" w:firstLine="81" w:firstLineChars="34"/>
              <w:jc w:val="left"/>
              <w:rPr>
                <w:rFonts w:hint="eastAsia" w:ascii="宋体" w:hAnsi="宋体" w:cs="Arial"/>
                <w:bCs/>
                <w:kern w:val="0"/>
                <w:sz w:val="24"/>
              </w:rPr>
            </w:pPr>
            <w:r>
              <w:rPr>
                <w:rFonts w:hint="eastAsia" w:ascii="宋体" w:hAnsi="宋体"/>
                <w:bCs/>
                <w:sz w:val="24"/>
              </w:rPr>
              <w:t>帐    号：</w:t>
            </w:r>
            <w:r>
              <w:rPr>
                <w:rFonts w:hint="eastAsia" w:ascii="宋体" w:hAnsi="宋体" w:cs="宋体"/>
                <w:sz w:val="24"/>
              </w:rPr>
              <w:t>8110801012701859954</w:t>
            </w:r>
          </w:p>
        </w:tc>
      </w:tr>
      <w:bookmarkEnd w:id="10"/>
    </w:tbl>
    <w:p>
      <w:pPr>
        <w:jc w:val="center"/>
        <w:rPr>
          <w:rFonts w:hint="eastAsia" w:ascii="宋体" w:hAnsi="宋体" w:cs="宋体"/>
          <w:b/>
          <w:sz w:val="30"/>
          <w:szCs w:val="30"/>
        </w:rPr>
      </w:pPr>
      <w:bookmarkStart w:id="12" w:name="_Toc164416483"/>
      <w:bookmarkStart w:id="13" w:name="第三部分"/>
      <w:r>
        <w:rPr>
          <w:rFonts w:hint="eastAsia" w:ascii="宋体" w:hAnsi="宋体" w:cs="宋体"/>
          <w:b/>
          <w:sz w:val="32"/>
          <w:szCs w:val="20"/>
        </w:rPr>
        <w:br w:type="page"/>
      </w:r>
      <w:r>
        <w:rPr>
          <w:rFonts w:hint="eastAsia" w:ascii="宋体" w:hAnsi="宋体" w:cs="宋体"/>
          <w:b/>
          <w:sz w:val="30"/>
          <w:szCs w:val="30"/>
        </w:rPr>
        <w:t>一、总则</w:t>
      </w:r>
    </w:p>
    <w:p>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1.适用范围</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hint="eastAsia"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hint="eastAsia" w:ascii="宋体" w:hAnsi="宋体" w:cs="宋体"/>
          <w:sz w:val="24"/>
        </w:rPr>
      </w:pPr>
      <w:r>
        <w:rPr>
          <w:rFonts w:hint="eastAsia" w:ascii="宋体" w:hAnsi="宋体" w:cs="宋体"/>
          <w:sz w:val="24"/>
        </w:rPr>
        <w:t>2.3 “投标供应商”、“投标人”系指是指响应招标、参加投标竞争的法人、其他组织或者自然人。</w:t>
      </w:r>
    </w:p>
    <w:p>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hint="eastAsia" w:ascii="宋体" w:hAnsi="宋体" w:cs="宋体"/>
          <w:sz w:val="24"/>
        </w:rPr>
      </w:pPr>
      <w:r>
        <w:rPr>
          <w:rFonts w:hint="eastAsia" w:ascii="宋体" w:hAnsi="宋体" w:cs="宋体"/>
          <w:sz w:val="24"/>
        </w:rPr>
        <w:t>3.2 支持绿色发展</w:t>
      </w:r>
    </w:p>
    <w:p>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hint="eastAsia" w:ascii="宋体" w:hAnsi="宋体" w:cs="宋体"/>
          <w:b/>
          <w:sz w:val="24"/>
        </w:rPr>
        <w:t>采购人拟采购的产品属于政府强制采购的节能产品品目清单范围的，投标供应商未按招标文件要求提供国家确定的认证机构出具的、处于有效期之内的节能产品认证证书的，投标无效。</w:t>
      </w:r>
    </w:p>
    <w:p>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投标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供应商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供应商应按照招标文件格式要求提供《中小企业声明函》，投标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cs="宋体"/>
          <w:sz w:val="24"/>
        </w:rPr>
      </w:pPr>
      <w:r>
        <w:rPr>
          <w:rFonts w:hint="eastAsia" w:ascii="宋体" w:hAnsi="宋体" w:cs="宋体"/>
          <w:sz w:val="24"/>
        </w:rPr>
        <w:t>3.4.3 采购人应当贯彻落实知识产权保护相关法律法规，应当采购使用正版软件。</w:t>
      </w:r>
    </w:p>
    <w:p>
      <w:pPr>
        <w:spacing w:line="360"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4.3.3.2质疑项目的名称、编号；</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4.3.3.3具体、明确的质疑事项和与质疑事项相关的请求；</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4.3.3.4事实依据；</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4.3.3.5必要的法律依据；</w:t>
      </w:r>
    </w:p>
    <w:p>
      <w:pPr>
        <w:autoSpaceDE w:val="0"/>
        <w:autoSpaceDN w:val="0"/>
        <w:spacing w:line="360" w:lineRule="auto"/>
        <w:ind w:firstLine="960" w:firstLineChars="400"/>
        <w:jc w:val="left"/>
        <w:rPr>
          <w:rFonts w:hint="eastAsia" w:ascii="宋体" w:hAnsi="宋体" w:cs="宋体"/>
          <w:kern w:val="0"/>
          <w:sz w:val="24"/>
          <w:lang w:val="zh-CN"/>
        </w:rPr>
      </w:pPr>
      <w:r>
        <w:rPr>
          <w:rFonts w:hint="eastAsia" w:ascii="宋体" w:hAnsi="宋体" w:cs="宋体"/>
          <w:kern w:val="0"/>
          <w:sz w:val="24"/>
          <w:lang w:val="zh-CN"/>
        </w:rPr>
        <w:t>4.3.3.6提出质疑的日期。</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质疑函范本及制作说明详见附件2。</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4.4供应商投诉</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4.4.1质疑供应商对采购人、采购机构的答复不满意或者采购人、采购机构未在规定的时间内作出答复的，可以在答复期满后十五个工作日内向同级政府采购监督管理部门提出投诉。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4.4.5</w:t>
      </w:r>
      <w:r>
        <w:rPr>
          <w:rFonts w:hint="eastAsia" w:asciiTheme="minorEastAsia" w:hAnsiTheme="minorEastAsia" w:eastAsiaTheme="minorEastAsia" w:cstheme="minorEastAsia"/>
          <w:sz w:val="24"/>
        </w:rPr>
        <w:t>根据政府采购行政裁决省市区三级联动试点工作安排，杭州市本级及各区、县（市）政府采购项目投诉材料可寄送至浙江省政府采购行政裁决服务中心（杭州），地址：杭州市上城区清泰街549号城建综合大楼11楼，收件人：朱女士、王女士，电话：0571-87227671、0571-87800218</w:t>
      </w:r>
      <w:r>
        <w:rPr>
          <w:rFonts w:hint="eastAsia" w:ascii="宋体" w:hAnsi="宋体" w:cs="宋体"/>
          <w:kern w:val="0"/>
          <w:sz w:val="24"/>
          <w:lang w:val="zh-CN"/>
        </w:rPr>
        <w:t>。</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投诉书范本及制作说明详见附件3。</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4.5 补偿救济</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采购人（行政机关）因政策变化、规划调整而不履行政府采购合同的，供应商可依据《杭州市涉企补偿救济实施办法（试行）》向采购人（行政机关）提起补偿申请。</w:t>
      </w: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w:t>
      </w:r>
      <w:r>
        <w:rPr>
          <w:rFonts w:hint="eastAsia" w:ascii="宋体" w:hAnsi="宋体" w:cs="宋体"/>
          <w:b/>
          <w:sz w:val="30"/>
          <w:szCs w:val="30"/>
        </w:rPr>
        <w:t xml:space="preserve"> 二、招标文件的构成、澄清、修改</w:t>
      </w:r>
    </w:p>
    <w:p>
      <w:pPr>
        <w:pStyle w:val="32"/>
        <w:spacing w:line="360" w:lineRule="auto"/>
        <w:rPr>
          <w:rFonts w:hint="eastAsia"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5.1.2投标供应商须知；</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int="eastAsia" w:hAnsi="宋体" w:cs="宋体"/>
          <w:b/>
          <w:sz w:val="24"/>
          <w:szCs w:val="24"/>
        </w:rPr>
      </w:pPr>
      <w:r>
        <w:rPr>
          <w:rFonts w:hint="eastAsia" w:hAnsi="宋体" w:cs="宋体"/>
          <w:b/>
          <w:sz w:val="24"/>
          <w:szCs w:val="24"/>
        </w:rPr>
        <w:t>6. 招标文件的澄清、修改</w:t>
      </w:r>
    </w:p>
    <w:p>
      <w:pPr>
        <w:pStyle w:val="129"/>
        <w:snapToGrid w:val="0"/>
        <w:spacing w:before="0"/>
        <w:ind w:firstLine="480"/>
        <w:rPr>
          <w:rFonts w:hint="eastAsia" w:ascii="宋体" w:hAnsi="宋体" w:cs="宋体"/>
        </w:rPr>
      </w:pPr>
      <w:r>
        <w:rPr>
          <w:rFonts w:hint="eastAsia" w:ascii="宋体" w:hAnsi="宋体" w:cs="宋体"/>
        </w:rPr>
        <w:t>6.1已获取招标文件的潜在投标供应商，若有问题需要澄清，应于投标截止时间前，以书面形式向采购机构提出。</w:t>
      </w:r>
    </w:p>
    <w:p>
      <w:pPr>
        <w:pStyle w:val="129"/>
        <w:snapToGrid w:val="0"/>
        <w:spacing w:before="0"/>
        <w:ind w:firstLine="480"/>
        <w:rPr>
          <w:rFonts w:hint="eastAsia" w:hAnsi="宋体" w:cs="宋体"/>
          <w:sz w:val="18"/>
          <w:szCs w:val="18"/>
        </w:rPr>
      </w:pPr>
      <w:r>
        <w:rPr>
          <w:rFonts w:hint="eastAsia" w:ascii="宋体" w:hAnsi="宋体" w:cs="宋体"/>
        </w:rPr>
        <w:t>6.2 采购机构对招标文件进行澄清或修改的，将同时通过电子交易平台通知已获取招标文件的潜在投标供应商。依法应当公告的，将按规定公告，同时视情况延长投标截止时间和开标时间。该澄清或者修改的内容为招标文件的组成部分。</w:t>
      </w:r>
    </w:p>
    <w:p>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pPr>
        <w:pStyle w:val="32"/>
        <w:spacing w:line="360" w:lineRule="auto"/>
        <w:rPr>
          <w:rFonts w:hint="eastAsia" w:hAnsi="宋体" w:cs="宋体"/>
          <w:b/>
          <w:sz w:val="24"/>
          <w:szCs w:val="24"/>
        </w:rPr>
      </w:pPr>
      <w:r>
        <w:rPr>
          <w:rFonts w:hint="eastAsia" w:hAnsi="宋体" w:cs="宋体"/>
          <w:b/>
          <w:sz w:val="24"/>
          <w:szCs w:val="24"/>
        </w:rPr>
        <w:t>7. 招标文件的获取</w:t>
      </w:r>
    </w:p>
    <w:p>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int="eastAsia"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int="eastAsia" w:hAnsi="宋体" w:cs="宋体"/>
          <w:sz w:val="24"/>
          <w:szCs w:val="24"/>
        </w:rPr>
      </w:pPr>
      <w:r>
        <w:rPr>
          <w:rFonts w:hint="eastAsia" w:hAnsi="宋体" w:cs="宋体"/>
          <w:sz w:val="24"/>
          <w:szCs w:val="24"/>
        </w:rPr>
        <w:t>采购人组织潜在投标供应商现场考察或者召开开标前答疑会的，潜在投标供应商按第二部分投标供应商须知前附表的规定参加现场考察或者开标前答疑会。</w:t>
      </w:r>
    </w:p>
    <w:p>
      <w:pPr>
        <w:pStyle w:val="32"/>
        <w:spacing w:line="360" w:lineRule="auto"/>
        <w:rPr>
          <w:rFonts w:hint="eastAsia" w:hAnsi="宋体" w:cs="宋体"/>
          <w:b/>
          <w:szCs w:val="24"/>
        </w:rPr>
      </w:pPr>
      <w:r>
        <w:rPr>
          <w:rFonts w:hint="eastAsia" w:hAnsi="宋体" w:cs="宋体"/>
          <w:b/>
          <w:kern w:val="28"/>
          <w:sz w:val="24"/>
          <w:szCs w:val="24"/>
        </w:rPr>
        <w:t>9</w:t>
      </w:r>
      <w:r>
        <w:rPr>
          <w:rFonts w:hint="eastAsia" w:cs="宋体"/>
          <w:b/>
        </w:rPr>
        <w:t xml:space="preserve">. </w:t>
      </w:r>
      <w:r>
        <w:rPr>
          <w:rFonts w:hint="eastAsia" w:hAnsi="宋体" w:cs="宋体"/>
          <w:b/>
          <w:kern w:val="28"/>
          <w:sz w:val="24"/>
          <w:szCs w:val="24"/>
        </w:rPr>
        <w:t>投标保证金</w:t>
      </w:r>
    </w:p>
    <w:p>
      <w:pPr>
        <w:pStyle w:val="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pPr>
        <w:pStyle w:val="32"/>
        <w:spacing w:line="360" w:lineRule="auto"/>
        <w:rPr>
          <w:rFonts w:hint="eastAsia"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投标文件及投标供应商与采购有关的来往通知、函件和文件均应使用中文。</w:t>
      </w:r>
    </w:p>
    <w:p>
      <w:pPr>
        <w:pStyle w:val="32"/>
        <w:spacing w:line="360" w:lineRule="auto"/>
        <w:rPr>
          <w:rFonts w:hint="eastAsia"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p>
    <w:p>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投标标的清单（如果有）；</w:t>
      </w:r>
    </w:p>
    <w:p>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11.3.1开标一览表（报价表）；</w:t>
      </w:r>
    </w:p>
    <w:p>
      <w:pPr>
        <w:snapToGrid w:val="0"/>
        <w:spacing w:line="360" w:lineRule="auto"/>
        <w:ind w:firstLine="96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11.3.2 报价情况说明；</w:t>
      </w:r>
    </w:p>
    <w:p>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11.3.3中小企业声明函</w:t>
      </w:r>
      <w:r>
        <w:rPr>
          <w:rFonts w:hint="eastAsia" w:asciiTheme="minorEastAsia" w:hAnsiTheme="minorEastAsia" w:eastAsiaTheme="minorEastAsia" w:cstheme="minorEastAsia"/>
          <w:snapToGrid w:val="0"/>
          <w:kern w:val="28"/>
          <w:sz w:val="24"/>
        </w:rPr>
        <w:t>（如果有)</w:t>
      </w:r>
      <w:r>
        <w:rPr>
          <w:rFonts w:hint="eastAsia" w:asciiTheme="minorEastAsia" w:hAnsiTheme="minorEastAsia" w:eastAsiaTheme="minorEastAsia" w:cstheme="minorEastAsia"/>
          <w:sz w:val="24"/>
        </w:rPr>
        <w:t>。</w:t>
      </w:r>
    </w:p>
    <w:p>
      <w:pPr>
        <w:spacing w:line="360" w:lineRule="auto"/>
        <w:ind w:firstLine="964" w:firstLineChars="400"/>
        <w:rPr>
          <w:rFonts w:hint="eastAsia"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964" w:firstLineChars="400"/>
        <w:rPr>
          <w:rFonts w:hint="eastAsia" w:ascii="宋体" w:hAnsi="宋体" w:cs="宋体"/>
          <w:b/>
          <w:sz w:val="24"/>
        </w:rPr>
      </w:pPr>
      <w:r>
        <w:rPr>
          <w:rFonts w:hint="eastAsia" w:ascii="宋体" w:hAnsi="宋体" w:cs="宋体"/>
          <w:b/>
          <w:sz w:val="24"/>
        </w:rPr>
        <w:t>投标供应商提供虚假材料投标的，投标无效。</w:t>
      </w:r>
    </w:p>
    <w:p>
      <w:pPr>
        <w:spacing w:line="360" w:lineRule="auto"/>
        <w:ind w:firstLine="964" w:firstLineChars="400"/>
        <w:rPr>
          <w:rFonts w:hint="eastAsia" w:ascii="宋体" w:hAnsi="宋体" w:cs="宋体"/>
          <w:b/>
          <w:sz w:val="24"/>
          <w:szCs w:val="21"/>
        </w:rPr>
      </w:pPr>
      <w:r>
        <w:rPr>
          <w:rFonts w:hint="eastAsia" w:ascii="宋体" w:hAnsi="宋体" w:cs="宋体"/>
          <w:b/>
          <w:sz w:val="24"/>
        </w:rPr>
        <w:t>投标人应对投标文件中材料的真实性、合法性负责。</w:t>
      </w:r>
    </w:p>
    <w:p>
      <w:pPr>
        <w:pStyle w:val="129"/>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cs="宋体"/>
          <w:b/>
        </w:rPr>
        <w:t xml:space="preserve">. </w:t>
      </w:r>
      <w:r>
        <w:rPr>
          <w:rFonts w:hint="eastAsia" w:ascii="宋体" w:hAnsi="宋体" w:cs="宋体"/>
          <w:b/>
          <w:szCs w:val="24"/>
        </w:rPr>
        <w:t>投标文件的编制</w:t>
      </w:r>
    </w:p>
    <w:p>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供应商在编制投标文件时请按照招标文件第六部分规定的格式进行，混乱的编排导致投标文件被误读或评标委员会查找不到有效文件是投标供应商的风险。</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12.2投标供应商进行电子投标应安装客户端软件—“政采云电子交易客户端”，并按照招标文件和电子交易平台的要求编制并加密投标文件。投标供应商未按规定加密的投标文件，电子交易平台将拒收并提示。</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sz w:val="24"/>
        </w:rPr>
      </w:pPr>
      <w:r>
        <w:rPr>
          <w:rFonts w:hint="eastAsia" w:ascii="宋体" w:hAnsi="宋体" w:cs="宋体"/>
          <w:b/>
          <w:sz w:val="24"/>
        </w:rPr>
        <w:t>13</w:t>
      </w:r>
      <w:r>
        <w:rPr>
          <w:rFonts w:hint="eastAsia" w:cs="宋体"/>
          <w:b/>
        </w:rPr>
        <w:t xml:space="preserve">. </w:t>
      </w:r>
      <w:r>
        <w:rPr>
          <w:rFonts w:hint="eastAsia" w:ascii="宋体" w:hAnsi="宋体" w:cs="宋体"/>
          <w:b/>
          <w:sz w:val="24"/>
        </w:rPr>
        <w:t>投标文件的签署、盖章</w:t>
      </w:r>
    </w:p>
    <w:p>
      <w:pPr>
        <w:pStyle w:val="129"/>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▲投标供应商的投标文件未按照招标文件要求签署、盖章的，其投标无效</w:t>
      </w:r>
      <w:r>
        <w:rPr>
          <w:rFonts w:hint="eastAsia" w:ascii="宋体" w:hAnsi="宋体" w:cs="宋体"/>
          <w:szCs w:val="24"/>
        </w:rPr>
        <w:t>。</w:t>
      </w:r>
    </w:p>
    <w:p>
      <w:pPr>
        <w:pStyle w:val="129"/>
        <w:snapToGrid w:val="0"/>
        <w:spacing w:before="0"/>
        <w:ind w:firstLine="480"/>
        <w:rPr>
          <w:rFonts w:hint="eastAsia" w:ascii="宋体" w:hAnsi="宋体" w:cs="宋体"/>
        </w:rPr>
      </w:pPr>
      <w:r>
        <w:rPr>
          <w:rFonts w:hint="eastAsia" w:ascii="宋体" w:hAnsi="宋体" w:cs="宋体"/>
        </w:rPr>
        <w:t>13.2为确保网上操作合法、有效和安全，投标供应商应当在投标截止时间前完成在“政府采购云平台”的身份认证，确保在电子投标过程中能够对相关数据电文进行加密和使用电子签名。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hint="eastAsia" w:ascii="宋体" w:hAnsi="宋体" w:cs="宋体"/>
          <w:b/>
          <w:szCs w:val="24"/>
        </w:rPr>
      </w:pPr>
      <w:r>
        <w:rPr>
          <w:rFonts w:hint="eastAsia" w:ascii="宋体" w:hAnsi="宋体" w:cs="宋体"/>
          <w:b/>
          <w:szCs w:val="24"/>
        </w:rPr>
        <w:t>14</w:t>
      </w:r>
      <w:r>
        <w:rPr>
          <w:rFonts w:hint="eastAsia" w:cs="宋体"/>
          <w:b/>
        </w:rPr>
        <w:t xml:space="preserve">. </w:t>
      </w:r>
      <w:r>
        <w:rPr>
          <w:rFonts w:hint="eastAsia" w:ascii="宋体" w:hAnsi="宋体" w:cs="宋体"/>
          <w:b/>
          <w:szCs w:val="24"/>
        </w:rPr>
        <w:t>投标文件的提交、补充、修改、撤回</w:t>
      </w:r>
    </w:p>
    <w:p>
      <w:pPr>
        <w:pStyle w:val="129"/>
        <w:spacing w:before="0"/>
        <w:ind w:firstLine="480"/>
        <w:rPr>
          <w:rFonts w:hint="eastAsia" w:ascii="宋体" w:hAnsi="宋体" w:cs="宋体"/>
          <w:szCs w:val="24"/>
        </w:rPr>
      </w:pPr>
      <w:r>
        <w:rPr>
          <w:rFonts w:hint="eastAsia" w:ascii="宋体" w:hAnsi="宋体" w:cs="宋体"/>
          <w:szCs w:val="24"/>
        </w:rPr>
        <w:t>14.1 投标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宋体" w:hAnsi="宋体" w:cs="宋体"/>
          <w:szCs w:val="24"/>
        </w:rPr>
      </w:pPr>
      <w:r>
        <w:rPr>
          <w:rFonts w:hint="eastAsia" w:ascii="宋体" w:hAnsi="宋体" w:cs="宋体"/>
          <w:szCs w:val="24"/>
        </w:rPr>
        <w:t>14.2电子交易平台收到投标文件，将妥善保存并即时向投标供应商发出确认回执通知。在投标截止时间前，除投标供应商补充、修改或者撤回投标文件外，任何单位和个人不得解密或提取投标文件。</w:t>
      </w:r>
    </w:p>
    <w:p>
      <w:pPr>
        <w:pStyle w:val="129"/>
        <w:spacing w:before="0"/>
        <w:ind w:firstLine="480"/>
        <w:rPr>
          <w:rFonts w:hint="eastAsia" w:ascii="宋体" w:hAnsi="宋体" w:cs="宋体"/>
          <w:szCs w:val="24"/>
        </w:rPr>
      </w:pPr>
      <w:r>
        <w:rPr>
          <w:rFonts w:hint="eastAsia" w:ascii="宋体" w:hAnsi="宋体" w:cs="宋体"/>
          <w:szCs w:val="24"/>
        </w:rPr>
        <w:t>14.3采购人、采购机构可以视情况延长投标文件提交的截止时间。在上述情况下，采购机构与投标供应商以前在投标截止期方面的全部权利、责任和义务，将适用于延长至新的投标截止期。</w:t>
      </w:r>
    </w:p>
    <w:p>
      <w:pPr>
        <w:pStyle w:val="32"/>
        <w:spacing w:line="360" w:lineRule="auto"/>
        <w:rPr>
          <w:rFonts w:hint="eastAsia" w:hAnsi="宋体" w:cs="宋体"/>
          <w:b/>
          <w:sz w:val="24"/>
          <w:szCs w:val="24"/>
        </w:rPr>
      </w:pPr>
      <w:r>
        <w:rPr>
          <w:rFonts w:hint="eastAsia" w:hAnsi="宋体" w:cs="宋体"/>
          <w:b/>
          <w:sz w:val="24"/>
          <w:szCs w:val="24"/>
        </w:rPr>
        <w:t>15</w:t>
      </w:r>
      <w:r>
        <w:rPr>
          <w:rFonts w:hint="eastAsia" w:cs="宋体"/>
          <w:b/>
        </w:rPr>
        <w:t xml:space="preserve">. </w:t>
      </w:r>
      <w:r>
        <w:rPr>
          <w:rFonts w:hint="eastAsia" w:hAnsi="宋体" w:cs="宋体"/>
          <w:b/>
          <w:sz w:val="24"/>
          <w:szCs w:val="24"/>
        </w:rPr>
        <w:t>备份投标文件</w:t>
      </w:r>
    </w:p>
    <w:p>
      <w:pPr>
        <w:pStyle w:val="32"/>
        <w:spacing w:line="360" w:lineRule="auto"/>
        <w:ind w:firstLine="360" w:firstLineChars="150"/>
        <w:rPr>
          <w:rFonts w:hint="eastAsia" w:hAnsi="宋体" w:cs="宋体"/>
          <w:b/>
          <w:sz w:val="24"/>
          <w:szCs w:val="24"/>
        </w:rPr>
      </w:pPr>
      <w:r>
        <w:rPr>
          <w:rFonts w:hint="eastAsia" w:hAnsi="宋体" w:cs="宋体"/>
          <w:sz w:val="24"/>
          <w:szCs w:val="24"/>
        </w:rPr>
        <w:t xml:space="preserve"> 15.1投标供应商在电子交易平台传输递交投标文件后，还可以在投标截止时间前直接提交或者以邮政快递方式递交备份投标文件1份，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但采购人、采购机构不强制或变相强制投标供应商提交备份投标文件。</w:t>
      </w:r>
    </w:p>
    <w:p>
      <w:pPr>
        <w:pStyle w:val="32"/>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中。备份投标文件应当密封包装并在包装上加盖公章并注明投标项目名称，投标供应商名称(联合体投标的，包装物封面需注明联合体投标，并注明联合体成员各方的名称和联合协议中约定的牵头人的名称)。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15.3直接提交备份投标文件的，投标供应商应于投标截止时间前在招标公告中载明的开标地点将备份投标文件提交给采购机构，采购机构将拒绝接受逾期送达的备份投标文件。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15.4以邮政快递方式递交备份投标文件的，投标供应商应先将备份投标文件按要求密封和标记，再进行邮政快递包装后邮寄。备份投标文件须在投标截止时间之前送达</w:t>
      </w:r>
      <w:r>
        <w:rPr>
          <w:rFonts w:hint="eastAsia" w:hAnsi="宋体" w:cs="宋体"/>
          <w:snapToGrid/>
          <w:sz w:val="24"/>
          <w:szCs w:val="24"/>
        </w:rPr>
        <w:t>招标文件第二部分投标供应商须知前附表规定的备份投标文件送达地点；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送达时间以签收人签收时间为准。采购机构将拒绝接受逾期送达的备份投标文件。邮寄过程中，电子备份投标文件发生泄露、遗失、损坏或延期送达等情况的，由投标供应商自行负责。</w:t>
      </w:r>
    </w:p>
    <w:p>
      <w:pPr>
        <w:pStyle w:val="32"/>
        <w:spacing w:line="360" w:lineRule="auto"/>
        <w:ind w:firstLine="479" w:firstLineChars="199"/>
        <w:rPr>
          <w:rFonts w:hint="eastAsia" w:hAnsi="宋体" w:cs="宋体"/>
          <w:b/>
          <w:sz w:val="24"/>
          <w:szCs w:val="24"/>
        </w:rPr>
      </w:pPr>
      <w:r>
        <w:rPr>
          <w:rFonts w:hint="eastAsia" w:hAnsi="宋体" w:cs="宋体"/>
          <w:b/>
          <w:sz w:val="24"/>
          <w:szCs w:val="24"/>
        </w:rPr>
        <w:t>15.5投标供应商仅提交备份投标文件，未在电子交易平台传输递交投标文件的，投标无效。</w:t>
      </w:r>
    </w:p>
    <w:p>
      <w:pPr>
        <w:pStyle w:val="129"/>
        <w:spacing w:before="0"/>
        <w:ind w:firstLine="0" w:firstLineChars="0"/>
        <w:rPr>
          <w:rFonts w:hint="eastAsia" w:ascii="宋体" w:hAnsi="宋体" w:cs="宋体"/>
          <w:b/>
          <w:szCs w:val="24"/>
        </w:rPr>
      </w:pPr>
      <w:r>
        <w:rPr>
          <w:rFonts w:hint="eastAsia" w:ascii="宋体" w:hAnsi="宋体" w:cs="宋体"/>
          <w:b/>
          <w:szCs w:val="24"/>
        </w:rPr>
        <w:t>16</w:t>
      </w:r>
      <w:r>
        <w:rPr>
          <w:rFonts w:hint="eastAsia" w:cs="宋体"/>
          <w:b/>
        </w:rPr>
        <w:t xml:space="preserve">. </w:t>
      </w:r>
      <w:r>
        <w:rPr>
          <w:rFonts w:hint="eastAsia" w:ascii="宋体" w:hAnsi="宋体" w:cs="宋体"/>
          <w:b/>
          <w:szCs w:val="24"/>
        </w:rPr>
        <w:t>投标文件的无效处理</w:t>
      </w:r>
    </w:p>
    <w:p>
      <w:pPr>
        <w:pStyle w:val="2"/>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hint="eastAsia" w:ascii="宋体" w:hAnsi="宋体" w:cs="宋体"/>
          <w:b/>
          <w:szCs w:val="24"/>
        </w:rPr>
      </w:pPr>
      <w:r>
        <w:rPr>
          <w:rFonts w:hint="eastAsia" w:ascii="宋体" w:hAnsi="宋体" w:cs="宋体"/>
          <w:b/>
          <w:szCs w:val="24"/>
        </w:rPr>
        <w:t>17</w:t>
      </w:r>
      <w:r>
        <w:rPr>
          <w:rFonts w:hint="eastAsia" w:cs="宋体"/>
          <w:b/>
        </w:rPr>
        <w:t xml:space="preserve">. </w:t>
      </w:r>
      <w:r>
        <w:rPr>
          <w:rFonts w:hint="eastAsia" w:ascii="宋体" w:hAnsi="宋体" w:cs="宋体"/>
          <w:b/>
          <w:szCs w:val="24"/>
        </w:rPr>
        <w:t>投标有效期</w:t>
      </w:r>
    </w:p>
    <w:p>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投标供应商的投标文件中承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hint="eastAsia"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hint="eastAsia" w:ascii="宋体" w:hAnsi="宋体" w:cs="宋体"/>
          <w:b/>
          <w:sz w:val="32"/>
        </w:rPr>
      </w:pPr>
      <w:r>
        <w:rPr>
          <w:rFonts w:hint="eastAsia" w:ascii="宋体" w:hAnsi="宋体" w:cs="宋体"/>
        </w:rPr>
        <w:t>17.3在原定投标有效期满之前，如果出现特殊情况，采购机构可以以书面形式通知投标供应商延长投标有效期。投标供应商同意延长的，不得要求或被允许修改其投标文件，投标供应商拒绝延长的，其投标无效。</w:t>
      </w:r>
    </w:p>
    <w:p>
      <w:pPr>
        <w:pStyle w:val="129"/>
        <w:spacing w:before="0"/>
        <w:ind w:firstLine="1807" w:firstLineChars="600"/>
        <w:rPr>
          <w:rFonts w:hint="eastAsia" w:ascii="宋体" w:hAnsi="宋体" w:cs="宋体"/>
          <w:b/>
          <w:sz w:val="30"/>
          <w:szCs w:val="30"/>
        </w:rPr>
      </w:pPr>
      <w:r>
        <w:rPr>
          <w:rFonts w:hint="eastAsia" w:ascii="宋体" w:hAnsi="宋体" w:cs="宋体"/>
          <w:b/>
          <w:sz w:val="30"/>
          <w:szCs w:val="30"/>
        </w:rPr>
        <w:t>四、开标、资格审查与信用信息查询</w:t>
      </w:r>
    </w:p>
    <w:p>
      <w:pPr>
        <w:pStyle w:val="555"/>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w:t>
      </w:r>
      <w:r>
        <w:rPr>
          <w:rFonts w:hint="eastAsia" w:cs="宋体"/>
          <w:b/>
        </w:rPr>
        <w:t xml:space="preserve">. </w:t>
      </w:r>
      <w:r>
        <w:rPr>
          <w:rFonts w:hint="eastAsia" w:ascii="宋体" w:hAnsi="宋体" w:cs="宋体"/>
          <w:b/>
          <w:sz w:val="24"/>
          <w:szCs w:val="24"/>
        </w:rPr>
        <w:t>开标</w:t>
      </w:r>
      <w:r>
        <w:rPr>
          <w:rFonts w:hint="eastAsia" w:ascii="宋体" w:hAnsi="宋体" w:cs="宋体"/>
          <w:sz w:val="24"/>
        </w:rPr>
        <w:t xml:space="preserve"> </w:t>
      </w:r>
    </w:p>
    <w:p>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18.1采购机构按照招标文件规定的时间通过电子交易平台组织开标，所有投标供应商均应当准时在线参加。投标供应商不足3家的，不得开标。</w:t>
      </w:r>
    </w:p>
    <w:p>
      <w:pPr>
        <w:pStyle w:val="555"/>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18.2开标时，电子交易平台按开标时间自动提取所有投标文件。采购机构依托电子交易平台发起开始解密指令，投标供应商按照平台提示和招标文件的规定在半小时内完成在线解密。</w:t>
      </w:r>
    </w:p>
    <w:p>
      <w:pPr>
        <w:pStyle w:val="555"/>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投标文件未按时解密，投标供应商提供了备份投标文件的，以备份投标文件作为依据，否则视为投标文件撤回。投标文件已按时解密的，备份投标文件自动失效。</w:t>
      </w:r>
    </w:p>
    <w:p>
      <w:pPr>
        <w:widowControl/>
        <w:spacing w:line="360" w:lineRule="auto"/>
        <w:jc w:val="left"/>
        <w:rPr>
          <w:rFonts w:hint="eastAsia" w:ascii="宋体" w:hAnsi="宋体" w:cs="宋体"/>
          <w:b/>
          <w:sz w:val="24"/>
          <w:szCs w:val="20"/>
        </w:rPr>
      </w:pPr>
      <w:r>
        <w:rPr>
          <w:rFonts w:hint="eastAsia" w:ascii="宋体" w:hAnsi="宋体" w:cs="宋体"/>
          <w:b/>
          <w:sz w:val="24"/>
          <w:szCs w:val="20"/>
        </w:rPr>
        <w:t>　19</w:t>
      </w:r>
      <w:r>
        <w:rPr>
          <w:rFonts w:hint="eastAsia" w:cs="宋体"/>
          <w:b/>
        </w:rPr>
        <w:t xml:space="preserve">. </w:t>
      </w:r>
      <w:r>
        <w:rPr>
          <w:rFonts w:hint="eastAsia" w:ascii="宋体" w:hAnsi="宋体" w:cs="宋体"/>
          <w:b/>
          <w:sz w:val="24"/>
          <w:szCs w:val="20"/>
        </w:rPr>
        <w:t>资格审查</w:t>
      </w:r>
    </w:p>
    <w:p>
      <w:pPr>
        <w:pStyle w:val="129"/>
        <w:spacing w:before="0"/>
        <w:ind w:firstLine="480"/>
        <w:rPr>
          <w:rFonts w:hint="eastAsia" w:ascii="宋体" w:hAnsi="宋体" w:cs="宋体"/>
          <w:kern w:val="0"/>
          <w:szCs w:val="24"/>
        </w:rPr>
      </w:pPr>
      <w:r>
        <w:rPr>
          <w:rFonts w:hint="eastAsia" w:ascii="宋体" w:hAnsi="宋体" w:cs="宋体"/>
          <w:kern w:val="0"/>
          <w:szCs w:val="24"/>
        </w:rPr>
        <w:t>19.1开标后，采购人或采购机构将依法对投标供应商的资格进行审查。</w:t>
      </w:r>
    </w:p>
    <w:p>
      <w:pPr>
        <w:snapToGrid w:val="0"/>
        <w:spacing w:line="360" w:lineRule="auto"/>
        <w:ind w:firstLine="480" w:firstLineChars="200"/>
        <w:rPr>
          <w:rFonts w:hint="eastAsia"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采购人或采购机构依据法律法规和招标文件的规定，对投标供应商的资格进行审查。</w:t>
      </w:r>
    </w:p>
    <w:p>
      <w:pPr>
        <w:pStyle w:val="129"/>
        <w:spacing w:before="0"/>
        <w:ind w:firstLine="480"/>
        <w:rPr>
          <w:rFonts w:hint="eastAsia" w:ascii="宋体" w:hAnsi="宋体" w:cs="宋体"/>
        </w:rPr>
      </w:pPr>
      <w:r>
        <w:rPr>
          <w:rFonts w:hint="eastAsia" w:ascii="宋体" w:hAnsi="宋体" w:cs="宋体"/>
          <w:kern w:val="0"/>
          <w:szCs w:val="24"/>
        </w:rPr>
        <w:t>19.3投标供应商未按照招标文件要求提供与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投标供应商不具备招标文件中规定的资格要求，其投标无效。</w:t>
      </w:r>
    </w:p>
    <w:p>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4对未通过资格审查的投标供应商，采购人或采购机构告知其未通过的原因。</w:t>
      </w:r>
    </w:p>
    <w:p>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5合格投标供应商不足3家的，不再评标。</w:t>
      </w:r>
    </w:p>
    <w:p>
      <w:pPr>
        <w:pStyle w:val="129"/>
        <w:spacing w:before="0"/>
        <w:ind w:firstLine="0" w:firstLineChars="0"/>
        <w:rPr>
          <w:rFonts w:hint="eastAsia" w:ascii="宋体" w:hAnsi="宋体" w:cs="宋体"/>
          <w:b/>
          <w:szCs w:val="24"/>
        </w:rPr>
      </w:pPr>
      <w:r>
        <w:rPr>
          <w:rFonts w:hint="eastAsia" w:ascii="宋体" w:hAnsi="宋体" w:cs="宋体"/>
          <w:b/>
          <w:szCs w:val="24"/>
        </w:rPr>
        <w:t>20</w:t>
      </w:r>
      <w:r>
        <w:rPr>
          <w:rFonts w:hint="eastAsia" w:cs="宋体"/>
          <w:b/>
        </w:rPr>
        <w:t xml:space="preserve">. </w:t>
      </w:r>
      <w:r>
        <w:rPr>
          <w:rFonts w:hint="eastAsia" w:ascii="宋体" w:hAnsi="宋体" w:cs="宋体"/>
          <w:b/>
          <w:szCs w:val="24"/>
        </w:rPr>
        <w:t>信用信息查询</w:t>
      </w:r>
    </w:p>
    <w:p>
      <w:pPr>
        <w:pStyle w:val="129"/>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20.1信用信息查询渠道及截止时间：采购机构将在资格审查时通过“信用中国”网站(www.creditchina.gov.cn)、中国政府采购网(www.ccgp.gov.cn)渠道查询投标供应商的信用记录。</w:t>
      </w:r>
    </w:p>
    <w:p>
      <w:pPr>
        <w:pStyle w:val="129"/>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20.2信用信息查询记录和证据留存的具体方式：现场查询的投标供应商的信用记录、查询结果经确认后将与采购文件一起存档。</w:t>
      </w:r>
    </w:p>
    <w:p>
      <w:pPr>
        <w:pStyle w:val="129"/>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20.3信用信息的使用规则：经查询列入失信被执行人名单、重大税收违法失信主体、政府采购严重违法失信行为记录名单的投标供应商将被拒绝参与政府采购活动。</w:t>
      </w:r>
    </w:p>
    <w:p>
      <w:pPr>
        <w:pStyle w:val="129"/>
        <w:spacing w:before="0"/>
        <w:ind w:firstLine="480"/>
        <w:rPr>
          <w:rFonts w:hint="eastAsia" w:ascii="宋体" w:hAnsi="宋体" w:cs="宋体"/>
          <w:kern w:val="0"/>
          <w:szCs w:val="24"/>
        </w:rPr>
      </w:pPr>
      <w:r>
        <w:rPr>
          <w:rFonts w:hint="eastAsia" w:ascii="宋体" w:hAnsi="宋体" w:cs="宋体"/>
          <w:kern w:val="0"/>
          <w:szCs w:val="24"/>
        </w:rPr>
        <w:t>20.4联合体信用信息查询：两个以上的自然人、法人或者其他组织组成一个联合体，以一个投标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hint="eastAsia" w:ascii="宋体" w:hAnsi="宋体" w:cs="宋体"/>
          <w:b/>
          <w:sz w:val="30"/>
          <w:szCs w:val="30"/>
        </w:rPr>
      </w:pPr>
      <w:r>
        <w:rPr>
          <w:rFonts w:hint="eastAsia" w:ascii="宋体" w:hAnsi="宋体" w:cs="宋体"/>
          <w:b/>
          <w:sz w:val="30"/>
          <w:szCs w:val="30"/>
        </w:rPr>
        <w:t>五、评标</w:t>
      </w:r>
    </w:p>
    <w:p>
      <w:pPr>
        <w:spacing w:line="360" w:lineRule="auto"/>
        <w:rPr>
          <w:rFonts w:hint="eastAsia" w:ascii="宋体" w:hAnsi="宋体" w:cs="宋体"/>
          <w:b/>
          <w:sz w:val="24"/>
        </w:rPr>
      </w:pPr>
      <w:bookmarkStart w:id="14" w:name="_Toc91899903"/>
      <w:r>
        <w:rPr>
          <w:rFonts w:hint="eastAsia" w:ascii="宋体" w:hAnsi="宋体" w:cs="宋体"/>
          <w:b/>
          <w:sz w:val="24"/>
        </w:rPr>
        <w:t>21</w:t>
      </w:r>
      <w:r>
        <w:rPr>
          <w:rFonts w:hint="eastAsia" w:ascii="宋体" w:hAnsi="宋体" w:cs="宋体"/>
          <w:b/>
        </w:rPr>
        <w:t>.</w:t>
      </w:r>
      <w:r>
        <w:rPr>
          <w:rFonts w:hint="eastAsia" w:ascii="宋体" w:hAnsi="宋体" w:cs="宋体"/>
          <w:sz w:val="24"/>
        </w:rPr>
        <w:t>评标委员会将根据招标文件和有关规定，履行评标工作职责，并按照评标方法及评分标准，全面衡量各投标供应商对招标文件的响应情况。对实质上响应招标文件的投标供应商，按照评审因素的量化指标排出推荐中标的投标供应商的先后顺序，并按顺序提出授标建议。</w:t>
      </w:r>
      <w:r>
        <w:rPr>
          <w:rFonts w:hint="eastAsia" w:ascii="宋体" w:hAnsi="宋体" w:cs="宋体"/>
          <w:b/>
          <w:sz w:val="24"/>
        </w:rPr>
        <w:t>详见招标文件第四部分评标办法。</w:t>
      </w:r>
    </w:p>
    <w:p>
      <w:pPr>
        <w:snapToGrid w:val="0"/>
        <w:spacing w:line="360" w:lineRule="auto"/>
        <w:jc w:val="center"/>
        <w:outlineLvl w:val="0"/>
        <w:rPr>
          <w:rFonts w:hint="eastAsia" w:ascii="宋体" w:hAnsi="宋体" w:cs="宋体"/>
          <w:b/>
          <w:sz w:val="30"/>
          <w:szCs w:val="30"/>
        </w:rPr>
      </w:pPr>
    </w:p>
    <w:p>
      <w:pPr>
        <w:snapToGrid w:val="0"/>
        <w:spacing w:line="360" w:lineRule="auto"/>
        <w:jc w:val="center"/>
        <w:outlineLvl w:val="0"/>
        <w:rPr>
          <w:rFonts w:hint="eastAsia" w:ascii="宋体" w:hAnsi="宋体" w:cs="宋体"/>
          <w:b/>
          <w:sz w:val="30"/>
          <w:szCs w:val="30"/>
        </w:rPr>
      </w:pPr>
      <w:r>
        <w:rPr>
          <w:rFonts w:hint="eastAsia" w:ascii="宋体" w:hAnsi="宋体" w:cs="宋体"/>
          <w:b/>
          <w:sz w:val="30"/>
          <w:szCs w:val="30"/>
        </w:rPr>
        <w:t>六、定标</w:t>
      </w:r>
    </w:p>
    <w:p>
      <w:pPr>
        <w:pStyle w:val="2"/>
        <w:spacing w:line="360" w:lineRule="auto"/>
        <w:ind w:left="479" w:hanging="479" w:hangingChars="199"/>
        <w:rPr>
          <w:rFonts w:hint="eastAsia" w:cs="宋体"/>
          <w:b/>
        </w:rPr>
      </w:pPr>
      <w:r>
        <w:rPr>
          <w:rFonts w:hint="eastAsia" w:cs="宋体"/>
          <w:b/>
        </w:rPr>
        <w:t>22. 确定中标供应商</w:t>
      </w:r>
    </w:p>
    <w:p>
      <w:pPr>
        <w:pStyle w:val="129"/>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29"/>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23.1自中标供应商确定之日起2个工作日内，采购机构通过电子交易平台向中标供应商发出中标通知书，同时编制发布采购结果公告。采购机构也可以以纸质形式进行中标通知。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23.2中标结果公告内容包括采购人及其委托的采购机构的名称、地址、联系方式，项目名称和项目编号，中标供应商名称、地址和中标金额，主要中标标的的名称、规格型号、数量、单价、服务要求，开标记录、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b/>
          <w:sz w:val="32"/>
        </w:rPr>
      </w:pPr>
      <w:r>
        <w:rPr>
          <w:rFonts w:hint="eastAsia" w:ascii="宋体" w:hAnsi="宋体" w:cs="宋体"/>
          <w:sz w:val="24"/>
        </w:rPr>
        <w:t>23.3公告期限为1个工作日。</w:t>
      </w:r>
    </w:p>
    <w:p>
      <w:pPr>
        <w:snapToGrid w:val="0"/>
        <w:spacing w:line="360" w:lineRule="auto"/>
        <w:ind w:left="120" w:leftChars="57" w:firstLine="360" w:firstLineChars="150"/>
        <w:jc w:val="left"/>
        <w:rPr>
          <w:rFonts w:hint="eastAsia" w:ascii="宋体" w:hAnsi="宋体" w:cs="宋体" w:eastAsiaTheme="minorEastAsia"/>
          <w:b/>
          <w:sz w:val="30"/>
          <w:szCs w:val="30"/>
        </w:rPr>
      </w:pPr>
      <w:r>
        <w:rPr>
          <w:rFonts w:hint="eastAsia" w:asciiTheme="minorEastAsia" w:hAnsiTheme="minorEastAsia" w:eastAsiaTheme="minorEastAsia" w:cstheme="minorEastAsia"/>
          <w:sz w:val="24"/>
        </w:rPr>
        <w:t>23.4由于中标、成交供应商原因导致重新采购的，应当承担支付代理费和专家评审费等费用在内的赔偿责任。</w:t>
      </w:r>
    </w:p>
    <w:p>
      <w:pPr>
        <w:snapToGrid w:val="0"/>
        <w:spacing w:after="120" w:afterLines="50"/>
        <w:ind w:left="120" w:leftChars="57" w:firstLine="452" w:firstLineChars="150"/>
        <w:jc w:val="center"/>
        <w:rPr>
          <w:rFonts w:hint="eastAsia" w:ascii="宋体" w:hAnsi="宋体" w:cs="宋体"/>
          <w:b/>
          <w:sz w:val="30"/>
          <w:szCs w:val="30"/>
        </w:rPr>
      </w:pPr>
      <w:r>
        <w:rPr>
          <w:rFonts w:hint="eastAsia" w:ascii="宋体" w:hAnsi="宋体" w:cs="宋体"/>
          <w:b/>
          <w:sz w:val="30"/>
          <w:szCs w:val="30"/>
        </w:rPr>
        <w:t>七、合同授予</w:t>
      </w:r>
    </w:p>
    <w:p>
      <w:pPr>
        <w:pStyle w:val="2"/>
        <w:spacing w:line="360" w:lineRule="auto"/>
        <w:ind w:left="479" w:hanging="479" w:hangingChars="199"/>
        <w:rPr>
          <w:rFonts w:hint="eastAsia" w:cs="宋体"/>
          <w:b/>
        </w:rPr>
      </w:pPr>
      <w:r>
        <w:rPr>
          <w:rFonts w:hint="eastAsia" w:cs="宋体"/>
          <w:b/>
        </w:rPr>
        <w:t>24. 合同主要条款详见第五部分拟签订的合同文本。</w:t>
      </w:r>
    </w:p>
    <w:p>
      <w:pPr>
        <w:pStyle w:val="2"/>
        <w:spacing w:line="360" w:lineRule="auto"/>
        <w:ind w:left="479" w:hanging="479" w:hangingChars="199"/>
        <w:rPr>
          <w:rFonts w:hint="eastAsia" w:cs="宋体"/>
          <w:b/>
        </w:rPr>
      </w:pPr>
      <w:r>
        <w:rPr>
          <w:rFonts w:hint="eastAsia" w:cs="宋体"/>
          <w:b/>
        </w:rPr>
        <w:t>25. 合同的签订</w:t>
      </w:r>
    </w:p>
    <w:p>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供应商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宋体" w:hAnsi="宋体" w:cs="宋体"/>
          <w:kern w:val="0"/>
        </w:rPr>
      </w:pPr>
      <w:r>
        <w:rPr>
          <w:rFonts w:hint="eastAsia" w:ascii="宋体" w:hAnsi="宋体" w:cs="宋体"/>
          <w:kern w:val="0"/>
          <w:lang w:val="zh-CN"/>
        </w:rPr>
        <w:t>25.2中标供应商按规定的日期、时间、地点，由法定代表人或其授权代表与采购人代表签订合同。如中标供应商为联合体的，由联合体成员各方法定代表人或其授权代表与采购人代表签订合同。</w:t>
      </w:r>
    </w:p>
    <w:p>
      <w:pPr>
        <w:pStyle w:val="129"/>
        <w:snapToGrid w:val="0"/>
        <w:spacing w:before="0"/>
        <w:ind w:firstLine="480"/>
        <w:rPr>
          <w:rFonts w:hint="eastAsia" w:ascii="宋体" w:hAnsi="宋体" w:cs="宋体"/>
        </w:rPr>
      </w:pPr>
      <w:r>
        <w:rPr>
          <w:rFonts w:hint="eastAsia" w:ascii="宋体" w:hAnsi="宋体" w:cs="宋体"/>
        </w:rPr>
        <w:t>25.3如签订合同并生效后，中标供应商无故拒绝或延期，除按照合同条款处理外，列入不良行为记录一次，并给予通报。</w:t>
      </w:r>
    </w:p>
    <w:p>
      <w:pPr>
        <w:pStyle w:val="129"/>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cs="宋体"/>
          <w:b/>
        </w:rPr>
      </w:pPr>
      <w:r>
        <w:rPr>
          <w:rFonts w:hint="eastAsia" w:cs="宋体"/>
          <w:b/>
        </w:rPr>
        <w:t>26. 履约保证金</w:t>
      </w:r>
    </w:p>
    <w:p>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拟签订的合同文本要求中标供应商提交履约保证金的，中标供应商应当以支票、汇票、本票或者金融机构、担保机构出具的保函等非现金形式提交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%。鼓励和支持中标供应商以银行、保险公司出具的保函形式提供履约保证金。采购人不得拒收履约保函，项目验收结束后应及时退还，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pPr>
        <w:pStyle w:val="4"/>
        <w:rPr>
          <w:rFonts w:hint="eastAsia"/>
        </w:rPr>
      </w:pPr>
      <w:r>
        <w:rPr>
          <w:rFonts w:ascii="宋体" w:hAnsi="宋体" w:eastAsia="宋体"/>
          <w:sz w:val="24"/>
          <w:lang w:val="en-US"/>
        </w:rPr>
        <w:t>27.预付款</w:t>
      </w:r>
    </w:p>
    <w:p>
      <w:pPr>
        <w:adjustRightInd/>
        <w:spacing w:line="360" w:lineRule="auto"/>
        <w:ind w:firstLine="480" w:firstLineChars="200"/>
        <w:rPr>
          <w:rFonts w:hint="eastAsia" w:ascii="宋体" w:hAnsi="宋体" w:cs="宋体"/>
          <w:b/>
          <w:sz w:val="32"/>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pPr>
        <w:snapToGrid w:val="0"/>
        <w:spacing w:after="120" w:afterLines="50"/>
        <w:ind w:firstLine="3147" w:firstLineChars="1045"/>
        <w:rPr>
          <w:rFonts w:hint="eastAsia" w:ascii="宋体" w:hAnsi="宋体" w:cs="宋体"/>
          <w:b/>
          <w:sz w:val="30"/>
          <w:szCs w:val="30"/>
        </w:rPr>
      </w:pPr>
      <w:r>
        <w:rPr>
          <w:rFonts w:hint="eastAsia" w:ascii="宋体" w:hAnsi="宋体" w:cs="宋体"/>
          <w:b/>
          <w:sz w:val="30"/>
          <w:szCs w:val="30"/>
        </w:rPr>
        <w:t>八、电子交易活动的中止</w:t>
      </w:r>
    </w:p>
    <w:p>
      <w:pPr>
        <w:pStyle w:val="129"/>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ind w:left="120" w:leftChars="57" w:firstLine="452" w:firstLineChars="150"/>
        <w:jc w:val="center"/>
        <w:rPr>
          <w:rFonts w:hint="eastAsia" w:ascii="宋体" w:hAnsi="宋体" w:cs="宋体"/>
          <w:b/>
          <w:sz w:val="30"/>
          <w:szCs w:val="30"/>
        </w:rPr>
      </w:pPr>
      <w:r>
        <w:rPr>
          <w:rFonts w:hint="eastAsia" w:ascii="宋体" w:hAnsi="宋体" w:cs="宋体"/>
          <w:b/>
          <w:sz w:val="30"/>
          <w:szCs w:val="30"/>
        </w:rPr>
        <w:t>九、验收</w:t>
      </w:r>
    </w:p>
    <w:p>
      <w:pPr>
        <w:pStyle w:val="2"/>
        <w:spacing w:line="360" w:lineRule="auto"/>
        <w:ind w:firstLine="0" w:firstLineChars="0"/>
        <w:rPr>
          <w:rFonts w:hint="eastAsia" w:cs="宋体"/>
          <w:b/>
        </w:rPr>
      </w:pPr>
      <w:r>
        <w:rPr>
          <w:rFonts w:hint="eastAsia" w:cs="宋体"/>
          <w:b/>
        </w:rPr>
        <w:t>30.验收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6" w:name="_Hlt74729768"/>
      <w:bookmarkEnd w:id="16"/>
      <w:bookmarkStart w:id="17" w:name="_Hlt75236011"/>
      <w:bookmarkEnd w:id="17"/>
      <w:bookmarkStart w:id="18" w:name="_Hlt68057669"/>
      <w:bookmarkEnd w:id="18"/>
      <w:bookmarkStart w:id="19" w:name="_Hlt68073093"/>
      <w:bookmarkEnd w:id="19"/>
      <w:bookmarkStart w:id="20" w:name="_Hlt75236101"/>
      <w:bookmarkEnd w:id="20"/>
      <w:bookmarkStart w:id="21" w:name="_Hlt74730295"/>
      <w:bookmarkEnd w:id="21"/>
      <w:bookmarkStart w:id="22" w:name="_Hlt74707468"/>
      <w:bookmarkEnd w:id="22"/>
      <w:bookmarkStart w:id="23" w:name="_Hlt68072990"/>
      <w:bookmarkEnd w:id="23"/>
      <w:bookmarkStart w:id="24" w:name="_Hlt75236290"/>
      <w:bookmarkEnd w:id="24"/>
      <w:bookmarkStart w:id="25" w:name="_Hlt68403820"/>
      <w:bookmarkEnd w:id="25"/>
      <w:bookmarkStart w:id="26" w:name="_Hlt74714665"/>
      <w:bookmarkEnd w:id="26"/>
      <w:bookmarkStart w:id="27" w:name="_Hlt68072998"/>
      <w:bookmarkEnd w:id="27"/>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79"/>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start="1"/>
          <w:cols w:space="720" w:num="1"/>
          <w:titlePg/>
          <w:docGrid w:linePitch="312" w:charSpace="0"/>
        </w:sectPr>
      </w:pPr>
    </w:p>
    <w:bookmarkEnd w:id="12"/>
    <w:bookmarkEnd w:id="13"/>
    <w:p>
      <w:pPr>
        <w:spacing w:line="360" w:lineRule="auto"/>
        <w:jc w:val="center"/>
        <w:outlineLvl w:val="0"/>
        <w:rPr>
          <w:rFonts w:hint="eastAsia" w:ascii="宋体" w:hAnsi="宋体" w:cs="宋体"/>
          <w:b/>
          <w:sz w:val="36"/>
          <w:szCs w:val="36"/>
        </w:rPr>
      </w:pPr>
      <w:bookmarkStart w:id="28" w:name="第四部分"/>
      <w:r>
        <w:rPr>
          <w:rFonts w:hint="eastAsia" w:ascii="宋体" w:hAnsi="宋体" w:cs="宋体"/>
          <w:b/>
          <w:sz w:val="36"/>
          <w:szCs w:val="36"/>
        </w:rPr>
        <w:t>第三部分   采购需求</w:t>
      </w:r>
    </w:p>
    <w:p>
      <w:pPr>
        <w:pStyle w:val="968"/>
        <w:rPr>
          <w:rFonts w:hint="eastAsia" w:ascii="宋体" w:hAnsi="宋体" w:eastAsia="宋体" w:cs="宋体"/>
          <w:sz w:val="24"/>
        </w:rPr>
      </w:pPr>
      <w:r>
        <w:rPr>
          <w:rFonts w:hint="eastAsia" w:ascii="宋体" w:hAnsi="宋体" w:eastAsia="宋体" w:cs="宋体"/>
          <w:sz w:val="24"/>
        </w:rPr>
        <w:t>一、项目概况</w:t>
      </w:r>
    </w:p>
    <w:p>
      <w:pPr>
        <w:spacing w:line="360" w:lineRule="auto"/>
        <w:ind w:firstLine="480" w:firstLineChars="200"/>
        <w:rPr>
          <w:rFonts w:hint="eastAsia" w:ascii="宋体" w:hAnsi="宋体" w:cs="宋体"/>
          <w:kern w:val="0"/>
          <w:sz w:val="24"/>
        </w:rPr>
      </w:pPr>
      <w:r>
        <w:rPr>
          <w:rFonts w:hint="eastAsia" w:ascii="宋体" w:hAnsi="宋体" w:cs="宋体"/>
          <w:sz w:val="24"/>
        </w:rPr>
        <w:t>杭州第九中学树范学校位于杭州市上城区金山支路1号，东临金山支路，南接半山东路，西北方向则靠近半山森林公园，学校总用地面积约111411平方米。</w:t>
      </w:r>
      <w:r>
        <w:rPr>
          <w:rFonts w:hint="eastAsia" w:ascii="宋体" w:hAnsi="宋体" w:cs="宋体"/>
          <w:kern w:val="0"/>
          <w:sz w:val="24"/>
        </w:rPr>
        <w:t>将打造60班规模的寄宿制普通高级中学，能够容纳多达3000名学生，其建设规划和设计都体现了现代化的教育理念和城市发展需求。</w:t>
      </w:r>
      <w:r>
        <w:rPr>
          <w:rFonts w:hint="eastAsia" w:ascii="宋体" w:hAnsi="宋体" w:cs="宋体"/>
          <w:sz w:val="24"/>
        </w:rPr>
        <w:t>杭州第九中学树范学校</w:t>
      </w:r>
      <w:r>
        <w:rPr>
          <w:rFonts w:hint="eastAsia" w:ascii="宋体" w:hAnsi="宋体" w:cs="宋体"/>
          <w:kern w:val="0"/>
          <w:sz w:val="24"/>
        </w:rPr>
        <w:t>的建设内容涵盖了教学及教学辅助用房、办公用房、生活服务用房、地下停车库、设备用房、体育活动场所、景观绿化、道路及其他室外工程等多个方面。建成后将大大增加当地的高中学位供给，有力缓解周边地区教育资源紧张状况。本次学校的设计充分考虑到了学生的学习与生活需求，力求为学生提供一个安全、舒适、现代化的学习环境。</w:t>
      </w:r>
    </w:p>
    <w:p>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校园网为学校的教学和科研提供先进的信息化环境。它支持多媒体教学、校园一卡通系统、数字广播系统、教师备课系统、电子阅览室以及教学和考试资料库等。 </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基于校园现状需求，本次校园网络建设涉及到校园整体网络运行，将建成安全、稳定、高性能、易运维的校园网络系统。</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本次项目建设主要内容有：全光校园网系统、无线网络系统、云计算资源系统、网络安全系统、机房运维系统、网络中心机房系统。</w:t>
      </w:r>
    </w:p>
    <w:p>
      <w:pPr>
        <w:spacing w:line="360" w:lineRule="auto"/>
        <w:outlineLvl w:val="0"/>
        <w:rPr>
          <w:rFonts w:hint="eastAsia" w:ascii="宋体" w:hAnsi="宋体" w:cs="宋体"/>
          <w:b/>
          <w:sz w:val="24"/>
        </w:rPr>
      </w:pPr>
      <w:r>
        <w:rPr>
          <w:rFonts w:hint="eastAsia" w:ascii="宋体" w:hAnsi="宋体" w:cs="宋体"/>
          <w:b/>
          <w:sz w:val="24"/>
        </w:rPr>
        <w:t>二、建设内容及要求</w:t>
      </w:r>
    </w:p>
    <w:p>
      <w:pPr>
        <w:spacing w:line="360" w:lineRule="auto"/>
        <w:ind w:firstLine="422" w:firstLineChars="175"/>
        <w:outlineLvl w:val="0"/>
        <w:rPr>
          <w:rFonts w:hint="eastAsia" w:ascii="宋体" w:hAnsi="宋体" w:cs="宋体"/>
          <w:b/>
          <w:sz w:val="24"/>
        </w:rPr>
      </w:pPr>
      <w:r>
        <w:rPr>
          <w:rFonts w:hint="eastAsia" w:ascii="宋体" w:hAnsi="宋体" w:cs="宋体"/>
          <w:b/>
          <w:sz w:val="24"/>
        </w:rPr>
        <w:t>2.1全光校园网系统</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根据教育信息化的进步，提高学校信息化建设和水平，本项目采用全光校园网架构，光纤网络作为骨干传输媒介，连接校园内的教学楼、实验室、图书馆、宿舍、综合楼等建筑，以及校园内外的数据中心和互联网接入点，可以实现对校园广播，一卡通，安防监控等智能系统的部署。</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全光网络利用光信号传输数据，能够提供极高的传输速率，能够满足校园网络对于高速数据传输的需求；光纤传输具有极高的抗干扰能力，能够有效抵抗外部环境的影响，确保网络的稳定运行‌；全光网系统采用光纤传输，避免了铜线网络容易受到外界干扰和攻击的隐患，提高了网络的安全性‌；全光网系统具有良好的兼容性和扩展性，能够方便地与其他网络设备进行连接，满足校园网络不断发展的需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全光网系统可以为教师提供高速、稳定的网络环境，支持在线授课、远程教学等应用，提高教学质量。</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教学区光纤入室ONU：紧凑型机身，适应多媒体设备箱；静音无风扇自然散热，满足光纤进教室场景；万兆上行端口，千兆POE+电口提供千兆接入、无线AP接入。</w:t>
      </w:r>
    </w:p>
    <w:p>
      <w:pPr>
        <w:spacing w:line="360" w:lineRule="auto"/>
        <w:ind w:firstLine="422" w:firstLineChars="175"/>
        <w:outlineLvl w:val="0"/>
        <w:rPr>
          <w:rFonts w:hint="eastAsia" w:ascii="宋体" w:hAnsi="宋体" w:cs="宋体"/>
          <w:b/>
          <w:sz w:val="24"/>
        </w:rPr>
      </w:pPr>
      <w:r>
        <w:rPr>
          <w:rFonts w:hint="eastAsia" w:ascii="宋体" w:hAnsi="宋体" w:cs="宋体"/>
          <w:b/>
          <w:sz w:val="24"/>
        </w:rPr>
        <w:t>2.2无线网络系统</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无线AC管理设备：</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单台AC提供2个10GE光口, 10个GE电口；</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单台AC最大管理AP数量≥512，单台AC最大接入用户数量≥4K，AC与AP可以分开各自独立升级，满足多种业务类型需求；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满足当前无线AP管理要求，同时具备足够扩展能力；</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无线AP：</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室内吸顶无线AP：教学区、中型办公室、小会议室、宿舍等采用支持WiFi 7标准的室内吸顶无线AP；</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室内壁挂无线AP：风雨操场区域采用支持WiFi 7标准的壁挂无线AP，既保证无线信号无盲点、又能扩展有线网口，有效缓解网络接口不足的问题；</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室内高密无线AP：报告厅区域采用支持WiFi 7标准的高密度无线AP，保证高密度无线接入；</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室外无线AP：室外区域采用内置天线、支持WiFi 7标准的室外无线AP；室外无线覆盖范围包括操场区域、楼间区域等，实现整个校园室外区域全覆盖；</w:t>
      </w:r>
    </w:p>
    <w:p>
      <w:pPr>
        <w:spacing w:line="360" w:lineRule="auto"/>
        <w:ind w:firstLine="422" w:firstLineChars="175"/>
        <w:outlineLvl w:val="0"/>
        <w:rPr>
          <w:rFonts w:hint="eastAsia" w:ascii="宋体" w:hAnsi="宋体" w:cs="宋体"/>
          <w:b/>
          <w:sz w:val="24"/>
        </w:rPr>
      </w:pPr>
      <w:r>
        <w:rPr>
          <w:rFonts w:hint="eastAsia" w:ascii="宋体" w:hAnsi="宋体" w:cs="宋体"/>
          <w:b/>
          <w:sz w:val="24"/>
        </w:rPr>
        <w:t>2.3云计算资源系统</w:t>
      </w:r>
    </w:p>
    <w:p>
      <w:pPr>
        <w:spacing w:line="360" w:lineRule="auto"/>
        <w:ind w:firstLine="480" w:firstLineChars="200"/>
        <w:rPr>
          <w:rFonts w:hint="eastAsia" w:ascii="宋体" w:hAnsi="宋体" w:cs="宋体"/>
          <w:kern w:val="0"/>
          <w:sz w:val="24"/>
        </w:rPr>
      </w:pPr>
      <w:r>
        <w:rPr>
          <w:rFonts w:hint="eastAsia" w:ascii="宋体" w:hAnsi="宋体" w:cs="宋体"/>
          <w:kern w:val="0"/>
          <w:sz w:val="24"/>
        </w:rPr>
        <w:t>超融合计算平台配置高性能CPU、大容量内存、高速固态硬盘缓存以提供高性能计算存储资源，配备软件实现计算、网络、存储资源的融合一体虚拟化，保证平台的稳定运行。</w:t>
      </w:r>
    </w:p>
    <w:p>
      <w:pPr>
        <w:spacing w:line="360" w:lineRule="auto"/>
        <w:ind w:firstLine="422" w:firstLineChars="175"/>
        <w:outlineLvl w:val="0"/>
        <w:rPr>
          <w:rFonts w:hint="eastAsia" w:ascii="宋体" w:hAnsi="宋体" w:cs="宋体"/>
          <w:b/>
          <w:sz w:val="24"/>
        </w:rPr>
      </w:pPr>
      <w:r>
        <w:rPr>
          <w:rFonts w:hint="eastAsia" w:ascii="宋体" w:hAnsi="宋体" w:cs="宋体"/>
          <w:b/>
          <w:sz w:val="24"/>
        </w:rPr>
        <w:t>2.4网络安全系统</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为满足校园网络出口高性能接入需求，配置出口安全网关、上网行为管理系统、终端安全管理系统。</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下一代防火墙</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配置千兆电接口、千兆光口SFP业务接口、万兆光SFP+业务接口；每个业务接口均能够自定义为LAN口和WAN口、也可划分到不同安全域实现各接口间的安全隔离；实现与核心交换机的万兆骨干带宽，并能满足多种互联类型需求。</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上网行为管理系统</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配置具备千兆电口、千兆光口、4T内置硬盘的双电源上网行为管理系统设备。可实现针对内网用户上网、城域网用户访问数据中心、公众互联网用户访问数据中心做日志记录和审计，并对访问互联网网址和网络通信功能做管理和流量控制，保障正常业务应用访问与办公；内置大容量硬盘，满足六个月日志可追溯。</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终端安全管理系统</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配置Linux/Windows Server/国产化操作系统专用终端安全管理系统，确保校园业务系统安全稳定运行；</w:t>
      </w:r>
    </w:p>
    <w:p>
      <w:pPr>
        <w:spacing w:line="360" w:lineRule="auto"/>
        <w:ind w:firstLine="480" w:firstLineChars="200"/>
        <w:rPr>
          <w:rFonts w:hint="eastAsia" w:ascii="宋体" w:hAnsi="宋体" w:cs="宋体"/>
          <w:kern w:val="0"/>
          <w:sz w:val="24"/>
        </w:rPr>
      </w:pPr>
      <w:r>
        <w:rPr>
          <w:rFonts w:hint="eastAsia" w:ascii="宋体" w:hAnsi="宋体" w:cs="宋体"/>
          <w:kern w:val="0"/>
          <w:sz w:val="24"/>
        </w:rPr>
        <w:t>终端安全管理软件可实现校园级的安全防护，同时节省公网带宽，在校园网内部即可实现全校终端病毒库升级。</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2.5机房运维系统</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支持一键式运维，可对无线环境进行检测分析、显示用户行为分析、对设备进行管理；可实现对接入交换设备和无线网络进行便捷管理，支持手机APP登录，实现移动式办公。</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2.6中心机房系统</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中心机房建设包含装饰装修、设备配电、防雷接地、机房空调及气体消防等。</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装饰装修</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包括天花吊顶工程、地面工程、墙柱面工程、门窗工程、玻璃隔断、强电处理等等。对整个机房墙体和吊顶进行装修，活动扣板配天花板吊顶灯，墙体要求隔热、防火等；更换现有地板，定做机柜及蓄电池组的承重支架，清理地面不用线缆，并对地面找平处理后铺设防静电涂层及铜箔网。</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设备配电</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配备独立综合配电柜，配置一台三进三出的UPS主机，为安防、广播等系统设备供电，保证在突发断电的情况下可以继续工作。</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防雷接地</w:t>
      </w:r>
    </w:p>
    <w:p>
      <w:pPr>
        <w:spacing w:line="360" w:lineRule="auto"/>
        <w:ind w:firstLine="480" w:firstLineChars="200"/>
        <w:rPr>
          <w:rFonts w:hint="eastAsia" w:ascii="宋体" w:hAnsi="宋体" w:cs="宋体"/>
          <w:kern w:val="0"/>
          <w:sz w:val="24"/>
        </w:rPr>
      </w:pPr>
      <w:r>
        <w:rPr>
          <w:rFonts w:hint="eastAsia" w:ascii="宋体" w:hAnsi="宋体" w:cs="宋体"/>
          <w:kern w:val="0"/>
          <w:sz w:val="24"/>
        </w:rPr>
        <w:t>独立接地，配置二级、三级防雷和紫铜排网设施，可满足交流工作地电阻&lt;1Ω，交流保护地电阻&lt;4Ω，防雷保护地电阻&lt;10Ω，静电释放地电阻&lt;10Ω。</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机房空调</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配备2台行级精密空调，采用正面水平送风背面水平回风方式，保证机房内部保持在适宜的温度，确保核心骨干设备的长久稳定运行。</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气体消防</w:t>
      </w:r>
    </w:p>
    <w:p>
      <w:pPr>
        <w:spacing w:line="360" w:lineRule="auto"/>
        <w:ind w:firstLine="480" w:firstLineChars="200"/>
        <w:rPr>
          <w:rFonts w:hint="eastAsia" w:ascii="宋体" w:hAnsi="宋体" w:cs="宋体"/>
          <w:sz w:val="24"/>
        </w:rPr>
      </w:pPr>
      <w:r>
        <w:rPr>
          <w:rFonts w:hint="eastAsia" w:ascii="宋体" w:hAnsi="宋体" w:cs="宋体"/>
          <w:kern w:val="0"/>
          <w:sz w:val="24"/>
        </w:rPr>
        <w:t>配置无管网气体消防柜及感烟、感温、声光报警器等装置，可与校园报警系统联动。</w:t>
      </w:r>
    </w:p>
    <w:p>
      <w:pPr>
        <w:pStyle w:val="3"/>
        <w:spacing w:before="0" w:after="0" w:line="360" w:lineRule="auto"/>
        <w:rPr>
          <w:rFonts w:hint="eastAsia" w:ascii="宋体" w:hAnsi="宋体" w:cs="宋体"/>
          <w:sz w:val="24"/>
          <w:szCs w:val="24"/>
        </w:rPr>
      </w:pPr>
      <w:r>
        <w:rPr>
          <w:rFonts w:hint="eastAsia" w:ascii="宋体" w:hAnsi="宋体" w:cs="宋体"/>
          <w:sz w:val="24"/>
          <w:szCs w:val="24"/>
        </w:rPr>
        <w:t>三、招投标要求、项目建设清单和参数要求</w:t>
      </w:r>
    </w:p>
    <w:p>
      <w:pPr>
        <w:keepNext/>
        <w:spacing w:line="360" w:lineRule="auto"/>
        <w:textAlignment w:val="baseline"/>
        <w:outlineLvl w:val="1"/>
        <w:rPr>
          <w:rFonts w:hint="eastAsia" w:ascii="宋体" w:hAnsi="宋体" w:cs="宋体"/>
          <w:b/>
          <w:kern w:val="0"/>
          <w:sz w:val="24"/>
        </w:rPr>
      </w:pPr>
      <w:r>
        <w:rPr>
          <w:rFonts w:hint="eastAsia" w:ascii="宋体" w:hAnsi="宋体" w:cs="宋体"/>
          <w:b/>
          <w:kern w:val="0"/>
          <w:sz w:val="24"/>
        </w:rPr>
        <w:t>3.1 招投标要求</w:t>
      </w:r>
    </w:p>
    <w:p>
      <w:pPr>
        <w:spacing w:line="360" w:lineRule="auto"/>
        <w:ind w:firstLine="470" w:firstLineChars="196"/>
        <w:rPr>
          <w:rFonts w:hint="eastAsia" w:ascii="宋体" w:hAnsi="宋体" w:cs="宋体"/>
          <w:sz w:val="24"/>
        </w:rPr>
      </w:pPr>
      <w:r>
        <w:rPr>
          <w:rFonts w:hint="eastAsia" w:ascii="宋体" w:hAnsi="宋体" w:cs="宋体"/>
          <w:sz w:val="24"/>
        </w:rPr>
        <w:t>针对本项目招投标、项目实施及验收，有如下要求，投标人应对此要求完全响应：</w:t>
      </w:r>
    </w:p>
    <w:p>
      <w:pPr>
        <w:spacing w:line="360" w:lineRule="auto"/>
        <w:ind w:firstLine="480" w:firstLineChars="200"/>
        <w:rPr>
          <w:rFonts w:hint="eastAsia" w:ascii="宋体" w:hAnsi="宋体" w:cs="宋体"/>
          <w:sz w:val="24"/>
        </w:rPr>
      </w:pPr>
      <w:r>
        <w:rPr>
          <w:rFonts w:hint="eastAsia" w:ascii="宋体" w:hAnsi="宋体" w:cs="宋体"/>
          <w:sz w:val="24"/>
        </w:rPr>
        <w:t>1、供应商结合招标文件认真编制投标文件，若发生招标文件提供的采购清单中有漏项、少计工程量，按采购清单为准，并将视为供应商把该项目包含在投标总价中，报价一次性包干，中标后不得因为招标人提供采购清单漏项、少计工程量要求调整投标总价（除今后设计变更外，均不再调整）。</w:t>
      </w:r>
    </w:p>
    <w:p>
      <w:pPr>
        <w:spacing w:line="360" w:lineRule="auto"/>
        <w:ind w:firstLine="480" w:firstLineChars="200"/>
        <w:rPr>
          <w:rFonts w:hint="eastAsia" w:ascii="宋体" w:hAnsi="宋体" w:cs="宋体"/>
          <w:sz w:val="24"/>
        </w:rPr>
      </w:pPr>
      <w:r>
        <w:rPr>
          <w:rFonts w:hint="eastAsia" w:ascii="宋体" w:hAnsi="宋体" w:cs="宋体"/>
          <w:sz w:val="24"/>
        </w:rPr>
        <w:t>2、投标人及制造商必须保证所有投标产品均为中华人民共和国境内（不含港澳台地区）合法销售的产品，并保证所有投标参数真实可信，同时承担以非法产品或虚假参数应标所带来的一切法律风险。项目中标后，采购人将对产品进行功能及性能指标测试，如测试结果与投标参数不符，将做违约处理，并保留以诉诸相关法律进行处理的权利。</w:t>
      </w:r>
    </w:p>
    <w:p>
      <w:pPr>
        <w:spacing w:line="360" w:lineRule="auto"/>
        <w:ind w:firstLine="480" w:firstLineChars="200"/>
        <w:rPr>
          <w:rFonts w:hint="eastAsia" w:ascii="宋体" w:hAnsi="宋体" w:cs="宋体"/>
          <w:sz w:val="24"/>
        </w:rPr>
      </w:pPr>
      <w:r>
        <w:rPr>
          <w:rFonts w:hint="eastAsia" w:ascii="宋体" w:hAnsi="宋体" w:cs="宋体"/>
          <w:sz w:val="24"/>
        </w:rPr>
        <w:t>3、为保证设备稳定运行、保障售后服务质量、保护采购人的合法权益，投标人必须保证：</w:t>
      </w:r>
    </w:p>
    <w:p>
      <w:pPr>
        <w:spacing w:line="360" w:lineRule="auto"/>
        <w:ind w:firstLine="480" w:firstLineChars="200"/>
        <w:rPr>
          <w:rFonts w:hint="eastAsia" w:ascii="宋体" w:hAnsi="宋体" w:cs="宋体"/>
          <w:sz w:val="24"/>
        </w:rPr>
      </w:pPr>
      <w:r>
        <w:rPr>
          <w:rFonts w:hint="eastAsia" w:ascii="宋体" w:hAnsi="宋体" w:cs="宋体"/>
          <w:sz w:val="24"/>
        </w:rPr>
        <w:t>（1）本项目所有设备原厂售后服务权益方名称为杭州第九中学树范学校。</w:t>
      </w:r>
    </w:p>
    <w:p>
      <w:pPr>
        <w:spacing w:line="360" w:lineRule="auto"/>
        <w:ind w:firstLine="480" w:firstLineChars="200"/>
        <w:rPr>
          <w:rFonts w:hint="eastAsia" w:ascii="宋体" w:hAnsi="宋体" w:cs="宋体"/>
          <w:sz w:val="24"/>
        </w:rPr>
      </w:pPr>
      <w:r>
        <w:rPr>
          <w:rFonts w:hint="eastAsia" w:ascii="宋体" w:hAnsi="宋体" w:cs="宋体"/>
          <w:sz w:val="24"/>
        </w:rPr>
        <w:t>（2）项目实施过程中，采购人将有权专门针对主要设备联系原厂商进行真伪查验校对、质保期查验校对，并将详细确认售后服务权益方名称（须为：杭州第九中学树范学校）。</w:t>
      </w:r>
    </w:p>
    <w:p>
      <w:pPr>
        <w:spacing w:line="360" w:lineRule="auto"/>
        <w:ind w:firstLine="480" w:firstLineChars="200"/>
        <w:rPr>
          <w:rFonts w:hint="eastAsia" w:ascii="宋体" w:hAnsi="宋体" w:cs="宋体"/>
          <w:b/>
          <w:sz w:val="24"/>
        </w:rPr>
      </w:pPr>
      <w:r>
        <w:rPr>
          <w:rFonts w:hint="eastAsia" w:ascii="宋体" w:hAnsi="宋体" w:cs="宋体"/>
          <w:sz w:val="24"/>
        </w:rPr>
        <w:t>（3）项目实施完成后，要求提交网络设备、安全设备的原厂三年质保函。</w:t>
      </w:r>
    </w:p>
    <w:p>
      <w:pPr>
        <w:spacing w:line="360" w:lineRule="auto"/>
        <w:ind w:firstLine="480" w:firstLineChars="200"/>
        <w:rPr>
          <w:rFonts w:hint="eastAsia" w:ascii="宋体" w:hAnsi="宋体" w:cs="宋体"/>
          <w:sz w:val="24"/>
        </w:rPr>
      </w:pPr>
      <w:r>
        <w:rPr>
          <w:rFonts w:hint="eastAsia" w:ascii="宋体" w:hAnsi="宋体" w:cs="宋体"/>
          <w:sz w:val="24"/>
        </w:rPr>
        <w:t>4、投标时，必须按本次招标文件所提供的设备清单和性能参数要求作为产品选型依据。如投标人对本招标文件所列招标范围和技术规范要求有所不同和建议，请填写性能规格偏离表备注说明和建议书。投标人可参考采购单位推荐的主要设备的性能参数要求，也欢迎其他能满足本项目技术需求且性能相当的产品参加投标，但其配置应能满足本系统运行的需求。</w:t>
      </w:r>
    </w:p>
    <w:p>
      <w:pPr>
        <w:keepNext/>
        <w:spacing w:line="360" w:lineRule="auto"/>
        <w:textAlignment w:val="baseline"/>
        <w:outlineLvl w:val="1"/>
        <w:rPr>
          <w:rFonts w:hint="eastAsia" w:ascii="宋体" w:hAnsi="宋体" w:cs="宋体"/>
          <w:b/>
          <w:kern w:val="0"/>
          <w:sz w:val="24"/>
        </w:rPr>
      </w:pPr>
      <w:r>
        <w:rPr>
          <w:rFonts w:hint="eastAsia" w:ascii="宋体" w:hAnsi="宋体" w:cs="宋体"/>
          <w:b/>
          <w:kern w:val="0"/>
          <w:sz w:val="24"/>
        </w:rPr>
        <w:t>3.2 施工及项目配合要求</w:t>
      </w:r>
    </w:p>
    <w:p>
      <w:pPr>
        <w:spacing w:line="360" w:lineRule="auto"/>
        <w:ind w:firstLine="480" w:firstLineChars="200"/>
        <w:rPr>
          <w:rFonts w:hint="eastAsia" w:ascii="宋体" w:hAnsi="宋体" w:cs="宋体"/>
          <w:sz w:val="24"/>
        </w:rPr>
      </w:pPr>
      <w:r>
        <w:rPr>
          <w:rFonts w:hint="eastAsia" w:ascii="宋体" w:hAnsi="宋体" w:cs="宋体"/>
          <w:sz w:val="24"/>
        </w:rPr>
        <w:t>1、投标人提供的投标文件的设计方案应该是满足采购需求的、完整的、可实施的系统方案，若投标设备明细清单中有明显不完整系统配置、缺项或漏项（含设备、配件部件、线缆等材料）的或因与其他业务系统兼容对接需求，所需的设备和工作量由投标人承担。采购人针对实际施工时产生的客观情况，拥有技术方案调整权。</w:t>
      </w:r>
    </w:p>
    <w:p>
      <w:pPr>
        <w:spacing w:line="360" w:lineRule="auto"/>
        <w:ind w:firstLine="480" w:firstLineChars="200"/>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要求实际供货的所有货物数量都不得少于投标要求的数量，供货时将组织进行数量清点、正品验证、包装盒扫码存档等工作，并保留相关资料作为验收的重要参考资料。要求如下：</w:t>
      </w:r>
    </w:p>
    <w:p>
      <w:pPr>
        <w:spacing w:line="360" w:lineRule="auto"/>
        <w:ind w:firstLine="480" w:firstLineChars="200"/>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供货时，每批次设备入库前，均须现场核验。要求每次设备进场时均需要备案拍照备查，施工时做好所有设备及材料使用记录、并保留所有已使用设备材料的外包装盒及包装盒条码，整个实施过程中用户单位将不定时进行正品验证和数量清点，也将作为项目验收时的重要依据。</w:t>
      </w:r>
    </w:p>
    <w:p>
      <w:pPr>
        <w:spacing w:line="360" w:lineRule="auto"/>
        <w:ind w:firstLine="480" w:firstLineChars="200"/>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若实际使用有剩余，要求留给学校用于后期校园建设，且投标人还应提供这些剩余设备材料的后续安装调试等服务（费用已经包含于本次投标内）；</w:t>
      </w:r>
    </w:p>
    <w:p>
      <w:pPr>
        <w:spacing w:line="360" w:lineRule="auto"/>
        <w:ind w:firstLine="480" w:firstLineChars="200"/>
        <w:rPr>
          <w:rFonts w:hint="eastAsia" w:ascii="宋体" w:hAnsi="宋体" w:cs="宋体"/>
          <w:kern w:val="0"/>
          <w:sz w:val="24"/>
        </w:rPr>
      </w:pPr>
      <w:r>
        <w:rPr>
          <w:rFonts w:hint="eastAsia" w:ascii="宋体" w:hAnsi="宋体" w:cs="宋体"/>
          <w:sz w:val="24"/>
        </w:rPr>
        <w:t>(3)</w:t>
      </w:r>
      <w:r>
        <w:rPr>
          <w:rFonts w:hint="eastAsia" w:ascii="宋体" w:hAnsi="宋体" w:cs="宋体"/>
          <w:kern w:val="0"/>
          <w:sz w:val="24"/>
        </w:rPr>
        <w:t>签订合同前需要提供</w:t>
      </w:r>
      <w:r>
        <w:rPr>
          <w:rFonts w:hint="eastAsia" w:ascii="宋体" w:hAnsi="宋体" w:cs="宋体"/>
          <w:sz w:val="24"/>
        </w:rPr>
        <w:t>核心交换机、OLT、超融合计算平台、下一代防火墙、UPS、精密空调等</w:t>
      </w:r>
      <w:r>
        <w:rPr>
          <w:rFonts w:hint="eastAsia" w:ascii="宋体" w:hAnsi="宋体" w:cs="宋体"/>
          <w:kern w:val="0"/>
          <w:sz w:val="24"/>
        </w:rPr>
        <w:t>原厂商针对本项目的授权函和三年质保函；</w:t>
      </w:r>
    </w:p>
    <w:p>
      <w:pPr>
        <w:spacing w:line="360" w:lineRule="auto"/>
        <w:ind w:left="-141" w:leftChars="-67" w:firstLine="720" w:firstLineChars="300"/>
        <w:rPr>
          <w:rFonts w:hint="eastAsia" w:ascii="宋体" w:hAnsi="宋体" w:cs="宋体"/>
          <w:kern w:val="0"/>
          <w:sz w:val="24"/>
        </w:rPr>
      </w:pPr>
      <w:r>
        <w:rPr>
          <w:rFonts w:hint="eastAsia" w:ascii="宋体" w:hAnsi="宋体" w:cs="宋体"/>
          <w:sz w:val="24"/>
        </w:rPr>
        <w:t>(4)</w:t>
      </w:r>
      <w:r>
        <w:rPr>
          <w:rFonts w:hint="eastAsia" w:ascii="宋体" w:hAnsi="宋体" w:cs="宋体"/>
          <w:kern w:val="0"/>
          <w:sz w:val="24"/>
        </w:rPr>
        <w:t>施工完成后，采购人将对安装上架的主要产品随机抽样向原厂商验明真伪，投标人应给予配合。</w:t>
      </w:r>
    </w:p>
    <w:p>
      <w:pPr>
        <w:spacing w:line="360" w:lineRule="auto"/>
        <w:ind w:left="-141" w:leftChars="-67" w:firstLine="720" w:firstLineChars="300"/>
        <w:rPr>
          <w:rFonts w:hint="eastAsia" w:ascii="宋体" w:hAnsi="宋体" w:cs="宋体"/>
          <w:sz w:val="24"/>
        </w:rPr>
      </w:pPr>
      <w:r>
        <w:rPr>
          <w:rFonts w:hint="eastAsia" w:ascii="宋体" w:hAnsi="宋体" w:cs="宋体"/>
          <w:sz w:val="24"/>
        </w:rPr>
        <w:t>(5)本项目要求项目经理、项目技术管理人员和项目组实施人员的团队配置合理、专业素质高、数量充足，并确保安全文明施工；项目经理应拥有较强的项目管理能力和同类项目建设经验，项目成员也应具备一定的资质和能力，能够将项目实施到位。</w:t>
      </w:r>
    </w:p>
    <w:p>
      <w:pPr>
        <w:spacing w:line="360" w:lineRule="auto"/>
        <w:ind w:firstLine="480" w:firstLineChars="200"/>
        <w:rPr>
          <w:rFonts w:hint="eastAsia" w:ascii="宋体" w:hAnsi="宋体" w:cs="宋体"/>
          <w:sz w:val="24"/>
        </w:rPr>
      </w:pPr>
      <w:r>
        <w:rPr>
          <w:rFonts w:hint="eastAsia" w:ascii="宋体" w:hAnsi="宋体" w:cs="宋体"/>
          <w:sz w:val="24"/>
        </w:rPr>
        <w:t>3、系统集成要求：</w:t>
      </w:r>
    </w:p>
    <w:p>
      <w:pPr>
        <w:spacing w:line="360" w:lineRule="auto"/>
        <w:ind w:firstLine="480" w:firstLineChars="200"/>
        <w:rPr>
          <w:rFonts w:hint="eastAsia" w:ascii="宋体" w:hAnsi="宋体" w:cs="宋体"/>
          <w:sz w:val="24"/>
        </w:rPr>
      </w:pPr>
      <w:r>
        <w:rPr>
          <w:rFonts w:hint="eastAsia" w:ascii="宋体" w:hAnsi="宋体" w:cs="宋体"/>
          <w:sz w:val="24"/>
        </w:rPr>
        <w:t>本项目的系统集成，包括但不限于：(1)本项目所有设备的运输、安装、调试费用；(2)与校园建设工程其他业务系统的对接配合费用，所有相关工作量及费用由中标方自行承担；(3)本项目实行包干制，投标人投标前应充分了解本项目的技术要求并评估工作量和费用，采购人仅提供必要的协助，采购人对后期实施可能存在的技术、工程、费用问题不承担任何责任。</w:t>
      </w:r>
    </w:p>
    <w:p>
      <w:pPr>
        <w:spacing w:line="360" w:lineRule="auto"/>
        <w:ind w:firstLine="480" w:firstLineChars="200"/>
        <w:rPr>
          <w:rFonts w:hint="eastAsia" w:ascii="宋体" w:hAnsi="宋体" w:cs="宋体"/>
          <w:sz w:val="24"/>
        </w:rPr>
      </w:pPr>
      <w:r>
        <w:rPr>
          <w:rFonts w:hint="eastAsia" w:ascii="宋体" w:hAnsi="宋体" w:cs="宋体"/>
          <w:sz w:val="24"/>
        </w:rPr>
        <w:t>4、项目配合要求：</w:t>
      </w:r>
    </w:p>
    <w:p>
      <w:pPr>
        <w:spacing w:line="360" w:lineRule="auto"/>
        <w:ind w:firstLine="480" w:firstLineChars="200"/>
        <w:rPr>
          <w:rFonts w:hint="eastAsia" w:ascii="宋体" w:hAnsi="宋体" w:cs="宋体"/>
          <w:sz w:val="24"/>
        </w:rPr>
      </w:pPr>
      <w:r>
        <w:rPr>
          <w:rFonts w:hint="eastAsia" w:ascii="宋体" w:hAnsi="宋体" w:cs="宋体"/>
          <w:sz w:val="24"/>
        </w:rPr>
        <w:t>投标人必须承诺配合杭州市教育局下属主管部门和土建方完成土建验收，与校园内其他系统配合完成竣工文档的组织编制工作，以便送交杭州市档案馆作为文档资料保存（其它系统的相关文档分别由其它系统的实施人提供）。</w:t>
      </w:r>
    </w:p>
    <w:p>
      <w:pPr>
        <w:widowControl/>
        <w:adjustRightInd/>
        <w:spacing w:line="360" w:lineRule="auto"/>
        <w:ind w:firstLine="482" w:firstLineChars="200"/>
        <w:jc w:val="left"/>
        <w:rPr>
          <w:rFonts w:hint="eastAsia" w:ascii="宋体" w:hAnsi="宋体" w:cs="宋体"/>
          <w:b/>
          <w:sz w:val="24"/>
        </w:rPr>
      </w:pPr>
      <w:r>
        <w:rPr>
          <w:rFonts w:hint="eastAsia" w:ascii="宋体" w:hAnsi="宋体" w:cs="宋体"/>
          <w:b/>
          <w:sz w:val="24"/>
        </w:rPr>
        <w:t>本项目实行总价包干制</w:t>
      </w:r>
      <w:r>
        <w:rPr>
          <w:rFonts w:hint="eastAsia" w:ascii="宋体" w:hAnsi="宋体" w:cs="宋体"/>
          <w:sz w:val="24"/>
        </w:rPr>
        <w:t>，投标人要承担项目实施、维护、档案馆及建委报验等全过程所有费用。投标人至少要自行承担如下相关工程配合费用</w:t>
      </w:r>
      <w:r>
        <w:rPr>
          <w:rFonts w:hint="eastAsia" w:ascii="宋体" w:hAnsi="宋体" w:cs="宋体"/>
          <w:b/>
          <w:sz w:val="24"/>
        </w:rPr>
        <w:t>（包括但不限于）：</w:t>
      </w:r>
    </w:p>
    <w:p>
      <w:pPr>
        <w:widowControl/>
        <w:adjustRightInd/>
        <w:spacing w:line="360" w:lineRule="auto"/>
        <w:ind w:firstLine="482" w:firstLineChars="200"/>
        <w:jc w:val="left"/>
        <w:rPr>
          <w:rFonts w:hint="eastAsia" w:ascii="宋体" w:hAnsi="宋体" w:cs="宋体"/>
          <w:sz w:val="24"/>
        </w:rPr>
      </w:pPr>
      <w:r>
        <w:rPr>
          <w:rFonts w:hint="eastAsia" w:ascii="宋体" w:hAnsi="宋体" w:cs="宋体"/>
          <w:b/>
          <w:kern w:val="0"/>
          <w:sz w:val="24"/>
        </w:rPr>
        <w:t>(1)</w:t>
      </w:r>
      <w:r>
        <w:rPr>
          <w:rFonts w:hint="eastAsia" w:ascii="宋体" w:hAnsi="宋体" w:cs="宋体"/>
          <w:b/>
          <w:sz w:val="24"/>
        </w:rPr>
        <w:t>第三方检测费：</w:t>
      </w:r>
      <w:r>
        <w:rPr>
          <w:rFonts w:hint="eastAsia" w:ascii="宋体" w:hAnsi="宋体" w:cs="宋体"/>
          <w:sz w:val="24"/>
        </w:rPr>
        <w:t>项目实施过程中，如采购人、杭州市教育局下属主管部门等单位认为有必要经第三方鉴定机构进行专业技术检测的，所有产生的相关检测费用由本项目中标方承担。</w:t>
      </w:r>
    </w:p>
    <w:p>
      <w:pPr>
        <w:widowControl/>
        <w:adjustRightInd/>
        <w:spacing w:line="360" w:lineRule="auto"/>
        <w:ind w:firstLine="482" w:firstLineChars="200"/>
        <w:jc w:val="left"/>
        <w:rPr>
          <w:rFonts w:hint="eastAsia" w:ascii="宋体" w:hAnsi="宋体" w:cs="宋体"/>
          <w:b/>
          <w:kern w:val="0"/>
          <w:sz w:val="24"/>
        </w:rPr>
        <w:sectPr>
          <w:headerReference r:id="rId8" w:type="default"/>
          <w:footerReference r:id="rId9" w:type="default"/>
          <w:pgSz w:w="11906" w:h="16838"/>
          <w:pgMar w:top="1417" w:right="1417" w:bottom="1417" w:left="1417" w:header="851" w:footer="992" w:gutter="0"/>
          <w:cols w:space="0" w:num="1"/>
          <w:docGrid w:type="lines" w:linePitch="312" w:charSpace="0"/>
        </w:sectPr>
      </w:pPr>
      <w:r>
        <w:rPr>
          <w:rFonts w:hint="eastAsia" w:ascii="宋体" w:hAnsi="宋体" w:cs="宋体"/>
          <w:b/>
          <w:kern w:val="0"/>
          <w:sz w:val="24"/>
        </w:rPr>
        <w:t>(2)</w:t>
      </w:r>
      <w:r>
        <w:rPr>
          <w:rFonts w:hint="eastAsia" w:ascii="宋体" w:hAnsi="宋体" w:cs="宋体"/>
          <w:b/>
          <w:sz w:val="24"/>
        </w:rPr>
        <w:t>其它费用：</w:t>
      </w:r>
      <w:r>
        <w:rPr>
          <w:rFonts w:hint="eastAsia" w:ascii="宋体" w:hAnsi="宋体" w:cs="宋体"/>
          <w:bCs/>
          <w:sz w:val="24"/>
        </w:rPr>
        <w:t>项目实</w:t>
      </w:r>
      <w:r>
        <w:rPr>
          <w:rFonts w:hint="eastAsia" w:ascii="宋体" w:hAnsi="宋体" w:cs="宋体"/>
          <w:sz w:val="24"/>
        </w:rPr>
        <w:t>施完工后，资料报验过程中产生的相关费用由本项目中标方承担。</w:t>
      </w:r>
    </w:p>
    <w:p>
      <w:pPr>
        <w:keepNext/>
        <w:spacing w:line="360" w:lineRule="auto"/>
        <w:textAlignment w:val="baseline"/>
        <w:outlineLvl w:val="1"/>
        <w:rPr>
          <w:rFonts w:hint="eastAsia" w:ascii="宋体" w:hAnsi="宋体" w:cs="宋体"/>
          <w:b/>
          <w:kern w:val="0"/>
          <w:sz w:val="24"/>
        </w:rPr>
      </w:pPr>
      <w:r>
        <w:rPr>
          <w:rFonts w:hint="eastAsia" w:ascii="宋体" w:hAnsi="宋体" w:cs="宋体"/>
          <w:b/>
          <w:kern w:val="0"/>
          <w:sz w:val="24"/>
        </w:rPr>
        <w:t>3.3建设标的清单及参数要求</w:t>
      </w:r>
    </w:p>
    <w:tbl>
      <w:tblPr>
        <w:tblStyle w:val="62"/>
        <w:tblW w:w="1397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950"/>
        <w:gridCol w:w="9762"/>
        <w:gridCol w:w="75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b/>
                <w:bCs/>
                <w:kern w:val="0"/>
                <w:sz w:val="24"/>
              </w:rPr>
            </w:pPr>
            <w:r>
              <w:rPr>
                <w:rFonts w:hint="eastAsia" w:ascii="宋体" w:hAnsi="宋体" w:cs="宋体"/>
                <w:b/>
                <w:bCs/>
                <w:kern w:val="0"/>
                <w:sz w:val="24"/>
              </w:rPr>
              <w:t>序号</w:t>
            </w:r>
          </w:p>
        </w:tc>
        <w:tc>
          <w:tcPr>
            <w:tcW w:w="1950" w:type="dxa"/>
            <w:tcBorders>
              <w:tl2br w:val="nil"/>
              <w:tr2bl w:val="nil"/>
            </w:tcBorders>
            <w:shd w:val="clear" w:color="000000" w:fill="FFFFFF"/>
            <w:noWrap/>
            <w:vAlign w:val="center"/>
          </w:tcPr>
          <w:p>
            <w:pPr>
              <w:widowControl/>
              <w:adjustRightInd/>
              <w:jc w:val="center"/>
              <w:rPr>
                <w:rFonts w:hint="eastAsia" w:ascii="宋体" w:hAnsi="宋体" w:cs="宋体"/>
                <w:b/>
                <w:bCs/>
                <w:kern w:val="0"/>
                <w:sz w:val="24"/>
              </w:rPr>
            </w:pPr>
            <w:r>
              <w:rPr>
                <w:rFonts w:hint="eastAsia" w:ascii="宋体" w:hAnsi="宋体" w:cs="宋体"/>
                <w:b/>
                <w:bCs/>
                <w:kern w:val="0"/>
                <w:sz w:val="24"/>
              </w:rPr>
              <w:t>设备名称</w:t>
            </w:r>
          </w:p>
        </w:tc>
        <w:tc>
          <w:tcPr>
            <w:tcW w:w="9762" w:type="dxa"/>
            <w:tcBorders>
              <w:tl2br w:val="nil"/>
              <w:tr2bl w:val="nil"/>
            </w:tcBorders>
            <w:shd w:val="clear" w:color="000000" w:fill="FFFFFF"/>
            <w:noWrap/>
            <w:vAlign w:val="center"/>
          </w:tcPr>
          <w:p>
            <w:pPr>
              <w:widowControl/>
              <w:adjustRightInd/>
              <w:jc w:val="center"/>
              <w:rPr>
                <w:rFonts w:hint="eastAsia" w:ascii="宋体" w:hAnsi="宋体" w:cs="宋体"/>
                <w:b/>
                <w:bCs/>
                <w:kern w:val="0"/>
                <w:sz w:val="24"/>
              </w:rPr>
            </w:pPr>
            <w:r>
              <w:rPr>
                <w:rFonts w:hint="eastAsia" w:ascii="宋体" w:hAnsi="宋体" w:cs="宋体"/>
                <w:b/>
                <w:bCs/>
                <w:kern w:val="0"/>
                <w:sz w:val="24"/>
              </w:rPr>
              <w:t>参数要求</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b/>
                <w:bCs/>
                <w:kern w:val="0"/>
                <w:sz w:val="24"/>
              </w:rPr>
            </w:pPr>
            <w:r>
              <w:rPr>
                <w:rFonts w:hint="eastAsia" w:ascii="宋体" w:hAnsi="宋体" w:cs="宋体"/>
                <w:b/>
                <w:bCs/>
                <w:kern w:val="0"/>
                <w:sz w:val="24"/>
              </w:rPr>
              <w:t>单位</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b/>
                <w:bCs/>
                <w:kern w:val="0"/>
                <w:sz w:val="24"/>
              </w:rPr>
            </w:pPr>
            <w:r>
              <w:rPr>
                <w:rFonts w:hint="eastAsia" w:ascii="宋体" w:hAnsi="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b/>
                <w:bCs/>
                <w:kern w:val="0"/>
                <w:sz w:val="24"/>
              </w:rPr>
              <w:t>一、全光校园网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核心交换机</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1、采用国产芯片，自主可控；</w:t>
            </w:r>
            <w:r>
              <w:rPr>
                <w:rFonts w:hint="eastAsia" w:ascii="宋体" w:hAnsi="宋体" w:cs="宋体"/>
                <w:kern w:val="0"/>
                <w:sz w:val="24"/>
              </w:rPr>
              <w:br w:type="textWrapping"/>
            </w:r>
            <w:r>
              <w:rPr>
                <w:rFonts w:hint="eastAsia" w:ascii="宋体" w:hAnsi="宋体" w:cs="宋体"/>
                <w:kern w:val="0"/>
                <w:sz w:val="24"/>
              </w:rPr>
              <w:t>2、交换容量≥102.4Tbps，包转发率≥57600Mpps；</w:t>
            </w:r>
            <w:r>
              <w:rPr>
                <w:rFonts w:hint="eastAsia" w:ascii="宋体" w:hAnsi="宋体" w:cs="宋体"/>
                <w:kern w:val="0"/>
                <w:sz w:val="24"/>
              </w:rPr>
              <w:br w:type="textWrapping"/>
            </w:r>
            <w:r>
              <w:rPr>
                <w:rFonts w:hint="eastAsia" w:ascii="宋体" w:hAnsi="宋体" w:cs="宋体"/>
                <w:kern w:val="0"/>
                <w:sz w:val="24"/>
              </w:rPr>
              <w:t>3、主控引擎≥2；整机业务板槽位数≥6；</w:t>
            </w:r>
            <w:r>
              <w:rPr>
                <w:rFonts w:hint="eastAsia" w:ascii="宋体" w:hAnsi="宋体" w:cs="宋体"/>
                <w:kern w:val="0"/>
                <w:sz w:val="24"/>
              </w:rPr>
              <w:br w:type="textWrapping"/>
            </w:r>
            <w:r>
              <w:rPr>
                <w:rFonts w:hint="eastAsia" w:ascii="宋体" w:hAnsi="宋体" w:cs="宋体"/>
                <w:b/>
                <w:bCs/>
                <w:kern w:val="0"/>
                <w:sz w:val="24"/>
              </w:rPr>
              <w:t>4、设备支持模块化风扇框，可热插拔，独立风扇框数≥2个，为适应机柜并排部署，设备机箱（包括业务板卡区）采用后出风风道设计；提供设备风道示意图和官网链接及截图；</w:t>
            </w:r>
            <w:r>
              <w:rPr>
                <w:rFonts w:hint="eastAsia" w:ascii="宋体" w:hAnsi="宋体" w:cs="宋体"/>
                <w:kern w:val="0"/>
                <w:sz w:val="24"/>
              </w:rPr>
              <w:br w:type="textWrapping"/>
            </w:r>
            <w:r>
              <w:rPr>
                <w:rFonts w:hint="eastAsia" w:ascii="宋体" w:hAnsi="宋体" w:cs="宋体"/>
                <w:kern w:val="0"/>
                <w:sz w:val="24"/>
              </w:rPr>
              <w:t>5、支持独立的硬件监控模块, 控制平面和监控平面物理槽位分离，支持1+1备份；</w:t>
            </w:r>
            <w:r>
              <w:rPr>
                <w:rFonts w:hint="eastAsia" w:ascii="宋体" w:hAnsi="宋体" w:cs="宋体"/>
                <w:kern w:val="0"/>
                <w:sz w:val="24"/>
              </w:rPr>
              <w:br w:type="textWrapping"/>
            </w:r>
            <w:r>
              <w:rPr>
                <w:rFonts w:hint="eastAsia" w:ascii="宋体" w:hAnsi="宋体" w:cs="宋体"/>
                <w:kern w:val="0"/>
                <w:sz w:val="24"/>
              </w:rPr>
              <w:t>6、支持纵向虚拟化技术，支持把交换机和AP虚拟为一台设备，支持两层子节点，且子节点接入交换机支持堆叠；</w:t>
            </w:r>
            <w:r>
              <w:rPr>
                <w:rFonts w:hint="eastAsia" w:ascii="宋体" w:hAnsi="宋体" w:cs="宋体"/>
                <w:kern w:val="0"/>
                <w:sz w:val="24"/>
              </w:rPr>
              <w:br w:type="textWrapping"/>
            </w:r>
            <w:r>
              <w:rPr>
                <w:rFonts w:hint="eastAsia" w:ascii="宋体" w:hAnsi="宋体" w:cs="宋体"/>
                <w:kern w:val="0"/>
                <w:sz w:val="24"/>
              </w:rPr>
              <w:t>7、支持静态路由、RIP、RIPng、OSPF、OSPFv3、BGP、BGP4+、ISIS、ISISv6；</w:t>
            </w:r>
            <w:r>
              <w:rPr>
                <w:rFonts w:hint="eastAsia" w:ascii="宋体" w:hAnsi="宋体" w:cs="宋体"/>
                <w:kern w:val="0"/>
                <w:sz w:val="24"/>
              </w:rPr>
              <w:br w:type="textWrapping"/>
            </w:r>
            <w:r>
              <w:rPr>
                <w:rFonts w:hint="eastAsia" w:ascii="宋体" w:hAnsi="宋体" w:cs="宋体"/>
                <w:kern w:val="0"/>
                <w:sz w:val="24"/>
              </w:rPr>
              <w:t>8、为了便于用户权限的管理，无论用户位置在哪里，IP地址是什么，用户的网络权限保持不变；</w:t>
            </w:r>
            <w:r>
              <w:rPr>
                <w:rFonts w:hint="eastAsia" w:ascii="宋体" w:hAnsi="宋体" w:cs="宋体"/>
                <w:kern w:val="0"/>
                <w:sz w:val="24"/>
              </w:rPr>
              <w:br w:type="textWrapping"/>
            </w:r>
            <w:r>
              <w:rPr>
                <w:rFonts w:hint="eastAsia" w:ascii="宋体" w:hAnsi="宋体" w:cs="宋体"/>
                <w:kern w:val="0"/>
                <w:sz w:val="24"/>
              </w:rPr>
              <w:t>9、支持真实业务流的实时检测技术，秒级快速故障定位；</w:t>
            </w:r>
            <w:r>
              <w:rPr>
                <w:rFonts w:hint="eastAsia" w:ascii="宋体" w:hAnsi="宋体" w:cs="宋体"/>
                <w:kern w:val="0"/>
                <w:sz w:val="24"/>
              </w:rPr>
              <w:br w:type="textWrapping"/>
            </w:r>
            <w:r>
              <w:rPr>
                <w:rFonts w:hint="eastAsia" w:ascii="宋体" w:hAnsi="宋体" w:cs="宋体"/>
                <w:kern w:val="0"/>
                <w:sz w:val="24"/>
              </w:rPr>
              <w:t>10、实配双主控，电源数量≥2，单电源功率≥3000W，一块硬件监控卡，4端口万兆集群业务子卡，两个3米万兆堆叠线缆，万兆光接口≥48，千兆电接口≥48；</w:t>
            </w:r>
            <w:r>
              <w:rPr>
                <w:rFonts w:hint="eastAsia" w:ascii="宋体" w:hAnsi="宋体" w:cs="宋体"/>
                <w:kern w:val="0"/>
                <w:sz w:val="24"/>
              </w:rPr>
              <w:br w:type="textWrapping"/>
            </w:r>
            <w:r>
              <w:rPr>
                <w:rFonts w:hint="eastAsia" w:ascii="宋体" w:hAnsi="宋体" w:cs="宋体"/>
                <w:kern w:val="0"/>
                <w:sz w:val="24"/>
              </w:rPr>
              <w:t>11、支持MPLS L3VPN、MPLS L2VPN(VPLS，VLL)、MPLS-TE、MPLS QoS；</w:t>
            </w:r>
            <w:r>
              <w:rPr>
                <w:rFonts w:hint="eastAsia" w:ascii="宋体" w:hAnsi="宋体" w:cs="宋体"/>
                <w:kern w:val="0"/>
                <w:sz w:val="24"/>
              </w:rPr>
              <w:br w:type="textWrapping"/>
            </w:r>
            <w:r>
              <w:rPr>
                <w:rFonts w:hint="eastAsia" w:ascii="宋体" w:hAnsi="宋体" w:cs="宋体"/>
                <w:kern w:val="0"/>
                <w:sz w:val="24"/>
              </w:rPr>
              <w:t xml:space="preserve">12、支持整机ARP表项≥256K； </w:t>
            </w:r>
            <w:r>
              <w:rPr>
                <w:rFonts w:hint="eastAsia" w:ascii="宋体" w:hAnsi="宋体" w:cs="宋体"/>
                <w:kern w:val="0"/>
                <w:sz w:val="24"/>
              </w:rPr>
              <w:br w:type="textWrapping"/>
            </w:r>
            <w:r>
              <w:rPr>
                <w:rFonts w:hint="eastAsia" w:ascii="宋体" w:hAnsi="宋体" w:cs="宋体"/>
                <w:kern w:val="0"/>
                <w:sz w:val="24"/>
              </w:rPr>
              <w:t>13、支持GE/10GE端口200ms大缓存；</w:t>
            </w:r>
            <w:r>
              <w:rPr>
                <w:rFonts w:hint="eastAsia" w:ascii="宋体" w:hAnsi="宋体" w:cs="宋体"/>
                <w:kern w:val="0"/>
                <w:sz w:val="24"/>
              </w:rPr>
              <w:br w:type="textWrapping"/>
            </w:r>
            <w:r>
              <w:rPr>
                <w:rFonts w:hint="eastAsia" w:ascii="宋体" w:hAnsi="宋体" w:cs="宋体"/>
                <w:kern w:val="0"/>
                <w:sz w:val="24"/>
              </w:rPr>
              <w:t>14、支持5级H-QoS；</w:t>
            </w:r>
            <w:r>
              <w:rPr>
                <w:rFonts w:hint="eastAsia" w:ascii="宋体" w:hAnsi="宋体" w:cs="宋体"/>
                <w:kern w:val="0"/>
                <w:sz w:val="24"/>
              </w:rPr>
              <w:br w:type="textWrapping"/>
            </w:r>
            <w:r>
              <w:rPr>
                <w:rFonts w:hint="eastAsia" w:ascii="宋体" w:hAnsi="宋体" w:cs="宋体"/>
                <w:kern w:val="0"/>
                <w:sz w:val="24"/>
              </w:rPr>
              <w:t>15、支持真实业务流的实时检测技术，秒级快速故障定位；</w:t>
            </w:r>
            <w:r>
              <w:rPr>
                <w:rFonts w:hint="eastAsia" w:ascii="宋体" w:hAnsi="宋体" w:cs="宋体"/>
                <w:kern w:val="0"/>
                <w:sz w:val="24"/>
              </w:rPr>
              <w:br w:type="textWrapping"/>
            </w:r>
            <w:r>
              <w:rPr>
                <w:rFonts w:hint="eastAsia" w:ascii="宋体" w:hAnsi="宋体" w:cs="宋体"/>
                <w:kern w:val="0"/>
                <w:sz w:val="24"/>
              </w:rPr>
              <w:t>16、支持G.8032标准环网协议；</w:t>
            </w:r>
            <w:r>
              <w:rPr>
                <w:rFonts w:hint="eastAsia" w:ascii="宋体" w:hAnsi="宋体" w:cs="宋体"/>
                <w:kern w:val="0"/>
                <w:sz w:val="24"/>
              </w:rPr>
              <w:br w:type="textWrapping"/>
            </w:r>
            <w:r>
              <w:rPr>
                <w:rFonts w:hint="eastAsia" w:ascii="宋体" w:hAnsi="宋体" w:cs="宋体"/>
                <w:kern w:val="0"/>
                <w:sz w:val="24"/>
              </w:rPr>
              <w:t>17、支持 Telemetry 技术，实时采集设备数据并上送至网络分析组件平台，通过智能故障识别算法对网络数据进行分析，精准展现网络实时状态，及时定界故障以及故障发生原因，精准保障用户体验。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OLT</w:t>
            </w:r>
          </w:p>
        </w:tc>
        <w:tc>
          <w:tcPr>
            <w:tcW w:w="9762" w:type="dxa"/>
            <w:tcBorders>
              <w:tl2br w:val="nil"/>
              <w:tr2bl w:val="nil"/>
            </w:tcBorders>
            <w:shd w:val="clear" w:color="000000" w:fill="FFFFFF"/>
            <w:noWrap/>
            <w:vAlign w:val="center"/>
          </w:tcPr>
          <w:p>
            <w:pPr>
              <w:widowControl/>
              <w:numPr>
                <w:ilvl w:val="0"/>
                <w:numId w:val="3"/>
              </w:numPr>
              <w:adjustRightInd/>
              <w:jc w:val="left"/>
              <w:rPr>
                <w:rFonts w:ascii="宋体" w:hAnsi="宋体" w:cs="宋体"/>
                <w:kern w:val="0"/>
                <w:sz w:val="24"/>
              </w:rPr>
            </w:pPr>
            <w:r>
              <w:rPr>
                <w:rFonts w:hint="eastAsia" w:ascii="宋体" w:hAnsi="宋体" w:cs="宋体"/>
                <w:kern w:val="0"/>
                <w:sz w:val="24"/>
              </w:rPr>
              <w:t>OLT设备采用分布式架构 、支持GPON、XG-PON、XGS-PON接入，支持50G PON平滑升级；</w:t>
            </w:r>
            <w:r>
              <w:rPr>
                <w:rFonts w:hint="eastAsia" w:ascii="宋体" w:hAnsi="宋体" w:cs="宋体"/>
                <w:kern w:val="0"/>
                <w:sz w:val="24"/>
              </w:rPr>
              <w:br w:type="textWrapping"/>
            </w:r>
            <w:r>
              <w:rPr>
                <w:rFonts w:hint="eastAsia" w:ascii="宋体" w:hAnsi="宋体" w:cs="宋体"/>
                <w:kern w:val="0"/>
                <w:sz w:val="24"/>
              </w:rPr>
              <w:t>2、工作环境温度：-40℃ ～ +65℃，工作环境湿度：5%RH～95%RH；</w:t>
            </w:r>
            <w:r>
              <w:rPr>
                <w:rFonts w:hint="eastAsia" w:ascii="宋体" w:hAnsi="宋体" w:cs="宋体"/>
                <w:kern w:val="0"/>
                <w:sz w:val="24"/>
              </w:rPr>
              <w:br w:type="textWrapping"/>
            </w:r>
            <w:r>
              <w:rPr>
                <w:rFonts w:hint="eastAsia" w:ascii="宋体" w:hAnsi="宋体" w:cs="宋体"/>
                <w:kern w:val="0"/>
                <w:sz w:val="24"/>
              </w:rPr>
              <w:t>3、 插框支持19英寸和21英寸机柜安装，支持双主控板，双电源板，支持业务槽位数不少于7个, 支持DC直流输入，配套外置220V交流转直流电源模块；</w:t>
            </w:r>
            <w:r>
              <w:rPr>
                <w:rFonts w:hint="eastAsia" w:ascii="宋体" w:hAnsi="宋体" w:cs="宋体"/>
                <w:kern w:val="0"/>
                <w:sz w:val="24"/>
              </w:rPr>
              <w:br w:type="textWrapping"/>
            </w:r>
            <w:r>
              <w:rPr>
                <w:rFonts w:hint="eastAsia" w:ascii="宋体" w:hAnsi="宋体" w:cs="宋体"/>
                <w:kern w:val="0"/>
                <w:sz w:val="24"/>
              </w:rPr>
              <w:t>4、系统交换容量不少于8Tbit/s，槽位带宽不少于200Gbit/s， 单主控板支持上行10GE光口数不少于4个, 上行口支持以太网链路聚合和支持MSTP特性 ；</w:t>
            </w:r>
            <w:r>
              <w:rPr>
                <w:rFonts w:hint="eastAsia" w:ascii="宋体" w:hAnsi="宋体" w:cs="宋体"/>
                <w:kern w:val="0"/>
                <w:sz w:val="24"/>
              </w:rPr>
              <w:br w:type="textWrapping"/>
            </w:r>
            <w:r>
              <w:rPr>
                <w:rFonts w:hint="eastAsia" w:ascii="宋体" w:hAnsi="宋体" w:cs="宋体"/>
                <w:kern w:val="0"/>
                <w:sz w:val="24"/>
              </w:rPr>
              <w:t>5、XGS-PON&amp;GPON Combo板卡支持XGS-PON&amp;GPON Combo接口不少于16个,支持Type B 单归属/双归属保护，支持Type C 单归属/双归属保护</w:t>
            </w:r>
            <w:r>
              <w:rPr>
                <w:rFonts w:hint="eastAsia" w:ascii="宋体" w:hAnsi="宋体" w:cs="宋体"/>
                <w:kern w:val="0"/>
                <w:sz w:val="24"/>
              </w:rPr>
              <w:br w:type="textWrapping"/>
            </w:r>
            <w:r>
              <w:rPr>
                <w:rFonts w:hint="eastAsia" w:ascii="宋体" w:hAnsi="宋体" w:cs="宋体"/>
                <w:kern w:val="0"/>
                <w:sz w:val="24"/>
              </w:rPr>
              <w:t>6、 支持VLAN+MAC 转发、SVLAN+CVLAN 转发等二层转发特性</w:t>
            </w:r>
            <w:r>
              <w:rPr>
                <w:rFonts w:hint="eastAsia" w:ascii="宋体" w:hAnsi="宋体" w:cs="宋体"/>
                <w:kern w:val="0"/>
                <w:sz w:val="24"/>
              </w:rPr>
              <w:br w:type="textWrapping"/>
            </w:r>
            <w:r>
              <w:rPr>
                <w:rFonts w:hint="eastAsia" w:ascii="宋体" w:hAnsi="宋体" w:cs="宋体"/>
                <w:kern w:val="0"/>
                <w:sz w:val="24"/>
              </w:rPr>
              <w:t>7、 支持静态路由、OSPF、BGP、IS-IS、DHCP、IPv4 和IPv6 双栈 等三层特性；</w:t>
            </w:r>
            <w:r>
              <w:rPr>
                <w:rFonts w:hint="eastAsia" w:ascii="宋体" w:hAnsi="宋体" w:cs="宋体"/>
                <w:kern w:val="0"/>
                <w:sz w:val="24"/>
              </w:rPr>
              <w:br w:type="textWrapping"/>
            </w:r>
            <w:r>
              <w:rPr>
                <w:rFonts w:hint="eastAsia" w:ascii="宋体" w:hAnsi="宋体" w:cs="宋体"/>
                <w:kern w:val="0"/>
                <w:sz w:val="24"/>
              </w:rPr>
              <w:t>8、 支持IGMP v2/v3、MLD v1/v2等组播协议；</w:t>
            </w:r>
            <w:r>
              <w:rPr>
                <w:rFonts w:hint="eastAsia" w:ascii="宋体" w:hAnsi="宋体" w:cs="宋体"/>
                <w:kern w:val="0"/>
                <w:sz w:val="24"/>
              </w:rPr>
              <w:br w:type="textWrapping"/>
            </w:r>
            <w:r>
              <w:rPr>
                <w:rFonts w:hint="eastAsia" w:ascii="宋体" w:hAnsi="宋体" w:cs="宋体"/>
                <w:kern w:val="0"/>
                <w:sz w:val="24"/>
              </w:rPr>
              <w:t>9、支持流量分类，优先级处理、流量监管、PQ/WRR/PQ+WRR队列调度 、ACL等QoS特性；</w:t>
            </w:r>
            <w:r>
              <w:rPr>
                <w:rFonts w:hint="eastAsia" w:ascii="宋体" w:hAnsi="宋体" w:cs="宋体"/>
                <w:kern w:val="0"/>
                <w:sz w:val="24"/>
              </w:rPr>
              <w:br w:type="textWrapping"/>
            </w:r>
            <w:r>
              <w:rPr>
                <w:rFonts w:hint="eastAsia" w:ascii="宋体" w:hAnsi="宋体" w:cs="宋体"/>
                <w:kern w:val="0"/>
                <w:sz w:val="24"/>
              </w:rPr>
              <w:t>10、支持802.1x认证 和支持Portal认证安全接入特性；</w:t>
            </w:r>
            <w:r>
              <w:rPr>
                <w:rFonts w:hint="eastAsia" w:ascii="宋体" w:hAnsi="宋体" w:cs="宋体"/>
                <w:b/>
                <w:bCs/>
                <w:kern w:val="0"/>
                <w:sz w:val="24"/>
              </w:rPr>
              <w:br w:type="textWrapping"/>
            </w:r>
            <w:r>
              <w:rPr>
                <w:rFonts w:hint="eastAsia" w:ascii="宋体" w:hAnsi="宋体" w:cs="宋体"/>
                <w:kern w:val="0"/>
                <w:sz w:val="24"/>
              </w:rPr>
              <w:t>11、为了网络安全、自主、高效、节能，OLT主控板和PON单板主要业务处理芯片国产化芯片；</w:t>
            </w:r>
            <w:r>
              <w:rPr>
                <w:rFonts w:hint="eastAsia" w:ascii="宋体" w:hAnsi="宋体" w:cs="宋体"/>
                <w:kern w:val="0"/>
                <w:sz w:val="24"/>
              </w:rPr>
              <w:br w:type="textWrapping"/>
            </w:r>
            <w:r>
              <w:rPr>
                <w:rFonts w:hint="eastAsia" w:ascii="宋体" w:hAnsi="宋体" w:cs="宋体"/>
                <w:kern w:val="0"/>
                <w:sz w:val="24"/>
              </w:rPr>
              <w:t xml:space="preserve">12、支持TypeB单归属和双归属保护，TypeC 单归属和双归属保护，保护倒换时延小于50ms； </w:t>
            </w:r>
            <w:r>
              <w:rPr>
                <w:rFonts w:hint="eastAsia" w:ascii="宋体" w:hAnsi="宋体" w:cs="宋体"/>
                <w:b/>
                <w:bCs/>
                <w:kern w:val="0"/>
                <w:sz w:val="24"/>
              </w:rPr>
              <w:br w:type="textWrapping"/>
            </w:r>
            <w:r>
              <w:rPr>
                <w:rFonts w:hint="eastAsia" w:ascii="宋体" w:hAnsi="宋体" w:cs="宋体"/>
                <w:kern w:val="0"/>
                <w:sz w:val="24"/>
              </w:rPr>
              <w:t>13、OLT支持带WIFI ONU的wifi漫游、射频调优、负载均衡等wifi管理；</w:t>
            </w:r>
            <w:r>
              <w:rPr>
                <w:rFonts w:hint="eastAsia" w:ascii="宋体" w:hAnsi="宋体" w:cs="宋体"/>
                <w:b/>
                <w:bCs/>
                <w:kern w:val="0"/>
                <w:sz w:val="24"/>
              </w:rPr>
              <w:br w:type="textWrapping"/>
            </w:r>
            <w:r>
              <w:rPr>
                <w:rFonts w:hint="eastAsia" w:ascii="宋体" w:hAnsi="宋体" w:cs="宋体"/>
                <w:b/>
                <w:bCs/>
                <w:kern w:val="0"/>
                <w:sz w:val="24"/>
              </w:rPr>
              <w:t>14、为了保证网络可靠性，OLT支持堆叠功能；OLT支持硬隔离网络切片特性，可以做到一张网安全承载多种业务；设备支持流氓ONU检测和隔离，检测和隔离时间不超过30s；提供具有国家认可检测资质的第三方机构出具的检测报告；</w:t>
            </w:r>
          </w:p>
          <w:p>
            <w:pPr>
              <w:widowControl/>
              <w:adjustRightInd/>
              <w:jc w:val="left"/>
              <w:rPr>
                <w:rFonts w:hint="eastAsia" w:ascii="宋体" w:hAnsi="宋体" w:cs="宋体"/>
                <w:kern w:val="0"/>
                <w:sz w:val="24"/>
              </w:rPr>
            </w:pPr>
            <w:r>
              <w:rPr>
                <w:rFonts w:hint="eastAsia" w:ascii="宋体" w:hAnsi="宋体" w:cs="宋体"/>
                <w:kern w:val="0"/>
                <w:sz w:val="24"/>
              </w:rPr>
              <w:t>15、</w:t>
            </w:r>
            <w:r>
              <w:rPr>
                <w:rFonts w:ascii="宋体" w:hAnsi="宋体" w:cs="宋体"/>
                <w:kern w:val="0"/>
                <w:sz w:val="24"/>
              </w:rPr>
              <w:t>设备支持ISSU升级不断业务功能，升级时，业务中断时间不超过10s；</w:t>
            </w:r>
            <w:r>
              <w:rPr>
                <w:rFonts w:hint="eastAsia" w:ascii="宋体" w:hAnsi="宋体" w:cs="宋体"/>
                <w:b/>
                <w:bCs/>
                <w:kern w:val="0"/>
                <w:sz w:val="24"/>
              </w:rPr>
              <w:br w:type="textWrapping"/>
            </w:r>
            <w:r>
              <w:rPr>
                <w:rFonts w:hint="eastAsia" w:ascii="宋体" w:hAnsi="宋体" w:cs="宋体"/>
                <w:kern w:val="0"/>
                <w:sz w:val="24"/>
              </w:rPr>
              <w:t>16、实际配置：双主控、双电源、 16端口高级型 XGS-PON &amp; GPON Combo OLT接口板(含光模块) *2、交转直电源模块*1，万兆多模光模块*4。</w:t>
            </w:r>
          </w:p>
          <w:p>
            <w:pPr>
              <w:widowControl/>
              <w:adjustRightInd/>
              <w:jc w:val="left"/>
              <w:rPr>
                <w:rFonts w:hint="eastAsia" w:ascii="宋体" w:hAnsi="宋体" w:cs="宋体"/>
                <w:kern w:val="0"/>
                <w:sz w:val="24"/>
              </w:rPr>
            </w:pPr>
            <w:r>
              <w:rPr>
                <w:rFonts w:hint="eastAsia" w:ascii="宋体" w:hAnsi="宋体" w:cs="宋体"/>
                <w:kern w:val="0"/>
                <w:sz w:val="24"/>
              </w:rPr>
              <w:t>注：为了保持系统稳定运行，建议OLT和ONU为同一品牌。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分光器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1、机架式分光器，1U高，支持19 英寸机架安装和 21 英寸机架安装；</w:t>
            </w:r>
            <w:r>
              <w:rPr>
                <w:rFonts w:hint="eastAsia" w:ascii="宋体" w:hAnsi="宋体" w:cs="宋体"/>
                <w:kern w:val="0"/>
                <w:sz w:val="24"/>
              </w:rPr>
              <w:br w:type="textWrapping"/>
            </w:r>
            <w:r>
              <w:rPr>
                <w:rFonts w:hint="eastAsia" w:ascii="宋体" w:hAnsi="宋体" w:cs="宋体"/>
                <w:kern w:val="0"/>
                <w:sz w:val="24"/>
              </w:rPr>
              <w:t>2、分光比2：16，接口类型：SC/UPC；</w:t>
            </w:r>
            <w:r>
              <w:rPr>
                <w:rFonts w:hint="eastAsia" w:ascii="宋体" w:hAnsi="宋体" w:cs="宋体"/>
                <w:kern w:val="0"/>
                <w:sz w:val="24"/>
              </w:rPr>
              <w:br w:type="textWrapping"/>
            </w:r>
            <w:r>
              <w:rPr>
                <w:rFonts w:hint="eastAsia" w:ascii="宋体" w:hAnsi="宋体" w:cs="宋体"/>
                <w:kern w:val="0"/>
                <w:sz w:val="24"/>
              </w:rPr>
              <w:t>3、插入损耗不大于15dB；</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b/>
                <w:bCs/>
                <w:kern w:val="0"/>
                <w:sz w:val="24"/>
              </w:rPr>
              <w:t>4口POE(ONU)（提供演示）</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1、盒式ONU设备, 金属外壳，工作温度：-5°C ~ +45°C，支持220V AC供电；</w:t>
            </w:r>
            <w:r>
              <w:rPr>
                <w:rFonts w:hint="eastAsia" w:ascii="宋体" w:hAnsi="宋体" w:cs="宋体"/>
                <w:kern w:val="0"/>
                <w:sz w:val="24"/>
              </w:rPr>
              <w:br w:type="textWrapping"/>
            </w:r>
            <w:r>
              <w:rPr>
                <w:rFonts w:hint="eastAsia" w:ascii="宋体" w:hAnsi="宋体" w:cs="宋体"/>
                <w:kern w:val="0"/>
                <w:sz w:val="24"/>
              </w:rPr>
              <w:t>2、防雷：GE电口：共模4kV，AC电源：共模4kV；</w:t>
            </w:r>
            <w:r>
              <w:rPr>
                <w:rFonts w:hint="eastAsia" w:ascii="宋体" w:hAnsi="宋体" w:cs="宋体"/>
                <w:kern w:val="0"/>
                <w:sz w:val="24"/>
              </w:rPr>
              <w:br w:type="textWrapping"/>
            </w:r>
            <w:r>
              <w:rPr>
                <w:rFonts w:hint="eastAsia" w:ascii="宋体" w:hAnsi="宋体" w:cs="宋体"/>
                <w:kern w:val="0"/>
                <w:sz w:val="24"/>
              </w:rPr>
              <w:t>3、网络侧接口：不少于1* XGS-PON，用户侧接口：不少于4*GE，不少于1*2.5GE，GE和2.5GE口支持POE/POE+；</w:t>
            </w:r>
            <w:r>
              <w:rPr>
                <w:rFonts w:hint="eastAsia" w:ascii="宋体" w:hAnsi="宋体" w:cs="宋体"/>
                <w:kern w:val="0"/>
                <w:sz w:val="24"/>
              </w:rPr>
              <w:br w:type="textWrapping"/>
            </w:r>
            <w:r>
              <w:rPr>
                <w:rFonts w:hint="eastAsia" w:ascii="宋体" w:hAnsi="宋体" w:cs="宋体"/>
                <w:kern w:val="0"/>
                <w:sz w:val="24"/>
              </w:rPr>
              <w:t xml:space="preserve">4、POE输出总功率不少于60W，每个 PoE 接口输出不少于30W； </w:t>
            </w:r>
            <w:r>
              <w:rPr>
                <w:rFonts w:hint="eastAsia" w:ascii="宋体" w:hAnsi="宋体" w:cs="宋体"/>
                <w:kern w:val="0"/>
                <w:sz w:val="24"/>
              </w:rPr>
              <w:br w:type="textWrapping"/>
            </w:r>
            <w:r>
              <w:rPr>
                <w:rFonts w:hint="eastAsia" w:ascii="宋体" w:hAnsi="宋体" w:cs="宋体"/>
                <w:kern w:val="0"/>
                <w:sz w:val="24"/>
              </w:rPr>
              <w:t>5、支持基于以太端口的 VLAN 透传等二层特性；</w:t>
            </w:r>
            <w:r>
              <w:rPr>
                <w:rFonts w:hint="eastAsia" w:ascii="宋体" w:hAnsi="宋体" w:cs="宋体"/>
                <w:kern w:val="0"/>
                <w:sz w:val="24"/>
              </w:rPr>
              <w:br w:type="textWrapping"/>
            </w:r>
            <w:r>
              <w:rPr>
                <w:rFonts w:hint="eastAsia" w:ascii="宋体" w:hAnsi="宋体" w:cs="宋体"/>
                <w:kern w:val="0"/>
                <w:sz w:val="24"/>
              </w:rPr>
              <w:t>6、支持默认/静态/策略/业务路由 、支持PPPoE/静态 IP/DHCP方式获取IP地址 、支持IPv6等三层特性;</w:t>
            </w:r>
            <w:r>
              <w:rPr>
                <w:rFonts w:hint="eastAsia" w:ascii="宋体" w:hAnsi="宋体" w:cs="宋体"/>
                <w:kern w:val="0"/>
                <w:sz w:val="24"/>
              </w:rPr>
              <w:br w:type="textWrapping"/>
            </w:r>
            <w:r>
              <w:rPr>
                <w:rFonts w:hint="eastAsia" w:ascii="宋体" w:hAnsi="宋体" w:cs="宋体"/>
                <w:kern w:val="0"/>
                <w:sz w:val="24"/>
              </w:rPr>
              <w:t>7、支持以太端口限速 、支持802.1p 优先级 、支持SP/WRR/SP+WRR等QoS特性;</w:t>
            </w:r>
            <w:r>
              <w:rPr>
                <w:rFonts w:hint="eastAsia" w:ascii="宋体" w:hAnsi="宋体" w:cs="宋体"/>
                <w:kern w:val="0"/>
                <w:sz w:val="24"/>
              </w:rPr>
              <w:br w:type="textWrapping"/>
            </w:r>
            <w:r>
              <w:rPr>
                <w:rFonts w:hint="eastAsia" w:ascii="宋体" w:hAnsi="宋体" w:cs="宋体"/>
                <w:kern w:val="0"/>
                <w:sz w:val="24"/>
              </w:rPr>
              <w:t>8、支持MAC 认证、802.1x 认证、MAB 认证、防 DoS 攻击、MAC 地址过滤、静态MAC地址绑定等安全特性；</w:t>
            </w:r>
            <w:r>
              <w:rPr>
                <w:rFonts w:hint="eastAsia" w:ascii="宋体" w:hAnsi="宋体" w:cs="宋体"/>
                <w:kern w:val="0"/>
                <w:sz w:val="24"/>
              </w:rPr>
              <w:br w:type="textWrapping"/>
            </w:r>
            <w:r>
              <w:rPr>
                <w:rFonts w:hint="eastAsia" w:ascii="宋体" w:hAnsi="宋体" w:cs="宋体"/>
                <w:kern w:val="0"/>
                <w:sz w:val="24"/>
              </w:rPr>
              <w:t>9、支持TypeB单/双归属组网保护；</w:t>
            </w:r>
            <w:r>
              <w:rPr>
                <w:rFonts w:hint="eastAsia" w:ascii="宋体" w:hAnsi="宋体" w:cs="宋体"/>
                <w:kern w:val="0"/>
                <w:sz w:val="24"/>
              </w:rPr>
              <w:br w:type="textWrapping"/>
            </w:r>
            <w:r>
              <w:rPr>
                <w:rFonts w:hint="eastAsia" w:ascii="宋体" w:hAnsi="宋体" w:cs="宋体"/>
                <w:kern w:val="0"/>
                <w:sz w:val="24"/>
              </w:rPr>
              <w:t>10、支持网管和web页面管理等运维管理功能；</w:t>
            </w:r>
            <w:r>
              <w:rPr>
                <w:rFonts w:hint="eastAsia" w:ascii="宋体" w:hAnsi="宋体" w:cs="宋体"/>
                <w:kern w:val="0"/>
                <w:sz w:val="24"/>
              </w:rPr>
              <w:br w:type="textWrapping"/>
            </w:r>
            <w:r>
              <w:rPr>
                <w:rFonts w:hint="eastAsia" w:ascii="宋体" w:hAnsi="宋体" w:cs="宋体"/>
                <w:kern w:val="0"/>
                <w:sz w:val="24"/>
              </w:rPr>
              <w:t>11、支持流氓 ONT 检测和自律；</w:t>
            </w:r>
            <w:r>
              <w:rPr>
                <w:rFonts w:hint="eastAsia" w:ascii="宋体" w:hAnsi="宋体" w:cs="宋体"/>
                <w:kern w:val="0"/>
                <w:sz w:val="24"/>
              </w:rPr>
              <w:br w:type="textWrapping"/>
            </w:r>
            <w:r>
              <w:rPr>
                <w:rFonts w:hint="eastAsia" w:ascii="宋体" w:hAnsi="宋体" w:cs="宋体"/>
                <w:kern w:val="0"/>
                <w:sz w:val="24"/>
              </w:rPr>
              <w:t>12、采用国产化芯片，自主可控；</w:t>
            </w:r>
            <w:r>
              <w:rPr>
                <w:rFonts w:hint="eastAsia" w:ascii="宋体" w:hAnsi="宋体" w:cs="宋体"/>
                <w:kern w:val="0"/>
                <w:sz w:val="24"/>
              </w:rPr>
              <w:br w:type="textWrapping"/>
            </w:r>
            <w:r>
              <w:rPr>
                <w:rFonts w:hint="eastAsia" w:ascii="宋体" w:hAnsi="宋体" w:cs="宋体"/>
                <w:kern w:val="0"/>
                <w:sz w:val="24"/>
              </w:rPr>
              <w:t>注：为保证系统整体兼容性，建议ONU与OLT为同一品牌。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b/>
                <w:bCs/>
                <w:kern w:val="0"/>
                <w:sz w:val="24"/>
              </w:rPr>
              <w:t>8口POE(ONU)（提供演示）</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1、盒式ONU设备, 金属外壳，工作温度：-40°C ~ +55°C，支持220V AC供电；</w:t>
            </w:r>
            <w:r>
              <w:rPr>
                <w:rFonts w:hint="eastAsia" w:ascii="宋体" w:hAnsi="宋体" w:cs="宋体"/>
                <w:kern w:val="0"/>
                <w:sz w:val="24"/>
              </w:rPr>
              <w:br w:type="textWrapping"/>
            </w:r>
            <w:r>
              <w:rPr>
                <w:rFonts w:hint="eastAsia" w:ascii="宋体" w:hAnsi="宋体" w:cs="宋体"/>
                <w:kern w:val="0"/>
                <w:sz w:val="24"/>
              </w:rPr>
              <w:t>2、防雷：GE电口：共模4kV，AC电源：共模6kV；</w:t>
            </w:r>
            <w:r>
              <w:rPr>
                <w:rFonts w:hint="eastAsia" w:ascii="宋体" w:hAnsi="宋体" w:cs="宋体"/>
                <w:kern w:val="0"/>
                <w:sz w:val="24"/>
              </w:rPr>
              <w:br w:type="textWrapping"/>
            </w:r>
            <w:r>
              <w:rPr>
                <w:rFonts w:hint="eastAsia" w:ascii="宋体" w:hAnsi="宋体" w:cs="宋体"/>
                <w:kern w:val="0"/>
                <w:sz w:val="24"/>
              </w:rPr>
              <w:t>3、网络侧接口：不少于2*XGS-PON，用户侧接口：不少于8*GE，GE口支持POE/POE+；</w:t>
            </w:r>
            <w:r>
              <w:rPr>
                <w:rFonts w:hint="eastAsia" w:ascii="宋体" w:hAnsi="宋体" w:cs="宋体"/>
                <w:kern w:val="0"/>
                <w:sz w:val="24"/>
              </w:rPr>
              <w:br w:type="textWrapping"/>
            </w:r>
            <w:r>
              <w:rPr>
                <w:rFonts w:hint="eastAsia" w:ascii="宋体" w:hAnsi="宋体" w:cs="宋体"/>
                <w:kern w:val="0"/>
                <w:sz w:val="24"/>
              </w:rPr>
              <w:t xml:space="preserve">4、POE输出总功率不少于120W，每个 PoE 接口输出不少于30W； </w:t>
            </w:r>
            <w:r>
              <w:rPr>
                <w:rFonts w:hint="eastAsia" w:ascii="宋体" w:hAnsi="宋体" w:cs="宋体"/>
                <w:kern w:val="0"/>
                <w:sz w:val="24"/>
              </w:rPr>
              <w:br w:type="textWrapping"/>
            </w:r>
            <w:r>
              <w:rPr>
                <w:rFonts w:hint="eastAsia" w:ascii="宋体" w:hAnsi="宋体" w:cs="宋体"/>
                <w:kern w:val="0"/>
                <w:sz w:val="24"/>
              </w:rPr>
              <w:t>5、支持基于以太端口的 VLAN 透传等二层特性；</w:t>
            </w:r>
            <w:r>
              <w:rPr>
                <w:rFonts w:hint="eastAsia" w:ascii="宋体" w:hAnsi="宋体" w:cs="宋体"/>
                <w:kern w:val="0"/>
                <w:sz w:val="24"/>
              </w:rPr>
              <w:br w:type="textWrapping"/>
            </w:r>
            <w:r>
              <w:rPr>
                <w:rFonts w:hint="eastAsia" w:ascii="宋体" w:hAnsi="宋体" w:cs="宋体"/>
                <w:kern w:val="0"/>
                <w:sz w:val="24"/>
              </w:rPr>
              <w:t>6、支持默认/静态/策略/业务路由 、支持PPPoE/静态 IP/DHCP方式获取IP地址 、支持IPv6等三层特性;</w:t>
            </w:r>
            <w:r>
              <w:rPr>
                <w:rFonts w:hint="eastAsia" w:ascii="宋体" w:hAnsi="宋体" w:cs="宋体"/>
                <w:kern w:val="0"/>
                <w:sz w:val="24"/>
              </w:rPr>
              <w:br w:type="textWrapping"/>
            </w:r>
            <w:r>
              <w:rPr>
                <w:rFonts w:hint="eastAsia" w:ascii="宋体" w:hAnsi="宋体" w:cs="宋体"/>
                <w:kern w:val="0"/>
                <w:sz w:val="24"/>
              </w:rPr>
              <w:t>7、支持以太端口限速 、支持802.1p 优先级 、支持SP/WRR/SP+WRR等QoS特性;</w:t>
            </w:r>
            <w:r>
              <w:rPr>
                <w:rFonts w:hint="eastAsia" w:ascii="宋体" w:hAnsi="宋体" w:cs="宋体"/>
                <w:kern w:val="0"/>
                <w:sz w:val="24"/>
              </w:rPr>
              <w:br w:type="textWrapping"/>
            </w:r>
            <w:r>
              <w:rPr>
                <w:rFonts w:hint="eastAsia" w:ascii="宋体" w:hAnsi="宋体" w:cs="宋体"/>
                <w:kern w:val="0"/>
                <w:sz w:val="24"/>
              </w:rPr>
              <w:t>8、支持配置防 DoS 攻击、MAC 地址过滤、静态MAC地址绑定等安全特性；</w:t>
            </w:r>
            <w:r>
              <w:rPr>
                <w:rFonts w:hint="eastAsia" w:ascii="宋体" w:hAnsi="宋体" w:cs="宋体"/>
                <w:kern w:val="0"/>
                <w:sz w:val="24"/>
              </w:rPr>
              <w:br w:type="textWrapping"/>
            </w:r>
            <w:r>
              <w:rPr>
                <w:rFonts w:hint="eastAsia" w:ascii="宋体" w:hAnsi="宋体" w:cs="宋体"/>
                <w:kern w:val="0"/>
                <w:sz w:val="24"/>
              </w:rPr>
              <w:t>9、支持TypeB单/双归属组网保护；</w:t>
            </w:r>
            <w:r>
              <w:rPr>
                <w:rFonts w:hint="eastAsia" w:ascii="宋体" w:hAnsi="宋体" w:cs="宋体"/>
                <w:kern w:val="0"/>
                <w:sz w:val="24"/>
              </w:rPr>
              <w:br w:type="textWrapping"/>
            </w:r>
            <w:r>
              <w:rPr>
                <w:rFonts w:hint="eastAsia" w:ascii="宋体" w:hAnsi="宋体" w:cs="宋体"/>
                <w:kern w:val="0"/>
                <w:sz w:val="24"/>
              </w:rPr>
              <w:t>10、支持网管和web页面管理等运维管理功能；</w:t>
            </w:r>
            <w:r>
              <w:rPr>
                <w:rFonts w:hint="eastAsia" w:ascii="宋体" w:hAnsi="宋体" w:cs="宋体"/>
                <w:kern w:val="0"/>
                <w:sz w:val="24"/>
              </w:rPr>
              <w:br w:type="textWrapping"/>
            </w:r>
            <w:r>
              <w:rPr>
                <w:rFonts w:hint="eastAsia" w:ascii="宋体" w:hAnsi="宋体" w:cs="宋体"/>
                <w:kern w:val="0"/>
                <w:sz w:val="24"/>
              </w:rPr>
              <w:t>11、支持流氓 ONT 检测和自律；</w:t>
            </w:r>
            <w:r>
              <w:rPr>
                <w:rFonts w:hint="eastAsia" w:ascii="宋体" w:hAnsi="宋体" w:cs="宋体"/>
                <w:kern w:val="0"/>
                <w:sz w:val="24"/>
              </w:rPr>
              <w:br w:type="textWrapping"/>
            </w:r>
            <w:r>
              <w:rPr>
                <w:rFonts w:hint="eastAsia" w:ascii="宋体" w:hAnsi="宋体" w:cs="宋体"/>
                <w:kern w:val="0"/>
                <w:sz w:val="24"/>
              </w:rPr>
              <w:t>12、采用国产化芯片，自主可控；</w:t>
            </w:r>
            <w:r>
              <w:rPr>
                <w:rFonts w:hint="eastAsia" w:ascii="宋体" w:hAnsi="宋体" w:cs="宋体"/>
                <w:kern w:val="0"/>
                <w:sz w:val="24"/>
              </w:rPr>
              <w:br w:type="textWrapping"/>
            </w:r>
            <w:r>
              <w:rPr>
                <w:rFonts w:hint="eastAsia" w:ascii="宋体" w:hAnsi="宋体" w:cs="宋体"/>
                <w:kern w:val="0"/>
                <w:sz w:val="24"/>
              </w:rPr>
              <w:t>注：为保证系统整体兼容性，建议ONU与OLT为同一品牌。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6</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b/>
                <w:bCs/>
                <w:kern w:val="0"/>
                <w:sz w:val="24"/>
              </w:rPr>
              <w:t>24口POE(ONU)（提供演示）</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1、机架式ONU设备, 金属外壳，工作温度：-25°C ~ +55°C，支持220V AC供电；</w:t>
            </w:r>
            <w:r>
              <w:rPr>
                <w:rFonts w:hint="eastAsia" w:ascii="宋体" w:hAnsi="宋体" w:cs="宋体"/>
                <w:kern w:val="0"/>
                <w:sz w:val="24"/>
              </w:rPr>
              <w:br w:type="textWrapping"/>
            </w:r>
            <w:r>
              <w:rPr>
                <w:rFonts w:hint="eastAsia" w:ascii="宋体" w:hAnsi="宋体" w:cs="宋体"/>
                <w:kern w:val="0"/>
                <w:sz w:val="24"/>
              </w:rPr>
              <w:t>2、防雷：GE电口：共模4kV，AC电源：共模6kV；</w:t>
            </w:r>
            <w:r>
              <w:rPr>
                <w:rFonts w:hint="eastAsia" w:ascii="宋体" w:hAnsi="宋体" w:cs="宋体"/>
                <w:kern w:val="0"/>
                <w:sz w:val="24"/>
              </w:rPr>
              <w:br w:type="textWrapping"/>
            </w:r>
            <w:r>
              <w:rPr>
                <w:rFonts w:hint="eastAsia" w:ascii="宋体" w:hAnsi="宋体" w:cs="宋体"/>
                <w:kern w:val="0"/>
                <w:sz w:val="24"/>
              </w:rPr>
              <w:t>3、网络侧接口：不少于2* XGS-PON，支持PON 上行负荷分担，可以支持 20G 上行，用户侧接口：不少于24*GE（POE+）；</w:t>
            </w:r>
            <w:r>
              <w:rPr>
                <w:rFonts w:hint="eastAsia" w:ascii="宋体" w:hAnsi="宋体" w:cs="宋体"/>
                <w:kern w:val="0"/>
                <w:sz w:val="24"/>
              </w:rPr>
              <w:br w:type="textWrapping"/>
            </w:r>
            <w:r>
              <w:rPr>
                <w:rFonts w:hint="eastAsia" w:ascii="宋体" w:hAnsi="宋体" w:cs="宋体"/>
                <w:kern w:val="0"/>
                <w:sz w:val="24"/>
              </w:rPr>
              <w:t>4、支持POE，POE总输出功率不小370W，单端口支持30W；</w:t>
            </w:r>
            <w:r>
              <w:rPr>
                <w:rFonts w:hint="eastAsia" w:ascii="宋体" w:hAnsi="宋体" w:cs="宋体"/>
                <w:kern w:val="0"/>
                <w:sz w:val="24"/>
              </w:rPr>
              <w:br w:type="textWrapping"/>
            </w:r>
            <w:r>
              <w:rPr>
                <w:rFonts w:hint="eastAsia" w:ascii="宋体" w:hAnsi="宋体" w:cs="宋体"/>
                <w:kern w:val="0"/>
                <w:sz w:val="24"/>
              </w:rPr>
              <w:t>5、支持基于以太端口的 VLAN 透传等二层特性；</w:t>
            </w:r>
            <w:r>
              <w:rPr>
                <w:rFonts w:hint="eastAsia" w:ascii="宋体" w:hAnsi="宋体" w:cs="宋体"/>
                <w:kern w:val="0"/>
                <w:sz w:val="24"/>
              </w:rPr>
              <w:br w:type="textWrapping"/>
            </w:r>
            <w:r>
              <w:rPr>
                <w:rFonts w:hint="eastAsia" w:ascii="宋体" w:hAnsi="宋体" w:cs="宋体"/>
                <w:kern w:val="0"/>
                <w:sz w:val="24"/>
              </w:rPr>
              <w:t>6、支持以太端口限速 、支持802.1p 优先级 、支持SP/WRR/SP+WRR等QoS特性;</w:t>
            </w:r>
            <w:r>
              <w:rPr>
                <w:rFonts w:hint="eastAsia" w:ascii="宋体" w:hAnsi="宋体" w:cs="宋体"/>
                <w:kern w:val="0"/>
                <w:sz w:val="24"/>
              </w:rPr>
              <w:br w:type="textWrapping"/>
            </w:r>
            <w:r>
              <w:rPr>
                <w:rFonts w:hint="eastAsia" w:ascii="宋体" w:hAnsi="宋体" w:cs="宋体"/>
                <w:kern w:val="0"/>
                <w:sz w:val="24"/>
              </w:rPr>
              <w:t>7、支持配置防 DoS 攻击、MAC 地址绑定、802.1x认证等安全特性；</w:t>
            </w:r>
            <w:r>
              <w:rPr>
                <w:rFonts w:hint="eastAsia" w:ascii="宋体" w:hAnsi="宋体" w:cs="宋体"/>
                <w:kern w:val="0"/>
                <w:sz w:val="24"/>
              </w:rPr>
              <w:br w:type="textWrapping"/>
            </w:r>
            <w:r>
              <w:rPr>
                <w:rFonts w:hint="eastAsia" w:ascii="宋体" w:hAnsi="宋体" w:cs="宋体"/>
                <w:kern w:val="0"/>
                <w:sz w:val="24"/>
              </w:rPr>
              <w:t>8、支持TypeB单/双归属组网保护,TypeC 单/双归属组网；</w:t>
            </w:r>
            <w:r>
              <w:rPr>
                <w:rFonts w:hint="eastAsia" w:ascii="宋体" w:hAnsi="宋体" w:cs="宋体"/>
                <w:kern w:val="0"/>
                <w:sz w:val="24"/>
              </w:rPr>
              <w:br w:type="textWrapping"/>
            </w:r>
            <w:r>
              <w:rPr>
                <w:rFonts w:hint="eastAsia" w:ascii="宋体" w:hAnsi="宋体" w:cs="宋体"/>
                <w:kern w:val="0"/>
                <w:sz w:val="24"/>
              </w:rPr>
              <w:t>9、支持网管和web页面管理等运维管理功能；</w:t>
            </w:r>
            <w:r>
              <w:rPr>
                <w:rFonts w:hint="eastAsia" w:ascii="宋体" w:hAnsi="宋体" w:cs="宋体"/>
                <w:kern w:val="0"/>
                <w:sz w:val="24"/>
              </w:rPr>
              <w:br w:type="textWrapping"/>
            </w:r>
            <w:r>
              <w:rPr>
                <w:rFonts w:hint="eastAsia" w:ascii="宋体" w:hAnsi="宋体" w:cs="宋体"/>
                <w:kern w:val="0"/>
                <w:sz w:val="24"/>
              </w:rPr>
              <w:t>10、支持流氓 ONT 检测和自律；</w:t>
            </w:r>
            <w:r>
              <w:rPr>
                <w:rFonts w:hint="eastAsia" w:ascii="宋体" w:hAnsi="宋体" w:cs="宋体"/>
                <w:kern w:val="0"/>
                <w:sz w:val="24"/>
              </w:rPr>
              <w:br w:type="textWrapping"/>
            </w:r>
            <w:r>
              <w:rPr>
                <w:rFonts w:hint="eastAsia" w:ascii="宋体" w:hAnsi="宋体" w:cs="宋体"/>
                <w:kern w:val="0"/>
                <w:sz w:val="24"/>
              </w:rPr>
              <w:t>11、采用国产化芯片，自主可控；</w:t>
            </w:r>
            <w:r>
              <w:rPr>
                <w:rFonts w:hint="eastAsia" w:ascii="宋体" w:hAnsi="宋体" w:cs="宋体"/>
                <w:kern w:val="0"/>
                <w:sz w:val="24"/>
              </w:rPr>
              <w:br w:type="textWrapping"/>
            </w:r>
            <w:r>
              <w:rPr>
                <w:rFonts w:hint="eastAsia" w:ascii="宋体" w:hAnsi="宋体" w:cs="宋体"/>
                <w:kern w:val="0"/>
                <w:sz w:val="24"/>
              </w:rPr>
              <w:t>注：为保证系统整体兼容性，建议ONU与OLT为同一品牌。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7</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24口(ONU)</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1、机架式ONU设备, 金属外壳，工作温度：-25°C ~ +55°C，支持220V AC供电；</w:t>
            </w:r>
            <w:r>
              <w:rPr>
                <w:rFonts w:hint="eastAsia" w:ascii="宋体" w:hAnsi="宋体" w:cs="宋体"/>
                <w:kern w:val="0"/>
                <w:sz w:val="24"/>
              </w:rPr>
              <w:br w:type="textWrapping"/>
            </w:r>
            <w:r>
              <w:rPr>
                <w:rFonts w:hint="eastAsia" w:ascii="宋体" w:hAnsi="宋体" w:cs="宋体"/>
                <w:kern w:val="0"/>
                <w:sz w:val="24"/>
              </w:rPr>
              <w:t>2、防雷：GE电口：共模4kV，AC电源：共模6kV；</w:t>
            </w:r>
            <w:r>
              <w:rPr>
                <w:rFonts w:hint="eastAsia" w:ascii="宋体" w:hAnsi="宋体" w:cs="宋体"/>
                <w:kern w:val="0"/>
                <w:sz w:val="24"/>
              </w:rPr>
              <w:br w:type="textWrapping"/>
            </w:r>
            <w:r>
              <w:rPr>
                <w:rFonts w:hint="eastAsia" w:ascii="宋体" w:hAnsi="宋体" w:cs="宋体"/>
                <w:kern w:val="0"/>
                <w:sz w:val="24"/>
              </w:rPr>
              <w:t>3、网络侧接口：不少于2* XGS-PON，支持上行PON 端口负荷分担，可以支持 20G 上行，用户侧接口：不少于24*GE；</w:t>
            </w:r>
            <w:r>
              <w:rPr>
                <w:rFonts w:hint="eastAsia" w:ascii="宋体" w:hAnsi="宋体" w:cs="宋体"/>
                <w:kern w:val="0"/>
                <w:sz w:val="24"/>
              </w:rPr>
              <w:br w:type="textWrapping"/>
            </w:r>
            <w:r>
              <w:rPr>
                <w:rFonts w:hint="eastAsia" w:ascii="宋体" w:hAnsi="宋体" w:cs="宋体"/>
                <w:kern w:val="0"/>
                <w:sz w:val="24"/>
              </w:rPr>
              <w:t>4、支持基于以太端口的 VLAN 透传等二层特性；</w:t>
            </w:r>
            <w:r>
              <w:rPr>
                <w:rFonts w:hint="eastAsia" w:ascii="宋体" w:hAnsi="宋体" w:cs="宋体"/>
                <w:kern w:val="0"/>
                <w:sz w:val="24"/>
              </w:rPr>
              <w:br w:type="textWrapping"/>
            </w:r>
            <w:r>
              <w:rPr>
                <w:rFonts w:hint="eastAsia" w:ascii="宋体" w:hAnsi="宋体" w:cs="宋体"/>
                <w:kern w:val="0"/>
                <w:sz w:val="24"/>
              </w:rPr>
              <w:t>5、支持以太端口限速 、支持802.1p 优先级 、支持SP/WRR/SP+WRR等QoS特性;</w:t>
            </w:r>
            <w:r>
              <w:rPr>
                <w:rFonts w:hint="eastAsia" w:ascii="宋体" w:hAnsi="宋体" w:cs="宋体"/>
                <w:kern w:val="0"/>
                <w:sz w:val="24"/>
              </w:rPr>
              <w:br w:type="textWrapping"/>
            </w:r>
            <w:r>
              <w:rPr>
                <w:rFonts w:hint="eastAsia" w:ascii="宋体" w:hAnsi="宋体" w:cs="宋体"/>
                <w:kern w:val="0"/>
                <w:sz w:val="24"/>
              </w:rPr>
              <w:t>6、支持配置防 DoS 攻击、MAC 地址绑定、802.1x认证等安全特性；</w:t>
            </w:r>
            <w:r>
              <w:rPr>
                <w:rFonts w:hint="eastAsia" w:ascii="宋体" w:hAnsi="宋体" w:cs="宋体"/>
                <w:kern w:val="0"/>
                <w:sz w:val="24"/>
              </w:rPr>
              <w:br w:type="textWrapping"/>
            </w:r>
            <w:r>
              <w:rPr>
                <w:rFonts w:hint="eastAsia" w:ascii="宋体" w:hAnsi="宋体" w:cs="宋体"/>
                <w:kern w:val="0"/>
                <w:sz w:val="24"/>
              </w:rPr>
              <w:t>7、支持TypeB单/双归属组网保护,TypeC 单/双归属组网；</w:t>
            </w:r>
            <w:r>
              <w:rPr>
                <w:rFonts w:hint="eastAsia" w:ascii="宋体" w:hAnsi="宋体" w:cs="宋体"/>
                <w:kern w:val="0"/>
                <w:sz w:val="24"/>
              </w:rPr>
              <w:br w:type="textWrapping"/>
            </w:r>
            <w:r>
              <w:rPr>
                <w:rFonts w:hint="eastAsia" w:ascii="宋体" w:hAnsi="宋体" w:cs="宋体"/>
                <w:kern w:val="0"/>
                <w:sz w:val="24"/>
              </w:rPr>
              <w:t>8、支持网管和web页面管理等运维管理功能；</w:t>
            </w:r>
            <w:r>
              <w:rPr>
                <w:rFonts w:hint="eastAsia" w:ascii="宋体" w:hAnsi="宋体" w:cs="宋体"/>
                <w:kern w:val="0"/>
                <w:sz w:val="24"/>
              </w:rPr>
              <w:br w:type="textWrapping"/>
            </w:r>
            <w:r>
              <w:rPr>
                <w:rFonts w:hint="eastAsia" w:ascii="宋体" w:hAnsi="宋体" w:cs="宋体"/>
                <w:kern w:val="0"/>
                <w:sz w:val="24"/>
              </w:rPr>
              <w:t>9、支持流氓 ONT 检测和自律；</w:t>
            </w:r>
            <w:r>
              <w:rPr>
                <w:rFonts w:hint="eastAsia" w:ascii="宋体" w:hAnsi="宋体" w:cs="宋体"/>
                <w:kern w:val="0"/>
                <w:sz w:val="24"/>
              </w:rPr>
              <w:br w:type="textWrapping"/>
            </w:r>
            <w:r>
              <w:rPr>
                <w:rFonts w:hint="eastAsia" w:ascii="宋体" w:hAnsi="宋体" w:cs="宋体"/>
                <w:kern w:val="0"/>
                <w:sz w:val="24"/>
              </w:rPr>
              <w:t>10、采用国产化芯片，自主可控；</w:t>
            </w:r>
            <w:r>
              <w:rPr>
                <w:rFonts w:hint="eastAsia" w:ascii="宋体" w:hAnsi="宋体" w:cs="宋体"/>
                <w:kern w:val="0"/>
                <w:sz w:val="24"/>
              </w:rPr>
              <w:br w:type="textWrapping"/>
            </w:r>
            <w:r>
              <w:rPr>
                <w:rFonts w:hint="eastAsia" w:ascii="宋体" w:hAnsi="宋体" w:cs="宋体"/>
                <w:kern w:val="0"/>
                <w:sz w:val="24"/>
              </w:rPr>
              <w:t>注：为保证系统整体兼容性，建议ONU与OLT为同一品牌。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8</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万兆光模块</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光模块-SFP+-10G-单模模块(1310nm,10km,LC)</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b/>
                <w:bCs/>
                <w:kern w:val="0"/>
                <w:sz w:val="24"/>
              </w:rPr>
              <w:t>二、无线网络</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壁挂无线AP</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1、采用国产芯片，自主可控；</w:t>
            </w:r>
            <w:r>
              <w:rPr>
                <w:rFonts w:hint="eastAsia" w:ascii="宋体" w:hAnsi="宋体" w:cs="宋体"/>
                <w:kern w:val="0"/>
                <w:sz w:val="24"/>
              </w:rPr>
              <w:br w:type="textWrapping"/>
            </w:r>
            <w:r>
              <w:rPr>
                <w:rFonts w:hint="eastAsia" w:ascii="宋体" w:hAnsi="宋体" w:cs="宋体"/>
                <w:kern w:val="0"/>
                <w:sz w:val="24"/>
              </w:rPr>
              <w:t>2、2.4G频段和5G频段，全频段支持802.11be；</w:t>
            </w:r>
            <w:r>
              <w:rPr>
                <w:rFonts w:hint="eastAsia" w:ascii="宋体" w:hAnsi="宋体" w:cs="宋体"/>
                <w:kern w:val="0"/>
                <w:sz w:val="24"/>
              </w:rPr>
              <w:br w:type="textWrapping"/>
            </w:r>
            <w:r>
              <w:rPr>
                <w:rFonts w:hint="eastAsia" w:ascii="宋体" w:hAnsi="宋体" w:cs="宋体"/>
                <w:kern w:val="0"/>
                <w:sz w:val="24"/>
              </w:rPr>
              <w:t>3、总空间流数≥4；整机速率≥3.57Gbps；</w:t>
            </w:r>
            <w:r>
              <w:rPr>
                <w:rFonts w:hint="eastAsia" w:ascii="宋体" w:hAnsi="宋体" w:cs="宋体"/>
                <w:kern w:val="0"/>
                <w:sz w:val="24"/>
              </w:rPr>
              <w:br w:type="textWrapping"/>
            </w:r>
            <w:r>
              <w:rPr>
                <w:rFonts w:hint="eastAsia" w:ascii="宋体" w:hAnsi="宋体" w:cs="宋体"/>
                <w:kern w:val="0"/>
                <w:sz w:val="24"/>
              </w:rPr>
              <w:t>4、支持≥1x2.5GE电接口，≥5xGE电接口，支持USB 2.0，可用于扩展物联网；</w:t>
            </w:r>
            <w:r>
              <w:rPr>
                <w:rFonts w:hint="eastAsia" w:ascii="宋体" w:hAnsi="宋体" w:cs="宋体"/>
                <w:kern w:val="0"/>
                <w:sz w:val="24"/>
              </w:rPr>
              <w:br w:type="textWrapping"/>
            </w:r>
            <w:r>
              <w:rPr>
                <w:rFonts w:hint="eastAsia" w:ascii="宋体" w:hAnsi="宋体" w:cs="宋体"/>
                <w:kern w:val="0"/>
                <w:sz w:val="24"/>
              </w:rPr>
              <w:t>5、支持蓝牙；</w:t>
            </w:r>
            <w:r>
              <w:rPr>
                <w:rFonts w:hint="eastAsia" w:ascii="宋体" w:hAnsi="宋体" w:cs="宋体"/>
                <w:kern w:val="0"/>
                <w:sz w:val="24"/>
              </w:rPr>
              <w:br w:type="textWrapping"/>
            </w:r>
            <w:r>
              <w:rPr>
                <w:rFonts w:hint="eastAsia" w:ascii="宋体" w:hAnsi="宋体" w:cs="宋体"/>
                <w:kern w:val="0"/>
                <w:sz w:val="24"/>
              </w:rPr>
              <w:t>6、支持telemetry，配合服务器可以高速采集Wi-Fi的数据；</w:t>
            </w:r>
            <w:r>
              <w:rPr>
                <w:rFonts w:hint="eastAsia" w:ascii="宋体" w:hAnsi="宋体" w:cs="宋体"/>
                <w:kern w:val="0"/>
                <w:sz w:val="24"/>
              </w:rPr>
              <w:br w:type="textWrapping"/>
            </w:r>
            <w:r>
              <w:rPr>
                <w:rFonts w:hint="eastAsia" w:ascii="宋体" w:hAnsi="宋体" w:cs="宋体"/>
                <w:kern w:val="0"/>
                <w:sz w:val="24"/>
              </w:rPr>
              <w:t>7、支持云管理模式，在不更换硬件的情况下，可支持切换到云模式；</w:t>
            </w:r>
            <w:r>
              <w:rPr>
                <w:rFonts w:hint="eastAsia" w:ascii="宋体" w:hAnsi="宋体" w:cs="宋体"/>
                <w:kern w:val="0"/>
                <w:sz w:val="24"/>
              </w:rPr>
              <w:br w:type="textWrapping"/>
            </w:r>
            <w:r>
              <w:rPr>
                <w:rFonts w:hint="eastAsia" w:ascii="宋体" w:hAnsi="宋体" w:cs="宋体"/>
                <w:kern w:val="0"/>
                <w:sz w:val="24"/>
              </w:rPr>
              <w:t>8、支持VIP用户带宽保障功能，提升用户体验。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吸顶无线AP</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1、采用国产芯片，自主可控；</w:t>
            </w:r>
            <w:r>
              <w:rPr>
                <w:rFonts w:hint="eastAsia" w:ascii="宋体" w:hAnsi="宋体" w:cs="宋体"/>
                <w:kern w:val="0"/>
                <w:sz w:val="24"/>
              </w:rPr>
              <w:br w:type="textWrapping"/>
            </w:r>
            <w:r>
              <w:rPr>
                <w:rFonts w:hint="eastAsia" w:ascii="宋体" w:hAnsi="宋体" w:cs="宋体"/>
                <w:kern w:val="0"/>
                <w:sz w:val="24"/>
              </w:rPr>
              <w:t>2、2.4G频段和5G频段，全频段支持802.11be；</w:t>
            </w:r>
            <w:r>
              <w:rPr>
                <w:rFonts w:hint="eastAsia" w:ascii="宋体" w:hAnsi="宋体" w:cs="宋体"/>
                <w:kern w:val="0"/>
                <w:sz w:val="24"/>
              </w:rPr>
              <w:br w:type="textWrapping"/>
            </w:r>
            <w:r>
              <w:rPr>
                <w:rFonts w:hint="eastAsia" w:ascii="宋体" w:hAnsi="宋体" w:cs="宋体"/>
                <w:kern w:val="0"/>
                <w:sz w:val="24"/>
              </w:rPr>
              <w:t>3、总空间流数≥4；整机速率≥3.57Gbps；</w:t>
            </w:r>
            <w:r>
              <w:rPr>
                <w:rFonts w:hint="eastAsia" w:ascii="宋体" w:hAnsi="宋体" w:cs="宋体"/>
                <w:kern w:val="0"/>
                <w:sz w:val="24"/>
              </w:rPr>
              <w:br w:type="textWrapping"/>
            </w:r>
            <w:r>
              <w:rPr>
                <w:rFonts w:hint="eastAsia" w:ascii="宋体" w:hAnsi="宋体" w:cs="宋体"/>
                <w:kern w:val="0"/>
                <w:sz w:val="24"/>
              </w:rPr>
              <w:t>4、支持≥1x2.5GE电接口，支持USB 2.0，可用于扩展物联网；</w:t>
            </w:r>
            <w:r>
              <w:rPr>
                <w:rFonts w:hint="eastAsia" w:ascii="宋体" w:hAnsi="宋体" w:cs="宋体"/>
                <w:kern w:val="0"/>
                <w:sz w:val="24"/>
              </w:rPr>
              <w:br w:type="textWrapping"/>
            </w:r>
            <w:r>
              <w:rPr>
                <w:rFonts w:hint="eastAsia" w:ascii="宋体" w:hAnsi="宋体" w:cs="宋体"/>
                <w:kern w:val="0"/>
                <w:sz w:val="24"/>
              </w:rPr>
              <w:t>5、支持BLE5.4，支持SLE 1.0；</w:t>
            </w:r>
            <w:r>
              <w:rPr>
                <w:rFonts w:hint="eastAsia" w:ascii="宋体" w:hAnsi="宋体" w:cs="宋体"/>
                <w:kern w:val="0"/>
                <w:sz w:val="24"/>
              </w:rPr>
              <w:br w:type="textWrapping"/>
            </w:r>
            <w:r>
              <w:rPr>
                <w:rFonts w:hint="eastAsia" w:ascii="宋体" w:hAnsi="宋体" w:cs="宋体"/>
                <w:kern w:val="0"/>
                <w:sz w:val="24"/>
              </w:rPr>
              <w:t>6、支持telemetry，配合服务器可以高速采集Wi-Fi的数据；</w:t>
            </w:r>
            <w:r>
              <w:rPr>
                <w:rFonts w:hint="eastAsia" w:ascii="宋体" w:hAnsi="宋体" w:cs="宋体"/>
                <w:kern w:val="0"/>
                <w:sz w:val="24"/>
              </w:rPr>
              <w:br w:type="textWrapping"/>
            </w:r>
            <w:r>
              <w:rPr>
                <w:rFonts w:hint="eastAsia" w:ascii="宋体" w:hAnsi="宋体" w:cs="宋体"/>
                <w:kern w:val="0"/>
                <w:sz w:val="24"/>
              </w:rPr>
              <w:t>7、支持云管理模式，在不更换硬件的情况下，可支持切换到云模式；</w:t>
            </w:r>
            <w:r>
              <w:rPr>
                <w:rFonts w:hint="eastAsia" w:ascii="宋体" w:hAnsi="宋体" w:cs="宋体"/>
                <w:kern w:val="0"/>
                <w:sz w:val="24"/>
              </w:rPr>
              <w:br w:type="textWrapping"/>
            </w:r>
            <w:r>
              <w:rPr>
                <w:rFonts w:hint="eastAsia" w:ascii="宋体" w:hAnsi="宋体" w:cs="宋体"/>
                <w:kern w:val="0"/>
                <w:sz w:val="24"/>
              </w:rPr>
              <w:t>8、支持VIP用户带宽保障功能，提升用户体验。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室外无线AP</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1、采用国产芯片，自主可控；</w:t>
            </w:r>
            <w:r>
              <w:rPr>
                <w:rFonts w:hint="eastAsia" w:ascii="宋体" w:hAnsi="宋体" w:cs="宋体"/>
                <w:kern w:val="0"/>
                <w:sz w:val="24"/>
              </w:rPr>
              <w:br w:type="textWrapping"/>
            </w:r>
            <w:r>
              <w:rPr>
                <w:rFonts w:hint="eastAsia" w:ascii="宋体" w:hAnsi="宋体" w:cs="宋体"/>
                <w:kern w:val="0"/>
                <w:sz w:val="24"/>
              </w:rPr>
              <w:t>2、支持802.11be标准；</w:t>
            </w:r>
            <w:r>
              <w:rPr>
                <w:rFonts w:hint="eastAsia" w:ascii="宋体" w:hAnsi="宋体" w:cs="宋体"/>
                <w:kern w:val="0"/>
                <w:sz w:val="24"/>
              </w:rPr>
              <w:br w:type="textWrapping"/>
            </w:r>
            <w:r>
              <w:rPr>
                <w:rFonts w:hint="eastAsia" w:ascii="宋体" w:hAnsi="宋体" w:cs="宋体"/>
                <w:kern w:val="0"/>
                <w:sz w:val="24"/>
              </w:rPr>
              <w:t>3、支持3射频，总空间流数≥8，整机速率≥15.1Gbps；</w:t>
            </w:r>
            <w:r>
              <w:rPr>
                <w:rFonts w:hint="eastAsia" w:ascii="宋体" w:hAnsi="宋体" w:cs="宋体"/>
                <w:kern w:val="0"/>
                <w:sz w:val="24"/>
              </w:rPr>
              <w:br w:type="textWrapping"/>
            </w:r>
            <w:r>
              <w:rPr>
                <w:rFonts w:hint="eastAsia" w:ascii="宋体" w:hAnsi="宋体" w:cs="宋体"/>
                <w:kern w:val="0"/>
                <w:sz w:val="24"/>
              </w:rPr>
              <w:t>4、支持1个10GE自适应以太口，1个GE以太口，支持1个10 GE SFP+光口；</w:t>
            </w:r>
            <w:r>
              <w:rPr>
                <w:rFonts w:hint="eastAsia" w:ascii="宋体" w:hAnsi="宋体" w:cs="宋体"/>
                <w:kern w:val="0"/>
                <w:sz w:val="24"/>
              </w:rPr>
              <w:br w:type="textWrapping"/>
            </w:r>
            <w:r>
              <w:rPr>
                <w:rFonts w:hint="eastAsia" w:ascii="宋体" w:hAnsi="宋体" w:cs="宋体"/>
                <w:kern w:val="0"/>
                <w:sz w:val="24"/>
              </w:rPr>
              <w:t>5、内置定向天线；</w:t>
            </w:r>
            <w:r>
              <w:rPr>
                <w:rFonts w:hint="eastAsia" w:ascii="宋体" w:hAnsi="宋体" w:cs="宋体"/>
                <w:kern w:val="0"/>
                <w:sz w:val="24"/>
              </w:rPr>
              <w:br w:type="textWrapping"/>
            </w:r>
            <w:r>
              <w:rPr>
                <w:rFonts w:hint="eastAsia" w:ascii="宋体" w:hAnsi="宋体" w:cs="宋体"/>
                <w:kern w:val="0"/>
                <w:sz w:val="24"/>
              </w:rPr>
              <w:t>6、内置蓝牙5.2，可实现蓝牙终端精确定位，支持蓝牙串口远距无线运维；</w:t>
            </w:r>
            <w:r>
              <w:rPr>
                <w:rFonts w:hint="eastAsia" w:ascii="宋体" w:hAnsi="宋体" w:cs="宋体"/>
                <w:kern w:val="0"/>
                <w:sz w:val="24"/>
              </w:rPr>
              <w:br w:type="textWrapping"/>
            </w:r>
            <w:r>
              <w:rPr>
                <w:rFonts w:hint="eastAsia" w:ascii="宋体" w:hAnsi="宋体" w:cs="宋体"/>
                <w:kern w:val="0"/>
                <w:sz w:val="24"/>
              </w:rPr>
              <w:t>7、工作温度-40°C~70°C，支持≥ IP68防水防尘等级；</w:t>
            </w:r>
            <w:r>
              <w:rPr>
                <w:rFonts w:hint="eastAsia" w:ascii="宋体" w:hAnsi="宋体" w:cs="宋体"/>
                <w:kern w:val="0"/>
                <w:sz w:val="24"/>
              </w:rPr>
              <w:br w:type="textWrapping"/>
            </w:r>
            <w:r>
              <w:rPr>
                <w:rFonts w:hint="eastAsia" w:ascii="宋体" w:hAnsi="宋体" w:cs="宋体"/>
                <w:kern w:val="0"/>
                <w:sz w:val="24"/>
              </w:rPr>
              <w:t>8、支持频谱分析功能，对蓝牙设备、数字无绳电话、无线音频发射器、微波炉等干扰源进行识别。</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高密AP</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1、采用国产芯片，自主可控；</w:t>
            </w:r>
            <w:r>
              <w:rPr>
                <w:rFonts w:hint="eastAsia" w:ascii="宋体" w:hAnsi="宋体" w:cs="宋体"/>
                <w:b/>
                <w:bCs/>
                <w:kern w:val="0"/>
                <w:sz w:val="24"/>
              </w:rPr>
              <w:br w:type="textWrapping"/>
            </w:r>
            <w:r>
              <w:rPr>
                <w:rFonts w:hint="eastAsia" w:ascii="宋体" w:hAnsi="宋体" w:cs="宋体"/>
                <w:kern w:val="0"/>
                <w:sz w:val="24"/>
              </w:rPr>
              <w:t>2、2.4G频段和5G频段，全频段支持802.11be；</w:t>
            </w:r>
            <w:r>
              <w:rPr>
                <w:rFonts w:hint="eastAsia" w:ascii="宋体" w:hAnsi="宋体" w:cs="宋体"/>
                <w:b/>
                <w:bCs/>
                <w:kern w:val="0"/>
                <w:sz w:val="24"/>
              </w:rPr>
              <w:br w:type="textWrapping"/>
            </w:r>
            <w:r>
              <w:rPr>
                <w:rFonts w:hint="eastAsia" w:ascii="宋体" w:hAnsi="宋体" w:cs="宋体"/>
                <w:kern w:val="0"/>
                <w:sz w:val="24"/>
              </w:rPr>
              <w:t>3、总空间流数≥6；整机速率≥6.4Gbps；</w:t>
            </w:r>
            <w:r>
              <w:rPr>
                <w:rFonts w:hint="eastAsia" w:ascii="宋体" w:hAnsi="宋体" w:cs="宋体"/>
                <w:kern w:val="0"/>
                <w:sz w:val="24"/>
              </w:rPr>
              <w:br w:type="textWrapping"/>
            </w:r>
            <w:r>
              <w:rPr>
                <w:rFonts w:hint="eastAsia" w:ascii="宋体" w:hAnsi="宋体" w:cs="宋体"/>
                <w:kern w:val="0"/>
                <w:sz w:val="24"/>
              </w:rPr>
              <w:t>4、支持≥1x2.5GE电接口，≥1xGE电接口，支持USB 2.0，可用于扩展物联网；</w:t>
            </w:r>
            <w:r>
              <w:rPr>
                <w:rFonts w:hint="eastAsia" w:ascii="宋体" w:hAnsi="宋体" w:cs="宋体"/>
                <w:kern w:val="0"/>
                <w:sz w:val="24"/>
              </w:rPr>
              <w:br w:type="textWrapping"/>
            </w:r>
            <w:r>
              <w:rPr>
                <w:rFonts w:hint="eastAsia" w:ascii="宋体" w:hAnsi="宋体" w:cs="宋体"/>
                <w:kern w:val="0"/>
                <w:sz w:val="24"/>
              </w:rPr>
              <w:t>5、支持BLE5.4；</w:t>
            </w:r>
            <w:r>
              <w:rPr>
                <w:rFonts w:hint="eastAsia" w:ascii="宋体" w:hAnsi="宋体" w:cs="宋体"/>
                <w:kern w:val="0"/>
                <w:sz w:val="24"/>
              </w:rPr>
              <w:br w:type="textWrapping"/>
            </w:r>
            <w:r>
              <w:rPr>
                <w:rFonts w:hint="eastAsia" w:ascii="宋体" w:hAnsi="宋体" w:cs="宋体"/>
                <w:kern w:val="0"/>
                <w:sz w:val="24"/>
              </w:rPr>
              <w:t>6、支持telemetry，配合服务器可以高速采集Wi-Fi的数据；</w:t>
            </w:r>
            <w:r>
              <w:rPr>
                <w:rFonts w:hint="eastAsia" w:ascii="宋体" w:hAnsi="宋体" w:cs="宋体"/>
                <w:kern w:val="0"/>
                <w:sz w:val="24"/>
              </w:rPr>
              <w:br w:type="textWrapping"/>
            </w:r>
            <w:r>
              <w:rPr>
                <w:rFonts w:hint="eastAsia" w:ascii="宋体" w:hAnsi="宋体" w:cs="宋体"/>
                <w:kern w:val="0"/>
                <w:sz w:val="24"/>
              </w:rPr>
              <w:t>7、支持云管理模式，在不更换硬件的情况下，可支持切换到云模式；</w:t>
            </w:r>
            <w:r>
              <w:rPr>
                <w:rFonts w:hint="eastAsia" w:ascii="宋体" w:hAnsi="宋体" w:cs="宋体"/>
                <w:kern w:val="0"/>
                <w:sz w:val="24"/>
              </w:rPr>
              <w:br w:type="textWrapping"/>
            </w:r>
            <w:r>
              <w:rPr>
                <w:rFonts w:hint="eastAsia" w:ascii="宋体" w:hAnsi="宋体" w:cs="宋体"/>
                <w:kern w:val="0"/>
                <w:sz w:val="24"/>
              </w:rPr>
              <w:t>8、支持VIP用户带宽保障功能，提升用户体验。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无线ap授权</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实配≥500个无线授权。</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6</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无线AC管理设备</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1、采用国产芯片，自主可控；</w:t>
            </w:r>
            <w:r>
              <w:rPr>
                <w:rFonts w:hint="eastAsia" w:ascii="宋体" w:hAnsi="宋体" w:cs="宋体"/>
                <w:kern w:val="0"/>
                <w:sz w:val="24"/>
              </w:rPr>
              <w:br w:type="textWrapping"/>
            </w:r>
            <w:r>
              <w:rPr>
                <w:rFonts w:hint="eastAsia" w:ascii="宋体" w:hAnsi="宋体" w:cs="宋体"/>
                <w:kern w:val="0"/>
                <w:sz w:val="24"/>
              </w:rPr>
              <w:t>2、三层转发吞吐量≥10Gbps；</w:t>
            </w:r>
            <w:r>
              <w:rPr>
                <w:rFonts w:hint="eastAsia" w:ascii="宋体" w:hAnsi="宋体" w:cs="宋体"/>
                <w:kern w:val="0"/>
                <w:sz w:val="24"/>
              </w:rPr>
              <w:br w:type="textWrapping"/>
            </w:r>
            <w:r>
              <w:rPr>
                <w:rFonts w:hint="eastAsia" w:ascii="宋体" w:hAnsi="宋体" w:cs="宋体"/>
                <w:kern w:val="0"/>
                <w:sz w:val="24"/>
              </w:rPr>
              <w:t>3、单台AC最大管理AP数量≥512，单台AC最大接入用户数量≥4K；</w:t>
            </w:r>
            <w:r>
              <w:rPr>
                <w:rFonts w:hint="eastAsia" w:ascii="宋体" w:hAnsi="宋体" w:cs="宋体"/>
                <w:kern w:val="0"/>
                <w:sz w:val="24"/>
              </w:rPr>
              <w:br w:type="textWrapping"/>
            </w:r>
            <w:r>
              <w:rPr>
                <w:rFonts w:hint="eastAsia" w:ascii="宋体" w:hAnsi="宋体" w:cs="宋体"/>
                <w:kern w:val="0"/>
                <w:sz w:val="24"/>
              </w:rPr>
              <w:t>4、单台AC提供2个10GE光口, 10个GE电口；</w:t>
            </w:r>
            <w:r>
              <w:rPr>
                <w:rFonts w:hint="eastAsia" w:ascii="宋体" w:hAnsi="宋体" w:cs="宋体"/>
                <w:kern w:val="0"/>
                <w:sz w:val="24"/>
              </w:rPr>
              <w:br w:type="textWrapping"/>
            </w:r>
            <w:r>
              <w:rPr>
                <w:rFonts w:hint="eastAsia" w:ascii="宋体" w:hAnsi="宋体" w:cs="宋体"/>
                <w:kern w:val="0"/>
                <w:sz w:val="24"/>
              </w:rPr>
              <w:t>5、支持静态路由，RIP-1/RIP-2，OSPF，BGP，IS-IS，路由策略、策略路由；</w:t>
            </w:r>
            <w:r>
              <w:rPr>
                <w:rFonts w:hint="eastAsia" w:ascii="宋体" w:hAnsi="宋体" w:cs="宋体"/>
                <w:kern w:val="0"/>
                <w:sz w:val="24"/>
              </w:rPr>
              <w:br w:type="textWrapping"/>
            </w:r>
            <w:r>
              <w:rPr>
                <w:rFonts w:hint="eastAsia" w:ascii="宋体" w:hAnsi="宋体" w:cs="宋体"/>
                <w:kern w:val="0"/>
                <w:sz w:val="24"/>
              </w:rPr>
              <w:t>6、支持MAC 地址认证、802.1x认证（EAP-PAP、EAP-MD5、EAP-PEAP、EAP-TLS、EAP-TTLS）、Portal认证、MAC+Portal混合认证、WAPI认证、PPSK、DPSK；</w:t>
            </w:r>
            <w:r>
              <w:rPr>
                <w:rFonts w:hint="eastAsia" w:ascii="宋体" w:hAnsi="宋体" w:cs="宋体"/>
                <w:kern w:val="0"/>
                <w:sz w:val="24"/>
              </w:rPr>
              <w:br w:type="textWrapping"/>
            </w:r>
            <w:r>
              <w:rPr>
                <w:rFonts w:hint="eastAsia" w:ascii="宋体" w:hAnsi="宋体" w:cs="宋体"/>
                <w:kern w:val="0"/>
                <w:sz w:val="24"/>
              </w:rPr>
              <w:t>7、对于支持双5G的射频，通过 AP 间的自动协商，自动将2.4G切换到5G，降低 2.4G 同频干扰，增加系统容量；</w:t>
            </w:r>
            <w:r>
              <w:rPr>
                <w:rFonts w:hint="eastAsia" w:ascii="宋体" w:hAnsi="宋体" w:cs="宋体"/>
                <w:kern w:val="0"/>
                <w:sz w:val="24"/>
              </w:rPr>
              <w:br w:type="textWrapping"/>
            </w:r>
            <w:r>
              <w:rPr>
                <w:rFonts w:hint="eastAsia" w:ascii="宋体" w:hAnsi="宋体" w:cs="宋体"/>
                <w:kern w:val="0"/>
                <w:sz w:val="24"/>
              </w:rPr>
              <w:t>8、支持设备冗余备份功能，可支持1+1或N+1备份，并支持主备AC间配置同步；</w:t>
            </w:r>
            <w:r>
              <w:rPr>
                <w:rFonts w:hint="eastAsia" w:ascii="宋体" w:hAnsi="宋体" w:cs="宋体"/>
                <w:kern w:val="0"/>
                <w:sz w:val="24"/>
              </w:rPr>
              <w:br w:type="textWrapping"/>
            </w:r>
            <w:r>
              <w:rPr>
                <w:rFonts w:hint="eastAsia" w:ascii="宋体" w:hAnsi="宋体" w:cs="宋体"/>
                <w:kern w:val="0"/>
                <w:sz w:val="24"/>
              </w:rPr>
              <w:t>9、AC与AP可以分开各自独立升级；且在双AC冗余状态下支持升级过程中业务不中断。</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b/>
                <w:bCs/>
                <w:kern w:val="0"/>
                <w:sz w:val="24"/>
              </w:rPr>
              <w:t>三、云计算资源</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超融合计算平台</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1、硬件配置：标准机架式2U服务器，采用国产X86架构芯片，自主可控，CPU≥ 2.5GHz *2颗; 每颗CPU核数:≥16，标配≥DDR4内存128G（4*32G），后置≥480GB SSD系统盘*2块（出厂RAID1）；网络接口：≥2个千兆电口，≥2个万兆光口（含多模光模块），前置≥12个3.5"热插拔SAS/SATA盘位，冗余电源 ；3.5寸 ≥12TB 7200转 SATA硬盘 /企业级*6;SSD固态硬盘 2.5寸 SATA接口1920GB（读密集型）*2；</w:t>
            </w:r>
            <w:r>
              <w:rPr>
                <w:rFonts w:hint="eastAsia" w:ascii="宋体" w:hAnsi="宋体" w:cs="宋体"/>
                <w:kern w:val="0"/>
                <w:sz w:val="24"/>
              </w:rPr>
              <w:br w:type="textWrapping"/>
            </w:r>
            <w:r>
              <w:rPr>
                <w:rFonts w:hint="eastAsia" w:ascii="宋体" w:hAnsi="宋体" w:cs="宋体"/>
                <w:kern w:val="0"/>
                <w:sz w:val="24"/>
              </w:rPr>
              <w:t>2、功能参数：包含计算虚拟化专业版、存储虚拟化专业版、网络虚拟化专业版、统一云管平台高级版各1颗CPU授权*2；计算虚拟化提供虚拟机全生命周期管理、USB映射、备份、快照、最后一屏等功能；存储虚拟化提供统一存储服务，提供存储精简部署、存储卷级存储策略设置、存储数据可视化等功能；网络虚拟化提供拖拽式组网、虚拟路由器、虚拟交换机、连通性测试等功能；统一云管平台高级版提供跨地区、跨数据中心的多个集群（包含超融合集群、桌面云集群、VMware集群）的统一管理功能，提供多租户、资源中心、运维中心、可靠中心管理等功能；</w:t>
            </w:r>
            <w:r>
              <w:rPr>
                <w:rFonts w:hint="eastAsia" w:ascii="宋体" w:hAnsi="宋体" w:cs="宋体"/>
                <w:kern w:val="0"/>
                <w:sz w:val="24"/>
              </w:rPr>
              <w:br w:type="textWrapping"/>
            </w:r>
            <w:r>
              <w:rPr>
                <w:rFonts w:hint="eastAsia" w:ascii="宋体" w:hAnsi="宋体" w:cs="宋体"/>
                <w:kern w:val="0"/>
                <w:sz w:val="24"/>
              </w:rPr>
              <w:t>3、多副本支持：支持云服务器级别副本设置，可以针对不同场景给不同云服务器设置不同数量副本，提升灵活性；最小可以支持1副本，最高可以支持6个副本，并可以支持动态在线增加和删除副本；</w:t>
            </w:r>
            <w:r>
              <w:rPr>
                <w:rFonts w:hint="eastAsia" w:ascii="宋体" w:hAnsi="宋体" w:cs="宋体"/>
                <w:kern w:val="0"/>
                <w:sz w:val="24"/>
              </w:rPr>
              <w:br w:type="textWrapping"/>
            </w:r>
            <w:r>
              <w:rPr>
                <w:rFonts w:hint="eastAsia" w:ascii="宋体" w:hAnsi="宋体" w:cs="宋体"/>
                <w:kern w:val="0"/>
                <w:sz w:val="24"/>
              </w:rPr>
              <w:t>存储数据安全分类:支持存储数据卷安全分级管理，安全级别可设置弱一致、强一致、最终一致；</w:t>
            </w:r>
            <w:r>
              <w:rPr>
                <w:rFonts w:hint="eastAsia" w:ascii="宋体" w:hAnsi="宋体" w:cs="宋体"/>
                <w:kern w:val="0"/>
                <w:sz w:val="24"/>
              </w:rPr>
              <w:br w:type="textWrapping"/>
            </w:r>
            <w:r>
              <w:rPr>
                <w:rFonts w:hint="eastAsia" w:ascii="宋体" w:hAnsi="宋体" w:cs="宋体"/>
                <w:kern w:val="0"/>
                <w:sz w:val="24"/>
              </w:rPr>
              <w:t>4、超融合管理系统可部署同一品牌虚拟安全产品（日志审计、终端杀毒等）采用具有自主知识产权产品，非使用第三方OEM产品，保证良好的兼容性和扩展性；</w:t>
            </w:r>
            <w:r>
              <w:rPr>
                <w:rFonts w:hint="eastAsia" w:ascii="宋体" w:hAnsi="宋体" w:cs="宋体"/>
                <w:kern w:val="0"/>
                <w:sz w:val="24"/>
              </w:rPr>
              <w:br w:type="textWrapping"/>
            </w:r>
            <w:r>
              <w:rPr>
                <w:rFonts w:hint="eastAsia" w:ascii="宋体" w:hAnsi="宋体" w:cs="宋体"/>
                <w:b/>
                <w:bCs/>
                <w:kern w:val="0"/>
                <w:sz w:val="24"/>
              </w:rPr>
              <w:t>5、支持云服务器存储链路冗余设置，可以设置多条访问存储卷的链路，提升云服务器访问存储的可靠性和性能；支持主流Linux/Windows以及国产操作系统云服务器针对磁盘负载进行实时监控，包括操作系统版本、CPU使用率、内存使用情况、网络流量、系统磁盘数量、磁盘分区、磁盘使用率、系统进程及系统连接数量等；提供具有国家认可检测资质的第三方机构出具的检测报告；</w:t>
            </w:r>
            <w:r>
              <w:rPr>
                <w:rFonts w:hint="eastAsia" w:ascii="宋体" w:hAnsi="宋体" w:cs="宋体"/>
                <w:b/>
                <w:bCs/>
                <w:kern w:val="0"/>
                <w:sz w:val="24"/>
              </w:rPr>
              <w:br w:type="textWrapping"/>
            </w:r>
            <w:r>
              <w:rPr>
                <w:rFonts w:hint="eastAsia" w:ascii="宋体" w:hAnsi="宋体" w:cs="宋体"/>
                <w:kern w:val="0"/>
                <w:sz w:val="24"/>
              </w:rPr>
              <w:t>6、支持一体机和纯软件两种方式交付，纯软件交付方式可以兼容市场上主流的国产芯片（如海光、飞腾、鲲鹏）服务器，包括H3C、超聚变、联想、浪潮、华为、曙光、宝德等；支持更换服务器硬件无需更换软件，软件授权不锁定硬件，软件授权可转移，提供更高的灵活性</w:t>
            </w:r>
            <w:r>
              <w:rPr>
                <w:rFonts w:hint="eastAsia" w:ascii="宋体" w:hAnsi="宋体" w:cs="宋体"/>
                <w:kern w:val="0"/>
                <w:sz w:val="24"/>
              </w:rPr>
              <w:br w:type="textWrapping"/>
            </w:r>
            <w:r>
              <w:rPr>
                <w:rFonts w:hint="eastAsia" w:ascii="宋体" w:hAnsi="宋体" w:cs="宋体"/>
                <w:kern w:val="0"/>
                <w:sz w:val="24"/>
              </w:rPr>
              <w:t>7、可提供IT资源的全融合交付模式，在同一管理界面下，可以支持同一品牌超融合、桌面云、云容器的管理，无需多个管理界面进行切换</w:t>
            </w:r>
            <w:r>
              <w:rPr>
                <w:rFonts w:hint="eastAsia" w:ascii="宋体" w:hAnsi="宋体" w:cs="宋体"/>
                <w:kern w:val="0"/>
                <w:sz w:val="24"/>
              </w:rPr>
              <w:br w:type="textWrapping"/>
            </w:r>
            <w:r>
              <w:rPr>
                <w:rFonts w:hint="eastAsia" w:ascii="宋体" w:hAnsi="宋体" w:cs="宋体"/>
                <w:b/>
                <w:bCs/>
                <w:kern w:val="0"/>
                <w:sz w:val="24"/>
              </w:rPr>
              <w:t>8、支持存储卷的数据块副本图形显示和操作的功能，可以监控数据块的当前状态，可以按需调整数据块所在的主机和磁盘位置，可以指定数据块副本的读取优先级；提供具有国家认可检测资质的第三方机构出具的检测报告；</w:t>
            </w:r>
            <w:r>
              <w:rPr>
                <w:rFonts w:hint="eastAsia" w:ascii="宋体" w:hAnsi="宋体" w:cs="宋体"/>
                <w:b/>
                <w:bCs/>
                <w:kern w:val="0"/>
                <w:sz w:val="24"/>
              </w:rPr>
              <w:br w:type="textWrapping"/>
            </w:r>
            <w:r>
              <w:rPr>
                <w:rFonts w:hint="eastAsia" w:ascii="宋体" w:hAnsi="宋体" w:cs="宋体"/>
                <w:kern w:val="0"/>
                <w:sz w:val="24"/>
              </w:rPr>
              <w:t>9、支持分布式电源管理功能（DPM）,根据集群内主机资源负载情况，在不影响业务的情况下实现自动的服务器开、关机，达到能源效率和资源分配，节省电力和制冷开支</w:t>
            </w:r>
            <w:r>
              <w:rPr>
                <w:rFonts w:hint="eastAsia" w:ascii="宋体" w:hAnsi="宋体" w:cs="宋体"/>
                <w:kern w:val="0"/>
                <w:sz w:val="24"/>
              </w:rPr>
              <w:br w:type="textWrapping"/>
            </w:r>
            <w:r>
              <w:rPr>
                <w:rFonts w:hint="eastAsia" w:ascii="宋体" w:hAnsi="宋体" w:cs="宋体"/>
                <w:kern w:val="0"/>
                <w:sz w:val="24"/>
              </w:rPr>
              <w:t>10、支持通过支持VNC、Spice以及VNC+Spice模式远程访问云服务器控制台；支持Spice方式设置独立访问密码；</w:t>
            </w:r>
            <w:r>
              <w:rPr>
                <w:rFonts w:hint="eastAsia" w:ascii="宋体" w:hAnsi="宋体" w:cs="宋体"/>
                <w:kern w:val="0"/>
                <w:sz w:val="24"/>
              </w:rPr>
              <w:br w:type="textWrapping"/>
            </w:r>
            <w:r>
              <w:rPr>
                <w:rFonts w:hint="eastAsia" w:ascii="宋体" w:hAnsi="宋体" w:cs="宋体"/>
                <w:kern w:val="0"/>
                <w:sz w:val="24"/>
              </w:rPr>
              <w:t>11、支持存储卷的数据块副本图形显示和操作的功能，可以监控数据块的当前状态，可以按需迁移数据块所在的主机和磁盘，可以指定数据块副本的读取优先级；</w:t>
            </w:r>
            <w:r>
              <w:rPr>
                <w:rFonts w:hint="eastAsia" w:ascii="宋体" w:hAnsi="宋体" w:cs="宋体"/>
                <w:kern w:val="0"/>
                <w:sz w:val="24"/>
              </w:rPr>
              <w:br w:type="textWrapping"/>
            </w:r>
            <w:r>
              <w:rPr>
                <w:rFonts w:hint="eastAsia" w:ascii="宋体" w:hAnsi="宋体" w:cs="宋体"/>
                <w:kern w:val="0"/>
                <w:sz w:val="24"/>
              </w:rPr>
              <w:t>12、支持存储数据卷安全分级管理，安全级别可设置弱一致、强一致、最终一致；</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超融合网络平台</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1、采用国产芯片，自主可控；</w:t>
            </w:r>
            <w:r>
              <w:rPr>
                <w:rFonts w:hint="eastAsia" w:ascii="宋体" w:hAnsi="宋体" w:cs="宋体"/>
                <w:kern w:val="0"/>
                <w:sz w:val="24"/>
              </w:rPr>
              <w:br w:type="textWrapping"/>
            </w:r>
            <w:r>
              <w:rPr>
                <w:rFonts w:hint="eastAsia" w:ascii="宋体" w:hAnsi="宋体" w:cs="宋体"/>
                <w:kern w:val="0"/>
                <w:sz w:val="24"/>
              </w:rPr>
              <w:t>2、交换容量≥4.8Tbps，包转发率≥1620Mpps；</w:t>
            </w:r>
            <w:r>
              <w:rPr>
                <w:rFonts w:hint="eastAsia" w:ascii="宋体" w:hAnsi="宋体" w:cs="宋体"/>
                <w:kern w:val="0"/>
                <w:sz w:val="24"/>
              </w:rPr>
              <w:br w:type="textWrapping"/>
            </w:r>
            <w:r>
              <w:rPr>
                <w:rFonts w:hint="eastAsia" w:ascii="宋体" w:hAnsi="宋体" w:cs="宋体"/>
                <w:kern w:val="0"/>
                <w:sz w:val="24"/>
              </w:rPr>
              <w:t>3、支持并实配≥24个万兆SFP+，≥6个40 QSFP28；</w:t>
            </w:r>
            <w:r>
              <w:rPr>
                <w:rFonts w:hint="eastAsia" w:ascii="宋体" w:hAnsi="宋体" w:cs="宋体"/>
                <w:kern w:val="0"/>
                <w:sz w:val="24"/>
              </w:rPr>
              <w:br w:type="textWrapping"/>
            </w:r>
            <w:r>
              <w:rPr>
                <w:rFonts w:hint="eastAsia" w:ascii="宋体" w:hAnsi="宋体" w:cs="宋体"/>
                <w:kern w:val="0"/>
                <w:sz w:val="24"/>
              </w:rPr>
              <w:t>4、为了提高设备可靠性，支持并实配可插拔的双电源，支持并实配4个可插拔风扇模块；</w:t>
            </w:r>
            <w:r>
              <w:rPr>
                <w:rFonts w:hint="eastAsia" w:ascii="宋体" w:hAnsi="宋体" w:cs="宋体"/>
                <w:kern w:val="0"/>
                <w:sz w:val="24"/>
              </w:rPr>
              <w:br w:type="textWrapping"/>
            </w:r>
            <w:r>
              <w:rPr>
                <w:rFonts w:hint="eastAsia" w:ascii="宋体" w:hAnsi="宋体" w:cs="宋体"/>
                <w:kern w:val="0"/>
                <w:sz w:val="24"/>
              </w:rPr>
              <w:t>5、支持4K个VLAN，支持Voice VLAN，支持基于MAC的VLAN；</w:t>
            </w:r>
            <w:r>
              <w:rPr>
                <w:rFonts w:hint="eastAsia" w:ascii="宋体" w:hAnsi="宋体" w:cs="宋体"/>
                <w:kern w:val="0"/>
                <w:sz w:val="24"/>
              </w:rPr>
              <w:br w:type="textWrapping"/>
            </w:r>
            <w:r>
              <w:rPr>
                <w:rFonts w:hint="eastAsia" w:ascii="宋体" w:hAnsi="宋体" w:cs="宋体"/>
                <w:kern w:val="0"/>
                <w:sz w:val="24"/>
              </w:rPr>
              <w:t>6、支持静态路由、RIP V1/2、OSPF、IS-IS、BGP、RIPng、OSPFv3、BGP4+、ISISv6；</w:t>
            </w:r>
            <w:r>
              <w:rPr>
                <w:rFonts w:hint="eastAsia" w:ascii="宋体" w:hAnsi="宋体" w:cs="宋体"/>
                <w:kern w:val="0"/>
                <w:sz w:val="24"/>
              </w:rPr>
              <w:br w:type="textWrapping"/>
            </w:r>
            <w:r>
              <w:rPr>
                <w:rFonts w:hint="eastAsia" w:ascii="宋体" w:hAnsi="宋体" w:cs="宋体"/>
                <w:b/>
                <w:bCs/>
                <w:kern w:val="0"/>
                <w:sz w:val="24"/>
              </w:rPr>
              <w:t>7、支持跨设备链路聚合M-LAG，记录M-LAG倒换时间，正切时间小于6ms；支持业务随性；提供具有国家认可检测资质的第三方机构出具的检测报告；</w:t>
            </w:r>
            <w:r>
              <w:rPr>
                <w:rFonts w:hint="eastAsia" w:ascii="宋体" w:hAnsi="宋体" w:cs="宋体"/>
                <w:b/>
                <w:bCs/>
                <w:kern w:val="0"/>
                <w:sz w:val="24"/>
              </w:rPr>
              <w:br w:type="textWrapping"/>
            </w:r>
            <w:r>
              <w:rPr>
                <w:rFonts w:hint="eastAsia" w:ascii="宋体" w:hAnsi="宋体" w:cs="宋体"/>
                <w:kern w:val="0"/>
                <w:sz w:val="24"/>
              </w:rPr>
              <w:t>8、支持真实业务流实时检测技术，能实时检测网络故障；</w:t>
            </w:r>
            <w:r>
              <w:rPr>
                <w:rFonts w:hint="eastAsia" w:ascii="宋体" w:hAnsi="宋体" w:cs="宋体"/>
                <w:b/>
                <w:bCs/>
                <w:kern w:val="0"/>
                <w:sz w:val="24"/>
              </w:rPr>
              <w:br w:type="textWrapping"/>
            </w:r>
            <w:r>
              <w:rPr>
                <w:rFonts w:hint="eastAsia" w:ascii="宋体" w:hAnsi="宋体" w:cs="宋体"/>
                <w:kern w:val="0"/>
                <w:sz w:val="24"/>
              </w:rPr>
              <w:t>9、支持 Telemetry 技术，实时采集设备数据并上送至网络分析组件平台，通过智能故障识别算法对网络数据进行分析；</w:t>
            </w:r>
            <w:r>
              <w:rPr>
                <w:rFonts w:hint="eastAsia" w:ascii="宋体" w:hAnsi="宋体" w:cs="宋体"/>
                <w:kern w:val="0"/>
                <w:sz w:val="24"/>
              </w:rPr>
              <w:br w:type="textWrapping"/>
            </w:r>
            <w:r>
              <w:rPr>
                <w:rFonts w:hint="eastAsia" w:ascii="宋体" w:hAnsi="宋体" w:cs="宋体"/>
                <w:kern w:val="0"/>
                <w:sz w:val="24"/>
              </w:rPr>
              <w:t>10、支持防DOS攻击、TCP的SYN Flood攻击、UDP Flood攻击、广播风暴攻击、大流量攻击；</w:t>
            </w:r>
            <w:r>
              <w:rPr>
                <w:rFonts w:hint="eastAsia" w:ascii="宋体" w:hAnsi="宋体" w:cs="宋体"/>
                <w:kern w:val="0"/>
                <w:sz w:val="24"/>
              </w:rPr>
              <w:br w:type="textWrapping"/>
            </w:r>
            <w:r>
              <w:rPr>
                <w:rFonts w:hint="eastAsia" w:ascii="宋体" w:hAnsi="宋体" w:cs="宋体"/>
                <w:kern w:val="0"/>
                <w:sz w:val="24"/>
              </w:rPr>
              <w:t>11、支持G.8032（ERPS）标准环网协议，故障倒换收敛时间小于50毫秒。</w:t>
            </w:r>
          </w:p>
        </w:tc>
        <w:tc>
          <w:tcPr>
            <w:tcW w:w="7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台</w:t>
            </w:r>
          </w:p>
        </w:tc>
        <w:tc>
          <w:tcPr>
            <w:tcW w:w="925" w:type="dxa"/>
            <w:tcBorders>
              <w:tl2br w:val="nil"/>
              <w:tr2bl w:val="nil"/>
            </w:tcBorders>
            <w:shd w:val="clear" w:color="000000" w:fill="FFFFFF"/>
            <w:noWrap/>
            <w:vAlign w:val="center"/>
          </w:tcPr>
          <w:p>
            <w:pPr>
              <w:widowControl/>
              <w:adjustRightInd/>
              <w:jc w:val="right"/>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万兆光模块</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光模块-SFP+-10G-单模模块(1310nm,10km,LC)。</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rPr>
                <w:rFonts w:hint="eastAsia" w:ascii="宋体" w:hAnsi="宋体" w:cs="宋体"/>
                <w:kern w:val="0"/>
                <w:sz w:val="24"/>
              </w:rPr>
            </w:pPr>
            <w:r>
              <w:rPr>
                <w:rFonts w:hint="eastAsia" w:ascii="宋体" w:hAnsi="宋体" w:cs="宋体"/>
                <w:b/>
                <w:bCs/>
                <w:kern w:val="0"/>
                <w:sz w:val="24"/>
              </w:rPr>
              <w:t>四、网络安全</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下一代防火墙</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硬件配置：采用国产芯片，自主可控；2U,≥1个管理口、≥1个HA口、≥8个千兆电口、≥8个千兆光口（满配千兆多模模块）和≥4个万兆光口（满配万兆多模模块）,冗余电源,≥1个扩展槽位，含3年应用特征库升级许可；</w:t>
            </w:r>
            <w:r>
              <w:rPr>
                <w:rFonts w:hint="eastAsia" w:ascii="宋体" w:hAnsi="宋体" w:cs="宋体"/>
                <w:kern w:val="0"/>
                <w:sz w:val="24"/>
              </w:rPr>
              <w:br w:type="textWrapping"/>
            </w:r>
            <w:r>
              <w:rPr>
                <w:rFonts w:hint="eastAsia" w:ascii="宋体" w:hAnsi="宋体" w:cs="宋体"/>
                <w:kern w:val="0"/>
                <w:sz w:val="24"/>
              </w:rPr>
              <w:t>2、性能参数：吞吐≥24G，TCP并发连接≥6000万，每秒新建连接≥200万；</w:t>
            </w:r>
            <w:r>
              <w:rPr>
                <w:rFonts w:hint="eastAsia" w:ascii="宋体" w:hAnsi="宋体" w:cs="宋体"/>
                <w:kern w:val="0"/>
                <w:sz w:val="24"/>
              </w:rPr>
              <w:br w:type="textWrapping"/>
            </w:r>
            <w:r>
              <w:rPr>
                <w:rFonts w:hint="eastAsia" w:ascii="宋体" w:hAnsi="宋体" w:cs="宋体"/>
                <w:kern w:val="0"/>
                <w:sz w:val="24"/>
              </w:rPr>
              <w:t>3、冗余能力：配置冗余电源，支持操作系统冗余设计，可在启动过程中切换；</w:t>
            </w:r>
            <w:r>
              <w:rPr>
                <w:rFonts w:hint="eastAsia" w:ascii="宋体" w:hAnsi="宋体" w:cs="宋体"/>
                <w:kern w:val="0"/>
                <w:sz w:val="24"/>
              </w:rPr>
              <w:br w:type="textWrapping"/>
            </w:r>
            <w:r>
              <w:rPr>
                <w:rFonts w:hint="eastAsia" w:ascii="宋体" w:hAnsi="宋体" w:cs="宋体"/>
                <w:kern w:val="0"/>
                <w:sz w:val="24"/>
              </w:rPr>
              <w:t>4、为保障系统运行的可靠性与稳定性，要求信息安全设备、系统软件的开发、生产符合TL9000-HSV R6.3/5.7标准；</w:t>
            </w:r>
            <w:r>
              <w:rPr>
                <w:rFonts w:hint="eastAsia" w:ascii="宋体" w:hAnsi="宋体" w:cs="宋体"/>
                <w:kern w:val="0"/>
                <w:sz w:val="24"/>
              </w:rPr>
              <w:br w:type="textWrapping"/>
            </w:r>
            <w:r>
              <w:rPr>
                <w:rFonts w:hint="eastAsia" w:ascii="宋体" w:hAnsi="宋体" w:cs="宋体"/>
                <w:kern w:val="0"/>
                <w:sz w:val="24"/>
              </w:rPr>
              <w:t>5、负载能力：支持手动和LACP链路聚合，可根据源/目的MAC、源/目的IP、源/目的端口、五元组、端口轮询等条件提供链路负载算法；</w:t>
            </w:r>
            <w:r>
              <w:rPr>
                <w:rFonts w:hint="eastAsia" w:ascii="宋体" w:hAnsi="宋体" w:cs="宋体"/>
                <w:kern w:val="0"/>
                <w:sz w:val="24"/>
              </w:rPr>
              <w:br w:type="textWrapping"/>
            </w:r>
            <w:r>
              <w:rPr>
                <w:rFonts w:hint="eastAsia" w:ascii="宋体" w:hAnsi="宋体" w:cs="宋体"/>
                <w:kern w:val="0"/>
                <w:sz w:val="24"/>
              </w:rPr>
              <w:t>6、支持独立的WAF防护模块，WAF防护特征总数在1000条以上；</w:t>
            </w:r>
            <w:r>
              <w:rPr>
                <w:rFonts w:hint="eastAsia" w:ascii="宋体" w:hAnsi="宋体" w:cs="宋体"/>
                <w:kern w:val="0"/>
                <w:sz w:val="24"/>
              </w:rPr>
              <w:br w:type="textWrapping"/>
            </w:r>
            <w:r>
              <w:rPr>
                <w:rFonts w:hint="eastAsia" w:ascii="宋体" w:hAnsi="宋体" w:cs="宋体"/>
                <w:kern w:val="0"/>
                <w:sz w:val="24"/>
              </w:rPr>
              <w:t>7、支持域名控制，支持对多级域名进行控制，域名对象支持通配符；</w:t>
            </w:r>
            <w:r>
              <w:rPr>
                <w:rFonts w:hint="eastAsia" w:ascii="宋体" w:hAnsi="宋体" w:cs="宋体"/>
                <w:kern w:val="0"/>
                <w:sz w:val="24"/>
              </w:rPr>
              <w:br w:type="textWrapping"/>
            </w:r>
            <w:r>
              <w:rPr>
                <w:rFonts w:hint="eastAsia" w:ascii="宋体" w:hAnsi="宋体" w:cs="宋体"/>
                <w:kern w:val="0"/>
                <w:sz w:val="24"/>
              </w:rPr>
              <w:t>8、防火墙在链路高数据量情况下，可实现网络地址转换动态负载均衡，提高防火墙运行能力；</w:t>
            </w:r>
            <w:r>
              <w:rPr>
                <w:rFonts w:hint="eastAsia" w:ascii="宋体" w:hAnsi="宋体" w:cs="宋体"/>
                <w:kern w:val="0"/>
                <w:sz w:val="24"/>
              </w:rPr>
              <w:br w:type="textWrapping"/>
            </w:r>
            <w:r>
              <w:rPr>
                <w:rFonts w:hint="eastAsia" w:ascii="宋体" w:hAnsi="宋体" w:cs="宋体"/>
                <w:kern w:val="0"/>
                <w:sz w:val="24"/>
              </w:rPr>
              <w:t>9、安全防护：支持对报文进行病毒防御、入侵防御、URL过滤、抗DDOS、WAF防护、僵木蠕、流量控制、连接限制、文件过滤、数据过滤等防护；</w:t>
            </w:r>
            <w:r>
              <w:rPr>
                <w:rFonts w:hint="eastAsia" w:ascii="宋体" w:hAnsi="宋体" w:cs="宋体"/>
                <w:kern w:val="0"/>
                <w:sz w:val="24"/>
              </w:rPr>
              <w:br w:type="textWrapping"/>
            </w:r>
            <w:r>
              <w:rPr>
                <w:rFonts w:hint="eastAsia" w:ascii="宋体" w:hAnsi="宋体" w:cs="宋体"/>
                <w:kern w:val="0"/>
                <w:sz w:val="24"/>
              </w:rPr>
              <w:t>10、支持设置密码有效性，如首次登陆修改密码、密码定期修改、密码有效时间等设置，用户忘记密码时，支持密码找回；</w:t>
            </w:r>
            <w:r>
              <w:rPr>
                <w:rFonts w:hint="eastAsia" w:ascii="宋体" w:hAnsi="宋体" w:cs="宋体"/>
                <w:kern w:val="0"/>
                <w:sz w:val="24"/>
              </w:rPr>
              <w:br w:type="textWrapping"/>
            </w:r>
            <w:r>
              <w:rPr>
                <w:rFonts w:hint="eastAsia" w:ascii="宋体" w:hAnsi="宋体" w:cs="宋体"/>
                <w:kern w:val="0"/>
                <w:sz w:val="24"/>
              </w:rPr>
              <w:t>11、策略分析：为简便运维人员对策略日常运维，支持在WEB界面方便快捷显示策略命中、冗余、冲突情况；还可支持策略的包含分析和宽泛分析；</w:t>
            </w:r>
            <w:r>
              <w:rPr>
                <w:rFonts w:hint="eastAsia" w:ascii="宋体" w:hAnsi="宋体" w:cs="宋体"/>
                <w:kern w:val="0"/>
                <w:sz w:val="24"/>
              </w:rPr>
              <w:br w:type="textWrapping"/>
            </w:r>
            <w:r>
              <w:rPr>
                <w:rFonts w:hint="eastAsia" w:ascii="宋体" w:hAnsi="宋体" w:cs="宋体"/>
                <w:kern w:val="0"/>
                <w:sz w:val="24"/>
              </w:rPr>
              <w:t>12、访问控制策略执行动作支持允许、禁止及认证，对符合条件的流量进行Web认证，在策略中可设置用户 Web 认证的门户地址；</w:t>
            </w:r>
            <w:r>
              <w:rPr>
                <w:rFonts w:hint="eastAsia" w:ascii="宋体" w:hAnsi="宋体" w:cs="宋体"/>
                <w:kern w:val="0"/>
                <w:sz w:val="24"/>
              </w:rPr>
              <w:br w:type="textWrapping"/>
            </w:r>
            <w:r>
              <w:rPr>
                <w:rFonts w:hint="eastAsia" w:ascii="宋体" w:hAnsi="宋体" w:cs="宋体"/>
                <w:kern w:val="0"/>
                <w:sz w:val="24"/>
              </w:rPr>
              <w:t>13、支持NTP DDOS防护，采用阀值检查、源/目的限流、源认证等方式综合进行NTP QUERY  FLOOD、NTP REPLY FLOOD攻击防护；</w:t>
            </w:r>
            <w:r>
              <w:rPr>
                <w:rFonts w:hint="eastAsia" w:ascii="宋体" w:hAnsi="宋体" w:cs="宋体"/>
                <w:kern w:val="0"/>
                <w:sz w:val="24"/>
              </w:rPr>
              <w:br w:type="textWrapping"/>
            </w:r>
            <w:r>
              <w:rPr>
                <w:rFonts w:hint="eastAsia" w:ascii="宋体" w:hAnsi="宋体" w:cs="宋体"/>
                <w:b/>
                <w:bCs/>
                <w:kern w:val="0"/>
                <w:sz w:val="24"/>
              </w:rPr>
              <w:t>14、防火墙支持针对数据库异常语句进行防护，保障数据库安全；提供具有国家认可检测资质的第三方机构出具的检测报告；</w:t>
            </w:r>
            <w:r>
              <w:rPr>
                <w:rFonts w:hint="eastAsia" w:ascii="宋体" w:hAnsi="宋体" w:cs="宋体"/>
                <w:b/>
                <w:bCs/>
                <w:kern w:val="0"/>
                <w:sz w:val="24"/>
              </w:rPr>
              <w:br w:type="textWrapping"/>
            </w:r>
            <w:r>
              <w:rPr>
                <w:rFonts w:hint="eastAsia" w:ascii="宋体" w:hAnsi="宋体" w:cs="宋体"/>
                <w:b/>
                <w:bCs/>
                <w:kern w:val="0"/>
                <w:sz w:val="24"/>
              </w:rPr>
              <w:t>◆15、支持与本项目终端安全管理系统（ EDR） 联动，获取 EDR 资产信息；提供具有国家认可检测资质的第三方机构出具的检测报告。</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VPN授权</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100个VPN授权；</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项</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b/>
                <w:bCs/>
                <w:kern w:val="0"/>
                <w:sz w:val="24"/>
              </w:rPr>
              <w:t>日志审计(提供演示)</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1、采用国产芯片，自主可控，≥2U,≥1个console口，≥6个千兆电口，≥4个千兆光插槽，≥2个万兆光插槽，冗余电源，Msata系统盘≥256G，数据盘≥4T；冗余电源，日志采集处理均值≥3000EPS；包含≥50日志源；</w:t>
            </w:r>
            <w:r>
              <w:rPr>
                <w:rFonts w:hint="eastAsia" w:ascii="宋体" w:hAnsi="宋体" w:cs="宋体"/>
                <w:kern w:val="0"/>
                <w:sz w:val="24"/>
              </w:rPr>
              <w:br w:type="textWrapping"/>
            </w:r>
            <w:r>
              <w:rPr>
                <w:rFonts w:hint="eastAsia" w:ascii="宋体" w:hAnsi="宋体" w:cs="宋体"/>
                <w:kern w:val="0"/>
                <w:sz w:val="24"/>
              </w:rPr>
              <w:t>2、支持首页以全国地图、全球地图展示最近24小时日志访问源和访问目的的分布，能根据颜色区分访问来源和访问目的数据量大小，能够通过首页地图快速下钻查询指定区域的日志详细信息；</w:t>
            </w:r>
            <w:r>
              <w:rPr>
                <w:rFonts w:hint="eastAsia" w:ascii="宋体" w:hAnsi="宋体" w:cs="宋体"/>
                <w:kern w:val="0"/>
                <w:sz w:val="24"/>
              </w:rPr>
              <w:br w:type="textWrapping"/>
            </w:r>
            <w:r>
              <w:rPr>
                <w:rFonts w:hint="eastAsia" w:ascii="宋体" w:hAnsi="宋体" w:cs="宋体"/>
                <w:kern w:val="0"/>
                <w:sz w:val="24"/>
              </w:rPr>
              <w:t>3、支持对日志流量非常大但是日志重要程度低的syslog类型日志源进行限制接收速率，降低对系统资源的占用，保障重要日志的收集；</w:t>
            </w:r>
            <w:r>
              <w:rPr>
                <w:rFonts w:hint="eastAsia" w:ascii="宋体" w:hAnsi="宋体" w:cs="宋体"/>
                <w:kern w:val="0"/>
                <w:sz w:val="24"/>
              </w:rPr>
              <w:br w:type="textWrapping"/>
            </w:r>
            <w:r>
              <w:rPr>
                <w:rFonts w:hint="eastAsia" w:ascii="宋体" w:hAnsi="宋体" w:cs="宋体"/>
                <w:kern w:val="0"/>
                <w:sz w:val="24"/>
              </w:rPr>
              <w:t>4、支持对日志审计技术中存在的扩展性问题,索引创建速度问题,索引查询效率问题,进行技术优化；</w:t>
            </w:r>
            <w:r>
              <w:rPr>
                <w:rFonts w:hint="eastAsia" w:ascii="宋体" w:hAnsi="宋体" w:cs="宋体"/>
                <w:kern w:val="0"/>
                <w:sz w:val="24"/>
              </w:rPr>
              <w:br w:type="textWrapping"/>
            </w:r>
            <w:r>
              <w:rPr>
                <w:rFonts w:hint="eastAsia" w:ascii="宋体" w:hAnsi="宋体" w:cs="宋体"/>
                <w:kern w:val="0"/>
                <w:sz w:val="24"/>
              </w:rPr>
              <w:t>5、支持对重点日志源的关注设置，并可通过关注列表快速查看重点日志源的状态、当日日志量、采集日志总量、最近接收时间、业务组等基础信息；</w:t>
            </w:r>
            <w:r>
              <w:rPr>
                <w:rFonts w:hint="eastAsia" w:ascii="宋体" w:hAnsi="宋体" w:cs="宋体"/>
                <w:kern w:val="0"/>
                <w:sz w:val="24"/>
              </w:rPr>
              <w:br w:type="textWrapping"/>
            </w:r>
            <w:r>
              <w:rPr>
                <w:rFonts w:hint="eastAsia" w:ascii="宋体" w:hAnsi="宋体" w:cs="宋体"/>
                <w:kern w:val="0"/>
                <w:sz w:val="24"/>
              </w:rPr>
              <w:t>6、支持IPv6/IPv4双栈环境部署，对IPv6/IPv4日志源的日志进行高速采集；</w:t>
            </w:r>
            <w:r>
              <w:rPr>
                <w:rFonts w:hint="eastAsia" w:ascii="宋体" w:hAnsi="宋体" w:cs="宋体"/>
                <w:kern w:val="0"/>
                <w:sz w:val="24"/>
              </w:rPr>
              <w:br w:type="textWrapping"/>
            </w:r>
            <w:r>
              <w:rPr>
                <w:rFonts w:hint="eastAsia" w:ascii="宋体" w:hAnsi="宋体" w:cs="宋体"/>
                <w:kern w:val="0"/>
                <w:sz w:val="24"/>
              </w:rPr>
              <w:t>7、支持基于时间轴展示告警数据分布，能够通过时间轴进行查询分析；</w:t>
            </w:r>
            <w:r>
              <w:rPr>
                <w:rFonts w:hint="eastAsia" w:ascii="宋体" w:hAnsi="宋体" w:cs="宋体"/>
                <w:kern w:val="0"/>
                <w:sz w:val="24"/>
              </w:rPr>
              <w:br w:type="textWrapping"/>
            </w:r>
            <w:r>
              <w:rPr>
                <w:rFonts w:hint="eastAsia" w:ascii="宋体" w:hAnsi="宋体" w:cs="宋体"/>
                <w:kern w:val="0"/>
                <w:sz w:val="24"/>
              </w:rPr>
              <w:t>8、系统可针对被采集的日志源日志进行是否存储原始日志，是否覆盖日志时间来进行日志的保存设置，保存时间可按照1个月，3个月，6个月和永久保存等进行选择设置；</w:t>
            </w:r>
            <w:r>
              <w:rPr>
                <w:rFonts w:hint="eastAsia" w:ascii="宋体" w:hAnsi="宋体" w:cs="宋体"/>
                <w:kern w:val="0"/>
                <w:sz w:val="24"/>
              </w:rPr>
              <w:br w:type="textWrapping"/>
            </w:r>
            <w:r>
              <w:rPr>
                <w:rFonts w:hint="eastAsia" w:ascii="宋体" w:hAnsi="宋体" w:cs="宋体"/>
                <w:kern w:val="0"/>
                <w:sz w:val="24"/>
              </w:rPr>
              <w:t>9、支持为不同类型日志设置不同的查询条件和显示条件；</w:t>
            </w:r>
            <w:r>
              <w:rPr>
                <w:rFonts w:hint="eastAsia" w:ascii="宋体" w:hAnsi="宋体" w:cs="宋体"/>
                <w:kern w:val="0"/>
                <w:sz w:val="24"/>
              </w:rPr>
              <w:br w:type="textWrapping"/>
            </w:r>
            <w:r>
              <w:rPr>
                <w:rFonts w:hint="eastAsia" w:ascii="宋体" w:hAnsi="宋体" w:cs="宋体"/>
                <w:kern w:val="0"/>
                <w:sz w:val="24"/>
              </w:rPr>
              <w:t>10、支持Syslog、SNMP Trap、Netflow、JDBC、WMI、FTP、SFTP、SCP、文件等方式进行数据采集；支持通过Agent采集日志数据；</w:t>
            </w:r>
            <w:r>
              <w:rPr>
                <w:rFonts w:hint="eastAsia" w:ascii="宋体" w:hAnsi="宋体" w:cs="宋体"/>
                <w:kern w:val="0"/>
                <w:sz w:val="24"/>
              </w:rPr>
              <w:br w:type="textWrapping"/>
            </w:r>
            <w:r>
              <w:rPr>
                <w:rFonts w:hint="eastAsia" w:ascii="宋体" w:hAnsi="宋体" w:cs="宋体"/>
                <w:kern w:val="0"/>
                <w:sz w:val="24"/>
              </w:rPr>
              <w:t>11、对所管理设备的日志原始数据完整存储，支持数据本地集中存储；</w:t>
            </w:r>
            <w:r>
              <w:rPr>
                <w:rFonts w:hint="eastAsia" w:ascii="宋体" w:hAnsi="宋体" w:cs="宋体"/>
                <w:kern w:val="0"/>
                <w:sz w:val="24"/>
              </w:rPr>
              <w:br w:type="textWrapping"/>
            </w:r>
            <w:r>
              <w:rPr>
                <w:rFonts w:hint="eastAsia" w:ascii="宋体" w:hAnsi="宋体" w:cs="宋体"/>
                <w:kern w:val="0"/>
                <w:sz w:val="24"/>
              </w:rPr>
              <w:t>12、支持首页展示当日告警情况统计；支持展示当日最新告警TOP10、TOP30和TOP50；</w:t>
            </w:r>
            <w:r>
              <w:rPr>
                <w:rFonts w:hint="eastAsia" w:ascii="宋体" w:hAnsi="宋体" w:cs="宋体"/>
                <w:kern w:val="0"/>
                <w:sz w:val="24"/>
              </w:rPr>
              <w:br w:type="textWrapping"/>
            </w:r>
            <w:r>
              <w:rPr>
                <w:rFonts w:hint="eastAsia" w:ascii="宋体" w:hAnsi="宋体" w:cs="宋体"/>
                <w:kern w:val="0"/>
                <w:sz w:val="24"/>
              </w:rPr>
              <w:t>13、支持安全设备、网络设备、中间件、服务器、数据库、操作系统、业务系统等不少于26类300种日志对象的日志数据采集；</w:t>
            </w:r>
            <w:r>
              <w:rPr>
                <w:rFonts w:hint="eastAsia" w:ascii="宋体" w:hAnsi="宋体" w:cs="宋体"/>
                <w:kern w:val="0"/>
                <w:sz w:val="24"/>
              </w:rPr>
              <w:br w:type="textWrapping"/>
            </w:r>
            <w:r>
              <w:rPr>
                <w:rFonts w:hint="eastAsia" w:ascii="宋体" w:hAnsi="宋体" w:cs="宋体"/>
                <w:kern w:val="0"/>
                <w:sz w:val="24"/>
              </w:rPr>
              <w:t>14、支持实时自动刷新每个日志源的实时日志列表，支持在实时日志界面通过选择过滤器来监视所关注的特定类型的日志；</w:t>
            </w:r>
            <w:r>
              <w:rPr>
                <w:rFonts w:hint="eastAsia" w:ascii="宋体" w:hAnsi="宋体" w:cs="宋体"/>
                <w:kern w:val="0"/>
                <w:sz w:val="24"/>
              </w:rPr>
              <w:br w:type="textWrapping"/>
            </w:r>
            <w:r>
              <w:rPr>
                <w:rFonts w:hint="eastAsia" w:ascii="宋体" w:hAnsi="宋体" w:cs="宋体"/>
                <w:kern w:val="0"/>
                <w:sz w:val="24"/>
              </w:rPr>
              <w:t>15、系统针对日志可对每个单独的被采集源，按照日志源IP、日志源类型（防火墙，交换机，服务器，数据库，虚拟化、存储等）、收集节点、收集方式进行选择；</w:t>
            </w:r>
            <w:r>
              <w:rPr>
                <w:rFonts w:hint="eastAsia" w:ascii="宋体" w:hAnsi="宋体" w:cs="宋体"/>
                <w:kern w:val="0"/>
                <w:sz w:val="24"/>
              </w:rPr>
              <w:br w:type="textWrapping"/>
            </w:r>
            <w:r>
              <w:rPr>
                <w:rFonts w:hint="eastAsia" w:ascii="宋体" w:hAnsi="宋体" w:cs="宋体"/>
                <w:kern w:val="0"/>
                <w:sz w:val="24"/>
              </w:rPr>
              <w:t>16、系统支持设置不同的查询条件，可按照（级别、事件名、传输协议、源地址、源端口、目的地址、目的端口、流入、留出等）查询条件，进行搜索框查询；（演示内容部分满足或不满足的不得分；功能全部满足的专家根据功能设置的合理性、方便性等综合打分。</w:t>
            </w:r>
            <w:r>
              <w:rPr>
                <w:rFonts w:hint="eastAsia" w:ascii="宋体" w:hAnsi="宋体" w:cs="宋体"/>
                <w:kern w:val="0"/>
                <w:sz w:val="24"/>
              </w:rPr>
              <w:br w:type="textWrapping"/>
            </w:r>
            <w:r>
              <w:rPr>
                <w:rFonts w:hint="eastAsia" w:ascii="宋体" w:hAnsi="宋体" w:cs="宋体"/>
                <w:kern w:val="0"/>
                <w:sz w:val="24"/>
              </w:rPr>
              <w:t>18、系统具有防恶意暴力破解账号与口令功能，可针对账号口令登录次数，登录失败锁定时间进行设置；长时间不操作自动退出时长进行设置。</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上网行为管理系统</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硬件配置：国产化产品，≥2U，≥1个串口，≥2个USB接口，≥6个千兆电口，≥4个千兆光插槽，≥两对bypass电口，双电源，≥3个扩展槽位，内存≥32G；，日志存储硬盘≥4T，包含三年系统版本升级、URL库及应用特征库升级许可；</w:t>
            </w:r>
            <w:r>
              <w:rPr>
                <w:rFonts w:hint="eastAsia" w:ascii="宋体" w:hAnsi="宋体" w:cs="宋体"/>
                <w:kern w:val="0"/>
                <w:sz w:val="24"/>
              </w:rPr>
              <w:br w:type="textWrapping"/>
            </w:r>
            <w:r>
              <w:rPr>
                <w:rFonts w:hint="eastAsia" w:ascii="宋体" w:hAnsi="宋体" w:cs="宋体"/>
                <w:kern w:val="0"/>
                <w:sz w:val="24"/>
              </w:rPr>
              <w:t>2、性能参数：带宽性能≥800M，网络吞吐量≥10G，最大并发连接数≥100W，推荐用户数≥8000人；</w:t>
            </w:r>
            <w:r>
              <w:rPr>
                <w:rFonts w:hint="eastAsia" w:ascii="宋体" w:hAnsi="宋体" w:cs="宋体"/>
                <w:kern w:val="0"/>
                <w:sz w:val="24"/>
              </w:rPr>
              <w:br w:type="textWrapping"/>
            </w:r>
            <w:r>
              <w:rPr>
                <w:rFonts w:hint="eastAsia" w:ascii="宋体" w:hAnsi="宋体" w:cs="宋体"/>
                <w:kern w:val="0"/>
                <w:sz w:val="24"/>
              </w:rPr>
              <w:t>3、策略能力：支持基于策略方向、源地址、目的地址、服务、生效时间的安全策略；</w:t>
            </w:r>
            <w:r>
              <w:rPr>
                <w:rFonts w:hint="eastAsia" w:ascii="宋体" w:hAnsi="宋体" w:cs="宋体"/>
                <w:kern w:val="0"/>
                <w:sz w:val="24"/>
              </w:rPr>
              <w:br w:type="textWrapping"/>
            </w:r>
            <w:r>
              <w:rPr>
                <w:rFonts w:hint="eastAsia" w:ascii="宋体" w:hAnsi="宋体" w:cs="宋体"/>
                <w:kern w:val="0"/>
                <w:sz w:val="24"/>
              </w:rPr>
              <w:t>4、应用识别：支持https网站识别，支持加密网站搜索，支持ssl论坛加密发帖内容识别，支持基于关键字的控制；</w:t>
            </w:r>
            <w:r>
              <w:rPr>
                <w:rFonts w:hint="eastAsia" w:ascii="宋体" w:hAnsi="宋体" w:cs="宋体"/>
                <w:kern w:val="0"/>
                <w:sz w:val="24"/>
              </w:rPr>
              <w:br w:type="textWrapping"/>
            </w:r>
            <w:r>
              <w:rPr>
                <w:rFonts w:hint="eastAsia" w:ascii="宋体" w:hAnsi="宋体" w:cs="宋体"/>
                <w:kern w:val="0"/>
                <w:sz w:val="24"/>
              </w:rPr>
              <w:t>5、认证能力：支持本地设置用户名、密码的portal认证、支持Ad域、LDAP、Radius等第三方认证服务器；</w:t>
            </w:r>
            <w:r>
              <w:rPr>
                <w:rFonts w:hint="eastAsia" w:ascii="宋体" w:hAnsi="宋体" w:cs="宋体"/>
                <w:kern w:val="0"/>
                <w:sz w:val="24"/>
              </w:rPr>
              <w:br w:type="textWrapping"/>
            </w:r>
            <w:r>
              <w:rPr>
                <w:rFonts w:hint="eastAsia" w:ascii="宋体" w:hAnsi="宋体" w:cs="宋体"/>
                <w:kern w:val="0"/>
                <w:sz w:val="24"/>
              </w:rPr>
              <w:t>6、防止违规外联：对于PC端的外联行为进行检测，包括拨号行为，使用双网卡，无线网卡，连接非法WIFI，4G网卡，使用非法网关，连接外网，使用代理，以及自定义非法外联，等行为进行检测，对违规的用户可禁止上网；</w:t>
            </w:r>
            <w:r>
              <w:rPr>
                <w:rFonts w:hint="eastAsia" w:ascii="宋体" w:hAnsi="宋体" w:cs="宋体"/>
                <w:kern w:val="0"/>
                <w:sz w:val="24"/>
              </w:rPr>
              <w:br w:type="textWrapping"/>
            </w:r>
            <w:r>
              <w:rPr>
                <w:rFonts w:hint="eastAsia" w:ascii="宋体" w:hAnsi="宋体" w:cs="宋体"/>
                <w:kern w:val="0"/>
                <w:sz w:val="24"/>
              </w:rPr>
              <w:t>7、支持即插即用功能：不管电脑的IP如何配置，开启即插即用功能后，只要插上网线，即可上网；</w:t>
            </w:r>
            <w:r>
              <w:rPr>
                <w:rFonts w:hint="eastAsia" w:ascii="宋体" w:hAnsi="宋体" w:cs="宋体"/>
                <w:kern w:val="0"/>
                <w:sz w:val="24"/>
              </w:rPr>
              <w:br w:type="textWrapping"/>
            </w:r>
            <w:r>
              <w:rPr>
                <w:rFonts w:hint="eastAsia" w:ascii="宋体" w:hAnsi="宋体" w:cs="宋体"/>
                <w:kern w:val="0"/>
                <w:sz w:val="24"/>
              </w:rPr>
              <w:t>8、可通过 NetbIOS 协议扫描内网的主机信息，扫描结果将列出每个主机的 IP 地址、MAC地址和主机名等，然后可以将其加入某个用户组中，逐步完善组织结构的管理；</w:t>
            </w:r>
            <w:r>
              <w:rPr>
                <w:rFonts w:hint="eastAsia" w:ascii="宋体" w:hAnsi="宋体" w:cs="宋体"/>
                <w:kern w:val="0"/>
                <w:sz w:val="24"/>
              </w:rPr>
              <w:br w:type="textWrapping"/>
            </w:r>
            <w:r>
              <w:rPr>
                <w:rFonts w:hint="eastAsia" w:ascii="宋体" w:hAnsi="宋体" w:cs="宋体"/>
                <w:kern w:val="0"/>
                <w:sz w:val="24"/>
              </w:rPr>
              <w:t>9、支持主流应用识别和控制，包括不限于P2P（下载、音频、视频）、即时通讯、语音电话、网上银行、电子商务、财经软件、网络游戏、社交网络、网页应用（视频、音频、网盘、web邮箱等）、远程控制、数据库等多种类型，提供P2P流量识别能力；</w:t>
            </w:r>
            <w:r>
              <w:rPr>
                <w:rFonts w:hint="eastAsia" w:ascii="宋体" w:hAnsi="宋体" w:cs="宋体"/>
                <w:kern w:val="0"/>
                <w:sz w:val="24"/>
              </w:rPr>
              <w:br w:type="textWrapping"/>
            </w:r>
            <w:r>
              <w:rPr>
                <w:rFonts w:hint="eastAsia" w:ascii="宋体" w:hAnsi="宋体" w:cs="宋体"/>
                <w:kern w:val="0"/>
                <w:sz w:val="24"/>
              </w:rPr>
              <w:t>10、支持认证用户首次登陆修改密码，支持自定义密码复杂度（包括长度、英文字母、数字、特殊字符的多种组合方式），另外支持密码有效期；</w:t>
            </w:r>
            <w:r>
              <w:rPr>
                <w:rFonts w:hint="eastAsia" w:ascii="宋体" w:hAnsi="宋体" w:cs="宋体"/>
                <w:kern w:val="0"/>
                <w:sz w:val="24"/>
              </w:rPr>
              <w:br w:type="textWrapping"/>
            </w:r>
            <w:r>
              <w:rPr>
                <w:rFonts w:hint="eastAsia" w:ascii="宋体" w:hAnsi="宋体" w:cs="宋体"/>
                <w:kern w:val="0"/>
                <w:sz w:val="24"/>
              </w:rPr>
              <w:t>11、为了日志安全性，设备必须支持独立硬盘存放审计日志，不能与审计系统共用硬盘；</w:t>
            </w:r>
            <w:r>
              <w:rPr>
                <w:rFonts w:hint="eastAsia" w:ascii="宋体" w:hAnsi="宋体" w:cs="宋体"/>
                <w:kern w:val="0"/>
                <w:sz w:val="24"/>
              </w:rPr>
              <w:br w:type="textWrapping"/>
            </w:r>
            <w:r>
              <w:rPr>
                <w:rFonts w:hint="eastAsia" w:ascii="宋体" w:hAnsi="宋体" w:cs="宋体"/>
                <w:kern w:val="0"/>
                <w:sz w:val="24"/>
              </w:rPr>
              <w:t>12、支持内置报表中心，默认自带数据库无需再安装数据库；</w:t>
            </w:r>
            <w:r>
              <w:rPr>
                <w:rFonts w:hint="eastAsia" w:ascii="宋体" w:hAnsi="宋体" w:cs="宋体"/>
                <w:kern w:val="0"/>
                <w:sz w:val="24"/>
              </w:rPr>
              <w:br w:type="textWrapping"/>
            </w:r>
            <w:r>
              <w:rPr>
                <w:rFonts w:hint="eastAsia" w:ascii="宋体" w:hAnsi="宋体" w:cs="宋体"/>
                <w:kern w:val="0"/>
                <w:sz w:val="24"/>
              </w:rPr>
              <w:t>13、支持与同品牌终端安全管理系统防联动，实现安装防病毒软件的终端才能入网，没有安装的不允许入网；</w:t>
            </w:r>
            <w:r>
              <w:rPr>
                <w:rFonts w:hint="eastAsia" w:ascii="宋体" w:hAnsi="宋体" w:cs="宋体"/>
                <w:kern w:val="0"/>
                <w:sz w:val="24"/>
              </w:rPr>
              <w:br w:type="textWrapping"/>
            </w:r>
            <w:r>
              <w:rPr>
                <w:rFonts w:hint="eastAsia" w:ascii="宋体" w:hAnsi="宋体" w:cs="宋体"/>
                <w:b/>
                <w:bCs/>
                <w:kern w:val="0"/>
                <w:sz w:val="24"/>
              </w:rPr>
              <w:t>14、支持加速老化，系统支持对TCP、UDP、ICMP、TCP SYN超时时间，无回应UDP超时时间设置，并能支持按照新建会话与总会话比例设置老化开始或者结束；提供具有国家认可检测资质的第三方机构出具的检测报告。</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终端安全管理系统</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软件配置：管理端+客户端模式部署，包括40个国产网络版防病毒客户端授权，含3年升级许可；针对国产化服务器操作系统进行病毒查杀，提供主动防御系统防护等功能；</w:t>
            </w:r>
            <w:r>
              <w:rPr>
                <w:rFonts w:hint="eastAsia" w:ascii="宋体" w:hAnsi="宋体" w:cs="宋体"/>
                <w:kern w:val="0"/>
                <w:sz w:val="24"/>
              </w:rPr>
              <w:br w:type="textWrapping"/>
            </w:r>
            <w:r>
              <w:rPr>
                <w:rFonts w:hint="eastAsia" w:ascii="宋体" w:hAnsi="宋体" w:cs="宋体"/>
                <w:kern w:val="0"/>
                <w:sz w:val="24"/>
              </w:rPr>
              <w:t>1、病毒防护：支持多个查杀引擎（启发式引擎、虚拟沙箱引擎、行为分析引擎和云查杀引擎）并可进行配置，拥有超强的查杀能力；</w:t>
            </w:r>
            <w:r>
              <w:rPr>
                <w:rFonts w:hint="eastAsia" w:ascii="宋体" w:hAnsi="宋体" w:cs="宋体"/>
                <w:kern w:val="0"/>
                <w:sz w:val="24"/>
              </w:rPr>
              <w:br w:type="textWrapping"/>
            </w:r>
            <w:r>
              <w:rPr>
                <w:rFonts w:hint="eastAsia" w:ascii="宋体" w:hAnsi="宋体" w:cs="宋体"/>
                <w:kern w:val="0"/>
                <w:sz w:val="24"/>
              </w:rPr>
              <w:t>2、联动能力：支持与防火墙、上网行为管理、态势感知设备联动，实现立体化网络安全防护；</w:t>
            </w:r>
            <w:r>
              <w:rPr>
                <w:rFonts w:hint="eastAsia" w:ascii="宋体" w:hAnsi="宋体" w:cs="宋体"/>
                <w:kern w:val="0"/>
                <w:sz w:val="24"/>
              </w:rPr>
              <w:br w:type="textWrapping"/>
            </w:r>
            <w:r>
              <w:rPr>
                <w:rFonts w:hint="eastAsia" w:ascii="宋体" w:hAnsi="宋体" w:cs="宋体"/>
                <w:kern w:val="0"/>
                <w:sz w:val="24"/>
              </w:rPr>
              <w:t>3、支持用户对目录、文件进行鼠标右键扫描操作，方便用户对不信任目录或文件进行扫描；</w:t>
            </w:r>
            <w:r>
              <w:rPr>
                <w:rFonts w:hint="eastAsia" w:ascii="宋体" w:hAnsi="宋体" w:cs="宋体"/>
                <w:kern w:val="0"/>
                <w:sz w:val="24"/>
              </w:rPr>
              <w:br w:type="textWrapping"/>
            </w:r>
            <w:r>
              <w:rPr>
                <w:rFonts w:hint="eastAsia" w:ascii="宋体" w:hAnsi="宋体" w:cs="宋体"/>
                <w:kern w:val="0"/>
                <w:sz w:val="24"/>
              </w:rPr>
              <w:t>4、扫描可以自行设置病毒处理方式：手动处理、隔离、删除、忽略；</w:t>
            </w:r>
            <w:r>
              <w:rPr>
                <w:rFonts w:hint="eastAsia" w:ascii="宋体" w:hAnsi="宋体" w:cs="宋体"/>
                <w:kern w:val="0"/>
                <w:sz w:val="24"/>
              </w:rPr>
              <w:br w:type="textWrapping"/>
            </w:r>
            <w:r>
              <w:rPr>
                <w:rFonts w:hint="eastAsia" w:ascii="宋体" w:hAnsi="宋体" w:cs="宋体"/>
                <w:kern w:val="0"/>
                <w:sz w:val="24"/>
              </w:rPr>
              <w:t>5、对客户端进行离线检测、合规管控运维，并对客户端离线检测结果和运维情况进行记录；</w:t>
            </w:r>
            <w:r>
              <w:rPr>
                <w:rFonts w:hint="eastAsia" w:ascii="宋体" w:hAnsi="宋体" w:cs="宋体"/>
                <w:kern w:val="0"/>
                <w:sz w:val="24"/>
              </w:rPr>
              <w:br w:type="textWrapping"/>
            </w:r>
            <w:r>
              <w:rPr>
                <w:rFonts w:hint="eastAsia" w:ascii="宋体" w:hAnsi="宋体" w:cs="宋体"/>
                <w:kern w:val="0"/>
                <w:sz w:val="24"/>
              </w:rPr>
              <w:t>6、根据类型和时间段筛选查看日志信息，包括查杀和防御结果等，支持查看病毒发现的时间、病毒文件的病毒家族、病毒类型、文件大小、破坏或感染方式、威胁等级等信息</w:t>
            </w:r>
            <w:r>
              <w:rPr>
                <w:rFonts w:hint="eastAsia" w:ascii="宋体" w:hAnsi="宋体" w:cs="宋体"/>
                <w:kern w:val="0"/>
                <w:sz w:val="24"/>
              </w:rPr>
              <w:br w:type="textWrapping"/>
            </w:r>
            <w:r>
              <w:rPr>
                <w:rFonts w:hint="eastAsia" w:ascii="宋体" w:hAnsi="宋体" w:cs="宋体"/>
                <w:kern w:val="0"/>
                <w:sz w:val="24"/>
              </w:rPr>
              <w:t>7、能够自定义组织架构，自动识别客户端详情端包括所属责任人、主机IP、主机MAC、终端ID、在线状态、物理位置、病毒库版本、病毒库升级时间，能够展示终端的软件信息、硬件信息、端口信息、进程信息、资源信息、账户信息、浏览器信息、系统日志信息以及上下线历史记录，同时支持组织结构导入导出功能；</w:t>
            </w:r>
            <w:r>
              <w:rPr>
                <w:rFonts w:hint="eastAsia" w:ascii="宋体" w:hAnsi="宋体" w:cs="宋体"/>
                <w:kern w:val="0"/>
                <w:sz w:val="24"/>
              </w:rPr>
              <w:br w:type="textWrapping"/>
            </w:r>
            <w:r>
              <w:rPr>
                <w:rFonts w:hint="eastAsia" w:ascii="宋体" w:hAnsi="宋体" w:cs="宋体"/>
                <w:kern w:val="0"/>
                <w:sz w:val="24"/>
              </w:rPr>
              <w:t>8、首页展示系统的整体安全状况，包括审计结果数目（昨日报警数、今日报警数、终端总数、终端在线数、违规行为、异常行为、一般行为）总览、报警事件、事件态势、终端事件(Top10)、事件类型；</w:t>
            </w:r>
            <w:r>
              <w:rPr>
                <w:rFonts w:hint="eastAsia" w:ascii="宋体" w:hAnsi="宋体" w:cs="宋体"/>
                <w:kern w:val="0"/>
                <w:sz w:val="24"/>
              </w:rPr>
              <w:br w:type="textWrapping"/>
            </w:r>
            <w:r>
              <w:rPr>
                <w:rFonts w:hint="eastAsia" w:ascii="宋体" w:hAnsi="宋体" w:cs="宋体"/>
                <w:kern w:val="0"/>
                <w:sz w:val="24"/>
              </w:rPr>
              <w:t xml:space="preserve">9、病毒自动隔离备份功能，同时支持恢复隔离文件； </w:t>
            </w:r>
            <w:r>
              <w:rPr>
                <w:rFonts w:hint="eastAsia" w:ascii="宋体" w:hAnsi="宋体" w:cs="宋体"/>
                <w:kern w:val="0"/>
                <w:sz w:val="24"/>
              </w:rPr>
              <w:br w:type="textWrapping"/>
            </w:r>
            <w:r>
              <w:rPr>
                <w:rFonts w:hint="eastAsia" w:ascii="宋体" w:hAnsi="宋体" w:cs="宋体"/>
                <w:kern w:val="0"/>
                <w:sz w:val="24"/>
              </w:rPr>
              <w:t>10、管理中心可设置客户端信息上报频率上报内容包括：资源信息、软件信息、端口信息、进程信息、硬件信息、账户信息等，可自定义设置上报时间周期；</w:t>
            </w:r>
            <w:r>
              <w:rPr>
                <w:rFonts w:hint="eastAsia" w:ascii="宋体" w:hAnsi="宋体" w:cs="宋体"/>
                <w:kern w:val="0"/>
                <w:sz w:val="24"/>
              </w:rPr>
              <w:br w:type="textWrapping"/>
            </w:r>
            <w:r>
              <w:rPr>
                <w:rFonts w:hint="eastAsia" w:ascii="宋体" w:hAnsi="宋体" w:cs="宋体"/>
                <w:kern w:val="0"/>
                <w:sz w:val="24"/>
              </w:rPr>
              <w:t>11、支持配置非法开机时间段，如果某客户端在非指定时间段上线就会报警；</w:t>
            </w:r>
            <w:r>
              <w:rPr>
                <w:rFonts w:hint="eastAsia" w:ascii="宋体" w:hAnsi="宋体" w:cs="宋体"/>
                <w:kern w:val="0"/>
                <w:sz w:val="24"/>
              </w:rPr>
              <w:br w:type="textWrapping"/>
            </w:r>
            <w:r>
              <w:rPr>
                <w:rFonts w:hint="eastAsia" w:ascii="宋体" w:hAnsi="宋体" w:cs="宋体"/>
                <w:b/>
                <w:bCs/>
                <w:kern w:val="0"/>
                <w:sz w:val="24"/>
              </w:rPr>
              <w:t>12、支持终端发现，通过PING、ARP、NMAP方式扫描发现，发现尚未纳入管控的终端；支持自动化运维，对客户端进行离线检测、合规管控运维；提供具有国家认可检测资质的第三方机构出具的检测报告。</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6</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态势分析与安全运营系统</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1、硬件配置：国产化产品，≥2U，≥2个千兆电口，≥2个万兆光口,冗余电源,存储≥8TB，内存≥128G，≥10个日志源；</w:t>
            </w:r>
            <w:r>
              <w:rPr>
                <w:rFonts w:hint="eastAsia" w:ascii="宋体" w:hAnsi="宋体" w:cs="宋体"/>
                <w:kern w:val="0"/>
                <w:sz w:val="24"/>
              </w:rPr>
              <w:br w:type="textWrapping"/>
            </w:r>
            <w:r>
              <w:rPr>
                <w:rFonts w:hint="eastAsia" w:ascii="宋体" w:hAnsi="宋体" w:cs="宋体"/>
                <w:kern w:val="0"/>
                <w:sz w:val="24"/>
              </w:rPr>
              <w:t>2、支持管控拓扑图展示，支持拓扑动态提示管理设备产生的告警，支持拓扑图右击直接查看选中设备的设备概览、设备详情、告警列表等信息；</w:t>
            </w:r>
            <w:r>
              <w:rPr>
                <w:rFonts w:hint="eastAsia" w:ascii="宋体" w:hAnsi="宋体" w:cs="宋体"/>
                <w:kern w:val="0"/>
                <w:sz w:val="24"/>
              </w:rPr>
              <w:br w:type="textWrapping"/>
            </w:r>
            <w:r>
              <w:rPr>
                <w:rFonts w:hint="eastAsia" w:ascii="宋体" w:hAnsi="宋体" w:cs="宋体"/>
                <w:kern w:val="0"/>
                <w:sz w:val="24"/>
              </w:rPr>
              <w:t>治理中心支持统计概览，包括但不限于安全报告、合规审计日志、应急预案、跟踪文档、待整改业务系统展示，支持待整改业务系统排名、最新安全报告排名、最新跟踪文档等信息，最新安全报告支持下载</w:t>
            </w:r>
            <w:r>
              <w:rPr>
                <w:rFonts w:hint="eastAsia" w:ascii="宋体" w:hAnsi="宋体" w:cs="宋体"/>
                <w:kern w:val="0"/>
                <w:sz w:val="24"/>
              </w:rPr>
              <w:br w:type="textWrapping"/>
            </w:r>
            <w:r>
              <w:rPr>
                <w:rFonts w:hint="eastAsia" w:ascii="宋体" w:hAnsi="宋体" w:cs="宋体"/>
                <w:kern w:val="0"/>
                <w:sz w:val="24"/>
              </w:rPr>
              <w:t>3、支持合规审计，审计设备类型包括但不限于主机、安全设备、网络设备、业务应用、中间件、数据库</w:t>
            </w:r>
            <w:r>
              <w:rPr>
                <w:rFonts w:hint="eastAsia" w:ascii="宋体" w:hAnsi="宋体" w:cs="宋体"/>
                <w:kern w:val="0"/>
                <w:sz w:val="24"/>
              </w:rPr>
              <w:br w:type="textWrapping"/>
            </w:r>
            <w:r>
              <w:rPr>
                <w:rFonts w:hint="eastAsia" w:ascii="宋体" w:hAnsi="宋体" w:cs="宋体"/>
                <w:kern w:val="0"/>
                <w:sz w:val="24"/>
              </w:rPr>
              <w:t>4、支持全景网络攻击大屏，全景网络攻击大屏以全球地理关系地图的方式展示实时网络攻击事件态势，直观的展示攻击事件轨迹情况，快速感知最新攻击信息；</w:t>
            </w:r>
            <w:r>
              <w:rPr>
                <w:rFonts w:hint="eastAsia" w:ascii="宋体" w:hAnsi="宋体" w:cs="宋体"/>
                <w:kern w:val="0"/>
                <w:sz w:val="24"/>
              </w:rPr>
              <w:br w:type="textWrapping"/>
            </w:r>
            <w:r>
              <w:rPr>
                <w:rFonts w:hint="eastAsia" w:ascii="宋体" w:hAnsi="宋体" w:cs="宋体"/>
                <w:kern w:val="0"/>
                <w:sz w:val="24"/>
              </w:rPr>
              <w:t>5、支持根据丰富的攻击场景，以数据分析的方法，可视化呈现攻击细节，帮助用户分析安全场景的安全问题，无需复杂攻击表述，通过图表直观呈现攻击级别、攻击关系、攻击协议和端口分布情况，攻击类型包括攻击源 IP、攻击目标IP、攻击类型、攻击次数、攻击事件名称和发现攻击探针地址</w:t>
            </w:r>
            <w:r>
              <w:rPr>
                <w:rFonts w:hint="eastAsia" w:ascii="宋体" w:hAnsi="宋体" w:cs="宋体"/>
                <w:kern w:val="0"/>
                <w:sz w:val="24"/>
              </w:rPr>
              <w:br w:type="textWrapping"/>
            </w:r>
            <w:r>
              <w:rPr>
                <w:rFonts w:hint="eastAsia" w:ascii="宋体" w:hAnsi="宋体" w:cs="宋体"/>
                <w:kern w:val="0"/>
                <w:sz w:val="24"/>
              </w:rPr>
              <w:t>6、支持周期性任务调度，可分析联动任务队列，根据当前负载情况,将所接收的周期性任务分别分配给各任务队列，实现态势感知平台对联动任务执行节点的资源进行合理利用；</w:t>
            </w:r>
            <w:r>
              <w:rPr>
                <w:rFonts w:hint="eastAsia" w:ascii="宋体" w:hAnsi="宋体" w:cs="宋体"/>
                <w:kern w:val="0"/>
                <w:sz w:val="24"/>
              </w:rPr>
              <w:br w:type="textWrapping"/>
            </w:r>
            <w:r>
              <w:rPr>
                <w:rFonts w:hint="eastAsia" w:ascii="宋体" w:hAnsi="宋体" w:cs="宋体"/>
                <w:kern w:val="0"/>
                <w:sz w:val="24"/>
              </w:rPr>
              <w:t>7、支持至少50种日志展示字段，支持列集分组自定义、保存及快速切换，支持pcap导出、预览，支持检索日志的导出，包括但不限于txt、csv、excel，支持按时间序列统计日志</w:t>
            </w:r>
            <w:r>
              <w:rPr>
                <w:rFonts w:hint="eastAsia" w:ascii="宋体" w:hAnsi="宋体" w:cs="宋体"/>
                <w:kern w:val="0"/>
                <w:sz w:val="24"/>
              </w:rPr>
              <w:br w:type="textWrapping"/>
            </w:r>
            <w:r>
              <w:rPr>
                <w:rFonts w:hint="eastAsia" w:ascii="宋体" w:hAnsi="宋体" w:cs="宋体"/>
                <w:b/>
                <w:bCs/>
                <w:kern w:val="0"/>
                <w:sz w:val="24"/>
              </w:rPr>
              <w:t>8、联动能力，支持与防火墙，僵木蠕，终端防御联动，对防火墙、僵木蠕、终端防御分别支持多种策略配置，包括访问控制策略、安全策略、黑名单，一键扫描，一键隔离；支持系统使用云端情报和离线情报，支持对云端威胁情报来源配置包括接口地址、用户名、密码，支持对离线威胁情报进行导入；提供功能截图证明。</w:t>
            </w:r>
            <w:r>
              <w:rPr>
                <w:rFonts w:hint="eastAsia" w:ascii="宋体" w:hAnsi="宋体" w:cs="宋体"/>
                <w:kern w:val="0"/>
                <w:sz w:val="24"/>
              </w:rPr>
              <w:br w:type="textWrapping"/>
            </w:r>
            <w:r>
              <w:rPr>
                <w:rFonts w:hint="eastAsia" w:ascii="宋体" w:hAnsi="宋体" w:cs="宋体"/>
                <w:kern w:val="0"/>
                <w:sz w:val="24"/>
              </w:rPr>
              <w:t>9、支持备库管理，支持设备列表展示，展示信息包括设备名称、IP、MAC、所属操作系统、来源、是否添加到主库、所属任务、发现时间，支持对设备进行加入主库、编辑及删除操作，支持批量确认到主库及批量删除，支持按照设备名称、IP、来源、添加主库状态、所属任务进行组合过滤查询，设备来源包括主动探测和被动日志识别</w:t>
            </w:r>
            <w:r>
              <w:rPr>
                <w:rFonts w:hint="eastAsia" w:ascii="宋体" w:hAnsi="宋体" w:cs="宋体"/>
                <w:kern w:val="0"/>
                <w:sz w:val="24"/>
              </w:rPr>
              <w:br w:type="textWrapping"/>
            </w:r>
            <w:r>
              <w:rPr>
                <w:rFonts w:hint="eastAsia" w:ascii="宋体" w:hAnsi="宋体" w:cs="宋体"/>
                <w:kern w:val="0"/>
                <w:sz w:val="24"/>
              </w:rPr>
              <w:t>10、支持多视角全网拓扑管理，包括管控设备拓扑、资产拓扑、业务拓扑，支持自定义拓扑及主动扫描探测拓扑，支持编辑及保存拓扑，支持拓扑图的整体拖拽和缩放操作，支持对单个节点拖拽操作，支持查看拓扑图节点关联的资产设备概览、告警列表、漏洞列表等安全属性详细信息</w:t>
            </w:r>
            <w:r>
              <w:rPr>
                <w:rFonts w:hint="eastAsia" w:ascii="宋体" w:hAnsi="宋体" w:cs="宋体"/>
                <w:kern w:val="0"/>
                <w:sz w:val="24"/>
              </w:rPr>
              <w:br w:type="textWrapping"/>
            </w:r>
            <w:r>
              <w:rPr>
                <w:rFonts w:hint="eastAsia" w:ascii="宋体" w:hAnsi="宋体" w:cs="宋体"/>
                <w:kern w:val="0"/>
                <w:sz w:val="24"/>
              </w:rPr>
              <w:t>11、支持系统使用云端情报和离线情报，支持对云端威胁情报来源配置包括接口地址、用户名、密码，支持对离线威胁情报进行导入</w:t>
            </w:r>
            <w:r>
              <w:rPr>
                <w:rFonts w:hint="eastAsia" w:ascii="宋体" w:hAnsi="宋体" w:cs="宋体"/>
                <w:kern w:val="0"/>
                <w:sz w:val="24"/>
              </w:rPr>
              <w:br w:type="textWrapping"/>
            </w:r>
            <w:r>
              <w:rPr>
                <w:rFonts w:hint="eastAsia" w:ascii="宋体" w:hAnsi="宋体" w:cs="宋体"/>
                <w:kern w:val="0"/>
                <w:sz w:val="24"/>
              </w:rPr>
              <w:t>12、支持等保概览，包括但不限于统计等保业务系统数、已备案业务系统数、测评通过业务系统数、待整改业务系统数、已测评总次数、已整改总次数等统计信息，支持等保业务系统列表展示、等保业务系统等级分布统计、业务系统整改次数排名TOP5、业务系统测评次数排名TOP5、业务系统等保过程记录</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7</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僵尸网络木马和蠕虫监测与处置系统</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硬件配置：国产化产品，2U,内存≥32G, 硬盘≥4T,≥6个千兆电口(含1个HA口和1个管理口),≥4个千兆光口插槽,≥2个万兆光口插槽,冗余电源,≥2个扩展槽位；</w:t>
            </w:r>
            <w:r>
              <w:rPr>
                <w:rFonts w:hint="eastAsia" w:ascii="宋体" w:hAnsi="宋体" w:cs="宋体"/>
                <w:kern w:val="0"/>
                <w:sz w:val="24"/>
              </w:rPr>
              <w:br w:type="textWrapping"/>
            </w:r>
            <w:r>
              <w:rPr>
                <w:rFonts w:hint="eastAsia" w:ascii="宋体" w:hAnsi="宋体" w:cs="宋体"/>
                <w:kern w:val="0"/>
                <w:sz w:val="24"/>
              </w:rPr>
              <w:t>性能参数：综合威胁检测能力≥2Gbps,TCP最大并发连接数≥100W；含： 1年打包升级许可，包含攻击检测规则库、应用识别库、地理信息库、僵尸主机规则库、威胁情报库、URL分类库；</w:t>
            </w:r>
            <w:r>
              <w:rPr>
                <w:rFonts w:hint="eastAsia" w:ascii="宋体" w:hAnsi="宋体" w:cs="宋体"/>
                <w:kern w:val="0"/>
                <w:sz w:val="24"/>
              </w:rPr>
              <w:br w:type="textWrapping"/>
            </w:r>
            <w:r>
              <w:rPr>
                <w:rFonts w:hint="eastAsia" w:ascii="宋体" w:hAnsi="宋体" w:cs="宋体"/>
                <w:kern w:val="0"/>
                <w:sz w:val="24"/>
              </w:rPr>
              <w:t>1、攻击检测：能够检测扫描探测、暴力猜解、拒绝服务攻击、后门控制、溢出攻击、代码执行、非授权访问、注入攻击、URL跳转、跨站攻击、WebShell、浏览器劫持、文件漏洞攻击、物联网漏洞攻击、其他类攻击等在内的不少于13000种网络攻击事件</w:t>
            </w:r>
            <w:r>
              <w:rPr>
                <w:rFonts w:hint="eastAsia" w:ascii="宋体" w:hAnsi="宋体" w:cs="宋体"/>
                <w:kern w:val="0"/>
                <w:sz w:val="24"/>
              </w:rPr>
              <w:br w:type="textWrapping"/>
            </w:r>
            <w:r>
              <w:rPr>
                <w:rFonts w:hint="eastAsia" w:ascii="宋体" w:hAnsi="宋体" w:cs="宋体"/>
                <w:kern w:val="0"/>
                <w:sz w:val="24"/>
              </w:rPr>
              <w:t>2、支持可根据相似关系构建僵尸群落进行分析，发现僵尸网络之间的内在关系，实现有效跟踪研究僵尸网络背后的黑客组织行为模式；</w:t>
            </w:r>
            <w:r>
              <w:rPr>
                <w:rFonts w:hint="eastAsia" w:ascii="宋体" w:hAnsi="宋体" w:cs="宋体"/>
                <w:kern w:val="0"/>
                <w:sz w:val="24"/>
              </w:rPr>
              <w:br w:type="textWrapping"/>
            </w:r>
            <w:r>
              <w:rPr>
                <w:rFonts w:hint="eastAsia" w:ascii="宋体" w:hAnsi="宋体" w:cs="宋体"/>
                <w:kern w:val="0"/>
                <w:sz w:val="24"/>
              </w:rPr>
              <w:t>3、僵尸主机检测：支持能够检测僵尸网络、木马控制、蠕虫、挖矿、勒索、移动端木马控制、APT等多类型的僵尸主机行为；</w:t>
            </w:r>
            <w:r>
              <w:rPr>
                <w:rFonts w:hint="eastAsia" w:ascii="宋体" w:hAnsi="宋体" w:cs="宋体"/>
                <w:kern w:val="0"/>
                <w:sz w:val="24"/>
              </w:rPr>
              <w:br w:type="textWrapping"/>
            </w:r>
            <w:r>
              <w:rPr>
                <w:rFonts w:hint="eastAsia" w:ascii="宋体" w:hAnsi="宋体" w:cs="宋体"/>
                <w:kern w:val="0"/>
                <w:sz w:val="24"/>
              </w:rPr>
              <w:t>4、支持暴力破解攻击行为检测，包括SMTP服务暴力破解、POP3服务暴力破解、IMAP服务暴力破解、FTP服务暴力破解、TELNET服务暴力破解等；支持自定义周期和告警阈值；</w:t>
            </w:r>
            <w:r>
              <w:rPr>
                <w:rFonts w:hint="eastAsia" w:ascii="宋体" w:hAnsi="宋体" w:cs="宋体"/>
                <w:kern w:val="0"/>
                <w:sz w:val="24"/>
              </w:rPr>
              <w:br w:type="textWrapping"/>
            </w:r>
            <w:r>
              <w:rPr>
                <w:rFonts w:hint="eastAsia" w:ascii="宋体" w:hAnsi="宋体" w:cs="宋体"/>
                <w:kern w:val="0"/>
                <w:sz w:val="24"/>
              </w:rPr>
              <w:t>5、采用僵尸主机与控制主机异常通信行为检测的方式，具有独立的僵尸主机特征库，能够对7000种以上僵尸主机行为进行监测，包括僵尸网络行为、木马控制行为、蠕虫活动行为、挖矿行为、勒索软件行为、移动端木马控制行为、APT行为等多类型的僵尸主机行为；</w:t>
            </w:r>
            <w:r>
              <w:rPr>
                <w:rFonts w:hint="eastAsia" w:ascii="宋体" w:hAnsi="宋体" w:cs="宋体"/>
                <w:kern w:val="0"/>
                <w:sz w:val="24"/>
              </w:rPr>
              <w:br w:type="textWrapping"/>
            </w:r>
            <w:r>
              <w:rPr>
                <w:rFonts w:hint="eastAsia" w:ascii="宋体" w:hAnsi="宋体" w:cs="宋体"/>
                <w:b/>
                <w:bCs/>
                <w:kern w:val="0"/>
                <w:sz w:val="24"/>
              </w:rPr>
              <w:t>6、支持DDOS自学习模式检测，可设定学习时长。支持对学习结果进行批量下发，学习结果支持显示名称、阈值、操作。提供系统功能截图证明。</w:t>
            </w:r>
            <w:r>
              <w:rPr>
                <w:rFonts w:hint="eastAsia" w:ascii="宋体" w:hAnsi="宋体" w:cs="宋体"/>
                <w:kern w:val="0"/>
                <w:sz w:val="24"/>
              </w:rPr>
              <w:br w:type="textWrapping"/>
            </w:r>
            <w:r>
              <w:rPr>
                <w:rFonts w:hint="eastAsia" w:ascii="宋体" w:hAnsi="宋体" w:cs="宋体"/>
                <w:kern w:val="0"/>
                <w:sz w:val="24"/>
              </w:rPr>
              <w:t>7、支持对恶意程序实现特征检测、机器学习检测、内置虚拟沙箱检测等多种检测方式，并且多种检测方式相互独立、互不影响；支持专业沙箱设备联动检测；</w:t>
            </w:r>
            <w:r>
              <w:rPr>
                <w:rFonts w:hint="eastAsia" w:ascii="宋体" w:hAnsi="宋体" w:cs="宋体"/>
                <w:kern w:val="0"/>
                <w:sz w:val="24"/>
              </w:rPr>
              <w:br w:type="textWrapping"/>
            </w:r>
            <w:r>
              <w:rPr>
                <w:rFonts w:hint="eastAsia" w:ascii="宋体" w:hAnsi="宋体" w:cs="宋体"/>
                <w:kern w:val="0"/>
                <w:sz w:val="24"/>
              </w:rPr>
              <w:t>8、机器学习检测能够对目标文件实时检测实时还原效果，不依赖规则库检测实现对未知恶意程序检测；</w:t>
            </w:r>
            <w:r>
              <w:rPr>
                <w:rFonts w:hint="eastAsia" w:ascii="宋体" w:hAnsi="宋体" w:cs="宋体"/>
                <w:kern w:val="0"/>
                <w:sz w:val="24"/>
              </w:rPr>
              <w:br w:type="textWrapping"/>
            </w:r>
            <w:r>
              <w:rPr>
                <w:rFonts w:hint="eastAsia" w:ascii="宋体" w:hAnsi="宋体" w:cs="宋体"/>
                <w:kern w:val="0"/>
                <w:sz w:val="24"/>
              </w:rPr>
              <w:t>9、支持对SQL注入攻击、跨站攻击、浏览器劫持攻击、URL跳转攻击、WEB远程代码执行攻击、WEB缓冲区溢出攻击、WEB漏洞攻击、Webshell上传攻击、WEB越权攻击、WEB扫描攻击、目录遍历攻击、WEB口令暴力破解攻击等多种类型的WEB攻击检测；</w:t>
            </w:r>
            <w:r>
              <w:rPr>
                <w:rFonts w:hint="eastAsia" w:ascii="宋体" w:hAnsi="宋体" w:cs="宋体"/>
                <w:kern w:val="0"/>
                <w:sz w:val="24"/>
              </w:rPr>
              <w:br w:type="textWrapping"/>
            </w:r>
            <w:r>
              <w:rPr>
                <w:rFonts w:hint="eastAsia" w:ascii="宋体" w:hAnsi="宋体" w:cs="宋体"/>
                <w:kern w:val="0"/>
                <w:sz w:val="24"/>
              </w:rPr>
              <w:t>10、支持模拟仿真沙箱环境，对文件进行扫描分析、脱壳分析、动态行为分析等深度检测，脱壳分析支持多层壳、虚拟 机保护壳、自定义壳、高级包裹器；</w:t>
            </w:r>
            <w:r>
              <w:rPr>
                <w:rFonts w:hint="eastAsia" w:ascii="宋体" w:hAnsi="宋体" w:cs="宋体"/>
                <w:kern w:val="0"/>
                <w:sz w:val="24"/>
              </w:rPr>
              <w:br w:type="textWrapping"/>
            </w:r>
            <w:r>
              <w:rPr>
                <w:rFonts w:hint="eastAsia" w:ascii="宋体" w:hAnsi="宋体" w:cs="宋体"/>
                <w:kern w:val="0"/>
                <w:sz w:val="24"/>
              </w:rPr>
              <w:t>11、支持与防火墙，态势感知联动，实现联动阻断恶意事件的通信；防火墙阻塞时间可自定义；</w:t>
            </w:r>
            <w:r>
              <w:rPr>
                <w:rFonts w:hint="eastAsia" w:ascii="宋体" w:hAnsi="宋体" w:cs="宋体"/>
                <w:b/>
                <w:bCs/>
                <w:kern w:val="0"/>
                <w:sz w:val="24"/>
              </w:rPr>
              <w:br w:type="textWrapping"/>
            </w:r>
            <w:r>
              <w:rPr>
                <w:rFonts w:hint="eastAsia" w:ascii="宋体" w:hAnsi="宋体" w:cs="宋体"/>
                <w:kern w:val="0"/>
                <w:sz w:val="24"/>
              </w:rPr>
              <w:t>12、支持通过加速应用代理传送TCP连接粘合的http响应头报文,提高转发速度。</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b/>
                <w:bCs/>
                <w:color w:val="000000"/>
                <w:kern w:val="0"/>
                <w:sz w:val="24"/>
              </w:rPr>
              <w:t>五、机房运维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1950" w:type="dxa"/>
            <w:tcBorders>
              <w:tl2br w:val="nil"/>
              <w:tr2bl w:val="nil"/>
            </w:tcBorders>
            <w:shd w:val="clear" w:color="000000" w:fill="FFFFFF"/>
            <w:noWrap/>
            <w:vAlign w:val="center"/>
          </w:tcPr>
          <w:p>
            <w:pPr>
              <w:widowControl/>
              <w:adjustRightInd/>
              <w:rPr>
                <w:rFonts w:hint="eastAsia" w:ascii="宋体" w:hAnsi="宋体" w:cs="宋体"/>
                <w:color w:val="000000"/>
                <w:kern w:val="0"/>
                <w:sz w:val="24"/>
              </w:rPr>
            </w:pPr>
            <w:r>
              <w:rPr>
                <w:rFonts w:hint="eastAsia" w:ascii="宋体" w:hAnsi="宋体" w:cs="宋体"/>
                <w:color w:val="000000"/>
                <w:kern w:val="0"/>
                <w:sz w:val="24"/>
              </w:rPr>
              <w:t>移动运维平台</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为了对网络进行更加便捷管理，平台支持手机APP端的登录，在移动办公情况下可实现对交换机、无线控制器、无线AP的统一管理，实现网络配置、网络规划、增加设备的操作。</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1950" w:type="dxa"/>
            <w:tcBorders>
              <w:tl2br w:val="nil"/>
              <w:tr2bl w:val="nil"/>
            </w:tcBorders>
            <w:shd w:val="clear" w:color="000000" w:fill="FFFFFF"/>
            <w:noWrap/>
            <w:vAlign w:val="center"/>
          </w:tcPr>
          <w:p>
            <w:pPr>
              <w:widowControl/>
              <w:adjustRightInd/>
              <w:rPr>
                <w:rFonts w:hint="eastAsia" w:ascii="宋体" w:hAnsi="宋体" w:cs="宋体"/>
                <w:color w:val="000000"/>
                <w:kern w:val="0"/>
                <w:sz w:val="24"/>
              </w:rPr>
            </w:pPr>
            <w:r>
              <w:rPr>
                <w:rFonts w:hint="eastAsia" w:ascii="宋体" w:hAnsi="宋体" w:cs="宋体"/>
                <w:color w:val="000000"/>
                <w:kern w:val="0"/>
                <w:sz w:val="24"/>
              </w:rPr>
              <w:t>故障维护软件</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1、系统应支持大规模设备管理能力，可最多管理20,000台网元；</w:t>
            </w:r>
            <w:r>
              <w:rPr>
                <w:rFonts w:hint="eastAsia" w:ascii="宋体" w:hAnsi="宋体" w:cs="宋体"/>
                <w:color w:val="000000"/>
                <w:kern w:val="0"/>
                <w:sz w:val="24"/>
              </w:rPr>
              <w:br w:type="textWrapping"/>
            </w:r>
            <w:r>
              <w:rPr>
                <w:rFonts w:hint="eastAsia" w:ascii="宋体" w:hAnsi="宋体" w:cs="宋体"/>
                <w:color w:val="000000"/>
                <w:kern w:val="0"/>
                <w:sz w:val="24"/>
              </w:rPr>
              <w:t>2、系统应支持多种设备的管理，包括交换机、路由器、防火墙、WLAN、服务器、存储、超融合一体机、操作系统、数据库、WEB应用、摄像头、GPON设备、CPE通信终端等；</w:t>
            </w:r>
            <w:r>
              <w:rPr>
                <w:rFonts w:hint="eastAsia" w:ascii="宋体" w:hAnsi="宋体" w:cs="宋体"/>
                <w:color w:val="000000"/>
                <w:kern w:val="0"/>
                <w:sz w:val="24"/>
              </w:rPr>
              <w:br w:type="textWrapping"/>
            </w:r>
            <w:r>
              <w:rPr>
                <w:rFonts w:hint="eastAsia" w:ascii="宋体" w:hAnsi="宋体" w:cs="宋体"/>
                <w:color w:val="000000"/>
                <w:kern w:val="0"/>
                <w:sz w:val="24"/>
              </w:rPr>
              <w:t>3、系统使用B/S架构，支持使用WEB浏览器进行界面展示；</w:t>
            </w:r>
            <w:r>
              <w:rPr>
                <w:rFonts w:hint="eastAsia" w:ascii="宋体" w:hAnsi="宋体" w:cs="宋体"/>
                <w:color w:val="000000"/>
                <w:kern w:val="0"/>
                <w:sz w:val="24"/>
              </w:rPr>
              <w:br w:type="textWrapping"/>
            </w:r>
            <w:r>
              <w:rPr>
                <w:rFonts w:hint="eastAsia" w:ascii="宋体" w:hAnsi="宋体" w:cs="宋体"/>
                <w:color w:val="000000"/>
                <w:kern w:val="0"/>
                <w:sz w:val="24"/>
              </w:rPr>
              <w:t>4、系统提供分权分域功能，为不同的用户、角色分配不同的设备管理范围和操作权限；系统应支持本地认证以及RADIUS、LDAP、OAuth2.0等远端认证管理方式，实现用户的集中管理；</w:t>
            </w:r>
            <w:r>
              <w:rPr>
                <w:rFonts w:hint="eastAsia" w:ascii="宋体" w:hAnsi="宋体" w:cs="宋体"/>
                <w:color w:val="000000"/>
                <w:kern w:val="0"/>
                <w:sz w:val="24"/>
              </w:rPr>
              <w:br w:type="textWrapping"/>
            </w:r>
            <w:r>
              <w:rPr>
                <w:rFonts w:hint="eastAsia" w:ascii="宋体" w:hAnsi="宋体" w:cs="宋体"/>
                <w:color w:val="000000"/>
                <w:kern w:val="0"/>
                <w:sz w:val="24"/>
              </w:rPr>
              <w:t>5、统应提供标准北向接口（SNMP、FTP、Restful、消息队列），通过北向接口向上层系统提供告警、性能及资源数据，支持Kafka上报性能数据；</w:t>
            </w:r>
            <w:r>
              <w:rPr>
                <w:rFonts w:hint="eastAsia" w:ascii="宋体" w:hAnsi="宋体" w:cs="宋体"/>
                <w:color w:val="000000"/>
                <w:kern w:val="0"/>
                <w:sz w:val="24"/>
              </w:rPr>
              <w:br w:type="textWrapping"/>
            </w:r>
            <w:r>
              <w:rPr>
                <w:rFonts w:hint="eastAsia" w:ascii="宋体" w:hAnsi="宋体" w:cs="宋体"/>
                <w:color w:val="000000"/>
                <w:kern w:val="0"/>
                <w:sz w:val="24"/>
              </w:rPr>
              <w:t>6、系统应支持多种南向接口类型，包括SNMP、STelnet、FTP（服务端）、SFTP（客户端/服务端）、IPMI、HTTP（客户端）/HTTPS（REST/Redfish客户端、服务端）、LwM2M、WebSocket、SocketPing、ICMP、WebPing、WebTrace、SSDP接口，方便管理多种设备类型；</w:t>
            </w:r>
            <w:r>
              <w:rPr>
                <w:rFonts w:hint="eastAsia" w:ascii="宋体" w:hAnsi="宋体" w:cs="宋体"/>
                <w:color w:val="000000"/>
                <w:kern w:val="0"/>
                <w:sz w:val="24"/>
              </w:rPr>
              <w:br w:type="textWrapping"/>
            </w:r>
            <w:r>
              <w:rPr>
                <w:rFonts w:hint="eastAsia" w:ascii="宋体" w:hAnsi="宋体" w:cs="宋体"/>
                <w:color w:val="000000"/>
                <w:kern w:val="0"/>
                <w:sz w:val="24"/>
              </w:rPr>
              <w:t>7、支持将添加后的资源（如服务器、网络设备、存储设备等）进行分类和分组管理，用户通过配置不同的分组类型和分组将资源划分为不同类型以及不同分组；直观展示网络、服务器、视频、微波以及PON等设备的链路，并支持对链路进行发现、监控和配置，能够自动检测冲突链路；</w:t>
            </w:r>
            <w:r>
              <w:rPr>
                <w:rFonts w:hint="eastAsia" w:ascii="宋体" w:hAnsi="宋体" w:cs="宋体"/>
                <w:color w:val="000000"/>
                <w:kern w:val="0"/>
                <w:sz w:val="24"/>
              </w:rPr>
              <w:br w:type="textWrapping"/>
            </w:r>
            <w:r>
              <w:rPr>
                <w:rFonts w:hint="eastAsia" w:ascii="宋体" w:hAnsi="宋体" w:cs="宋体"/>
                <w:color w:val="000000"/>
                <w:kern w:val="0"/>
                <w:sz w:val="24"/>
              </w:rPr>
              <w:t>8、提供统一的设备远程上下电平台，对接入的服务器和存储设备可实现一键式上下电操作；支持用户拖拽式自定义报表内容，运用钻取、旋转、切片等操作，实现业务数据的灵活展现和统计汇总，提供自助式数据同比、环比、TOPN等分析功能；</w:t>
            </w:r>
            <w:r>
              <w:rPr>
                <w:rFonts w:hint="eastAsia" w:ascii="宋体" w:hAnsi="宋体" w:cs="宋体"/>
                <w:color w:val="000000"/>
                <w:kern w:val="0"/>
                <w:sz w:val="24"/>
              </w:rPr>
              <w:br w:type="textWrapping"/>
            </w:r>
            <w:r>
              <w:rPr>
                <w:rFonts w:hint="eastAsia" w:ascii="宋体" w:hAnsi="宋体" w:cs="宋体"/>
                <w:color w:val="000000"/>
                <w:kern w:val="0"/>
                <w:sz w:val="24"/>
              </w:rPr>
              <w:t>9、支持根据用户设定的周期自动生成报表，可以通过Email发送，也可以手动导出Excel、PDF、Word、Html格式的报表；</w:t>
            </w:r>
            <w:r>
              <w:rPr>
                <w:rFonts w:hint="eastAsia" w:ascii="宋体" w:hAnsi="宋体" w:cs="宋体"/>
                <w:color w:val="000000"/>
                <w:kern w:val="0"/>
                <w:sz w:val="24"/>
              </w:rPr>
              <w:br w:type="textWrapping"/>
            </w:r>
            <w:r>
              <w:rPr>
                <w:rFonts w:hint="eastAsia" w:ascii="宋体" w:hAnsi="宋体" w:cs="宋体"/>
                <w:color w:val="000000"/>
                <w:kern w:val="0"/>
                <w:sz w:val="24"/>
              </w:rPr>
              <w:t>10、系统应支持一站式网络设备（包含交换机、路由器、防火墙、AC等设备）仪表盘，通过设备、部件、仿真面板、运行状态等关键信息的集成显示，帮助运维人员快速全方位了解设备；</w:t>
            </w:r>
            <w:r>
              <w:rPr>
                <w:rFonts w:hint="eastAsia" w:ascii="宋体" w:hAnsi="宋体" w:cs="宋体"/>
                <w:color w:val="000000"/>
                <w:kern w:val="0"/>
                <w:sz w:val="24"/>
              </w:rPr>
              <w:br w:type="textWrapping"/>
            </w:r>
            <w:r>
              <w:rPr>
                <w:rFonts w:hint="eastAsia" w:ascii="宋体" w:hAnsi="宋体" w:cs="宋体"/>
                <w:color w:val="000000"/>
                <w:kern w:val="0"/>
                <w:sz w:val="24"/>
              </w:rPr>
              <w:t>11、系统应支持网络设备类型、设备CPU利用率、内存使用率统计、接口流量、链路流量、端口使用率等统计报表</w:t>
            </w:r>
            <w:r>
              <w:rPr>
                <w:rFonts w:hint="eastAsia" w:ascii="宋体" w:hAnsi="宋体" w:cs="宋体"/>
                <w:color w:val="000000"/>
                <w:kern w:val="0"/>
                <w:sz w:val="24"/>
              </w:rPr>
              <w:br w:type="textWrapping"/>
            </w:r>
            <w:r>
              <w:rPr>
                <w:rFonts w:hint="eastAsia" w:ascii="宋体" w:hAnsi="宋体" w:cs="宋体"/>
                <w:color w:val="000000"/>
                <w:kern w:val="0"/>
                <w:sz w:val="24"/>
              </w:rPr>
              <w:t>12、系统提供全网设备的配置文件管理，可以提供即时和周期的配置文件备份，支持对已备份的配置文件进行基线化、恢复和比较；</w:t>
            </w:r>
            <w:r>
              <w:rPr>
                <w:rFonts w:hint="eastAsia" w:ascii="宋体" w:hAnsi="宋体" w:cs="宋体"/>
                <w:color w:val="000000"/>
                <w:kern w:val="0"/>
                <w:sz w:val="24"/>
              </w:rPr>
              <w:br w:type="textWrapping"/>
            </w:r>
            <w:r>
              <w:rPr>
                <w:rFonts w:hint="eastAsia" w:ascii="宋体" w:hAnsi="宋体" w:cs="宋体"/>
                <w:color w:val="000000"/>
                <w:kern w:val="0"/>
                <w:sz w:val="24"/>
              </w:rPr>
              <w:t>13、系统应支持用户自定义配置模板或者导入规划表方式批量下发设备配置；</w:t>
            </w:r>
            <w:r>
              <w:rPr>
                <w:rFonts w:hint="eastAsia" w:ascii="宋体" w:hAnsi="宋体" w:cs="宋体"/>
                <w:color w:val="000000"/>
                <w:kern w:val="0"/>
                <w:sz w:val="24"/>
              </w:rPr>
              <w:br w:type="textWrapping"/>
            </w:r>
            <w:r>
              <w:rPr>
                <w:rFonts w:hint="eastAsia" w:ascii="宋体" w:hAnsi="宋体" w:cs="宋体"/>
                <w:color w:val="000000"/>
                <w:kern w:val="0"/>
                <w:sz w:val="24"/>
              </w:rPr>
              <w:t>14、系统应支持网络设备批量软件版本升级、软件补丁安装等功能，包括路由器、交换机、防火墙等；</w:t>
            </w:r>
            <w:r>
              <w:rPr>
                <w:rFonts w:hint="eastAsia" w:ascii="宋体" w:hAnsi="宋体" w:cs="宋体"/>
                <w:color w:val="000000"/>
                <w:kern w:val="0"/>
                <w:sz w:val="24"/>
              </w:rPr>
              <w:br w:type="textWrapping"/>
            </w:r>
            <w:r>
              <w:rPr>
                <w:rFonts w:hint="eastAsia" w:ascii="宋体" w:hAnsi="宋体" w:cs="宋体"/>
                <w:color w:val="000000"/>
                <w:kern w:val="0"/>
                <w:sz w:val="24"/>
              </w:rPr>
              <w:t>15、系统应支持主动在网络设备之间发送诊断报文，测量线路上的丢包率、时延、抖动等关键性能指标；</w:t>
            </w:r>
            <w:r>
              <w:rPr>
                <w:rFonts w:hint="eastAsia" w:ascii="宋体" w:hAnsi="宋体" w:cs="宋体"/>
                <w:color w:val="000000"/>
                <w:kern w:val="0"/>
                <w:sz w:val="24"/>
              </w:rPr>
              <w:br w:type="textWrapping"/>
            </w:r>
            <w:r>
              <w:rPr>
                <w:rFonts w:hint="eastAsia" w:ascii="宋体" w:hAnsi="宋体" w:cs="宋体"/>
                <w:color w:val="000000"/>
                <w:kern w:val="0"/>
                <w:sz w:val="24"/>
              </w:rPr>
              <w:t>16、系统默认提供ICMP Echo、ICMP Jitter、UDP Echo、UDP Jitter、DNS、DHCP等常用测试 用例；</w:t>
            </w:r>
            <w:r>
              <w:rPr>
                <w:rFonts w:hint="eastAsia" w:ascii="宋体" w:hAnsi="宋体" w:cs="宋体"/>
                <w:color w:val="000000"/>
                <w:kern w:val="0"/>
                <w:sz w:val="24"/>
              </w:rPr>
              <w:br w:type="textWrapping"/>
            </w:r>
            <w:r>
              <w:rPr>
                <w:rFonts w:hint="eastAsia" w:ascii="宋体" w:hAnsi="宋体" w:cs="宋体"/>
                <w:color w:val="000000"/>
                <w:kern w:val="0"/>
                <w:sz w:val="24"/>
              </w:rPr>
              <w:t>17、系统应支持实时监控全网流量，提供多维度TOPN流量分析报告，帮助用户及时发现网络中异常流量、了解网络带宽的使用情况；</w:t>
            </w:r>
            <w:r>
              <w:rPr>
                <w:rFonts w:hint="eastAsia" w:ascii="宋体" w:hAnsi="宋体" w:cs="宋体"/>
                <w:color w:val="000000"/>
                <w:kern w:val="0"/>
                <w:sz w:val="24"/>
              </w:rPr>
              <w:br w:type="textWrapping"/>
            </w:r>
            <w:r>
              <w:rPr>
                <w:rFonts w:hint="eastAsia" w:ascii="宋体" w:hAnsi="宋体" w:cs="宋体"/>
                <w:color w:val="000000"/>
                <w:kern w:val="0"/>
                <w:sz w:val="24"/>
              </w:rPr>
              <w:t>18、系统应支持钻取式流量分析能力，用户可通过选择查看条件，查看需要关注的流量信息；系统提供了链路接口流量、应用流量、主机流量、会话流量、设备流量等维度的TOPN流量分析能力；</w:t>
            </w:r>
            <w:r>
              <w:rPr>
                <w:rFonts w:hint="eastAsia" w:ascii="宋体" w:hAnsi="宋体" w:cs="宋体"/>
                <w:color w:val="000000"/>
                <w:kern w:val="0"/>
                <w:sz w:val="24"/>
              </w:rPr>
              <w:br w:type="textWrapping"/>
            </w:r>
            <w:r>
              <w:rPr>
                <w:rFonts w:hint="eastAsia" w:ascii="宋体" w:hAnsi="宋体" w:cs="宋体"/>
                <w:color w:val="000000"/>
                <w:kern w:val="0"/>
                <w:sz w:val="24"/>
              </w:rPr>
              <w:t>19、系统应支持对接主流规划工具，可快速导入网规数据，仿真楼栋、楼层、障碍物规划，实现信号覆盖可视；</w:t>
            </w:r>
            <w:r>
              <w:rPr>
                <w:rFonts w:hint="eastAsia" w:ascii="宋体" w:hAnsi="宋体" w:cs="宋体"/>
                <w:color w:val="000000"/>
                <w:kern w:val="0"/>
                <w:sz w:val="24"/>
              </w:rPr>
              <w:br w:type="textWrapping"/>
            </w:r>
            <w:r>
              <w:rPr>
                <w:rFonts w:hint="eastAsia" w:ascii="宋体" w:hAnsi="宋体" w:cs="宋体"/>
                <w:color w:val="000000"/>
                <w:kern w:val="0"/>
                <w:sz w:val="24"/>
              </w:rPr>
              <w:t xml:space="preserve">20、系统应支持WLAN网络DASHBOARD运维，包括概览、TOP AP统计、流量趋势、用户趋势、TOP区域统计等； </w:t>
            </w:r>
            <w:r>
              <w:rPr>
                <w:rFonts w:hint="eastAsia" w:ascii="宋体" w:hAnsi="宋体" w:cs="宋体"/>
                <w:color w:val="000000"/>
                <w:kern w:val="0"/>
                <w:sz w:val="24"/>
              </w:rPr>
              <w:br w:type="textWrapping"/>
            </w:r>
            <w:r>
              <w:rPr>
                <w:rFonts w:hint="eastAsia" w:ascii="宋体" w:hAnsi="宋体" w:cs="宋体"/>
                <w:color w:val="000000"/>
                <w:kern w:val="0"/>
                <w:sz w:val="24"/>
              </w:rPr>
              <w:t>21、系统应支持WIDS管理，探测无线网络中的非法设备/客户端、干扰源和攻击，并通过告警通知运维人员；</w:t>
            </w:r>
            <w:r>
              <w:rPr>
                <w:rFonts w:hint="eastAsia" w:ascii="宋体" w:hAnsi="宋体" w:cs="宋体"/>
                <w:color w:val="000000"/>
                <w:kern w:val="0"/>
                <w:sz w:val="24"/>
              </w:rPr>
              <w:br w:type="textWrapping"/>
            </w:r>
            <w:r>
              <w:rPr>
                <w:rFonts w:hint="eastAsia" w:ascii="宋体" w:hAnsi="宋体" w:cs="宋体"/>
                <w:color w:val="000000"/>
                <w:kern w:val="0"/>
                <w:sz w:val="24"/>
              </w:rPr>
              <w:t>22、系统应支持一键式故障检测，从终端、空口、AP、AC、连通性、AAA、DHCP七个维度识别问题并提供故障原因和修复建议；</w:t>
            </w:r>
            <w:r>
              <w:rPr>
                <w:rFonts w:hint="eastAsia" w:ascii="宋体" w:hAnsi="宋体" w:cs="宋体"/>
                <w:color w:val="000000"/>
                <w:kern w:val="0"/>
                <w:sz w:val="24"/>
              </w:rPr>
              <w:br w:type="textWrapping"/>
            </w:r>
            <w:r>
              <w:rPr>
                <w:rFonts w:hint="eastAsia" w:ascii="宋体" w:hAnsi="宋体" w:cs="宋体"/>
                <w:color w:val="000000"/>
                <w:kern w:val="0"/>
                <w:sz w:val="24"/>
              </w:rPr>
              <w:t>23、系统应至少提供AP在线时长报表、在线用户趋势报表、AP接口统计报表、用户明细报表等WLAN运维报表等报表，为网络运维提供优化依据；</w:t>
            </w:r>
            <w:r>
              <w:rPr>
                <w:rFonts w:hint="eastAsia" w:ascii="宋体" w:hAnsi="宋体" w:cs="宋体"/>
                <w:color w:val="000000"/>
                <w:kern w:val="0"/>
                <w:sz w:val="24"/>
              </w:rPr>
              <w:br w:type="textWrapping"/>
            </w:r>
            <w:r>
              <w:rPr>
                <w:rFonts w:hint="eastAsia" w:ascii="宋体" w:hAnsi="宋体" w:cs="宋体"/>
                <w:color w:val="000000"/>
                <w:kern w:val="0"/>
                <w:sz w:val="24"/>
              </w:rPr>
              <w:t>24、系统应支持支持IP地址状态的概览展示，IP分组的管理和IP子网的规划；支持管理员对IP地址进行分配，修改，回收，以及导入导出，可以根据配置参数和实际使用状态检测空闲IP地址；</w:t>
            </w:r>
            <w:r>
              <w:rPr>
                <w:rFonts w:hint="eastAsia" w:ascii="宋体" w:hAnsi="宋体" w:cs="宋体"/>
                <w:color w:val="000000"/>
                <w:kern w:val="0"/>
                <w:sz w:val="24"/>
              </w:rPr>
              <w:br w:type="textWrapping"/>
            </w:r>
            <w:r>
              <w:rPr>
                <w:rFonts w:hint="eastAsia" w:ascii="宋体" w:hAnsi="宋体" w:cs="宋体"/>
                <w:color w:val="000000"/>
                <w:kern w:val="0"/>
                <w:sz w:val="24"/>
              </w:rPr>
              <w:t>应用监控 系统应支持查看Web应用状态、名称、IP地址、子网、端口、类型、版本等；</w:t>
            </w:r>
            <w:r>
              <w:rPr>
                <w:rFonts w:hint="eastAsia" w:ascii="宋体" w:hAnsi="宋体" w:cs="宋体"/>
                <w:color w:val="000000"/>
                <w:kern w:val="0"/>
                <w:sz w:val="24"/>
              </w:rPr>
              <w:br w:type="textWrapping"/>
            </w:r>
            <w:r>
              <w:rPr>
                <w:rFonts w:hint="eastAsia" w:ascii="宋体" w:hAnsi="宋体" w:cs="宋体"/>
                <w:color w:val="000000"/>
                <w:kern w:val="0"/>
                <w:sz w:val="24"/>
              </w:rPr>
              <w:t>25、系统应支持详细展示Web应用的基本信息（状态、名称、IP地址、类型等）、告警信息、协议参数；</w:t>
            </w:r>
            <w:r>
              <w:rPr>
                <w:rFonts w:hint="eastAsia" w:ascii="宋体" w:hAnsi="宋体" w:cs="宋体"/>
                <w:color w:val="000000"/>
                <w:kern w:val="0"/>
                <w:sz w:val="24"/>
              </w:rPr>
              <w:br w:type="textWrapping"/>
            </w:r>
            <w:r>
              <w:rPr>
                <w:rFonts w:hint="eastAsia" w:ascii="宋体" w:hAnsi="宋体" w:cs="宋体"/>
                <w:color w:val="000000"/>
                <w:kern w:val="0"/>
                <w:sz w:val="24"/>
              </w:rPr>
              <w:t>26、系统应支持监控Web应用的系统连通性以及响应时间；</w:t>
            </w:r>
            <w:r>
              <w:rPr>
                <w:rFonts w:hint="eastAsia" w:ascii="宋体" w:hAnsi="宋体" w:cs="宋体"/>
                <w:color w:val="000000"/>
                <w:kern w:val="0"/>
                <w:sz w:val="24"/>
              </w:rPr>
              <w:br w:type="textWrapping"/>
            </w:r>
            <w:r>
              <w:rPr>
                <w:rFonts w:hint="eastAsia" w:ascii="宋体" w:hAnsi="宋体" w:cs="宋体"/>
                <w:color w:val="000000"/>
                <w:kern w:val="0"/>
                <w:sz w:val="24"/>
              </w:rPr>
              <w:t>27、系统应支持业务拓扑形式查看应用、中间件、操作系统、虚拟层、IT层、网络层中对象之间的依赖、关联关系，能够清晰的展示个层级之间的依赖影响以及故障传递路径，提供端到端的业务故障分析；</w:t>
            </w:r>
            <w:r>
              <w:rPr>
                <w:rFonts w:hint="eastAsia" w:ascii="宋体" w:hAnsi="宋体" w:cs="宋体"/>
                <w:color w:val="000000"/>
                <w:kern w:val="0"/>
                <w:sz w:val="24"/>
              </w:rPr>
              <w:br w:type="textWrapping"/>
            </w:r>
            <w:r>
              <w:rPr>
                <w:rFonts w:hint="eastAsia" w:ascii="宋体" w:hAnsi="宋体" w:cs="宋体"/>
                <w:color w:val="000000"/>
                <w:kern w:val="0"/>
                <w:sz w:val="24"/>
              </w:rPr>
              <w:t>28、系统应支持根据业务视图中应用与设备告警、KPI等关联关系评估业务健康度、繁忙度；</w:t>
            </w:r>
            <w:r>
              <w:rPr>
                <w:rFonts w:hint="eastAsia" w:ascii="宋体" w:hAnsi="宋体" w:cs="宋体"/>
                <w:color w:val="000000"/>
                <w:kern w:val="0"/>
                <w:sz w:val="24"/>
              </w:rPr>
              <w:br w:type="textWrapping"/>
            </w:r>
            <w:r>
              <w:rPr>
                <w:rFonts w:hint="eastAsia" w:ascii="宋体" w:hAnsi="宋体" w:cs="宋体"/>
                <w:color w:val="000000"/>
                <w:kern w:val="0"/>
                <w:sz w:val="24"/>
              </w:rPr>
              <w:t>29、系统应支持对PON网络的OLT/ONU/ORE设备进行网元基本信息、网元状态、关键KPI监控，实现PON网络中设备的统一监控；</w:t>
            </w:r>
            <w:r>
              <w:rPr>
                <w:rFonts w:hint="eastAsia" w:ascii="宋体" w:hAnsi="宋体" w:cs="宋体"/>
                <w:color w:val="000000"/>
                <w:kern w:val="0"/>
                <w:sz w:val="24"/>
              </w:rPr>
              <w:br w:type="textWrapping"/>
            </w:r>
            <w:r>
              <w:rPr>
                <w:rFonts w:hint="eastAsia" w:ascii="宋体" w:hAnsi="宋体" w:cs="宋体"/>
                <w:color w:val="000000"/>
                <w:kern w:val="0"/>
                <w:sz w:val="24"/>
              </w:rPr>
              <w:t>30、系统应支持通过零配置策略和场景模板对在建网络进行业务规划和设计，完成网络部署之后根据零配置策略和场景模板中设计的业务规划自动下发业务至PON设备；</w:t>
            </w:r>
            <w:r>
              <w:rPr>
                <w:rFonts w:hint="eastAsia" w:ascii="宋体" w:hAnsi="宋体" w:cs="宋体"/>
                <w:color w:val="000000"/>
                <w:kern w:val="0"/>
                <w:sz w:val="24"/>
              </w:rPr>
              <w:br w:type="textWrapping"/>
            </w:r>
            <w:r>
              <w:rPr>
                <w:rFonts w:hint="eastAsia" w:ascii="宋体" w:hAnsi="宋体" w:cs="宋体"/>
                <w:color w:val="000000"/>
                <w:kern w:val="0"/>
                <w:sz w:val="24"/>
              </w:rPr>
              <w:t>31、系统应至少提供OLT状态统计报表、PON口使用情况统计报表、ONU状态统计报表、周期内以太端口发送接收带宽利用率 TOP10报表、周期内PON端口发送接收带宽利用率 TOP10；</w:t>
            </w:r>
            <w:r>
              <w:rPr>
                <w:rFonts w:hint="eastAsia" w:ascii="宋体" w:hAnsi="宋体" w:cs="宋体"/>
                <w:color w:val="000000"/>
                <w:kern w:val="0"/>
                <w:sz w:val="24"/>
              </w:rPr>
              <w:br w:type="textWrapping"/>
            </w:r>
            <w:r>
              <w:rPr>
                <w:rFonts w:hint="eastAsia" w:ascii="宋体" w:hAnsi="宋体" w:cs="宋体"/>
                <w:color w:val="000000"/>
                <w:kern w:val="0"/>
                <w:sz w:val="24"/>
              </w:rPr>
              <w:t>32、系统应支持GPON业务相关指标数据采集监控，预置指标模板包括：OLT设备性能指标模板；ONU和ONU以太口性能指标模板；PON端口和以太口性能指标模板。</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b/>
                <w:bCs/>
                <w:color w:val="000000"/>
                <w:kern w:val="0"/>
                <w:sz w:val="24"/>
              </w:rPr>
              <w:t>六、网络中心机房</w:t>
            </w: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b/>
                <w:bCs/>
                <w:color w:val="000000"/>
                <w:kern w:val="0"/>
                <w:sz w:val="24"/>
              </w:rPr>
            </w:pPr>
            <w:r>
              <w:rPr>
                <w:rFonts w:hint="eastAsia" w:ascii="宋体" w:hAnsi="宋体" w:cs="宋体"/>
                <w:b/>
                <w:bCs/>
                <w:color w:val="000000"/>
                <w:kern w:val="0"/>
                <w:sz w:val="24"/>
              </w:rPr>
              <w:t>（一）机房供配电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综合配电柜</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成套配电柜，落地式；含机房总开关、UPS输入总开、UPS输出总开、精密空调开关、照明开关、插座开关、机柜开关等；配置智能电量仪，显示电压电流等信息，能接入机房监控系统，并能通过远程通信，能实现机房数据的集中监控。</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UPS输入输出电缆</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WDZA-YJY-4*70+1*35。</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m</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配电单元电缆</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WDZB-YJY-4*50+1*25。</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m</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精密空调电缆</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ZR-YJV-5*10。</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m</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机柜电缆</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WDZB-YJY-3*4。</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m</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6</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嵌入式LED平板灯</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600*600mm,LED平板灯。</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7</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安全出口指示灯</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LED光源，90分钟。</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8</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灯开关</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10A</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墙插座</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16A，五孔。</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10</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照明插座电线</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ZR-BV2.5</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m</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供配电辅材</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接地箱、穿线管、铜鼻子、扎带、绝缘管等。</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批</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b/>
                <w:bCs/>
                <w:color w:val="000000"/>
                <w:kern w:val="0"/>
                <w:sz w:val="24"/>
              </w:rPr>
            </w:pPr>
            <w:r>
              <w:rPr>
                <w:rFonts w:hint="eastAsia" w:ascii="宋体" w:hAnsi="宋体" w:cs="宋体"/>
                <w:b/>
                <w:bCs/>
                <w:color w:val="000000"/>
                <w:kern w:val="0"/>
                <w:sz w:val="24"/>
              </w:rPr>
              <w:t>（二）机房防雷接地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接地铜排</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40*4紫铜排。</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米</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绝缘子</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低压高强度绝缘子，高度≥8CM。</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接地线缆</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ZR-BVR-6、ZR-BVR-16、ZR-BVR-25，含接线头。</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项</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二级电源防雷器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限压型 ,四模块, 30kA（In）,60kA（Imax）,Up＜1800V。</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三级电源防雷器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限压型 , 四模块,20kA（In）,40kA（Imax）,Up＜1800V。</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6</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接地辅材</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膨胀螺丝、螺丝螺母等。</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批</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7</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接地电阻测试</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中心机房接地电阻测试。</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项</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b/>
                <w:bCs/>
                <w:color w:val="000000"/>
                <w:kern w:val="0"/>
                <w:sz w:val="24"/>
              </w:rPr>
            </w:pPr>
            <w:r>
              <w:rPr>
                <w:rFonts w:hint="eastAsia" w:ascii="宋体" w:hAnsi="宋体" w:cs="宋体"/>
                <w:b/>
                <w:bCs/>
                <w:color w:val="000000"/>
                <w:kern w:val="0"/>
                <w:sz w:val="24"/>
              </w:rPr>
              <w:t>（三）机柜冷通道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IT机柜</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1、服务器机柜尺寸规格（W×D×H）：约600mm×1200mm×2000mm，42U；</w:t>
            </w:r>
            <w:r>
              <w:rPr>
                <w:rFonts w:hint="eastAsia" w:ascii="宋体" w:hAnsi="宋体" w:cs="宋体"/>
                <w:color w:val="000000"/>
                <w:kern w:val="0"/>
                <w:sz w:val="24"/>
                <w:highlight w:val="yellow"/>
              </w:rPr>
              <w:br w:type="textWrapping"/>
            </w:r>
            <w:r>
              <w:rPr>
                <w:rFonts w:hint="eastAsia" w:ascii="宋体" w:hAnsi="宋体" w:cs="宋体"/>
                <w:color w:val="000000"/>
                <w:kern w:val="0"/>
                <w:sz w:val="24"/>
              </w:rPr>
              <w:t>2、机柜结构应牢固，箱体及内部钣金件装配结束后结构件不扭曲，紧固件连接应牢固、可靠、无松动，内部可安装层板，且高度可调整，可安装层板，层板可根据立柱的孔位进行调整，并可锁附在U 立柱上；</w:t>
            </w:r>
            <w:r>
              <w:rPr>
                <w:rFonts w:hint="eastAsia" w:ascii="宋体" w:hAnsi="宋体" w:cs="宋体"/>
                <w:color w:val="000000"/>
                <w:kern w:val="0"/>
                <w:sz w:val="24"/>
              </w:rPr>
              <w:br w:type="textWrapping"/>
            </w:r>
            <w:r>
              <w:rPr>
                <w:rFonts w:hint="eastAsia" w:ascii="宋体" w:hAnsi="宋体" w:cs="宋体"/>
                <w:color w:val="000000"/>
                <w:kern w:val="0"/>
                <w:sz w:val="24"/>
              </w:rPr>
              <w:t>3、机柜的外观应光洁平整，不得有明显的凹凸不平或机械损伤，不得有裂纹、毛刺、破坏性压痕或严重锈蚀等缺陷，机柜各零部件需要具备相应的防腐或装饰性涂镀层，涂镀层的厚度不小于80微米；</w:t>
            </w:r>
            <w:r>
              <w:rPr>
                <w:rFonts w:hint="eastAsia" w:ascii="宋体" w:hAnsi="宋体" w:cs="宋体"/>
                <w:color w:val="000000"/>
                <w:kern w:val="0"/>
                <w:sz w:val="24"/>
              </w:rPr>
              <w:br w:type="textWrapping"/>
            </w:r>
            <w:r>
              <w:rPr>
                <w:rFonts w:hint="eastAsia" w:ascii="宋体" w:hAnsi="宋体" w:cs="宋体"/>
                <w:color w:val="000000"/>
                <w:kern w:val="0"/>
                <w:sz w:val="24"/>
              </w:rPr>
              <w:t>4、机柜采用高强度的优质热镀锌钢板，前后门须采用具有良好透风性能网状结构，前门采用单开平板网孔门，后门采用双开平板门，主框架、立柱采用≥3.0mm厚材料，其它≥1.5mm厚材料；机柜具备有良好的承重能力，静置72h承重≥2700KG；</w:t>
            </w:r>
            <w:r>
              <w:rPr>
                <w:rFonts w:hint="eastAsia" w:ascii="宋体" w:hAnsi="宋体" w:cs="宋体"/>
                <w:color w:val="000000"/>
                <w:kern w:val="0"/>
                <w:sz w:val="24"/>
              </w:rPr>
              <w:br w:type="textWrapping"/>
            </w:r>
            <w:r>
              <w:rPr>
                <w:rFonts w:hint="eastAsia" w:ascii="宋体" w:hAnsi="宋体" w:cs="宋体"/>
                <w:color w:val="000000"/>
                <w:kern w:val="0"/>
                <w:sz w:val="24"/>
              </w:rPr>
              <w:t>5、服务器机柜应具有良好的环境适应性能，通过48小时以上盐雾测试后机柜、侧门、导轨、承重板、盲板表面无腐蚀；</w:t>
            </w:r>
            <w:r>
              <w:rPr>
                <w:rFonts w:hint="eastAsia" w:ascii="宋体" w:hAnsi="宋体" w:cs="宋体"/>
                <w:color w:val="000000"/>
                <w:kern w:val="0"/>
                <w:sz w:val="24"/>
              </w:rPr>
              <w:br w:type="textWrapping"/>
            </w:r>
            <w:r>
              <w:rPr>
                <w:rFonts w:hint="eastAsia" w:ascii="宋体" w:hAnsi="宋体" w:cs="宋体"/>
                <w:color w:val="000000"/>
                <w:kern w:val="0"/>
                <w:sz w:val="24"/>
              </w:rPr>
              <w:t>注：为保证系统的兼容性、稳定性及方便后期便于维护建议模块化UPS主机、列间专用精密空调、精密配电柜、IT机柜及冷通道组件为同一品牌。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精密列头柜</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1、采用19英寸42U标准机</w:t>
            </w:r>
            <w:r>
              <w:rPr>
                <w:rFonts w:hint="eastAsia" w:ascii="宋体" w:hAnsi="宋体" w:cs="宋体"/>
                <w:kern w:val="0"/>
                <w:sz w:val="24"/>
              </w:rPr>
              <w:t>柜，柜体尺寸（宽*深*高）约600*1200*2000mm；配电柜柜体采用冷轧钢板；</w:t>
            </w:r>
            <w:r>
              <w:rPr>
                <w:rFonts w:hint="eastAsia" w:ascii="宋体" w:hAnsi="宋体" w:cs="宋体"/>
                <w:kern w:val="0"/>
                <w:sz w:val="24"/>
              </w:rPr>
              <w:br w:type="textWrapping"/>
            </w:r>
            <w:r>
              <w:rPr>
                <w:rFonts w:hint="eastAsia" w:ascii="宋体" w:hAnsi="宋体" w:cs="宋体"/>
                <w:kern w:val="0"/>
                <w:sz w:val="24"/>
              </w:rPr>
              <w:t>2、配电输入：双路MCCB输入，额定电流250A/3P；</w:t>
            </w:r>
            <w:r>
              <w:rPr>
                <w:rFonts w:hint="eastAsia" w:ascii="宋体" w:hAnsi="宋体" w:cs="宋体"/>
                <w:kern w:val="0"/>
                <w:sz w:val="24"/>
              </w:rPr>
              <w:br w:type="textWrapping"/>
            </w:r>
            <w:r>
              <w:rPr>
                <w:rFonts w:hint="eastAsia" w:ascii="宋体" w:hAnsi="宋体" w:cs="宋体"/>
                <w:kern w:val="0"/>
                <w:sz w:val="24"/>
              </w:rPr>
              <w:t>3、IT配电输出：2路IT配电，每路</w:t>
            </w:r>
            <w:r>
              <w:rPr>
                <w:rFonts w:hint="eastAsia" w:ascii="宋体" w:hAnsi="宋体" w:cs="宋体"/>
                <w:color w:val="000000"/>
                <w:kern w:val="0"/>
                <w:sz w:val="24"/>
              </w:rPr>
              <w:t>支持单相1P32A/48路输出，满足2N配电架构；标配输出接线排；</w:t>
            </w:r>
            <w:r>
              <w:rPr>
                <w:rFonts w:hint="eastAsia" w:ascii="宋体" w:hAnsi="宋体" w:cs="宋体"/>
                <w:color w:val="000000"/>
                <w:kern w:val="0"/>
                <w:sz w:val="24"/>
              </w:rPr>
              <w:br w:type="textWrapping"/>
            </w:r>
            <w:r>
              <w:rPr>
                <w:rFonts w:hint="eastAsia" w:ascii="宋体" w:hAnsi="宋体" w:cs="宋体"/>
                <w:color w:val="000000"/>
                <w:kern w:val="0"/>
                <w:sz w:val="24"/>
              </w:rPr>
              <w:t>4、标配C级防雷；</w:t>
            </w:r>
            <w:r>
              <w:rPr>
                <w:rFonts w:hint="eastAsia" w:ascii="宋体" w:hAnsi="宋体" w:cs="宋体"/>
                <w:color w:val="000000"/>
                <w:kern w:val="0"/>
                <w:sz w:val="24"/>
              </w:rPr>
              <w:br w:type="textWrapping"/>
            </w:r>
            <w:r>
              <w:rPr>
                <w:rFonts w:hint="eastAsia" w:ascii="宋体" w:hAnsi="宋体" w:cs="宋体"/>
                <w:color w:val="000000"/>
                <w:kern w:val="0"/>
                <w:sz w:val="24"/>
              </w:rPr>
              <w:t>5、采用7寸LCD彩色触摸屏，具备RS485/232接口，提供Modbus通信协议；</w:t>
            </w:r>
            <w:r>
              <w:rPr>
                <w:rFonts w:hint="eastAsia" w:ascii="宋体" w:hAnsi="宋体" w:cs="宋体"/>
                <w:color w:val="000000"/>
                <w:kern w:val="0"/>
                <w:sz w:val="24"/>
              </w:rPr>
              <w:br w:type="textWrapping"/>
            </w:r>
            <w:r>
              <w:rPr>
                <w:rFonts w:hint="eastAsia" w:ascii="宋体" w:hAnsi="宋体" w:cs="宋体"/>
                <w:color w:val="000000"/>
                <w:kern w:val="0"/>
                <w:sz w:val="24"/>
              </w:rPr>
              <w:t>6、断路器；精密配电柜中所使用的断路器63A及以下采用小型断路器，＞63A采用塑壳断路器；可对主回路及支路进行全电量监控；</w:t>
            </w:r>
            <w:r>
              <w:rPr>
                <w:rFonts w:hint="eastAsia" w:ascii="宋体" w:hAnsi="宋体" w:cs="宋体"/>
                <w:color w:val="000000"/>
                <w:kern w:val="0"/>
                <w:sz w:val="24"/>
              </w:rPr>
              <w:br w:type="textWrapping"/>
            </w:r>
            <w:r>
              <w:rPr>
                <w:rFonts w:hint="eastAsia" w:ascii="宋体" w:hAnsi="宋体" w:cs="宋体"/>
                <w:color w:val="000000"/>
                <w:kern w:val="0"/>
                <w:sz w:val="24"/>
              </w:rPr>
              <w:t>注：为保证系统的兼容性、稳定性及方便后期便于维护建议模块化UPS主机、列间专用精密空调、精密配电柜、IT机柜及冷通道组件为同一品牌。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侧板</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机柜侧面封板，含上下两块。</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侧</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1U封板</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1U封板，用于机柜冷热风道隔离，免工具、快拆设计。</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轻载层板</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承载IT设备承重100KG,适用于1200mm深的服务器机柜。</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6</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L型导轨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承载没有导轨的设备,承重50KG，适用于1200mm深的服务器机柜。</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付</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7</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300宽M型线槽</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宽度300mm，1.48米跨接桥架，用于顶部跨通道过线，含中间隔板及支撑件。</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8</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600宽M型线槽</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适配600柜宽，安装于机柜顶部，用于强弱电走线。</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冷通道组件</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1、冷通道组件包含2扇全自动封闭通道端门、2块固定天窗、8块翻转天窗、1个600宽空调预留柜、1套LED照明灯、1套智能门楣、20套天窗支撑板、20套通道围板；</w:t>
            </w:r>
            <w:r>
              <w:rPr>
                <w:rFonts w:hint="eastAsia" w:ascii="宋体" w:hAnsi="宋体" w:cs="宋体"/>
                <w:color w:val="000000"/>
                <w:kern w:val="0"/>
                <w:sz w:val="24"/>
              </w:rPr>
              <w:br w:type="textWrapping"/>
            </w:r>
            <w:r>
              <w:rPr>
                <w:rFonts w:hint="eastAsia" w:ascii="宋体" w:hAnsi="宋体" w:cs="宋体"/>
                <w:color w:val="000000"/>
                <w:kern w:val="0"/>
                <w:sz w:val="24"/>
              </w:rPr>
              <w:t>2、全封闭通道端门要求：含前后2个全包围自动平移门（含门盒）；每个端门标配LOGO门楣及左右波纹光影封板，隐藏式玻璃门；自动门采用12mm厚钢化玻璃，端门通道玻璃面积占比98%以上；微模块端门应具备红外关门防夹功能：当有人员或异物处于通道门中间区域，通道门不会执行关闭动作；微模块端门应具备出门按钮及紧急开门按钮，支持开关门检测、远程开关门控制及消防联动功能；微模块应内置智能灯光系统：支持LOGO门楣、门框氛围灯，支持人体感应控制，微模块门框氛围灯可支持全彩展示，支持告警联动变色；</w:t>
            </w:r>
            <w:r>
              <w:rPr>
                <w:rFonts w:hint="eastAsia" w:ascii="宋体" w:hAnsi="宋体" w:cs="宋体"/>
                <w:color w:val="000000"/>
                <w:kern w:val="0"/>
                <w:sz w:val="24"/>
              </w:rPr>
              <w:br w:type="textWrapping"/>
            </w:r>
            <w:r>
              <w:rPr>
                <w:rFonts w:hint="eastAsia" w:ascii="宋体" w:hAnsi="宋体" w:cs="宋体"/>
                <w:color w:val="000000"/>
                <w:kern w:val="0"/>
                <w:sz w:val="24"/>
              </w:rPr>
              <w:t>3、LED照明灯要求：LED照明灯，T5灯管，220Vac，支持按钮控制，配合环境监控系统具备功能：A、摄像头人体感应控制；B、远程灯光模式控制；</w:t>
            </w:r>
            <w:r>
              <w:rPr>
                <w:rFonts w:hint="eastAsia" w:ascii="宋体" w:hAnsi="宋体" w:cs="宋体"/>
                <w:color w:val="000000"/>
                <w:kern w:val="0"/>
                <w:sz w:val="24"/>
              </w:rPr>
              <w:br w:type="textWrapping"/>
            </w:r>
            <w:r>
              <w:rPr>
                <w:rFonts w:hint="eastAsia" w:ascii="宋体" w:hAnsi="宋体" w:cs="宋体"/>
                <w:b/>
                <w:bCs/>
                <w:color w:val="000000"/>
                <w:kern w:val="0"/>
                <w:sz w:val="24"/>
              </w:rPr>
              <w:t>4、智能门楣要求：支持显示系统动环数据，至少包含温度、湿度、负载量、PUE 数据，并具备环状图或水波图展示；支持展示监控点位数据、背景图、公司 logo、滚动文字信息，并支持自定义设置；提供具有国家认可检测资质的第三方机构出具的检测报告。</w:t>
            </w:r>
            <w:r>
              <w:rPr>
                <w:rFonts w:hint="eastAsia" w:ascii="宋体" w:hAnsi="宋体" w:cs="宋体"/>
                <w:color w:val="000000"/>
                <w:kern w:val="0"/>
                <w:sz w:val="24"/>
              </w:rPr>
              <w:br w:type="textWrapping"/>
            </w:r>
            <w:r>
              <w:rPr>
                <w:rFonts w:hint="eastAsia" w:ascii="宋体" w:hAnsi="宋体" w:cs="宋体"/>
                <w:color w:val="000000"/>
                <w:kern w:val="0"/>
                <w:sz w:val="24"/>
              </w:rPr>
              <w:t>5、微模块应具备8、9级烈度抗震性能，被检测冷通道需包含配电、精密空调、冷通道框架等基本结构，被检设备总质量不低于10t；</w:t>
            </w:r>
            <w:r>
              <w:rPr>
                <w:rFonts w:hint="eastAsia" w:ascii="宋体" w:hAnsi="宋体" w:cs="宋体"/>
                <w:color w:val="000000"/>
                <w:kern w:val="0"/>
                <w:sz w:val="24"/>
              </w:rPr>
              <w:br w:type="textWrapping"/>
            </w:r>
            <w:r>
              <w:rPr>
                <w:rFonts w:hint="eastAsia" w:ascii="宋体" w:hAnsi="宋体" w:cs="宋体"/>
                <w:color w:val="000000"/>
                <w:kern w:val="0"/>
                <w:sz w:val="24"/>
              </w:rPr>
              <w:t>注：为保证系统的兼容性、稳定性及方便后期便于维护建议模块化UPS主机、列间专用精密空调、精密配电柜、IT机柜及冷通道组件为同一品牌。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10</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12口32A竖装PDU</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输入32A，输出8位国标10A+2位国标16A+2位新国标10A五孔插座、接线盒、指示灯、右侧安装。</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智能配电监测软件</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配电柜主路数据监测接口软件，采用电量仪表</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UPS监控软件</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UPS数据和工作状态监测接口软件</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精密空调监控软件</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精密空调数据和工作状态监测接口软件</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14</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温湿度采集器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机房环境的高精度数字式温湿度传感器，-45℃~+125℃的精度在±0.5℃，±5%RH ,Modbus RTU通讯,抗干扰性强，稳定可靠，OLED显示,双RJ45接口，首尾串接。</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15</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温湿度采集器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用于机房温湿度检测；白色吸顶温湿度传感器；DC12V供电，RS485信号输出，采用标准MODBUS协议。</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16</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温湿度监测软件</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温湿度模块数据监测接口软件。</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17</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不定位漏水控制器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检测漏水状态，通过漏水感应线检测到漏水后，通过采集器输出一个继电器报警信号，灵敏度可调，报警干接点输出，DC12V供电，支持蜂鸣器告警。</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18</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5米不定位漏水感应线</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与不定位漏液控制器搭配使用，线长5米。</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条</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19</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10米不定位漏水感应线</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与不定位漏液控制器搭配使用，线长10米。</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条</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20</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漏水报警监测软件</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漏水报警监测接口软件。</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烟雾传感器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红外光电传感器、断电复位、防尘防虫抗白光、金属屏蔽罩，抗射频干扰。</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消防报警监测软件</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消防报警监测接口软件。</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门禁系统</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4.3英寸人脸识别门禁一体机，门禁识别方式有：人脸、指纹、IC读卡、密码，具有集中发卡功能，含5张IC卡。</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24</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冷通道数据展示屏</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49寸触摸屏，i5处理器，正版操作系统，1080*1920分辨率，支持网络接口通讯，大屏首页支持3D机房图展示，含微模块3D、安防视图、U位容量、配电容量、制冷容量功能展示，支持配电链路、制冷链路、通讯链路展示。</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25</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一体化控制主机</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1U机架式监控主机，配置需满足4个RS232/RS485串口，6个RS485串口，12路输入干接点，4路输出干接点，具有供电功能，满足各接入设备的DC12V供电；具备双电源冗余设计，具备本地存储能力，要求存储≥8G，并可支持SD卡或硬盘扩展；</w:t>
            </w:r>
            <w:r>
              <w:rPr>
                <w:rFonts w:hint="eastAsia" w:ascii="宋体" w:hAnsi="宋体" w:cs="宋体"/>
                <w:color w:val="000000"/>
                <w:kern w:val="0"/>
                <w:sz w:val="24"/>
              </w:rPr>
              <w:br w:type="textWrapping"/>
            </w:r>
            <w:r>
              <w:rPr>
                <w:rFonts w:hint="eastAsia" w:ascii="宋体" w:hAnsi="宋体" w:cs="宋体"/>
                <w:color w:val="000000"/>
                <w:kern w:val="0"/>
                <w:sz w:val="24"/>
              </w:rPr>
              <w:t>2、监控主机具备2路10/100/1000M自适应双网卡工作模式，支持多址设定和网络容错设置；</w:t>
            </w:r>
            <w:r>
              <w:rPr>
                <w:rFonts w:hint="eastAsia" w:ascii="宋体" w:hAnsi="宋体" w:cs="宋体"/>
                <w:color w:val="000000"/>
                <w:kern w:val="0"/>
                <w:sz w:val="24"/>
              </w:rPr>
              <w:br w:type="textWrapping"/>
            </w:r>
            <w:r>
              <w:rPr>
                <w:rFonts w:hint="eastAsia" w:ascii="宋体" w:hAnsi="宋体" w:cs="宋体"/>
                <w:color w:val="000000"/>
                <w:kern w:val="0"/>
                <w:sz w:val="24"/>
              </w:rPr>
              <w:t>3、要求系统支持存储大于10万条的告警量；</w:t>
            </w:r>
            <w:r>
              <w:rPr>
                <w:rFonts w:hint="eastAsia" w:ascii="宋体" w:hAnsi="宋体" w:cs="宋体"/>
                <w:color w:val="000000"/>
                <w:kern w:val="0"/>
                <w:sz w:val="24"/>
              </w:rPr>
              <w:br w:type="textWrapping"/>
            </w:r>
            <w:r>
              <w:rPr>
                <w:rFonts w:hint="eastAsia" w:ascii="宋体" w:hAnsi="宋体" w:cs="宋体"/>
                <w:color w:val="000000"/>
                <w:kern w:val="0"/>
                <w:sz w:val="24"/>
              </w:rPr>
              <w:t>4、内置不小于1TB硬盘存储空间；</w:t>
            </w:r>
            <w:r>
              <w:rPr>
                <w:rFonts w:hint="eastAsia" w:ascii="宋体" w:hAnsi="宋体" w:cs="宋体"/>
                <w:color w:val="000000"/>
                <w:kern w:val="0"/>
                <w:sz w:val="24"/>
              </w:rPr>
              <w:br w:type="textWrapping"/>
            </w:r>
            <w:r>
              <w:rPr>
                <w:rFonts w:hint="eastAsia" w:ascii="宋体" w:hAnsi="宋体" w:cs="宋体"/>
                <w:color w:val="000000"/>
                <w:kern w:val="0"/>
                <w:sz w:val="24"/>
              </w:rPr>
              <w:t>5、须集成1路USB接口；可以将设置信息和配置信息导出到U盘，通过U盘设置监控主机参数。</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26</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管控软件</w:t>
            </w:r>
          </w:p>
        </w:tc>
        <w:tc>
          <w:tcPr>
            <w:tcW w:w="9762" w:type="dxa"/>
            <w:tcBorders>
              <w:tl2br w:val="nil"/>
              <w:tr2bl w:val="nil"/>
            </w:tcBorders>
            <w:shd w:val="clear" w:color="000000" w:fill="FFFFFF"/>
            <w:noWrap/>
            <w:vAlign w:val="center"/>
          </w:tcPr>
          <w:p>
            <w:pPr>
              <w:widowControl/>
              <w:numPr>
                <w:ilvl w:val="0"/>
                <w:numId w:val="4"/>
              </w:numPr>
              <w:adjustRightInd/>
              <w:jc w:val="left"/>
              <w:rPr>
                <w:rFonts w:hint="eastAsia" w:ascii="宋体" w:hAnsi="宋体" w:cs="宋体"/>
                <w:color w:val="000000"/>
                <w:kern w:val="0"/>
                <w:sz w:val="24"/>
              </w:rPr>
            </w:pPr>
            <w:r>
              <w:rPr>
                <w:rFonts w:hint="eastAsia" w:ascii="宋体" w:hAnsi="宋体" w:cs="宋体"/>
                <w:color w:val="000000"/>
                <w:kern w:val="0"/>
                <w:sz w:val="24"/>
              </w:rPr>
              <w:t>软件系统应采用Linux操作系统，为保证系统可靠性，系统应支持10个以上客户端同时访问的能力；</w:t>
            </w:r>
            <w:r>
              <w:rPr>
                <w:rFonts w:hint="eastAsia" w:ascii="宋体" w:hAnsi="宋体" w:cs="宋体"/>
                <w:color w:val="000000"/>
                <w:kern w:val="0"/>
                <w:sz w:val="24"/>
              </w:rPr>
              <w:br w:type="textWrapping"/>
            </w:r>
            <w:r>
              <w:rPr>
                <w:rFonts w:hint="eastAsia" w:ascii="宋体" w:hAnsi="宋体" w:cs="宋体"/>
                <w:color w:val="000000"/>
                <w:kern w:val="0"/>
                <w:sz w:val="24"/>
              </w:rPr>
              <w:t>2、动环监控系统支持链路可视化，包含配电链路、制冷链路、通讯链路功能：</w:t>
            </w:r>
            <w:r>
              <w:rPr>
                <w:rFonts w:hint="eastAsia" w:ascii="宋体" w:hAnsi="宋体" w:cs="宋体"/>
                <w:color w:val="000000"/>
                <w:kern w:val="0"/>
                <w:sz w:val="24"/>
              </w:rPr>
              <w:br w:type="textWrapping"/>
            </w:r>
            <w:r>
              <w:rPr>
                <w:rFonts w:hint="eastAsia" w:ascii="宋体" w:hAnsi="宋体" w:cs="宋体"/>
                <w:color w:val="000000"/>
                <w:kern w:val="0"/>
                <w:sz w:val="24"/>
              </w:rPr>
              <w:t xml:space="preserve">   1）配电链路：支持系统的市电输入，电源配置，配电配置以及配电支路信息、机柜信息组成链路关系图，支持配电系统主路、支路的电压、电流、开关状态等监测，并支持生成配电拓扑图，在拓扑图上显示各开关状态和电流信息；</w:t>
            </w:r>
            <w:r>
              <w:rPr>
                <w:rFonts w:hint="eastAsia" w:ascii="宋体" w:hAnsi="宋体" w:cs="宋体"/>
                <w:color w:val="000000"/>
                <w:kern w:val="0"/>
                <w:sz w:val="24"/>
              </w:rPr>
              <w:br w:type="textWrapping"/>
            </w:r>
            <w:r>
              <w:rPr>
                <w:rFonts w:hint="eastAsia" w:ascii="宋体" w:hAnsi="宋体" w:cs="宋体"/>
                <w:color w:val="000000"/>
                <w:kern w:val="0"/>
                <w:sz w:val="24"/>
              </w:rPr>
              <w:t xml:space="preserve">   2）制冷链路：支持展示微模块系统列间空调的单机链路图、展示冷量信息，支持监控空调回送风情况、运行状况、空调各部件（如压缩机、风机、加热器、加湿器、滤网等）的运行状态与参数；</w:t>
            </w:r>
            <w:r>
              <w:rPr>
                <w:rFonts w:hint="eastAsia" w:ascii="宋体" w:hAnsi="宋体" w:cs="宋体"/>
                <w:color w:val="000000"/>
                <w:kern w:val="0"/>
                <w:sz w:val="24"/>
              </w:rPr>
              <w:br w:type="textWrapping"/>
            </w:r>
            <w:r>
              <w:rPr>
                <w:rFonts w:hint="eastAsia" w:ascii="宋体" w:hAnsi="宋体" w:cs="宋体"/>
                <w:color w:val="000000"/>
                <w:kern w:val="0"/>
                <w:sz w:val="24"/>
              </w:rPr>
              <w:t xml:space="preserve">   3）通讯链路：系统支持监控主机、交换机的网络设备，南向串口设备的通讯链路情况，直观显示各个设备的通讯状态；</w:t>
            </w:r>
            <w:r>
              <w:rPr>
                <w:rFonts w:hint="eastAsia" w:ascii="宋体" w:hAnsi="宋体" w:cs="宋体"/>
                <w:color w:val="000000"/>
                <w:kern w:val="0"/>
                <w:sz w:val="24"/>
              </w:rPr>
              <w:br w:type="textWrapping"/>
            </w:r>
            <w:r>
              <w:rPr>
                <w:rFonts w:hint="eastAsia" w:ascii="宋体" w:hAnsi="宋体" w:cs="宋体"/>
                <w:color w:val="000000"/>
                <w:kern w:val="0"/>
                <w:sz w:val="24"/>
              </w:rPr>
              <w:t>4、门禁系统监控功能：动环监控系统具备监测机房门的进出记录和门禁状态，支持不少于指纹、刷卡、密码等多种开门认证方式，支持集中发卡，支持单向或双向刷卡开门方式；</w:t>
            </w:r>
            <w:r>
              <w:rPr>
                <w:rFonts w:hint="eastAsia" w:ascii="宋体" w:hAnsi="宋体" w:cs="宋体"/>
                <w:color w:val="000000"/>
                <w:kern w:val="0"/>
                <w:sz w:val="24"/>
              </w:rPr>
              <w:br w:type="textWrapping"/>
            </w:r>
            <w:r>
              <w:rPr>
                <w:rFonts w:hint="eastAsia" w:ascii="宋体" w:hAnsi="宋体" w:cs="宋体"/>
                <w:color w:val="000000"/>
                <w:kern w:val="0"/>
                <w:sz w:val="24"/>
              </w:rPr>
              <w:t>5、视频系统监控功能：机房内安装有摄像头，可进行视频图像监视，动环监控系统集成视频录像查看功能；</w:t>
            </w:r>
            <w:r>
              <w:rPr>
                <w:rFonts w:hint="eastAsia" w:ascii="宋体" w:hAnsi="宋体" w:cs="宋体"/>
                <w:color w:val="000000"/>
                <w:kern w:val="0"/>
                <w:sz w:val="24"/>
              </w:rPr>
              <w:br w:type="textWrapping"/>
            </w:r>
            <w:r>
              <w:rPr>
                <w:rFonts w:hint="eastAsia" w:ascii="宋体" w:hAnsi="宋体" w:cs="宋体"/>
                <w:color w:val="000000"/>
                <w:kern w:val="0"/>
                <w:sz w:val="24"/>
              </w:rPr>
              <w:t>6、支持计划管理软件：支持自定义计划任务实现制冷调节，UPS关机，UPS放电，支持任务提醒，并可通过短信、邮件等方式提前通知用户；</w:t>
            </w:r>
            <w:r>
              <w:rPr>
                <w:rFonts w:hint="eastAsia" w:ascii="宋体" w:hAnsi="宋体" w:cs="宋体"/>
                <w:color w:val="000000"/>
                <w:kern w:val="0"/>
                <w:sz w:val="24"/>
              </w:rPr>
              <w:br w:type="textWrapping"/>
            </w:r>
            <w:r>
              <w:rPr>
                <w:rFonts w:hint="eastAsia" w:ascii="宋体" w:hAnsi="宋体" w:cs="宋体"/>
                <w:color w:val="000000"/>
                <w:kern w:val="0"/>
                <w:sz w:val="24"/>
              </w:rPr>
              <w:t>7、支持报表管理软件：支持设备历史事件图表、历史数据的图表展示，事件列表查询、历史数据列表查询，并可以excel表格导出；</w:t>
            </w:r>
            <w:r>
              <w:rPr>
                <w:rFonts w:hint="eastAsia" w:ascii="宋体" w:hAnsi="宋体" w:cs="宋体"/>
                <w:color w:val="000000"/>
                <w:kern w:val="0"/>
                <w:sz w:val="24"/>
              </w:rPr>
              <w:br w:type="textWrapping"/>
            </w:r>
            <w:r>
              <w:rPr>
                <w:rFonts w:hint="eastAsia" w:ascii="宋体" w:hAnsi="宋体" w:cs="宋体"/>
                <w:color w:val="000000"/>
                <w:kern w:val="0"/>
                <w:sz w:val="24"/>
              </w:rPr>
              <w:t>8、支持告警管理软件：实现告警等级管理、告警事件管理、告警通知方式、用户告警设置、告警通知记录、告警联动管理、告警通知模板设置、告警屏蔽管理、告警收敛管理等功能；可自定义告警等级，自定义告警通知模板，自定义告警屏蔽策略以及告警收敛策略软件；系统支持实时告警定位，可实现实时告警列表与微模块模型双向联动，支持在设备详情页中自动高亮显示告警测点，快速引导用户定位告警所在位置；用户可自定义设置告警推送方式、推送人员、推送规则，支持短信告警、邮件告警、电话语音告警及声光告警方式，出现告警能快速通知用户；</w:t>
            </w:r>
            <w:r>
              <w:rPr>
                <w:rFonts w:hint="eastAsia" w:ascii="宋体" w:hAnsi="宋体" w:cs="宋体"/>
                <w:color w:val="000000"/>
                <w:kern w:val="0"/>
                <w:sz w:val="24"/>
              </w:rPr>
              <w:br w:type="textWrapping"/>
            </w:r>
            <w:r>
              <w:rPr>
                <w:rFonts w:hint="eastAsia" w:ascii="宋体" w:hAnsi="宋体" w:cs="宋体"/>
                <w:color w:val="000000"/>
                <w:kern w:val="0"/>
                <w:sz w:val="24"/>
              </w:rPr>
              <w:t>9、支持容量管理软件：支持微模块内配电容量，制冷容量，U位容量的手动配置管理与展示；</w:t>
            </w:r>
            <w:r>
              <w:rPr>
                <w:rFonts w:hint="eastAsia" w:ascii="宋体" w:hAnsi="宋体" w:cs="宋体"/>
                <w:color w:val="000000"/>
                <w:kern w:val="0"/>
                <w:sz w:val="24"/>
              </w:rPr>
              <w:br w:type="textWrapping"/>
            </w:r>
            <w:r>
              <w:rPr>
                <w:rFonts w:hint="eastAsia" w:ascii="宋体" w:hAnsi="宋体" w:cs="宋体"/>
                <w:color w:val="000000"/>
                <w:kern w:val="0"/>
                <w:sz w:val="24"/>
              </w:rPr>
              <w:t>10、支持能耗管理功能：动环监控系统具备能耗数据分析功能，可实时显示PUE 值，支持按年月日进行电能统计，以图表、表格分析显示；</w:t>
            </w:r>
            <w:r>
              <w:rPr>
                <w:rFonts w:hint="eastAsia" w:ascii="宋体" w:hAnsi="宋体" w:cs="宋体"/>
                <w:color w:val="000000"/>
                <w:kern w:val="0"/>
                <w:sz w:val="24"/>
              </w:rPr>
              <w:br w:type="textWrapping"/>
            </w:r>
            <w:r>
              <w:rPr>
                <w:rFonts w:hint="eastAsia" w:ascii="宋体" w:hAnsi="宋体" w:cs="宋体"/>
                <w:color w:val="000000"/>
                <w:kern w:val="0"/>
                <w:sz w:val="24"/>
              </w:rPr>
              <w:t>11、动环监控系统支持手机APP 实时查看设备信息，可支持安卓与IOS系统；</w:t>
            </w:r>
          </w:p>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12、为了保证信息安全，提供的监控系统须通过应用系统安全测试；供货时随产品提供测试报告。</w:t>
            </w:r>
            <w:r>
              <w:rPr>
                <w:rFonts w:hint="eastAsia" w:ascii="宋体" w:hAnsi="宋体" w:cs="宋体"/>
                <w:color w:val="000000"/>
                <w:kern w:val="0"/>
                <w:sz w:val="24"/>
              </w:rPr>
              <w:br w:type="textWrapping"/>
            </w:r>
            <w:r>
              <w:rPr>
                <w:rFonts w:hint="eastAsia" w:ascii="宋体" w:hAnsi="宋体" w:cs="宋体"/>
                <w:color w:val="000000"/>
                <w:kern w:val="0"/>
                <w:sz w:val="24"/>
              </w:rPr>
              <w:t>注：为了保证微模块的统一规划、管理、调试，建议微模块监控系统与微模块为同一品牌。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27</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物联网监测系统</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总体要求：</w:t>
            </w:r>
            <w:r>
              <w:rPr>
                <w:rFonts w:hint="eastAsia" w:ascii="宋体" w:hAnsi="宋体" w:cs="宋体"/>
                <w:color w:val="000000"/>
                <w:kern w:val="0"/>
                <w:sz w:val="24"/>
              </w:rPr>
              <w:br w:type="textWrapping"/>
            </w:r>
            <w:r>
              <w:rPr>
                <w:rFonts w:hint="eastAsia" w:ascii="宋体" w:hAnsi="宋体" w:cs="宋体"/>
                <w:color w:val="000000"/>
                <w:kern w:val="0"/>
                <w:sz w:val="24"/>
              </w:rPr>
              <w:t>采用4G物联网模块采集设备，采集UPS间的温度、湿度，在高温情况下自动报警等，数据传输；需要对学校消控中心、考务机房、广播机房、广播分控机房、宿舍楼UPS间等共8个有高风险无人值守设备间安装温湿度火灾监测物联网传感器；</w:t>
            </w:r>
            <w:r>
              <w:rPr>
                <w:rFonts w:hint="eastAsia" w:ascii="宋体" w:hAnsi="宋体" w:cs="宋体"/>
                <w:color w:val="000000"/>
                <w:kern w:val="0"/>
                <w:sz w:val="24"/>
              </w:rPr>
              <w:br w:type="textWrapping"/>
            </w:r>
            <w:r>
              <w:rPr>
                <w:rFonts w:hint="eastAsia" w:ascii="宋体" w:hAnsi="宋体" w:cs="宋体"/>
                <w:color w:val="000000"/>
                <w:kern w:val="0"/>
                <w:sz w:val="24"/>
              </w:rPr>
              <w:t>一、云平台需求：</w:t>
            </w:r>
            <w:r>
              <w:rPr>
                <w:rFonts w:hint="eastAsia" w:ascii="宋体" w:hAnsi="宋体" w:cs="宋体"/>
                <w:color w:val="000000"/>
                <w:kern w:val="0"/>
                <w:sz w:val="24"/>
              </w:rPr>
              <w:br w:type="textWrapping"/>
            </w:r>
            <w:r>
              <w:rPr>
                <w:rFonts w:hint="eastAsia" w:ascii="宋体" w:hAnsi="宋体" w:cs="宋体"/>
                <w:color w:val="000000"/>
                <w:kern w:val="0"/>
                <w:sz w:val="24"/>
              </w:rPr>
              <w:t>1. 平台具有运营态势、实时监测、基础配置、数据中心、视频监控、维保服务等功能模块；</w:t>
            </w:r>
            <w:r>
              <w:rPr>
                <w:rFonts w:hint="eastAsia" w:ascii="宋体" w:hAnsi="宋体" w:cs="宋体"/>
                <w:color w:val="000000"/>
                <w:kern w:val="0"/>
                <w:sz w:val="24"/>
              </w:rPr>
              <w:br w:type="textWrapping"/>
            </w:r>
            <w:r>
              <w:rPr>
                <w:rFonts w:hint="eastAsia" w:ascii="宋体" w:hAnsi="宋体" w:cs="宋体"/>
                <w:color w:val="000000"/>
                <w:kern w:val="0"/>
                <w:sz w:val="24"/>
              </w:rPr>
              <w:t>2. 平台具有多种条件查询报警日志：按单位、时间段、报警类型、设备类型、确认状态、消警状态等；</w:t>
            </w:r>
            <w:r>
              <w:rPr>
                <w:rFonts w:hint="eastAsia" w:ascii="宋体" w:hAnsi="宋体" w:cs="宋体"/>
                <w:color w:val="000000"/>
                <w:kern w:val="0"/>
                <w:sz w:val="24"/>
              </w:rPr>
              <w:br w:type="textWrapping"/>
            </w:r>
            <w:r>
              <w:rPr>
                <w:rFonts w:hint="eastAsia" w:ascii="宋体" w:hAnsi="宋体" w:cs="宋体"/>
                <w:b/>
                <w:bCs/>
                <w:color w:val="000000"/>
                <w:kern w:val="0"/>
                <w:sz w:val="24"/>
              </w:rPr>
              <w:t>3. 平台可以展示报警设备在平面图位置，同时也能查看平面图上其他设备，针对正常，报警，故障，离线、未激活设备进行区分，支持平面图放大，缩小，全屏，恢复到默认位置；提供具有国家认可检测资质的第三方机构出具的检测报告；</w:t>
            </w:r>
            <w:r>
              <w:rPr>
                <w:rFonts w:hint="eastAsia" w:ascii="宋体" w:hAnsi="宋体" w:cs="宋体"/>
                <w:color w:val="000000"/>
                <w:kern w:val="0"/>
                <w:sz w:val="24"/>
              </w:rPr>
              <w:br w:type="textWrapping"/>
            </w:r>
            <w:r>
              <w:rPr>
                <w:rFonts w:hint="eastAsia" w:ascii="宋体" w:hAnsi="宋体" w:cs="宋体"/>
                <w:color w:val="000000"/>
                <w:kern w:val="0"/>
                <w:sz w:val="24"/>
              </w:rPr>
              <w:t>4. 平台具有列表显示设备名称、设备类型、设备型号、设备编号、在线状态、正常故障状态、电池电量、信号强度；</w:t>
            </w:r>
            <w:r>
              <w:rPr>
                <w:rFonts w:hint="eastAsia" w:ascii="宋体" w:hAnsi="宋体" w:cs="宋体"/>
                <w:color w:val="000000"/>
                <w:kern w:val="0"/>
                <w:sz w:val="24"/>
              </w:rPr>
              <w:br w:type="textWrapping"/>
            </w:r>
            <w:r>
              <w:rPr>
                <w:rFonts w:hint="eastAsia" w:ascii="宋体" w:hAnsi="宋体" w:cs="宋体"/>
                <w:color w:val="000000"/>
                <w:kern w:val="0"/>
                <w:sz w:val="24"/>
              </w:rPr>
              <w:t>5. 平台具有报警弹窗，查看报警详细信息，联动视频、图像、资源上图等信息，可对报警进行处置，一键拨打电话，可设置打开关闭报警弹窗功能；支持地图默认中心点设置，地图缩放级别设置，地图类型选择(平面图和卫星图)；</w:t>
            </w:r>
            <w:r>
              <w:rPr>
                <w:rFonts w:hint="eastAsia" w:ascii="宋体" w:hAnsi="宋体" w:cs="宋体"/>
                <w:color w:val="000000"/>
                <w:kern w:val="0"/>
                <w:sz w:val="24"/>
              </w:rPr>
              <w:br w:type="textWrapping"/>
            </w:r>
            <w:r>
              <w:rPr>
                <w:rFonts w:hint="eastAsia" w:ascii="宋体" w:hAnsi="宋体" w:cs="宋体"/>
                <w:color w:val="000000"/>
                <w:kern w:val="0"/>
                <w:sz w:val="24"/>
              </w:rPr>
              <w:t xml:space="preserve">6. 平台具有展示报警设备在平面图位置，同时也能查看平面图上其他设备，针对正常，报警，故障，离线、未激活设备进行区分，支持平面图放大，缩小，全屏，恢复到默认位置； </w:t>
            </w:r>
            <w:r>
              <w:rPr>
                <w:rFonts w:hint="eastAsia" w:ascii="宋体" w:hAnsi="宋体" w:cs="宋体"/>
                <w:color w:val="000000"/>
                <w:kern w:val="0"/>
                <w:sz w:val="24"/>
              </w:rPr>
              <w:br w:type="textWrapping"/>
            </w:r>
            <w:r>
              <w:rPr>
                <w:rFonts w:hint="eastAsia" w:ascii="宋体" w:hAnsi="宋体" w:cs="宋体"/>
                <w:color w:val="000000"/>
                <w:kern w:val="0"/>
                <w:sz w:val="24"/>
              </w:rPr>
              <w:t>7. 平台具有多种条件查询报警日志：按单位、时间段、报警类型、设备类型、确认状态、消警状态等；</w:t>
            </w:r>
            <w:r>
              <w:rPr>
                <w:rFonts w:hint="eastAsia" w:ascii="宋体" w:hAnsi="宋体" w:cs="宋体"/>
                <w:color w:val="000000"/>
                <w:kern w:val="0"/>
                <w:sz w:val="24"/>
              </w:rPr>
              <w:br w:type="textWrapping"/>
            </w:r>
            <w:r>
              <w:rPr>
                <w:rFonts w:hint="eastAsia" w:ascii="宋体" w:hAnsi="宋体" w:cs="宋体"/>
                <w:color w:val="000000"/>
                <w:kern w:val="0"/>
                <w:sz w:val="24"/>
              </w:rPr>
              <w:t>8. 平台具有设置多种报警通知方式，包括电话、短信、邮箱、公众号；支持设置报警通知多级推送，最多可设置5级，可设置每一级通知的处理时效；</w:t>
            </w:r>
            <w:r>
              <w:rPr>
                <w:rFonts w:hint="eastAsia" w:ascii="宋体" w:hAnsi="宋体" w:cs="宋体"/>
                <w:color w:val="000000"/>
                <w:kern w:val="0"/>
                <w:sz w:val="24"/>
              </w:rPr>
              <w:br w:type="textWrapping"/>
            </w:r>
            <w:r>
              <w:rPr>
                <w:rFonts w:hint="eastAsia" w:ascii="宋体" w:hAnsi="宋体" w:cs="宋体"/>
                <w:color w:val="000000"/>
                <w:kern w:val="0"/>
                <w:sz w:val="24"/>
              </w:rPr>
              <w:t>9. 平台具有处理报警及故障功能，支持以单位维度查看实时报警及故障信息，对单位内报警及故障批量处置，支持采用日历表展示事件源历史报警记录，支持将处置为真实火警的报警移入真实火警列表，重点关注；</w:t>
            </w:r>
            <w:r>
              <w:rPr>
                <w:rFonts w:hint="eastAsia" w:ascii="宋体" w:hAnsi="宋体" w:cs="宋体"/>
                <w:color w:val="000000"/>
                <w:kern w:val="0"/>
                <w:sz w:val="24"/>
              </w:rPr>
              <w:br w:type="textWrapping"/>
            </w:r>
            <w:r>
              <w:rPr>
                <w:rFonts w:hint="eastAsia" w:ascii="宋体" w:hAnsi="宋体" w:cs="宋体"/>
                <w:color w:val="000000"/>
                <w:kern w:val="0"/>
                <w:sz w:val="24"/>
              </w:rPr>
              <w:t>10. 平台APP端支持查看设备基本信息，设备名称修改，查看在离线状态，实时监测值；支持对设备进行指令下发操作，如消音、复位；</w:t>
            </w:r>
            <w:r>
              <w:rPr>
                <w:rFonts w:hint="eastAsia" w:ascii="宋体" w:hAnsi="宋体" w:cs="宋体"/>
                <w:color w:val="000000"/>
                <w:kern w:val="0"/>
                <w:sz w:val="24"/>
              </w:rPr>
              <w:br w:type="textWrapping"/>
            </w:r>
            <w:r>
              <w:rPr>
                <w:rFonts w:hint="eastAsia" w:ascii="宋体" w:hAnsi="宋体" w:cs="宋体"/>
                <w:color w:val="000000"/>
                <w:kern w:val="0"/>
                <w:sz w:val="24"/>
              </w:rPr>
              <w:t>11. 平台支持将单位设备分享给小程序用户，小程序用户可通过微信小程序绑定设备，支持小程序用户接收已绑定设备的报警推送信息，可查看设备基本信息和模拟量；</w:t>
            </w:r>
            <w:r>
              <w:rPr>
                <w:rFonts w:hint="eastAsia" w:ascii="宋体" w:hAnsi="宋体" w:cs="宋体"/>
                <w:color w:val="000000"/>
                <w:kern w:val="0"/>
                <w:sz w:val="24"/>
              </w:rPr>
              <w:br w:type="textWrapping"/>
            </w:r>
            <w:r>
              <w:rPr>
                <w:rFonts w:hint="eastAsia" w:ascii="宋体" w:hAnsi="宋体" w:cs="宋体"/>
                <w:color w:val="000000"/>
                <w:kern w:val="0"/>
                <w:sz w:val="24"/>
              </w:rPr>
              <w:t>二、物联网采集设备需求：</w:t>
            </w:r>
            <w:r>
              <w:rPr>
                <w:rFonts w:hint="eastAsia" w:ascii="宋体" w:hAnsi="宋体" w:cs="宋体"/>
                <w:color w:val="000000"/>
                <w:kern w:val="0"/>
                <w:sz w:val="24"/>
              </w:rPr>
              <w:br w:type="textWrapping"/>
            </w:r>
            <w:r>
              <w:rPr>
                <w:rFonts w:hint="eastAsia" w:ascii="宋体" w:hAnsi="宋体" w:cs="宋体"/>
                <w:color w:val="000000"/>
                <w:kern w:val="0"/>
                <w:sz w:val="24"/>
              </w:rPr>
              <w:t>1. 支持4G无线通讯；</w:t>
            </w:r>
            <w:r>
              <w:rPr>
                <w:rFonts w:hint="eastAsia" w:ascii="宋体" w:hAnsi="宋体" w:cs="宋体"/>
                <w:color w:val="000000"/>
                <w:kern w:val="0"/>
                <w:sz w:val="24"/>
              </w:rPr>
              <w:br w:type="textWrapping"/>
            </w:r>
            <w:r>
              <w:rPr>
                <w:rFonts w:hint="eastAsia" w:ascii="宋体" w:hAnsi="宋体" w:cs="宋体"/>
                <w:color w:val="000000"/>
                <w:kern w:val="0"/>
                <w:sz w:val="24"/>
              </w:rPr>
              <w:t>2. 设备光信号器件采用1个红色光信号发射管、1个蓝光信号发射管和1个光信号接收管；</w:t>
            </w:r>
            <w:r>
              <w:rPr>
                <w:rFonts w:hint="eastAsia" w:ascii="宋体" w:hAnsi="宋体" w:cs="宋体"/>
                <w:color w:val="000000"/>
                <w:kern w:val="0"/>
                <w:sz w:val="24"/>
              </w:rPr>
              <w:br w:type="textWrapping"/>
            </w:r>
            <w:r>
              <w:rPr>
                <w:rFonts w:hint="eastAsia" w:ascii="宋体" w:hAnsi="宋体" w:cs="宋体"/>
                <w:color w:val="000000"/>
                <w:kern w:val="0"/>
                <w:sz w:val="24"/>
              </w:rPr>
              <w:t>3. 方位比值≤1.1，一致性比值≤1.3；</w:t>
            </w:r>
            <w:r>
              <w:rPr>
                <w:rFonts w:hint="eastAsia" w:ascii="宋体" w:hAnsi="宋体" w:cs="宋体"/>
                <w:color w:val="000000"/>
                <w:kern w:val="0"/>
                <w:sz w:val="24"/>
              </w:rPr>
              <w:br w:type="textWrapping"/>
            </w:r>
            <w:r>
              <w:rPr>
                <w:rFonts w:hint="eastAsia" w:ascii="宋体" w:hAnsi="宋体" w:cs="宋体"/>
                <w:color w:val="000000"/>
                <w:kern w:val="0"/>
                <w:sz w:val="24"/>
              </w:rPr>
              <w:t>4. 支持声光报警，报警音量≥80dB；</w:t>
            </w:r>
            <w:r>
              <w:rPr>
                <w:rFonts w:hint="eastAsia" w:ascii="宋体" w:hAnsi="宋体" w:cs="宋体"/>
                <w:color w:val="000000"/>
                <w:kern w:val="0"/>
                <w:sz w:val="24"/>
              </w:rPr>
              <w:br w:type="textWrapping"/>
            </w:r>
            <w:r>
              <w:rPr>
                <w:rFonts w:hint="eastAsia" w:ascii="宋体" w:hAnsi="宋体" w:cs="宋体"/>
                <w:color w:val="000000"/>
                <w:kern w:val="0"/>
                <w:sz w:val="24"/>
              </w:rPr>
              <w:t>5. 支持火警报警、故障报警、拆除报警和温度报警；</w:t>
            </w:r>
            <w:r>
              <w:rPr>
                <w:rFonts w:hint="eastAsia" w:ascii="宋体" w:hAnsi="宋体" w:cs="宋体"/>
                <w:color w:val="000000"/>
                <w:kern w:val="0"/>
                <w:sz w:val="24"/>
              </w:rPr>
              <w:br w:type="textWrapping"/>
            </w:r>
            <w:r>
              <w:rPr>
                <w:rFonts w:hint="eastAsia" w:ascii="宋体" w:hAnsi="宋体" w:cs="宋体"/>
                <w:color w:val="000000"/>
                <w:kern w:val="0"/>
                <w:sz w:val="24"/>
              </w:rPr>
              <w:t>6. 支持迷宫和迷宫防护罩为不需要使用工具的快速可拆卸结构；</w:t>
            </w:r>
            <w:r>
              <w:rPr>
                <w:rFonts w:hint="eastAsia" w:ascii="宋体" w:hAnsi="宋体" w:cs="宋体"/>
                <w:color w:val="000000"/>
                <w:kern w:val="0"/>
                <w:sz w:val="24"/>
              </w:rPr>
              <w:br w:type="textWrapping"/>
            </w:r>
            <w:r>
              <w:rPr>
                <w:rFonts w:hint="eastAsia" w:ascii="宋体" w:hAnsi="宋体" w:cs="宋体"/>
                <w:color w:val="000000"/>
                <w:kern w:val="0"/>
                <w:sz w:val="24"/>
              </w:rPr>
              <w:t>7. 支持将软件版本号、协议版本号、设备型号上传管理平台；</w:t>
            </w:r>
            <w:r>
              <w:rPr>
                <w:rFonts w:hint="eastAsia" w:ascii="宋体" w:hAnsi="宋体" w:cs="宋体"/>
                <w:color w:val="000000"/>
                <w:kern w:val="0"/>
                <w:sz w:val="24"/>
              </w:rPr>
              <w:br w:type="textWrapping"/>
            </w:r>
            <w:r>
              <w:rPr>
                <w:rFonts w:hint="eastAsia" w:ascii="宋体" w:hAnsi="宋体" w:cs="宋体"/>
                <w:color w:val="000000"/>
                <w:kern w:val="0"/>
                <w:sz w:val="24"/>
              </w:rPr>
              <w:t>8. 支持具有抗水汽干扰功能及提示，能够在水汽环境中防止误报；</w:t>
            </w:r>
            <w:r>
              <w:rPr>
                <w:rFonts w:hint="eastAsia" w:ascii="宋体" w:hAnsi="宋体" w:cs="宋体"/>
                <w:color w:val="000000"/>
                <w:kern w:val="0"/>
                <w:sz w:val="24"/>
              </w:rPr>
              <w:br w:type="textWrapping"/>
            </w:r>
            <w:r>
              <w:rPr>
                <w:rFonts w:hint="eastAsia" w:ascii="宋体" w:hAnsi="宋体" w:cs="宋体"/>
                <w:color w:val="000000"/>
                <w:kern w:val="0"/>
                <w:sz w:val="24"/>
              </w:rPr>
              <w:t>9. 支持温度报警功能，定温报警：当环境温度达到≥57℃时触发报警，差温报警：当环境温度≥37℃且上升变化≥8℃/min时触发报警，将报警消息上传至远程管理平台；</w:t>
            </w:r>
            <w:r>
              <w:rPr>
                <w:rFonts w:hint="eastAsia" w:ascii="宋体" w:hAnsi="宋体" w:cs="宋体"/>
                <w:color w:val="000000"/>
                <w:kern w:val="0"/>
                <w:sz w:val="24"/>
              </w:rPr>
              <w:br w:type="textWrapping"/>
            </w:r>
            <w:r>
              <w:rPr>
                <w:rFonts w:hint="eastAsia" w:ascii="宋体" w:hAnsi="宋体" w:cs="宋体"/>
                <w:color w:val="000000"/>
                <w:kern w:val="0"/>
                <w:sz w:val="24"/>
              </w:rPr>
              <w:t xml:space="preserve">10. 支持传感器部件污染报警功能，当传感器部件受到污染，符合污染报警条件时，应发出污染故障信号，提示迷宫清理； </w:t>
            </w:r>
            <w:r>
              <w:rPr>
                <w:rFonts w:hint="eastAsia" w:ascii="宋体" w:hAnsi="宋体" w:cs="宋体"/>
                <w:color w:val="000000"/>
                <w:kern w:val="0"/>
                <w:sz w:val="24"/>
              </w:rPr>
              <w:br w:type="textWrapping"/>
            </w:r>
            <w:r>
              <w:rPr>
                <w:rFonts w:hint="eastAsia" w:ascii="宋体" w:hAnsi="宋体" w:cs="宋体"/>
                <w:color w:val="000000"/>
                <w:kern w:val="0"/>
                <w:sz w:val="24"/>
              </w:rPr>
              <w:t>11. 支持将软件版本号、协议版本号、设备型号、电池电压、电池电量、信号强度、物理小区位置信息cell ID、烟雾浓度、灵敏度、重发次数、红光本底值、红光采样值、蓝光本底值、蓝光采样值、温度值、湿度值、污染指数、烟雾报警、温度报警、湿度报警、拆除故障、欠压故障、迷宫污染故障、电路失效故障、温度、湿度传感器故障、屏蔽、解除屏蔽等数据上传至远程管理平台；</w:t>
            </w:r>
            <w:r>
              <w:rPr>
                <w:rFonts w:hint="eastAsia" w:ascii="宋体" w:hAnsi="宋体" w:cs="宋体"/>
                <w:color w:val="000000"/>
                <w:kern w:val="0"/>
                <w:sz w:val="24"/>
              </w:rPr>
              <w:br w:type="textWrapping"/>
            </w:r>
            <w:r>
              <w:rPr>
                <w:rFonts w:hint="eastAsia" w:ascii="宋体" w:hAnsi="宋体" w:cs="宋体"/>
                <w:color w:val="000000"/>
                <w:kern w:val="0"/>
                <w:sz w:val="24"/>
              </w:rPr>
              <w:t>12. 支持拆除报警功能，当设备与安装底板分离时，设备应能将拆除报警信号上传至远程管理平台。</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28</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手机APP接口软件</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支持通过手机专用APP实现微模块远程,应支持安卓和苹果手机。</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29</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SD卡</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用于主机扩展历史数据存储容量。</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30</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4G短信告警器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内置卡，LTE模块，支持移动\联通\电信模块。</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声光报警器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塑料壳，装在冷通道前门右上方。</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安装辅材</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电源线、信号线等。</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b/>
                <w:bCs/>
                <w:color w:val="000000"/>
                <w:kern w:val="0"/>
                <w:sz w:val="24"/>
              </w:rPr>
            </w:pPr>
            <w:r>
              <w:rPr>
                <w:rFonts w:hint="eastAsia" w:ascii="宋体" w:hAnsi="宋体" w:cs="宋体"/>
                <w:b/>
                <w:bCs/>
                <w:color w:val="000000"/>
                <w:kern w:val="0"/>
                <w:sz w:val="24"/>
              </w:rPr>
              <w:t>（四）机房UPS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UPS主机</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1.UPS主机三进三出高频在线式60KVA，通过并机线即可实现UPS并联，具备并机冗余和并机扩容两种模式，应用更加灵活；数字并机均流、采用全数字均流技术，抗干扰能力强，可靠性更高；</w:t>
            </w:r>
            <w:r>
              <w:rPr>
                <w:rFonts w:hint="eastAsia" w:ascii="宋体" w:hAnsi="宋体" w:cs="宋体"/>
                <w:color w:val="000000"/>
                <w:kern w:val="0"/>
                <w:sz w:val="24"/>
              </w:rPr>
              <w:br w:type="textWrapping"/>
            </w:r>
            <w:r>
              <w:rPr>
                <w:rFonts w:hint="eastAsia" w:ascii="宋体" w:hAnsi="宋体" w:cs="宋体"/>
                <w:color w:val="000000"/>
                <w:kern w:val="0"/>
                <w:sz w:val="24"/>
              </w:rPr>
              <w:t>2.输入电压范围：单相输入电压80V～280V ，输入电压宽，适应恶劣电网环境；</w:t>
            </w:r>
            <w:r>
              <w:rPr>
                <w:rFonts w:hint="eastAsia" w:ascii="宋体" w:hAnsi="宋体" w:cs="宋体"/>
                <w:color w:val="000000"/>
                <w:kern w:val="0"/>
                <w:sz w:val="24"/>
              </w:rPr>
              <w:br w:type="textWrapping"/>
            </w:r>
            <w:r>
              <w:rPr>
                <w:rFonts w:hint="eastAsia" w:ascii="宋体" w:hAnsi="宋体" w:cs="宋体"/>
                <w:color w:val="000000"/>
                <w:kern w:val="0"/>
                <w:sz w:val="24"/>
              </w:rPr>
              <w:t>3.绿色环保，输入功率因数&gt;0.99，输入谐波电流：&lt;3%；</w:t>
            </w:r>
            <w:r>
              <w:rPr>
                <w:rFonts w:hint="eastAsia" w:ascii="宋体" w:hAnsi="宋体" w:cs="宋体"/>
                <w:color w:val="000000"/>
                <w:kern w:val="0"/>
                <w:sz w:val="24"/>
              </w:rPr>
              <w:br w:type="textWrapping"/>
            </w:r>
            <w:r>
              <w:rPr>
                <w:rFonts w:hint="eastAsia" w:ascii="宋体" w:hAnsi="宋体" w:cs="宋体"/>
                <w:color w:val="000000"/>
                <w:kern w:val="0"/>
                <w:sz w:val="24"/>
              </w:rPr>
              <w:t>4.电池电压：±15～±20节可调，直流电压±180～±240V 、电池可调范围大，现场配置灵活；</w:t>
            </w:r>
            <w:r>
              <w:rPr>
                <w:rFonts w:hint="eastAsia" w:ascii="宋体" w:hAnsi="宋体" w:cs="宋体"/>
                <w:color w:val="000000"/>
                <w:kern w:val="0"/>
                <w:sz w:val="24"/>
              </w:rPr>
              <w:br w:type="textWrapping"/>
            </w:r>
            <w:r>
              <w:rPr>
                <w:rFonts w:hint="eastAsia" w:ascii="宋体" w:hAnsi="宋体" w:cs="宋体"/>
                <w:color w:val="000000"/>
                <w:kern w:val="0"/>
                <w:sz w:val="24"/>
              </w:rPr>
              <w:t>5.整机效率：满载＞96%，半载＞96%；</w:t>
            </w:r>
            <w:r>
              <w:rPr>
                <w:rFonts w:hint="eastAsia" w:ascii="宋体" w:hAnsi="宋体" w:cs="宋体"/>
                <w:color w:val="000000"/>
                <w:kern w:val="0"/>
                <w:sz w:val="24"/>
              </w:rPr>
              <w:br w:type="textWrapping"/>
            </w:r>
            <w:r>
              <w:rPr>
                <w:rFonts w:hint="eastAsia" w:ascii="宋体" w:hAnsi="宋体" w:cs="宋体"/>
                <w:color w:val="000000"/>
                <w:kern w:val="0"/>
                <w:sz w:val="24"/>
              </w:rPr>
              <w:t>6.带载能力强：输出PF=1，输出端可带更多负载；</w:t>
            </w:r>
            <w:r>
              <w:rPr>
                <w:rFonts w:hint="eastAsia" w:ascii="宋体" w:hAnsi="宋体" w:cs="宋体"/>
                <w:color w:val="000000"/>
                <w:kern w:val="0"/>
                <w:sz w:val="24"/>
              </w:rPr>
              <w:br w:type="textWrapping"/>
            </w:r>
            <w:r>
              <w:rPr>
                <w:rFonts w:hint="eastAsia" w:ascii="宋体" w:hAnsi="宋体" w:cs="宋体"/>
                <w:color w:val="000000"/>
                <w:kern w:val="0"/>
                <w:sz w:val="24"/>
              </w:rPr>
              <w:t>7.输出同步： 支持输出母线同步功能、具备输出双母线功能，现场应用灵活；</w:t>
            </w:r>
            <w:r>
              <w:rPr>
                <w:rFonts w:hint="eastAsia" w:ascii="宋体" w:hAnsi="宋体" w:cs="宋体"/>
                <w:color w:val="000000"/>
                <w:kern w:val="0"/>
                <w:sz w:val="24"/>
              </w:rPr>
              <w:br w:type="textWrapping"/>
            </w:r>
            <w:r>
              <w:rPr>
                <w:rFonts w:hint="eastAsia" w:ascii="宋体" w:hAnsi="宋体" w:cs="宋体"/>
                <w:color w:val="000000"/>
                <w:kern w:val="0"/>
                <w:sz w:val="24"/>
              </w:rPr>
              <w:t>8.输出稳压精度：输出为空载和额定阻性负载，调节输入电压为UPS上、下限值时，稳压精度≤0.3%；</w:t>
            </w:r>
            <w:r>
              <w:rPr>
                <w:rFonts w:hint="eastAsia" w:ascii="宋体" w:hAnsi="宋体" w:cs="宋体"/>
                <w:color w:val="000000"/>
                <w:kern w:val="0"/>
                <w:sz w:val="24"/>
              </w:rPr>
              <w:br w:type="textWrapping"/>
            </w:r>
            <w:r>
              <w:rPr>
                <w:rFonts w:hint="eastAsia" w:ascii="宋体" w:hAnsi="宋体" w:cs="宋体"/>
                <w:color w:val="000000"/>
                <w:kern w:val="0"/>
                <w:sz w:val="24"/>
              </w:rPr>
              <w:t>9.UPS具备自动除尘功能，当设备运行周期较长或设备积尘过多时，UPS启动自动在线除尘功能，无需停机维护，防范未然，提高供电可靠性；</w:t>
            </w:r>
            <w:r>
              <w:rPr>
                <w:rFonts w:hint="eastAsia" w:ascii="宋体" w:hAnsi="宋体" w:cs="宋体"/>
                <w:color w:val="000000"/>
                <w:kern w:val="0"/>
                <w:sz w:val="24"/>
              </w:rPr>
              <w:br w:type="textWrapping"/>
            </w:r>
            <w:r>
              <w:rPr>
                <w:rFonts w:hint="eastAsia" w:ascii="宋体" w:hAnsi="宋体" w:cs="宋体"/>
                <w:color w:val="000000"/>
                <w:kern w:val="0"/>
                <w:sz w:val="24"/>
              </w:rPr>
              <w:t>10.中文触摸液晶屏，具有触控LCD+LED指示的操作界面，实时记录工作状态和运行信息，管理更加直观；操作界面要求配备手动开关机按钮，确保在触摸屏失效时依然可以开关机操作；</w:t>
            </w:r>
            <w:r>
              <w:rPr>
                <w:rFonts w:hint="eastAsia" w:ascii="宋体" w:hAnsi="宋体" w:cs="宋体"/>
                <w:color w:val="000000"/>
                <w:kern w:val="0"/>
                <w:sz w:val="24"/>
              </w:rPr>
              <w:br w:type="textWrapping"/>
            </w:r>
            <w:r>
              <w:rPr>
                <w:rFonts w:hint="eastAsia" w:ascii="宋体" w:hAnsi="宋体" w:cs="宋体"/>
                <w:color w:val="000000"/>
                <w:kern w:val="0"/>
                <w:sz w:val="24"/>
              </w:rPr>
              <w:t>11.为满足现场运维要求，实现快速运维与现场记录，UPS主机应具备智能录波功能与示波功能，并在UPS面板上显示，可通过四通道示波界面显示故障前后的电力波形，提供显示UPS工作波形记录的四通道示波界面实操照片；</w:t>
            </w:r>
            <w:r>
              <w:rPr>
                <w:rFonts w:hint="eastAsia" w:ascii="宋体" w:hAnsi="宋体" w:cs="宋体"/>
                <w:color w:val="000000"/>
                <w:kern w:val="0"/>
                <w:sz w:val="24"/>
              </w:rPr>
              <w:br w:type="textWrapping"/>
            </w:r>
            <w:r>
              <w:rPr>
                <w:rFonts w:hint="eastAsia" w:ascii="宋体" w:hAnsi="宋体" w:cs="宋体"/>
                <w:color w:val="000000"/>
                <w:kern w:val="0"/>
                <w:sz w:val="24"/>
              </w:rPr>
              <w:t>注：为保证系统的兼容性、稳定性及方便后期便于维护建议模块化UPS主机、列间专用精密空调、精密配电柜、IT机柜及冷通道组件为同一品牌。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铅酸蓄电池</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1、铅酸电池12V150AH</w:t>
            </w:r>
            <w:r>
              <w:rPr>
                <w:rFonts w:hint="eastAsia" w:ascii="宋体" w:hAnsi="宋体" w:cs="宋体"/>
                <w:color w:val="000000"/>
                <w:kern w:val="0"/>
                <w:sz w:val="24"/>
              </w:rPr>
              <w:br w:type="textWrapping"/>
            </w:r>
            <w:r>
              <w:rPr>
                <w:rFonts w:hint="eastAsia" w:ascii="宋体" w:hAnsi="宋体" w:cs="宋体"/>
                <w:color w:val="000000"/>
                <w:kern w:val="0"/>
                <w:sz w:val="24"/>
              </w:rPr>
              <w:t>2、电池气密性能承受50KPA的正压而不破裂、不开胶、压力释放后壳体无残余变形；电池密封反应效率≥98%，同组蓄电池的容量具备一致性，容量一致性试验时，最大实际容量与最小实际容量差值≤3%。</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节</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电池连接线</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BVR35mm2</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米</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电池柜</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A32,含电池之间连接线等。</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直流开关箱</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含箱体+总开关+分组开关。</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b/>
                <w:bCs/>
                <w:color w:val="000000"/>
                <w:kern w:val="0"/>
                <w:sz w:val="24"/>
              </w:rPr>
            </w:pPr>
            <w:r>
              <w:rPr>
                <w:rFonts w:hint="eastAsia" w:ascii="宋体" w:hAnsi="宋体" w:cs="宋体"/>
                <w:b/>
                <w:bCs/>
                <w:color w:val="000000"/>
                <w:kern w:val="0"/>
                <w:sz w:val="24"/>
              </w:rPr>
              <w:t>（五）机房空调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行级精密空调</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风冷列间空调，恒温恒湿，采用正面水平送风背面水平回风方式；回风温度37℃，回风湿度24%，冷凝温度50℃工况下：总冷量≥40KW，循环风量≥8000m3/h，能效比（EER）≥3.0，风机数量≥10台，加热量≥6KW，加湿量≥3kg/h；室内机外观尺寸（宽*深*高）：600*1200*2000mm，为保证机房的整体美观大方，室内机外观风格应和机柜风格协调一致；</w:t>
            </w:r>
            <w:r>
              <w:rPr>
                <w:rFonts w:hint="eastAsia" w:ascii="宋体" w:hAnsi="宋体" w:cs="宋体"/>
                <w:color w:val="000000"/>
                <w:kern w:val="0"/>
                <w:sz w:val="24"/>
              </w:rPr>
              <w:br w:type="textWrapping"/>
            </w:r>
            <w:r>
              <w:rPr>
                <w:rFonts w:hint="eastAsia" w:ascii="宋体" w:hAnsi="宋体" w:cs="宋体"/>
                <w:color w:val="000000"/>
                <w:kern w:val="0"/>
                <w:sz w:val="24"/>
              </w:rPr>
              <w:t>2、外观工艺、检查：机柜表面喷涂均匀、无破损；信号灯、开关、测量显示装置布局合理；标牌、标记：应平整清晰；</w:t>
            </w:r>
            <w:r>
              <w:rPr>
                <w:rFonts w:hint="eastAsia" w:ascii="宋体" w:hAnsi="宋体" w:cs="宋体"/>
                <w:color w:val="000000"/>
                <w:kern w:val="0"/>
                <w:sz w:val="24"/>
              </w:rPr>
              <w:br w:type="textWrapping"/>
            </w:r>
            <w:r>
              <w:rPr>
                <w:rFonts w:hint="eastAsia" w:ascii="宋体" w:hAnsi="宋体" w:cs="宋体"/>
                <w:color w:val="000000"/>
                <w:kern w:val="0"/>
                <w:sz w:val="24"/>
              </w:rPr>
              <w:t>3、结构工艺：部件排列合理、整齐；导线颜色和截面合理，布放平整；接插件牢固；进出线符合工程需要；具备抗震措施；</w:t>
            </w:r>
            <w:r>
              <w:rPr>
                <w:rFonts w:hint="eastAsia" w:ascii="宋体" w:hAnsi="宋体" w:cs="宋体"/>
                <w:color w:val="000000"/>
                <w:kern w:val="0"/>
                <w:sz w:val="24"/>
              </w:rPr>
              <w:br w:type="textWrapping"/>
            </w:r>
            <w:r>
              <w:rPr>
                <w:rFonts w:hint="eastAsia" w:ascii="宋体" w:hAnsi="宋体" w:cs="宋体"/>
                <w:color w:val="000000"/>
                <w:kern w:val="0"/>
                <w:sz w:val="24"/>
              </w:rPr>
              <w:t>4、输入电压范围：380VAC±15%；频率：50Hz±2Hz；电气性能应符合IEC标准；</w:t>
            </w:r>
            <w:r>
              <w:rPr>
                <w:rFonts w:hint="eastAsia" w:ascii="宋体" w:hAnsi="宋体" w:cs="宋体"/>
                <w:color w:val="000000"/>
                <w:kern w:val="0"/>
                <w:sz w:val="24"/>
              </w:rPr>
              <w:br w:type="textWrapping"/>
            </w:r>
            <w:r>
              <w:rPr>
                <w:rFonts w:hint="eastAsia" w:ascii="宋体" w:hAnsi="宋体" w:cs="宋体"/>
                <w:color w:val="000000"/>
                <w:kern w:val="0"/>
                <w:sz w:val="24"/>
              </w:rPr>
              <w:t>5、适应环境：温度：室内0℃50℃；室外 -15℃~45℃（低温型-40℃~45℃）；湿度：20%~80%RH；温度调节范围：+18℃~+45℃；温度调节精度：±1℃ ，温度变化率&lt;5℃/小时；湿度调节范围：20%~80%RH；湿度调节精度：±5%RH；温、湿度波动超限应能发出报警信号；应能按要求自动调节室内温、湿度，且具有制冷、加热、加湿、除湿等功能；</w:t>
            </w:r>
            <w:r>
              <w:rPr>
                <w:rFonts w:hint="eastAsia" w:ascii="宋体" w:hAnsi="宋体" w:cs="宋体"/>
                <w:color w:val="000000"/>
                <w:kern w:val="0"/>
                <w:sz w:val="24"/>
              </w:rPr>
              <w:br w:type="textWrapping"/>
            </w:r>
            <w:r>
              <w:rPr>
                <w:rFonts w:hint="eastAsia" w:ascii="宋体" w:hAnsi="宋体" w:cs="宋体"/>
                <w:color w:val="000000"/>
                <w:kern w:val="0"/>
                <w:sz w:val="24"/>
              </w:rPr>
              <w:t>6、</w:t>
            </w:r>
            <w:r>
              <w:rPr>
                <w:rFonts w:hint="eastAsia" w:ascii="宋体" w:hAnsi="宋体" w:cs="宋体"/>
                <w:b/>
                <w:bCs/>
                <w:color w:val="000000"/>
                <w:kern w:val="0"/>
                <w:sz w:val="24"/>
              </w:rPr>
              <w:t>空调机组应采用自来水进行加湿，加湿方式为湿膜加湿，该加湿器无功率消耗；加湿量≥3kg/h；为保证系统运行的高效性和稳定性，空调标称节流部件配置两个电子膨胀阀；提供具有国家认可检测资质的第三方机构出具的检测报告；</w:t>
            </w:r>
            <w:r>
              <w:rPr>
                <w:rFonts w:hint="eastAsia" w:ascii="宋体" w:hAnsi="宋体" w:cs="宋体"/>
                <w:color w:val="000000"/>
                <w:kern w:val="0"/>
                <w:sz w:val="24"/>
              </w:rPr>
              <w:br w:type="textWrapping"/>
            </w:r>
            <w:r>
              <w:rPr>
                <w:rFonts w:hint="eastAsia" w:ascii="宋体" w:hAnsi="宋体" w:cs="宋体"/>
                <w:color w:val="000000"/>
                <w:kern w:val="0"/>
                <w:sz w:val="24"/>
              </w:rPr>
              <w:t>7、应解决机房的高显热量负荷，要求在37℃，24%RH工况下显热比 100%，机组制冷量可随室内工况变化自动调节；</w:t>
            </w:r>
            <w:r>
              <w:rPr>
                <w:rFonts w:hint="eastAsia" w:ascii="宋体" w:hAnsi="宋体" w:cs="宋体"/>
                <w:color w:val="000000"/>
                <w:kern w:val="0"/>
                <w:sz w:val="24"/>
              </w:rPr>
              <w:br w:type="textWrapping"/>
            </w:r>
            <w:r>
              <w:rPr>
                <w:rFonts w:hint="eastAsia" w:ascii="宋体" w:hAnsi="宋体" w:cs="宋体"/>
                <w:color w:val="000000"/>
                <w:kern w:val="0"/>
                <w:sz w:val="24"/>
              </w:rPr>
              <w:t>8、应具有高效节能性，应用变容量压缩机，直流变频压缩机，要求压缩机具有较高的能效比，且冷量输出可实现20%-100%连续调节；为保证压缩机高效可靠运行；</w:t>
            </w:r>
            <w:r>
              <w:rPr>
                <w:rFonts w:hint="eastAsia" w:ascii="宋体" w:hAnsi="宋体" w:cs="宋体"/>
                <w:color w:val="000000"/>
                <w:kern w:val="0"/>
                <w:sz w:val="24"/>
              </w:rPr>
              <w:br w:type="textWrapping"/>
            </w:r>
            <w:r>
              <w:rPr>
                <w:rFonts w:hint="eastAsia" w:ascii="宋体" w:hAnsi="宋体" w:cs="宋体"/>
                <w:color w:val="000000"/>
                <w:kern w:val="0"/>
                <w:sz w:val="24"/>
              </w:rPr>
              <w:t>9、应采用高效后倾离心式EC风机，风机具有N+1冗余配置，任意风机故障，仍可确保全风量运行；为保证良好的制冷效果，空调应有较大的送风量；</w:t>
            </w:r>
            <w:r>
              <w:rPr>
                <w:rFonts w:hint="eastAsia" w:ascii="宋体" w:hAnsi="宋体" w:cs="宋体"/>
                <w:color w:val="000000"/>
                <w:kern w:val="0"/>
                <w:sz w:val="24"/>
              </w:rPr>
              <w:br w:type="textWrapping"/>
            </w:r>
            <w:r>
              <w:rPr>
                <w:rFonts w:hint="eastAsia" w:ascii="宋体" w:hAnsi="宋体" w:cs="宋体"/>
                <w:color w:val="000000"/>
                <w:kern w:val="0"/>
                <w:sz w:val="24"/>
              </w:rPr>
              <w:t>10、应采用高效内螺纹“/”型大面积蒸发器，不接受“V”型或其它形式等类型蒸发器，保障换热效率，除湿控制精确；室外风机应可根据室外温度及冷量需求变频调速，减少风机能耗；</w:t>
            </w:r>
            <w:r>
              <w:rPr>
                <w:rFonts w:hint="eastAsia" w:ascii="宋体" w:hAnsi="宋体" w:cs="宋体"/>
                <w:color w:val="000000"/>
                <w:kern w:val="0"/>
                <w:sz w:val="24"/>
              </w:rPr>
              <w:br w:type="textWrapping"/>
            </w:r>
            <w:r>
              <w:rPr>
                <w:rFonts w:hint="eastAsia" w:ascii="宋体" w:hAnsi="宋体" w:cs="宋体"/>
                <w:color w:val="000000"/>
                <w:kern w:val="0"/>
                <w:sz w:val="24"/>
              </w:rPr>
              <w:t>11、应有节能措施的设计，除湿控制精确，以减少空气过冷及热补偿的能量损失；室外风机应可根据室外温度无极调速，减少风机能耗；</w:t>
            </w:r>
            <w:r>
              <w:rPr>
                <w:rFonts w:hint="eastAsia" w:ascii="宋体" w:hAnsi="宋体" w:cs="宋体"/>
                <w:color w:val="000000"/>
                <w:kern w:val="0"/>
                <w:sz w:val="24"/>
              </w:rPr>
              <w:br w:type="textWrapping"/>
            </w:r>
            <w:r>
              <w:rPr>
                <w:rFonts w:hint="eastAsia" w:ascii="宋体" w:hAnsi="宋体" w:cs="宋体"/>
                <w:b/>
                <w:bCs/>
                <w:color w:val="000000"/>
                <w:kern w:val="0"/>
                <w:sz w:val="24"/>
              </w:rPr>
              <w:t>12、空调群控功能：机房群控系统支持空调自动轮巡功能，可设置时间，定时切换备份机组，均衡各空调运行时间，运行机出现故障,备机能够自动转为运行状态，系统出现高温告警,备机能够自动转为运行状态，可实现组网机组运行状态检测及控制避免多机组同时运行在相反的运行状态(制冷/加热、加湿/除湿)；提供具有国家认可检测资质的第三方机构出具的检测报告。</w:t>
            </w:r>
            <w:r>
              <w:rPr>
                <w:rFonts w:hint="eastAsia" w:ascii="宋体" w:hAnsi="宋体" w:cs="宋体"/>
                <w:color w:val="000000"/>
                <w:kern w:val="0"/>
                <w:sz w:val="24"/>
              </w:rPr>
              <w:br w:type="textWrapping"/>
            </w:r>
            <w:r>
              <w:rPr>
                <w:rFonts w:hint="eastAsia" w:ascii="宋体" w:hAnsi="宋体" w:cs="宋体"/>
                <w:color w:val="000000"/>
                <w:kern w:val="0"/>
                <w:sz w:val="24"/>
              </w:rPr>
              <w:t>注：为保证系统的兼容性、稳定性及方便后期便于维护建议模块化UPS主机、列间专用精密空调、精密配电柜、IT机柜及冷通道组件为同一品牌。</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台</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铜管</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精密空调配套。</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米</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安装辅材</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包温管，制冷剂，扎带，接头，弯头等包含阀门、支架，室外机电源控制线等辅材。</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b/>
                <w:bCs/>
                <w:color w:val="000000"/>
                <w:kern w:val="0"/>
                <w:sz w:val="24"/>
              </w:rPr>
            </w:pPr>
            <w:r>
              <w:rPr>
                <w:rFonts w:hint="eastAsia" w:ascii="宋体" w:hAnsi="宋体" w:cs="宋体"/>
                <w:b/>
                <w:bCs/>
                <w:color w:val="000000"/>
                <w:kern w:val="0"/>
                <w:sz w:val="24"/>
              </w:rPr>
              <w:t>（六）气体消防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无管网气体消防柜90L</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含瓶组、容器阀、压力信号装置、压力表、立柜、转换接头、低泄高密阀、安全阀、高压连接管、喷头、电磁阀等。</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药剂</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无色、无味的气体，其臭氧耗损潜能值（ODP）为零，在ISO认可的洁净气体灭火剂中，其洁净性最好，具有清洁、低毒、电绝缘性能好、灭火效率高等特点。</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kg</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泄压装置</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1、在防护区开设泄压口，不然防护区的围护结构将可能承受不起增长的压力而遭破坏，动作压力:1100Pa（出厂设定值）；</w:t>
            </w:r>
            <w:r>
              <w:rPr>
                <w:rFonts w:hint="eastAsia" w:ascii="宋体" w:hAnsi="宋体" w:cs="宋体"/>
                <w:color w:val="000000"/>
                <w:kern w:val="0"/>
                <w:sz w:val="24"/>
              </w:rPr>
              <w:br w:type="textWrapping"/>
            </w:r>
            <w:r>
              <w:rPr>
                <w:rFonts w:hint="eastAsia" w:ascii="宋体" w:hAnsi="宋体" w:cs="宋体"/>
                <w:color w:val="000000"/>
                <w:kern w:val="0"/>
                <w:sz w:val="24"/>
              </w:rPr>
              <w:t>2、动作精度:±100Pa；</w:t>
            </w:r>
            <w:r>
              <w:rPr>
                <w:rFonts w:hint="eastAsia" w:ascii="宋体" w:hAnsi="宋体" w:cs="宋体"/>
                <w:color w:val="000000"/>
                <w:kern w:val="0"/>
                <w:sz w:val="24"/>
              </w:rPr>
              <w:br w:type="textWrapping"/>
            </w:r>
            <w:r>
              <w:rPr>
                <w:rFonts w:hint="eastAsia" w:ascii="宋体" w:hAnsi="宋体" w:cs="宋体"/>
                <w:color w:val="000000"/>
                <w:kern w:val="0"/>
                <w:sz w:val="24"/>
              </w:rPr>
              <w:t>3、装置材质:冷轧钢板，表面静电喷塑。</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消防泄压口开洞</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尺寸根据实际定制，开洞后及修复。</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项</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气体灭火控制盘（三防区）</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1、交流输入电压：220V±1015%, 50Hz±1%；</w:t>
            </w:r>
            <w:r>
              <w:rPr>
                <w:rFonts w:hint="eastAsia" w:ascii="宋体" w:hAnsi="宋体" w:cs="宋体"/>
                <w:color w:val="000000"/>
                <w:kern w:val="0"/>
                <w:sz w:val="24"/>
              </w:rPr>
              <w:br w:type="textWrapping"/>
            </w:r>
            <w:r>
              <w:rPr>
                <w:rFonts w:hint="eastAsia" w:ascii="宋体" w:hAnsi="宋体" w:cs="宋体"/>
                <w:color w:val="000000"/>
                <w:kern w:val="0"/>
                <w:sz w:val="24"/>
              </w:rPr>
              <w:t>2、交流输入功率：≤100W；</w:t>
            </w:r>
            <w:r>
              <w:rPr>
                <w:rFonts w:hint="eastAsia" w:ascii="宋体" w:hAnsi="宋体" w:cs="宋体"/>
                <w:color w:val="000000"/>
                <w:kern w:val="0"/>
                <w:sz w:val="24"/>
              </w:rPr>
              <w:br w:type="textWrapping"/>
            </w:r>
            <w:r>
              <w:rPr>
                <w:rFonts w:hint="eastAsia" w:ascii="宋体" w:hAnsi="宋体" w:cs="宋体"/>
                <w:color w:val="000000"/>
                <w:kern w:val="0"/>
                <w:sz w:val="24"/>
              </w:rPr>
              <w:t>3、直流备电：DC24V/5Ah,全密封免维护蓄电池；</w:t>
            </w:r>
            <w:r>
              <w:rPr>
                <w:rFonts w:hint="eastAsia" w:ascii="宋体" w:hAnsi="宋体" w:cs="宋体"/>
                <w:color w:val="000000"/>
                <w:kern w:val="0"/>
                <w:sz w:val="24"/>
              </w:rPr>
              <w:br w:type="textWrapping"/>
            </w:r>
            <w:r>
              <w:rPr>
                <w:rFonts w:hint="eastAsia" w:ascii="宋体" w:hAnsi="宋体" w:cs="宋体"/>
                <w:color w:val="000000"/>
                <w:kern w:val="0"/>
                <w:sz w:val="24"/>
              </w:rPr>
              <w:t>4、使用环境温度：0℃～40℃；相对湿度：≤95% (不凝露)；</w:t>
            </w:r>
            <w:r>
              <w:rPr>
                <w:rFonts w:hint="eastAsia" w:ascii="宋体" w:hAnsi="宋体" w:cs="宋体"/>
                <w:color w:val="000000"/>
                <w:kern w:val="0"/>
                <w:sz w:val="24"/>
              </w:rPr>
              <w:br w:type="textWrapping"/>
            </w:r>
            <w:r>
              <w:rPr>
                <w:rFonts w:hint="eastAsia" w:ascii="宋体" w:hAnsi="宋体" w:cs="宋体"/>
                <w:color w:val="000000"/>
                <w:kern w:val="0"/>
                <w:sz w:val="24"/>
              </w:rPr>
              <w:t>5、容量：3防区；回路容量≤160点；</w:t>
            </w:r>
            <w:r>
              <w:rPr>
                <w:rFonts w:hint="eastAsia" w:ascii="宋体" w:hAnsi="宋体" w:cs="宋体"/>
                <w:color w:val="000000"/>
                <w:kern w:val="0"/>
                <w:sz w:val="24"/>
              </w:rPr>
              <w:br w:type="textWrapping"/>
            </w:r>
            <w:r>
              <w:rPr>
                <w:rFonts w:hint="eastAsia" w:ascii="宋体" w:hAnsi="宋体" w:cs="宋体"/>
                <w:color w:val="000000"/>
                <w:kern w:val="0"/>
                <w:sz w:val="24"/>
              </w:rPr>
              <w:t>6、24V电源最大输出电流：2A（瞬态输出可达3A）；</w:t>
            </w:r>
            <w:r>
              <w:rPr>
                <w:rFonts w:hint="eastAsia" w:ascii="宋体" w:hAnsi="宋体" w:cs="宋体"/>
                <w:color w:val="000000"/>
                <w:kern w:val="0"/>
                <w:sz w:val="24"/>
              </w:rPr>
              <w:br w:type="textWrapping"/>
            </w:r>
            <w:r>
              <w:rPr>
                <w:rFonts w:hint="eastAsia" w:ascii="宋体" w:hAnsi="宋体" w:cs="宋体"/>
                <w:color w:val="000000"/>
                <w:kern w:val="0"/>
                <w:sz w:val="24"/>
              </w:rPr>
              <w:t>7、总线长度：≤1500米。</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6</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感烟探测器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1、电子编码，唯一ID，在线编址，自动登录，安装调试极为先进方便；</w:t>
            </w:r>
            <w:r>
              <w:rPr>
                <w:rFonts w:hint="eastAsia" w:ascii="宋体" w:hAnsi="宋体" w:cs="宋体"/>
                <w:color w:val="000000"/>
                <w:kern w:val="0"/>
                <w:sz w:val="24"/>
              </w:rPr>
              <w:br w:type="textWrapping"/>
            </w:r>
            <w:r>
              <w:rPr>
                <w:rFonts w:hint="eastAsia" w:ascii="宋体" w:hAnsi="宋体" w:cs="宋体"/>
                <w:color w:val="000000"/>
                <w:kern w:val="0"/>
                <w:sz w:val="24"/>
              </w:rPr>
              <w:t>2、内嵌式底座，超薄设计，流体造形，不易吸附灰尘；</w:t>
            </w:r>
            <w:r>
              <w:rPr>
                <w:rFonts w:hint="eastAsia" w:ascii="宋体" w:hAnsi="宋体" w:cs="宋体"/>
                <w:color w:val="000000"/>
                <w:kern w:val="0"/>
                <w:sz w:val="24"/>
              </w:rPr>
              <w:br w:type="textWrapping"/>
            </w:r>
            <w:r>
              <w:rPr>
                <w:rFonts w:hint="eastAsia" w:ascii="宋体" w:hAnsi="宋体" w:cs="宋体"/>
                <w:color w:val="000000"/>
                <w:kern w:val="0"/>
                <w:sz w:val="24"/>
              </w:rPr>
              <w:t>3、两发一收的立式双向散射专利技术，结合先进的相对光强比算法，实现对不同颜色、粒径烟雾的均衡响应，可排除非火警因素造成的干扰，避免误报，方位响应性能优越。</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7</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感温探测器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1、电子编码，唯一ID，在线编址，自动登录，安装调试极为先进方便；</w:t>
            </w:r>
            <w:r>
              <w:rPr>
                <w:rFonts w:hint="eastAsia" w:ascii="宋体" w:hAnsi="宋体" w:cs="宋体"/>
                <w:color w:val="000000"/>
                <w:kern w:val="0"/>
                <w:sz w:val="24"/>
              </w:rPr>
              <w:br w:type="textWrapping"/>
            </w:r>
            <w:r>
              <w:rPr>
                <w:rFonts w:hint="eastAsia" w:ascii="宋体" w:hAnsi="宋体" w:cs="宋体"/>
                <w:color w:val="000000"/>
                <w:kern w:val="0"/>
                <w:sz w:val="24"/>
              </w:rPr>
              <w:t>2、顶置导光柱，火警指示灯360°可视；</w:t>
            </w:r>
            <w:r>
              <w:rPr>
                <w:rFonts w:hint="eastAsia" w:ascii="宋体" w:hAnsi="宋体" w:cs="宋体"/>
                <w:color w:val="000000"/>
                <w:kern w:val="0"/>
                <w:sz w:val="24"/>
              </w:rPr>
              <w:br w:type="textWrapping"/>
            </w:r>
            <w:r>
              <w:rPr>
                <w:rFonts w:hint="eastAsia" w:ascii="宋体" w:hAnsi="宋体" w:cs="宋体"/>
                <w:color w:val="000000"/>
                <w:kern w:val="0"/>
                <w:sz w:val="24"/>
              </w:rPr>
              <w:t>3、采用环氧树脂封装NTC热敏电阻，具有差温特性的A2类探测器；动作温度由火灾报警控制器设定，将根据现场环境单点或统一调整，测试精度可达到±1℃；</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8</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声光报警器</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电子编码，启动后发出强烈的声光警号，具有外控输入控制触点。</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放气指示灯</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1、由火灾报警控制器使其工作，表示气体喷洒状态，提醒人员不得进入气体灭火区域；</w:t>
            </w:r>
            <w:r>
              <w:rPr>
                <w:rFonts w:hint="eastAsia" w:ascii="宋体" w:hAnsi="宋体" w:cs="宋体"/>
                <w:color w:val="000000"/>
                <w:kern w:val="0"/>
                <w:sz w:val="24"/>
              </w:rPr>
              <w:br w:type="textWrapping"/>
            </w:r>
            <w:r>
              <w:rPr>
                <w:rFonts w:hint="eastAsia" w:ascii="宋体" w:hAnsi="宋体" w:cs="宋体"/>
                <w:color w:val="000000"/>
                <w:kern w:val="0"/>
                <w:sz w:val="24"/>
              </w:rPr>
              <w:t>2、工作时，闪烁显示“放气勿入”红色字样。</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10</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紧急启/停止/手/自动开关</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指示装置，该按钮带有指示灯，可清楚地表示按钮状态。</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个</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11</w:t>
            </w:r>
          </w:p>
        </w:tc>
        <w:tc>
          <w:tcPr>
            <w:tcW w:w="1950"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安装辅材</w:t>
            </w:r>
          </w:p>
        </w:tc>
        <w:tc>
          <w:tcPr>
            <w:tcW w:w="9762" w:type="dxa"/>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系统设备安装调试所需配套辅材。</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项</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b/>
                <w:bCs/>
                <w:kern w:val="0"/>
                <w:sz w:val="24"/>
              </w:rPr>
              <w:t>七、系统集成费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300" w:type="dxa"/>
            <w:gridSpan w:val="3"/>
            <w:tcBorders>
              <w:tl2br w:val="nil"/>
              <w:tr2bl w:val="nil"/>
            </w:tcBorders>
            <w:shd w:val="clear" w:color="000000" w:fill="FFFFFF"/>
            <w:noWrap/>
            <w:vAlign w:val="center"/>
          </w:tcPr>
          <w:p>
            <w:pPr>
              <w:widowControl/>
              <w:adjustRightInd/>
              <w:jc w:val="left"/>
              <w:rPr>
                <w:rFonts w:hint="eastAsia" w:ascii="宋体" w:hAnsi="宋体" w:cs="宋体"/>
                <w:color w:val="000000"/>
                <w:kern w:val="0"/>
                <w:sz w:val="24"/>
              </w:rPr>
            </w:pPr>
            <w:r>
              <w:rPr>
                <w:rFonts w:hint="eastAsia" w:ascii="宋体" w:hAnsi="宋体" w:cs="宋体"/>
                <w:color w:val="000000"/>
                <w:kern w:val="0"/>
                <w:sz w:val="24"/>
              </w:rPr>
              <w:t>包括但不限于：</w:t>
            </w:r>
            <w:r>
              <w:rPr>
                <w:rFonts w:hint="eastAsia" w:ascii="宋体" w:hAnsi="宋体" w:cs="宋体"/>
                <w:color w:val="000000"/>
                <w:kern w:val="0"/>
                <w:sz w:val="24"/>
              </w:rPr>
              <w:br w:type="textWrapping"/>
            </w:r>
            <w:r>
              <w:rPr>
                <w:rFonts w:hint="eastAsia" w:ascii="宋体" w:hAnsi="宋体" w:cs="宋体"/>
                <w:color w:val="000000"/>
                <w:kern w:val="0"/>
                <w:sz w:val="24"/>
              </w:rPr>
              <w:t>1、所有工程施工人工费用、系统集成费用；</w:t>
            </w:r>
            <w:r>
              <w:rPr>
                <w:rFonts w:hint="eastAsia" w:ascii="宋体" w:hAnsi="宋体" w:cs="宋体"/>
                <w:color w:val="000000"/>
                <w:kern w:val="0"/>
                <w:sz w:val="24"/>
              </w:rPr>
              <w:br w:type="textWrapping"/>
            </w:r>
            <w:r>
              <w:rPr>
                <w:rFonts w:hint="eastAsia" w:ascii="宋体" w:hAnsi="宋体" w:cs="宋体"/>
                <w:color w:val="000000"/>
                <w:kern w:val="0"/>
                <w:sz w:val="24"/>
              </w:rPr>
              <w:t>2、相关系统第三方检测费用。</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项</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color w:val="000000"/>
                <w:kern w:val="0"/>
                <w:sz w:val="24"/>
              </w:rPr>
            </w:pPr>
            <w:r>
              <w:rPr>
                <w:rFonts w:hint="eastAsia" w:ascii="宋体" w:hAnsi="宋体" w:cs="宋体"/>
                <w:color w:val="000000"/>
                <w:kern w:val="0"/>
                <w:sz w:val="24"/>
              </w:rPr>
              <w:t>1</w:t>
            </w:r>
          </w:p>
        </w:tc>
      </w:tr>
    </w:tbl>
    <w:p>
      <w:pPr>
        <w:pStyle w:val="3"/>
        <w:spacing w:before="0" w:after="0" w:line="360" w:lineRule="auto"/>
        <w:rPr>
          <w:rFonts w:hint="eastAsia" w:ascii="宋体" w:hAnsi="宋体" w:cs="宋体"/>
          <w:sz w:val="24"/>
          <w:szCs w:val="24"/>
        </w:rPr>
      </w:pPr>
      <w:r>
        <w:rPr>
          <w:rFonts w:hint="eastAsia" w:ascii="宋体" w:hAnsi="宋体" w:cs="宋体"/>
          <w:sz w:val="24"/>
          <w:szCs w:val="24"/>
        </w:rPr>
        <w:t>3.4</w:t>
      </w:r>
      <w:r>
        <w:rPr>
          <w:rFonts w:hint="eastAsia" w:asciiTheme="minorEastAsia" w:hAnsiTheme="minorEastAsia" w:eastAsiaTheme="minorEastAsia" w:cstheme="minorEastAsia"/>
          <w:sz w:val="24"/>
          <w:szCs w:val="24"/>
        </w:rPr>
        <w:t>本项目包含部分配套装饰内容，包含但不仅限于以下内容：</w:t>
      </w:r>
    </w:p>
    <w:tbl>
      <w:tblPr>
        <w:tblStyle w:val="62"/>
        <w:tblW w:w="1397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016"/>
        <w:gridCol w:w="9696"/>
        <w:gridCol w:w="75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b/>
                <w:bCs/>
                <w:kern w:val="0"/>
                <w:sz w:val="24"/>
              </w:rPr>
            </w:pPr>
            <w:r>
              <w:rPr>
                <w:rFonts w:hint="eastAsia" w:ascii="宋体" w:hAnsi="宋体" w:cs="宋体"/>
                <w:b/>
                <w:bCs/>
                <w:kern w:val="0"/>
                <w:sz w:val="24"/>
              </w:rPr>
              <w:t>序号</w:t>
            </w:r>
          </w:p>
        </w:tc>
        <w:tc>
          <w:tcPr>
            <w:tcW w:w="2016" w:type="dxa"/>
            <w:tcBorders>
              <w:tl2br w:val="nil"/>
              <w:tr2bl w:val="nil"/>
            </w:tcBorders>
            <w:shd w:val="clear" w:color="000000" w:fill="FFFFFF"/>
            <w:noWrap/>
            <w:vAlign w:val="center"/>
          </w:tcPr>
          <w:p>
            <w:pPr>
              <w:widowControl/>
              <w:adjustRightInd/>
              <w:jc w:val="center"/>
              <w:rPr>
                <w:rFonts w:hint="eastAsia" w:ascii="宋体" w:hAnsi="宋体" w:cs="宋体"/>
                <w:b/>
                <w:bCs/>
                <w:kern w:val="0"/>
                <w:sz w:val="24"/>
              </w:rPr>
            </w:pPr>
            <w:r>
              <w:rPr>
                <w:rFonts w:hint="eastAsia" w:ascii="宋体" w:hAnsi="宋体" w:cs="宋体"/>
                <w:b/>
                <w:bCs/>
                <w:kern w:val="0"/>
                <w:sz w:val="24"/>
              </w:rPr>
              <w:t>名称</w:t>
            </w:r>
          </w:p>
        </w:tc>
        <w:tc>
          <w:tcPr>
            <w:tcW w:w="9696" w:type="dxa"/>
            <w:tcBorders>
              <w:tl2br w:val="nil"/>
              <w:tr2bl w:val="nil"/>
            </w:tcBorders>
            <w:shd w:val="clear" w:color="000000" w:fill="FFFFFF"/>
            <w:noWrap/>
            <w:vAlign w:val="center"/>
          </w:tcPr>
          <w:p>
            <w:pPr>
              <w:widowControl/>
              <w:adjustRightInd/>
              <w:jc w:val="center"/>
              <w:rPr>
                <w:rFonts w:hint="eastAsia" w:ascii="宋体" w:hAnsi="宋体" w:cs="宋体"/>
                <w:b/>
                <w:bCs/>
                <w:kern w:val="0"/>
                <w:sz w:val="24"/>
              </w:rPr>
            </w:pPr>
            <w:r>
              <w:rPr>
                <w:rFonts w:hint="eastAsia" w:ascii="宋体" w:hAnsi="宋体" w:cs="宋体"/>
                <w:b/>
                <w:bCs/>
                <w:kern w:val="0"/>
                <w:sz w:val="24"/>
              </w:rPr>
              <w:t>内容</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b/>
                <w:bCs/>
                <w:kern w:val="0"/>
                <w:sz w:val="24"/>
              </w:rPr>
            </w:pPr>
            <w:r>
              <w:rPr>
                <w:rFonts w:hint="eastAsia" w:ascii="宋体" w:hAnsi="宋体" w:cs="宋体"/>
                <w:b/>
                <w:bCs/>
                <w:kern w:val="0"/>
                <w:sz w:val="24"/>
              </w:rPr>
              <w:t>单位</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b/>
                <w:bCs/>
                <w:kern w:val="0"/>
                <w:sz w:val="24"/>
              </w:rPr>
            </w:pPr>
            <w:r>
              <w:rPr>
                <w:rFonts w:hint="eastAsia" w:ascii="宋体" w:hAnsi="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b/>
                <w:bCs/>
                <w:kern w:val="0"/>
                <w:sz w:val="24"/>
              </w:rPr>
              <w:t>网络中心机房</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75" w:type="dxa"/>
            <w:gridSpan w:val="5"/>
            <w:tcBorders>
              <w:tl2br w:val="nil"/>
              <w:tr2bl w:val="nil"/>
            </w:tcBorders>
            <w:shd w:val="clear" w:color="000000" w:fill="FFFFFF"/>
            <w:noWrap/>
            <w:vAlign w:val="center"/>
          </w:tcPr>
          <w:p>
            <w:pPr>
              <w:widowControl/>
              <w:adjustRightInd/>
              <w:jc w:val="left"/>
              <w:rPr>
                <w:rFonts w:hint="eastAsia" w:ascii="宋体" w:hAnsi="宋体" w:cs="宋体"/>
                <w:b/>
                <w:bCs/>
                <w:kern w:val="0"/>
                <w:sz w:val="24"/>
              </w:rPr>
            </w:pPr>
            <w:r>
              <w:rPr>
                <w:rFonts w:hint="eastAsia" w:ascii="宋体" w:hAnsi="宋体" w:cs="宋体"/>
                <w:b/>
                <w:bCs/>
                <w:kern w:val="0"/>
                <w:sz w:val="24"/>
              </w:rPr>
              <w:t>装饰装修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地面清理</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地板清理：地面找平</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地面防尘防静电漆</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环氧防静电涂料,刷三遍，地板下区域和四周</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地面橡塑保温棉</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20mm，B1级防火</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4</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镀锌铁皮</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0.5mm，镀锌铁皮</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机房斜坡</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花纹板+角铁定制，具体尺寸按现场实际情况确定</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6</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吊顶清理</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顶板清理：顶面清理</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7</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顶面保温棉</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20mm，B1防火加铝箔</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8</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L型压边条</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L型</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吊顶龙骨</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C38</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10</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吊杆</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10#螺杆（含配件）</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11</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顶面微孔铝板</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600*600*0.8；光泽度好；平整度：小于2mm/平米；抗震性能好；防火性能达到A级</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12</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墙面防尘乳胶漆</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防尘防静电漆</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13</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墙面龙骨</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C38</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14</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墙面彩钢板</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1200*3100*0.8/12mm防火石膏板内衬，0.8mm厚彩钢板</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15</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不锈钢踢脚线</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100mm，内填石膏板</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16</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防火隔音保温棉</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保温岩棉，防火、保温、吸音</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17</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甲级钢制双开防火门</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1500×2200mm 含配件</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樘</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18</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窗户封堵</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采用轻质砖或龙骨木工板封堵，防水处理，加贴反射膜</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m²</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19</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承重底座</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精密空调、电池架、机柜、配电柜等，5#槽钢制作，刷防锈漆，具体尺寸按现场实际情况确定</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20</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装修辅材</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木工板、防火涂料、防锈漆、工程胶等</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批</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21</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装修垃圾清运</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装修垃圾清运</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项</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22</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进水管道</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PPR管材，精密空调进水配套</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23</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排水管道</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PPR管材；精密空调排水配套</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套</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8"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24</w:t>
            </w:r>
          </w:p>
        </w:tc>
        <w:tc>
          <w:tcPr>
            <w:tcW w:w="201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室外机基座</w:t>
            </w:r>
          </w:p>
        </w:tc>
        <w:tc>
          <w:tcPr>
            <w:tcW w:w="9696" w:type="dxa"/>
            <w:tcBorders>
              <w:tl2br w:val="nil"/>
              <w:tr2bl w:val="nil"/>
            </w:tcBorders>
            <w:shd w:val="clear" w:color="000000" w:fill="FFFFFF"/>
            <w:noWrap/>
            <w:vAlign w:val="center"/>
          </w:tcPr>
          <w:p>
            <w:pPr>
              <w:widowControl/>
              <w:adjustRightInd/>
              <w:jc w:val="left"/>
              <w:rPr>
                <w:rFonts w:hint="eastAsia" w:ascii="宋体" w:hAnsi="宋体" w:cs="宋体"/>
                <w:kern w:val="0"/>
                <w:sz w:val="24"/>
              </w:rPr>
            </w:pPr>
            <w:r>
              <w:rPr>
                <w:rFonts w:hint="eastAsia" w:ascii="宋体" w:hAnsi="宋体" w:cs="宋体"/>
                <w:kern w:val="0"/>
                <w:sz w:val="24"/>
              </w:rPr>
              <w:t>地面钢筋混凝土浇筑</w:t>
            </w:r>
          </w:p>
        </w:tc>
        <w:tc>
          <w:tcPr>
            <w:tcW w:w="750"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项</w:t>
            </w:r>
          </w:p>
        </w:tc>
        <w:tc>
          <w:tcPr>
            <w:tcW w:w="925" w:type="dxa"/>
            <w:tcBorders>
              <w:tl2br w:val="nil"/>
              <w:tr2bl w:val="nil"/>
            </w:tcBorders>
            <w:shd w:val="clear" w:color="000000" w:fill="FFFFFF"/>
            <w:noWrap/>
            <w:vAlign w:val="center"/>
          </w:tcPr>
          <w:p>
            <w:pPr>
              <w:widowControl/>
              <w:adjustRightInd/>
              <w:jc w:val="center"/>
              <w:rPr>
                <w:rFonts w:hint="eastAsia" w:ascii="宋体" w:hAnsi="宋体" w:cs="宋体"/>
                <w:kern w:val="0"/>
                <w:sz w:val="24"/>
              </w:rPr>
            </w:pPr>
            <w:r>
              <w:rPr>
                <w:rFonts w:hint="eastAsia" w:ascii="宋体" w:hAnsi="宋体" w:cs="宋体"/>
                <w:kern w:val="0"/>
                <w:sz w:val="24"/>
              </w:rPr>
              <w:t>2</w:t>
            </w:r>
          </w:p>
        </w:tc>
      </w:tr>
    </w:tbl>
    <w:p>
      <w:pPr>
        <w:pStyle w:val="3"/>
        <w:spacing w:before="0" w:after="0" w:line="360" w:lineRule="auto"/>
        <w:rPr>
          <w:rFonts w:hint="eastAsia" w:ascii="宋体" w:hAnsi="宋体" w:cs="宋体"/>
          <w:sz w:val="24"/>
          <w:szCs w:val="24"/>
        </w:rPr>
        <w:sectPr>
          <w:pgSz w:w="16838" w:h="11906" w:orient="landscape"/>
          <w:pgMar w:top="1417" w:right="1417" w:bottom="1417" w:left="1417" w:header="851" w:footer="992" w:gutter="0"/>
          <w:cols w:space="0" w:num="1"/>
          <w:docGrid w:type="lines" w:linePitch="312" w:charSpace="0"/>
        </w:sectPr>
      </w:pPr>
    </w:p>
    <w:p>
      <w:pPr>
        <w:pStyle w:val="3"/>
        <w:spacing w:before="0" w:after="0" w:line="240" w:lineRule="auto"/>
        <w:ind w:left="0" w:firstLine="0"/>
        <w:rPr>
          <w:rFonts w:hint="eastAsia" w:ascii="宋体" w:hAnsi="宋体" w:cs="宋体"/>
          <w:sz w:val="24"/>
          <w:szCs w:val="24"/>
        </w:rPr>
      </w:pPr>
      <w:r>
        <w:rPr>
          <w:rFonts w:hint="eastAsia" w:ascii="宋体" w:hAnsi="宋体" w:cs="宋体"/>
          <w:sz w:val="24"/>
          <w:szCs w:val="24"/>
        </w:rPr>
        <w:t>四、商务要求：</w:t>
      </w:r>
    </w:p>
    <w:p>
      <w:pPr>
        <w:spacing w:line="360" w:lineRule="auto"/>
        <w:ind w:firstLine="480" w:firstLineChars="200"/>
        <w:rPr>
          <w:rFonts w:hint="eastAsia" w:ascii="宋体" w:hAnsi="宋体" w:cs="宋体"/>
          <w:bCs/>
          <w:sz w:val="24"/>
        </w:rPr>
      </w:pPr>
      <w:r>
        <w:rPr>
          <w:rFonts w:hint="eastAsia" w:ascii="宋体" w:hAnsi="宋体" w:cs="宋体"/>
          <w:bCs/>
          <w:sz w:val="24"/>
        </w:rPr>
        <w:t>1、本项目要求在2025年6月30日前完成实施。</w:t>
      </w:r>
    </w:p>
    <w:p>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2、本项目的所有软、硬件(如线缆、管线、软件、硬件、模块等，包括未列出而系统实施又必需的软件、硬件)需配齐以构成一套完整实用系统，如有任何遗漏，由中标人补齐。（费用含在报价中）</w:t>
      </w:r>
    </w:p>
    <w:p>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3、投标方案中的硬件设备如需使用特别接头、插座等，由投标人提供，投标总价应包括运抵学校的运费及安装调试费等。</w:t>
      </w:r>
    </w:p>
    <w:p>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4、所投产品需为原厂全新产品，符合国家技术规格和质量标准的出厂合格产品，通过国家有关部门检测合格的原产地产品，未曾开箱使用，能够与学校</w:t>
      </w:r>
      <w:r>
        <w:rPr>
          <w:rFonts w:hint="eastAsia" w:ascii="宋体" w:hAnsi="宋体" w:cs="宋体"/>
          <w:sz w:val="24"/>
          <w:lang w:val="en-US" w:eastAsia="zh-CN"/>
        </w:rPr>
        <w:t>其他设施</w:t>
      </w:r>
      <w:r>
        <w:rPr>
          <w:rFonts w:hint="eastAsia" w:ascii="宋体" w:hAnsi="宋体" w:cs="宋体"/>
          <w:sz w:val="24"/>
        </w:rPr>
        <w:t>设备及软件正常连接；设备安装调试完毕后，能在其功能范围内保障用户的系统安全、稳定运行。</w:t>
      </w:r>
    </w:p>
    <w:p>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5、所投产品及主要部件均须非停产设备，并提供备件、附件和耗材的供应。</w:t>
      </w:r>
    </w:p>
    <w:p>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6、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7、所有硬件和软件设备提供不少于3</w:t>
      </w:r>
      <w:r>
        <w:rPr>
          <w:rFonts w:hint="eastAsia" w:ascii="宋体" w:hAnsi="宋体" w:cs="宋体"/>
          <w:sz w:val="24"/>
          <w:lang w:val="zh-CN"/>
        </w:rPr>
        <w:t>年</w:t>
      </w:r>
      <w:r>
        <w:rPr>
          <w:rFonts w:hint="eastAsia" w:ascii="宋体" w:hAnsi="宋体" w:cs="宋体"/>
          <w:sz w:val="24"/>
        </w:rPr>
        <w:t>7*24小时保修和售后现场技术服务。在接到用户维修要求后4小时内到达现场，8小时内修复。若不能修复，则需要提供后备或替代设备，以保证用户正常的工作。在质保期内，如遇软件产品升级、改版，应提供更新、升级服务。质保期后提供终身技术支持服务，如涉及到配件更换应以优惠价格提供维修服务。（费用含在报价中）</w:t>
      </w:r>
    </w:p>
    <w:p>
      <w:pPr>
        <w:autoSpaceDE w:val="0"/>
        <w:autoSpaceDN w:val="0"/>
        <w:spacing w:line="360" w:lineRule="auto"/>
        <w:ind w:firstLine="480" w:firstLineChars="200"/>
        <w:rPr>
          <w:rFonts w:cs="宋体"/>
        </w:rPr>
      </w:pPr>
      <w:r>
        <w:rPr>
          <w:rFonts w:hint="eastAsia" w:ascii="宋体" w:hAnsi="宋体" w:cs="宋体"/>
          <w:sz w:val="24"/>
        </w:rPr>
        <w:t>8、合同生效以及具备实施条件（预算资金正式下达），采购人在5个工作日内支付合同总金额的40%预付款。项目验收合格后5个工作日内，乙方凭发票向甲方办理合同余款。</w:t>
      </w:r>
      <w:r>
        <w:rPr>
          <w:rFonts w:hint="eastAsia" w:cs="宋体"/>
        </w:rPr>
        <w:br w:type="page"/>
      </w:r>
    </w:p>
    <w:p>
      <w:pPr>
        <w:snapToGrid w:val="0"/>
        <w:spacing w:line="360" w:lineRule="auto"/>
        <w:jc w:val="center"/>
        <w:rPr>
          <w:rFonts w:hint="eastAsia" w:ascii="宋体" w:hAnsi="宋体" w:cs="宋体"/>
          <w:b/>
          <w:sz w:val="36"/>
          <w:szCs w:val="36"/>
        </w:rPr>
      </w:pPr>
      <w:r>
        <w:rPr>
          <w:rFonts w:hint="eastAsia" w:ascii="宋体" w:hAnsi="宋体" w:cs="宋体"/>
          <w:b/>
          <w:sz w:val="36"/>
          <w:szCs w:val="36"/>
        </w:rPr>
        <w:t>第四部分</w:t>
      </w:r>
      <w:bookmarkStart w:id="29" w:name="_Toc184312083"/>
      <w:bookmarkEnd w:id="29"/>
      <w:bookmarkStart w:id="30" w:name="_Toc184308076"/>
      <w:bookmarkEnd w:id="30"/>
      <w:bookmarkStart w:id="31" w:name="_Toc184308090"/>
      <w:bookmarkEnd w:id="31"/>
      <w:bookmarkStart w:id="32" w:name="_Toc184310317"/>
      <w:bookmarkEnd w:id="32"/>
      <w:bookmarkStart w:id="33" w:name="_Toc184308092"/>
      <w:bookmarkEnd w:id="33"/>
      <w:bookmarkStart w:id="34" w:name="_Toc184314426"/>
      <w:bookmarkEnd w:id="34"/>
      <w:bookmarkStart w:id="35" w:name="_Toc184313277"/>
      <w:bookmarkEnd w:id="35"/>
      <w:bookmarkStart w:id="36" w:name="_Toc184314469"/>
      <w:bookmarkEnd w:id="36"/>
      <w:bookmarkStart w:id="37" w:name="_Toc184312107"/>
      <w:bookmarkEnd w:id="37"/>
      <w:bookmarkStart w:id="38" w:name="_Toc184313239"/>
      <w:bookmarkEnd w:id="38"/>
      <w:bookmarkStart w:id="39" w:name="_Toc184313254"/>
      <w:bookmarkEnd w:id="39"/>
      <w:bookmarkStart w:id="40" w:name="_Toc184308097"/>
      <w:bookmarkEnd w:id="40"/>
      <w:bookmarkStart w:id="41" w:name="_Toc184312127"/>
      <w:bookmarkEnd w:id="41"/>
      <w:bookmarkStart w:id="42" w:name="_Toc184313242"/>
      <w:bookmarkEnd w:id="42"/>
      <w:bookmarkStart w:id="43" w:name="_Toc184313240"/>
      <w:bookmarkEnd w:id="43"/>
      <w:bookmarkStart w:id="44" w:name="_Toc184312120"/>
      <w:bookmarkEnd w:id="44"/>
      <w:bookmarkStart w:id="45" w:name="_Toc184312138"/>
      <w:bookmarkEnd w:id="45"/>
      <w:bookmarkStart w:id="46" w:name="_Toc184312115"/>
      <w:bookmarkEnd w:id="46"/>
      <w:bookmarkStart w:id="47" w:name="_Toc184310283"/>
      <w:bookmarkEnd w:id="47"/>
      <w:bookmarkStart w:id="48" w:name="_Toc184314439"/>
      <w:bookmarkEnd w:id="48"/>
      <w:bookmarkStart w:id="49" w:name="_Toc184314417"/>
      <w:bookmarkEnd w:id="49"/>
      <w:bookmarkStart w:id="50" w:name="_Toc184313276"/>
      <w:bookmarkEnd w:id="50"/>
      <w:bookmarkStart w:id="51" w:name="_Toc184310274"/>
      <w:bookmarkEnd w:id="51"/>
      <w:bookmarkStart w:id="52" w:name="_Toc184308057"/>
      <w:bookmarkEnd w:id="52"/>
      <w:bookmarkStart w:id="53" w:name="_Toc184314451"/>
      <w:bookmarkEnd w:id="53"/>
      <w:bookmarkStart w:id="54" w:name="_Toc184310281"/>
      <w:bookmarkEnd w:id="54"/>
      <w:bookmarkStart w:id="55" w:name="_Toc184308082"/>
      <w:bookmarkEnd w:id="55"/>
      <w:bookmarkStart w:id="56" w:name="_Toc184310282"/>
      <w:bookmarkEnd w:id="56"/>
      <w:bookmarkStart w:id="57" w:name="_Toc184308043"/>
      <w:bookmarkEnd w:id="57"/>
      <w:bookmarkStart w:id="58" w:name="_Toc184312089"/>
      <w:bookmarkEnd w:id="58"/>
      <w:bookmarkStart w:id="59" w:name="_Toc184312137"/>
      <w:bookmarkEnd w:id="59"/>
      <w:bookmarkStart w:id="60" w:name="_Toc184310323"/>
      <w:bookmarkEnd w:id="60"/>
      <w:bookmarkStart w:id="61" w:name="_Toc184312131"/>
      <w:bookmarkEnd w:id="61"/>
      <w:bookmarkStart w:id="62" w:name="_Toc184314474"/>
      <w:bookmarkEnd w:id="62"/>
      <w:bookmarkStart w:id="63" w:name="_Toc184312096"/>
      <w:bookmarkEnd w:id="63"/>
      <w:bookmarkStart w:id="64" w:name="_Toc184313260"/>
      <w:bookmarkEnd w:id="64"/>
      <w:bookmarkStart w:id="65" w:name="_Toc184313249"/>
      <w:bookmarkEnd w:id="65"/>
      <w:bookmarkStart w:id="66" w:name="_Toc184310286"/>
      <w:bookmarkEnd w:id="66"/>
      <w:bookmarkStart w:id="67" w:name="_Toc184310292"/>
      <w:bookmarkEnd w:id="67"/>
      <w:bookmarkStart w:id="68" w:name="_Toc184308096"/>
      <w:bookmarkEnd w:id="68"/>
      <w:bookmarkStart w:id="69" w:name="_Toc184310319"/>
      <w:bookmarkEnd w:id="69"/>
      <w:bookmarkStart w:id="70" w:name="_Toc184310297"/>
      <w:bookmarkEnd w:id="70"/>
      <w:bookmarkStart w:id="71" w:name="_Toc184308078"/>
      <w:bookmarkEnd w:id="71"/>
      <w:bookmarkStart w:id="72" w:name="_Toc184312136"/>
      <w:bookmarkEnd w:id="72"/>
      <w:bookmarkStart w:id="73" w:name="_Toc184314464"/>
      <w:bookmarkEnd w:id="73"/>
      <w:bookmarkStart w:id="74" w:name="_Toc184310306"/>
      <w:bookmarkEnd w:id="74"/>
      <w:bookmarkStart w:id="75" w:name="_Toc184310309"/>
      <w:bookmarkEnd w:id="75"/>
      <w:bookmarkStart w:id="76" w:name="_Toc184310341"/>
      <w:bookmarkEnd w:id="76"/>
      <w:bookmarkStart w:id="77" w:name="_Toc184313304"/>
      <w:bookmarkEnd w:id="77"/>
      <w:bookmarkStart w:id="78" w:name="_Toc184314414"/>
      <w:bookmarkEnd w:id="78"/>
      <w:bookmarkStart w:id="79" w:name="_Toc184312133"/>
      <w:bookmarkEnd w:id="79"/>
      <w:bookmarkStart w:id="80" w:name="_Toc184312121"/>
      <w:bookmarkEnd w:id="80"/>
      <w:bookmarkStart w:id="81" w:name="_Toc184308081"/>
      <w:bookmarkEnd w:id="81"/>
      <w:bookmarkStart w:id="82" w:name="_Toc184314435"/>
      <w:bookmarkEnd w:id="82"/>
      <w:bookmarkStart w:id="83" w:name="_Toc184313307"/>
      <w:bookmarkEnd w:id="83"/>
      <w:bookmarkStart w:id="84" w:name="_Toc184313270"/>
      <w:bookmarkEnd w:id="84"/>
      <w:bookmarkStart w:id="85" w:name="_Toc184308099"/>
      <w:bookmarkEnd w:id="85"/>
      <w:bookmarkStart w:id="86" w:name="_Toc184312135"/>
      <w:bookmarkEnd w:id="86"/>
      <w:bookmarkStart w:id="87" w:name="_Toc184314482"/>
      <w:bookmarkEnd w:id="87"/>
      <w:bookmarkStart w:id="88" w:name="_Toc184313303"/>
      <w:bookmarkEnd w:id="88"/>
      <w:bookmarkStart w:id="89" w:name="_Toc184310312"/>
      <w:bookmarkEnd w:id="89"/>
      <w:bookmarkStart w:id="90" w:name="_Toc184313286"/>
      <w:bookmarkEnd w:id="90"/>
      <w:bookmarkStart w:id="91" w:name="_Toc184314427"/>
      <w:bookmarkEnd w:id="91"/>
      <w:bookmarkStart w:id="92" w:name="_Toc184314460"/>
      <w:bookmarkEnd w:id="92"/>
      <w:bookmarkStart w:id="93" w:name="_Toc184313294"/>
      <w:bookmarkEnd w:id="93"/>
      <w:bookmarkStart w:id="94" w:name="_Toc184312106"/>
      <w:bookmarkEnd w:id="94"/>
      <w:bookmarkStart w:id="95" w:name="_Toc184308063"/>
      <w:bookmarkEnd w:id="95"/>
      <w:bookmarkStart w:id="96" w:name="_Toc184313302"/>
      <w:bookmarkEnd w:id="96"/>
      <w:bookmarkStart w:id="97" w:name="_Toc184314411"/>
      <w:bookmarkEnd w:id="97"/>
      <w:bookmarkStart w:id="98" w:name="_Toc184314420"/>
      <w:bookmarkEnd w:id="98"/>
      <w:bookmarkStart w:id="99" w:name="_Toc184308089"/>
      <w:bookmarkEnd w:id="99"/>
      <w:bookmarkStart w:id="100" w:name="_Toc184312113"/>
      <w:bookmarkEnd w:id="100"/>
      <w:bookmarkStart w:id="101" w:name="_Toc184308046"/>
      <w:bookmarkEnd w:id="101"/>
      <w:bookmarkStart w:id="102" w:name="_Toc184308103"/>
      <w:bookmarkEnd w:id="102"/>
      <w:bookmarkStart w:id="103" w:name="_Toc184312122"/>
      <w:bookmarkEnd w:id="103"/>
      <w:bookmarkStart w:id="104" w:name="_Toc184313246"/>
      <w:bookmarkEnd w:id="104"/>
      <w:bookmarkStart w:id="105" w:name="_Toc184313310"/>
      <w:bookmarkEnd w:id="105"/>
      <w:bookmarkStart w:id="106" w:name="_Toc184313266"/>
      <w:bookmarkEnd w:id="106"/>
      <w:bookmarkStart w:id="107" w:name="_Toc184312110"/>
      <w:bookmarkEnd w:id="107"/>
      <w:bookmarkStart w:id="108" w:name="_Toc184312124"/>
      <w:bookmarkEnd w:id="108"/>
      <w:bookmarkStart w:id="109" w:name="_Toc184312086"/>
      <w:bookmarkEnd w:id="109"/>
      <w:bookmarkStart w:id="110" w:name="_Toc184313298"/>
      <w:bookmarkEnd w:id="110"/>
      <w:bookmarkStart w:id="111" w:name="_Toc184313275"/>
      <w:bookmarkEnd w:id="111"/>
      <w:bookmarkStart w:id="112" w:name="_Toc184314450"/>
      <w:bookmarkEnd w:id="112"/>
      <w:bookmarkStart w:id="113" w:name="_Toc184314428"/>
      <w:bookmarkEnd w:id="113"/>
      <w:bookmarkStart w:id="114" w:name="_Toc184314418"/>
      <w:bookmarkEnd w:id="114"/>
      <w:bookmarkStart w:id="115" w:name="_Toc184310327"/>
      <w:bookmarkEnd w:id="115"/>
      <w:bookmarkStart w:id="116" w:name="_Toc184308098"/>
      <w:bookmarkEnd w:id="116"/>
      <w:bookmarkStart w:id="117" w:name="_Toc184308062"/>
      <w:bookmarkEnd w:id="117"/>
      <w:bookmarkStart w:id="118" w:name="_Toc184313283"/>
      <w:bookmarkEnd w:id="118"/>
      <w:bookmarkStart w:id="119" w:name="_Toc184314429"/>
      <w:bookmarkEnd w:id="119"/>
      <w:bookmarkStart w:id="120" w:name="_Toc184312072"/>
      <w:bookmarkEnd w:id="120"/>
      <w:bookmarkStart w:id="121" w:name="_Toc184310340"/>
      <w:bookmarkEnd w:id="121"/>
      <w:bookmarkStart w:id="122" w:name="_Toc184308077"/>
      <w:bookmarkEnd w:id="122"/>
      <w:bookmarkStart w:id="123" w:name="_Toc184312079"/>
      <w:bookmarkEnd w:id="123"/>
      <w:bookmarkStart w:id="124" w:name="_Toc184310324"/>
      <w:bookmarkEnd w:id="124"/>
      <w:bookmarkStart w:id="125" w:name="_Toc184308074"/>
      <w:bookmarkEnd w:id="125"/>
      <w:bookmarkStart w:id="126" w:name="_Toc184310275"/>
      <w:bookmarkEnd w:id="126"/>
      <w:bookmarkStart w:id="127" w:name="_Toc184314477"/>
      <w:bookmarkEnd w:id="127"/>
      <w:bookmarkStart w:id="128" w:name="_Toc184308069"/>
      <w:bookmarkEnd w:id="128"/>
      <w:bookmarkStart w:id="129" w:name="_Toc184314436"/>
      <w:bookmarkEnd w:id="129"/>
      <w:bookmarkStart w:id="130" w:name="_Toc184314456"/>
      <w:bookmarkEnd w:id="130"/>
      <w:bookmarkStart w:id="131" w:name="_Toc184312088"/>
      <w:bookmarkEnd w:id="131"/>
      <w:bookmarkStart w:id="132" w:name="_Toc184308039"/>
      <w:bookmarkEnd w:id="132"/>
      <w:bookmarkStart w:id="133" w:name="_Toc184310308"/>
      <w:bookmarkEnd w:id="133"/>
      <w:bookmarkStart w:id="134" w:name="_Toc184308106"/>
      <w:bookmarkEnd w:id="134"/>
      <w:bookmarkStart w:id="135" w:name="_Toc184312084"/>
      <w:bookmarkEnd w:id="135"/>
      <w:bookmarkStart w:id="136" w:name="_Toc184310339"/>
      <w:bookmarkEnd w:id="136"/>
      <w:bookmarkStart w:id="137" w:name="_Toc184314413"/>
      <w:bookmarkEnd w:id="137"/>
      <w:bookmarkStart w:id="138" w:name="_Toc184313244"/>
      <w:bookmarkEnd w:id="138"/>
      <w:bookmarkStart w:id="139" w:name="_Toc184312099"/>
      <w:bookmarkEnd w:id="139"/>
      <w:bookmarkStart w:id="140" w:name="_Toc184312095"/>
      <w:bookmarkEnd w:id="140"/>
      <w:bookmarkStart w:id="141" w:name="_Toc184313308"/>
      <w:bookmarkEnd w:id="141"/>
      <w:bookmarkStart w:id="142" w:name="_Toc184310290"/>
      <w:bookmarkEnd w:id="142"/>
      <w:bookmarkStart w:id="143" w:name="_Toc184314443"/>
      <w:bookmarkEnd w:id="143"/>
      <w:bookmarkStart w:id="144" w:name="_Toc184314446"/>
      <w:bookmarkEnd w:id="144"/>
      <w:bookmarkStart w:id="145" w:name="_Toc184312092"/>
      <w:bookmarkEnd w:id="145"/>
      <w:bookmarkStart w:id="146" w:name="_Toc184312114"/>
      <w:bookmarkEnd w:id="146"/>
      <w:bookmarkStart w:id="147" w:name="_Toc184308079"/>
      <w:bookmarkEnd w:id="147"/>
      <w:bookmarkStart w:id="148" w:name="_Toc184312075"/>
      <w:bookmarkEnd w:id="148"/>
      <w:bookmarkStart w:id="149" w:name="_Toc184312074"/>
      <w:bookmarkEnd w:id="149"/>
      <w:bookmarkStart w:id="150" w:name="_Toc184314445"/>
      <w:bookmarkEnd w:id="150"/>
      <w:bookmarkStart w:id="151" w:name="_Toc184312069"/>
      <w:bookmarkEnd w:id="151"/>
      <w:bookmarkStart w:id="152" w:name="_Toc184313267"/>
      <w:bookmarkEnd w:id="152"/>
      <w:bookmarkStart w:id="153" w:name="_Toc184308047"/>
      <w:bookmarkEnd w:id="153"/>
      <w:bookmarkStart w:id="154" w:name="_Toc184310336"/>
      <w:bookmarkEnd w:id="154"/>
      <w:bookmarkStart w:id="155" w:name="_Toc184310300"/>
      <w:bookmarkEnd w:id="155"/>
      <w:bookmarkStart w:id="156" w:name="_Toc184313261"/>
      <w:bookmarkEnd w:id="156"/>
      <w:bookmarkStart w:id="157" w:name="_Toc184313281"/>
      <w:bookmarkEnd w:id="157"/>
      <w:bookmarkStart w:id="158" w:name="_Toc184312081"/>
      <w:bookmarkEnd w:id="158"/>
      <w:bookmarkStart w:id="159" w:name="_Toc184310276"/>
      <w:bookmarkEnd w:id="159"/>
      <w:bookmarkStart w:id="160" w:name="_Toc184310295"/>
      <w:bookmarkEnd w:id="160"/>
      <w:bookmarkStart w:id="161" w:name="_Toc184312111"/>
      <w:bookmarkEnd w:id="161"/>
      <w:bookmarkStart w:id="162" w:name="_Toc184308049"/>
      <w:bookmarkEnd w:id="162"/>
      <w:bookmarkStart w:id="163" w:name="_Toc184310342"/>
      <w:bookmarkEnd w:id="163"/>
      <w:bookmarkStart w:id="164" w:name="_Toc184312129"/>
      <w:bookmarkEnd w:id="164"/>
      <w:bookmarkStart w:id="165" w:name="_Toc184308036"/>
      <w:bookmarkEnd w:id="165"/>
      <w:bookmarkStart w:id="166" w:name="_Toc184312067"/>
      <w:bookmarkEnd w:id="166"/>
      <w:bookmarkStart w:id="167" w:name="_Toc184312076"/>
      <w:bookmarkEnd w:id="167"/>
      <w:bookmarkStart w:id="168" w:name="_Toc184310284"/>
      <w:bookmarkEnd w:id="168"/>
      <w:bookmarkStart w:id="169" w:name="_Toc184314452"/>
      <w:bookmarkEnd w:id="169"/>
      <w:bookmarkStart w:id="170" w:name="_Toc184313256"/>
      <w:bookmarkEnd w:id="170"/>
      <w:bookmarkStart w:id="171" w:name="_Toc184308044"/>
      <w:bookmarkEnd w:id="171"/>
      <w:bookmarkStart w:id="172" w:name="_Toc184313265"/>
      <w:bookmarkEnd w:id="172"/>
      <w:bookmarkStart w:id="173" w:name="_Toc184314468"/>
      <w:bookmarkEnd w:id="173"/>
      <w:bookmarkStart w:id="174" w:name="_Toc184313284"/>
      <w:bookmarkEnd w:id="174"/>
      <w:bookmarkStart w:id="175" w:name="_Toc184313306"/>
      <w:bookmarkEnd w:id="175"/>
      <w:bookmarkStart w:id="176" w:name="_Toc184310315"/>
      <w:bookmarkEnd w:id="176"/>
      <w:bookmarkStart w:id="177" w:name="_Toc184312132"/>
      <w:bookmarkEnd w:id="177"/>
      <w:bookmarkStart w:id="178" w:name="_Toc184310314"/>
      <w:bookmarkEnd w:id="178"/>
      <w:bookmarkStart w:id="179" w:name="_Toc184313300"/>
      <w:bookmarkEnd w:id="179"/>
      <w:bookmarkStart w:id="180" w:name="_Toc184310288"/>
      <w:bookmarkEnd w:id="180"/>
      <w:bookmarkStart w:id="181" w:name="_Toc184308070"/>
      <w:bookmarkEnd w:id="181"/>
      <w:bookmarkStart w:id="182" w:name="_Toc184310294"/>
      <w:bookmarkEnd w:id="182"/>
      <w:bookmarkStart w:id="183" w:name="_Toc184310285"/>
      <w:bookmarkEnd w:id="183"/>
      <w:bookmarkStart w:id="184" w:name="_Toc184308059"/>
      <w:bookmarkEnd w:id="184"/>
      <w:bookmarkStart w:id="185" w:name="_Toc184313251"/>
      <w:bookmarkEnd w:id="185"/>
      <w:bookmarkStart w:id="186" w:name="_Toc184314470"/>
      <w:bookmarkEnd w:id="186"/>
      <w:bookmarkStart w:id="187" w:name="_Toc184308094"/>
      <w:bookmarkEnd w:id="187"/>
      <w:bookmarkStart w:id="188" w:name="_Toc184308102"/>
      <w:bookmarkEnd w:id="188"/>
      <w:bookmarkStart w:id="189" w:name="_Toc184312078"/>
      <w:bookmarkEnd w:id="189"/>
      <w:bookmarkStart w:id="190" w:name="_Toc184310291"/>
      <w:bookmarkEnd w:id="190"/>
      <w:bookmarkStart w:id="191" w:name="_Toc184308055"/>
      <w:bookmarkEnd w:id="191"/>
      <w:bookmarkStart w:id="192" w:name="_Toc184314440"/>
      <w:bookmarkEnd w:id="192"/>
      <w:bookmarkStart w:id="193" w:name="_Toc184313269"/>
      <w:bookmarkEnd w:id="193"/>
      <w:bookmarkStart w:id="194" w:name="_Toc184308086"/>
      <w:bookmarkEnd w:id="194"/>
      <w:bookmarkStart w:id="195" w:name="_Toc184312139"/>
      <w:bookmarkEnd w:id="195"/>
      <w:bookmarkStart w:id="196" w:name="_Toc184310334"/>
      <w:bookmarkEnd w:id="196"/>
      <w:bookmarkStart w:id="197" w:name="_Toc184313288"/>
      <w:bookmarkEnd w:id="197"/>
      <w:bookmarkStart w:id="198" w:name="_Toc184313299"/>
      <w:bookmarkEnd w:id="198"/>
      <w:bookmarkStart w:id="199" w:name="_Toc184314466"/>
      <w:bookmarkEnd w:id="199"/>
      <w:bookmarkStart w:id="200" w:name="_Toc184314459"/>
      <w:bookmarkEnd w:id="200"/>
      <w:bookmarkStart w:id="201" w:name="_Toc184308091"/>
      <w:bookmarkEnd w:id="201"/>
      <w:bookmarkStart w:id="202" w:name="_Toc184312091"/>
      <w:bookmarkEnd w:id="202"/>
      <w:bookmarkStart w:id="203" w:name="_Toc184313295"/>
      <w:bookmarkEnd w:id="203"/>
      <w:bookmarkStart w:id="204" w:name="_Toc184310331"/>
      <w:bookmarkEnd w:id="204"/>
      <w:bookmarkStart w:id="205" w:name="_Toc184314461"/>
      <w:bookmarkEnd w:id="205"/>
      <w:bookmarkStart w:id="206" w:name="_Toc184312082"/>
      <w:bookmarkEnd w:id="206"/>
      <w:bookmarkStart w:id="207" w:name="_Toc184314422"/>
      <w:bookmarkEnd w:id="207"/>
      <w:bookmarkStart w:id="208" w:name="_Toc184310318"/>
      <w:bookmarkEnd w:id="208"/>
      <w:bookmarkStart w:id="209" w:name="_Toc184310293"/>
      <w:bookmarkEnd w:id="209"/>
      <w:bookmarkStart w:id="210" w:name="_Toc184312108"/>
      <w:bookmarkEnd w:id="210"/>
      <w:bookmarkStart w:id="211" w:name="_Toc184308071"/>
      <w:bookmarkEnd w:id="211"/>
      <w:bookmarkStart w:id="212" w:name="_Toc184313292"/>
      <w:bookmarkEnd w:id="212"/>
      <w:bookmarkStart w:id="213" w:name="_Toc184314444"/>
      <w:bookmarkEnd w:id="213"/>
      <w:bookmarkStart w:id="214" w:name="_Toc184310305"/>
      <w:bookmarkEnd w:id="214"/>
      <w:bookmarkStart w:id="215" w:name="_Toc184314424"/>
      <w:bookmarkEnd w:id="215"/>
      <w:bookmarkStart w:id="216" w:name="_Toc184308067"/>
      <w:bookmarkEnd w:id="216"/>
      <w:bookmarkStart w:id="217" w:name="_Toc184312104"/>
      <w:bookmarkEnd w:id="217"/>
      <w:bookmarkStart w:id="218" w:name="_Toc184308108"/>
      <w:bookmarkEnd w:id="218"/>
      <w:bookmarkStart w:id="219" w:name="_Toc184310322"/>
      <w:bookmarkEnd w:id="219"/>
      <w:bookmarkStart w:id="220" w:name="_Toc184312128"/>
      <w:bookmarkEnd w:id="220"/>
      <w:bookmarkStart w:id="221" w:name="_Toc184314454"/>
      <w:bookmarkEnd w:id="221"/>
      <w:bookmarkStart w:id="222" w:name="_Toc184314453"/>
      <w:bookmarkEnd w:id="222"/>
      <w:bookmarkStart w:id="223" w:name="_Toc184314478"/>
      <w:bookmarkEnd w:id="223"/>
      <w:bookmarkStart w:id="224" w:name="_Toc184313243"/>
      <w:bookmarkEnd w:id="224"/>
      <w:bookmarkStart w:id="225" w:name="_Toc184314465"/>
      <w:bookmarkEnd w:id="225"/>
      <w:bookmarkStart w:id="226" w:name="_Toc184312118"/>
      <w:bookmarkEnd w:id="226"/>
      <w:bookmarkStart w:id="227" w:name="_Toc184314476"/>
      <w:bookmarkEnd w:id="227"/>
      <w:bookmarkStart w:id="228" w:name="_Toc184308093"/>
      <w:bookmarkEnd w:id="228"/>
      <w:bookmarkStart w:id="229" w:name="_Toc184314457"/>
      <w:bookmarkEnd w:id="229"/>
      <w:bookmarkStart w:id="230" w:name="_Toc184308064"/>
      <w:bookmarkEnd w:id="230"/>
      <w:bookmarkStart w:id="231" w:name="_Toc184310303"/>
      <w:bookmarkEnd w:id="231"/>
      <w:bookmarkStart w:id="232" w:name="_Toc184313238"/>
      <w:bookmarkEnd w:id="232"/>
      <w:bookmarkStart w:id="233" w:name="_Toc184312116"/>
      <w:bookmarkEnd w:id="233"/>
      <w:bookmarkStart w:id="234" w:name="_Toc184313259"/>
      <w:bookmarkEnd w:id="234"/>
      <w:bookmarkStart w:id="235" w:name="_Toc184312070"/>
      <w:bookmarkEnd w:id="235"/>
      <w:bookmarkStart w:id="236" w:name="_Toc184310301"/>
      <w:bookmarkEnd w:id="236"/>
      <w:bookmarkStart w:id="237" w:name="_Toc184310277"/>
      <w:bookmarkEnd w:id="237"/>
      <w:bookmarkStart w:id="238" w:name="_Toc184313263"/>
      <w:bookmarkEnd w:id="238"/>
      <w:bookmarkStart w:id="239" w:name="_Toc184310280"/>
      <w:bookmarkEnd w:id="239"/>
      <w:bookmarkStart w:id="240" w:name="_Toc184310344"/>
      <w:bookmarkEnd w:id="240"/>
      <w:bookmarkStart w:id="241" w:name="_Toc184310279"/>
      <w:bookmarkEnd w:id="241"/>
      <w:bookmarkStart w:id="242" w:name="_Toc184310333"/>
      <w:bookmarkEnd w:id="242"/>
      <w:bookmarkStart w:id="243" w:name="_Toc184314412"/>
      <w:bookmarkEnd w:id="243"/>
      <w:bookmarkStart w:id="244" w:name="_Toc184312119"/>
      <w:bookmarkEnd w:id="244"/>
      <w:bookmarkStart w:id="245" w:name="_Toc184312125"/>
      <w:bookmarkEnd w:id="245"/>
      <w:bookmarkStart w:id="246" w:name="_Toc184314431"/>
      <w:bookmarkEnd w:id="246"/>
      <w:bookmarkStart w:id="247" w:name="_Toc184314448"/>
      <w:bookmarkEnd w:id="247"/>
      <w:bookmarkStart w:id="248" w:name="_Toc184308065"/>
      <w:bookmarkEnd w:id="248"/>
      <w:bookmarkStart w:id="249" w:name="_Toc184310329"/>
      <w:bookmarkEnd w:id="249"/>
      <w:bookmarkStart w:id="250" w:name="_Toc184312093"/>
      <w:bookmarkEnd w:id="250"/>
      <w:bookmarkStart w:id="251" w:name="_Toc184312100"/>
      <w:bookmarkEnd w:id="251"/>
      <w:bookmarkStart w:id="252" w:name="_Toc184308051"/>
      <w:bookmarkEnd w:id="252"/>
      <w:bookmarkStart w:id="253" w:name="_Toc184314447"/>
      <w:bookmarkEnd w:id="253"/>
      <w:bookmarkStart w:id="254" w:name="_Toc184312080"/>
      <w:bookmarkEnd w:id="254"/>
      <w:bookmarkStart w:id="255" w:name="_Toc184314475"/>
      <w:bookmarkEnd w:id="255"/>
      <w:bookmarkStart w:id="256" w:name="_Toc184308048"/>
      <w:bookmarkEnd w:id="256"/>
      <w:bookmarkStart w:id="257" w:name="_Toc184313245"/>
      <w:bookmarkEnd w:id="257"/>
      <w:bookmarkStart w:id="258" w:name="_Toc184313285"/>
      <w:bookmarkEnd w:id="258"/>
      <w:bookmarkStart w:id="259" w:name="_Toc184310298"/>
      <w:bookmarkEnd w:id="259"/>
      <w:bookmarkStart w:id="260" w:name="_Toc184308066"/>
      <w:bookmarkEnd w:id="260"/>
      <w:bookmarkStart w:id="261" w:name="_Toc184312094"/>
      <w:bookmarkEnd w:id="261"/>
      <w:bookmarkStart w:id="262" w:name="_Toc184308038"/>
      <w:bookmarkEnd w:id="262"/>
      <w:bookmarkStart w:id="263" w:name="_Toc184313248"/>
      <w:bookmarkEnd w:id="263"/>
      <w:bookmarkStart w:id="264" w:name="_Toc184308050"/>
      <w:bookmarkEnd w:id="264"/>
      <w:bookmarkStart w:id="265" w:name="_Toc184312109"/>
      <w:bookmarkEnd w:id="265"/>
      <w:bookmarkStart w:id="266" w:name="_Toc184312077"/>
      <w:bookmarkEnd w:id="266"/>
      <w:bookmarkStart w:id="267" w:name="_Toc184314472"/>
      <w:bookmarkEnd w:id="267"/>
      <w:bookmarkStart w:id="268" w:name="_Toc184312068"/>
      <w:bookmarkEnd w:id="268"/>
      <w:bookmarkStart w:id="269" w:name="_Toc184313247"/>
      <w:bookmarkEnd w:id="269"/>
      <w:bookmarkStart w:id="270" w:name="_Toc184314423"/>
      <w:bookmarkEnd w:id="270"/>
      <w:bookmarkStart w:id="271" w:name="_Toc184310302"/>
      <w:bookmarkEnd w:id="271"/>
      <w:bookmarkStart w:id="272" w:name="_Toc184313250"/>
      <w:bookmarkEnd w:id="272"/>
      <w:bookmarkStart w:id="273" w:name="_Toc184308083"/>
      <w:bookmarkEnd w:id="273"/>
      <w:bookmarkStart w:id="274" w:name="_Toc184312105"/>
      <w:bookmarkEnd w:id="274"/>
      <w:bookmarkStart w:id="275" w:name="_Toc184313272"/>
      <w:bookmarkEnd w:id="275"/>
      <w:bookmarkStart w:id="276" w:name="_Toc184313268"/>
      <w:bookmarkEnd w:id="276"/>
      <w:bookmarkStart w:id="277" w:name="_Toc184312112"/>
      <w:bookmarkEnd w:id="277"/>
      <w:bookmarkStart w:id="278" w:name="_Toc184314467"/>
      <w:bookmarkEnd w:id="278"/>
      <w:bookmarkStart w:id="279" w:name="_Toc184312073"/>
      <w:bookmarkEnd w:id="279"/>
      <w:bookmarkStart w:id="280" w:name="_Toc184313258"/>
      <w:bookmarkEnd w:id="280"/>
      <w:bookmarkStart w:id="281" w:name="_Toc184310332"/>
      <w:bookmarkEnd w:id="281"/>
      <w:bookmarkStart w:id="282" w:name="_Toc184314455"/>
      <w:bookmarkEnd w:id="282"/>
      <w:bookmarkStart w:id="283" w:name="_Toc184312103"/>
      <w:bookmarkEnd w:id="283"/>
      <w:bookmarkStart w:id="284" w:name="_Toc184310296"/>
      <w:bookmarkEnd w:id="284"/>
      <w:bookmarkStart w:id="285" w:name="_Toc184313305"/>
      <w:bookmarkEnd w:id="285"/>
      <w:bookmarkStart w:id="286" w:name="_Toc184308058"/>
      <w:bookmarkEnd w:id="286"/>
      <w:bookmarkStart w:id="287" w:name="_Toc184312134"/>
      <w:bookmarkEnd w:id="287"/>
      <w:bookmarkStart w:id="288" w:name="_Toc184313280"/>
      <w:bookmarkEnd w:id="288"/>
      <w:bookmarkStart w:id="289" w:name="_Toc184312087"/>
      <w:bookmarkEnd w:id="289"/>
      <w:bookmarkStart w:id="290" w:name="_Toc184308040"/>
      <w:bookmarkEnd w:id="290"/>
      <w:bookmarkStart w:id="291" w:name="_Toc184313253"/>
      <w:bookmarkEnd w:id="291"/>
      <w:bookmarkStart w:id="292" w:name="_Toc184310330"/>
      <w:bookmarkEnd w:id="292"/>
      <w:bookmarkStart w:id="293" w:name="_Toc184314433"/>
      <w:bookmarkEnd w:id="293"/>
      <w:bookmarkStart w:id="294" w:name="_Toc184314481"/>
      <w:bookmarkEnd w:id="294"/>
      <w:bookmarkStart w:id="295" w:name="_Toc184308084"/>
      <w:bookmarkEnd w:id="295"/>
      <w:bookmarkStart w:id="296" w:name="_Toc184314449"/>
      <w:bookmarkEnd w:id="296"/>
      <w:bookmarkStart w:id="297" w:name="_Toc184314430"/>
      <w:bookmarkEnd w:id="297"/>
      <w:bookmarkStart w:id="298" w:name="_Toc184312097"/>
      <w:bookmarkEnd w:id="298"/>
      <w:bookmarkStart w:id="299" w:name="_Toc184310326"/>
      <w:bookmarkEnd w:id="299"/>
      <w:bookmarkStart w:id="300" w:name="_Toc184314415"/>
      <w:bookmarkEnd w:id="300"/>
      <w:bookmarkStart w:id="301" w:name="_Toc184313252"/>
      <w:bookmarkEnd w:id="301"/>
      <w:bookmarkStart w:id="302" w:name="_Toc184313255"/>
      <w:bookmarkEnd w:id="302"/>
      <w:bookmarkStart w:id="303" w:name="_Toc184314473"/>
      <w:bookmarkEnd w:id="303"/>
      <w:bookmarkStart w:id="304" w:name="_Toc184313257"/>
      <w:bookmarkEnd w:id="304"/>
      <w:bookmarkStart w:id="305" w:name="_Toc184308101"/>
      <w:bookmarkEnd w:id="305"/>
      <w:bookmarkStart w:id="306" w:name="_Toc184310278"/>
      <w:bookmarkEnd w:id="306"/>
      <w:bookmarkStart w:id="307" w:name="_Toc184310338"/>
      <w:bookmarkEnd w:id="307"/>
      <w:bookmarkStart w:id="308" w:name="_Toc184308095"/>
      <w:bookmarkEnd w:id="308"/>
      <w:bookmarkStart w:id="309" w:name="_Toc184308045"/>
      <w:bookmarkEnd w:id="309"/>
      <w:bookmarkStart w:id="310" w:name="_Toc184310272"/>
      <w:bookmarkEnd w:id="310"/>
      <w:bookmarkStart w:id="311" w:name="_Toc184308042"/>
      <w:bookmarkEnd w:id="311"/>
      <w:bookmarkStart w:id="312" w:name="_Toc184312085"/>
      <w:bookmarkEnd w:id="312"/>
      <w:bookmarkStart w:id="313" w:name="_Toc184314458"/>
      <w:bookmarkEnd w:id="313"/>
      <w:bookmarkStart w:id="314" w:name="_Toc184310304"/>
      <w:bookmarkEnd w:id="314"/>
      <w:bookmarkStart w:id="315" w:name="_Toc184313264"/>
      <w:bookmarkEnd w:id="315"/>
      <w:bookmarkStart w:id="316" w:name="_Toc184312101"/>
      <w:bookmarkEnd w:id="316"/>
      <w:bookmarkStart w:id="317" w:name="_Toc184314419"/>
      <w:bookmarkEnd w:id="317"/>
      <w:bookmarkStart w:id="318" w:name="_Toc184313282"/>
      <w:bookmarkEnd w:id="318"/>
      <w:bookmarkStart w:id="319" w:name="_Toc184314480"/>
      <w:bookmarkEnd w:id="319"/>
      <w:bookmarkStart w:id="320" w:name="_Toc184310310"/>
      <w:bookmarkEnd w:id="320"/>
      <w:bookmarkStart w:id="321" w:name="_Toc184313274"/>
      <w:bookmarkEnd w:id="321"/>
      <w:bookmarkStart w:id="322" w:name="_Toc184314437"/>
      <w:bookmarkEnd w:id="322"/>
      <w:bookmarkStart w:id="323" w:name="_Toc184312098"/>
      <w:bookmarkEnd w:id="323"/>
      <w:bookmarkStart w:id="324" w:name="_Toc184308107"/>
      <w:bookmarkEnd w:id="324"/>
      <w:bookmarkStart w:id="325" w:name="_Toc184314471"/>
      <w:bookmarkEnd w:id="325"/>
      <w:bookmarkStart w:id="326" w:name="_Toc184308104"/>
      <w:bookmarkEnd w:id="326"/>
      <w:bookmarkStart w:id="327" w:name="_Toc184310316"/>
      <w:bookmarkEnd w:id="327"/>
      <w:bookmarkStart w:id="328" w:name="_Toc184314462"/>
      <w:bookmarkEnd w:id="328"/>
      <w:bookmarkStart w:id="329" w:name="_Toc184313289"/>
      <w:bookmarkEnd w:id="329"/>
      <w:bookmarkStart w:id="330" w:name="_Toc184310287"/>
      <w:bookmarkEnd w:id="330"/>
      <w:bookmarkStart w:id="331" w:name="_Toc184313309"/>
      <w:bookmarkEnd w:id="331"/>
      <w:bookmarkStart w:id="332" w:name="_Toc184310325"/>
      <w:bookmarkEnd w:id="332"/>
      <w:bookmarkStart w:id="333" w:name="_Toc184313290"/>
      <w:bookmarkEnd w:id="333"/>
      <w:bookmarkStart w:id="334" w:name="_Toc184314416"/>
      <w:bookmarkEnd w:id="334"/>
      <w:bookmarkStart w:id="335" w:name="_Toc184314432"/>
      <w:bookmarkEnd w:id="335"/>
      <w:bookmarkStart w:id="336" w:name="_Toc184308068"/>
      <w:bookmarkEnd w:id="336"/>
      <w:bookmarkStart w:id="337" w:name="_Toc184313241"/>
      <w:bookmarkEnd w:id="337"/>
      <w:bookmarkStart w:id="338" w:name="_Toc184313287"/>
      <w:bookmarkEnd w:id="338"/>
      <w:bookmarkStart w:id="339" w:name="_Toc184310328"/>
      <w:bookmarkEnd w:id="339"/>
      <w:bookmarkStart w:id="340" w:name="_Toc184313279"/>
      <w:bookmarkEnd w:id="340"/>
      <w:bookmarkStart w:id="341" w:name="_Toc184308037"/>
      <w:bookmarkEnd w:id="341"/>
      <w:bookmarkStart w:id="342" w:name="_Toc184310313"/>
      <w:bookmarkEnd w:id="342"/>
      <w:bookmarkStart w:id="343" w:name="_Toc184314442"/>
      <w:bookmarkEnd w:id="343"/>
      <w:bookmarkStart w:id="344" w:name="_Toc184312102"/>
      <w:bookmarkEnd w:id="344"/>
      <w:bookmarkStart w:id="345" w:name="_Toc184308085"/>
      <w:bookmarkEnd w:id="345"/>
      <w:bookmarkStart w:id="346" w:name="_Toc184312126"/>
      <w:bookmarkEnd w:id="346"/>
      <w:bookmarkStart w:id="347" w:name="_Toc184314434"/>
      <w:bookmarkEnd w:id="347"/>
      <w:bookmarkStart w:id="348" w:name="_Toc184308087"/>
      <w:bookmarkEnd w:id="348"/>
      <w:bookmarkStart w:id="349" w:name="_Toc184308041"/>
      <w:bookmarkEnd w:id="349"/>
      <w:bookmarkStart w:id="350" w:name="_Toc184310321"/>
      <w:bookmarkEnd w:id="350"/>
      <w:bookmarkStart w:id="351" w:name="_Toc184312071"/>
      <w:bookmarkEnd w:id="351"/>
      <w:bookmarkStart w:id="352" w:name="_Toc184310320"/>
      <w:bookmarkEnd w:id="352"/>
      <w:bookmarkStart w:id="353" w:name="_Toc184310299"/>
      <w:bookmarkEnd w:id="353"/>
      <w:bookmarkStart w:id="354" w:name="_Toc184313271"/>
      <w:bookmarkEnd w:id="354"/>
      <w:bookmarkStart w:id="355" w:name="_Toc184308053"/>
      <w:bookmarkEnd w:id="355"/>
      <w:bookmarkStart w:id="356" w:name="_Toc184313262"/>
      <w:bookmarkEnd w:id="356"/>
      <w:bookmarkStart w:id="357" w:name="_Toc184310343"/>
      <w:bookmarkEnd w:id="357"/>
      <w:bookmarkStart w:id="358" w:name="_Toc184313278"/>
      <w:bookmarkEnd w:id="358"/>
      <w:bookmarkStart w:id="359" w:name="_Toc184313301"/>
      <w:bookmarkEnd w:id="359"/>
      <w:bookmarkStart w:id="360" w:name="_Toc184308105"/>
      <w:bookmarkEnd w:id="360"/>
      <w:bookmarkStart w:id="361" w:name="_Toc184314438"/>
      <w:bookmarkEnd w:id="361"/>
      <w:bookmarkStart w:id="362" w:name="_Toc184308073"/>
      <w:bookmarkEnd w:id="362"/>
      <w:bookmarkStart w:id="363" w:name="_Toc184314463"/>
      <w:bookmarkEnd w:id="363"/>
      <w:bookmarkStart w:id="364" w:name="_Toc184310337"/>
      <w:bookmarkEnd w:id="364"/>
      <w:bookmarkStart w:id="365" w:name="_Toc184313293"/>
      <w:bookmarkEnd w:id="365"/>
      <w:bookmarkStart w:id="366" w:name="_Toc184312123"/>
      <w:bookmarkEnd w:id="366"/>
      <w:bookmarkStart w:id="367" w:name="_Toc184314441"/>
      <w:bookmarkEnd w:id="367"/>
      <w:bookmarkStart w:id="368" w:name="_Toc184313296"/>
      <w:bookmarkEnd w:id="368"/>
      <w:bookmarkStart w:id="369" w:name="_Toc184310335"/>
      <w:bookmarkEnd w:id="369"/>
      <w:bookmarkStart w:id="370" w:name="_Toc184308060"/>
      <w:bookmarkEnd w:id="370"/>
      <w:bookmarkStart w:id="371" w:name="_Toc184308100"/>
      <w:bookmarkEnd w:id="371"/>
      <w:bookmarkStart w:id="372" w:name="_Toc184308061"/>
      <w:bookmarkEnd w:id="372"/>
      <w:bookmarkStart w:id="373" w:name="_Toc184314479"/>
      <w:bookmarkEnd w:id="373"/>
      <w:bookmarkStart w:id="374" w:name="_Toc184313273"/>
      <w:bookmarkEnd w:id="374"/>
      <w:bookmarkStart w:id="375" w:name="_Toc184314425"/>
      <w:bookmarkEnd w:id="375"/>
      <w:bookmarkStart w:id="376" w:name="_Toc184308056"/>
      <w:bookmarkEnd w:id="376"/>
      <w:bookmarkStart w:id="377" w:name="_Toc184308054"/>
      <w:bookmarkEnd w:id="377"/>
      <w:bookmarkStart w:id="378" w:name="_Toc184313297"/>
      <w:bookmarkEnd w:id="378"/>
      <w:bookmarkStart w:id="379" w:name="_Toc184308088"/>
      <w:bookmarkEnd w:id="379"/>
      <w:bookmarkStart w:id="380" w:name="_Toc184310273"/>
      <w:bookmarkEnd w:id="380"/>
      <w:bookmarkStart w:id="381" w:name="_Toc184308075"/>
      <w:bookmarkEnd w:id="381"/>
      <w:bookmarkStart w:id="382" w:name="_Toc184312090"/>
      <w:bookmarkEnd w:id="382"/>
      <w:bookmarkStart w:id="383" w:name="_Toc184314410"/>
      <w:bookmarkEnd w:id="383"/>
      <w:bookmarkStart w:id="384" w:name="_Toc184310289"/>
      <w:bookmarkEnd w:id="384"/>
      <w:bookmarkStart w:id="385" w:name="_Toc184308080"/>
      <w:bookmarkEnd w:id="385"/>
      <w:bookmarkStart w:id="386" w:name="_Toc184308072"/>
      <w:bookmarkEnd w:id="386"/>
      <w:bookmarkStart w:id="387" w:name="_Toc184312130"/>
      <w:bookmarkEnd w:id="387"/>
      <w:bookmarkStart w:id="388" w:name="_Toc184314421"/>
      <w:bookmarkEnd w:id="388"/>
      <w:bookmarkStart w:id="389" w:name="_Toc184308052"/>
      <w:bookmarkEnd w:id="389"/>
      <w:bookmarkStart w:id="390" w:name="_Toc184312117"/>
      <w:bookmarkEnd w:id="390"/>
      <w:bookmarkStart w:id="391" w:name="_Toc184310307"/>
      <w:bookmarkEnd w:id="391"/>
      <w:bookmarkStart w:id="392" w:name="_Toc184313291"/>
      <w:bookmarkEnd w:id="392"/>
      <w:bookmarkStart w:id="393" w:name="_Toc184310311"/>
      <w:bookmarkEnd w:id="393"/>
      <w:r>
        <w:rPr>
          <w:rFonts w:hint="eastAsia" w:ascii="宋体" w:hAnsi="宋体" w:cs="宋体"/>
          <w:b/>
          <w:sz w:val="36"/>
          <w:szCs w:val="36"/>
        </w:rPr>
        <w:t xml:space="preserve">  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93"/>
        <w:gridCol w:w="5411"/>
        <w:gridCol w:w="75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snapToGrid w:val="0"/>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6304" w:type="dxa"/>
            <w:gridSpan w:val="2"/>
            <w:vAlign w:val="center"/>
          </w:tcPr>
          <w:p>
            <w:pPr>
              <w:snapToGrid w:val="0"/>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评标标准</w:t>
            </w:r>
          </w:p>
        </w:tc>
        <w:tc>
          <w:tcPr>
            <w:tcW w:w="751" w:type="dxa"/>
            <w:vAlign w:val="center"/>
          </w:tcPr>
          <w:p>
            <w:pPr>
              <w:snapToGrid w:val="0"/>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权重</w:t>
            </w:r>
          </w:p>
        </w:tc>
        <w:tc>
          <w:tcPr>
            <w:tcW w:w="1356" w:type="dxa"/>
            <w:vAlign w:val="center"/>
          </w:tcPr>
          <w:p>
            <w:pPr>
              <w:snapToGrid w:val="0"/>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6304" w:type="dxa"/>
            <w:gridSpan w:val="2"/>
            <w:vAlign w:val="center"/>
          </w:tcPr>
          <w:p>
            <w:pPr>
              <w:outlineLvl w:val="0"/>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企业认证：</w:t>
            </w:r>
            <w:r>
              <w:rPr>
                <w:rFonts w:hint="eastAsia" w:cs="宋体" w:asciiTheme="minorEastAsia" w:hAnsiTheme="minorEastAsia" w:eastAsiaTheme="minorEastAsia"/>
                <w:bCs/>
                <w:sz w:val="24"/>
              </w:rPr>
              <w:t>投标人</w:t>
            </w:r>
            <w:r>
              <w:rPr>
                <w:rFonts w:hint="eastAsia" w:cs="宋体" w:asciiTheme="minorEastAsia" w:hAnsiTheme="minorEastAsia" w:eastAsiaTheme="minorEastAsia"/>
                <w:sz w:val="24"/>
              </w:rPr>
              <w:t>具有质量管理体系认证证书、环境管理体系认证证书、信息技术服务体系认证证书，每提供1项得1分，最高得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分。</w:t>
            </w:r>
          </w:p>
          <w:p>
            <w:pPr>
              <w:outlineLvl w:val="0"/>
              <w:rPr>
                <w:rFonts w:hint="eastAsia" w:cs="宋体" w:asciiTheme="minorEastAsia" w:hAnsiTheme="minorEastAsia" w:eastAsiaTheme="minorEastAsia"/>
                <w:sz w:val="24"/>
              </w:rPr>
            </w:pPr>
            <w:r>
              <w:rPr>
                <w:rFonts w:hint="eastAsia" w:cs="宋体" w:asciiTheme="minorEastAsia" w:hAnsiTheme="minorEastAsia" w:eastAsiaTheme="minorEastAsia"/>
                <w:bCs/>
                <w:sz w:val="24"/>
              </w:rPr>
              <w:t>证明材料：</w:t>
            </w:r>
            <w:r>
              <w:rPr>
                <w:rFonts w:hint="eastAsia" w:cs="宋体" w:asciiTheme="minorEastAsia" w:hAnsiTheme="minorEastAsia" w:eastAsiaTheme="minorEastAsia"/>
                <w:sz w:val="24"/>
              </w:rPr>
              <w:t>以上证书须提供有效期内的证书复印件加盖公章，不提供或未在有效期内的，不得分。</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701" w:type="dxa"/>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6304" w:type="dxa"/>
            <w:gridSpan w:val="2"/>
            <w:vAlign w:val="center"/>
          </w:tcPr>
          <w:p>
            <w:pPr>
              <w:outlineLvl w:val="0"/>
              <w:rPr>
                <w:rFonts w:hint="eastAsia" w:cs="宋体" w:asciiTheme="minorEastAsia" w:hAnsiTheme="minorEastAsia" w:eastAsiaTheme="minorEastAsia"/>
                <w:sz w:val="24"/>
              </w:rPr>
            </w:pPr>
            <w:r>
              <w:rPr>
                <w:rFonts w:hint="eastAsia" w:cs="宋体" w:asciiTheme="minorEastAsia" w:hAnsiTheme="minorEastAsia" w:eastAsiaTheme="minorEastAsia"/>
                <w:b/>
                <w:sz w:val="24"/>
              </w:rPr>
              <w:t>环境标志产品、节能产品评审：</w:t>
            </w:r>
            <w:r>
              <w:rPr>
                <w:rFonts w:hint="eastAsia" w:cs="宋体" w:asciiTheme="minorEastAsia" w:hAnsiTheme="minorEastAsia" w:eastAsiaTheme="minorEastAsia"/>
                <w:sz w:val="24"/>
              </w:rPr>
              <w:t>对所投产品是否取得有效的政府采购节能产品、环境标志产品认证证书的情况进行评分（已列入强制要求的除外）。所投产品取得节能产品认证证书的，得0.5分；所投产品取得环境标志产品的，得0.5分；本项最高得1分。</w:t>
            </w:r>
          </w:p>
          <w:p>
            <w:pPr>
              <w:outlineLvl w:val="0"/>
              <w:rPr>
                <w:rFonts w:hint="eastAsia" w:cs="宋体" w:asciiTheme="minorEastAsia" w:hAnsiTheme="minorEastAsia" w:eastAsiaTheme="minorEastAsia"/>
                <w:b/>
                <w:bCs/>
                <w:sz w:val="24"/>
              </w:rPr>
            </w:pPr>
            <w:r>
              <w:rPr>
                <w:rFonts w:hint="eastAsia" w:cs="宋体" w:asciiTheme="minorEastAsia" w:hAnsiTheme="minorEastAsia" w:eastAsiaTheme="minorEastAsia"/>
                <w:sz w:val="24"/>
              </w:rPr>
              <w:t>证明材料：提供国家确定的认证机构出具的、处于有效期之内的节能产品、环境标志产品认证证书复印件加盖公章</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1分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701" w:type="dxa"/>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6304" w:type="dxa"/>
            <w:gridSpan w:val="2"/>
            <w:vAlign w:val="center"/>
          </w:tcPr>
          <w:p>
            <w:pPr>
              <w:snapToGrid w:val="0"/>
              <w:rPr>
                <w:rFonts w:hint="eastAsia" w:cs="宋体" w:asciiTheme="minorEastAsia" w:hAnsiTheme="minorEastAsia" w:eastAsiaTheme="minorEastAsia"/>
                <w:bCs/>
                <w:sz w:val="24"/>
              </w:rPr>
            </w:pPr>
            <w:r>
              <w:rPr>
                <w:rFonts w:hint="eastAsia" w:cs="宋体" w:asciiTheme="minorEastAsia" w:hAnsiTheme="minorEastAsia" w:eastAsiaTheme="minorEastAsia"/>
                <w:b/>
                <w:bCs/>
                <w:sz w:val="24"/>
              </w:rPr>
              <w:t>企业业绩：</w:t>
            </w:r>
            <w:r>
              <w:rPr>
                <w:rFonts w:hint="eastAsia" w:cs="宋体" w:asciiTheme="minorEastAsia" w:hAnsiTheme="minorEastAsia" w:eastAsiaTheme="minorEastAsia"/>
                <w:bCs/>
                <w:sz w:val="24"/>
              </w:rPr>
              <w:t>投标人自2021年1月1日（以合同签订日期为准）以来具有类似项目相关业绩,每提供1个业绩得1分，最高得3分。</w:t>
            </w:r>
          </w:p>
          <w:p>
            <w:pPr>
              <w:snapToGrid w:val="0"/>
              <w:rPr>
                <w:rFonts w:hint="eastAsia" w:cs="宋体" w:asciiTheme="minorEastAsia" w:hAnsiTheme="minorEastAsia" w:eastAsiaTheme="minorEastAsia"/>
                <w:sz w:val="24"/>
              </w:rPr>
            </w:pPr>
            <w:r>
              <w:rPr>
                <w:rFonts w:hint="eastAsia" w:cs="宋体" w:asciiTheme="minorEastAsia" w:hAnsiTheme="minorEastAsia" w:eastAsiaTheme="minorEastAsia"/>
                <w:bCs/>
                <w:sz w:val="24"/>
              </w:rPr>
              <w:t>证明材料：同时提供合同、中标通知书、验收报告扫描件加盖公章，合同的相关内容页未包含体现业绩特征相关内容的不得分。</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701" w:type="dxa"/>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6304" w:type="dxa"/>
            <w:gridSpan w:val="2"/>
            <w:vAlign w:val="center"/>
          </w:tcPr>
          <w:p>
            <w:pPr>
              <w:rPr>
                <w:rFonts w:hint="eastAsia" w:cs="宋体" w:asciiTheme="minorEastAsia" w:hAnsiTheme="minorEastAsia" w:eastAsiaTheme="minorEastAsia"/>
                <w:sz w:val="24"/>
              </w:rPr>
            </w:pPr>
            <w:r>
              <w:rPr>
                <w:rFonts w:hint="eastAsia" w:asciiTheme="minorEastAsia" w:hAnsiTheme="minorEastAsia" w:eastAsiaTheme="minorEastAsia" w:cstheme="minorEastAsia"/>
                <w:b/>
                <w:bCs/>
                <w:sz w:val="24"/>
              </w:rPr>
              <w:t>设备性能参数：</w:t>
            </w:r>
            <w:r>
              <w:rPr>
                <w:rFonts w:hint="eastAsia" w:asciiTheme="minorEastAsia" w:hAnsiTheme="minorEastAsia" w:eastAsiaTheme="minorEastAsia" w:cstheme="minorEastAsia"/>
                <w:sz w:val="24"/>
              </w:rPr>
              <w:t>功能技术响应程度：投标产品针对“采购需求”内的所有设备技术参数的响应程度,结合《技术偏离表》、佐证材料等 ，全部符合本项得满分，带</w:t>
            </w:r>
            <w:r>
              <w:rPr>
                <w:rFonts w:hint="eastAsia" w:cs="仿宋" w:asciiTheme="minorEastAsia" w:hAnsiTheme="minorEastAsia" w:eastAsiaTheme="minorEastAsia"/>
                <w:color w:val="000000"/>
                <w:sz w:val="24"/>
                <w:lang w:bidi="ar"/>
              </w:rPr>
              <w:t>◆</w:t>
            </w:r>
            <w:r>
              <w:rPr>
                <w:rFonts w:hint="eastAsia" w:asciiTheme="minorEastAsia" w:hAnsiTheme="minorEastAsia" w:eastAsiaTheme="minorEastAsia" w:cstheme="minorEastAsia"/>
                <w:sz w:val="24"/>
              </w:rPr>
              <w:t>条款的参数负偏离，每项扣2分，常规参数负偏离，每项扣1分，扣完为止。注：【采购需求中要求提供截图证明/证书/检测报告等资料的，需在投标文件中提供相关证明材料复印件（或扫描件）并加盖公章，否则视为不满足此项要求；采购机构或采购人在项目评审结束后直至合同签订、履约期间，有权要求投标人出具投标文件中的证明材料原件，予以确认其真实性和有效性，如出现与事实不符等情况，将根据有关规定以“涉嫌提供虚假材料谋取中标（成交）”予以处理】</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01" w:type="dxa"/>
            <w:vMerge w:val="restart"/>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893" w:type="dxa"/>
            <w:vMerge w:val="restart"/>
            <w:vAlign w:val="center"/>
          </w:tcPr>
          <w:p>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bCs/>
                <w:sz w:val="24"/>
                <w:lang w:val="zh-CN"/>
              </w:rPr>
              <w:t>技术方案</w:t>
            </w:r>
          </w:p>
        </w:tc>
        <w:tc>
          <w:tcPr>
            <w:tcW w:w="5411" w:type="dxa"/>
            <w:vAlign w:val="center"/>
          </w:tcPr>
          <w:p>
            <w:pPr>
              <w:rPr>
                <w:rFonts w:hint="eastAsia" w:cs="宋体" w:asciiTheme="minorEastAsia" w:hAnsiTheme="minorEastAsia" w:eastAsiaTheme="minorEastAsia"/>
                <w:sz w:val="24"/>
              </w:rPr>
            </w:pPr>
            <w:r>
              <w:rPr>
                <w:rFonts w:hint="eastAsia" w:cs="宋体" w:asciiTheme="minorEastAsia" w:hAnsiTheme="minorEastAsia" w:eastAsiaTheme="minorEastAsia"/>
                <w:sz w:val="24"/>
              </w:rPr>
              <w:t>对整体技术方案进行设计，根据投标人技术方案与实际需求符合情况，是否有利于本项目执行情况等进行综合打分；</w:t>
            </w:r>
            <w:r>
              <w:rPr>
                <w:rFonts w:hint="eastAsia" w:cs="宋体" w:asciiTheme="minorEastAsia" w:hAnsiTheme="minorEastAsia" w:eastAsiaTheme="minorEastAsia"/>
                <w:bCs/>
                <w:sz w:val="24"/>
              </w:rPr>
              <w:t>（分值范围： 3,2,1,0）</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01" w:type="dxa"/>
            <w:vMerge w:val="continue"/>
            <w:vAlign w:val="center"/>
          </w:tcPr>
          <w:p>
            <w:pPr>
              <w:snapToGrid w:val="0"/>
              <w:jc w:val="center"/>
              <w:rPr>
                <w:rFonts w:hint="eastAsia" w:cs="宋体" w:asciiTheme="minorEastAsia" w:hAnsiTheme="minorEastAsia" w:eastAsiaTheme="minorEastAsia"/>
                <w:sz w:val="24"/>
              </w:rPr>
            </w:pPr>
          </w:p>
        </w:tc>
        <w:tc>
          <w:tcPr>
            <w:tcW w:w="893" w:type="dxa"/>
            <w:vMerge w:val="continue"/>
          </w:tcPr>
          <w:p>
            <w:pPr>
              <w:snapToGrid w:val="0"/>
              <w:rPr>
                <w:rFonts w:hint="eastAsia" w:cs="宋体" w:asciiTheme="minorEastAsia" w:hAnsiTheme="minorEastAsia" w:eastAsiaTheme="minorEastAsia"/>
                <w:b/>
                <w:bCs/>
                <w:sz w:val="24"/>
              </w:rPr>
            </w:pPr>
          </w:p>
        </w:tc>
        <w:tc>
          <w:tcPr>
            <w:tcW w:w="5411" w:type="dxa"/>
            <w:vAlign w:val="center"/>
          </w:tcPr>
          <w:p>
            <w:pPr>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根据投标人提供的与其它智能化系统的集成方案的合理性、可靠性进行综合打分。（分值范围：</w:t>
            </w:r>
            <w:r>
              <w:rPr>
                <w:rFonts w:hint="eastAsia" w:cs="宋体" w:asciiTheme="minorEastAsia" w:hAnsiTheme="minorEastAsia" w:eastAsiaTheme="minorEastAsia"/>
                <w:bCs/>
                <w:sz w:val="24"/>
              </w:rPr>
              <w:t>3,2,1,0</w:t>
            </w:r>
            <w:r>
              <w:rPr>
                <w:rFonts w:hint="eastAsia" w:cs="宋体" w:asciiTheme="minorEastAsia" w:hAnsiTheme="minorEastAsia" w:eastAsiaTheme="minorEastAsia"/>
                <w:sz w:val="24"/>
              </w:rPr>
              <w:t>）</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p>
        </w:tc>
        <w:tc>
          <w:tcPr>
            <w:tcW w:w="893" w:type="dxa"/>
            <w:vMerge w:val="restart"/>
            <w:vAlign w:val="center"/>
          </w:tcPr>
          <w:p>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实施方案</w:t>
            </w:r>
          </w:p>
        </w:tc>
        <w:tc>
          <w:tcPr>
            <w:tcW w:w="5411" w:type="dxa"/>
          </w:tcPr>
          <w:p>
            <w:pPr>
              <w:rPr>
                <w:rFonts w:hint="eastAsia" w:cs="宋体" w:asciiTheme="minorEastAsia" w:hAnsiTheme="minorEastAsia" w:eastAsiaTheme="minorEastAsia"/>
                <w:sz w:val="24"/>
              </w:rPr>
            </w:pPr>
            <w:r>
              <w:rPr>
                <w:rFonts w:hint="eastAsia" w:cs="宋体" w:asciiTheme="minorEastAsia" w:hAnsiTheme="minorEastAsia" w:eastAsiaTheme="minorEastAsia"/>
                <w:sz w:val="24"/>
                <w:lang w:val="zh-CN"/>
              </w:rPr>
              <w:t>根据投标人组织实施方案的科学性、合理性、规范性和可操作性，包括产品供货、验货、安装调试、试运行、测试、调优等内容</w:t>
            </w:r>
            <w:r>
              <w:rPr>
                <w:rFonts w:hint="eastAsia" w:cs="宋体" w:asciiTheme="minorEastAsia" w:hAnsiTheme="minorEastAsia" w:eastAsiaTheme="minorEastAsia"/>
                <w:sz w:val="24"/>
              </w:rPr>
              <w:t>进行</w:t>
            </w:r>
            <w:r>
              <w:rPr>
                <w:rFonts w:hint="eastAsia" w:cs="宋体" w:asciiTheme="minorEastAsia" w:hAnsiTheme="minorEastAsia" w:eastAsiaTheme="minorEastAsia"/>
                <w:sz w:val="24"/>
                <w:lang w:val="zh-CN"/>
              </w:rPr>
              <w:t>综合打分；</w:t>
            </w:r>
            <w:r>
              <w:rPr>
                <w:rFonts w:hint="eastAsia" w:cs="宋体" w:asciiTheme="minorEastAsia" w:hAnsiTheme="minorEastAsia" w:eastAsiaTheme="minorEastAsia"/>
                <w:sz w:val="24"/>
              </w:rPr>
              <w:t>（分值范围：</w:t>
            </w:r>
            <w:r>
              <w:rPr>
                <w:rFonts w:hint="eastAsia" w:cs="宋体" w:asciiTheme="minorEastAsia" w:hAnsiTheme="minorEastAsia" w:eastAsiaTheme="minorEastAsia"/>
                <w:bCs/>
                <w:sz w:val="24"/>
              </w:rPr>
              <w:t>3,2,1,0</w:t>
            </w:r>
            <w:r>
              <w:rPr>
                <w:rFonts w:hint="eastAsia" w:cs="宋体" w:asciiTheme="minorEastAsia" w:hAnsiTheme="minorEastAsia" w:eastAsiaTheme="minorEastAsia"/>
                <w:sz w:val="24"/>
              </w:rPr>
              <w:t>）</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vAlign w:val="center"/>
          </w:tcPr>
          <w:p>
            <w:pPr>
              <w:snapToGrid w:val="0"/>
              <w:jc w:val="center"/>
              <w:rPr>
                <w:rFonts w:hint="eastAsia" w:cs="宋体" w:asciiTheme="minorEastAsia" w:hAnsiTheme="minorEastAsia" w:eastAsiaTheme="minorEastAsia"/>
                <w:sz w:val="24"/>
              </w:rPr>
            </w:pPr>
          </w:p>
        </w:tc>
        <w:tc>
          <w:tcPr>
            <w:tcW w:w="893" w:type="dxa"/>
            <w:vMerge w:val="continue"/>
          </w:tcPr>
          <w:p>
            <w:pPr>
              <w:snapToGrid w:val="0"/>
              <w:rPr>
                <w:rFonts w:hint="eastAsia" w:cs="宋体" w:asciiTheme="minorEastAsia" w:hAnsiTheme="minorEastAsia" w:eastAsiaTheme="minorEastAsia"/>
                <w:b/>
                <w:bCs/>
                <w:sz w:val="24"/>
              </w:rPr>
            </w:pPr>
          </w:p>
        </w:tc>
        <w:tc>
          <w:tcPr>
            <w:tcW w:w="5411" w:type="dxa"/>
          </w:tcPr>
          <w:p>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lang w:val="zh-CN"/>
              </w:rPr>
              <w:t>根据投标人实施方案的组织机构、工作时间进度表、工作程序和步骤、管理和协调方法、关键步骤的思路和要点等内容</w:t>
            </w:r>
            <w:r>
              <w:rPr>
                <w:rFonts w:hint="eastAsia" w:cs="宋体" w:asciiTheme="minorEastAsia" w:hAnsiTheme="minorEastAsia" w:eastAsiaTheme="minorEastAsia"/>
                <w:sz w:val="24"/>
              </w:rPr>
              <w:t>的合理性、可靠性进行</w:t>
            </w:r>
            <w:r>
              <w:rPr>
                <w:rFonts w:hint="eastAsia" w:cs="宋体" w:asciiTheme="minorEastAsia" w:hAnsiTheme="minorEastAsia" w:eastAsiaTheme="minorEastAsia"/>
                <w:sz w:val="24"/>
                <w:lang w:val="zh-CN"/>
              </w:rPr>
              <w:t>综合打分</w:t>
            </w:r>
            <w:r>
              <w:rPr>
                <w:rFonts w:hint="eastAsia" w:cs="宋体" w:asciiTheme="minorEastAsia" w:hAnsiTheme="minorEastAsia" w:eastAsiaTheme="minorEastAsia"/>
                <w:sz w:val="24"/>
              </w:rPr>
              <w:t>。（分值范围：</w:t>
            </w:r>
            <w:r>
              <w:rPr>
                <w:rFonts w:hint="eastAsia" w:cs="宋体" w:asciiTheme="minorEastAsia" w:hAnsiTheme="minorEastAsia" w:eastAsiaTheme="minorEastAsia"/>
                <w:bCs/>
                <w:sz w:val="24"/>
              </w:rPr>
              <w:t>3,2,1,0</w:t>
            </w:r>
            <w:r>
              <w:rPr>
                <w:rFonts w:hint="eastAsia" w:cs="宋体" w:asciiTheme="minorEastAsia" w:hAnsiTheme="minorEastAsia" w:eastAsiaTheme="minorEastAsia"/>
                <w:sz w:val="24"/>
              </w:rPr>
              <w:t>）</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7</w:t>
            </w:r>
          </w:p>
        </w:tc>
        <w:tc>
          <w:tcPr>
            <w:tcW w:w="893" w:type="dxa"/>
            <w:vMerge w:val="restart"/>
            <w:vAlign w:val="center"/>
          </w:tcPr>
          <w:p>
            <w:pPr>
              <w:snapToGrid w:val="0"/>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拟派服务团队成员情况</w:t>
            </w:r>
          </w:p>
        </w:tc>
        <w:tc>
          <w:tcPr>
            <w:tcW w:w="5411" w:type="dxa"/>
          </w:tcPr>
          <w:p>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项目经理（项目负责人）：</w:t>
            </w:r>
            <w:r>
              <w:rPr>
                <w:rFonts w:hint="eastAsia" w:cs="宋体" w:asciiTheme="minorEastAsia" w:hAnsiTheme="minorEastAsia" w:eastAsiaTheme="minorEastAsia"/>
                <w:sz w:val="24"/>
                <w:lang w:val="zh-CN"/>
              </w:rPr>
              <w:t>具有信息系统项目管理师资格证书，一级注册建造师证书（机电专业）的，每提供1个证书得1分，最高得2分。</w:t>
            </w:r>
          </w:p>
          <w:p>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证明材料：提供有效期内的证书及近三个月的社保证明复印件加盖公章，未提供不得分。</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2分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vAlign w:val="center"/>
          </w:tcPr>
          <w:p>
            <w:pPr>
              <w:snapToGrid w:val="0"/>
              <w:jc w:val="center"/>
              <w:rPr>
                <w:rFonts w:hint="eastAsia" w:cs="宋体" w:asciiTheme="minorEastAsia" w:hAnsiTheme="minorEastAsia" w:eastAsiaTheme="minorEastAsia"/>
                <w:sz w:val="24"/>
              </w:rPr>
            </w:pPr>
          </w:p>
        </w:tc>
        <w:tc>
          <w:tcPr>
            <w:tcW w:w="893" w:type="dxa"/>
            <w:vMerge w:val="continue"/>
          </w:tcPr>
          <w:p>
            <w:pPr>
              <w:snapToGrid w:val="0"/>
              <w:rPr>
                <w:rFonts w:hint="eastAsia" w:cs="宋体" w:asciiTheme="minorEastAsia" w:hAnsiTheme="minorEastAsia" w:eastAsiaTheme="minorEastAsia"/>
                <w:b/>
                <w:bCs/>
                <w:sz w:val="24"/>
              </w:rPr>
            </w:pPr>
          </w:p>
        </w:tc>
        <w:tc>
          <w:tcPr>
            <w:tcW w:w="5411" w:type="dxa"/>
            <w:shd w:val="clear" w:color="auto" w:fill="auto"/>
          </w:tcPr>
          <w:p>
            <w:pPr>
              <w:spacing w:line="276"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项目技术负责人：</w:t>
            </w:r>
            <w:r>
              <w:rPr>
                <w:rFonts w:hint="eastAsia" w:cs="宋体" w:asciiTheme="minorEastAsia" w:hAnsiTheme="minorEastAsia" w:eastAsiaTheme="minorEastAsia"/>
                <w:sz w:val="24"/>
                <w:lang w:val="zh-CN"/>
              </w:rPr>
              <w:t>具备信息</w:t>
            </w:r>
            <w:r>
              <w:rPr>
                <w:rFonts w:hint="eastAsia" w:cs="宋体" w:asciiTheme="minorEastAsia" w:hAnsiTheme="minorEastAsia" w:eastAsiaTheme="minorEastAsia"/>
                <w:sz w:val="24"/>
              </w:rPr>
              <w:t>化相关专业高级职称证书</w:t>
            </w:r>
            <w:r>
              <w:rPr>
                <w:rFonts w:hint="eastAsia" w:cs="宋体" w:asciiTheme="minorEastAsia" w:hAnsiTheme="minorEastAsia" w:eastAsiaTheme="minorEastAsia"/>
                <w:sz w:val="24"/>
                <w:lang w:val="zh-CN"/>
              </w:rPr>
              <w:t>得1分。</w:t>
            </w:r>
          </w:p>
          <w:p>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证明材料：提供有效期内的证书及近三个月的社保证明复印件加盖公章，未提供不得分。</w:t>
            </w:r>
          </w:p>
        </w:tc>
        <w:tc>
          <w:tcPr>
            <w:tcW w:w="751" w:type="dxa"/>
            <w:shd w:val="clear" w:color="auto" w:fill="auto"/>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1分</w:t>
            </w:r>
          </w:p>
        </w:tc>
        <w:tc>
          <w:tcPr>
            <w:tcW w:w="1356" w:type="dxa"/>
            <w:shd w:val="clear" w:color="auto" w:fill="auto"/>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vAlign w:val="center"/>
          </w:tcPr>
          <w:p>
            <w:pPr>
              <w:snapToGrid w:val="0"/>
              <w:jc w:val="center"/>
              <w:rPr>
                <w:rFonts w:hint="eastAsia" w:cs="宋体" w:asciiTheme="minorEastAsia" w:hAnsiTheme="minorEastAsia" w:eastAsiaTheme="minorEastAsia"/>
                <w:sz w:val="24"/>
              </w:rPr>
            </w:pPr>
          </w:p>
        </w:tc>
        <w:tc>
          <w:tcPr>
            <w:tcW w:w="893" w:type="dxa"/>
            <w:vMerge w:val="continue"/>
          </w:tcPr>
          <w:p>
            <w:pPr>
              <w:snapToGrid w:val="0"/>
              <w:rPr>
                <w:rFonts w:hint="eastAsia" w:cs="宋体" w:asciiTheme="minorEastAsia" w:hAnsiTheme="minorEastAsia" w:eastAsiaTheme="minorEastAsia"/>
                <w:b/>
                <w:bCs/>
                <w:sz w:val="24"/>
              </w:rPr>
            </w:pPr>
          </w:p>
        </w:tc>
        <w:tc>
          <w:tcPr>
            <w:tcW w:w="5411" w:type="dxa"/>
            <w:shd w:val="clear" w:color="auto" w:fill="auto"/>
          </w:tcPr>
          <w:p>
            <w:r>
              <w:rPr>
                <w:rFonts w:hint="eastAsia" w:cs="仿宋_GB2312" w:asciiTheme="minorEastAsia" w:hAnsiTheme="minorEastAsia" w:eastAsiaTheme="minorEastAsia"/>
                <w:sz w:val="24"/>
              </w:rPr>
              <w:t>除项目经理和技术负责人外项目组成员情况：</w:t>
            </w:r>
          </w:p>
          <w:p>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1）具有</w:t>
            </w:r>
            <w:r>
              <w:rPr>
                <w:rFonts w:hint="eastAsia" w:cs="宋体" w:asciiTheme="minorEastAsia" w:hAnsiTheme="minorEastAsia" w:eastAsiaTheme="minorEastAsia"/>
                <w:sz w:val="24"/>
                <w:lang w:val="zh-CN"/>
              </w:rPr>
              <w:t>国家人社部门颁发的</w:t>
            </w:r>
            <w:r>
              <w:rPr>
                <w:rFonts w:hint="eastAsia" w:cs="宋体" w:asciiTheme="minorEastAsia" w:hAnsiTheme="minorEastAsia" w:eastAsiaTheme="minorEastAsia"/>
                <w:sz w:val="24"/>
                <w:lang w:val="zh-CN"/>
              </w:rPr>
              <w:t>网络工程师证书</w:t>
            </w:r>
            <w:r>
              <w:rPr>
                <w:rFonts w:hint="eastAsia" w:cs="宋体" w:asciiTheme="minorEastAsia" w:hAnsiTheme="minorEastAsia" w:eastAsiaTheme="minorEastAsia"/>
                <w:sz w:val="24"/>
              </w:rPr>
              <w:t>的，每1人得1分，本项最高得3分；</w:t>
            </w:r>
          </w:p>
          <w:p>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2）具有国家注册信息安全工程师证书的，每提供1人得1分，本项最高得2分。</w:t>
            </w:r>
          </w:p>
          <w:p>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证明材料：提供有效期内的证书及近三个月的社保证明复印件加盖公章，未提供不得分。</w:t>
            </w:r>
            <w:r>
              <w:rPr>
                <w:rFonts w:hint="eastAsia" w:cs="宋体" w:asciiTheme="minorEastAsia" w:hAnsiTheme="minorEastAsia" w:eastAsiaTheme="minorEastAsia"/>
                <w:sz w:val="24"/>
                <w:lang w:val="zh-CN"/>
              </w:rPr>
              <w:t>同一人员拥有多项资格证书的，只按一个证书计分，不重复计分。</w:t>
            </w:r>
          </w:p>
        </w:tc>
        <w:tc>
          <w:tcPr>
            <w:tcW w:w="751" w:type="dxa"/>
            <w:shd w:val="clear" w:color="auto" w:fill="auto"/>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5分</w:t>
            </w:r>
          </w:p>
        </w:tc>
        <w:tc>
          <w:tcPr>
            <w:tcW w:w="1356" w:type="dxa"/>
            <w:shd w:val="clear" w:color="auto" w:fill="auto"/>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01" w:type="dxa"/>
            <w:vMerge w:val="restart"/>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8</w:t>
            </w:r>
          </w:p>
        </w:tc>
        <w:tc>
          <w:tcPr>
            <w:tcW w:w="893" w:type="dxa"/>
            <w:vMerge w:val="restart"/>
            <w:vAlign w:val="center"/>
          </w:tcPr>
          <w:p>
            <w:pPr>
              <w:jc w:val="center"/>
              <w:outlineLvl w:val="0"/>
              <w:rPr>
                <w:rFonts w:hint="eastAsia" w:asciiTheme="minorEastAsia" w:hAnsiTheme="minorEastAsia" w:eastAsiaTheme="minorEastAsia"/>
                <w:sz w:val="24"/>
              </w:rPr>
            </w:pPr>
            <w:r>
              <w:rPr>
                <w:rFonts w:hint="eastAsia" w:asciiTheme="minorEastAsia" w:hAnsiTheme="minorEastAsia" w:eastAsiaTheme="minorEastAsia"/>
                <w:b/>
                <w:bCs/>
                <w:sz w:val="24"/>
              </w:rPr>
              <w:t>售后服务方案</w:t>
            </w:r>
          </w:p>
        </w:tc>
        <w:tc>
          <w:tcPr>
            <w:tcW w:w="5411" w:type="dxa"/>
            <w:vAlign w:val="center"/>
          </w:tcPr>
          <w:p>
            <w:pPr>
              <w:outlineLvl w:val="0"/>
              <w:rPr>
                <w:rFonts w:hint="eastAsia" w:asciiTheme="minorEastAsia" w:hAnsiTheme="minorEastAsia" w:eastAsiaTheme="minorEastAsia"/>
                <w:sz w:val="24"/>
              </w:rPr>
            </w:pPr>
            <w:r>
              <w:rPr>
                <w:rFonts w:hint="eastAsia" w:asciiTheme="minorEastAsia" w:hAnsiTheme="minorEastAsia" w:eastAsiaTheme="minorEastAsia"/>
                <w:sz w:val="24"/>
              </w:rPr>
              <w:t>根据投标人的详细服务方案、巡检方案、技术支持和质量保证措施，以及维护计划、服务管理流程、故障响应流程等情况的</w:t>
            </w:r>
            <w:r>
              <w:rPr>
                <w:rFonts w:hint="eastAsia" w:cs="宋体" w:asciiTheme="minorEastAsia" w:hAnsiTheme="minorEastAsia" w:eastAsiaTheme="minorEastAsia"/>
                <w:sz w:val="24"/>
              </w:rPr>
              <w:t>合理性、可靠性</w:t>
            </w:r>
            <w:r>
              <w:rPr>
                <w:rFonts w:hint="eastAsia" w:asciiTheme="minorEastAsia" w:hAnsiTheme="minorEastAsia" w:eastAsiaTheme="minorEastAsia"/>
                <w:sz w:val="24"/>
              </w:rPr>
              <w:t>进行综合打分；</w:t>
            </w:r>
            <w:r>
              <w:rPr>
                <w:rFonts w:hint="eastAsia" w:cs="宋体" w:asciiTheme="minorEastAsia" w:hAnsiTheme="minorEastAsia" w:eastAsiaTheme="minorEastAsia"/>
                <w:sz w:val="24"/>
              </w:rPr>
              <w:t>（分值范围：</w:t>
            </w:r>
            <w:r>
              <w:rPr>
                <w:rFonts w:hint="eastAsia" w:cs="宋体" w:asciiTheme="minorEastAsia" w:hAnsiTheme="minorEastAsia" w:eastAsiaTheme="minorEastAsia"/>
                <w:bCs/>
                <w:sz w:val="24"/>
              </w:rPr>
              <w:t>3,2,1,0</w:t>
            </w:r>
            <w:r>
              <w:rPr>
                <w:rFonts w:hint="eastAsia" w:cs="宋体" w:asciiTheme="minorEastAsia" w:hAnsiTheme="minorEastAsia" w:eastAsiaTheme="minorEastAsia"/>
                <w:sz w:val="24"/>
              </w:rPr>
              <w:t>）</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01" w:type="dxa"/>
            <w:vMerge w:val="continue"/>
            <w:vAlign w:val="center"/>
          </w:tcPr>
          <w:p>
            <w:pPr>
              <w:snapToGrid w:val="0"/>
              <w:jc w:val="center"/>
              <w:rPr>
                <w:rFonts w:hint="eastAsia" w:cs="宋体" w:asciiTheme="minorEastAsia" w:hAnsiTheme="minorEastAsia" w:eastAsiaTheme="minorEastAsia"/>
                <w:sz w:val="24"/>
              </w:rPr>
            </w:pPr>
          </w:p>
        </w:tc>
        <w:tc>
          <w:tcPr>
            <w:tcW w:w="893" w:type="dxa"/>
            <w:vMerge w:val="continue"/>
          </w:tcPr>
          <w:p>
            <w:pPr>
              <w:pStyle w:val="2"/>
              <w:spacing w:line="240" w:lineRule="auto"/>
              <w:ind w:firstLine="0" w:firstLineChars="0"/>
              <w:rPr>
                <w:rFonts w:hint="eastAsia" w:cs="宋体" w:asciiTheme="minorEastAsia" w:hAnsiTheme="minorEastAsia" w:eastAsiaTheme="minorEastAsia"/>
                <w:b/>
                <w:bCs/>
              </w:rPr>
            </w:pPr>
          </w:p>
        </w:tc>
        <w:tc>
          <w:tcPr>
            <w:tcW w:w="5411" w:type="dxa"/>
            <w:vAlign w:val="center"/>
          </w:tcPr>
          <w:p>
            <w:pPr>
              <w:pStyle w:val="2"/>
              <w:spacing w:line="240" w:lineRule="auto"/>
              <w:ind w:firstLine="0" w:firstLineChars="0"/>
              <w:rPr>
                <w:rFonts w:hint="eastAsia" w:cs="宋体" w:asciiTheme="minorEastAsia" w:hAnsiTheme="minorEastAsia" w:eastAsiaTheme="minorEastAsia"/>
                <w:b/>
                <w:bCs/>
              </w:rPr>
            </w:pPr>
            <w:r>
              <w:rPr>
                <w:rFonts w:hint="eastAsia" w:cs="宋体" w:asciiTheme="minorEastAsia" w:hAnsiTheme="minorEastAsia" w:eastAsiaTheme="minorEastAsia"/>
              </w:rPr>
              <w:t>根据投标人的备品备件规模、售后能力以及针对本项目的备品备件方案的科学性、合理性和可操作性进行综合打分。（分值范围：</w:t>
            </w:r>
            <w:r>
              <w:rPr>
                <w:rFonts w:hint="eastAsia" w:cs="宋体" w:asciiTheme="minorEastAsia" w:hAnsiTheme="minorEastAsia" w:eastAsiaTheme="minorEastAsia"/>
                <w:bCs/>
              </w:rPr>
              <w:t>3,2,1,0</w:t>
            </w:r>
            <w:r>
              <w:rPr>
                <w:rFonts w:hint="eastAsia" w:cs="宋体" w:asciiTheme="minorEastAsia" w:hAnsiTheme="minorEastAsia" w:eastAsiaTheme="minorEastAsia"/>
              </w:rPr>
              <w:t>）</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01" w:type="dxa"/>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9</w:t>
            </w:r>
          </w:p>
        </w:tc>
        <w:tc>
          <w:tcPr>
            <w:tcW w:w="6304" w:type="dxa"/>
            <w:gridSpan w:val="2"/>
          </w:tcPr>
          <w:p>
            <w:pPr>
              <w:jc w:val="left"/>
              <w:outlineLvl w:val="0"/>
              <w:rPr>
                <w:rFonts w:hint="eastAsia" w:asciiTheme="minorEastAsia" w:hAnsiTheme="minorEastAsia" w:eastAsiaTheme="minorEastAsia"/>
                <w:b/>
                <w:bCs/>
                <w:sz w:val="24"/>
              </w:rPr>
            </w:pPr>
            <w:r>
              <w:rPr>
                <w:rFonts w:hint="eastAsia" w:asciiTheme="minorEastAsia" w:hAnsiTheme="minorEastAsia" w:eastAsiaTheme="minorEastAsia"/>
                <w:b/>
                <w:bCs/>
                <w:sz w:val="24"/>
              </w:rPr>
              <w:t>培训方案：</w:t>
            </w:r>
            <w:r>
              <w:rPr>
                <w:rFonts w:hint="eastAsia" w:asciiTheme="minorEastAsia" w:hAnsiTheme="minorEastAsia" w:eastAsiaTheme="minorEastAsia"/>
                <w:sz w:val="24"/>
              </w:rPr>
              <w:t>根据培训计划、师资、培训主要内容等的合理性、可行性进行综合打分</w:t>
            </w:r>
            <w:r>
              <w:rPr>
                <w:rFonts w:hint="eastAsia" w:cs="宋体" w:asciiTheme="minorEastAsia" w:hAnsiTheme="minorEastAsia" w:eastAsiaTheme="minorEastAsia"/>
                <w:sz w:val="24"/>
              </w:rPr>
              <w:t>。（分值范围：3,2,1,0）</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01" w:type="dxa"/>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w:t>
            </w:r>
          </w:p>
        </w:tc>
        <w:tc>
          <w:tcPr>
            <w:tcW w:w="6304" w:type="dxa"/>
            <w:gridSpan w:val="2"/>
          </w:tcPr>
          <w:p>
            <w:pPr>
              <w:pStyle w:val="2"/>
              <w:spacing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b/>
                <w:bCs/>
              </w:rPr>
              <w:t>演示：</w:t>
            </w:r>
            <w:r>
              <w:rPr>
                <w:rFonts w:hint="eastAsia" w:cs="宋体" w:asciiTheme="minorEastAsia" w:hAnsiTheme="minorEastAsia" w:eastAsiaTheme="minorEastAsia"/>
              </w:rPr>
              <w:t>（</w:t>
            </w:r>
            <w:r>
              <w:rPr>
                <w:rFonts w:hint="eastAsia" w:cs="宋体" w:asciiTheme="minorEastAsia" w:hAnsiTheme="minorEastAsia" w:eastAsiaTheme="minorEastAsia"/>
                <w:b/>
                <w:bCs/>
              </w:rPr>
              <w:t>要求：</w:t>
            </w:r>
            <w:r>
              <w:rPr>
                <w:rFonts w:hint="eastAsia" w:cs="仿宋_GB2312" w:asciiTheme="minorEastAsia" w:hAnsiTheme="minorEastAsia" w:eastAsiaTheme="minorEastAsia"/>
                <w:b/>
                <w:bCs/>
              </w:rPr>
              <w:t>投标人自行搭建演示环境，采用投标同品牌、型号的硬件设备和软件根据演示得分要点现场逐一进行演示、讲解。投标人提供视频演示的，要求录制真实环境搭建的实物演示视频，截屏、PPT等非真实演示环境不得分，演示视频必须展现演示设备的品牌、型号，并能展现搭建环境全景、清晰看清演示的各项功能。</w:t>
            </w:r>
            <w:r>
              <w:rPr>
                <w:rFonts w:hint="eastAsia" w:cs="宋体" w:asciiTheme="minorEastAsia" w:hAnsiTheme="minorEastAsia" w:eastAsiaTheme="minorEastAsia"/>
              </w:rPr>
              <w:t>）</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01" w:type="dxa"/>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10.1</w:t>
            </w:r>
          </w:p>
        </w:tc>
        <w:tc>
          <w:tcPr>
            <w:tcW w:w="6304" w:type="dxa"/>
            <w:gridSpan w:val="2"/>
          </w:tcPr>
          <w:p>
            <w:pPr>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网络安全-日志审计产品演示：</w:t>
            </w:r>
          </w:p>
          <w:p>
            <w:pPr>
              <w:rPr>
                <w:rFonts w:hint="eastAsia" w:cs="宋体" w:asciiTheme="minorEastAsia" w:hAnsiTheme="minorEastAsia" w:eastAsiaTheme="minorEastAsia"/>
                <w:sz w:val="24"/>
              </w:rPr>
            </w:pPr>
            <w:r>
              <w:rPr>
                <w:rFonts w:hint="eastAsia" w:cs="宋体" w:asciiTheme="minorEastAsia" w:hAnsiTheme="minorEastAsia" w:eastAsiaTheme="minorEastAsia"/>
                <w:sz w:val="24"/>
              </w:rPr>
              <w:t>1）系统针对日志可对每个单独的被采集源，按照日志源IP、日志源类型（防火墙，交换机，服务器，数据库，虚拟化、存储等）、收集节点、收集方式进行选择；</w:t>
            </w:r>
            <w:r>
              <w:rPr>
                <w:rFonts w:hint="eastAsia" w:asciiTheme="minorEastAsia" w:hAnsiTheme="minorEastAsia" w:eastAsiaTheme="minorEastAsia"/>
                <w:sz w:val="24"/>
              </w:rPr>
              <w:t>（全部满足得2分，不满足不得分）</w:t>
            </w:r>
          </w:p>
          <w:p>
            <w:pPr>
              <w:rPr>
                <w:rFonts w:hint="eastAsia" w:cs="宋体" w:asciiTheme="minorEastAsia" w:hAnsiTheme="minorEastAsia" w:eastAsiaTheme="minorEastAsia"/>
                <w:sz w:val="24"/>
                <w:highlight w:val="yellow"/>
              </w:rPr>
            </w:pPr>
            <w:r>
              <w:rPr>
                <w:rFonts w:hint="eastAsia" w:cs="宋体" w:asciiTheme="minorEastAsia" w:hAnsiTheme="minorEastAsia" w:eastAsiaTheme="minorEastAsia"/>
                <w:sz w:val="24"/>
              </w:rPr>
              <w:t>2）系统可针对被采集的日志源日志是否存储原始日志进行设置，以及覆盖日志的保存时间进行设置。保存时间可按照1个月，3个月，6个月和永久保存等进行选择设置；</w:t>
            </w:r>
            <w:r>
              <w:rPr>
                <w:rFonts w:hint="eastAsia" w:asciiTheme="minorEastAsia" w:hAnsiTheme="minorEastAsia" w:eastAsiaTheme="minorEastAsia"/>
                <w:sz w:val="24"/>
              </w:rPr>
              <w:t>（全部满足得2分，不满足不得分）</w:t>
            </w:r>
          </w:p>
          <w:p>
            <w:pPr>
              <w:rPr>
                <w:rFonts w:hint="eastAsia" w:cs="宋体" w:asciiTheme="minorEastAsia" w:hAnsiTheme="minorEastAsia" w:eastAsiaTheme="minorEastAsia"/>
                <w:sz w:val="24"/>
                <w:highlight w:val="yellow"/>
              </w:rPr>
            </w:pPr>
            <w:r>
              <w:rPr>
                <w:rFonts w:hint="eastAsia" w:cs="宋体" w:asciiTheme="minorEastAsia" w:hAnsiTheme="minorEastAsia" w:eastAsiaTheme="minorEastAsia"/>
                <w:sz w:val="24"/>
              </w:rPr>
              <w:t>3）系统可对重点日志源进行关注设置，并可通过关注列表快速查看重点日志源的状态、今日日志数、日志总量、接收时间、业务组等基础信息；</w:t>
            </w:r>
            <w:r>
              <w:rPr>
                <w:rFonts w:hint="eastAsia" w:asciiTheme="minorEastAsia" w:hAnsiTheme="minorEastAsia" w:eastAsiaTheme="minorEastAsia"/>
                <w:sz w:val="24"/>
              </w:rPr>
              <w:t>（全部满足得2分，不满足不得分）</w:t>
            </w:r>
          </w:p>
          <w:p>
            <w:pPr>
              <w:rPr>
                <w:rFonts w:hint="eastAsia" w:cs="宋体" w:asciiTheme="minorEastAsia" w:hAnsiTheme="minorEastAsia" w:eastAsiaTheme="minorEastAsia"/>
                <w:sz w:val="24"/>
                <w:highlight w:val="yellow"/>
              </w:rPr>
            </w:pPr>
            <w:r>
              <w:rPr>
                <w:rFonts w:hint="eastAsia" w:cs="宋体" w:asciiTheme="minorEastAsia" w:hAnsiTheme="minorEastAsia" w:eastAsiaTheme="minorEastAsia"/>
                <w:sz w:val="24"/>
              </w:rPr>
              <w:t>4）系统支持设置不同的查询条件，可按照（级别、事件名、传输协议、源地址、源端口、目的地址、目的端口、流入、留出等）查询条件，进行搜索框查询；</w:t>
            </w:r>
            <w:r>
              <w:rPr>
                <w:rFonts w:hint="eastAsia" w:asciiTheme="minorEastAsia" w:hAnsiTheme="minorEastAsia" w:eastAsiaTheme="minorEastAsia"/>
                <w:sz w:val="24"/>
              </w:rPr>
              <w:t>（全部满足得2分，不满足不得分）</w:t>
            </w:r>
          </w:p>
          <w:p>
            <w:pPr>
              <w:rPr>
                <w:rFonts w:hint="eastAsia" w:cs="宋体" w:asciiTheme="minorEastAsia" w:hAnsiTheme="minorEastAsia" w:eastAsiaTheme="minorEastAsia"/>
                <w:sz w:val="24"/>
                <w:highlight w:val="yellow"/>
              </w:rPr>
            </w:pPr>
            <w:r>
              <w:rPr>
                <w:rFonts w:hint="eastAsia" w:cs="宋体" w:asciiTheme="minorEastAsia" w:hAnsiTheme="minorEastAsia" w:eastAsiaTheme="minorEastAsia"/>
                <w:sz w:val="24"/>
              </w:rPr>
              <w:t>5）系统具有防恶意暴力破解账号与口令功能，可针对账号口令登录次数，登录失败锁定时间进行设置；长时间不操作自动退出时长进行设置。</w:t>
            </w:r>
            <w:r>
              <w:rPr>
                <w:rFonts w:hint="eastAsia" w:asciiTheme="minorEastAsia" w:hAnsiTheme="minorEastAsia" w:eastAsiaTheme="minorEastAsia"/>
                <w:sz w:val="24"/>
              </w:rPr>
              <w:t>（全部满足得2分，不满足不得分）</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10分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10.2</w:t>
            </w:r>
          </w:p>
        </w:tc>
        <w:tc>
          <w:tcPr>
            <w:tcW w:w="6304" w:type="dxa"/>
            <w:gridSpan w:val="2"/>
          </w:tcPr>
          <w:p>
            <w:pPr>
              <w:pStyle w:val="2"/>
              <w:spacing w:line="240" w:lineRule="auto"/>
              <w:ind w:firstLine="0" w:firstLineChars="0"/>
              <w:rPr>
                <w:rFonts w:hint="eastAsia" w:asciiTheme="minorEastAsia" w:hAnsiTheme="minorEastAsia" w:eastAsiaTheme="minorEastAsia"/>
              </w:rPr>
            </w:pPr>
            <w:r>
              <w:rPr>
                <w:rFonts w:hint="eastAsia" w:cs="宋体" w:asciiTheme="minorEastAsia" w:hAnsiTheme="minorEastAsia" w:eastAsiaTheme="minorEastAsia"/>
                <w:b/>
              </w:rPr>
              <w:t>全光校园网系统-24口POE（ONU）、8口POE（ONU）、4口POE （ONU）产品演示：要求提供演示的（ONU）设备与所投产品品牌、型号一致，演示所用ONU上有明确的品牌、型号、设备序列号、进网许可等标识。上联设备、终端设备等演示环境所需的配套测试设备投标人自备。</w:t>
            </w:r>
          </w:p>
          <w:p>
            <w:pPr>
              <w:rPr>
                <w:rFonts w:hint="eastAsia" w:cs="宋体" w:asciiTheme="minorEastAsia" w:hAnsiTheme="minorEastAsia" w:eastAsiaTheme="minorEastAsia"/>
                <w:sz w:val="24"/>
                <w:highlight w:val="yellow"/>
              </w:rPr>
            </w:pPr>
            <w:r>
              <w:rPr>
                <w:rFonts w:hint="eastAsia" w:cs="宋体" w:asciiTheme="minorEastAsia" w:hAnsiTheme="minorEastAsia" w:eastAsiaTheme="minorEastAsia"/>
                <w:sz w:val="24"/>
              </w:rPr>
              <w:t>1）24口POE (ONU)演示：为保证设备日常传输能力，要求ONU可用网络侧接口不少于2*XGS-PON，用户侧接口不少于24*GE，GE口需要支持POE/POE+。对ONU通电、连接上联设备和POE供电终端设备后，要求各测试端口指示灯正常，各端口工作正常。</w:t>
            </w:r>
            <w:r>
              <w:rPr>
                <w:rFonts w:hint="eastAsia" w:asciiTheme="minorEastAsia" w:hAnsiTheme="minorEastAsia" w:eastAsiaTheme="minorEastAsia"/>
                <w:sz w:val="24"/>
              </w:rPr>
              <w:t>（全部满足得1分，不满足不得分）</w:t>
            </w:r>
          </w:p>
          <w:p>
            <w:pPr>
              <w:rPr>
                <w:rFonts w:hint="eastAsia" w:cs="宋体" w:asciiTheme="minorEastAsia" w:hAnsiTheme="minorEastAsia" w:eastAsiaTheme="minorEastAsia"/>
                <w:sz w:val="24"/>
                <w:highlight w:val="yellow"/>
              </w:rPr>
            </w:pPr>
            <w:r>
              <w:rPr>
                <w:rFonts w:hint="eastAsia" w:cs="宋体" w:asciiTheme="minorEastAsia" w:hAnsiTheme="minorEastAsia" w:eastAsiaTheme="minorEastAsia"/>
                <w:sz w:val="24"/>
              </w:rPr>
              <w:t>2）8口POE (ONU)演示：为保证设备日常传输能力，要求ONU可用网络侧接口不少于2*XGS-PON，用户侧接口不少于8*GE，GE口需要支持POE/POE+。对ONU通电、连接上联设备和POE供电终端设备后，要求各测试端口指示灯正常，各端口工作正常。</w:t>
            </w:r>
            <w:r>
              <w:rPr>
                <w:rFonts w:hint="eastAsia" w:asciiTheme="minorEastAsia" w:hAnsiTheme="minorEastAsia" w:eastAsiaTheme="minorEastAsia"/>
                <w:sz w:val="24"/>
              </w:rPr>
              <w:t>（全部满足得1分，不满足不得分）</w:t>
            </w:r>
          </w:p>
          <w:p>
            <w:pPr>
              <w:rPr>
                <w:rFonts w:hint="eastAsia" w:cs="宋体" w:asciiTheme="minorEastAsia" w:hAnsiTheme="minorEastAsia" w:eastAsiaTheme="minorEastAsia"/>
                <w:sz w:val="24"/>
              </w:rPr>
            </w:pPr>
            <w:r>
              <w:rPr>
                <w:rFonts w:hint="eastAsia" w:cs="宋体" w:asciiTheme="minorEastAsia" w:hAnsiTheme="minorEastAsia" w:eastAsiaTheme="minorEastAsia"/>
                <w:sz w:val="24"/>
              </w:rPr>
              <w:t>3）4口POE (ONU)演示：为保证设备日常传输能力，要求ONU可用网络侧接口不少于1*XGS-PON，用户侧接口不少于4*GE，不少于1*2.5GE，GE和2.5GE口支持POE/POE+。对ONU通电、连接上联设备和POE供电终端设备后，要求各测试端口指示灯正常，各端口工作正常。</w:t>
            </w:r>
            <w:r>
              <w:rPr>
                <w:rFonts w:hint="eastAsia" w:asciiTheme="minorEastAsia" w:hAnsiTheme="minorEastAsia" w:eastAsiaTheme="minorEastAsia"/>
                <w:sz w:val="24"/>
              </w:rPr>
              <w:t>（全部满足得1分，不满足不得分）</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11</w:t>
            </w:r>
          </w:p>
        </w:tc>
        <w:tc>
          <w:tcPr>
            <w:tcW w:w="6304" w:type="dxa"/>
            <w:gridSpan w:val="2"/>
          </w:tcPr>
          <w:p>
            <w:pPr>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有效投标报价的最低价作为评标基准价，其最低报价为满分；按［投标报价得分=（评标基准价/投标报价）*30］的计算公式计算。</w:t>
            </w:r>
          </w:p>
          <w:p>
            <w:pPr>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评标过程中，不得去掉报价中的最高报价和最低报价。</w:t>
            </w:r>
          </w:p>
          <w:p>
            <w:pPr>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因落实政府采购政策需要进行价格调整的，以调整后的价格计算评标基准价和投标报价。</w:t>
            </w:r>
          </w:p>
        </w:tc>
        <w:tc>
          <w:tcPr>
            <w:tcW w:w="751"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30分</w:t>
            </w:r>
          </w:p>
        </w:tc>
        <w:tc>
          <w:tcPr>
            <w:tcW w:w="1356" w:type="dxa"/>
            <w:vAlign w:val="center"/>
          </w:tcPr>
          <w:p>
            <w:pPr>
              <w:jc w:val="center"/>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r>
    </w:tbl>
    <w:p/>
    <w:p>
      <w:pPr>
        <w:snapToGrid w:val="0"/>
        <w:spacing w:line="360" w:lineRule="auto"/>
        <w:ind w:firstLine="400" w:firstLineChars="200"/>
        <w:rPr>
          <w:rFonts w:hint="eastAsia"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投标供应商编制投标文件（商务技术文件部分）时，建议按此目录（序号和内容）提供评标标准相应的商务技术资料。 </w:t>
      </w:r>
    </w:p>
    <w:p>
      <w:pPr>
        <w:snapToGrid w:val="0"/>
        <w:spacing w:line="360" w:lineRule="auto"/>
        <w:rPr>
          <w:rFonts w:hint="eastAsia" w:ascii="宋体" w:hAnsi="宋体" w:cs="宋体"/>
          <w:b/>
          <w:sz w:val="24"/>
        </w:rPr>
      </w:pPr>
      <w:r>
        <w:rPr>
          <w:rFonts w:hint="eastAsia" w:ascii="宋体" w:hAnsi="宋体" w:cs="宋体"/>
          <w:b/>
          <w:sz w:val="24"/>
        </w:rPr>
        <w:t>一、评标方法</w:t>
      </w:r>
    </w:p>
    <w:p>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综合评分法，是指投标文件满足招标文件全部实质性要求，且按照评审因素的量化指标评审得分最高的投标供应商为中标候选人的评标方法。</w:t>
      </w:r>
    </w:p>
    <w:p>
      <w:pPr>
        <w:adjustRightInd/>
        <w:spacing w:line="360" w:lineRule="auto"/>
        <w:rPr>
          <w:rFonts w:hint="eastAsia" w:ascii="宋体" w:hAnsi="宋体" w:cs="宋体"/>
          <w:kern w:val="0"/>
          <w:sz w:val="24"/>
        </w:rPr>
      </w:pPr>
      <w:r>
        <w:rPr>
          <w:rFonts w:hint="eastAsia" w:ascii="宋体" w:hAnsi="宋体" w:cs="宋体"/>
          <w:b/>
          <w:sz w:val="24"/>
        </w:rPr>
        <w:t>二、评标标准</w:t>
      </w:r>
    </w:p>
    <w:p>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sz w:val="24"/>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hint="eastAsia" w:ascii="宋体" w:hAnsi="宋体" w:cs="宋体"/>
          <w:b/>
          <w:sz w:val="24"/>
        </w:rPr>
      </w:pPr>
      <w:r>
        <w:rPr>
          <w:rFonts w:hint="eastAsia" w:ascii="宋体" w:hAnsi="宋体" w:cs="宋体"/>
          <w:b/>
          <w:sz w:val="24"/>
        </w:rPr>
        <w:t>三、评标程序</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评标委员会应当对符合资格的投标供应商的投标文件进行符合性审查，以确定其是否满足招标文件的实质性要求。不满足招标文件的实质性要求的，投标无效。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评标委员会各成员应当独立对每个投标供应商的商务和技术文件进行评价，并汇总商务技术得分情况。</w:t>
      </w:r>
    </w:p>
    <w:p>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hint="eastAsia" w:ascii="宋体" w:hAnsi="宋体" w:cs="宋体"/>
          <w:kern w:val="0"/>
          <w:szCs w:val="24"/>
        </w:rPr>
      </w:pPr>
      <w:r>
        <w:rPr>
          <w:rFonts w:hint="eastAsia" w:ascii="宋体" w:hAnsi="宋体" w:cs="宋体"/>
          <w:kern w:val="0"/>
          <w:szCs w:val="24"/>
        </w:rPr>
        <w:t>3.4.1投标文件报价出现前后不一致的，</w:t>
      </w:r>
      <w:bookmarkStart w:id="407" w:name="_GoBack"/>
      <w:bookmarkEnd w:id="407"/>
      <w:r>
        <w:rPr>
          <w:rFonts w:hint="eastAsia" w:ascii="宋体" w:hAnsi="宋体" w:cs="宋体"/>
          <w:kern w:val="0"/>
          <w:szCs w:val="24"/>
        </w:rPr>
        <w:t>按照下列规定修正：</w:t>
      </w:r>
    </w:p>
    <w:p>
      <w:pPr>
        <w:pStyle w:val="129"/>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hint="eastAsia" w:ascii="宋体" w:hAnsi="宋体" w:cs="宋体"/>
          <w:kern w:val="0"/>
          <w:szCs w:val="24"/>
        </w:rPr>
      </w:pPr>
      <w:r>
        <w:rPr>
          <w:rFonts w:hint="eastAsia" w:ascii="宋体" w:hAnsi="宋体" w:cs="宋体"/>
          <w:kern w:val="0"/>
          <w:szCs w:val="24"/>
        </w:rPr>
        <w:t>同时出现两种以上不一致的，按照3.4.1规定的顺序修正。修正后的报价按照财政部第87号令 《政府采购货物和服务招标投标管理办法》第五十一条第二款的规定经投标供应商确认后产生约束力。</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hint="eastAsia" w:ascii="宋体" w:hAnsi="宋体" w:cs="宋体"/>
          <w:kern w:val="0"/>
          <w:szCs w:val="24"/>
        </w:rPr>
      </w:pPr>
      <w:r>
        <w:rPr>
          <w:rFonts w:hint="eastAsia" w:ascii="宋体" w:hAnsi="宋体" w:cs="宋体"/>
          <w:kern w:val="0"/>
          <w:szCs w:val="24"/>
        </w:rPr>
        <w:t>3.4.4评标委员会认为投标供应商的报价明显低于其他通过符合性审查投标供应商的报价，有可能影响产品质量或者不能诚信履约的，应当要求其在合理的时间内提供书面说明，必要时提交相关证明材料；投标供应商不能证明其报价合理性的，评标委员会应当将其作为无效投标处理。</w:t>
      </w:r>
    </w:p>
    <w:p>
      <w:pPr>
        <w:pStyle w:val="129"/>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供应商为排名第一的中标候选人。</w:t>
      </w:r>
    </w:p>
    <w:p>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供应商提供相同品牌产品（单一产品采购项目中的该产品或者非单一产品采购项目的核心产品）且通过资格审查、符合性审查的不同投标供应商参加同一合同项下投标的，按一家投标供应商计算，评审后得分最高的同品牌投标供应商获得中标供应商推荐资格；评审得分相同的，采取随机抽取方式确定，其他同品牌投标供应商不作为中标候选人。</w:t>
      </w:r>
    </w:p>
    <w:p>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cs="宋体"/>
          <w:b/>
          <w:sz w:val="24"/>
        </w:rPr>
      </w:pPr>
      <w:r>
        <w:rPr>
          <w:rFonts w:hint="eastAsia" w:ascii="宋体" w:hAnsi="宋体" w:cs="宋体"/>
          <w:b/>
          <w:sz w:val="24"/>
        </w:rPr>
        <w:t>四、评标中的其他事项</w:t>
      </w:r>
    </w:p>
    <w:p>
      <w:pPr>
        <w:pStyle w:val="129"/>
        <w:spacing w:before="0"/>
        <w:ind w:firstLine="472" w:firstLineChars="196"/>
        <w:rPr>
          <w:rFonts w:hint="eastAsia" w:ascii="宋体" w:hAnsi="宋体" w:cs="宋体"/>
          <w:kern w:val="0"/>
          <w:szCs w:val="24"/>
        </w:rPr>
      </w:pPr>
      <w:r>
        <w:rPr>
          <w:rFonts w:hint="eastAsia" w:ascii="宋体" w:hAnsi="宋体" w:cs="宋体"/>
          <w:b/>
          <w:kern w:val="0"/>
          <w:szCs w:val="24"/>
        </w:rPr>
        <w:t>4.1投标供应商澄清、说明或者补正。</w:t>
      </w:r>
      <w:r>
        <w:rPr>
          <w:rFonts w:hint="eastAsia" w:ascii="宋体" w:hAnsi="宋体" w:cs="宋体"/>
          <w:kern w:val="0"/>
          <w:szCs w:val="24"/>
        </w:rPr>
        <w:t>对于投标文件中含义不明确、同类问题表述不一致或者有明显文字和计算错误的内容需要投标供应商作出必要的澄清、说明或者补正的，评标委员会和投标供应商通过电子交易平台交换数据电文，投标供应商提交使用电子签名的相关数据电文或通过平台上传加盖公章的扫描件。给予投标供应商提交澄清、说明或补正的时间不得少于半小时，投标供应商已经明确表示澄清说明或补正完毕的除外。投标供应商的澄清、说明或者补正不得超出投标文件的范围或者改变投标文件的实质性内容。</w:t>
      </w:r>
    </w:p>
    <w:p>
      <w:pPr>
        <w:pStyle w:val="2"/>
        <w:spacing w:line="360" w:lineRule="auto"/>
        <w:ind w:left="954" w:leftChars="226" w:hanging="479" w:firstLineChars="0"/>
        <w:rPr>
          <w:rFonts w:hint="eastAsia" w:cs="宋体"/>
        </w:rPr>
      </w:pPr>
      <w:r>
        <w:rPr>
          <w:rFonts w:hint="eastAsia" w:cs="宋体"/>
          <w:b/>
          <w:kern w:val="0"/>
        </w:rPr>
        <w:t>4.2投标无效。</w:t>
      </w:r>
      <w:r>
        <w:rPr>
          <w:rFonts w:hint="eastAsia" w:cs="宋体"/>
        </w:rPr>
        <w:t>有下列情形之一的，投标无效：</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4.2.1投标供应商不具备招标文件中规定的资格要求的（投标供应商未提供有效的资格文件的，视为投标供应商不具备招标文件中规定的资格要求）；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4.2.3采购人拟采购的产品属于政府强制采购的节能产品品目清单范围的，投标供应商未按招标文件要求提供国家确定的认证机构出具的、处于有效期之内的节能产品认证证书的；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4.2.7</w:t>
      </w:r>
      <w:r>
        <w:rPr>
          <w:rFonts w:hint="eastAsia" w:asciiTheme="minorEastAsia" w:hAnsiTheme="minorEastAsia" w:eastAsiaTheme="minorEastAsia" w:cstheme="minorEastAsia"/>
          <w:kern w:val="0"/>
          <w:sz w:val="24"/>
        </w:rPr>
        <w:t>投标报价超过招标文件中规定的预算金额或者最高限价的；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4.2.9投标供应商对根据修正原则修正后的报价不确认的；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4.2.10投标供应商提供虚假材料投标的；</w:t>
      </w:r>
    </w:p>
    <w:p>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4.2.11投标供应商有恶意串通、妨碍其他投标供应商的竞争行为、损害采购人或者其他投标供应商的合法权益情形的；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4.2.12投标供应商仅提交备份投标文件，未在电子交易平台传输递交投标文件的，投标无效；</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4.2.14《中小企业声明函》填写企业类型错误或者未填写企业类型的，投标无效；</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4.2.16法律、法规、规章（适用本市的）及省级以上规范性文件（适用本市的）规定的其他无效情形。</w:t>
      </w:r>
    </w:p>
    <w:p>
      <w:pPr>
        <w:pStyle w:val="2"/>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hint="eastAsia" w:cs="宋体"/>
        </w:rPr>
      </w:pPr>
      <w:r>
        <w:rPr>
          <w:rFonts w:hint="eastAsia" w:cs="宋体"/>
        </w:rPr>
        <w:t>5.1符合专业条件的供应商或者对招标文件作实质响应的供应商不足3家的；</w:t>
      </w:r>
    </w:p>
    <w:p>
      <w:pPr>
        <w:pStyle w:val="2"/>
        <w:snapToGrid w:val="0"/>
        <w:spacing w:line="360" w:lineRule="auto"/>
        <w:rPr>
          <w:rFonts w:hint="eastAsia" w:cs="宋体"/>
        </w:rPr>
      </w:pPr>
      <w:r>
        <w:rPr>
          <w:rFonts w:hint="eastAsia" w:cs="宋体"/>
        </w:rPr>
        <w:t>5.2出现影响采购公正的违法、违规行为的；</w:t>
      </w:r>
    </w:p>
    <w:p>
      <w:pPr>
        <w:pStyle w:val="2"/>
        <w:snapToGrid w:val="0"/>
        <w:spacing w:line="360" w:lineRule="auto"/>
        <w:rPr>
          <w:rFonts w:hint="eastAsia" w:cs="宋体"/>
        </w:rPr>
      </w:pPr>
      <w:r>
        <w:rPr>
          <w:rFonts w:hint="eastAsia" w:cs="宋体"/>
        </w:rPr>
        <w:t>5.3投标供应商的报价均超过了采购预算，采购人不能支付的；</w:t>
      </w:r>
    </w:p>
    <w:p>
      <w:pPr>
        <w:pStyle w:val="2"/>
        <w:snapToGrid w:val="0"/>
        <w:spacing w:line="360" w:lineRule="auto"/>
        <w:rPr>
          <w:rFonts w:hint="eastAsia" w:cs="宋体"/>
        </w:rPr>
      </w:pPr>
      <w:r>
        <w:rPr>
          <w:rFonts w:hint="eastAsia" w:cs="宋体"/>
        </w:rPr>
        <w:t>5.4因重大变故，采购任务取消的。</w:t>
      </w:r>
    </w:p>
    <w:p>
      <w:pPr>
        <w:pStyle w:val="2"/>
        <w:snapToGrid w:val="0"/>
        <w:spacing w:line="360" w:lineRule="auto"/>
        <w:rPr>
          <w:rFonts w:hint="eastAsia" w:cs="宋体"/>
        </w:rPr>
      </w:pPr>
      <w:r>
        <w:rPr>
          <w:rFonts w:hint="eastAsia" w:cs="宋体"/>
        </w:rPr>
        <w:t>废标后，采购机构应当将废标理由通知所有投标供应商。</w:t>
      </w:r>
    </w:p>
    <w:p>
      <w:pPr>
        <w:pStyle w:val="2"/>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hint="eastAsia" w:cs="宋体"/>
        </w:rPr>
      </w:pPr>
      <w:r>
        <w:rPr>
          <w:rFonts w:hint="eastAsia" w:cs="宋体"/>
        </w:rPr>
        <w:t>7.1未确定中标供应商的，终止本次政府采购活动，重新开展政府采购活动。</w:t>
      </w:r>
    </w:p>
    <w:p>
      <w:pPr>
        <w:pStyle w:val="2"/>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cs="宋体"/>
        </w:rPr>
      </w:pPr>
      <w:r>
        <w:rPr>
          <w:rFonts w:hint="eastAsia" w:cs="宋体"/>
        </w:rPr>
        <w:t>7.4政府采购合同已经履行，给采购人、供应商造成损失的，由责任人承担赔偿责任。</w:t>
      </w:r>
    </w:p>
    <w:p>
      <w:pPr>
        <w:pStyle w:val="2"/>
        <w:snapToGrid w:val="0"/>
        <w:spacing w:line="360"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r>
        <w:rPr>
          <w:rFonts w:hint="eastAsia" w:cs="宋体"/>
          <w:b/>
        </w:rPr>
        <w:t xml:space="preserve">  </w:t>
      </w:r>
      <w:r>
        <w:rPr>
          <w:rFonts w:hint="eastAsia" w:cs="宋体"/>
          <w:b/>
          <w:sz w:val="36"/>
          <w:szCs w:val="36"/>
        </w:rPr>
        <w:br w:type="page"/>
      </w:r>
    </w:p>
    <w:p>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pPr>
        <w:spacing w:line="360" w:lineRule="auto"/>
        <w:ind w:left="-420" w:leftChars="-200" w:right="-420" w:rightChars="-200" w:firstLine="480" w:firstLineChars="200"/>
        <w:jc w:val="center"/>
        <w:outlineLvl w:val="0"/>
        <w:rPr>
          <w:rFonts w:hint="eastAsia" w:ascii="宋体" w:hAnsi="宋体" w:cs="宋体"/>
          <w:sz w:val="24"/>
        </w:rPr>
      </w:pPr>
    </w:p>
    <w:p>
      <w:pPr>
        <w:spacing w:line="480" w:lineRule="auto"/>
        <w:jc w:val="center"/>
        <w:rPr>
          <w:rFonts w:hint="eastAsia" w:ascii="宋体" w:hAnsi="宋体"/>
          <w:b/>
          <w:sz w:val="24"/>
        </w:rPr>
      </w:pPr>
    </w:p>
    <w:p>
      <w:pPr>
        <w:pStyle w:val="24"/>
        <w:jc w:val="center"/>
        <w:rPr>
          <w:rFonts w:hint="eastAsia" w:hAnsi="宋体" w:cs="宋体"/>
          <w:b/>
          <w:bCs/>
          <w:spacing w:val="-20"/>
          <w:kern w:val="44"/>
          <w:sz w:val="48"/>
          <w:szCs w:val="48"/>
        </w:rPr>
      </w:pPr>
      <w:r>
        <w:rPr>
          <w:rFonts w:hint="eastAsia" w:hAnsi="宋体" w:cs="宋体"/>
          <w:b/>
          <w:bCs/>
          <w:spacing w:val="-20"/>
          <w:kern w:val="44"/>
          <w:sz w:val="48"/>
          <w:szCs w:val="48"/>
        </w:rPr>
        <w:t>政府采购货物买卖合同</w:t>
      </w:r>
    </w:p>
    <w:p>
      <w:pPr>
        <w:pStyle w:val="24"/>
        <w:jc w:val="center"/>
        <w:rPr>
          <w:rFonts w:hint="eastAsia" w:hAnsi="宋体" w:cs="宋体"/>
          <w:b/>
          <w:bCs/>
          <w:spacing w:val="-20"/>
          <w:kern w:val="44"/>
          <w:sz w:val="48"/>
          <w:szCs w:val="48"/>
        </w:rPr>
      </w:pPr>
      <w:r>
        <w:rPr>
          <w:rFonts w:hint="eastAsia" w:hAnsi="宋体" w:cs="宋体"/>
          <w:b/>
          <w:bCs/>
          <w:spacing w:val="-20"/>
          <w:kern w:val="44"/>
          <w:sz w:val="48"/>
          <w:szCs w:val="48"/>
        </w:rPr>
        <w:t>（试行）</w:t>
      </w:r>
    </w:p>
    <w:p>
      <w:pPr>
        <w:rPr>
          <w:rFonts w:hint="eastAsia" w:ascii="宋体" w:hAnsi="宋体" w:cs="宋体"/>
          <w:b/>
          <w:bCs/>
          <w:spacing w:val="-20"/>
          <w:kern w:val="44"/>
          <w:sz w:val="40"/>
          <w:szCs w:val="40"/>
        </w:rPr>
      </w:pPr>
    </w:p>
    <w:p>
      <w:pPr>
        <w:rPr>
          <w:rFonts w:hint="eastAsia" w:ascii="宋体" w:hAnsi="宋体" w:cs="宋体"/>
          <w:b/>
          <w:bCs/>
          <w:spacing w:val="-20"/>
          <w:kern w:val="44"/>
          <w:sz w:val="40"/>
          <w:szCs w:val="40"/>
        </w:rPr>
      </w:pPr>
    </w:p>
    <w:p>
      <w:pPr>
        <w:rPr>
          <w:rFonts w:hint="eastAsia" w:ascii="宋体" w:hAnsi="宋体" w:cs="宋体"/>
          <w:b/>
          <w:bCs/>
          <w:spacing w:val="-20"/>
          <w:kern w:val="44"/>
          <w:sz w:val="40"/>
          <w:szCs w:val="40"/>
        </w:rPr>
      </w:pPr>
    </w:p>
    <w:p>
      <w:pPr>
        <w:spacing w:line="48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48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48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48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48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spacing w:line="360" w:lineRule="auto"/>
        <w:jc w:val="center"/>
        <w:rPr>
          <w:rFonts w:hint="eastAsia" w:ascii="宋体" w:hAnsi="宋体" w:cs="宋体"/>
          <w:b/>
          <w:bCs/>
          <w:sz w:val="28"/>
          <w:szCs w:val="28"/>
        </w:rPr>
      </w:pPr>
      <w:r>
        <w:rPr>
          <w:rFonts w:hint="eastAsia" w:ascii="宋体" w:hAnsi="宋体" w:cs="宋体"/>
          <w:b/>
          <w:bCs/>
          <w:sz w:val="28"/>
          <w:szCs w:val="28"/>
        </w:rPr>
        <w:t>使 用 说 明</w:t>
      </w:r>
    </w:p>
    <w:p>
      <w:pPr>
        <w:spacing w:line="360" w:lineRule="auto"/>
        <w:ind w:firstLine="560" w:firstLineChars="200"/>
        <w:rPr>
          <w:rFonts w:hint="eastAsia" w:ascii="宋体" w:hAnsi="宋体" w:cs="宋体"/>
          <w:sz w:val="28"/>
          <w:szCs w:val="28"/>
        </w:rPr>
      </w:pPr>
    </w:p>
    <w:p>
      <w:pPr>
        <w:spacing w:line="360" w:lineRule="auto"/>
        <w:ind w:firstLine="560" w:firstLineChars="200"/>
        <w:rPr>
          <w:rFonts w:hint="eastAsia" w:ascii="宋体" w:hAnsi="宋体" w:cs="宋体"/>
          <w:sz w:val="28"/>
          <w:szCs w:val="28"/>
        </w:rPr>
      </w:pPr>
      <w:r>
        <w:rPr>
          <w:rFonts w:hint="eastAsia" w:ascii="宋体" w:hAnsi="宋体" w:cs="宋体"/>
          <w:sz w:val="28"/>
          <w:szCs w:val="28"/>
        </w:rPr>
        <w:t>1.本合同标准文本适用于购买现成货物的采购项目，不包括需要供应商定制开发、创新研发的货物采购项目。</w:t>
      </w:r>
    </w:p>
    <w:p>
      <w:pPr>
        <w:spacing w:line="360" w:lineRule="auto"/>
        <w:rPr>
          <w:rFonts w:hint="eastAsia" w:ascii="宋体" w:hAnsi="宋体" w:cs="宋体"/>
          <w:sz w:val="28"/>
          <w:szCs w:val="28"/>
        </w:rPr>
      </w:pPr>
      <w:r>
        <w:rPr>
          <w:rFonts w:hint="eastAsia" w:ascii="宋体" w:hAnsi="宋体" w:cs="宋体"/>
          <w:sz w:val="28"/>
          <w:szCs w:val="28"/>
        </w:rPr>
        <w:t xml:space="preserve">   2.本合同标准文本为政府采购货物买卖合同编制提供参考，可以结合采购项目具体情况，对文本作必要的调整修订后使用。</w:t>
      </w:r>
    </w:p>
    <w:p>
      <w:pPr>
        <w:spacing w:line="360" w:lineRule="auto"/>
        <w:ind w:firstLine="560" w:firstLineChars="200"/>
        <w:rPr>
          <w:rFonts w:hint="eastAsia" w:ascii="仿宋_GB2312" w:hAnsi="仿宋_GB2312" w:eastAsia="仿宋_GB2312" w:cs="仿宋_GB2312"/>
          <w:sz w:val="28"/>
          <w:szCs w:val="28"/>
        </w:rPr>
      </w:pPr>
      <w:r>
        <w:rPr>
          <w:rFonts w:hint="eastAsia" w:ascii="宋体" w:hAnsi="宋体" w:cs="宋体"/>
          <w:sz w:val="28"/>
          <w:szCs w:val="28"/>
        </w:rPr>
        <w:t>3.本合同标准文本各条款中，如涉及填写多家供应商、制造商，多种采购标的、分包主要内容等信息的，可根据采购项目具体情况添加信息项。</w:t>
      </w:r>
    </w:p>
    <w:p>
      <w:pPr>
        <w:ind w:firstLine="880" w:firstLineChars="200"/>
        <w:rPr>
          <w:rFonts w:eastAsia="黑体"/>
          <w:sz w:val="44"/>
          <w:szCs w:val="44"/>
        </w:rPr>
        <w:sectPr>
          <w:pgSz w:w="11906" w:h="16838"/>
          <w:pgMar w:top="1417" w:right="1417" w:bottom="1417" w:left="1417" w:header="851" w:footer="992" w:gutter="0"/>
          <w:cols w:space="0" w:num="1"/>
          <w:docGrid w:type="lines" w:linePitch="312" w:charSpace="0"/>
        </w:sectPr>
      </w:pPr>
    </w:p>
    <w:p>
      <w:pPr>
        <w:pStyle w:val="4"/>
        <w:adjustRightInd w:val="0"/>
        <w:snapToGrid w:val="0"/>
        <w:spacing w:line="400" w:lineRule="exact"/>
        <w:jc w:val="center"/>
        <w:rPr>
          <w:rFonts w:hint="eastAsia" w:ascii="黑体" w:hAnsi="黑体" w:eastAsia="黑体"/>
          <w:sz w:val="28"/>
          <w:szCs w:val="28"/>
        </w:rPr>
      </w:pPr>
      <w:bookmarkStart w:id="396" w:name="_Toc22209"/>
    </w:p>
    <w:p>
      <w:pPr>
        <w:pStyle w:val="4"/>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第一节 政府采购合同协议书</w:t>
      </w:r>
      <w:bookmarkEnd w:id="396"/>
    </w:p>
    <w:p>
      <w:pPr>
        <w:pStyle w:val="4"/>
        <w:adjustRightInd w:val="0"/>
        <w:snapToGrid w:val="0"/>
        <w:jc w:val="center"/>
        <w:rPr>
          <w:rFonts w:hint="eastAsia" w:ascii="宋体" w:hAnsi="宋体" w:eastAsia="宋体" w:cs="宋体"/>
          <w:b w:val="0"/>
          <w:bCs w:val="0"/>
          <w:sz w:val="24"/>
          <w:szCs w:val="24"/>
        </w:rPr>
      </w:pPr>
    </w:p>
    <w:p>
      <w:pPr>
        <w:snapToGrid w:val="0"/>
        <w:spacing w:line="360" w:lineRule="auto"/>
        <w:rPr>
          <w:rFonts w:hint="eastAsia" w:ascii="宋体" w:hAnsi="宋体" w:cs="宋体"/>
          <w:sz w:val="24"/>
        </w:rPr>
      </w:pPr>
      <w:r>
        <w:rPr>
          <w:rFonts w:hint="eastAsia" w:ascii="宋体" w:hAnsi="宋体" w:cs="宋体"/>
          <w:sz w:val="24"/>
        </w:rPr>
        <w:t>甲方（全称）：</w:t>
      </w:r>
      <w:r>
        <w:rPr>
          <w:rFonts w:hint="eastAsia" w:ascii="宋体" w:hAnsi="宋体" w:cs="宋体"/>
          <w:sz w:val="24"/>
          <w:u w:val="single"/>
        </w:rPr>
        <w:t xml:space="preserve">                      </w:t>
      </w:r>
      <w:r>
        <w:rPr>
          <w:rFonts w:hint="eastAsia" w:ascii="宋体" w:hAnsi="宋体" w:cs="宋体"/>
          <w:sz w:val="24"/>
        </w:rPr>
        <w:t>（采购人、受采购人委托签订合同的单位或采购文件约定的合同甲方）</w:t>
      </w:r>
    </w:p>
    <w:p>
      <w:pPr>
        <w:snapToGrid w:val="0"/>
        <w:spacing w:line="360" w:lineRule="auto"/>
        <w:rPr>
          <w:rFonts w:hint="eastAsia" w:ascii="宋体" w:hAnsi="宋体" w:cs="宋体"/>
          <w:sz w:val="24"/>
        </w:rPr>
      </w:pPr>
      <w:r>
        <w:rPr>
          <w:rFonts w:hint="eastAsia" w:ascii="宋体" w:hAnsi="宋体" w:cs="宋体"/>
          <w:sz w:val="24"/>
        </w:rPr>
        <w:t>乙方1（全称）：</w:t>
      </w:r>
      <w:r>
        <w:rPr>
          <w:rFonts w:hint="eastAsia" w:ascii="宋体" w:hAnsi="宋体" w:cs="宋体"/>
          <w:sz w:val="24"/>
          <w:u w:val="single"/>
        </w:rPr>
        <w:t xml:space="preserve">                     </w:t>
      </w:r>
      <w:r>
        <w:rPr>
          <w:rFonts w:hint="eastAsia" w:ascii="宋体" w:hAnsi="宋体" w:cs="宋体"/>
          <w:sz w:val="24"/>
        </w:rPr>
        <w:t>（供应商）</w:t>
      </w:r>
    </w:p>
    <w:p>
      <w:pPr>
        <w:snapToGrid w:val="0"/>
        <w:spacing w:line="360" w:lineRule="auto"/>
        <w:rPr>
          <w:rFonts w:hint="eastAsia" w:ascii="宋体" w:hAnsi="宋体" w:cs="宋体"/>
          <w:sz w:val="24"/>
        </w:rPr>
      </w:pPr>
      <w:r>
        <w:rPr>
          <w:rFonts w:hint="eastAsia" w:ascii="宋体" w:hAnsi="宋体" w:cs="宋体"/>
          <w:sz w:val="24"/>
        </w:rPr>
        <w:t>乙方2（全称）：</w:t>
      </w:r>
      <w:r>
        <w:rPr>
          <w:rFonts w:hint="eastAsia" w:ascii="宋体" w:hAnsi="宋体" w:cs="宋体"/>
          <w:sz w:val="24"/>
          <w:u w:val="single"/>
        </w:rPr>
        <w:t xml:space="preserve">                     </w:t>
      </w:r>
      <w:r>
        <w:rPr>
          <w:rFonts w:hint="eastAsia" w:ascii="宋体" w:hAnsi="宋体" w:cs="宋体"/>
          <w:sz w:val="24"/>
        </w:rPr>
        <w:t>（联合体成员供应商或其他合同主体）（如有）</w:t>
      </w:r>
    </w:p>
    <w:p>
      <w:pPr>
        <w:snapToGrid w:val="0"/>
        <w:spacing w:line="360" w:lineRule="auto"/>
        <w:rPr>
          <w:rFonts w:hint="eastAsia" w:ascii="宋体" w:hAnsi="宋体" w:cs="宋体"/>
          <w:sz w:val="24"/>
        </w:rPr>
      </w:pPr>
      <w:r>
        <w:rPr>
          <w:rFonts w:hint="eastAsia" w:ascii="宋体" w:hAnsi="宋体" w:cs="宋体"/>
          <w:sz w:val="24"/>
        </w:rPr>
        <w:t>乙方3（全称）：</w:t>
      </w:r>
      <w:r>
        <w:rPr>
          <w:rFonts w:hint="eastAsia" w:ascii="宋体" w:hAnsi="宋体" w:cs="宋体"/>
          <w:sz w:val="24"/>
          <w:u w:val="single"/>
        </w:rPr>
        <w:t xml:space="preserve">                     </w:t>
      </w:r>
      <w:r>
        <w:rPr>
          <w:rFonts w:hint="eastAsia" w:ascii="宋体" w:hAnsi="宋体" w:cs="宋体"/>
          <w:sz w:val="24"/>
        </w:rPr>
        <w:t>（联合体成员供应商或其他合同主体）（如有）</w:t>
      </w:r>
    </w:p>
    <w:p>
      <w:pPr>
        <w:spacing w:line="360" w:lineRule="auto"/>
        <w:rPr>
          <w:rFonts w:hint="eastAsia" w:ascii="宋体" w:hAnsi="宋体" w:cs="宋体"/>
          <w:sz w:val="24"/>
        </w:rPr>
      </w:pPr>
    </w:p>
    <w:p>
      <w:pPr>
        <w:pStyle w:val="2"/>
        <w:snapToGrid w:val="0"/>
        <w:spacing w:line="360" w:lineRule="auto"/>
        <w:rPr>
          <w:rFonts w:hint="eastAsia" w:cs="宋体"/>
        </w:rPr>
      </w:pPr>
      <w:r>
        <w:rPr>
          <w:rFonts w:hint="eastAsia" w:cs="宋体"/>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5"/>
        </w:numPr>
        <w:snapToGrid w:val="0"/>
        <w:spacing w:line="360" w:lineRule="auto"/>
        <w:ind w:firstLine="482" w:firstLineChars="200"/>
        <w:rPr>
          <w:rFonts w:hint="eastAsia" w:ascii="宋体" w:hAnsi="宋体" w:cs="宋体"/>
          <w:b/>
          <w:sz w:val="24"/>
        </w:rPr>
      </w:pPr>
      <w:r>
        <w:rPr>
          <w:rFonts w:hint="eastAsia" w:ascii="宋体" w:hAnsi="宋体" w:cs="宋体"/>
          <w:b/>
          <w:sz w:val="24"/>
        </w:rPr>
        <w:t>项目信息</w:t>
      </w:r>
    </w:p>
    <w:p>
      <w:pPr>
        <w:pStyle w:val="2"/>
        <w:numPr>
          <w:ilvl w:val="0"/>
          <w:numId w:val="6"/>
        </w:numPr>
        <w:snapToGrid w:val="0"/>
        <w:spacing w:line="360" w:lineRule="auto"/>
        <w:rPr>
          <w:rFonts w:hint="eastAsia" w:cs="宋体"/>
          <w:u w:val="single"/>
        </w:rPr>
      </w:pPr>
      <w:r>
        <w:rPr>
          <w:rFonts w:hint="eastAsia" w:cs="宋体"/>
        </w:rPr>
        <w:t>采购项目名称：</w:t>
      </w:r>
      <w:r>
        <w:rPr>
          <w:rFonts w:hint="eastAsia" w:cs="宋体"/>
          <w:u w:val="single"/>
        </w:rPr>
        <w:t xml:space="preserve"> 杭州第九中学树范学校计算机网络及网络安全系统采购项目 </w:t>
      </w:r>
    </w:p>
    <w:p>
      <w:pPr>
        <w:pStyle w:val="2"/>
        <w:numPr>
          <w:ilvl w:val="255"/>
          <w:numId w:val="0"/>
        </w:numPr>
        <w:tabs>
          <w:tab w:val="left" w:pos="999"/>
        </w:tabs>
        <w:snapToGrid w:val="0"/>
        <w:spacing w:line="360" w:lineRule="auto"/>
        <w:rPr>
          <w:rFonts w:hint="eastAsia" w:cs="宋体"/>
        </w:rPr>
      </w:pPr>
      <w:r>
        <w:rPr>
          <w:rFonts w:hint="eastAsia" w:cs="宋体"/>
        </w:rPr>
        <w:t xml:space="preserve">         采购项目编号：</w:t>
      </w:r>
      <w:r>
        <w:rPr>
          <w:rFonts w:hint="eastAsia" w:cs="宋体"/>
          <w:u w:val="single"/>
        </w:rPr>
        <w:t xml:space="preserve"> ZYZB-GK-2025-004  </w:t>
      </w:r>
    </w:p>
    <w:p>
      <w:pPr>
        <w:pStyle w:val="2"/>
        <w:snapToGrid w:val="0"/>
        <w:spacing w:line="360" w:lineRule="auto"/>
        <w:rPr>
          <w:rFonts w:hint="eastAsia" w:cs="宋体"/>
        </w:rPr>
      </w:pPr>
      <w:r>
        <w:rPr>
          <w:rFonts w:hint="eastAsia" w:cs="宋体"/>
        </w:rPr>
        <w:t>（2）采购计划编号：</w:t>
      </w:r>
      <w:r>
        <w:rPr>
          <w:rFonts w:hint="eastAsia" w:cs="宋体"/>
          <w:u w:val="single"/>
        </w:rPr>
        <w:t xml:space="preserve">           </w:t>
      </w:r>
    </w:p>
    <w:p>
      <w:pPr>
        <w:snapToGrid w:val="0"/>
        <w:spacing w:line="360" w:lineRule="auto"/>
        <w:ind w:firstLine="480" w:firstLineChars="200"/>
        <w:rPr>
          <w:rFonts w:hint="eastAsia" w:ascii="宋体" w:hAnsi="宋体" w:cs="宋体"/>
          <w:sz w:val="24"/>
        </w:rPr>
      </w:pPr>
      <w:r>
        <w:rPr>
          <w:rFonts w:hint="eastAsia" w:ascii="宋体" w:hAnsi="宋体" w:cs="宋体"/>
          <w:sz w:val="24"/>
        </w:rPr>
        <w:t>（3）项目内容：</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     采购标的及数量（台/套</w:t>
      </w:r>
      <w:r>
        <w:rPr>
          <w:rFonts w:hint="eastAsia" w:ascii="宋体" w:hAnsi="宋体" w:cs="宋体"/>
          <w:sz w:val="24"/>
          <w:lang w:val="en"/>
        </w:rPr>
        <w:t>/个/架/组等</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w:t>
      </w:r>
    </w:p>
    <w:p>
      <w:pPr>
        <w:numPr>
          <w:ilvl w:val="255"/>
          <w:numId w:val="0"/>
        </w:numPr>
        <w:snapToGrid w:val="0"/>
        <w:spacing w:line="360" w:lineRule="auto"/>
        <w:ind w:firstLine="480" w:firstLineChars="200"/>
        <w:rPr>
          <w:rFonts w:hint="eastAsia" w:ascii="宋体" w:hAnsi="宋体" w:cs="宋体"/>
          <w:sz w:val="24"/>
          <w:lang w:val="en"/>
        </w:rPr>
      </w:pPr>
      <w:r>
        <w:rPr>
          <w:rFonts w:hint="eastAsia" w:ascii="宋体" w:hAnsi="宋体" w:cs="宋体"/>
          <w:sz w:val="24"/>
        </w:rPr>
        <w:t xml:space="preserve">     品牌：</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lang w:val="en"/>
        </w:rPr>
        <w:t xml:space="preserve">     </w:t>
      </w:r>
      <w:r>
        <w:rPr>
          <w:rFonts w:hint="eastAsia" w:ascii="宋体" w:hAnsi="宋体" w:cs="宋体"/>
          <w:sz w:val="24"/>
        </w:rPr>
        <w:t>规格型号：</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u w:val="single"/>
          <w:lang w:val="en"/>
        </w:rPr>
        <w:t xml:space="preserve">   </w:t>
      </w:r>
    </w:p>
    <w:p>
      <w:pPr>
        <w:snapToGrid w:val="0"/>
        <w:spacing w:line="360" w:lineRule="auto"/>
        <w:ind w:firstLine="1080" w:firstLineChars="450"/>
        <w:rPr>
          <w:rFonts w:hint="eastAsia" w:ascii="宋体" w:hAnsi="宋体" w:cs="宋体"/>
          <w:sz w:val="24"/>
          <w:u w:val="single"/>
        </w:rPr>
      </w:pPr>
      <w:r>
        <w:rPr>
          <w:rFonts w:hint="eastAsia" w:ascii="宋体" w:hAnsi="宋体" w:cs="宋体"/>
          <w:sz w:val="24"/>
        </w:rPr>
        <w:t>采购标的的技术要求、商务要求具体见附件。</w:t>
      </w:r>
    </w:p>
    <w:p>
      <w:pPr>
        <w:numPr>
          <w:ilvl w:val="255"/>
          <w:numId w:val="0"/>
        </w:numPr>
        <w:snapToGrid w:val="0"/>
        <w:spacing w:line="360" w:lineRule="auto"/>
        <w:ind w:firstLine="1080" w:firstLineChars="450"/>
        <w:rPr>
          <w:rFonts w:hint="eastAsia" w:ascii="宋体" w:hAnsi="宋体" w:cs="宋体"/>
          <w:sz w:val="24"/>
        </w:rPr>
      </w:pPr>
      <w:r>
        <w:rPr>
          <w:rFonts w:hint="eastAsia" w:ascii="宋体" w:hAnsi="宋体" w:cs="宋体"/>
          <w:sz w:val="24"/>
        </w:rPr>
        <w:t>①涉及信息类产品，请填写该产品关键部件的品牌、型号：</w:t>
      </w:r>
    </w:p>
    <w:p>
      <w:pPr>
        <w:numPr>
          <w:ilvl w:val="255"/>
          <w:numId w:val="0"/>
        </w:numPr>
        <w:snapToGrid w:val="0"/>
        <w:spacing w:line="360" w:lineRule="auto"/>
        <w:ind w:firstLine="480" w:firstLineChars="200"/>
        <w:rPr>
          <w:rFonts w:hint="eastAsia" w:ascii="宋体" w:hAnsi="宋体" w:cs="宋体"/>
          <w:kern w:val="0"/>
          <w:sz w:val="24"/>
          <w:u w:val="single"/>
        </w:rPr>
      </w:pPr>
      <w:r>
        <w:rPr>
          <w:rFonts w:hint="eastAsia" w:ascii="宋体" w:hAnsi="宋体" w:cs="宋体"/>
          <w:sz w:val="24"/>
        </w:rPr>
        <w:t xml:space="preserve">     标的名称：</w:t>
      </w:r>
      <w:r>
        <w:rPr>
          <w:rFonts w:hint="eastAsia" w:ascii="宋体" w:hAnsi="宋体" w:cs="宋体"/>
          <w:kern w:val="0"/>
          <w:sz w:val="24"/>
          <w:u w:val="single"/>
        </w:rPr>
        <w:t xml:space="preserve">      </w:t>
      </w:r>
      <w:r>
        <w:rPr>
          <w:rFonts w:hint="eastAsia" w:ascii="宋体" w:hAnsi="宋体" w:cs="宋体"/>
          <w:kern w:val="0"/>
          <w:sz w:val="24"/>
          <w:u w:val="single"/>
          <w:lang w:val="en"/>
        </w:rPr>
        <w:t xml:space="preserve">               </w:t>
      </w:r>
      <w:r>
        <w:rPr>
          <w:rFonts w:hint="eastAsia" w:ascii="宋体" w:hAnsi="宋体" w:cs="宋体"/>
          <w:kern w:val="0"/>
          <w:sz w:val="24"/>
          <w:u w:val="single"/>
        </w:rPr>
        <w:t xml:space="preserve">    </w:t>
      </w:r>
    </w:p>
    <w:p>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 xml:space="preserve">     关键部件：</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sz w:val="24"/>
        </w:rPr>
        <w:t>品牌：</w:t>
      </w:r>
      <w:r>
        <w:rPr>
          <w:rFonts w:hint="eastAsia" w:ascii="宋体" w:hAnsi="宋体" w:cs="宋体"/>
          <w:sz w:val="24"/>
          <w:u w:val="single"/>
        </w:rPr>
        <w:t xml:space="preserve">        </w:t>
      </w:r>
      <w:r>
        <w:rPr>
          <w:rFonts w:hint="eastAsia" w:ascii="宋体" w:hAnsi="宋体" w:cs="宋体"/>
          <w:sz w:val="24"/>
        </w:rPr>
        <w:t xml:space="preserve"> 型号：</w:t>
      </w:r>
      <w:r>
        <w:rPr>
          <w:rFonts w:hint="eastAsia" w:ascii="宋体" w:hAnsi="宋体" w:cs="宋体"/>
          <w:sz w:val="24"/>
          <w:u w:val="single"/>
        </w:rPr>
        <w:t xml:space="preserve">       </w:t>
      </w:r>
      <w:r>
        <w:rPr>
          <w:rFonts w:hint="eastAsia" w:ascii="宋体" w:hAnsi="宋体" w:cs="宋体"/>
          <w:sz w:val="24"/>
        </w:rPr>
        <w:t xml:space="preserve"> </w:t>
      </w:r>
    </w:p>
    <w:p>
      <w:pPr>
        <w:pStyle w:val="79"/>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关键部件</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79"/>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p>
    <w:p>
      <w:pPr>
        <w:pStyle w:val="79"/>
        <w:numPr>
          <w:ilvl w:val="255"/>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（注：关键部件是指财政部会同有关部门发布的政府采购需求标准规定的需要通过国家有关部门指定的测评机构开展的安全可靠测评的软硬件，如CPU芯片、操作系统、数据库等。）</w:t>
      </w:r>
    </w:p>
    <w:p>
      <w:pPr>
        <w:pStyle w:val="79"/>
        <w:numPr>
          <w:ilvl w:val="255"/>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4</w:t>
      </w:r>
      <w:r>
        <w:rPr>
          <w:rFonts w:hint="eastAsia" w:ascii="宋体" w:hAnsi="宋体" w:eastAsia="宋体" w:cs="宋体"/>
          <w:sz w:val="24"/>
          <w:szCs w:val="24"/>
        </w:rPr>
        <w:t>）政府采购组织形式：</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政府集中采购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部门集中采购  </w:t>
      </w:r>
      <w:r>
        <w:rPr>
          <w:rFonts w:hint="eastAsia" w:ascii="宋体" w:hAnsi="宋体" w:eastAsia="宋体" w:cs="宋体"/>
          <w:sz w:val="24"/>
          <w:szCs w:val="24"/>
        </w:rPr>
        <w:sym w:font="Wingdings" w:char="00FE"/>
      </w:r>
      <w:r>
        <w:rPr>
          <w:rFonts w:hint="eastAsia" w:ascii="宋体" w:hAnsi="宋体" w:eastAsia="宋体" w:cs="宋体"/>
          <w:sz w:val="24"/>
          <w:szCs w:val="24"/>
        </w:rPr>
        <w:t>分散采购</w:t>
      </w:r>
    </w:p>
    <w:p>
      <w:pPr>
        <w:pStyle w:val="79"/>
        <w:numPr>
          <w:ilvl w:val="255"/>
          <w:numId w:val="0"/>
        </w:numPr>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5</w:t>
      </w:r>
      <w:r>
        <w:rPr>
          <w:rFonts w:hint="eastAsia" w:ascii="宋体" w:hAnsi="宋体" w:eastAsia="宋体" w:cs="宋体"/>
          <w:sz w:val="24"/>
          <w:szCs w:val="24"/>
        </w:rPr>
        <w:t>）政府采购方式：</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公开招标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邀请招标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竞争性谈判 </w:t>
      </w:r>
      <w:r>
        <w:rPr>
          <w:rFonts w:hint="eastAsia" w:ascii="宋体" w:hAnsi="宋体" w:eastAsia="宋体" w:cs="宋体"/>
          <w:sz w:val="24"/>
          <w:szCs w:val="24"/>
        </w:rPr>
        <w:sym w:font="Wingdings" w:char="00A8"/>
      </w:r>
      <w:r>
        <w:rPr>
          <w:rFonts w:hint="eastAsia" w:ascii="宋体" w:hAnsi="宋体" w:eastAsia="宋体" w:cs="宋体"/>
          <w:sz w:val="24"/>
          <w:szCs w:val="24"/>
        </w:rPr>
        <w:t>竞争性磋商</w:t>
      </w:r>
    </w:p>
    <w:p>
      <w:pPr>
        <w:pStyle w:val="79"/>
        <w:numPr>
          <w:ilvl w:val="255"/>
          <w:numId w:val="0"/>
        </w:numPr>
        <w:snapToGrid w:val="0"/>
        <w:spacing w:line="360" w:lineRule="auto"/>
        <w:ind w:firstLine="42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询价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单一来源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框架协议 </w:t>
      </w:r>
      <w:r>
        <w:rPr>
          <w:rFonts w:hint="eastAsia" w:ascii="宋体" w:hAnsi="宋体" w:eastAsia="宋体" w:cs="宋体"/>
          <w:sz w:val="24"/>
          <w:szCs w:val="24"/>
        </w:rPr>
        <w:sym w:font="Wingdings" w:char="00A8"/>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p>
      <w:pPr>
        <w:pStyle w:val="79"/>
        <w:numPr>
          <w:ilvl w:val="255"/>
          <w:numId w:val="0"/>
        </w:numPr>
        <w:snapToGrid w:val="0"/>
        <w:spacing w:line="360" w:lineRule="auto"/>
        <w:ind w:firstLine="240" w:firstLineChars="100"/>
        <w:rPr>
          <w:rFonts w:hint="eastAsia"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6</w:t>
      </w:r>
      <w:r>
        <w:rPr>
          <w:rFonts w:hint="eastAsia" w:ascii="宋体" w:hAnsi="宋体" w:eastAsia="宋体" w:cs="宋体"/>
          <w:sz w:val="24"/>
          <w:szCs w:val="24"/>
        </w:rPr>
        <w:t>）</w:t>
      </w:r>
      <w:r>
        <w:rPr>
          <w:rFonts w:hint="eastAsia" w:ascii="宋体" w:hAnsi="宋体" w:eastAsia="宋体" w:cs="宋体"/>
          <w:kern w:val="2"/>
          <w:sz w:val="24"/>
          <w:szCs w:val="24"/>
        </w:rPr>
        <w:t>中标（成交）采购标的制造商是否为中小企业：</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 xml:space="preserve">是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pPr>
        <w:numPr>
          <w:ilvl w:val="255"/>
          <w:numId w:val="0"/>
        </w:numPr>
        <w:snapToGrid w:val="0"/>
        <w:spacing w:line="360" w:lineRule="auto"/>
        <w:rPr>
          <w:rFonts w:hint="eastAsia" w:ascii="宋体" w:hAnsi="宋体" w:cs="宋体"/>
          <w:iCs/>
          <w:sz w:val="24"/>
        </w:rPr>
      </w:pPr>
      <w:r>
        <w:rPr>
          <w:rFonts w:hint="eastAsia" w:ascii="宋体" w:hAnsi="宋体" w:cs="宋体"/>
          <w:sz w:val="24"/>
        </w:rPr>
        <w:t xml:space="preserve">      本合同是否为专门面向中小企业的采购合同（中小企业预留合同）：</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pPr>
        <w:numPr>
          <w:ilvl w:val="255"/>
          <w:numId w:val="0"/>
        </w:numPr>
        <w:snapToGrid w:val="0"/>
        <w:spacing w:line="360" w:lineRule="auto"/>
        <w:rPr>
          <w:rFonts w:hint="eastAsia" w:ascii="宋体" w:hAnsi="宋体" w:cs="宋体"/>
          <w:iCs/>
          <w:sz w:val="24"/>
        </w:rPr>
      </w:pPr>
      <w:r>
        <w:rPr>
          <w:rFonts w:hint="eastAsia" w:ascii="宋体" w:hAnsi="宋体" w:cs="宋体"/>
          <w:sz w:val="24"/>
        </w:rPr>
        <w:t xml:space="preserve">      若本项目不专门面向中小企业采购，是否给予小微企业评审优惠：</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pPr>
        <w:numPr>
          <w:ilvl w:val="255"/>
          <w:numId w:val="0"/>
        </w:numPr>
        <w:snapToGrid w:val="0"/>
        <w:spacing w:line="360" w:lineRule="auto"/>
        <w:rPr>
          <w:rFonts w:hint="eastAsia" w:ascii="宋体" w:hAnsi="宋体" w:cs="宋体"/>
          <w:iCs/>
          <w:sz w:val="24"/>
        </w:rPr>
      </w:pPr>
      <w:r>
        <w:rPr>
          <w:rFonts w:hint="eastAsia" w:ascii="宋体" w:hAnsi="宋体" w:cs="宋体"/>
          <w:sz w:val="24"/>
        </w:rPr>
        <w:t xml:space="preserve">      中标（成交）采购标的制造商是否为残疾人福利性单位：</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pPr>
        <w:snapToGrid w:val="0"/>
        <w:spacing w:line="360" w:lineRule="auto"/>
        <w:rPr>
          <w:rFonts w:hint="eastAsia" w:ascii="宋体" w:hAnsi="宋体" w:cs="宋体"/>
          <w:sz w:val="24"/>
        </w:rPr>
      </w:pPr>
      <w:r>
        <w:rPr>
          <w:rFonts w:hint="eastAsia" w:ascii="宋体" w:hAnsi="宋体" w:cs="宋体"/>
          <w:sz w:val="24"/>
        </w:rPr>
        <w:t xml:space="preserve">      中标（成交）采购标的制造商是否为监狱企业：</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
        </w:rPr>
        <w:t>7</w:t>
      </w:r>
      <w:r>
        <w:rPr>
          <w:rFonts w:hint="eastAsia" w:ascii="宋体" w:hAnsi="宋体" w:cs="宋体"/>
          <w:sz w:val="24"/>
        </w:rPr>
        <w:t>）合同是否分包：</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pPr>
        <w:snapToGrid w:val="0"/>
        <w:spacing w:line="360" w:lineRule="auto"/>
        <w:ind w:firstLine="960" w:firstLineChars="400"/>
        <w:rPr>
          <w:rFonts w:hint="eastAsia" w:ascii="宋体" w:hAnsi="宋体" w:cs="宋体"/>
          <w:sz w:val="24"/>
          <w:u w:val="single"/>
        </w:rPr>
      </w:pPr>
      <w:r>
        <w:rPr>
          <w:rFonts w:hint="eastAsia" w:ascii="宋体" w:hAnsi="宋体" w:cs="宋体"/>
          <w:sz w:val="24"/>
        </w:rPr>
        <w:t xml:space="preserve"> 分包主要内容：</w:t>
      </w:r>
      <w:r>
        <w:rPr>
          <w:rFonts w:hint="eastAsia" w:ascii="宋体" w:hAnsi="宋体" w:cs="宋体"/>
          <w:sz w:val="24"/>
          <w:u w:val="single"/>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 xml:space="preserve"> 分包供应商/制造商名称（如供应商和制造商不同，请分别填写）：</w:t>
      </w:r>
    </w:p>
    <w:p>
      <w:pPr>
        <w:snapToGrid w:val="0"/>
        <w:spacing w:line="360" w:lineRule="auto"/>
        <w:ind w:firstLine="960" w:firstLineChars="400"/>
        <w:rPr>
          <w:rFonts w:hint="eastAsia" w:ascii="宋体" w:hAnsi="宋体" w:cs="宋体"/>
          <w:sz w:val="24"/>
          <w:u w:val="single"/>
        </w:rPr>
      </w:pPr>
      <w:r>
        <w:rPr>
          <w:rFonts w:hint="eastAsia" w:ascii="宋体" w:hAnsi="宋体" w:cs="宋体"/>
          <w:sz w:val="24"/>
        </w:rPr>
        <w:t xml:space="preserve"> </w:t>
      </w:r>
      <w:r>
        <w:rPr>
          <w:rFonts w:hint="eastAsia" w:ascii="宋体" w:hAnsi="宋体" w:cs="宋体"/>
          <w:sz w:val="24"/>
          <w:u w:val="single"/>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 xml:space="preserve"> 分包供应商/制造商类型（如果供应商和制造商不同，只填写制造商类型）：</w:t>
      </w:r>
    </w:p>
    <w:p>
      <w:pPr>
        <w:snapToGrid w:val="0"/>
        <w:spacing w:line="360" w:lineRule="auto"/>
        <w:ind w:firstLine="960" w:firstLineChars="400"/>
        <w:rPr>
          <w:rFonts w:hint="eastAsia" w:ascii="宋体" w:hAnsi="宋体" w:cs="宋体"/>
          <w:iCs/>
          <w:sz w:val="24"/>
        </w:rPr>
      </w:pPr>
      <w:r>
        <w:rPr>
          <w:rFonts w:hint="eastAsia" w:ascii="宋体" w:hAnsi="宋体" w:cs="宋体"/>
          <w:iCs/>
          <w:sz w:val="24"/>
        </w:rPr>
        <w:t xml:space="preserve"> </w:t>
      </w:r>
      <w:r>
        <w:rPr>
          <w:rFonts w:hint="eastAsia" w:ascii="宋体" w:hAnsi="宋体" w:cs="宋体"/>
          <w:iCs/>
          <w:sz w:val="24"/>
        </w:rPr>
        <w:sym w:font="Wingdings" w:char="00A8"/>
      </w:r>
      <w:r>
        <w:rPr>
          <w:rFonts w:hint="eastAsia" w:ascii="宋体" w:hAnsi="宋体" w:cs="宋体"/>
          <w:iCs/>
          <w:sz w:val="24"/>
        </w:rPr>
        <w:t xml:space="preserve">大型企业  </w:t>
      </w:r>
      <w:r>
        <w:rPr>
          <w:rFonts w:hint="eastAsia" w:ascii="宋体" w:hAnsi="宋体" w:cs="宋体"/>
          <w:iCs/>
          <w:sz w:val="24"/>
        </w:rPr>
        <w:sym w:font="Wingdings" w:char="00A8"/>
      </w:r>
      <w:r>
        <w:rPr>
          <w:rFonts w:hint="eastAsia" w:ascii="宋体" w:hAnsi="宋体" w:cs="宋体"/>
          <w:iCs/>
          <w:sz w:val="24"/>
        </w:rPr>
        <w:t xml:space="preserve">中型企业  </w:t>
      </w:r>
      <w:r>
        <w:rPr>
          <w:rFonts w:hint="eastAsia" w:ascii="宋体" w:hAnsi="宋体" w:cs="宋体"/>
          <w:iCs/>
          <w:sz w:val="24"/>
        </w:rPr>
        <w:sym w:font="Wingdings" w:char="00A8"/>
      </w:r>
      <w:r>
        <w:rPr>
          <w:rFonts w:hint="eastAsia" w:ascii="宋体" w:hAnsi="宋体" w:cs="宋体"/>
          <w:iCs/>
          <w:sz w:val="24"/>
        </w:rPr>
        <w:t xml:space="preserve">小微型企业  </w:t>
      </w:r>
    </w:p>
    <w:p>
      <w:pPr>
        <w:snapToGrid w:val="0"/>
        <w:spacing w:line="360" w:lineRule="auto"/>
        <w:ind w:firstLine="960" w:firstLineChars="400"/>
        <w:rPr>
          <w:rFonts w:hint="eastAsia" w:ascii="宋体" w:hAnsi="宋体" w:cs="宋体"/>
          <w:sz w:val="24"/>
        </w:rPr>
      </w:pPr>
      <w:r>
        <w:rPr>
          <w:rFonts w:hint="eastAsia" w:ascii="宋体" w:hAnsi="宋体" w:cs="宋体"/>
          <w:iCs/>
          <w:sz w:val="24"/>
        </w:rPr>
        <w:t xml:space="preserve"> </w:t>
      </w:r>
      <w:r>
        <w:rPr>
          <w:rFonts w:hint="eastAsia" w:ascii="宋体" w:hAnsi="宋体" w:cs="宋体"/>
          <w:iCs/>
          <w:sz w:val="24"/>
        </w:rPr>
        <w:sym w:font="Wingdings" w:char="00A8"/>
      </w:r>
      <w:r>
        <w:rPr>
          <w:rFonts w:hint="eastAsia" w:ascii="宋体" w:hAnsi="宋体" w:cs="宋体"/>
          <w:iCs/>
          <w:sz w:val="24"/>
        </w:rPr>
        <w:t xml:space="preserve">残疾人福利性单位 </w:t>
      </w:r>
      <w:r>
        <w:rPr>
          <w:rFonts w:hint="eastAsia" w:ascii="宋体" w:hAnsi="宋体" w:cs="宋体"/>
          <w:iCs/>
          <w:sz w:val="24"/>
        </w:rPr>
        <w:sym w:font="Wingdings" w:char="00A8"/>
      </w:r>
      <w:r>
        <w:rPr>
          <w:rFonts w:hint="eastAsia" w:ascii="宋体" w:hAnsi="宋体" w:cs="宋体"/>
          <w:iCs/>
          <w:sz w:val="24"/>
        </w:rPr>
        <w:t xml:space="preserve">监狱企业 </w:t>
      </w:r>
      <w:r>
        <w:rPr>
          <w:rFonts w:hint="eastAsia" w:ascii="宋体" w:hAnsi="宋体" w:cs="宋体"/>
          <w:iCs/>
          <w:sz w:val="24"/>
        </w:rPr>
        <w:sym w:font="Wingdings" w:char="00A8"/>
      </w:r>
      <w:r>
        <w:rPr>
          <w:rFonts w:hint="eastAsia" w:ascii="宋体" w:hAnsi="宋体" w:cs="宋体"/>
          <w:iCs/>
          <w:sz w:val="24"/>
        </w:rPr>
        <w:t>其他</w:t>
      </w:r>
    </w:p>
    <w:p>
      <w:pPr>
        <w:numPr>
          <w:ilvl w:val="255"/>
          <w:numId w:val="0"/>
        </w:numPr>
        <w:snapToGrid w:val="0"/>
        <w:spacing w:line="360" w:lineRule="auto"/>
        <w:rPr>
          <w:rFonts w:hint="eastAsia" w:ascii="宋体" w:hAnsi="宋体" w:cs="宋体"/>
          <w:iCs/>
          <w:sz w:val="24"/>
        </w:rPr>
      </w:pPr>
      <w:r>
        <w:rPr>
          <w:rFonts w:hint="eastAsia" w:ascii="宋体" w:hAnsi="宋体" w:cs="宋体"/>
          <w:sz w:val="24"/>
        </w:rPr>
        <w:t xml:space="preserve">    （</w:t>
      </w:r>
      <w:r>
        <w:rPr>
          <w:rFonts w:hint="eastAsia" w:ascii="宋体" w:hAnsi="宋体" w:cs="宋体"/>
          <w:sz w:val="24"/>
          <w:lang w:val="en"/>
        </w:rPr>
        <w:t>8</w:t>
      </w:r>
      <w:r>
        <w:rPr>
          <w:rFonts w:hint="eastAsia" w:ascii="宋体" w:hAnsi="宋体" w:cs="宋体"/>
          <w:sz w:val="24"/>
        </w:rPr>
        <w:t>）中标（成交）供应商是否为外商投资企业：</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pPr>
        <w:pStyle w:val="79"/>
        <w:tabs>
          <w:tab w:val="left" w:pos="1340"/>
        </w:tabs>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 xml:space="preserve">     外商投资企业类型：</w:t>
      </w:r>
      <w:r>
        <w:rPr>
          <w:rFonts w:hint="eastAsia" w:ascii="宋体" w:hAnsi="宋体" w:eastAsia="宋体" w:cs="宋体"/>
          <w:iCs/>
          <w:sz w:val="24"/>
          <w:szCs w:val="24"/>
        </w:rPr>
        <w:sym w:font="Wingdings" w:char="00A8"/>
      </w:r>
      <w:r>
        <w:rPr>
          <w:rFonts w:hint="eastAsia" w:ascii="宋体" w:hAnsi="宋体" w:eastAsia="宋体" w:cs="宋体"/>
          <w:sz w:val="24"/>
          <w:szCs w:val="24"/>
        </w:rPr>
        <w:t xml:space="preserve">全部由外国投资者投资  </w:t>
      </w:r>
      <w:r>
        <w:rPr>
          <w:rFonts w:hint="eastAsia" w:ascii="宋体" w:hAnsi="宋体" w:eastAsia="宋体" w:cs="宋体"/>
          <w:iCs/>
          <w:sz w:val="24"/>
          <w:szCs w:val="24"/>
        </w:rPr>
        <w:sym w:font="Wingdings" w:char="00A8"/>
      </w:r>
      <w:r>
        <w:rPr>
          <w:rFonts w:hint="eastAsia" w:ascii="宋体" w:hAnsi="宋体" w:eastAsia="宋体" w:cs="宋体"/>
          <w:iCs/>
          <w:sz w:val="24"/>
          <w:szCs w:val="24"/>
        </w:rPr>
        <w:t>部分由外国投资者投资</w:t>
      </w:r>
    </w:p>
    <w:p>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
        </w:rPr>
        <w:t>9</w:t>
      </w:r>
      <w:r>
        <w:rPr>
          <w:rFonts w:hint="eastAsia" w:ascii="宋体" w:hAnsi="宋体" w:cs="宋体"/>
          <w:sz w:val="24"/>
        </w:rPr>
        <w:t>）是否涉及进口产品：</w:t>
      </w:r>
    </w:p>
    <w:p>
      <w:pPr>
        <w:numPr>
          <w:ilvl w:val="255"/>
          <w:numId w:val="0"/>
        </w:numPr>
        <w:snapToGrid w:val="0"/>
        <w:spacing w:line="360" w:lineRule="auto"/>
        <w:ind w:firstLine="960" w:firstLineChars="400"/>
        <w:rPr>
          <w:rFonts w:hint="eastAsia" w:ascii="宋体" w:hAnsi="宋体" w:cs="宋体"/>
          <w:sz w:val="24"/>
          <w:u w:val="single"/>
        </w:rPr>
      </w:pP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是，《政府采购品目分类目录》底级品目名称：</w:t>
      </w:r>
      <w:r>
        <w:rPr>
          <w:rFonts w:hint="eastAsia" w:ascii="宋体" w:hAnsi="宋体" w:cs="宋体"/>
          <w:sz w:val="24"/>
          <w:u w:val="single"/>
        </w:rPr>
        <w:t xml:space="preserve">         </w:t>
      </w:r>
      <w:r>
        <w:rPr>
          <w:rFonts w:hint="eastAsia" w:ascii="宋体" w:hAnsi="宋体" w:cs="宋体"/>
          <w:sz w:val="24"/>
        </w:rPr>
        <w:t xml:space="preserve"> 金额：</w:t>
      </w:r>
      <w:r>
        <w:rPr>
          <w:rFonts w:hint="eastAsia" w:ascii="宋体" w:hAnsi="宋体" w:cs="宋体"/>
          <w:sz w:val="24"/>
          <w:u w:val="single"/>
        </w:rPr>
        <w:t xml:space="preserve">        </w:t>
      </w:r>
    </w:p>
    <w:p>
      <w:pPr>
        <w:numPr>
          <w:ilvl w:val="255"/>
          <w:numId w:val="0"/>
        </w:numPr>
        <w:snapToGrid w:val="0"/>
        <w:spacing w:line="360" w:lineRule="auto"/>
        <w:ind w:firstLine="960" w:firstLineChars="400"/>
        <w:rPr>
          <w:rFonts w:hint="eastAsia" w:ascii="宋体" w:hAnsi="宋体" w:cs="宋体"/>
          <w:sz w:val="24"/>
        </w:rPr>
      </w:pPr>
      <w:r>
        <w:rPr>
          <w:rFonts w:hint="eastAsia" w:ascii="宋体" w:hAnsi="宋体" w:cs="宋体"/>
          <w:sz w:val="24"/>
        </w:rPr>
        <w:t xml:space="preserve">        国别：</w:t>
      </w:r>
      <w:r>
        <w:rPr>
          <w:rFonts w:hint="eastAsia" w:ascii="宋体" w:hAnsi="宋体" w:cs="宋体"/>
          <w:sz w:val="24"/>
          <w:u w:val="single"/>
        </w:rPr>
        <w:t xml:space="preserve">        </w:t>
      </w:r>
      <w:r>
        <w:rPr>
          <w:rFonts w:hint="eastAsia" w:ascii="宋体" w:hAnsi="宋体" w:cs="宋体"/>
          <w:sz w:val="24"/>
        </w:rPr>
        <w:t xml:space="preserve"> 品牌：</w:t>
      </w:r>
      <w:r>
        <w:rPr>
          <w:rFonts w:hint="eastAsia" w:ascii="宋体" w:hAnsi="宋体" w:cs="宋体"/>
          <w:sz w:val="24"/>
          <w:u w:val="single"/>
        </w:rPr>
        <w:t xml:space="preserve">        </w:t>
      </w:r>
      <w:r>
        <w:rPr>
          <w:rFonts w:hint="eastAsia" w:ascii="宋体" w:hAnsi="宋体" w:cs="宋体"/>
          <w:sz w:val="24"/>
        </w:rPr>
        <w:t xml:space="preserve"> 规格型号：</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 xml:space="preserve"> </w:t>
      </w:r>
      <w:r>
        <w:rPr>
          <w:rFonts w:hint="eastAsia" w:ascii="宋体" w:hAnsi="宋体" w:cs="宋体"/>
          <w:sz w:val="24"/>
        </w:rPr>
        <w:sym w:font="Wingdings" w:char="00FE"/>
      </w:r>
      <w:r>
        <w:rPr>
          <w:rFonts w:hint="eastAsia" w:ascii="宋体" w:hAnsi="宋体" w:cs="宋体"/>
          <w:sz w:val="24"/>
        </w:rPr>
        <w:t>否</w:t>
      </w:r>
    </w:p>
    <w:p>
      <w:pPr>
        <w:numPr>
          <w:ilvl w:val="255"/>
          <w:numId w:val="0"/>
        </w:numPr>
        <w:tabs>
          <w:tab w:val="left" w:pos="740"/>
        </w:tabs>
        <w:snapToGrid w:val="0"/>
        <w:spacing w:line="360" w:lineRule="auto"/>
        <w:rPr>
          <w:rFonts w:hint="eastAsia" w:ascii="宋体" w:hAnsi="宋体" w:cs="宋体"/>
          <w:sz w:val="24"/>
        </w:rPr>
      </w:pPr>
      <w:r>
        <w:rPr>
          <w:rFonts w:hint="eastAsia" w:ascii="宋体" w:hAnsi="宋体" w:cs="宋体"/>
          <w:sz w:val="24"/>
        </w:rPr>
        <w:t xml:space="preserve">    （1</w:t>
      </w:r>
      <w:r>
        <w:rPr>
          <w:rFonts w:hint="eastAsia" w:ascii="宋体" w:hAnsi="宋体" w:cs="宋体"/>
          <w:sz w:val="24"/>
          <w:lang w:val="en"/>
        </w:rPr>
        <w:t>0</w:t>
      </w:r>
      <w:r>
        <w:rPr>
          <w:rFonts w:hint="eastAsia" w:ascii="宋体" w:hAnsi="宋体" w:cs="宋体"/>
          <w:sz w:val="24"/>
        </w:rPr>
        <w:t>）是否涉及节能产品：</w:t>
      </w:r>
    </w:p>
    <w:p>
      <w:pPr>
        <w:numPr>
          <w:ilvl w:val="255"/>
          <w:numId w:val="0"/>
        </w:numPr>
        <w:tabs>
          <w:tab w:val="left" w:pos="740"/>
        </w:tabs>
        <w:snapToGrid w:val="0"/>
        <w:spacing w:line="360" w:lineRule="auto"/>
        <w:rPr>
          <w:rFonts w:hint="eastAsia" w:ascii="宋体" w:hAnsi="宋体" w:cs="宋体"/>
          <w:iCs/>
          <w:sz w:val="24"/>
        </w:rPr>
      </w:pP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是，《节能产品政府采购品目清单》的底级品目名称：</w:t>
      </w:r>
      <w:r>
        <w:rPr>
          <w:rFonts w:hint="eastAsia" w:ascii="宋体" w:hAnsi="宋体" w:cs="宋体"/>
          <w:sz w:val="24"/>
          <w:u w:val="single"/>
        </w:rPr>
        <w:t xml:space="preserve">         </w:t>
      </w:r>
      <w:r>
        <w:rPr>
          <w:rFonts w:hint="eastAsia" w:ascii="宋体" w:hAnsi="宋体" w:cs="宋体"/>
          <w:iCs/>
          <w:sz w:val="24"/>
        </w:rPr>
        <w:t xml:space="preserve">     </w:t>
      </w:r>
    </w:p>
    <w:p>
      <w:pPr>
        <w:numPr>
          <w:ilvl w:val="255"/>
          <w:numId w:val="0"/>
        </w:numPr>
        <w:tabs>
          <w:tab w:val="left" w:pos="740"/>
        </w:tabs>
        <w:snapToGrid w:val="0"/>
        <w:spacing w:line="360" w:lineRule="auto"/>
        <w:rPr>
          <w:rFonts w:hint="eastAsia" w:ascii="宋体" w:hAnsi="宋体" w:cs="宋体"/>
          <w:iCs/>
          <w:sz w:val="24"/>
        </w:rPr>
      </w:pPr>
      <w:r>
        <w:rPr>
          <w:rFonts w:hint="eastAsia" w:ascii="宋体" w:hAnsi="宋体" w:cs="宋体"/>
          <w:iCs/>
          <w:sz w:val="24"/>
        </w:rPr>
        <w:t xml:space="preserve">                </w:t>
      </w:r>
      <w:r>
        <w:rPr>
          <w:rFonts w:hint="eastAsia" w:ascii="宋体" w:hAnsi="宋体" w:cs="宋体"/>
          <w:iCs/>
          <w:sz w:val="24"/>
        </w:rPr>
        <w:sym w:font="Wingdings" w:char="00A8"/>
      </w:r>
      <w:r>
        <w:rPr>
          <w:rFonts w:hint="eastAsia" w:ascii="宋体" w:hAnsi="宋体" w:cs="宋体"/>
          <w:iCs/>
          <w:sz w:val="24"/>
        </w:rPr>
        <w:t xml:space="preserve">强制采购       </w:t>
      </w:r>
      <w:r>
        <w:rPr>
          <w:rFonts w:hint="eastAsia" w:ascii="宋体" w:hAnsi="宋体" w:cs="宋体"/>
          <w:iCs/>
          <w:sz w:val="24"/>
        </w:rPr>
        <w:sym w:font="Wingdings" w:char="00A8"/>
      </w:r>
      <w:r>
        <w:rPr>
          <w:rFonts w:hint="eastAsia" w:ascii="宋体" w:hAnsi="宋体" w:cs="宋体"/>
          <w:iCs/>
          <w:sz w:val="24"/>
        </w:rPr>
        <w:t xml:space="preserve">优先采购    </w:t>
      </w:r>
    </w:p>
    <w:p>
      <w:pPr>
        <w:numPr>
          <w:ilvl w:val="255"/>
          <w:numId w:val="0"/>
        </w:numPr>
        <w:tabs>
          <w:tab w:val="left" w:pos="740"/>
        </w:tabs>
        <w:snapToGrid w:val="0"/>
        <w:spacing w:line="360" w:lineRule="auto"/>
        <w:rPr>
          <w:rFonts w:hint="eastAsia" w:ascii="宋体" w:hAnsi="宋体" w:cs="宋体"/>
          <w:sz w:val="24"/>
        </w:rPr>
      </w:pPr>
      <w:r>
        <w:rPr>
          <w:rFonts w:hint="eastAsia" w:ascii="宋体" w:hAnsi="宋体" w:cs="宋体"/>
          <w:iCs/>
          <w:sz w:val="24"/>
        </w:rPr>
        <w:t xml:space="preserve">         </w:t>
      </w:r>
      <w:r>
        <w:rPr>
          <w:rFonts w:hint="eastAsia" w:ascii="宋体" w:hAnsi="宋体" w:cs="宋体"/>
          <w:sz w:val="24"/>
        </w:rPr>
        <w:sym w:font="Wingdings" w:char="00A8"/>
      </w:r>
      <w:r>
        <w:rPr>
          <w:rFonts w:hint="eastAsia" w:ascii="宋体" w:hAnsi="宋体" w:cs="宋体"/>
          <w:sz w:val="24"/>
        </w:rPr>
        <w:t>否</w:t>
      </w:r>
    </w:p>
    <w:p>
      <w:pPr>
        <w:numPr>
          <w:ilvl w:val="255"/>
          <w:numId w:val="0"/>
        </w:numPr>
        <w:tabs>
          <w:tab w:val="left" w:pos="740"/>
        </w:tabs>
        <w:snapToGrid w:val="0"/>
        <w:spacing w:line="360" w:lineRule="auto"/>
        <w:rPr>
          <w:rFonts w:hint="eastAsia" w:ascii="宋体" w:hAnsi="宋体" w:cs="宋体"/>
          <w:sz w:val="24"/>
        </w:rPr>
      </w:pPr>
      <w:r>
        <w:rPr>
          <w:rFonts w:hint="eastAsia" w:ascii="宋体" w:hAnsi="宋体" w:cs="宋体"/>
          <w:sz w:val="24"/>
        </w:rPr>
        <w:t xml:space="preserve">          是否涉及环境标志产品：</w:t>
      </w:r>
    </w:p>
    <w:p>
      <w:pPr>
        <w:numPr>
          <w:ilvl w:val="255"/>
          <w:numId w:val="0"/>
        </w:numPr>
        <w:tabs>
          <w:tab w:val="left" w:pos="740"/>
        </w:tabs>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是，《环境标志产品政府采购品目清单》的底级品目名称：</w:t>
      </w:r>
      <w:r>
        <w:rPr>
          <w:rFonts w:hint="eastAsia" w:ascii="宋体" w:hAnsi="宋体" w:cs="宋体"/>
          <w:sz w:val="24"/>
          <w:u w:val="single"/>
        </w:rPr>
        <w:t xml:space="preserve">         </w:t>
      </w:r>
      <w:r>
        <w:rPr>
          <w:rFonts w:hint="eastAsia" w:ascii="宋体" w:hAnsi="宋体" w:cs="宋体"/>
          <w:iCs/>
          <w:sz w:val="24"/>
        </w:rPr>
        <w:t xml:space="preserve"> </w:t>
      </w:r>
    </w:p>
    <w:p>
      <w:pPr>
        <w:numPr>
          <w:ilvl w:val="255"/>
          <w:numId w:val="0"/>
        </w:numPr>
        <w:tabs>
          <w:tab w:val="left" w:pos="740"/>
        </w:tabs>
        <w:snapToGrid w:val="0"/>
        <w:spacing w:line="360" w:lineRule="auto"/>
        <w:rPr>
          <w:rFonts w:hint="eastAsia" w:ascii="宋体" w:hAnsi="宋体" w:cs="宋体"/>
          <w:iCs/>
          <w:sz w:val="24"/>
        </w:rPr>
      </w:pPr>
      <w:r>
        <w:rPr>
          <w:rFonts w:hint="eastAsia" w:ascii="宋体" w:hAnsi="宋体" w:cs="宋体"/>
          <w:iCs/>
          <w:sz w:val="24"/>
        </w:rPr>
        <w:t xml:space="preserve">                </w:t>
      </w:r>
      <w:r>
        <w:rPr>
          <w:rFonts w:hint="eastAsia" w:ascii="宋体" w:hAnsi="宋体" w:cs="宋体"/>
          <w:iCs/>
          <w:sz w:val="24"/>
        </w:rPr>
        <w:sym w:font="Wingdings" w:char="00A8"/>
      </w:r>
      <w:r>
        <w:rPr>
          <w:rFonts w:hint="eastAsia" w:ascii="宋体" w:hAnsi="宋体" w:cs="宋体"/>
          <w:iCs/>
          <w:sz w:val="24"/>
        </w:rPr>
        <w:t xml:space="preserve">强制采购       </w:t>
      </w:r>
      <w:r>
        <w:rPr>
          <w:rFonts w:hint="eastAsia" w:ascii="宋体" w:hAnsi="宋体" w:cs="宋体"/>
          <w:iCs/>
          <w:sz w:val="24"/>
        </w:rPr>
        <w:sym w:font="Wingdings" w:char="00A8"/>
      </w:r>
      <w:r>
        <w:rPr>
          <w:rFonts w:hint="eastAsia" w:ascii="宋体" w:hAnsi="宋体" w:cs="宋体"/>
          <w:iCs/>
          <w:sz w:val="24"/>
        </w:rPr>
        <w:t xml:space="preserve">优先采购    </w:t>
      </w:r>
    </w:p>
    <w:p>
      <w:pPr>
        <w:numPr>
          <w:ilvl w:val="255"/>
          <w:numId w:val="0"/>
        </w:numPr>
        <w:tabs>
          <w:tab w:val="left" w:pos="740"/>
        </w:tabs>
        <w:snapToGrid w:val="0"/>
        <w:spacing w:line="360" w:lineRule="auto"/>
        <w:rPr>
          <w:rFonts w:hint="eastAsia" w:ascii="宋体" w:hAnsi="宋体" w:cs="宋体"/>
          <w:sz w:val="24"/>
        </w:rPr>
      </w:pPr>
      <w:r>
        <w:rPr>
          <w:rFonts w:hint="eastAsia" w:ascii="宋体" w:hAnsi="宋体" w:cs="宋体"/>
          <w:iCs/>
          <w:sz w:val="24"/>
        </w:rPr>
        <w:t xml:space="preserve">         </w:t>
      </w:r>
      <w:r>
        <w:rPr>
          <w:rFonts w:hint="eastAsia" w:ascii="宋体" w:hAnsi="宋体" w:cs="宋体"/>
          <w:sz w:val="24"/>
        </w:rPr>
        <w:sym w:font="Wingdings" w:char="00A8"/>
      </w:r>
      <w:r>
        <w:rPr>
          <w:rFonts w:hint="eastAsia" w:ascii="宋体" w:hAnsi="宋体" w:cs="宋体"/>
          <w:sz w:val="24"/>
        </w:rPr>
        <w:t>否</w:t>
      </w:r>
    </w:p>
    <w:p>
      <w:pPr>
        <w:pStyle w:val="79"/>
        <w:numPr>
          <w:ilvl w:val="255"/>
          <w:numId w:val="0"/>
        </w:numPr>
        <w:snapToGrid w:val="0"/>
        <w:spacing w:line="360" w:lineRule="auto"/>
        <w:rPr>
          <w:rFonts w:hint="eastAsia"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 xml:space="preserve">是否涉及绿色产品： </w:t>
      </w:r>
    </w:p>
    <w:p>
      <w:pPr>
        <w:pStyle w:val="79"/>
        <w:spacing w:line="360" w:lineRule="auto"/>
        <w:ind w:firstLine="420" w:firstLineChars="0"/>
        <w:rPr>
          <w:rFonts w:hint="eastAsia" w:ascii="宋体" w:hAnsi="宋体" w:eastAsia="宋体" w:cs="宋体"/>
          <w:sz w:val="24"/>
          <w:szCs w:val="24"/>
          <w:u w:val="single"/>
        </w:rPr>
      </w:pPr>
      <w:r>
        <w:rPr>
          <w:rFonts w:hint="eastAsia" w:ascii="宋体" w:hAnsi="宋体" w:eastAsia="宋体" w:cs="宋体"/>
          <w:kern w:val="2"/>
          <w:sz w:val="24"/>
          <w:szCs w:val="24"/>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是，绿色产品政府采购相关政策确定的底级品目名称：</w:t>
      </w:r>
      <w:r>
        <w:rPr>
          <w:rFonts w:hint="eastAsia" w:ascii="宋体" w:hAnsi="宋体" w:eastAsia="宋体" w:cs="宋体"/>
          <w:sz w:val="24"/>
          <w:szCs w:val="24"/>
          <w:u w:val="single"/>
        </w:rPr>
        <w:t xml:space="preserve">         </w:t>
      </w:r>
    </w:p>
    <w:p>
      <w:pPr>
        <w:numPr>
          <w:ilvl w:val="255"/>
          <w:numId w:val="0"/>
        </w:numPr>
        <w:tabs>
          <w:tab w:val="left" w:pos="740"/>
        </w:tabs>
        <w:snapToGrid w:val="0"/>
        <w:spacing w:line="360" w:lineRule="auto"/>
        <w:rPr>
          <w:rFonts w:hint="eastAsia" w:ascii="宋体" w:hAnsi="宋体" w:cs="宋体"/>
          <w:iCs/>
          <w:sz w:val="24"/>
        </w:rPr>
      </w:pPr>
      <w:r>
        <w:rPr>
          <w:rFonts w:hint="eastAsia" w:ascii="宋体" w:hAnsi="宋体" w:cs="宋体"/>
          <w:iCs/>
          <w:sz w:val="24"/>
        </w:rPr>
        <w:t xml:space="preserve">                </w:t>
      </w:r>
      <w:r>
        <w:rPr>
          <w:rFonts w:hint="eastAsia" w:ascii="宋体" w:hAnsi="宋体" w:cs="宋体"/>
          <w:iCs/>
          <w:sz w:val="24"/>
        </w:rPr>
        <w:sym w:font="Wingdings" w:char="00A8"/>
      </w:r>
      <w:r>
        <w:rPr>
          <w:rFonts w:hint="eastAsia" w:ascii="宋体" w:hAnsi="宋体" w:cs="宋体"/>
          <w:iCs/>
          <w:sz w:val="24"/>
        </w:rPr>
        <w:t xml:space="preserve">强制采购       </w:t>
      </w:r>
      <w:r>
        <w:rPr>
          <w:rFonts w:hint="eastAsia" w:ascii="宋体" w:hAnsi="宋体" w:cs="宋体"/>
          <w:iCs/>
          <w:sz w:val="24"/>
        </w:rPr>
        <w:sym w:font="Wingdings" w:char="00A8"/>
      </w:r>
      <w:r>
        <w:rPr>
          <w:rFonts w:hint="eastAsia" w:ascii="宋体" w:hAnsi="宋体" w:cs="宋体"/>
          <w:iCs/>
          <w:sz w:val="24"/>
        </w:rPr>
        <w:t xml:space="preserve">优先采购    </w:t>
      </w:r>
    </w:p>
    <w:p>
      <w:pPr>
        <w:pStyle w:val="79"/>
        <w:spacing w:line="360" w:lineRule="auto"/>
        <w:ind w:firstLine="420" w:firstLineChars="0"/>
        <w:rPr>
          <w:rFonts w:hint="eastAsia" w:ascii="宋体" w:hAnsi="宋体" w:eastAsia="宋体" w:cs="宋体"/>
          <w:sz w:val="24"/>
          <w:szCs w:val="24"/>
        </w:rPr>
      </w:pPr>
      <w:r>
        <w:rPr>
          <w:rFonts w:hint="eastAsia" w:ascii="宋体" w:hAnsi="宋体" w:eastAsia="宋体" w:cs="宋体"/>
          <w:kern w:val="2"/>
          <w:sz w:val="24"/>
          <w:szCs w:val="24"/>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pPr>
        <w:numPr>
          <w:ilvl w:val="255"/>
          <w:numId w:val="0"/>
        </w:numPr>
        <w:snapToGrid w:val="0"/>
        <w:spacing w:line="360" w:lineRule="auto"/>
        <w:rPr>
          <w:rFonts w:hint="eastAsia" w:ascii="宋体" w:hAnsi="宋体" w:cs="宋体"/>
          <w:sz w:val="24"/>
        </w:rPr>
      </w:pPr>
      <w:r>
        <w:rPr>
          <w:rFonts w:hint="eastAsia" w:ascii="宋体" w:hAnsi="宋体" w:cs="宋体"/>
          <w:sz w:val="24"/>
        </w:rPr>
        <w:t xml:space="preserve">    （1</w:t>
      </w:r>
      <w:r>
        <w:rPr>
          <w:rFonts w:hint="eastAsia" w:ascii="宋体" w:hAnsi="宋体" w:cs="宋体"/>
          <w:sz w:val="24"/>
          <w:lang w:val="en"/>
        </w:rPr>
        <w:t>1</w:t>
      </w:r>
      <w:r>
        <w:rPr>
          <w:rFonts w:hint="eastAsia" w:ascii="宋体" w:hAnsi="宋体" w:cs="宋体"/>
          <w:sz w:val="24"/>
        </w:rPr>
        <w:t>）涉及商品包装和快递包装的，是否参考《商品包装政府采购需求标准（试行）》、《快递包装政府采购需求标准（试行）》明确产品及相关快递服务的具体包装要求：</w:t>
      </w:r>
    </w:p>
    <w:p>
      <w:pPr>
        <w:numPr>
          <w:ilvl w:val="255"/>
          <w:numId w:val="0"/>
        </w:numPr>
        <w:snapToGrid w:val="0"/>
        <w:spacing w:line="360" w:lineRule="auto"/>
        <w:ind w:firstLine="960" w:firstLineChars="400"/>
        <w:rPr>
          <w:rFonts w:hint="eastAsia" w:ascii="宋体" w:hAnsi="宋体" w:cs="宋体"/>
          <w:sz w:val="24"/>
        </w:rPr>
      </w:pPr>
      <w:r>
        <w:rPr>
          <w:rFonts w:hint="eastAsia" w:ascii="宋体" w:hAnsi="宋体" w:cs="宋体"/>
          <w:sz w:val="24"/>
        </w:rPr>
        <w:sym w:font="Wingdings" w:char="00A8"/>
      </w:r>
      <w:r>
        <w:rPr>
          <w:rFonts w:hint="eastAsia" w:ascii="宋体" w:hAnsi="宋体" w:cs="宋体"/>
          <w:sz w:val="24"/>
        </w:rPr>
        <w:t xml:space="preserve">是       </w:t>
      </w:r>
      <w:r>
        <w:rPr>
          <w:rFonts w:hint="eastAsia" w:ascii="宋体" w:hAnsi="宋体" w:cs="宋体"/>
          <w:sz w:val="24"/>
        </w:rPr>
        <w:sym w:font="Wingdings" w:char="00A8"/>
      </w:r>
      <w:r>
        <w:rPr>
          <w:rFonts w:hint="eastAsia" w:ascii="宋体" w:hAnsi="宋体" w:cs="宋体"/>
          <w:sz w:val="24"/>
        </w:rPr>
        <w:t xml:space="preserve">否      </w:t>
      </w:r>
      <w:r>
        <w:rPr>
          <w:rFonts w:hint="eastAsia" w:ascii="宋体" w:hAnsi="宋体" w:cs="宋体"/>
          <w:sz w:val="24"/>
        </w:rPr>
        <w:sym w:font="Wingdings" w:char="00A8"/>
      </w:r>
      <w:r>
        <w:rPr>
          <w:rFonts w:hint="eastAsia" w:ascii="宋体" w:hAnsi="宋体" w:cs="宋体"/>
          <w:sz w:val="24"/>
        </w:rPr>
        <w:t>不涉及</w:t>
      </w:r>
    </w:p>
    <w:p>
      <w:pPr>
        <w:numPr>
          <w:ilvl w:val="0"/>
          <w:numId w:val="5"/>
        </w:numPr>
        <w:snapToGrid w:val="0"/>
        <w:spacing w:line="360" w:lineRule="auto"/>
        <w:ind w:firstLine="482" w:firstLineChars="200"/>
        <w:rPr>
          <w:rFonts w:hint="eastAsia" w:ascii="宋体" w:hAnsi="宋体" w:cs="宋体"/>
          <w:b/>
          <w:sz w:val="24"/>
        </w:rPr>
      </w:pPr>
      <w:r>
        <w:rPr>
          <w:rFonts w:hint="eastAsia" w:ascii="宋体" w:hAnsi="宋体" w:cs="宋体"/>
          <w:b/>
          <w:sz w:val="24"/>
        </w:rPr>
        <w:t>合同金额</w:t>
      </w:r>
    </w:p>
    <w:p>
      <w:pPr>
        <w:snapToGrid w:val="0"/>
        <w:spacing w:line="360" w:lineRule="auto"/>
        <w:ind w:firstLine="480" w:firstLineChars="200"/>
        <w:rPr>
          <w:rFonts w:hint="eastAsia" w:ascii="宋体" w:hAnsi="宋体" w:cs="宋体"/>
          <w:sz w:val="24"/>
        </w:rPr>
      </w:pPr>
      <w:r>
        <w:rPr>
          <w:rFonts w:hint="eastAsia" w:ascii="宋体" w:hAnsi="宋体" w:cs="宋体"/>
          <w:sz w:val="24"/>
        </w:rPr>
        <w:t>（1）合同金额小写：</w:t>
      </w:r>
      <w:r>
        <w:rPr>
          <w:rFonts w:hint="eastAsia" w:ascii="宋体" w:hAnsi="宋体" w:cs="宋体"/>
          <w:sz w:val="24"/>
          <w:u w:val="single"/>
        </w:rPr>
        <w:t xml:space="preserve">                           </w:t>
      </w:r>
    </w:p>
    <w:p>
      <w:pPr>
        <w:snapToGrid w:val="0"/>
        <w:spacing w:line="360" w:lineRule="auto"/>
        <w:rPr>
          <w:rFonts w:hint="eastAsia" w:ascii="宋体" w:hAnsi="宋体" w:cs="宋体"/>
          <w:sz w:val="24"/>
          <w:u w:val="single"/>
        </w:rPr>
      </w:pPr>
      <w:r>
        <w:rPr>
          <w:rFonts w:hint="eastAsia" w:ascii="宋体" w:hAnsi="宋体" w:cs="宋体"/>
          <w:sz w:val="24"/>
        </w:rPr>
        <w:t xml:space="preserve">                 大写：</w:t>
      </w:r>
      <w:r>
        <w:rPr>
          <w:rFonts w:hint="eastAsia" w:ascii="宋体" w:hAnsi="宋体" w:cs="宋体"/>
          <w:sz w:val="24"/>
          <w:u w:val="single"/>
        </w:rPr>
        <w:t xml:space="preserve">                           </w:t>
      </w:r>
    </w:p>
    <w:p>
      <w:pPr>
        <w:snapToGrid w:val="0"/>
        <w:spacing w:line="360" w:lineRule="auto"/>
        <w:rPr>
          <w:rFonts w:hint="eastAsia" w:ascii="宋体" w:hAnsi="宋体" w:cs="宋体"/>
          <w:sz w:val="24"/>
        </w:rPr>
      </w:pPr>
      <w:r>
        <w:rPr>
          <w:rFonts w:hint="eastAsia" w:ascii="宋体" w:hAnsi="宋体" w:cs="宋体"/>
          <w:sz w:val="24"/>
        </w:rPr>
        <w:t xml:space="preserve">         分包金额（如有）小写：</w:t>
      </w:r>
      <w:r>
        <w:rPr>
          <w:rFonts w:hint="eastAsia" w:ascii="宋体" w:hAnsi="宋体" w:cs="宋体"/>
          <w:sz w:val="24"/>
          <w:u w:val="single"/>
        </w:rPr>
        <w:t xml:space="preserve">                   </w:t>
      </w:r>
    </w:p>
    <w:p>
      <w:pPr>
        <w:snapToGrid w:val="0"/>
        <w:spacing w:line="360" w:lineRule="auto"/>
        <w:rPr>
          <w:rFonts w:hint="eastAsia" w:ascii="宋体" w:hAnsi="宋体" w:cs="宋体"/>
          <w:sz w:val="24"/>
          <w:u w:val="single"/>
        </w:rPr>
      </w:pPr>
      <w:r>
        <w:rPr>
          <w:rFonts w:hint="eastAsia" w:ascii="宋体" w:hAnsi="宋体" w:cs="宋体"/>
          <w:sz w:val="24"/>
        </w:rPr>
        <w:t xml:space="preserve">                     大写：</w:t>
      </w:r>
      <w:r>
        <w:rPr>
          <w:rFonts w:hint="eastAsia" w:ascii="宋体" w:hAnsi="宋体" w:cs="宋体"/>
          <w:sz w:val="24"/>
          <w:u w:val="single"/>
        </w:rPr>
        <w:t xml:space="preserve">                       </w:t>
      </w:r>
    </w:p>
    <w:p>
      <w:pPr>
        <w:snapToGrid w:val="0"/>
        <w:spacing w:line="360" w:lineRule="auto"/>
        <w:rPr>
          <w:rFonts w:hint="eastAsia" w:ascii="宋体" w:hAnsi="宋体" w:cs="宋体"/>
          <w:sz w:val="24"/>
        </w:rPr>
      </w:pPr>
      <w:r>
        <w:rPr>
          <w:rFonts w:hint="eastAsia" w:ascii="宋体" w:hAnsi="宋体" w:cs="宋体"/>
          <w:sz w:val="24"/>
        </w:rPr>
        <w:t xml:space="preserve">    （注：固定单价合同应填写单价和最高限价）</w:t>
      </w:r>
    </w:p>
    <w:p>
      <w:pPr>
        <w:numPr>
          <w:ilvl w:val="255"/>
          <w:numId w:val="0"/>
        </w:numPr>
        <w:snapToGrid w:val="0"/>
        <w:spacing w:line="360" w:lineRule="auto"/>
        <w:rPr>
          <w:rFonts w:hint="eastAsia" w:ascii="宋体" w:hAnsi="宋体" w:cs="宋体"/>
          <w:sz w:val="24"/>
        </w:rPr>
      </w:pPr>
      <w:r>
        <w:rPr>
          <w:rFonts w:hint="eastAsia" w:ascii="宋体" w:hAnsi="宋体" w:cs="宋体"/>
          <w:sz w:val="24"/>
        </w:rPr>
        <w:t xml:space="preserve">    （2）合同定价方式（采用组合定价方式的，可以勾选多项）：</w:t>
      </w:r>
    </w:p>
    <w:p>
      <w:pPr>
        <w:snapToGrid w:val="0"/>
        <w:spacing w:line="360" w:lineRule="auto"/>
        <w:ind w:firstLine="480" w:firstLineChars="200"/>
        <w:rPr>
          <w:rFonts w:hint="eastAsia" w:ascii="宋体" w:hAnsi="宋体" w:cs="宋体"/>
          <w:sz w:val="24"/>
        </w:rPr>
      </w:pPr>
      <w:r>
        <w:rPr>
          <w:rFonts w:hint="eastAsia" w:ascii="宋体" w:hAnsi="宋体" w:cs="宋体"/>
          <w:iCs/>
          <w:sz w:val="24"/>
        </w:rPr>
        <w:t xml:space="preserve">  </w:t>
      </w:r>
      <w:r>
        <w:rPr>
          <w:rFonts w:hint="eastAsia" w:ascii="宋体" w:hAnsi="宋体" w:cs="宋体"/>
          <w:iCs/>
          <w:sz w:val="24"/>
        </w:rPr>
        <w:sym w:font="Wingdings" w:char="00FE"/>
      </w:r>
      <w:r>
        <w:rPr>
          <w:rFonts w:hint="eastAsia" w:ascii="宋体" w:hAnsi="宋体" w:cs="宋体"/>
          <w:iCs/>
          <w:sz w:val="24"/>
        </w:rPr>
        <w:t xml:space="preserve">固定总价 </w:t>
      </w:r>
      <w:r>
        <w:rPr>
          <w:rFonts w:hint="eastAsia" w:ascii="宋体" w:hAnsi="宋体" w:cs="宋体"/>
          <w:iCs/>
          <w:sz w:val="24"/>
        </w:rPr>
        <w:sym w:font="Wingdings" w:char="00A8"/>
      </w:r>
      <w:r>
        <w:rPr>
          <w:rFonts w:hint="eastAsia" w:ascii="宋体" w:hAnsi="宋体" w:cs="宋体"/>
          <w:iCs/>
          <w:sz w:val="24"/>
        </w:rPr>
        <w:t xml:space="preserve">固定单价 </w:t>
      </w:r>
      <w:r>
        <w:rPr>
          <w:rFonts w:hint="eastAsia" w:ascii="宋体" w:hAnsi="宋体" w:cs="宋体"/>
          <w:iCs/>
          <w:sz w:val="24"/>
        </w:rPr>
        <w:sym w:font="Wingdings" w:char="00A8"/>
      </w:r>
      <w:r>
        <w:rPr>
          <w:rFonts w:hint="eastAsia" w:ascii="宋体" w:hAnsi="宋体" w:cs="宋体"/>
          <w:iCs/>
          <w:sz w:val="24"/>
        </w:rPr>
        <w:t xml:space="preserve">固定费率 </w:t>
      </w:r>
      <w:r>
        <w:rPr>
          <w:rFonts w:hint="eastAsia" w:ascii="宋体" w:hAnsi="宋体" w:cs="宋体"/>
          <w:iCs/>
          <w:sz w:val="24"/>
        </w:rPr>
        <w:sym w:font="Wingdings" w:char="00A8"/>
      </w:r>
      <w:r>
        <w:rPr>
          <w:rFonts w:hint="eastAsia" w:ascii="宋体" w:hAnsi="宋体" w:cs="宋体"/>
          <w:iCs/>
          <w:sz w:val="24"/>
        </w:rPr>
        <w:t xml:space="preserve">成本补偿 </w:t>
      </w:r>
      <w:r>
        <w:rPr>
          <w:rFonts w:hint="eastAsia" w:ascii="宋体" w:hAnsi="宋体" w:cs="宋体"/>
          <w:iCs/>
          <w:sz w:val="24"/>
        </w:rPr>
        <w:sym w:font="Wingdings" w:char="00A8"/>
      </w:r>
      <w:r>
        <w:rPr>
          <w:rFonts w:hint="eastAsia" w:ascii="宋体" w:hAnsi="宋体" w:cs="宋体"/>
          <w:iCs/>
          <w:sz w:val="24"/>
        </w:rPr>
        <w:t xml:space="preserve">绩效激励 </w:t>
      </w:r>
      <w:r>
        <w:rPr>
          <w:rFonts w:hint="eastAsia" w:ascii="宋体" w:hAnsi="宋体" w:cs="宋体"/>
          <w:iCs/>
          <w:sz w:val="24"/>
        </w:rPr>
        <w:sym w:font="Wingdings" w:char="00A8"/>
      </w:r>
      <w:r>
        <w:rPr>
          <w:rFonts w:hint="eastAsia" w:ascii="宋体" w:hAnsi="宋体" w:cs="宋体"/>
          <w:iCs/>
          <w:sz w:val="24"/>
        </w:rPr>
        <w:t>其他</w:t>
      </w:r>
      <w:r>
        <w:rPr>
          <w:rFonts w:hint="eastAsia" w:ascii="宋体" w:hAnsi="宋体" w:cs="宋体"/>
          <w:sz w:val="24"/>
          <w:u w:val="single"/>
        </w:rPr>
        <w:t xml:space="preserve">       </w:t>
      </w:r>
    </w:p>
    <w:p>
      <w:pPr>
        <w:pStyle w:val="789"/>
        <w:ind w:firstLine="480"/>
        <w:rPr>
          <w:rFonts w:hint="eastAsia" w:ascii="宋体" w:hAnsi="宋体" w:cs="宋体"/>
          <w:szCs w:val="24"/>
        </w:rPr>
      </w:pPr>
      <w:r>
        <w:rPr>
          <w:rFonts w:hint="eastAsia" w:ascii="宋体" w:hAnsi="宋体" w:cs="宋体"/>
          <w:szCs w:val="24"/>
        </w:rPr>
        <w:t>（3）付款方式（按项目实际勾选填写）：</w:t>
      </w:r>
    </w:p>
    <w:p>
      <w:pPr>
        <w:snapToGrid w:val="0"/>
        <w:spacing w:line="360" w:lineRule="auto"/>
        <w:ind w:firstLine="720" w:firstLineChars="300"/>
        <w:rPr>
          <w:rFonts w:hint="eastAsia" w:ascii="宋体" w:hAnsi="宋体" w:cs="宋体"/>
          <w:sz w:val="24"/>
          <w:u w:val="single"/>
        </w:rPr>
      </w:pPr>
      <w:r>
        <w:rPr>
          <w:rFonts w:hint="eastAsia" w:ascii="宋体" w:hAnsi="宋体" w:cs="宋体"/>
          <w:sz w:val="24"/>
        </w:rPr>
        <w:sym w:font="Wingdings" w:char="00A8"/>
      </w:r>
      <w:r>
        <w:rPr>
          <w:rFonts w:hint="eastAsia" w:ascii="宋体" w:hAnsi="宋体" w:cs="宋体"/>
          <w:sz w:val="24"/>
        </w:rPr>
        <w:t>全额付款：</w:t>
      </w:r>
      <w:r>
        <w:rPr>
          <w:rFonts w:hint="eastAsia" w:ascii="宋体" w:hAnsi="宋体" w:cs="宋体"/>
          <w:sz w:val="24"/>
          <w:u w:val="single"/>
        </w:rPr>
        <w:t xml:space="preserve">     （应明确一次性支付合同款项的条件）                    </w:t>
      </w:r>
    </w:p>
    <w:p>
      <w:pPr>
        <w:snapToGrid w:val="0"/>
        <w:spacing w:line="360" w:lineRule="auto"/>
        <w:ind w:firstLine="720" w:firstLineChars="300"/>
        <w:rPr>
          <w:rFonts w:hint="eastAsia" w:ascii="宋体" w:hAnsi="宋体" w:cs="宋体"/>
          <w:sz w:val="24"/>
        </w:rPr>
      </w:pPr>
      <w:r>
        <w:rPr>
          <w:rFonts w:hint="eastAsia" w:ascii="宋体" w:hAnsi="宋体" w:cs="宋体"/>
          <w:sz w:val="24"/>
        </w:rPr>
        <w:sym w:font="Wingdings" w:char="00A8"/>
      </w:r>
      <w:r>
        <w:rPr>
          <w:rFonts w:hint="eastAsia" w:ascii="宋体" w:hAnsi="宋体" w:cs="宋体"/>
          <w:sz w:val="24"/>
        </w:rPr>
        <w:t>分期付款：</w:t>
      </w:r>
      <w:r>
        <w:rPr>
          <w:rFonts w:hint="eastAsia" w:ascii="宋体" w:hAnsi="宋体" w:cs="宋体"/>
          <w:sz w:val="24"/>
          <w:u w:val="single"/>
        </w:rPr>
        <w:t xml:space="preserve">  （应明确分期支付合同款项的各期比例和支付条件，各期支付条件应与分期履约验收情况挂钩） </w:t>
      </w:r>
      <w:r>
        <w:rPr>
          <w:rFonts w:hint="eastAsia" w:ascii="宋体" w:hAnsi="宋体" w:cs="宋体"/>
          <w:sz w:val="24"/>
        </w:rPr>
        <w:t>，其中涉及预付款的：</w:t>
      </w:r>
      <w:r>
        <w:rPr>
          <w:rFonts w:hint="eastAsia" w:ascii="宋体" w:hAnsi="宋体" w:cs="宋体"/>
          <w:sz w:val="24"/>
          <w:u w:val="single"/>
        </w:rPr>
        <w:t xml:space="preserve"> （应明确预付款的支付比例和支付条件） </w:t>
      </w:r>
    </w:p>
    <w:p>
      <w:pPr>
        <w:snapToGrid w:val="0"/>
        <w:spacing w:line="360" w:lineRule="auto"/>
        <w:ind w:firstLine="720" w:firstLineChars="300"/>
        <w:rPr>
          <w:rFonts w:hint="eastAsia" w:ascii="宋体" w:hAnsi="宋体" w:cs="宋体"/>
          <w:sz w:val="24"/>
          <w:u w:val="single"/>
        </w:rPr>
      </w:pPr>
      <w:r>
        <w:rPr>
          <w:rFonts w:hint="eastAsia" w:ascii="宋体" w:hAnsi="宋体" w:cs="宋体"/>
          <w:sz w:val="24"/>
        </w:rPr>
        <w:sym w:font="Wingdings" w:char="00A8"/>
      </w:r>
      <w:r>
        <w:rPr>
          <w:rFonts w:hint="eastAsia" w:ascii="宋体" w:hAnsi="宋体" w:cs="宋体"/>
          <w:sz w:val="24"/>
        </w:rPr>
        <w:t>成本补偿：</w:t>
      </w:r>
      <w:r>
        <w:rPr>
          <w:rFonts w:hint="eastAsia" w:ascii="宋体" w:hAnsi="宋体" w:cs="宋体"/>
          <w:sz w:val="24"/>
          <w:u w:val="single"/>
        </w:rPr>
        <w:t xml:space="preserve">    /   </w:t>
      </w:r>
    </w:p>
    <w:p>
      <w:pPr>
        <w:snapToGrid w:val="0"/>
        <w:spacing w:line="360" w:lineRule="auto"/>
        <w:ind w:firstLine="720" w:firstLineChars="300"/>
        <w:rPr>
          <w:rFonts w:hint="eastAsia" w:ascii="宋体" w:hAnsi="宋体" w:cs="宋体"/>
          <w:sz w:val="24"/>
        </w:rPr>
      </w:pPr>
      <w:r>
        <w:rPr>
          <w:rFonts w:hint="eastAsia" w:ascii="宋体" w:hAnsi="宋体" w:cs="宋体"/>
          <w:sz w:val="24"/>
        </w:rPr>
        <w:sym w:font="Wingdings" w:char="00A8"/>
      </w:r>
      <w:r>
        <w:rPr>
          <w:rFonts w:hint="eastAsia" w:ascii="宋体" w:hAnsi="宋体" w:cs="宋体"/>
          <w:sz w:val="24"/>
        </w:rPr>
        <w:t>绩效激励：</w:t>
      </w:r>
      <w:r>
        <w:rPr>
          <w:rFonts w:hint="eastAsia" w:ascii="宋体" w:hAnsi="宋体" w:cs="宋体"/>
          <w:sz w:val="24"/>
          <w:u w:val="single"/>
        </w:rPr>
        <w:t xml:space="preserve">    /   </w:t>
      </w:r>
    </w:p>
    <w:p>
      <w:pPr>
        <w:numPr>
          <w:ilvl w:val="0"/>
          <w:numId w:val="5"/>
        </w:numPr>
        <w:snapToGrid w:val="0"/>
        <w:spacing w:line="360" w:lineRule="auto"/>
        <w:ind w:firstLine="482" w:firstLineChars="200"/>
        <w:rPr>
          <w:rFonts w:hint="eastAsia" w:ascii="宋体" w:hAnsi="宋体" w:cs="宋体"/>
          <w:b/>
          <w:sz w:val="24"/>
          <w:u w:val="single"/>
        </w:rPr>
      </w:pPr>
      <w:r>
        <w:rPr>
          <w:rFonts w:hint="eastAsia" w:ascii="宋体" w:hAnsi="宋体" w:cs="宋体"/>
          <w:b/>
          <w:sz w:val="24"/>
        </w:rPr>
        <w:t>合同履行</w:t>
      </w:r>
    </w:p>
    <w:p>
      <w:pPr>
        <w:snapToGrid w:val="0"/>
        <w:spacing w:line="360" w:lineRule="auto"/>
        <w:ind w:firstLine="480" w:firstLineChars="200"/>
        <w:rPr>
          <w:rFonts w:hint="eastAsia" w:ascii="宋体" w:hAnsi="宋体" w:cs="宋体"/>
          <w:sz w:val="24"/>
        </w:rPr>
      </w:pPr>
      <w:r>
        <w:rPr>
          <w:rFonts w:hint="eastAsia" w:ascii="宋体" w:hAnsi="宋体" w:cs="宋体"/>
          <w:sz w:val="24"/>
        </w:rPr>
        <w:t>（1）起始日期：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日，完成日期：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line="360" w:lineRule="auto"/>
        <w:ind w:firstLine="480" w:firstLineChars="200"/>
        <w:rPr>
          <w:rFonts w:hint="eastAsia" w:ascii="宋体" w:hAnsi="宋体" w:cs="宋体"/>
          <w:sz w:val="24"/>
          <w:u w:val="single"/>
        </w:rPr>
      </w:pPr>
      <w:r>
        <w:rPr>
          <w:rFonts w:hint="eastAsia" w:ascii="宋体" w:hAnsi="宋体" w:cs="宋体"/>
          <w:sz w:val="24"/>
        </w:rPr>
        <w:t>（2）履约地点</w:t>
      </w:r>
      <w:r>
        <w:rPr>
          <w:rFonts w:hint="eastAsia" w:ascii="宋体" w:hAnsi="宋体" w:cs="宋体"/>
          <w:bCs/>
          <w:sz w:val="24"/>
        </w:rPr>
        <w:t>：</w:t>
      </w:r>
      <w:r>
        <w:rPr>
          <w:rFonts w:hint="eastAsia" w:ascii="宋体" w:hAnsi="宋体" w:cs="宋体"/>
          <w:sz w:val="24"/>
          <w:u w:val="single"/>
        </w:rPr>
        <w:t xml:space="preserve">   </w:t>
      </w:r>
      <w:r>
        <w:rPr>
          <w:rFonts w:hint="eastAsia" w:asciiTheme="minorEastAsia" w:hAnsiTheme="minorEastAsia" w:eastAsiaTheme="minorEastAsia" w:cstheme="minorEastAsia"/>
          <w:sz w:val="24"/>
          <w:u w:val="single"/>
        </w:rPr>
        <w:t>杭州市，甲方指点地点</w:t>
      </w:r>
      <w:r>
        <w:rPr>
          <w:rFonts w:hint="eastAsia" w:ascii="宋体" w:hAnsi="宋体" w:cs="宋体"/>
          <w:sz w:val="24"/>
          <w:u w:val="single"/>
        </w:rPr>
        <w:t xml:space="preserve">              </w:t>
      </w:r>
    </w:p>
    <w:p>
      <w:pPr>
        <w:snapToGrid w:val="0"/>
        <w:spacing w:line="360" w:lineRule="auto"/>
        <w:ind w:firstLine="480" w:firstLineChars="200"/>
        <w:rPr>
          <w:rFonts w:hint="eastAsia" w:ascii="宋体" w:hAnsi="宋体" w:cs="宋体"/>
          <w:sz w:val="24"/>
        </w:rPr>
      </w:pPr>
      <w:r>
        <w:rPr>
          <w:rFonts w:hint="eastAsia" w:ascii="宋体" w:hAnsi="宋体" w:cs="宋体"/>
          <w:bCs/>
          <w:sz w:val="24"/>
        </w:rPr>
        <w:t>（3）履约担保：</w:t>
      </w:r>
      <w:r>
        <w:rPr>
          <w:rFonts w:hint="eastAsia" w:ascii="宋体" w:hAnsi="宋体" w:cs="宋体"/>
          <w:sz w:val="24"/>
        </w:rPr>
        <w:t>是否收取履约保证金：</w:t>
      </w:r>
      <w:r>
        <w:rPr>
          <w:rFonts w:hint="eastAsia" w:ascii="宋体" w:hAnsi="宋体" w:cs="宋体"/>
          <w:sz w:val="24"/>
        </w:rPr>
        <w:sym w:font="Wingdings" w:char="00A8"/>
      </w:r>
      <w:r>
        <w:rPr>
          <w:rFonts w:hint="eastAsia" w:ascii="宋体" w:hAnsi="宋体" w:cs="宋体"/>
          <w:sz w:val="24"/>
        </w:rPr>
        <w:t xml:space="preserve">是    </w:t>
      </w:r>
      <w:r>
        <w:rPr>
          <w:rFonts w:hint="eastAsia" w:ascii="宋体" w:hAnsi="宋体" w:cs="宋体"/>
          <w:sz w:val="24"/>
        </w:rPr>
        <w:sym w:font="Wingdings" w:char="00A8"/>
      </w:r>
      <w:r>
        <w:rPr>
          <w:rFonts w:hint="eastAsia" w:ascii="宋体" w:hAnsi="宋体" w:cs="宋体"/>
          <w:sz w:val="24"/>
        </w:rPr>
        <w:t>否</w:t>
      </w:r>
    </w:p>
    <w:p>
      <w:pPr>
        <w:pStyle w:val="79"/>
        <w:spacing w:line="360" w:lineRule="auto"/>
        <w:ind w:firstLine="480"/>
        <w:rPr>
          <w:rFonts w:hint="eastAsia"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  收取履约保证金形式：</w:t>
      </w:r>
      <w:r>
        <w:rPr>
          <w:rFonts w:hint="eastAsia" w:ascii="宋体" w:hAnsi="宋体" w:eastAsia="宋体" w:cs="宋体"/>
          <w:bCs/>
          <w:sz w:val="24"/>
          <w:szCs w:val="24"/>
          <w:u w:val="single"/>
        </w:rPr>
        <w:t xml:space="preserve">                            </w:t>
      </w:r>
    </w:p>
    <w:p>
      <w:pPr>
        <w:pStyle w:val="79"/>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 xml:space="preserve">                            </w:t>
      </w:r>
    </w:p>
    <w:p>
      <w:pPr>
        <w:snapToGrid w:val="0"/>
        <w:spacing w:line="360" w:lineRule="auto"/>
        <w:ind w:firstLine="480" w:firstLineChars="200"/>
        <w:rPr>
          <w:rFonts w:hint="eastAsia" w:ascii="宋体" w:hAnsi="宋体" w:cs="宋体"/>
          <w:sz w:val="24"/>
        </w:rPr>
      </w:pPr>
      <w:r>
        <w:rPr>
          <w:rFonts w:hint="eastAsia" w:ascii="宋体" w:hAnsi="宋体" w:cs="宋体"/>
          <w:bCs/>
          <w:sz w:val="24"/>
        </w:rPr>
        <w:t xml:space="preserve">    履约担保期限：</w:t>
      </w:r>
      <w:r>
        <w:rPr>
          <w:rFonts w:hint="eastAsia" w:ascii="宋体" w:hAnsi="宋体" w:cs="宋体"/>
          <w:bCs/>
          <w:sz w:val="24"/>
          <w:u w:val="single"/>
        </w:rPr>
        <w:t xml:space="preserve">                                  </w:t>
      </w:r>
    </w:p>
    <w:p>
      <w:pPr>
        <w:snapToGrid w:val="0"/>
        <w:spacing w:line="360" w:lineRule="auto"/>
        <w:ind w:firstLine="480" w:firstLineChars="200"/>
        <w:rPr>
          <w:rFonts w:hint="eastAsia" w:ascii="宋体" w:hAnsi="宋体" w:cs="宋体"/>
          <w:bCs/>
          <w:sz w:val="24"/>
        </w:rPr>
      </w:pPr>
      <w:r>
        <w:rPr>
          <w:rFonts w:hint="eastAsia" w:ascii="宋体" w:hAnsi="宋体" w:cs="宋体"/>
          <w:bCs/>
          <w:sz w:val="24"/>
        </w:rPr>
        <w:t>（4）分期履行要求：</w:t>
      </w:r>
      <w:r>
        <w:rPr>
          <w:rFonts w:hint="eastAsia" w:ascii="宋体" w:hAnsi="宋体" w:cs="宋体"/>
          <w:bCs/>
          <w:sz w:val="24"/>
          <w:u w:val="single"/>
        </w:rPr>
        <w:t xml:space="preserve">                                                        </w:t>
      </w:r>
    </w:p>
    <w:p>
      <w:pPr>
        <w:snapToGrid w:val="0"/>
        <w:spacing w:line="360" w:lineRule="auto"/>
        <w:ind w:firstLine="480" w:firstLineChars="200"/>
        <w:rPr>
          <w:rFonts w:hint="eastAsia" w:ascii="宋体" w:hAnsi="宋体" w:cs="宋体"/>
          <w:sz w:val="24"/>
          <w:u w:val="single"/>
        </w:rPr>
      </w:pPr>
      <w:r>
        <w:rPr>
          <w:rFonts w:hint="eastAsia" w:ascii="宋体" w:hAnsi="宋体" w:cs="宋体"/>
          <w:bCs/>
          <w:sz w:val="24"/>
        </w:rPr>
        <w:t>（5）风险处置措施和替代方案：</w:t>
      </w:r>
      <w:r>
        <w:rPr>
          <w:rFonts w:hint="eastAsia" w:ascii="宋体" w:hAnsi="宋体" w:cs="宋体"/>
          <w:color w:val="0000FF"/>
          <w:sz w:val="24"/>
          <w:u w:val="single"/>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z w:val="24"/>
          <w:u w:val="single"/>
        </w:rPr>
        <w:t xml:space="preserve">                                                </w:t>
      </w:r>
    </w:p>
    <w:p>
      <w:pPr>
        <w:numPr>
          <w:ilvl w:val="0"/>
          <w:numId w:val="5"/>
        </w:numPr>
        <w:snapToGrid w:val="0"/>
        <w:spacing w:line="360" w:lineRule="auto"/>
        <w:ind w:firstLine="482" w:firstLineChars="200"/>
        <w:rPr>
          <w:rFonts w:hint="eastAsia" w:ascii="宋体" w:hAnsi="宋体" w:cs="宋体"/>
          <w:b/>
          <w:sz w:val="24"/>
        </w:rPr>
      </w:pPr>
      <w:r>
        <w:rPr>
          <w:rFonts w:hint="eastAsia" w:ascii="宋体" w:hAnsi="宋体" w:cs="宋体"/>
          <w:b/>
          <w:sz w:val="24"/>
        </w:rPr>
        <w:t>合同验收</w:t>
      </w:r>
    </w:p>
    <w:p>
      <w:pPr>
        <w:numPr>
          <w:ilvl w:val="0"/>
          <w:numId w:val="7"/>
        </w:numPr>
        <w:snapToGrid w:val="0"/>
        <w:spacing w:line="360" w:lineRule="auto"/>
        <w:ind w:firstLine="480" w:firstLineChars="200"/>
        <w:rPr>
          <w:rFonts w:hint="eastAsia" w:ascii="宋体" w:hAnsi="宋体" w:cs="宋体"/>
          <w:bCs/>
          <w:sz w:val="24"/>
        </w:rPr>
      </w:pPr>
      <w:r>
        <w:rPr>
          <w:rFonts w:hint="eastAsia" w:ascii="宋体" w:hAnsi="宋体" w:cs="宋体"/>
          <w:bCs/>
          <w:sz w:val="24"/>
        </w:rPr>
        <w:t>验收组织方式：</w:t>
      </w:r>
      <w:r>
        <w:rPr>
          <w:rFonts w:hint="eastAsia" w:ascii="宋体" w:hAnsi="宋体" w:cs="宋体"/>
          <w:sz w:val="24"/>
        </w:rPr>
        <w:sym w:font="Wingdings" w:char="00A8"/>
      </w:r>
      <w:r>
        <w:rPr>
          <w:rFonts w:hint="eastAsia" w:ascii="宋体" w:hAnsi="宋体" w:cs="宋体"/>
          <w:bCs/>
          <w:sz w:val="24"/>
        </w:rPr>
        <w:t xml:space="preserve">自行组织 </w:t>
      </w:r>
      <w:r>
        <w:rPr>
          <w:rFonts w:hint="eastAsia" w:ascii="宋体" w:hAnsi="宋体" w:cs="宋体"/>
          <w:sz w:val="24"/>
        </w:rPr>
        <w:sym w:font="Wingdings" w:char="00A8"/>
      </w:r>
      <w:r>
        <w:rPr>
          <w:rFonts w:hint="eastAsia" w:ascii="宋体" w:hAnsi="宋体" w:cs="宋体"/>
          <w:bCs/>
          <w:sz w:val="24"/>
        </w:rPr>
        <w:t>委托第三方组织</w:t>
      </w:r>
    </w:p>
    <w:p>
      <w:pPr>
        <w:snapToGrid w:val="0"/>
        <w:spacing w:line="360" w:lineRule="auto"/>
        <w:rPr>
          <w:rFonts w:hint="eastAsia" w:ascii="宋体" w:hAnsi="宋体" w:cs="宋体"/>
          <w:bCs/>
          <w:sz w:val="24"/>
        </w:rPr>
      </w:pPr>
      <w:r>
        <w:rPr>
          <w:rFonts w:hint="eastAsia" w:ascii="宋体" w:hAnsi="宋体" w:cs="宋体"/>
          <w:bCs/>
          <w:sz w:val="24"/>
        </w:rPr>
        <w:t xml:space="preserve">         验收主体：</w:t>
      </w:r>
      <w:r>
        <w:rPr>
          <w:rFonts w:hint="eastAsia" w:ascii="宋体" w:hAnsi="宋体" w:cs="宋体"/>
          <w:bCs/>
          <w:sz w:val="24"/>
          <w:u w:val="single"/>
        </w:rPr>
        <w:t xml:space="preserve">                  </w:t>
      </w:r>
    </w:p>
    <w:p>
      <w:pPr>
        <w:snapToGrid w:val="0"/>
        <w:spacing w:line="360" w:lineRule="auto"/>
        <w:rPr>
          <w:rFonts w:hint="eastAsia" w:ascii="宋体" w:hAnsi="宋体" w:cs="宋体"/>
          <w:bCs/>
          <w:sz w:val="24"/>
        </w:rPr>
      </w:pPr>
      <w:r>
        <w:rPr>
          <w:rFonts w:hint="eastAsia" w:ascii="宋体" w:hAnsi="宋体" w:cs="宋体"/>
          <w:bCs/>
          <w:sz w:val="24"/>
        </w:rPr>
        <w:t xml:space="preserve">        是否邀请本项目的其他供应商参加验收：</w:t>
      </w:r>
      <w:r>
        <w:rPr>
          <w:rFonts w:hint="eastAsia" w:ascii="宋体" w:hAnsi="宋体" w:cs="宋体"/>
          <w:sz w:val="24"/>
        </w:rPr>
        <w:sym w:font="Wingdings" w:char="00A8"/>
      </w:r>
      <w:r>
        <w:rPr>
          <w:rFonts w:hint="eastAsia" w:ascii="宋体" w:hAnsi="宋体" w:cs="宋体"/>
          <w:bCs/>
          <w:sz w:val="24"/>
        </w:rPr>
        <w:t xml:space="preserve">是  </w:t>
      </w:r>
      <w:r>
        <w:rPr>
          <w:rFonts w:hint="eastAsia" w:ascii="宋体" w:hAnsi="宋体" w:cs="宋体"/>
          <w:sz w:val="24"/>
        </w:rPr>
        <w:sym w:font="Wingdings" w:char="00A8"/>
      </w:r>
      <w:r>
        <w:rPr>
          <w:rFonts w:hint="eastAsia" w:ascii="宋体" w:hAnsi="宋体" w:cs="宋体"/>
          <w:bCs/>
          <w:sz w:val="24"/>
        </w:rPr>
        <w:t>否</w:t>
      </w:r>
    </w:p>
    <w:p>
      <w:pPr>
        <w:snapToGrid w:val="0"/>
        <w:spacing w:line="360" w:lineRule="auto"/>
        <w:ind w:firstLine="960" w:firstLineChars="400"/>
        <w:rPr>
          <w:rFonts w:hint="eastAsia" w:ascii="宋体" w:hAnsi="宋体" w:cs="宋体"/>
          <w:bCs/>
          <w:sz w:val="24"/>
        </w:rPr>
      </w:pPr>
      <w:r>
        <w:rPr>
          <w:rFonts w:hint="eastAsia" w:ascii="宋体" w:hAnsi="宋体" w:cs="宋体"/>
          <w:bCs/>
          <w:sz w:val="24"/>
        </w:rPr>
        <w:t>是否邀请专家参加验收：</w:t>
      </w:r>
      <w:r>
        <w:rPr>
          <w:rFonts w:hint="eastAsia" w:ascii="宋体" w:hAnsi="宋体" w:cs="宋体"/>
          <w:sz w:val="24"/>
        </w:rPr>
        <w:sym w:font="Wingdings" w:char="00A8"/>
      </w:r>
      <w:r>
        <w:rPr>
          <w:rFonts w:hint="eastAsia" w:ascii="宋体" w:hAnsi="宋体" w:cs="宋体"/>
          <w:bCs/>
          <w:sz w:val="24"/>
        </w:rPr>
        <w:t xml:space="preserve">是  </w:t>
      </w:r>
      <w:r>
        <w:rPr>
          <w:rFonts w:hint="eastAsia" w:ascii="宋体" w:hAnsi="宋体" w:cs="宋体"/>
          <w:sz w:val="24"/>
        </w:rPr>
        <w:sym w:font="Wingdings" w:char="00A8"/>
      </w:r>
      <w:r>
        <w:rPr>
          <w:rFonts w:hint="eastAsia" w:ascii="宋体" w:hAnsi="宋体" w:cs="宋体"/>
          <w:bCs/>
          <w:sz w:val="24"/>
        </w:rPr>
        <w:t>否</w:t>
      </w:r>
    </w:p>
    <w:p>
      <w:pPr>
        <w:snapToGrid w:val="0"/>
        <w:spacing w:line="360" w:lineRule="auto"/>
        <w:ind w:firstLine="960" w:firstLineChars="400"/>
        <w:rPr>
          <w:rFonts w:hint="eastAsia" w:ascii="宋体" w:hAnsi="宋体" w:cs="宋体"/>
          <w:bCs/>
          <w:sz w:val="24"/>
        </w:rPr>
      </w:pPr>
      <w:r>
        <w:rPr>
          <w:rFonts w:hint="eastAsia" w:ascii="宋体" w:hAnsi="宋体" w:cs="宋体"/>
          <w:bCs/>
          <w:sz w:val="24"/>
        </w:rPr>
        <w:t>是否邀请服务对象参加验收：</w:t>
      </w:r>
      <w:r>
        <w:rPr>
          <w:rFonts w:hint="eastAsia" w:ascii="宋体" w:hAnsi="宋体" w:cs="宋体"/>
          <w:sz w:val="24"/>
        </w:rPr>
        <w:sym w:font="Wingdings" w:char="00A8"/>
      </w:r>
      <w:r>
        <w:rPr>
          <w:rFonts w:hint="eastAsia" w:ascii="宋体" w:hAnsi="宋体" w:cs="宋体"/>
          <w:bCs/>
          <w:sz w:val="24"/>
        </w:rPr>
        <w:t xml:space="preserve">是  </w:t>
      </w:r>
      <w:r>
        <w:rPr>
          <w:rFonts w:hint="eastAsia" w:ascii="宋体" w:hAnsi="宋体" w:cs="宋体"/>
          <w:sz w:val="24"/>
        </w:rPr>
        <w:sym w:font="Wingdings" w:char="00A8"/>
      </w:r>
      <w:r>
        <w:rPr>
          <w:rFonts w:hint="eastAsia" w:ascii="宋体" w:hAnsi="宋体" w:cs="宋体"/>
          <w:bCs/>
          <w:sz w:val="24"/>
        </w:rPr>
        <w:t>否</w:t>
      </w:r>
    </w:p>
    <w:p>
      <w:pPr>
        <w:snapToGrid w:val="0"/>
        <w:spacing w:line="360" w:lineRule="auto"/>
        <w:ind w:firstLine="960" w:firstLineChars="400"/>
        <w:rPr>
          <w:rFonts w:hint="eastAsia" w:ascii="宋体" w:hAnsi="宋体" w:cs="宋体"/>
          <w:bCs/>
          <w:sz w:val="24"/>
        </w:rPr>
      </w:pPr>
      <w:r>
        <w:rPr>
          <w:rFonts w:hint="eastAsia" w:ascii="宋体" w:hAnsi="宋体" w:cs="宋体"/>
          <w:bCs/>
          <w:sz w:val="24"/>
        </w:rPr>
        <w:t>是否邀请第三方检测机构参加验收：</w:t>
      </w:r>
      <w:r>
        <w:rPr>
          <w:rFonts w:hint="eastAsia" w:ascii="宋体" w:hAnsi="宋体" w:cs="宋体"/>
          <w:sz w:val="24"/>
        </w:rPr>
        <w:sym w:font="Wingdings" w:char="00A8"/>
      </w:r>
      <w:r>
        <w:rPr>
          <w:rFonts w:hint="eastAsia" w:ascii="宋体" w:hAnsi="宋体" w:cs="宋体"/>
          <w:bCs/>
          <w:sz w:val="24"/>
        </w:rPr>
        <w:t xml:space="preserve">是  </w:t>
      </w:r>
      <w:r>
        <w:rPr>
          <w:rFonts w:hint="eastAsia" w:ascii="宋体" w:hAnsi="宋体" w:cs="宋体"/>
          <w:sz w:val="24"/>
        </w:rPr>
        <w:sym w:font="Wingdings" w:char="00A8"/>
      </w:r>
      <w:r>
        <w:rPr>
          <w:rFonts w:hint="eastAsia" w:ascii="宋体" w:hAnsi="宋体" w:cs="宋体"/>
          <w:bCs/>
          <w:sz w:val="24"/>
        </w:rPr>
        <w:t>否</w:t>
      </w:r>
    </w:p>
    <w:p>
      <w:pPr>
        <w:snapToGrid w:val="0"/>
        <w:spacing w:line="360" w:lineRule="auto"/>
        <w:ind w:firstLine="960" w:firstLineChars="400"/>
        <w:rPr>
          <w:rFonts w:hint="eastAsia" w:ascii="宋体" w:hAnsi="宋体" w:cs="宋体"/>
          <w:bCs/>
          <w:sz w:val="24"/>
        </w:rPr>
      </w:pPr>
      <w:r>
        <w:rPr>
          <w:rFonts w:hint="eastAsia" w:ascii="宋体" w:hAnsi="宋体" w:cs="宋体"/>
          <w:bCs/>
          <w:sz w:val="24"/>
        </w:rPr>
        <w:t>是否进行抽查检测：</w:t>
      </w:r>
      <w:r>
        <w:rPr>
          <w:rFonts w:hint="eastAsia" w:ascii="宋体" w:hAnsi="宋体" w:cs="宋体"/>
          <w:sz w:val="24"/>
        </w:rPr>
        <w:sym w:font="Wingdings" w:char="00A8"/>
      </w:r>
      <w:r>
        <w:rPr>
          <w:rFonts w:hint="eastAsia" w:ascii="宋体" w:hAnsi="宋体" w:cs="宋体"/>
          <w:bCs/>
          <w:sz w:val="24"/>
        </w:rPr>
        <w:t>是，抽查比例：</w:t>
      </w:r>
      <w:r>
        <w:rPr>
          <w:rFonts w:hint="eastAsia" w:ascii="宋体" w:hAnsi="宋体" w:cs="宋体"/>
          <w:bCs/>
          <w:sz w:val="24"/>
          <w:u w:val="single"/>
        </w:rPr>
        <w:t xml:space="preserve">        </w:t>
      </w:r>
      <w:r>
        <w:rPr>
          <w:rFonts w:hint="eastAsia" w:ascii="宋体" w:hAnsi="宋体" w:cs="宋体"/>
          <w:bCs/>
          <w:sz w:val="24"/>
        </w:rPr>
        <w:t xml:space="preserve"> </w:t>
      </w:r>
      <w:r>
        <w:rPr>
          <w:rFonts w:hint="eastAsia" w:ascii="宋体" w:hAnsi="宋体" w:cs="宋体"/>
          <w:sz w:val="24"/>
        </w:rPr>
        <w:sym w:font="Wingdings" w:char="00A8"/>
      </w:r>
      <w:r>
        <w:rPr>
          <w:rFonts w:hint="eastAsia" w:ascii="宋体" w:hAnsi="宋体" w:cs="宋体"/>
          <w:bCs/>
          <w:sz w:val="24"/>
        </w:rPr>
        <w:t>否</w:t>
      </w:r>
    </w:p>
    <w:p>
      <w:pPr>
        <w:snapToGrid w:val="0"/>
        <w:spacing w:line="360" w:lineRule="auto"/>
        <w:ind w:firstLine="960" w:firstLineChars="400"/>
        <w:rPr>
          <w:rFonts w:hint="eastAsia" w:ascii="宋体" w:hAnsi="宋体" w:cs="宋体"/>
          <w:bCs/>
          <w:sz w:val="24"/>
          <w:u w:val="single"/>
        </w:rPr>
      </w:pPr>
      <w:r>
        <w:rPr>
          <w:rFonts w:hint="eastAsia" w:ascii="宋体" w:hAnsi="宋体" w:cs="宋体"/>
          <w:bCs/>
          <w:sz w:val="24"/>
        </w:rPr>
        <w:t>是否存在破坏性检测：</w:t>
      </w:r>
      <w:r>
        <w:rPr>
          <w:rFonts w:hint="eastAsia" w:ascii="宋体" w:hAnsi="宋体" w:cs="宋体"/>
          <w:sz w:val="24"/>
        </w:rPr>
        <w:sym w:font="Wingdings" w:char="00A8"/>
      </w:r>
      <w:r>
        <w:rPr>
          <w:rFonts w:hint="eastAsia" w:ascii="宋体" w:hAnsi="宋体" w:cs="宋体"/>
          <w:bCs/>
          <w:sz w:val="24"/>
        </w:rPr>
        <w:t>是，</w:t>
      </w:r>
      <w:r>
        <w:rPr>
          <w:rFonts w:hint="eastAsia" w:ascii="宋体" w:hAnsi="宋体" w:cs="宋体"/>
          <w:bCs/>
          <w:sz w:val="24"/>
          <w:u w:val="single"/>
        </w:rPr>
        <w:t>（应明确对被破坏的检测产品的处理方式）</w:t>
      </w:r>
    </w:p>
    <w:p>
      <w:pPr>
        <w:snapToGrid w:val="0"/>
        <w:spacing w:line="360" w:lineRule="auto"/>
        <w:ind w:firstLine="960" w:firstLineChars="400"/>
        <w:rPr>
          <w:rFonts w:hint="eastAsia" w:ascii="宋体" w:hAnsi="宋体" w:cs="宋体"/>
          <w:bCs/>
          <w:sz w:val="24"/>
        </w:rPr>
      </w:pPr>
      <w:r>
        <w:rPr>
          <w:rFonts w:hint="eastAsia" w:ascii="宋体" w:hAnsi="宋体" w:cs="宋体"/>
          <w:bCs/>
          <w:sz w:val="24"/>
        </w:rPr>
        <w:t xml:space="preserve">                    </w:t>
      </w:r>
      <w:r>
        <w:rPr>
          <w:rFonts w:hint="eastAsia" w:ascii="宋体" w:hAnsi="宋体" w:cs="宋体"/>
          <w:sz w:val="24"/>
        </w:rPr>
        <w:sym w:font="Wingdings" w:char="00A8"/>
      </w:r>
      <w:r>
        <w:rPr>
          <w:rFonts w:hint="eastAsia" w:ascii="宋体" w:hAnsi="宋体" w:cs="宋体"/>
          <w:bCs/>
          <w:sz w:val="24"/>
        </w:rPr>
        <w:t>否</w:t>
      </w:r>
    </w:p>
    <w:p>
      <w:pPr>
        <w:snapToGrid w:val="0"/>
        <w:spacing w:line="360" w:lineRule="auto"/>
        <w:ind w:firstLine="960" w:firstLineChars="400"/>
        <w:rPr>
          <w:rFonts w:hint="eastAsia" w:ascii="宋体" w:hAnsi="宋体" w:cs="宋体"/>
          <w:bCs/>
          <w:sz w:val="24"/>
          <w:u w:val="single"/>
        </w:rPr>
      </w:pPr>
      <w:r>
        <w:rPr>
          <w:rFonts w:hint="eastAsia" w:ascii="宋体" w:hAnsi="宋体" w:cs="宋体"/>
          <w:bCs/>
          <w:sz w:val="24"/>
        </w:rPr>
        <w:t>验收组织的其他事项：</w:t>
      </w:r>
      <w:r>
        <w:rPr>
          <w:rFonts w:hint="eastAsia" w:ascii="宋体" w:hAnsi="宋体" w:cs="宋体"/>
          <w:bCs/>
          <w:sz w:val="24"/>
          <w:u w:val="single"/>
        </w:rPr>
        <w:t xml:space="preserve">                </w:t>
      </w:r>
    </w:p>
    <w:p>
      <w:pPr>
        <w:snapToGrid w:val="0"/>
        <w:spacing w:line="360" w:lineRule="auto"/>
        <w:ind w:firstLine="480" w:firstLineChars="200"/>
        <w:rPr>
          <w:rFonts w:hint="eastAsia" w:ascii="宋体" w:hAnsi="宋体" w:cs="宋体"/>
          <w:bCs/>
          <w:sz w:val="24"/>
          <w:u w:val="single"/>
        </w:rPr>
      </w:pPr>
      <w:r>
        <w:rPr>
          <w:rFonts w:hint="eastAsia" w:ascii="宋体" w:hAnsi="宋体" w:cs="宋体"/>
          <w:bCs/>
          <w:sz w:val="24"/>
        </w:rPr>
        <w:t>（2）履约验收时间：</w:t>
      </w:r>
      <w:r>
        <w:rPr>
          <w:rFonts w:hint="eastAsia" w:ascii="宋体" w:hAnsi="宋体" w:cs="宋体"/>
          <w:bCs/>
          <w:sz w:val="24"/>
          <w:u w:val="single"/>
        </w:rPr>
        <w:t xml:space="preserve">（计划于何时验收/供应商提出验收申请之日起   日内组织验收） </w:t>
      </w:r>
    </w:p>
    <w:p>
      <w:pPr>
        <w:snapToGrid w:val="0"/>
        <w:spacing w:line="360" w:lineRule="auto"/>
        <w:ind w:firstLine="480" w:firstLineChars="200"/>
        <w:rPr>
          <w:rFonts w:hint="eastAsia" w:ascii="宋体" w:hAnsi="宋体" w:cs="宋体"/>
          <w:bCs/>
          <w:sz w:val="24"/>
        </w:rPr>
      </w:pPr>
      <w:r>
        <w:rPr>
          <w:rFonts w:hint="eastAsia" w:ascii="宋体" w:hAnsi="宋体" w:cs="宋体"/>
          <w:bCs/>
          <w:sz w:val="24"/>
        </w:rPr>
        <w:t>（3）履约验收方式：</w:t>
      </w:r>
      <w:r>
        <w:rPr>
          <w:rFonts w:hint="eastAsia" w:ascii="宋体" w:hAnsi="宋体" w:cs="宋体"/>
          <w:sz w:val="24"/>
        </w:rPr>
        <w:sym w:font="Wingdings" w:char="00A8"/>
      </w:r>
      <w:r>
        <w:rPr>
          <w:rFonts w:hint="eastAsia" w:ascii="宋体" w:hAnsi="宋体" w:cs="宋体"/>
          <w:bCs/>
          <w:sz w:val="24"/>
        </w:rPr>
        <w:t xml:space="preserve">一次性验收         </w:t>
      </w:r>
    </w:p>
    <w:p>
      <w:pPr>
        <w:snapToGrid w:val="0"/>
        <w:spacing w:line="360" w:lineRule="auto"/>
        <w:rPr>
          <w:rFonts w:hint="eastAsia" w:ascii="宋体" w:hAnsi="宋体" w:cs="宋体"/>
          <w:bCs/>
          <w:sz w:val="24"/>
        </w:rPr>
      </w:pPr>
      <w:r>
        <w:rPr>
          <w:rFonts w:hint="eastAsia" w:ascii="宋体" w:hAnsi="宋体" w:cs="宋体"/>
          <w:bCs/>
          <w:sz w:val="24"/>
        </w:rPr>
        <w:t xml:space="preserve">                       </w:t>
      </w:r>
      <w:r>
        <w:rPr>
          <w:rFonts w:hint="eastAsia" w:ascii="宋体" w:hAnsi="宋体" w:cs="宋体"/>
          <w:sz w:val="24"/>
        </w:rPr>
        <w:sym w:font="Wingdings" w:char="00A8"/>
      </w:r>
      <w:r>
        <w:rPr>
          <w:rFonts w:hint="eastAsia" w:ascii="宋体" w:hAnsi="宋体" w:cs="宋体"/>
          <w:bCs/>
          <w:sz w:val="24"/>
        </w:rPr>
        <w:t>分期/分项验收：</w:t>
      </w:r>
      <w:r>
        <w:rPr>
          <w:rFonts w:hint="eastAsia" w:ascii="宋体" w:hAnsi="宋体" w:cs="宋体"/>
          <w:bCs/>
          <w:sz w:val="24"/>
          <w:u w:val="single"/>
        </w:rPr>
        <w:t xml:space="preserve"> （应明确分期</w:t>
      </w:r>
      <w:r>
        <w:rPr>
          <w:rFonts w:hint="eastAsia" w:ascii="宋体" w:hAnsi="宋体" w:cs="宋体"/>
          <w:bCs/>
          <w:sz w:val="24"/>
          <w:u w:val="single"/>
          <w:lang w:val="en"/>
        </w:rPr>
        <w:t>/分项验收的工作安排</w:t>
      </w:r>
      <w:r>
        <w:rPr>
          <w:rFonts w:hint="eastAsia" w:ascii="宋体" w:hAnsi="宋体" w:cs="宋体"/>
          <w:bCs/>
          <w:sz w:val="24"/>
          <w:u w:val="single"/>
        </w:rPr>
        <w:t xml:space="preserve">）  </w:t>
      </w:r>
    </w:p>
    <w:p>
      <w:pPr>
        <w:snapToGrid w:val="0"/>
        <w:spacing w:line="360" w:lineRule="auto"/>
        <w:ind w:firstLine="480" w:firstLineChars="200"/>
        <w:rPr>
          <w:rFonts w:hint="eastAsia" w:ascii="宋体" w:hAnsi="宋体" w:cs="宋体"/>
          <w:bCs/>
          <w:sz w:val="24"/>
        </w:rPr>
      </w:pPr>
      <w:r>
        <w:rPr>
          <w:rFonts w:hint="eastAsia" w:ascii="宋体" w:hAnsi="宋体" w:cs="宋体"/>
          <w:bCs/>
          <w:sz w:val="24"/>
        </w:rPr>
        <w:t>（4）履约验收程序：</w:t>
      </w:r>
      <w:r>
        <w:rPr>
          <w:rFonts w:hint="eastAsia" w:ascii="宋体" w:hAnsi="宋体" w:cs="宋体"/>
          <w:bCs/>
          <w:sz w:val="24"/>
          <w:u w:val="single"/>
        </w:rPr>
        <w:t xml:space="preserve">   </w:t>
      </w:r>
      <w:r>
        <w:rPr>
          <w:rFonts w:hint="eastAsia" w:asciiTheme="minorEastAsia" w:hAnsiTheme="minorEastAsia" w:eastAsiaTheme="minorEastAsia" w:cstheme="minorEastAsia"/>
          <w:bCs/>
          <w:sz w:val="24"/>
          <w:u w:val="single"/>
        </w:rPr>
        <w:t>政府采购一般流程</w:t>
      </w:r>
      <w:r>
        <w:rPr>
          <w:rFonts w:hint="eastAsia" w:ascii="宋体" w:hAnsi="宋体" w:cs="宋体"/>
          <w:bCs/>
          <w:sz w:val="24"/>
          <w:u w:val="single"/>
        </w:rPr>
        <w:t xml:space="preserve">                    </w:t>
      </w:r>
    </w:p>
    <w:p>
      <w:pPr>
        <w:snapToGrid w:val="0"/>
        <w:spacing w:line="360" w:lineRule="auto"/>
        <w:ind w:firstLine="480" w:firstLineChars="200"/>
        <w:rPr>
          <w:rFonts w:hint="eastAsia" w:ascii="宋体" w:hAnsi="宋体" w:cs="宋体"/>
          <w:bCs/>
          <w:sz w:val="24"/>
          <w:u w:val="single"/>
        </w:rPr>
      </w:pPr>
      <w:r>
        <w:rPr>
          <w:rFonts w:hint="eastAsia" w:ascii="宋体" w:hAnsi="宋体" w:cs="宋体"/>
          <w:bCs/>
          <w:sz w:val="24"/>
        </w:rPr>
        <w:t>（5）履约验收的内容：</w:t>
      </w:r>
      <w:r>
        <w:rPr>
          <w:rFonts w:hint="eastAsia" w:ascii="宋体" w:hAnsi="宋体" w:cs="宋体"/>
          <w:bCs/>
          <w:sz w:val="24"/>
          <w:u w:val="single"/>
        </w:rPr>
        <w:t xml:space="preserve"> </w:t>
      </w:r>
      <w:r>
        <w:rPr>
          <w:rFonts w:hint="eastAsia" w:asciiTheme="minorEastAsia" w:hAnsiTheme="minorEastAsia" w:eastAsiaTheme="minorEastAsia" w:cstheme="minorEastAsia"/>
          <w:bCs/>
          <w:sz w:val="24"/>
          <w:u w:val="single"/>
        </w:rPr>
        <w:t>设备规格型号、数量，性能参数，功能运行等</w:t>
      </w:r>
      <w:r>
        <w:rPr>
          <w:rFonts w:hint="eastAsia" w:ascii="宋体" w:hAnsi="宋体" w:cs="宋体"/>
          <w:bCs/>
          <w:sz w:val="24"/>
          <w:u w:val="single"/>
        </w:rPr>
        <w:t xml:space="preserve">                                     </w:t>
      </w:r>
    </w:p>
    <w:p>
      <w:pPr>
        <w:snapToGrid w:val="0"/>
        <w:spacing w:line="360" w:lineRule="auto"/>
        <w:ind w:firstLine="480" w:firstLineChars="200"/>
        <w:rPr>
          <w:rFonts w:hint="eastAsia" w:ascii="宋体" w:hAnsi="宋体" w:cs="宋体"/>
          <w:bCs/>
          <w:sz w:val="24"/>
          <w:u w:val="single"/>
        </w:rPr>
      </w:pPr>
      <w:r>
        <w:rPr>
          <w:rFonts w:hint="eastAsia" w:ascii="宋体" w:hAnsi="宋体" w:cs="宋体"/>
          <w:bCs/>
          <w:sz w:val="24"/>
        </w:rPr>
        <w:t>（6）履约验收标准：</w:t>
      </w:r>
      <w:r>
        <w:rPr>
          <w:rFonts w:hint="eastAsia" w:ascii="宋体" w:hAnsi="宋体" w:cs="宋体"/>
          <w:bCs/>
          <w:sz w:val="24"/>
          <w:u w:val="single"/>
        </w:rPr>
        <w:t xml:space="preserve">  </w:t>
      </w:r>
      <w:r>
        <w:rPr>
          <w:rFonts w:hint="eastAsia" w:asciiTheme="minorEastAsia" w:hAnsiTheme="minorEastAsia" w:eastAsiaTheme="minorEastAsia" w:cstheme="minorEastAsia"/>
          <w:bCs/>
          <w:sz w:val="24"/>
          <w:u w:val="single"/>
        </w:rPr>
        <w:t>按招标文件、投标文件及澄清函等技术指标进行验收。各项指标均应符合验收标准及要求。</w:t>
      </w:r>
      <w:r>
        <w:rPr>
          <w:rFonts w:hint="eastAsia" w:ascii="宋体" w:hAnsi="宋体" w:cs="宋体"/>
          <w:bCs/>
          <w:sz w:val="24"/>
          <w:u w:val="single"/>
        </w:rPr>
        <w:t xml:space="preserve">  </w:t>
      </w:r>
    </w:p>
    <w:p>
      <w:pPr>
        <w:pStyle w:val="79"/>
        <w:spacing w:line="360" w:lineRule="auto"/>
        <w:ind w:firstLine="480"/>
        <w:rPr>
          <w:rFonts w:hint="eastAsia" w:ascii="宋体" w:hAnsi="宋体" w:eastAsia="宋体" w:cs="宋体"/>
          <w:sz w:val="24"/>
          <w:szCs w:val="24"/>
        </w:rPr>
      </w:pPr>
      <w:r>
        <w:rPr>
          <w:rFonts w:hint="eastAsia" w:ascii="宋体" w:hAnsi="宋体" w:eastAsia="宋体" w:cs="宋体"/>
          <w:bCs/>
          <w:sz w:val="24"/>
          <w:szCs w:val="24"/>
        </w:rPr>
        <w:t>（7）是否以采购活动中供应商提供的样品作为参考：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pPr>
        <w:snapToGrid w:val="0"/>
        <w:spacing w:line="360" w:lineRule="auto"/>
        <w:ind w:firstLine="480" w:firstLineChars="200"/>
        <w:rPr>
          <w:rFonts w:hint="eastAsia" w:ascii="宋体" w:hAnsi="宋体" w:cs="宋体"/>
          <w:bCs/>
          <w:sz w:val="24"/>
          <w:u w:val="single"/>
        </w:rPr>
      </w:pPr>
      <w:r>
        <w:rPr>
          <w:rFonts w:hint="eastAsia" w:ascii="宋体" w:hAnsi="宋体" w:cs="宋体"/>
          <w:bCs/>
          <w:sz w:val="24"/>
        </w:rPr>
        <w:t>（8）履约验收其他事项：</w:t>
      </w:r>
      <w:r>
        <w:rPr>
          <w:rFonts w:hint="eastAsia" w:ascii="宋体" w:hAnsi="宋体" w:cs="宋体"/>
          <w:bCs/>
          <w:sz w:val="24"/>
          <w:u w:val="single"/>
        </w:rPr>
        <w:t xml:space="preserve">      （产权过户登记等）          </w:t>
      </w:r>
    </w:p>
    <w:p>
      <w:pPr>
        <w:numPr>
          <w:ilvl w:val="0"/>
          <w:numId w:val="5"/>
        </w:numPr>
        <w:snapToGrid w:val="0"/>
        <w:spacing w:line="360" w:lineRule="auto"/>
        <w:ind w:firstLine="482" w:firstLineChars="200"/>
        <w:rPr>
          <w:rFonts w:hint="eastAsia" w:ascii="宋体" w:hAnsi="宋体" w:cs="宋体"/>
          <w:b/>
          <w:sz w:val="24"/>
        </w:rPr>
      </w:pPr>
      <w:r>
        <w:rPr>
          <w:rFonts w:hint="eastAsia" w:ascii="宋体" w:hAnsi="宋体" w:cs="宋体"/>
          <w:b/>
          <w:sz w:val="24"/>
        </w:rPr>
        <w:t>组成合同的文件</w:t>
      </w:r>
    </w:p>
    <w:p>
      <w:pPr>
        <w:snapToGrid w:val="0"/>
        <w:spacing w:line="360" w:lineRule="auto"/>
        <w:ind w:firstLine="480" w:firstLineChars="200"/>
        <w:rPr>
          <w:rFonts w:hint="eastAsia" w:ascii="宋体" w:hAnsi="宋体" w:cs="宋体"/>
          <w:sz w:val="24"/>
        </w:rPr>
      </w:pPr>
      <w:r>
        <w:rPr>
          <w:rFonts w:hint="eastAsia" w:ascii="宋体" w:hAnsi="宋体" w:cs="宋体"/>
          <w:sz w:val="24"/>
        </w:rPr>
        <w:t>本协议书与下列文件一起构成合同文件，如下述文件之间有任何抵触、矛盾或歧义，应按以下顺序解释：</w:t>
      </w:r>
    </w:p>
    <w:p>
      <w:pPr>
        <w:snapToGrid w:val="0"/>
        <w:spacing w:line="360" w:lineRule="auto"/>
        <w:ind w:firstLine="480" w:firstLineChars="200"/>
        <w:rPr>
          <w:rFonts w:hint="eastAsia" w:ascii="宋体" w:hAnsi="宋体" w:cs="宋体"/>
          <w:sz w:val="24"/>
        </w:rPr>
      </w:pPr>
      <w:r>
        <w:rPr>
          <w:rFonts w:hint="eastAsia" w:ascii="宋体" w:hAnsi="宋体" w:cs="宋体"/>
          <w:sz w:val="24"/>
        </w:rPr>
        <w:t>（1）政府采购合同协议书及其变更、补充协议</w:t>
      </w:r>
    </w:p>
    <w:p>
      <w:pPr>
        <w:snapToGrid w:val="0"/>
        <w:spacing w:line="360" w:lineRule="auto"/>
        <w:ind w:firstLine="480" w:firstLineChars="200"/>
        <w:rPr>
          <w:rFonts w:hint="eastAsia" w:ascii="宋体" w:hAnsi="宋体" w:cs="宋体"/>
          <w:sz w:val="24"/>
        </w:rPr>
      </w:pPr>
      <w:r>
        <w:rPr>
          <w:rFonts w:hint="eastAsia" w:ascii="宋体" w:hAnsi="宋体" w:cs="宋体"/>
          <w:sz w:val="24"/>
        </w:rPr>
        <w:t>（2）政府采购合同专用条款</w:t>
      </w:r>
    </w:p>
    <w:p>
      <w:pPr>
        <w:snapToGrid w:val="0"/>
        <w:spacing w:line="360" w:lineRule="auto"/>
        <w:ind w:firstLine="480" w:firstLineChars="200"/>
        <w:rPr>
          <w:rFonts w:hint="eastAsia" w:ascii="宋体" w:hAnsi="宋体" w:cs="宋体"/>
          <w:sz w:val="24"/>
        </w:rPr>
      </w:pPr>
      <w:r>
        <w:rPr>
          <w:rFonts w:hint="eastAsia" w:ascii="宋体" w:hAnsi="宋体" w:cs="宋体"/>
          <w:sz w:val="24"/>
        </w:rPr>
        <w:t>（3）政府采购合同通用条款</w:t>
      </w:r>
    </w:p>
    <w:p>
      <w:pPr>
        <w:snapToGrid w:val="0"/>
        <w:spacing w:line="360" w:lineRule="auto"/>
        <w:ind w:firstLine="480" w:firstLineChars="200"/>
        <w:rPr>
          <w:rFonts w:hint="eastAsia" w:ascii="宋体" w:hAnsi="宋体" w:cs="宋体"/>
          <w:sz w:val="24"/>
        </w:rPr>
      </w:pPr>
      <w:r>
        <w:rPr>
          <w:rFonts w:hint="eastAsia" w:ascii="宋体" w:hAnsi="宋体" w:cs="宋体"/>
          <w:sz w:val="24"/>
        </w:rPr>
        <w:t>（4）中标（成交）通知书</w:t>
      </w:r>
    </w:p>
    <w:p>
      <w:pPr>
        <w:snapToGrid w:val="0"/>
        <w:spacing w:line="360" w:lineRule="auto"/>
        <w:ind w:firstLine="480" w:firstLineChars="200"/>
        <w:rPr>
          <w:rFonts w:hint="eastAsia" w:ascii="宋体" w:hAnsi="宋体" w:cs="宋体"/>
          <w:sz w:val="24"/>
        </w:rPr>
      </w:pPr>
      <w:r>
        <w:rPr>
          <w:rFonts w:hint="eastAsia" w:ascii="宋体" w:hAnsi="宋体" w:cs="宋体"/>
          <w:sz w:val="24"/>
        </w:rPr>
        <w:t>（5）投标（响应）文件</w:t>
      </w:r>
    </w:p>
    <w:p>
      <w:pPr>
        <w:snapToGrid w:val="0"/>
        <w:spacing w:line="360" w:lineRule="auto"/>
        <w:ind w:firstLine="480" w:firstLineChars="200"/>
        <w:rPr>
          <w:rFonts w:hint="eastAsia" w:ascii="宋体" w:hAnsi="宋体" w:cs="宋体"/>
          <w:sz w:val="24"/>
        </w:rPr>
      </w:pPr>
      <w:r>
        <w:rPr>
          <w:rFonts w:hint="eastAsia" w:ascii="宋体" w:hAnsi="宋体" w:cs="宋体"/>
          <w:sz w:val="24"/>
        </w:rPr>
        <w:t>（6）采购文件</w:t>
      </w:r>
    </w:p>
    <w:p>
      <w:pPr>
        <w:snapToGrid w:val="0"/>
        <w:spacing w:line="360" w:lineRule="auto"/>
        <w:ind w:firstLine="480" w:firstLineChars="200"/>
        <w:rPr>
          <w:rFonts w:hint="eastAsia" w:ascii="宋体" w:hAnsi="宋体" w:cs="宋体"/>
          <w:sz w:val="24"/>
        </w:rPr>
      </w:pPr>
      <w:r>
        <w:rPr>
          <w:rFonts w:hint="eastAsia" w:ascii="宋体" w:hAnsi="宋体" w:cs="宋体"/>
          <w:sz w:val="24"/>
        </w:rPr>
        <w:t>（7）有关技术文件，图纸</w:t>
      </w:r>
    </w:p>
    <w:p>
      <w:pPr>
        <w:pStyle w:val="79"/>
        <w:spacing w:line="360" w:lineRule="auto"/>
        <w:ind w:firstLine="480"/>
        <w:rPr>
          <w:rFonts w:hint="eastAsia"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color w:val="000000" w:themeColor="text1"/>
          <w:kern w:val="2"/>
          <w:sz w:val="24"/>
          <w:szCs w:val="24"/>
          <w14:textFill>
            <w14:solidFill>
              <w14:schemeClr w14:val="tx1"/>
            </w14:solidFill>
          </w14:textFill>
        </w:rPr>
        <w:t>国家法律、行政法规和规章制度规定或合同约定的作为合同组成部分的其他文件</w:t>
      </w:r>
    </w:p>
    <w:p>
      <w:pPr>
        <w:numPr>
          <w:ilvl w:val="0"/>
          <w:numId w:val="5"/>
        </w:numPr>
        <w:snapToGrid w:val="0"/>
        <w:spacing w:line="360" w:lineRule="auto"/>
        <w:ind w:firstLine="482" w:firstLineChars="200"/>
        <w:rPr>
          <w:rFonts w:hint="eastAsia" w:ascii="宋体" w:hAnsi="宋体" w:cs="宋体"/>
          <w:b/>
          <w:sz w:val="24"/>
        </w:rPr>
      </w:pPr>
      <w:r>
        <w:rPr>
          <w:rFonts w:hint="eastAsia" w:ascii="宋体" w:hAnsi="宋体" w:cs="宋体"/>
          <w:b/>
          <w:sz w:val="24"/>
        </w:rPr>
        <w:t>合同生效</w:t>
      </w:r>
    </w:p>
    <w:p>
      <w:pPr>
        <w:snapToGrid w:val="0"/>
        <w:spacing w:line="360" w:lineRule="auto"/>
        <w:ind w:firstLine="480" w:firstLineChars="200"/>
        <w:rPr>
          <w:rFonts w:hint="eastAsia" w:ascii="宋体" w:hAnsi="宋体" w:cs="宋体"/>
          <w:sz w:val="24"/>
        </w:rPr>
      </w:pPr>
      <w:r>
        <w:rPr>
          <w:rFonts w:hint="eastAsia" w:ascii="宋体" w:hAnsi="宋体" w:cs="宋体"/>
          <w:sz w:val="24"/>
        </w:rPr>
        <w:t>本合同自</w:t>
      </w:r>
      <w:r>
        <w:rPr>
          <w:rFonts w:hint="eastAsia" w:ascii="宋体" w:hAnsi="宋体" w:cs="宋体"/>
          <w:sz w:val="24"/>
          <w:u w:val="single"/>
        </w:rPr>
        <w:t xml:space="preserve">    双方签订经系统备案公示后    </w:t>
      </w:r>
      <w:r>
        <w:rPr>
          <w:rFonts w:hint="eastAsia" w:ascii="宋体" w:hAnsi="宋体" w:cs="宋体"/>
          <w:sz w:val="24"/>
        </w:rPr>
        <w:t>生效。</w:t>
      </w:r>
    </w:p>
    <w:p>
      <w:pPr>
        <w:numPr>
          <w:ilvl w:val="0"/>
          <w:numId w:val="5"/>
        </w:numPr>
        <w:snapToGrid w:val="0"/>
        <w:spacing w:line="360" w:lineRule="auto"/>
        <w:ind w:firstLine="482" w:firstLineChars="200"/>
        <w:rPr>
          <w:rFonts w:hint="eastAsia" w:ascii="宋体" w:hAnsi="宋体" w:cs="宋体"/>
          <w:b/>
          <w:sz w:val="24"/>
        </w:rPr>
      </w:pPr>
      <w:r>
        <w:rPr>
          <w:rFonts w:hint="eastAsia" w:ascii="宋体" w:hAnsi="宋体" w:cs="宋体"/>
          <w:b/>
          <w:sz w:val="24"/>
        </w:rPr>
        <w:t>合同份数</w:t>
      </w:r>
    </w:p>
    <w:p>
      <w:pPr>
        <w:snapToGrid w:val="0"/>
        <w:spacing w:line="360" w:lineRule="auto"/>
        <w:ind w:firstLine="480" w:firstLineChars="200"/>
        <w:rPr>
          <w:rFonts w:hint="eastAsia"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份，均具有同等法律效力。</w:t>
      </w:r>
    </w:p>
    <w:p>
      <w:pPr>
        <w:snapToGrid w:val="0"/>
        <w:spacing w:line="360" w:lineRule="auto"/>
        <w:ind w:firstLine="480" w:firstLineChars="200"/>
        <w:rPr>
          <w:rFonts w:hint="eastAsia" w:ascii="宋体" w:hAnsi="宋体" w:cs="宋体"/>
          <w:sz w:val="24"/>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line="360" w:lineRule="auto"/>
        <w:ind w:firstLine="480" w:firstLineChars="200"/>
        <w:rPr>
          <w:rFonts w:hint="eastAsia" w:ascii="宋体" w:hAnsi="宋体" w:cs="宋体"/>
          <w:sz w:val="24"/>
        </w:rPr>
      </w:pPr>
      <w:r>
        <w:rPr>
          <w:rFonts w:hint="eastAsia" w:ascii="宋体" w:hAnsi="宋体" w:cs="宋体"/>
          <w:sz w:val="24"/>
        </w:rPr>
        <w:t>合同订立地点：</w:t>
      </w:r>
      <w:r>
        <w:rPr>
          <w:rFonts w:hint="eastAsia" w:ascii="宋体" w:hAnsi="宋体" w:cs="宋体"/>
          <w:sz w:val="24"/>
          <w:u w:val="single"/>
        </w:rPr>
        <w:t xml:space="preserve">                           </w:t>
      </w:r>
    </w:p>
    <w:p>
      <w:pPr>
        <w:snapToGrid w:val="0"/>
        <w:spacing w:line="360" w:lineRule="auto"/>
        <w:ind w:firstLine="480" w:firstLineChars="200"/>
      </w:pPr>
      <w:r>
        <w:rPr>
          <w:rFonts w:hint="eastAsia" w:ascii="宋体" w:hAnsi="宋体" w:cs="宋体"/>
          <w:sz w:val="24"/>
        </w:rPr>
        <w:t>附件：具体标的及其技术要求和商务要求、联合协议、分包意向协议等。</w:t>
      </w:r>
    </w:p>
    <w:p>
      <w:pPr>
        <w:pStyle w:val="789"/>
        <w:spacing w:line="400" w:lineRule="exact"/>
        <w:ind w:firstLine="480"/>
      </w:pPr>
    </w:p>
    <w:p>
      <w:pPr>
        <w:pStyle w:val="4"/>
        <w:spacing w:line="400" w:lineRule="exact"/>
        <w:rPr>
          <w:rFonts w:hint="eastAsia" w:ascii="宋体" w:hAnsi="宋体"/>
          <w:b w:val="0"/>
          <w:bCs w:val="0"/>
          <w:sz w:val="21"/>
          <w:szCs w:val="21"/>
          <w:lang w:val="en-US"/>
        </w:rPr>
      </w:pPr>
      <w:r>
        <w:rPr>
          <w:lang w:val="en"/>
        </w:rPr>
        <w:t xml:space="preserve">   </w:t>
      </w:r>
    </w:p>
    <w:p>
      <w:r>
        <w:rPr>
          <w:rFonts w:hint="eastAsia"/>
        </w:rPr>
        <w:br w:type="page"/>
      </w:r>
    </w:p>
    <w:p>
      <w:pPr>
        <w:pStyle w:val="789"/>
        <w:ind w:firstLine="480"/>
      </w:pPr>
    </w:p>
    <w:tbl>
      <w:tblPr>
        <w:tblStyle w:val="62"/>
        <w:tblW w:w="9169"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741"/>
        <w:gridCol w:w="1850"/>
        <w:gridCol w:w="268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32" w:type="dxa"/>
            <w:gridSpan w:val="2"/>
            <w:tcBorders>
              <w:bottom w:val="single" w:color="auto" w:sz="2" w:space="0"/>
              <w:right w:val="single" w:color="auto" w:sz="2" w:space="0"/>
            </w:tcBorders>
            <w:vAlign w:val="center"/>
          </w:tcPr>
          <w:p>
            <w:pPr>
              <w:snapToGrid w:val="0"/>
              <w:spacing w:line="360" w:lineRule="auto"/>
              <w:jc w:val="left"/>
              <w:rPr>
                <w:rFonts w:hint="eastAsia" w:ascii="宋体" w:hAnsi="宋体" w:cs="宋体"/>
                <w:sz w:val="24"/>
              </w:rPr>
            </w:pPr>
            <w:r>
              <w:rPr>
                <w:rFonts w:hint="eastAsia" w:ascii="宋体" w:hAnsi="宋体" w:cs="宋体"/>
                <w:sz w:val="24"/>
              </w:rPr>
              <w:t>甲方（采购人）</w:t>
            </w:r>
          </w:p>
        </w:tc>
        <w:tc>
          <w:tcPr>
            <w:tcW w:w="4537" w:type="dxa"/>
            <w:gridSpan w:val="2"/>
            <w:tcBorders>
              <w:left w:val="single" w:color="auto" w:sz="2" w:space="0"/>
              <w:bottom w:val="single" w:color="auto" w:sz="2" w:space="0"/>
            </w:tcBorders>
            <w:vAlign w:val="center"/>
          </w:tcPr>
          <w:p>
            <w:pPr>
              <w:snapToGrid w:val="0"/>
              <w:spacing w:line="360" w:lineRule="auto"/>
              <w:jc w:val="left"/>
              <w:rPr>
                <w:rFonts w:hint="eastAsia" w:ascii="宋体" w:hAnsi="宋体" w:cs="宋体"/>
                <w:sz w:val="24"/>
              </w:rPr>
            </w:pPr>
            <w:r>
              <w:rPr>
                <w:rFonts w:hint="eastAsia" w:ascii="宋体" w:hAnsi="宋体" w:cs="宋体"/>
                <w:sz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单位名称（公章或合同章）</w:t>
            </w:r>
          </w:p>
        </w:tc>
        <w:tc>
          <w:tcPr>
            <w:tcW w:w="274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单位名称（公章或合同章）</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法定代表人</w:t>
            </w:r>
          </w:p>
          <w:p>
            <w:pPr>
              <w:snapToGrid w:val="0"/>
              <w:spacing w:line="360" w:lineRule="auto"/>
              <w:ind w:firstLine="115" w:firstLineChars="48"/>
              <w:jc w:val="center"/>
              <w:rPr>
                <w:rFonts w:hint="eastAsia" w:ascii="宋体" w:hAnsi="宋体" w:cs="宋体"/>
                <w:sz w:val="24"/>
              </w:rPr>
            </w:pPr>
            <w:r>
              <w:rPr>
                <w:rFonts w:hint="eastAsia" w:ascii="宋体" w:hAnsi="宋体" w:cs="宋体"/>
                <w:sz w:val="24"/>
              </w:rPr>
              <w:t>或其委托代理人（签章）</w:t>
            </w:r>
          </w:p>
        </w:tc>
        <w:tc>
          <w:tcPr>
            <w:tcW w:w="2741" w:type="dxa"/>
            <w:vMerge w:val="restart"/>
            <w:tcBorders>
              <w:top w:val="single" w:color="auto" w:sz="2" w:space="0"/>
              <w:left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法定代表人</w:t>
            </w:r>
          </w:p>
          <w:p>
            <w:pPr>
              <w:snapToGrid w:val="0"/>
              <w:spacing w:line="360" w:lineRule="auto"/>
              <w:jc w:val="center"/>
              <w:rPr>
                <w:rFonts w:hint="eastAsia" w:ascii="宋体" w:hAnsi="宋体" w:cs="宋体"/>
                <w:sz w:val="24"/>
              </w:rPr>
            </w:pPr>
            <w:r>
              <w:rPr>
                <w:rFonts w:hint="eastAsia" w:ascii="宋体" w:hAnsi="宋体" w:cs="宋体"/>
                <w:sz w:val="24"/>
              </w:rPr>
              <w:t>或其委托代理人（签章）</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2741" w:type="dxa"/>
            <w:vMerge w:val="continue"/>
            <w:tcBorders>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拥有者性别</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住  所</w:t>
            </w:r>
          </w:p>
        </w:tc>
        <w:tc>
          <w:tcPr>
            <w:tcW w:w="274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住  所</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联 系 人</w:t>
            </w:r>
          </w:p>
        </w:tc>
        <w:tc>
          <w:tcPr>
            <w:tcW w:w="274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联 系 人</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联系电话</w:t>
            </w:r>
          </w:p>
        </w:tc>
        <w:tc>
          <w:tcPr>
            <w:tcW w:w="274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联系电话</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通信地址</w:t>
            </w:r>
          </w:p>
        </w:tc>
        <w:tc>
          <w:tcPr>
            <w:tcW w:w="274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通信地址</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邮政编码</w:t>
            </w:r>
          </w:p>
        </w:tc>
        <w:tc>
          <w:tcPr>
            <w:tcW w:w="274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邮政编码</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电子邮箱</w:t>
            </w:r>
          </w:p>
        </w:tc>
        <w:tc>
          <w:tcPr>
            <w:tcW w:w="274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电子邮箱</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统一社会信用代码</w:t>
            </w:r>
          </w:p>
        </w:tc>
        <w:tc>
          <w:tcPr>
            <w:tcW w:w="274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统一社会信用代码</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274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开户名称</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274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开户银行</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274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p>
        </w:tc>
        <w:tc>
          <w:tcPr>
            <w:tcW w:w="185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cs="宋体"/>
                <w:sz w:val="24"/>
              </w:rPr>
            </w:pPr>
            <w:r>
              <w:rPr>
                <w:rFonts w:hint="eastAsia" w:ascii="宋体" w:hAnsi="宋体" w:cs="宋体"/>
                <w:sz w:val="24"/>
              </w:rPr>
              <w:t>银行账号</w:t>
            </w:r>
          </w:p>
        </w:tc>
        <w:tc>
          <w:tcPr>
            <w:tcW w:w="2687" w:type="dxa"/>
            <w:tcBorders>
              <w:top w:val="single" w:color="auto" w:sz="2" w:space="0"/>
              <w:left w:val="single" w:color="auto" w:sz="2" w:space="0"/>
              <w:bottom w:val="single" w:color="auto" w:sz="2" w:space="0"/>
            </w:tcBorders>
            <w:vAlign w:val="center"/>
          </w:tcPr>
          <w:p>
            <w:pPr>
              <w:snapToGrid w:val="0"/>
              <w:spacing w:line="360" w:lineRule="auto"/>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169" w:type="dxa"/>
            <w:gridSpan w:val="4"/>
            <w:tcBorders>
              <w:top w:val="single" w:color="auto" w:sz="2" w:space="0"/>
            </w:tcBorders>
            <w:vAlign w:val="center"/>
          </w:tcPr>
          <w:p>
            <w:pPr>
              <w:pStyle w:val="2"/>
              <w:snapToGrid w:val="0"/>
              <w:spacing w:before="120" w:beforeLines="50" w:line="360" w:lineRule="auto"/>
              <w:jc w:val="left"/>
              <w:rPr>
                <w:rFonts w:hint="eastAsia" w:cs="宋体"/>
                <w:spacing w:val="20"/>
              </w:rPr>
            </w:pPr>
            <w:r>
              <w:rPr>
                <w:rFonts w:hint="eastAsia" w:cs="宋体"/>
              </w:rPr>
              <w:t>注：涉及联合体或其他合同主体的信息应按上表格式加列。</w:t>
            </w:r>
          </w:p>
        </w:tc>
      </w:tr>
    </w:tbl>
    <w:p>
      <w:pPr>
        <w:pStyle w:val="4"/>
        <w:adjustRightInd w:val="0"/>
        <w:snapToGrid w:val="0"/>
        <w:spacing w:before="120" w:beforeLines="50"/>
        <w:jc w:val="center"/>
        <w:rPr>
          <w:rFonts w:hint="eastAsia" w:ascii="宋体" w:hAnsi="宋体" w:eastAsia="宋体" w:cs="宋体"/>
          <w:sz w:val="24"/>
          <w:szCs w:val="24"/>
        </w:rPr>
      </w:pPr>
      <w:r>
        <w:rPr>
          <w:rFonts w:ascii="宋体" w:hAnsi="宋体"/>
          <w:sz w:val="21"/>
          <w:szCs w:val="21"/>
          <w:u w:val="single"/>
        </w:rPr>
        <w:br w:type="page"/>
      </w:r>
      <w:bookmarkStart w:id="397" w:name="_Toc27624"/>
      <w:r>
        <w:rPr>
          <w:rFonts w:hint="eastAsia" w:ascii="宋体" w:hAnsi="宋体" w:eastAsia="宋体" w:cs="宋体"/>
          <w:sz w:val="24"/>
          <w:szCs w:val="24"/>
        </w:rPr>
        <w:t>第二节 政府采购合同通用条款</w:t>
      </w:r>
      <w:bookmarkEnd w:id="397"/>
    </w:p>
    <w:p>
      <w:pPr>
        <w:tabs>
          <w:tab w:val="left" w:pos="8820"/>
          <w:tab w:val="left" w:pos="9345"/>
          <w:tab w:val="left" w:pos="9765"/>
        </w:tabs>
        <w:snapToGrid w:val="0"/>
        <w:spacing w:line="360" w:lineRule="auto"/>
        <w:jc w:val="left"/>
        <w:rPr>
          <w:rFonts w:hint="eastAsia" w:ascii="宋体" w:hAnsi="宋体" w:cs="宋体"/>
          <w:b/>
          <w:bCs/>
          <w:sz w:val="24"/>
        </w:rPr>
      </w:pPr>
      <w:r>
        <w:rPr>
          <w:rFonts w:hint="eastAsia" w:ascii="宋体" w:hAnsi="宋体" w:cs="宋体"/>
          <w:b/>
          <w:sz w:val="24"/>
        </w:rPr>
        <w:t xml:space="preserve">1. </w:t>
      </w:r>
      <w:r>
        <w:rPr>
          <w:rFonts w:hint="eastAsia" w:ascii="宋体" w:hAnsi="宋体" w:cs="宋体"/>
          <w:b/>
          <w:bCs/>
          <w:sz w:val="24"/>
        </w:rPr>
        <w:t>定义</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1.1合同当事人</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（1）采购人（以下称甲方）是指使用财政性资金，通过政府采购方式向供应商购买货物及其相关服务的国家机关、事业单位、团体组织。</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（2）供应商（以下称乙方）是指参加政府采购活动并且中标（成交），向采购人提供合同约定的货物及其相关服务的法人、非法人组织或者自然人。</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（3）其他合同主体是指除采购人和供应商以外，</w:t>
      </w:r>
      <w:r>
        <w:rPr>
          <w:rFonts w:hint="eastAsia" w:ascii="宋体" w:hAnsi="宋体" w:cs="宋体"/>
          <w:bCs/>
          <w:color w:val="000000" w:themeColor="text1"/>
          <w:sz w:val="24"/>
          <w14:textFill>
            <w14:solidFill>
              <w14:schemeClr w14:val="tx1"/>
            </w14:solidFill>
          </w14:textFill>
        </w:rPr>
        <w:t>依法参与合同缔结或履行，享有权利、承担义务的合同当事人</w:t>
      </w:r>
      <w:r>
        <w:rPr>
          <w:rFonts w:hint="eastAsia" w:ascii="宋体" w:hAnsi="宋体" w:cs="宋体"/>
          <w:sz w:val="24"/>
        </w:rPr>
        <w:t>。</w:t>
      </w:r>
    </w:p>
    <w:p>
      <w:pPr>
        <w:tabs>
          <w:tab w:val="left" w:pos="570"/>
          <w:tab w:val="left" w:pos="9240"/>
          <w:tab w:val="left" w:pos="9555"/>
        </w:tabs>
        <w:snapToGrid w:val="0"/>
        <w:spacing w:line="360" w:lineRule="auto"/>
        <w:ind w:firstLine="480" w:firstLineChars="200"/>
        <w:jc w:val="left"/>
        <w:rPr>
          <w:rFonts w:hint="eastAsia" w:ascii="宋体" w:hAnsi="宋体" w:cs="宋体"/>
          <w:sz w:val="24"/>
        </w:rPr>
      </w:pPr>
      <w:r>
        <w:rPr>
          <w:rFonts w:hint="eastAsia" w:ascii="宋体" w:hAnsi="宋体" w:cs="宋体"/>
          <w:sz w:val="24"/>
        </w:rPr>
        <w:t>1.2本合同下列术语应解释为：</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（1）“合同”系指</w:t>
      </w:r>
      <w:r>
        <w:rPr>
          <w:rFonts w:hint="eastAsia" w:ascii="宋体" w:hAnsi="宋体" w:cs="宋体"/>
          <w:bCs/>
          <w:color w:val="000000" w:themeColor="text1"/>
          <w:sz w:val="24"/>
          <w14:textFill>
            <w14:solidFill>
              <w14:schemeClr w14:val="tx1"/>
            </w14:solidFill>
          </w14:textFill>
        </w:rPr>
        <w:t>合同当事人意思表示达成一致的任何协议，包括签署的</w:t>
      </w:r>
      <w:r>
        <w:rPr>
          <w:rFonts w:hint="eastAsia" w:ascii="宋体" w:hAnsi="宋体" w:cs="宋体"/>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 w:val="24"/>
          <w14:textFill>
            <w14:solidFill>
              <w14:schemeClr w14:val="tx1"/>
            </w14:solidFill>
          </w14:textFill>
        </w:rPr>
        <w:t>国家法律、行政法规和规章制度规定或合同约定的作为合同组成部分的其他文件</w:t>
      </w:r>
      <w:r>
        <w:rPr>
          <w:rFonts w:hint="eastAsia" w:ascii="宋体" w:hAnsi="宋体" w:cs="宋体"/>
          <w:sz w:val="24"/>
        </w:rPr>
        <w:t>。</w:t>
      </w:r>
    </w:p>
    <w:p>
      <w:pPr>
        <w:tabs>
          <w:tab w:val="left" w:pos="570"/>
          <w:tab w:val="left" w:pos="9240"/>
          <w:tab w:val="left" w:pos="9555"/>
        </w:tabs>
        <w:snapToGrid w:val="0"/>
        <w:spacing w:line="360" w:lineRule="auto"/>
        <w:ind w:firstLine="480" w:firstLineChars="200"/>
        <w:jc w:val="left"/>
        <w:rPr>
          <w:rFonts w:hint="eastAsia" w:ascii="宋体" w:hAnsi="宋体" w:cs="宋体"/>
          <w:sz w:val="24"/>
        </w:rPr>
      </w:pPr>
      <w:r>
        <w:rPr>
          <w:rFonts w:hint="eastAsia" w:ascii="宋体" w:hAnsi="宋体" w:cs="宋体"/>
          <w:sz w:val="24"/>
        </w:rPr>
        <w:t>（2）“合同价款”系指根据本合同规定乙方在全面履行合同义务后甲方应支付给乙方的价款。</w:t>
      </w:r>
    </w:p>
    <w:p>
      <w:pPr>
        <w:tabs>
          <w:tab w:val="left" w:pos="570"/>
          <w:tab w:val="left" w:pos="9240"/>
          <w:tab w:val="left" w:pos="9555"/>
        </w:tabs>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sz w:val="24"/>
        </w:rPr>
        <w:t>（3）“货物”系指乙方根据本合同规定须向甲方提供的各种形态和种类的物品，包括原材料、设备、产品（</w:t>
      </w:r>
      <w:r>
        <w:rPr>
          <w:rFonts w:hint="eastAsia" w:ascii="宋体" w:hAnsi="宋体" w:cs="宋体"/>
          <w:color w:val="000000" w:themeColor="text1"/>
          <w:sz w:val="24"/>
          <w14:textFill>
            <w14:solidFill>
              <w14:schemeClr w14:val="tx1"/>
            </w14:solidFill>
          </w14:textFill>
        </w:rPr>
        <w:t>包括软件）及相关的其备品备件、工具、手册及</w:t>
      </w:r>
      <w:r>
        <w:rPr>
          <w:rFonts w:hint="eastAsia" w:ascii="宋体" w:hAnsi="宋体" w:cs="宋体"/>
          <w:color w:val="000000" w:themeColor="text1"/>
          <w:sz w:val="24"/>
          <w:lang w:val="en"/>
          <w14:textFill>
            <w14:solidFill>
              <w14:schemeClr w14:val="tx1"/>
            </w14:solidFill>
          </w14:textFill>
        </w:rPr>
        <w:t>其他</w:t>
      </w:r>
      <w:r>
        <w:rPr>
          <w:rFonts w:hint="eastAsia" w:ascii="宋体" w:hAnsi="宋体" w:cs="宋体"/>
          <w:color w:val="000000" w:themeColor="text1"/>
          <w:sz w:val="24"/>
          <w14:textFill>
            <w14:solidFill>
              <w14:schemeClr w14:val="tx1"/>
            </w14:solidFill>
          </w14:textFill>
        </w:rPr>
        <w:t>技术资料和材料等。</w:t>
      </w:r>
    </w:p>
    <w:p>
      <w:pPr>
        <w:snapToGrid w:val="0"/>
        <w:spacing w:line="360" w:lineRule="auto"/>
        <w:ind w:firstLine="480" w:firstLineChars="200"/>
        <w:jc w:val="lef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sz w:val="24"/>
        </w:rPr>
        <w:t>相关</w:t>
      </w:r>
      <w:r>
        <w:rPr>
          <w:rFonts w:hint="eastAsia" w:ascii="宋体" w:hAnsi="宋体" w:cs="宋体"/>
          <w:color w:val="000000" w:themeColor="text1"/>
          <w:sz w:val="24"/>
          <w14:textFill>
            <w14:solidFill>
              <w14:schemeClr w14:val="tx1"/>
            </w14:solidFill>
          </w14:textFill>
        </w:rPr>
        <w:t>服务”系指根据合同规定，乙方应提供的与货物有关的技术、管理和</w:t>
      </w:r>
      <w:r>
        <w:rPr>
          <w:rFonts w:hint="eastAsia" w:ascii="宋体" w:hAnsi="宋体" w:cs="宋体"/>
          <w:color w:val="000000" w:themeColor="text1"/>
          <w:sz w:val="24"/>
          <w:lang w:val="en"/>
          <w14:textFill>
            <w14:solidFill>
              <w14:schemeClr w14:val="tx1"/>
            </w14:solidFill>
          </w14:textFill>
        </w:rPr>
        <w:t>其他</w:t>
      </w:r>
      <w:r>
        <w:rPr>
          <w:rFonts w:hint="eastAsia" w:ascii="宋体" w:hAnsi="宋体" w:cs="宋体"/>
          <w:color w:val="000000" w:themeColor="text1"/>
          <w:sz w:val="24"/>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cs="宋体"/>
          <w:color w:val="000000" w:themeColor="text1"/>
          <w:sz w:val="24"/>
          <w:lang w:val="en"/>
          <w14:textFill>
            <w14:solidFill>
              <w14:schemeClr w14:val="tx1"/>
            </w14:solidFill>
          </w14:textFill>
        </w:rPr>
        <w:t>其他</w:t>
      </w:r>
      <w:r>
        <w:rPr>
          <w:rFonts w:hint="eastAsia" w:ascii="宋体" w:hAnsi="宋体" w:cs="宋体"/>
          <w:color w:val="000000" w:themeColor="text1"/>
          <w:sz w:val="24"/>
          <w14:textFill>
            <w14:solidFill>
              <w14:schemeClr w14:val="tx1"/>
            </w14:solidFill>
          </w14:textFill>
        </w:rPr>
        <w:t>义务。</w:t>
      </w:r>
    </w:p>
    <w:p>
      <w:pPr>
        <w:snapToGrid w:val="0"/>
        <w:spacing w:line="360" w:lineRule="auto"/>
        <w:ind w:firstLine="480" w:firstLineChars="200"/>
        <w:jc w:val="lef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sz w:val="24"/>
        </w:rPr>
        <w:t>“联合体”系指由两个以上的自然人、法人或者非法人组织组成，以一个供应商的身份共同参加政府采购的主体</w:t>
      </w:r>
      <w:r>
        <w:rPr>
          <w:rFonts w:hint="eastAsia" w:ascii="宋体" w:hAnsi="宋体" w:cs="宋体"/>
          <w:color w:val="000000" w:themeColor="text1"/>
          <w:sz w:val="24"/>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000000" w:themeColor="text1"/>
          <w:sz w:val="24"/>
          <w14:textFill>
            <w14:solidFill>
              <w14:schemeClr w14:val="tx1"/>
            </w14:solidFill>
          </w14:textFill>
        </w:rPr>
        <w:t>政府采购合同专用条款</w:t>
      </w:r>
      <w:r>
        <w:rPr>
          <w:rFonts w:hint="eastAsia" w:ascii="宋体" w:hAnsi="宋体" w:cs="宋体"/>
          <w:color w:val="000000" w:themeColor="text1"/>
          <w:sz w:val="24"/>
          <w14:textFill>
            <w14:solidFill>
              <w14:schemeClr w14:val="tx1"/>
            </w14:solidFill>
          </w14:textFill>
        </w:rPr>
        <w:t>】。</w:t>
      </w:r>
    </w:p>
    <w:p>
      <w:pPr>
        <w:tabs>
          <w:tab w:val="left" w:pos="570"/>
          <w:tab w:val="left" w:pos="9240"/>
          <w:tab w:val="left" w:pos="9555"/>
        </w:tabs>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（7）其他术语解释，见【</w:t>
      </w:r>
      <w:r>
        <w:rPr>
          <w:rFonts w:hint="eastAsia" w:ascii="宋体" w:hAnsi="宋体" w:cs="宋体"/>
          <w:b/>
          <w:bCs/>
          <w:color w:val="000000" w:themeColor="text1"/>
          <w:sz w:val="24"/>
          <w14:textFill>
            <w14:solidFill>
              <w14:schemeClr w14:val="tx1"/>
            </w14:solidFill>
          </w14:textFill>
        </w:rPr>
        <w:t>政府采购合同专用条款</w:t>
      </w:r>
      <w:r>
        <w:rPr>
          <w:rFonts w:hint="eastAsia" w:ascii="宋体" w:hAnsi="宋体" w:cs="宋体"/>
          <w:color w:val="000000" w:themeColor="text1"/>
          <w:sz w:val="24"/>
          <w14:textFill>
            <w14:solidFill>
              <w14:schemeClr w14:val="tx1"/>
            </w14:solidFill>
          </w14:textFill>
        </w:rPr>
        <w:t>】。</w:t>
      </w:r>
    </w:p>
    <w:p>
      <w:pPr>
        <w:numPr>
          <w:ilvl w:val="0"/>
          <w:numId w:val="8"/>
        </w:numPr>
        <w:autoSpaceDE w:val="0"/>
        <w:autoSpaceDN w:val="0"/>
        <w:snapToGrid w:val="0"/>
        <w:spacing w:line="360" w:lineRule="auto"/>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合同标的及金额</w:t>
      </w:r>
    </w:p>
    <w:p>
      <w:pPr>
        <w:autoSpaceDE w:val="0"/>
        <w:autoSpaceDN w:val="0"/>
        <w:snapToGrid w:val="0"/>
        <w:spacing w:line="360" w:lineRule="auto"/>
        <w:ind w:firstLine="480" w:firstLineChars="200"/>
        <w:jc w:val="left"/>
        <w:rPr>
          <w:rFonts w:hint="eastAsia" w:ascii="宋体" w:hAnsi="宋体" w:cs="宋体"/>
          <w:b/>
          <w:bCs/>
          <w:i/>
          <w:i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cs="宋体"/>
          <w:color w:val="000000" w:themeColor="text1"/>
          <w:sz w:val="24"/>
          <w:lang w:val="en"/>
          <w14:textFill>
            <w14:solidFill>
              <w14:schemeClr w14:val="tx1"/>
            </w14:solidFill>
          </w14:textFill>
        </w:rPr>
        <w:t>其他</w:t>
      </w:r>
      <w:r>
        <w:rPr>
          <w:rFonts w:hint="eastAsia" w:ascii="宋体" w:hAnsi="宋体" w:cs="宋体"/>
          <w:color w:val="000000" w:themeColor="text1"/>
          <w:sz w:val="24"/>
          <w14:textFill>
            <w14:solidFill>
              <w14:schemeClr w14:val="tx1"/>
            </w14:solidFill>
          </w14:textFill>
        </w:rPr>
        <w:t>任何费用。</w:t>
      </w:r>
    </w:p>
    <w:p>
      <w:pPr>
        <w:snapToGrid w:val="0"/>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 履行合同的时间、地点和方式</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3.1 </w:t>
      </w:r>
      <w:r>
        <w:rPr>
          <w:rFonts w:hint="eastAsia" w:ascii="宋体" w:hAnsi="宋体" w:cs="宋体"/>
          <w:sz w:val="24"/>
        </w:rPr>
        <w:t>乙方应当在约定的时间、地点，按照约定方式履行合同。</w:t>
      </w:r>
    </w:p>
    <w:p>
      <w:pPr>
        <w:autoSpaceDE w:val="0"/>
        <w:autoSpaceDN w:val="0"/>
        <w:snapToGrid w:val="0"/>
        <w:spacing w:line="360" w:lineRule="auto"/>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 甲方的权利和义务</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甲方有权要求乙方对缺陷部分予以修复，并按合同约定享有货物保修及其他合同约定的权利。</w:t>
      </w:r>
    </w:p>
    <w:p>
      <w:pPr>
        <w:snapToGrid w:val="0"/>
        <w:spacing w:line="360" w:lineRule="auto"/>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4.4 甲方应当按照合同约定及时对交付的货物进行验收，</w:t>
      </w:r>
      <w:r>
        <w:rPr>
          <w:rFonts w:hint="eastAsia" w:ascii="宋体" w:hAnsi="宋体" w:cs="宋体"/>
          <w:sz w:val="24"/>
        </w:rPr>
        <w:t>未</w:t>
      </w:r>
      <w:r>
        <w:rPr>
          <w:rFonts w:hint="eastAsia" w:ascii="宋体" w:hAnsi="宋体" w:cs="宋体"/>
          <w:color w:val="000000" w:themeColor="text1"/>
          <w:sz w:val="24"/>
          <w14:textFill>
            <w14:solidFill>
              <w14:schemeClr w14:val="tx1"/>
            </w14:solidFill>
          </w14:textFill>
        </w:rPr>
        <w:t>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w:t>
      </w:r>
      <w:r>
        <w:rPr>
          <w:rFonts w:hint="eastAsia" w:ascii="宋体" w:hAnsi="宋体" w:cs="宋体"/>
          <w:color w:val="000000" w:themeColor="text1"/>
          <w:sz w:val="24"/>
          <w14:textFill>
            <w14:solidFill>
              <w14:schemeClr w14:val="tx1"/>
            </w14:solidFill>
          </w14:textFill>
        </w:rPr>
        <w:t>视为验收通过。</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甲方应当根据合同约定及时向乙方支付合同价款，不得以内部人员变更、履行内部付款流程等为由，拒绝或迟延支付。</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 国家法律法规规定及</w:t>
      </w:r>
      <w:r>
        <w:rPr>
          <w:rFonts w:hint="eastAsia" w:ascii="宋体" w:hAnsi="宋体" w:cs="宋体"/>
          <w:b/>
          <w:bCs/>
          <w:sz w:val="24"/>
        </w:rPr>
        <w:t>【政府采购合同专用条款】</w:t>
      </w:r>
      <w:r>
        <w:rPr>
          <w:rFonts w:hint="eastAsia" w:ascii="宋体" w:hAnsi="宋体" w:cs="宋体"/>
          <w:color w:val="000000" w:themeColor="text1"/>
          <w:sz w:val="24"/>
          <w14:textFill>
            <w14:solidFill>
              <w14:schemeClr w14:val="tx1"/>
            </w14:solidFill>
          </w14:textFill>
        </w:rPr>
        <w:t>约定应由甲方承担的其他义务和责任。</w:t>
      </w:r>
    </w:p>
    <w:p>
      <w:pPr>
        <w:autoSpaceDE w:val="0"/>
        <w:autoSpaceDN w:val="0"/>
        <w:snapToGrid w:val="0"/>
        <w:spacing w:line="360" w:lineRule="auto"/>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 乙方的权利和义务</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签署合同后，乙方应确定项目负责人（或项目联系人），负责与本合同有关的事务。</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24"/>
        <w:ind w:firstLine="422" w:firstLineChars="176"/>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5.3乙方有权根据合同约定向甲方收取合同价款。</w:t>
      </w:r>
    </w:p>
    <w:p>
      <w:pPr>
        <w:pStyle w:val="24"/>
        <w:ind w:firstLine="422" w:firstLineChars="176"/>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5.4国家法律法规规定及</w:t>
      </w:r>
      <w:r>
        <w:rPr>
          <w:rFonts w:hint="eastAsia" w:hAnsi="宋体" w:cs="宋体"/>
          <w:b/>
          <w:bCs/>
          <w:szCs w:val="24"/>
        </w:rPr>
        <w:t>【政府采购合同专用条款】</w:t>
      </w:r>
      <w:r>
        <w:rPr>
          <w:rFonts w:hint="eastAsia" w:hAnsi="宋体" w:cs="宋体"/>
          <w:szCs w:val="24"/>
        </w:rPr>
        <w:t>约定应</w:t>
      </w:r>
      <w:r>
        <w:rPr>
          <w:rFonts w:hint="eastAsia" w:hAnsi="宋体" w:cs="宋体"/>
          <w:color w:val="000000" w:themeColor="text1"/>
          <w:szCs w:val="24"/>
          <w14:textFill>
            <w14:solidFill>
              <w14:schemeClr w14:val="tx1"/>
            </w14:solidFill>
          </w14:textFill>
        </w:rPr>
        <w:t>由乙方承担的其他义务和责任。</w:t>
      </w:r>
    </w:p>
    <w:p>
      <w:pPr>
        <w:numPr>
          <w:ilvl w:val="0"/>
          <w:numId w:val="9"/>
        </w:numPr>
        <w:autoSpaceDE w:val="0"/>
        <w:autoSpaceDN w:val="0"/>
        <w:snapToGrid w:val="0"/>
        <w:spacing w:line="360" w:lineRule="auto"/>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合同履行</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 甲乙双方应当按照</w:t>
      </w:r>
      <w:r>
        <w:rPr>
          <w:rFonts w:hint="eastAsia" w:ascii="宋体" w:hAnsi="宋体" w:cs="宋体"/>
          <w:b/>
          <w:bCs/>
          <w:sz w:val="24"/>
        </w:rPr>
        <w:t>【政府采购合同专用条款】</w:t>
      </w:r>
      <w:r>
        <w:rPr>
          <w:rFonts w:hint="eastAsia" w:ascii="宋体" w:hAnsi="宋体" w:cs="宋体"/>
          <w:color w:val="000000" w:themeColor="text1"/>
          <w:sz w:val="24"/>
          <w14:textFill>
            <w14:solidFill>
              <w14:schemeClr w14:val="tx1"/>
            </w14:solidFill>
          </w14:textFill>
        </w:rPr>
        <w:t>约定顺序履行合同义务；如果没有先后顺序的，应当同时履行。</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color w:val="000000" w:themeColor="text1"/>
          <w:sz w:val="24"/>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pPr>
        <w:snapToGrid w:val="0"/>
        <w:spacing w:line="360" w:lineRule="auto"/>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 货物包装、运输、保险和交付要求</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 本合同</w:t>
      </w:r>
      <w:r>
        <w:rPr>
          <w:rFonts w:hint="eastAsia" w:ascii="宋体" w:hAnsi="宋体" w:cs="宋体"/>
          <w:bCs/>
          <w:color w:val="000000" w:themeColor="text1"/>
          <w:sz w:val="24"/>
          <w14:textFill>
            <w14:solidFill>
              <w14:schemeClr w14:val="tx1"/>
            </w14:solidFill>
          </w14:textFill>
        </w:rPr>
        <w:t>涉及商品包装、快递包装的，</w:t>
      </w:r>
      <w:r>
        <w:rPr>
          <w:rFonts w:hint="eastAsia" w:ascii="宋体" w:hAnsi="宋体" w:cs="宋体"/>
          <w:color w:val="000000" w:themeColor="text1"/>
          <w:sz w:val="24"/>
          <w14:textFill>
            <w14:solidFill>
              <w14:schemeClr w14:val="tx1"/>
            </w14:solidFill>
          </w14:textFill>
        </w:rPr>
        <w:t>除</w:t>
      </w:r>
      <w:r>
        <w:rPr>
          <w:rFonts w:hint="eastAsia" w:ascii="宋体" w:hAnsi="宋体" w:cs="宋体"/>
          <w:b/>
          <w:color w:val="000000" w:themeColor="text1"/>
          <w:sz w:val="24"/>
          <w14:textFill>
            <w14:solidFill>
              <w14:schemeClr w14:val="tx1"/>
            </w14:solidFill>
          </w14:textFill>
        </w:rPr>
        <w:t>【政府采购合同专用条款】</w:t>
      </w:r>
      <w:r>
        <w:rPr>
          <w:rFonts w:hint="eastAsia" w:ascii="宋体" w:hAnsi="宋体" w:cs="宋体"/>
          <w:bCs/>
          <w:color w:val="000000" w:themeColor="text1"/>
          <w:sz w:val="24"/>
          <w14:textFill>
            <w14:solidFill>
              <w14:schemeClr w14:val="tx1"/>
            </w14:solidFill>
          </w14:textFill>
        </w:rPr>
        <w:t>另有约定外，</w:t>
      </w:r>
      <w:r>
        <w:rPr>
          <w:rFonts w:hint="eastAsia" w:ascii="宋体" w:hAnsi="宋体" w:cs="宋体"/>
          <w:color w:val="000000" w:themeColor="text1"/>
          <w:sz w:val="24"/>
          <w14:textFill>
            <w14:solidFill>
              <w14:schemeClr w14:val="tx1"/>
            </w14:solidFill>
          </w14:textFill>
        </w:rPr>
        <w:t>包装应适应远距离运输、防潮、防震、防锈和防野蛮装卸等要求，确保货物安全无损地运抵</w:t>
      </w:r>
      <w:r>
        <w:rPr>
          <w:rFonts w:hint="eastAsia" w:ascii="宋体" w:hAnsi="宋体" w:cs="宋体"/>
          <w:b/>
          <w:color w:val="000000" w:themeColor="text1"/>
          <w:sz w:val="24"/>
          <w14:textFill>
            <w14:solidFill>
              <w14:schemeClr w14:val="tx1"/>
            </w14:solidFill>
          </w14:textFill>
        </w:rPr>
        <w:t>【政府采购合同专用条款】</w:t>
      </w:r>
      <w:r>
        <w:rPr>
          <w:rFonts w:hint="eastAsia" w:ascii="宋体" w:hAnsi="宋体" w:cs="宋体"/>
          <w:bCs/>
          <w:color w:val="000000" w:themeColor="text1"/>
          <w:sz w:val="24"/>
          <w14:textFill>
            <w14:solidFill>
              <w14:schemeClr w14:val="tx1"/>
            </w14:solidFill>
          </w14:textFill>
        </w:rPr>
        <w:t>约定的</w:t>
      </w:r>
      <w:r>
        <w:rPr>
          <w:rFonts w:hint="eastAsia" w:ascii="宋体" w:hAnsi="宋体" w:cs="宋体"/>
          <w:color w:val="000000" w:themeColor="text1"/>
          <w:sz w:val="24"/>
          <w14:textFill>
            <w14:solidFill>
              <w14:schemeClr w14:val="tx1"/>
            </w14:solidFill>
          </w14:textFill>
        </w:rPr>
        <w:t>指定现场。</w:t>
      </w: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 除</w:t>
      </w:r>
      <w:r>
        <w:rPr>
          <w:rFonts w:hint="eastAsia" w:ascii="宋体" w:hAnsi="宋体" w:cs="宋体"/>
          <w:b/>
          <w:color w:val="000000" w:themeColor="text1"/>
          <w:sz w:val="24"/>
          <w14:textFill>
            <w14:solidFill>
              <w14:schemeClr w14:val="tx1"/>
            </w14:solidFill>
          </w14:textFill>
        </w:rPr>
        <w:t>【政府采购合同专用条款】</w:t>
      </w:r>
      <w:r>
        <w:rPr>
          <w:rFonts w:hint="eastAsia" w:ascii="宋体" w:hAnsi="宋体" w:cs="宋体"/>
          <w:bCs/>
          <w:color w:val="000000" w:themeColor="text1"/>
          <w:sz w:val="24"/>
          <w14:textFill>
            <w14:solidFill>
              <w14:schemeClr w14:val="tx1"/>
            </w14:solidFill>
          </w14:textFill>
        </w:rPr>
        <w:t>另有约定外，</w:t>
      </w:r>
      <w:r>
        <w:rPr>
          <w:rFonts w:hint="eastAsia" w:ascii="宋体" w:hAnsi="宋体" w:cs="宋体"/>
          <w:color w:val="000000" w:themeColor="text1"/>
          <w:sz w:val="24"/>
          <w14:textFill>
            <w14:solidFill>
              <w14:schemeClr w14:val="tx1"/>
            </w14:solidFill>
          </w14:textFill>
        </w:rPr>
        <w:t>乙方负责办理将货物运抵本合同规定的交货地点，并装卸、交付至甲方的一切运输事项，相关费用应包含在合同价款中。</w:t>
      </w: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 货物保险要求按</w:t>
      </w:r>
      <w:r>
        <w:rPr>
          <w:rFonts w:hint="eastAsia" w:ascii="宋体" w:hAnsi="宋体" w:cs="宋体"/>
          <w:b/>
          <w:color w:val="000000" w:themeColor="text1"/>
          <w:sz w:val="24"/>
          <w14:textFill>
            <w14:solidFill>
              <w14:schemeClr w14:val="tx1"/>
            </w14:solidFill>
          </w14:textFill>
        </w:rPr>
        <w:t>【政府采购合同专用条款】</w:t>
      </w:r>
      <w:r>
        <w:rPr>
          <w:rFonts w:hint="eastAsia" w:ascii="宋体" w:hAnsi="宋体" w:cs="宋体"/>
          <w:bCs/>
          <w:color w:val="000000" w:themeColor="text1"/>
          <w:sz w:val="24"/>
          <w14:textFill>
            <w14:solidFill>
              <w14:schemeClr w14:val="tx1"/>
            </w14:solidFill>
          </w14:textFill>
        </w:rPr>
        <w:t>规定执行</w:t>
      </w:r>
      <w:r>
        <w:rPr>
          <w:rFonts w:hint="eastAsia" w:ascii="宋体" w:hAnsi="宋体" w:cs="宋体"/>
          <w:color w:val="000000" w:themeColor="text1"/>
          <w:sz w:val="24"/>
          <w14:textFill>
            <w14:solidFill>
              <w14:schemeClr w14:val="tx1"/>
            </w14:solidFill>
          </w14:textFill>
        </w:rPr>
        <w:t>。</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7.5 </w:t>
      </w:r>
      <w:r>
        <w:rPr>
          <w:rFonts w:hint="eastAsia" w:ascii="宋体" w:hAnsi="宋体" w:cs="宋体"/>
          <w:color w:val="000000"/>
          <w:sz w:val="24"/>
        </w:rPr>
        <w:t>乙方在运输到达之前应提前通知甲方，并提示货物运输装卸的注意事项，甲方配合乙方做好货物的接收工作。</w:t>
      </w:r>
    </w:p>
    <w:p>
      <w:pPr>
        <w:pStyle w:val="79"/>
        <w:spacing w:line="360" w:lineRule="auto"/>
        <w:ind w:firstLine="480"/>
        <w:rPr>
          <w:rFonts w:hint="eastAsia" w:ascii="宋体" w:hAnsi="宋体" w:eastAsia="宋体" w:cs="宋体"/>
          <w:sz w:val="24"/>
          <w:szCs w:val="24"/>
        </w:rPr>
      </w:pPr>
      <w:r>
        <w:rPr>
          <w:rFonts w:hint="eastAsia" w:ascii="宋体" w:hAnsi="宋体" w:eastAsia="宋体" w:cs="宋体"/>
          <w:color w:val="000000" w:themeColor="text1"/>
          <w:kern w:val="2"/>
          <w:sz w:val="24"/>
          <w:szCs w:val="24"/>
          <w14:textFill>
            <w14:solidFill>
              <w14:schemeClr w14:val="tx1"/>
            </w14:solidFill>
          </w14:textFill>
        </w:rPr>
        <w:t xml:space="preserve">7.6 </w:t>
      </w:r>
      <w:r>
        <w:rPr>
          <w:rFonts w:hint="eastAsia" w:ascii="宋体" w:hAnsi="宋体" w:eastAsia="宋体" w:cs="宋体"/>
          <w:color w:val="000000"/>
          <w:kern w:val="2"/>
          <w:sz w:val="24"/>
          <w:szCs w:val="24"/>
        </w:rPr>
        <w:t>如因包装、运输问题导致货物</w:t>
      </w:r>
      <w:r>
        <w:rPr>
          <w:rFonts w:hint="eastAsia" w:ascii="宋体" w:hAnsi="宋体" w:eastAsia="宋体" w:cs="宋体"/>
          <w:color w:val="000000" w:themeColor="text1"/>
          <w:kern w:val="2"/>
          <w:sz w:val="24"/>
          <w:szCs w:val="24"/>
          <w14:textFill>
            <w14:solidFill>
              <w14:schemeClr w14:val="tx1"/>
            </w14:solidFill>
          </w14:textFill>
        </w:rPr>
        <w:t>损毁、丢失</w:t>
      </w:r>
      <w:r>
        <w:rPr>
          <w:rFonts w:hint="eastAsia" w:ascii="宋体" w:hAnsi="宋体" w:eastAsia="宋体" w:cs="宋体"/>
          <w:color w:val="000000"/>
          <w:kern w:val="2"/>
          <w:sz w:val="24"/>
          <w:szCs w:val="24"/>
        </w:rPr>
        <w:t>或者品质下降，甲方有权要求降价、换货、拒收部分或整批货物，由此产生的费用和损失，均由乙方承担。</w:t>
      </w:r>
    </w:p>
    <w:p>
      <w:pPr>
        <w:snapToGrid w:val="0"/>
        <w:spacing w:line="360" w:lineRule="auto"/>
        <w:jc w:val="left"/>
        <w:rPr>
          <w:rFonts w:hint="eastAsia" w:ascii="宋体" w:hAnsi="宋体" w:cs="宋体"/>
          <w:b/>
          <w:sz w:val="24"/>
        </w:rPr>
      </w:pPr>
      <w:r>
        <w:rPr>
          <w:rFonts w:hint="eastAsia" w:ascii="宋体" w:hAnsi="宋体" w:cs="宋体"/>
          <w:b/>
          <w:color w:val="000000" w:themeColor="text1"/>
          <w:sz w:val="24"/>
          <w14:textFill>
            <w14:solidFill>
              <w14:schemeClr w14:val="tx1"/>
            </w14:solidFill>
          </w14:textFill>
        </w:rPr>
        <w:t xml:space="preserve">8. </w:t>
      </w:r>
      <w:r>
        <w:rPr>
          <w:rFonts w:hint="eastAsia" w:ascii="宋体" w:hAnsi="宋体" w:cs="宋体"/>
          <w:b/>
          <w:sz w:val="24"/>
        </w:rPr>
        <w:t>质量标准和保证</w:t>
      </w:r>
    </w:p>
    <w:p>
      <w:pPr>
        <w:pStyle w:val="32"/>
        <w:snapToGrid w:val="0"/>
        <w:spacing w:line="360" w:lineRule="auto"/>
        <w:ind w:firstLine="480" w:firstLineChars="200"/>
        <w:jc w:val="left"/>
        <w:rPr>
          <w:rFonts w:hint="eastAsia" w:hAnsi="宋体" w:cs="宋体"/>
          <w:b/>
          <w:sz w:val="24"/>
          <w:szCs w:val="24"/>
        </w:rPr>
      </w:pPr>
      <w:r>
        <w:rPr>
          <w:rFonts w:hint="eastAsia" w:hAnsi="宋体" w:cs="宋体"/>
          <w:sz w:val="24"/>
          <w:szCs w:val="24"/>
        </w:rPr>
        <w:t>8.1 质量标准</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（1）本合同下提供的货物应符合合同</w:t>
      </w:r>
      <w:r>
        <w:rPr>
          <w:rFonts w:hint="eastAsia" w:ascii="宋体" w:hAnsi="宋体" w:cs="宋体"/>
          <w:color w:val="000000"/>
          <w:sz w:val="24"/>
        </w:rPr>
        <w:t>约定的</w:t>
      </w:r>
      <w:r>
        <w:rPr>
          <w:rFonts w:hint="eastAsia" w:ascii="宋体" w:hAnsi="宋体" w:cs="宋体"/>
          <w:sz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32"/>
        <w:snapToGrid w:val="0"/>
        <w:spacing w:line="360" w:lineRule="auto"/>
        <w:ind w:firstLine="480" w:firstLineChars="200"/>
        <w:jc w:val="left"/>
        <w:rPr>
          <w:rFonts w:hint="eastAsia" w:hAnsi="宋体" w:cs="宋体"/>
          <w:sz w:val="24"/>
          <w:szCs w:val="24"/>
        </w:rPr>
      </w:pPr>
      <w:r>
        <w:rPr>
          <w:rFonts w:hint="eastAsia" w:hAnsi="宋体" w:cs="宋体"/>
          <w:sz w:val="24"/>
          <w:szCs w:val="24"/>
        </w:rPr>
        <w:t>（2）采用中华人民共和国法定计量单位。</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（3）乙方所提供的货物应符合国家有关安全、环保、卫生的规定。</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（4）乙方应向甲方提交所提供货物的技术文件，包括相应的中文技术文件，如：产品目录、图纸、操作手册、使用说明、维护手册或服务指南等。上述文件应包装好随货物一同发运。</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8.2 保证</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 w:val="24"/>
        </w:rPr>
        <w:t>【政府采购合同专用条款】</w:t>
      </w:r>
      <w:r>
        <w:rPr>
          <w:rFonts w:hint="eastAsia" w:ascii="宋体" w:hAnsi="宋体" w:cs="宋体"/>
          <w:sz w:val="24"/>
        </w:rPr>
        <w:t>规定或乙方书面承诺（两者以较长的为准）的质量保证期内，本保证保持有效。</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（2）在质量保证期内所发现的缺陷，甲方应尽快以书面形式通知乙方。</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（3）乙方收到通知后，应在</w:t>
      </w:r>
      <w:r>
        <w:rPr>
          <w:rFonts w:hint="eastAsia" w:ascii="宋体" w:hAnsi="宋体" w:cs="宋体"/>
          <w:b/>
          <w:sz w:val="24"/>
        </w:rPr>
        <w:t>【政府采购合同专用条款】</w:t>
      </w:r>
      <w:r>
        <w:rPr>
          <w:rFonts w:hint="eastAsia" w:ascii="宋体" w:hAnsi="宋体" w:cs="宋体"/>
          <w:sz w:val="24"/>
        </w:rPr>
        <w:t>规定的响应时间内以合理的速度免费维修或更换有缺陷的货物或部件。</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（4）在质量保证期内，如果货物的质量或规格与合同不符，或证实货物是有缺陷的，包括潜在的缺陷或使用不符合要求的材料等，甲方可以根据本合同第1</w:t>
      </w:r>
      <w:r>
        <w:rPr>
          <w:rFonts w:hint="eastAsia" w:ascii="宋体" w:hAnsi="宋体" w:cs="宋体"/>
          <w:color w:val="000000" w:themeColor="text1"/>
          <w:sz w:val="24"/>
          <w14:textFill>
            <w14:solidFill>
              <w14:schemeClr w14:val="tx1"/>
            </w14:solidFill>
          </w14:textFill>
        </w:rPr>
        <w:t>5</w:t>
      </w:r>
      <w:r>
        <w:rPr>
          <w:rFonts w:hint="eastAsia" w:ascii="宋体" w:hAnsi="宋体" w:cs="宋体"/>
          <w:sz w:val="24"/>
        </w:rPr>
        <w:t>.1条规定以书面形式</w:t>
      </w:r>
      <w:r>
        <w:rPr>
          <w:rFonts w:hint="eastAsia" w:ascii="宋体" w:hAnsi="宋体" w:cs="宋体"/>
          <w:color w:val="000000" w:themeColor="text1"/>
          <w:sz w:val="24"/>
          <w14:textFill>
            <w14:solidFill>
              <w14:schemeClr w14:val="tx1"/>
            </w14:solidFill>
          </w14:textFill>
        </w:rPr>
        <w:t>追究</w:t>
      </w:r>
      <w:r>
        <w:rPr>
          <w:rFonts w:hint="eastAsia" w:ascii="宋体" w:hAnsi="宋体" w:cs="宋体"/>
          <w:sz w:val="24"/>
        </w:rPr>
        <w:t>乙方</w:t>
      </w:r>
      <w:r>
        <w:rPr>
          <w:rFonts w:hint="eastAsia" w:ascii="宋体" w:hAnsi="宋体" w:cs="宋体"/>
          <w:color w:val="000000" w:themeColor="text1"/>
          <w:sz w:val="24"/>
          <w14:textFill>
            <w14:solidFill>
              <w14:schemeClr w14:val="tx1"/>
            </w14:solidFill>
          </w14:textFill>
        </w:rPr>
        <w:t>的违约责任</w:t>
      </w:r>
      <w:r>
        <w:rPr>
          <w:rFonts w:hint="eastAsia" w:ascii="宋体" w:hAnsi="宋体" w:cs="宋体"/>
          <w:sz w:val="24"/>
        </w:rPr>
        <w:t>。</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（5）乙方在约定的时间内未能弥补缺陷，甲方可采取必要的补救措施，但其风险和费用将由乙方承担，甲方根据合同约定对乙方行使的其他权利不受影响。</w:t>
      </w:r>
    </w:p>
    <w:p>
      <w:pPr>
        <w:snapToGrid w:val="0"/>
        <w:spacing w:line="360" w:lineRule="auto"/>
        <w:jc w:val="left"/>
        <w:rPr>
          <w:rFonts w:hint="eastAsia" w:ascii="宋体" w:hAnsi="宋体" w:cs="宋体"/>
          <w:b/>
          <w:bCs/>
          <w:sz w:val="24"/>
        </w:rPr>
      </w:pPr>
      <w:r>
        <w:rPr>
          <w:rFonts w:hint="eastAsia" w:ascii="宋体" w:hAnsi="宋体" w:cs="宋体"/>
          <w:b/>
          <w:bCs/>
          <w:color w:val="000000" w:themeColor="text1"/>
          <w:sz w:val="24"/>
          <w14:textFill>
            <w14:solidFill>
              <w14:schemeClr w14:val="tx1"/>
            </w14:solidFill>
          </w14:textFill>
        </w:rPr>
        <w:t>9</w:t>
      </w:r>
      <w:r>
        <w:rPr>
          <w:rFonts w:hint="eastAsia" w:ascii="宋体" w:hAnsi="宋体" w:cs="宋体"/>
          <w:b/>
          <w:bCs/>
          <w:sz w:val="24"/>
        </w:rPr>
        <w:t>.</w:t>
      </w: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b/>
          <w:bCs/>
          <w:sz w:val="24"/>
        </w:rPr>
        <w:t>权利瑕疵担保</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 乙方保证对其出售的货物享有合法的权利。</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9.2 </w:t>
      </w:r>
      <w:r>
        <w:rPr>
          <w:rFonts w:hint="eastAsia" w:ascii="宋体" w:hAnsi="宋体" w:cs="宋体"/>
          <w:sz w:val="24"/>
        </w:rPr>
        <w:t>乙方保证在交付的货物上不存在抵押权等担保物权。</w:t>
      </w:r>
    </w:p>
    <w:p>
      <w:pPr>
        <w:autoSpaceDE w:val="0"/>
        <w:autoSpaceDN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 如甲方使用上述货物构成对第三人侵权的，则由乙方承担全部责任。</w:t>
      </w:r>
    </w:p>
    <w:p>
      <w:pPr>
        <w:autoSpaceDE w:val="0"/>
        <w:autoSpaceDN w:val="0"/>
        <w:snapToGrid w:val="0"/>
        <w:spacing w:line="360" w:lineRule="auto"/>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 知识产权保护</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color w:val="000000" w:themeColor="text1"/>
          <w:sz w:val="24"/>
          <w14:textFill>
            <w14:solidFill>
              <w14:schemeClr w14:val="tx1"/>
            </w14:solidFill>
          </w14:textFill>
        </w:rPr>
        <w:t>10.1 乙方对其所销售的货物应当享有知识产权或经权利人合法授权，保证没有侵犯任</w:t>
      </w:r>
      <w:r>
        <w:rPr>
          <w:rFonts w:hint="eastAsia" w:ascii="宋体" w:hAnsi="宋体" w:cs="宋体"/>
          <w:sz w:val="24"/>
        </w:rPr>
        <w:t>何第三人的知识产权等权利。</w:t>
      </w:r>
      <w:bookmarkStart w:id="398"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398"/>
      <w:r>
        <w:rPr>
          <w:rFonts w:hint="eastAsia" w:ascii="宋体" w:hAnsi="宋体" w:cs="宋体"/>
          <w:sz w:val="24"/>
        </w:rPr>
        <w:t>。</w:t>
      </w:r>
    </w:p>
    <w:p>
      <w:pPr>
        <w:autoSpaceDE w:val="0"/>
        <w:autoSpaceDN w:val="0"/>
        <w:snapToGrid w:val="0"/>
        <w:spacing w:line="360" w:lineRule="auto"/>
        <w:jc w:val="left"/>
        <w:rPr>
          <w:rFonts w:hint="eastAsia" w:ascii="宋体" w:hAnsi="宋体" w:cs="宋体"/>
          <w:b/>
          <w:bCs/>
          <w:sz w:val="24"/>
        </w:rPr>
      </w:pPr>
      <w:r>
        <w:rPr>
          <w:rFonts w:hint="eastAsia" w:ascii="宋体" w:hAnsi="宋体" w:cs="宋体"/>
          <w:b/>
          <w:bCs/>
          <w:sz w:val="24"/>
        </w:rPr>
        <w:t>11. 保密义务</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pPr>
        <w:autoSpaceDE w:val="0"/>
        <w:autoSpaceDN w:val="0"/>
        <w:snapToGrid w:val="0"/>
        <w:spacing w:line="360" w:lineRule="auto"/>
        <w:jc w:val="left"/>
        <w:rPr>
          <w:rFonts w:hint="eastAsia" w:ascii="宋体" w:hAnsi="宋体" w:cs="宋体"/>
          <w:b/>
          <w:bCs/>
          <w:sz w:val="24"/>
        </w:rPr>
      </w:pPr>
      <w:r>
        <w:rPr>
          <w:rFonts w:hint="eastAsia" w:ascii="宋体" w:hAnsi="宋体" w:cs="宋体"/>
          <w:b/>
          <w:bCs/>
          <w:sz w:val="24"/>
        </w:rPr>
        <w:t>12. 合同价款支付</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12.1 合同价款支付按照国库集中支付制度及财政管理相关规定执行。</w:t>
      </w:r>
    </w:p>
    <w:p>
      <w:pPr>
        <w:pStyle w:val="4"/>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rPr>
        <w:t xml:space="preserve">12.2 </w:t>
      </w:r>
      <w:r>
        <w:rPr>
          <w:rFonts w:hint="eastAsia" w:ascii="宋体" w:hAnsi="宋体" w:eastAsia="宋体" w:cs="宋体"/>
          <w:b w:val="0"/>
          <w:bCs w:val="0"/>
          <w:sz w:val="24"/>
          <w:szCs w:val="24"/>
        </w:rPr>
        <w:t>对于满足合同约定支付条件的，</w:t>
      </w:r>
      <w:r>
        <w:rPr>
          <w:rFonts w:hint="eastAsia" w:ascii="宋体" w:hAnsi="宋体" w:eastAsia="宋体" w:cs="宋体"/>
          <w:b w:val="0"/>
          <w:bCs w:val="0"/>
          <w:sz w:val="24"/>
          <w:szCs w:val="24"/>
          <w:lang w:val="en-US"/>
        </w:rPr>
        <w:t>甲方</w:t>
      </w:r>
      <w:r>
        <w:rPr>
          <w:rFonts w:hint="eastAsia" w:ascii="宋体" w:hAnsi="宋体" w:eastAsia="宋体" w:cs="宋体"/>
          <w:b w:val="0"/>
          <w:bCs w:val="0"/>
          <w:sz w:val="24"/>
          <w:szCs w:val="24"/>
        </w:rPr>
        <w:t>原则上应当自收到发票后10个工作日内将资金支付到合同约定的乙方账户，不得以机构变动、人员更替、政策调整等为由迟延付款，不得将采购文件和合同中未规定的义务作为向</w:t>
      </w:r>
      <w:r>
        <w:rPr>
          <w:rFonts w:hint="eastAsia" w:ascii="宋体" w:hAnsi="宋体" w:eastAsia="宋体" w:cs="宋体"/>
          <w:b w:val="0"/>
          <w:bCs w:val="0"/>
          <w:sz w:val="24"/>
          <w:szCs w:val="24"/>
          <w:lang w:val="en-US"/>
        </w:rPr>
        <w:t>乙方</w:t>
      </w:r>
      <w:r>
        <w:rPr>
          <w:rFonts w:hint="eastAsia" w:ascii="宋体" w:hAnsi="宋体" w:eastAsia="宋体" w:cs="宋体"/>
          <w:b w:val="0"/>
          <w:bCs w:val="0"/>
          <w:sz w:val="24"/>
          <w:szCs w:val="24"/>
        </w:rPr>
        <w:t>付款的条件。具体合同价款支付时间在【</w:t>
      </w:r>
      <w:r>
        <w:rPr>
          <w:rFonts w:hint="eastAsia" w:ascii="宋体" w:hAnsi="宋体" w:eastAsia="宋体" w:cs="宋体"/>
          <w:sz w:val="24"/>
          <w:szCs w:val="24"/>
        </w:rPr>
        <w:t>政府采购合同专用条款</w:t>
      </w:r>
      <w:r>
        <w:rPr>
          <w:rFonts w:hint="eastAsia" w:ascii="宋体" w:hAnsi="宋体" w:eastAsia="宋体" w:cs="宋体"/>
          <w:b w:val="0"/>
          <w:bCs w:val="0"/>
          <w:sz w:val="24"/>
          <w:szCs w:val="24"/>
        </w:rPr>
        <w:t>】中约定。</w:t>
      </w:r>
    </w:p>
    <w:p>
      <w:pPr>
        <w:pStyle w:val="24"/>
        <w:rPr>
          <w:rFonts w:hint="eastAsia" w:hAnsi="宋体" w:cs="宋体"/>
          <w:b/>
          <w:bCs/>
          <w:szCs w:val="24"/>
        </w:rPr>
      </w:pPr>
      <w:r>
        <w:rPr>
          <w:rFonts w:hint="eastAsia" w:hAnsi="宋体" w:cs="宋体"/>
          <w:b/>
          <w:bCs/>
          <w:szCs w:val="24"/>
        </w:rPr>
        <w:t>13.</w:t>
      </w:r>
      <w:r>
        <w:rPr>
          <w:rFonts w:hint="eastAsia" w:hAnsi="宋体" w:cs="宋体"/>
          <w:b/>
          <w:bCs/>
          <w:szCs w:val="24"/>
          <w:lang w:val="en-US"/>
        </w:rPr>
        <w:t xml:space="preserve"> </w:t>
      </w:r>
      <w:r>
        <w:rPr>
          <w:rFonts w:hint="eastAsia" w:hAnsi="宋体" w:cs="宋体"/>
          <w:b/>
          <w:bCs/>
          <w:szCs w:val="24"/>
        </w:rPr>
        <w:t>履约保证金</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13.1 乙方应当以支票、汇票、本票或者金融机构、担保机构出具的保函等非现金形式提交。</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约定情形的，履约保证金不予退还；如果乙方未能按合同约定全面履行义务，甲方有权从履约保证金中取得补偿或赔偿，且不影响甲方要求乙方承担合同约定的超过履约保证金的违约责任的权利。</w:t>
      </w:r>
    </w:p>
    <w:p>
      <w:pPr>
        <w:spacing w:line="360" w:lineRule="auto"/>
        <w:ind w:firstLine="420"/>
        <w:rPr>
          <w:rFonts w:hint="eastAsia" w:ascii="宋体" w:hAnsi="宋体" w:cs="宋体"/>
          <w:sz w:val="24"/>
        </w:rPr>
      </w:pPr>
      <w:r>
        <w:rPr>
          <w:rFonts w:hint="eastAsia" w:ascii="宋体" w:hAnsi="宋体" w:cs="宋体"/>
          <w:sz w:val="24"/>
        </w:rPr>
        <w:t>13.3 甲方在项目通过验收后按照</w:t>
      </w:r>
      <w:r>
        <w:rPr>
          <w:rFonts w:hint="eastAsia" w:ascii="宋体" w:hAnsi="宋体" w:cs="宋体"/>
          <w:b/>
          <w:sz w:val="24"/>
        </w:rPr>
        <w:t>【政府采购合同专用条款】</w:t>
      </w:r>
      <w:r>
        <w:rPr>
          <w:rFonts w:hint="eastAsia" w:ascii="宋体" w:hAnsi="宋体" w:cs="宋体"/>
          <w:sz w:val="24"/>
        </w:rPr>
        <w:t>规定的时间内将履约保证金退还乙方；逾期退还的，乙方可要求甲方支付违约金，违约金按照</w:t>
      </w:r>
      <w:r>
        <w:rPr>
          <w:rFonts w:hint="eastAsia" w:ascii="宋体" w:hAnsi="宋体" w:cs="宋体"/>
          <w:b/>
          <w:sz w:val="24"/>
        </w:rPr>
        <w:t>【政府采购合同专用条款】</w:t>
      </w:r>
      <w:r>
        <w:rPr>
          <w:rFonts w:hint="eastAsia" w:ascii="宋体" w:hAnsi="宋体" w:cs="宋体"/>
          <w:sz w:val="24"/>
        </w:rPr>
        <w:t>规定支付。</w:t>
      </w:r>
    </w:p>
    <w:p>
      <w:pPr>
        <w:autoSpaceDE w:val="0"/>
        <w:autoSpaceDN w:val="0"/>
        <w:snapToGrid w:val="0"/>
        <w:spacing w:line="360" w:lineRule="auto"/>
        <w:jc w:val="left"/>
        <w:rPr>
          <w:rFonts w:hint="eastAsia" w:ascii="宋体" w:hAnsi="宋体" w:cs="宋体"/>
          <w:b/>
          <w:sz w:val="24"/>
        </w:rPr>
      </w:pPr>
      <w:r>
        <w:rPr>
          <w:rFonts w:hint="eastAsia" w:ascii="宋体" w:hAnsi="宋体" w:cs="宋体"/>
          <w:b/>
          <w:bCs/>
          <w:sz w:val="24"/>
        </w:rPr>
        <w:t xml:space="preserve">14. </w:t>
      </w:r>
      <w:r>
        <w:rPr>
          <w:rFonts w:hint="eastAsia" w:ascii="宋体" w:hAnsi="宋体" w:cs="宋体"/>
          <w:b/>
          <w:sz w:val="24"/>
        </w:rPr>
        <w:t>售后服务</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14.1 除项目不涉及或采购活动中明确约定无须承担外，乙方还应提供下列服务：</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（1）货物的现场移动、安装、调试、启动监督及技术支持；</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（2）提供货物组装和维修所需的专用工具和辅助材料；</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（3）在</w:t>
      </w:r>
      <w:r>
        <w:rPr>
          <w:rFonts w:hint="eastAsia" w:ascii="宋体" w:hAnsi="宋体" w:cs="宋体"/>
          <w:b/>
          <w:bCs/>
          <w:sz w:val="24"/>
        </w:rPr>
        <w:t>【政府采购合同专用条款】</w:t>
      </w:r>
      <w:r>
        <w:rPr>
          <w:rFonts w:hint="eastAsia" w:ascii="宋体" w:hAnsi="宋体" w:cs="宋体"/>
          <w:sz w:val="24"/>
        </w:rPr>
        <w:t>约定的期限内对所有的货物实施运行监督、维修，但前提条件是该服务并不能免除乙方在质量保证期内所承担的义务；</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（4）在制造商所在地或指定现场就货物的安装、启动、运营、维护、废弃处置等对甲方操作人员进行培训；</w:t>
      </w:r>
    </w:p>
    <w:p>
      <w:pPr>
        <w:pStyle w:val="79"/>
        <w:spacing w:line="360" w:lineRule="auto"/>
        <w:ind w:firstLine="480"/>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（6）</w:t>
      </w:r>
      <w:r>
        <w:rPr>
          <w:rFonts w:hint="eastAsia" w:ascii="宋体" w:hAnsi="宋体" w:cs="宋体"/>
          <w:b/>
          <w:sz w:val="24"/>
        </w:rPr>
        <w:t>【政府采购合同专用条款】</w:t>
      </w:r>
      <w:r>
        <w:rPr>
          <w:rFonts w:hint="eastAsia" w:ascii="宋体" w:hAnsi="宋体" w:cs="宋体"/>
          <w:sz w:val="24"/>
        </w:rPr>
        <w:t>规定由乙方提供的其他服务。</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14.2 乙方提供的售后服务的费用已包含在合同价款中，甲方不再另行支付。</w:t>
      </w:r>
    </w:p>
    <w:p>
      <w:pPr>
        <w:snapToGrid w:val="0"/>
        <w:spacing w:line="360" w:lineRule="auto"/>
        <w:jc w:val="left"/>
        <w:rPr>
          <w:rFonts w:hint="eastAsia" w:ascii="宋体" w:hAnsi="宋体" w:cs="宋体"/>
          <w:b/>
          <w:bCs/>
          <w:sz w:val="24"/>
        </w:rPr>
      </w:pPr>
      <w:r>
        <w:rPr>
          <w:rFonts w:hint="eastAsia" w:ascii="宋体" w:hAnsi="宋体" w:cs="宋体"/>
          <w:b/>
          <w:bCs/>
          <w:sz w:val="24"/>
        </w:rPr>
        <w:t>15. 违约责任</w:t>
      </w:r>
    </w:p>
    <w:p>
      <w:pPr>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15.1质量瑕疵的违约责任</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乙方提供的产品不符合合同约定的质量标准或存在产品质量缺陷，甲方有权要求乙方根据</w:t>
      </w:r>
      <w:r>
        <w:rPr>
          <w:rFonts w:hint="eastAsia" w:ascii="宋体" w:hAnsi="宋体" w:cs="宋体"/>
          <w:b/>
          <w:sz w:val="24"/>
        </w:rPr>
        <w:t>【政府采购合同专用条款】</w:t>
      </w:r>
      <w:r>
        <w:rPr>
          <w:rFonts w:hint="eastAsia" w:ascii="宋体" w:hAnsi="宋体" w:cs="宋体"/>
          <w:bCs/>
          <w:sz w:val="24"/>
        </w:rPr>
        <w:t>要求</w:t>
      </w:r>
      <w:r>
        <w:rPr>
          <w:rFonts w:hint="eastAsia" w:ascii="宋体" w:hAnsi="宋体" w:cs="宋体"/>
          <w:sz w:val="24"/>
        </w:rPr>
        <w:t>及时修理、重作、更换，并承担由此给甲方造成的损失。</w:t>
      </w:r>
    </w:p>
    <w:p>
      <w:pPr>
        <w:autoSpaceDE w:val="0"/>
        <w:autoSpaceDN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15.2 迟延交货的违约责任</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（2）如果乙方没有按照合同规定的时间交货和提供相关服务，甲方有权从货款中扣除误期赔偿费而不影响合同项下的其他补救方法，赔偿费按</w:t>
      </w:r>
      <w:r>
        <w:rPr>
          <w:rFonts w:hint="eastAsia" w:ascii="宋体" w:hAnsi="宋体" w:cs="宋体"/>
          <w:b/>
          <w:sz w:val="24"/>
        </w:rPr>
        <w:t>【政府采购合同专用条款】</w:t>
      </w:r>
      <w:r>
        <w:rPr>
          <w:rFonts w:hint="eastAsia" w:ascii="宋体" w:hAnsi="宋体" w:cs="宋体"/>
          <w:sz w:val="24"/>
        </w:rPr>
        <w:t>规定执行。如果涉及公共利益，且赔偿金额无法弥补公共利益损失，甲方可要求继续履行或者采取其他补救措施。</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15.3 迟延支付的违约责任</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甲方存在迟延支付乙方合同款项的，应当承担</w:t>
      </w:r>
      <w:r>
        <w:rPr>
          <w:rFonts w:hint="eastAsia" w:ascii="宋体" w:hAnsi="宋体" w:cs="宋体"/>
          <w:b/>
          <w:bCs/>
          <w:sz w:val="24"/>
        </w:rPr>
        <w:t>【政府采购合同专用条款】</w:t>
      </w:r>
      <w:r>
        <w:rPr>
          <w:rFonts w:hint="eastAsia" w:ascii="宋体" w:hAnsi="宋体" w:cs="宋体"/>
          <w:sz w:val="24"/>
        </w:rPr>
        <w:t>规定的逾期付款利息。</w:t>
      </w:r>
    </w:p>
    <w:p>
      <w:pPr>
        <w:snapToGrid w:val="0"/>
        <w:spacing w:line="360" w:lineRule="auto"/>
        <w:ind w:firstLine="480" w:firstLineChars="200"/>
        <w:jc w:val="left"/>
        <w:rPr>
          <w:rFonts w:hint="eastAsia" w:ascii="宋体" w:hAnsi="宋体" w:cs="宋体"/>
          <w:sz w:val="24"/>
        </w:rPr>
      </w:pPr>
      <w:r>
        <w:rPr>
          <w:rFonts w:hint="eastAsia" w:ascii="宋体" w:hAnsi="宋体" w:cs="宋体"/>
          <w:bCs/>
          <w:sz w:val="24"/>
        </w:rPr>
        <w:t>15.4其他违约责任根据项目实际需要按</w:t>
      </w:r>
      <w:r>
        <w:rPr>
          <w:rFonts w:hint="eastAsia" w:ascii="宋体" w:hAnsi="宋体" w:cs="宋体"/>
          <w:b/>
          <w:bCs/>
          <w:sz w:val="24"/>
        </w:rPr>
        <w:t>【政府采购合同专用条款】</w:t>
      </w:r>
      <w:r>
        <w:rPr>
          <w:rFonts w:hint="eastAsia" w:ascii="宋体" w:hAnsi="宋体" w:cs="宋体"/>
          <w:sz w:val="24"/>
        </w:rPr>
        <w:t>规定执行。</w:t>
      </w:r>
    </w:p>
    <w:p>
      <w:pPr>
        <w:numPr>
          <w:ilvl w:val="0"/>
          <w:numId w:val="10"/>
        </w:numPr>
        <w:autoSpaceDE w:val="0"/>
        <w:autoSpaceDN w:val="0"/>
        <w:snapToGrid w:val="0"/>
        <w:spacing w:line="360" w:lineRule="auto"/>
        <w:jc w:val="left"/>
        <w:rPr>
          <w:rFonts w:hint="eastAsia" w:ascii="宋体" w:hAnsi="宋体" w:cs="宋体"/>
          <w:b/>
          <w:sz w:val="24"/>
        </w:rPr>
      </w:pPr>
      <w:r>
        <w:rPr>
          <w:rFonts w:hint="eastAsia" w:ascii="宋体" w:hAnsi="宋体" w:cs="宋体"/>
          <w:b/>
          <w:sz w:val="24"/>
        </w:rPr>
        <w:t>合同变更、中止与终止</w:t>
      </w:r>
    </w:p>
    <w:p>
      <w:pPr>
        <w:snapToGrid w:val="0"/>
        <w:spacing w:line="360" w:lineRule="auto"/>
        <w:jc w:val="left"/>
        <w:rPr>
          <w:rFonts w:hint="eastAsia" w:ascii="宋体" w:hAnsi="宋体" w:cs="宋体"/>
          <w:sz w:val="24"/>
        </w:rPr>
      </w:pPr>
      <w:r>
        <w:rPr>
          <w:rFonts w:hint="eastAsia" w:ascii="宋体" w:hAnsi="宋体" w:cs="宋体"/>
          <w:sz w:val="24"/>
        </w:rPr>
        <w:t xml:space="preserve">    16.1合同的变更</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政府采购合同履行中，在不改变合同其他条款的前提下，甲方可以在合同价款10%的范围内追加与合同标的相同的货物，并就此与乙方协商一致后签订补充协议。</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16.2合同的中止</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（1）合同履行过程中因供应商就采购文件、采购过程或结果提起投诉的，甲方认为有必要的，可以中止合同的履行。</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79"/>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（4）甲方不得以行政区划调整、政府换届、机构或者职能调整以及相关责任人更替为由中止合同。</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16.3合同的终止</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（1）合同因有效期限届满而终止；</w:t>
      </w:r>
    </w:p>
    <w:p>
      <w:pPr>
        <w:snapToGrid w:val="0"/>
        <w:spacing w:line="360" w:lineRule="auto"/>
        <w:ind w:firstLine="480" w:firstLineChars="200"/>
        <w:rPr>
          <w:rFonts w:hint="eastAsia" w:ascii="宋体" w:hAnsi="宋体" w:cs="宋体"/>
          <w:sz w:val="24"/>
        </w:rPr>
      </w:pPr>
      <w:r>
        <w:rPr>
          <w:rFonts w:hint="eastAsia" w:ascii="宋体" w:hAnsi="宋体" w:cs="宋体"/>
          <w:sz w:val="24"/>
        </w:rPr>
        <w:t>（2）乙方未按合同约定履行，构成根本性违约的，甲方有权终止合同，并追究乙方的违约责任。</w:t>
      </w:r>
    </w:p>
    <w:p>
      <w:pPr>
        <w:pStyle w:val="79"/>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kern w:val="2"/>
          <w:sz w:val="24"/>
          <w:szCs w:val="24"/>
        </w:rPr>
        <w:t>涉及国家利益、社会公共利益的情形</w:t>
      </w:r>
    </w:p>
    <w:p>
      <w:pPr>
        <w:pStyle w:val="79"/>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snapToGrid w:val="0"/>
        <w:spacing w:line="360" w:lineRule="auto"/>
        <w:jc w:val="left"/>
        <w:rPr>
          <w:rFonts w:hint="eastAsia" w:ascii="宋体" w:hAnsi="宋体" w:cs="宋体"/>
          <w:b/>
          <w:bCs/>
          <w:sz w:val="24"/>
        </w:rPr>
      </w:pPr>
      <w:r>
        <w:rPr>
          <w:rFonts w:hint="eastAsia" w:ascii="宋体" w:hAnsi="宋体" w:cs="宋体"/>
          <w:b/>
          <w:bCs/>
          <w:sz w:val="24"/>
        </w:rPr>
        <w:t>17. 合同分包</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17.1 乙方不得将合同转包给其他供应商。涉及合同分包的，乙方应根据采购文件和投标（响应）文件规定进行合同分包。</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17.2 乙方执行政府采购政策向中小企业依法分包的，乙方应当按采购文件和投标（响应）文件签订分包意向协议，分包意向协议属于本合同组成部分。</w:t>
      </w:r>
    </w:p>
    <w:p>
      <w:pPr>
        <w:autoSpaceDE w:val="0"/>
        <w:autoSpaceDN w:val="0"/>
        <w:snapToGrid w:val="0"/>
        <w:spacing w:line="360" w:lineRule="auto"/>
        <w:jc w:val="left"/>
        <w:rPr>
          <w:rFonts w:hint="eastAsia" w:ascii="宋体" w:hAnsi="宋体" w:cs="宋体"/>
          <w:b/>
          <w:bCs/>
          <w:sz w:val="24"/>
        </w:rPr>
      </w:pPr>
      <w:r>
        <w:rPr>
          <w:rFonts w:hint="eastAsia" w:ascii="宋体" w:hAnsi="宋体" w:cs="宋体"/>
          <w:b/>
          <w:bCs/>
          <w:sz w:val="24"/>
        </w:rPr>
        <w:t>18. 不可抗力</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18.1 不可抗力是指合同双方不能预见、不能避免且不能克服的客观情况。</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18.2 任何一方对由于不可抗力造成的部分或全部不能履行合同不承担违约责任。但迟延履行后发生不可抗力的，不能免除责任。</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snapToGrid w:val="0"/>
        <w:spacing w:line="360" w:lineRule="auto"/>
        <w:jc w:val="left"/>
        <w:rPr>
          <w:rFonts w:hint="eastAsia" w:ascii="宋体" w:hAnsi="宋体" w:cs="宋体"/>
          <w:b/>
          <w:bCs/>
          <w:sz w:val="24"/>
        </w:rPr>
      </w:pPr>
      <w:r>
        <w:rPr>
          <w:rFonts w:hint="eastAsia" w:ascii="宋体" w:hAnsi="宋体" w:cs="宋体"/>
          <w:b/>
          <w:bCs/>
          <w:sz w:val="24"/>
        </w:rPr>
        <w:t>19. 解决争议的方法</w:t>
      </w:r>
    </w:p>
    <w:p>
      <w:pPr>
        <w:pStyle w:val="79"/>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pPr>
        <w:pStyle w:val="79"/>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pPr>
        <w:pStyle w:val="79"/>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pPr>
        <w:autoSpaceDE w:val="0"/>
        <w:autoSpaceDN w:val="0"/>
        <w:snapToGrid w:val="0"/>
        <w:spacing w:line="360" w:lineRule="auto"/>
        <w:jc w:val="left"/>
        <w:rPr>
          <w:rFonts w:hint="eastAsia" w:ascii="宋体" w:hAnsi="宋体" w:cs="宋体"/>
          <w:sz w:val="24"/>
        </w:rPr>
      </w:pPr>
      <w:r>
        <w:rPr>
          <w:rFonts w:hint="eastAsia" w:ascii="宋体" w:hAnsi="宋体" w:cs="宋体"/>
          <w:b/>
          <w:sz w:val="24"/>
        </w:rPr>
        <w:t>20. 政府采购政策</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20.1 </w:t>
      </w:r>
      <w:r>
        <w:rPr>
          <w:rFonts w:hint="eastAsia" w:ascii="宋体" w:hAnsi="宋体" w:cs="宋体"/>
          <w:sz w:val="24"/>
          <w:lang w:val="en-GB"/>
        </w:rPr>
        <w:t>本合同应当按照规定执行政府采购政策。</w:t>
      </w:r>
    </w:p>
    <w:p>
      <w:pPr>
        <w:autoSpaceDE w:val="0"/>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rPr>
        <w:t>20.2 本合同依法执行政府采购政策的方式和内容，属于合同履约验收的范围。甲乙双方</w:t>
      </w:r>
      <w:r>
        <w:rPr>
          <w:rFonts w:hint="eastAsia" w:ascii="宋体" w:hAnsi="宋体" w:cs="宋体"/>
          <w:sz w:val="24"/>
          <w:lang w:val="en-GB"/>
        </w:rPr>
        <w:t>未按规定要求执行政府采购政策造成损失的</w:t>
      </w:r>
      <w:r>
        <w:rPr>
          <w:rFonts w:hint="eastAsia" w:ascii="宋体" w:hAnsi="宋体" w:cs="宋体"/>
          <w:sz w:val="24"/>
        </w:rPr>
        <w:t>，有过错的一方应当承担赔偿责任，双方都有过错的，各自承担相应的责任。</w:t>
      </w:r>
    </w:p>
    <w:p>
      <w:pPr>
        <w:pStyle w:val="24"/>
        <w:ind w:firstLine="480" w:firstLineChars="200"/>
        <w:rPr>
          <w:rFonts w:hint="eastAsia" w:hAnsi="宋体" w:cs="宋体"/>
          <w:szCs w:val="24"/>
        </w:rPr>
      </w:pPr>
      <w:r>
        <w:rPr>
          <w:rFonts w:hint="eastAsia" w:hAnsi="宋体" w:cs="宋体"/>
          <w:szCs w:val="24"/>
        </w:rPr>
        <w:t>2</w:t>
      </w:r>
      <w:r>
        <w:rPr>
          <w:rFonts w:hint="eastAsia" w:hAnsi="宋体" w:cs="宋体"/>
          <w:szCs w:val="24"/>
          <w:lang w:val="en-US"/>
        </w:rPr>
        <w:t>0</w:t>
      </w:r>
      <w:r>
        <w:rPr>
          <w:rFonts w:hint="eastAsia" w:hAnsi="宋体" w:cs="宋体"/>
          <w:szCs w:val="24"/>
        </w:rPr>
        <w:t>.</w:t>
      </w:r>
      <w:r>
        <w:rPr>
          <w:rFonts w:hint="eastAsia" w:hAnsi="宋体" w:cs="宋体"/>
          <w:szCs w:val="24"/>
          <w:lang w:val="en-US"/>
        </w:rPr>
        <w:t>3</w:t>
      </w:r>
      <w:r>
        <w:rPr>
          <w:rFonts w:hint="eastAsia" w:hAnsi="宋体" w:cs="宋体"/>
          <w:szCs w:val="24"/>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snapToGrid w:val="0"/>
        <w:spacing w:line="360" w:lineRule="auto"/>
        <w:jc w:val="left"/>
        <w:rPr>
          <w:rFonts w:hint="eastAsia" w:ascii="宋体" w:hAnsi="宋体" w:cs="宋体"/>
          <w:b/>
          <w:sz w:val="24"/>
        </w:rPr>
      </w:pPr>
      <w:r>
        <w:rPr>
          <w:rFonts w:hint="eastAsia" w:ascii="宋体" w:hAnsi="宋体" w:cs="宋体"/>
          <w:b/>
          <w:sz w:val="24"/>
        </w:rPr>
        <w:t>21. 法律适用</w:t>
      </w:r>
    </w:p>
    <w:p>
      <w:pPr>
        <w:pStyle w:val="79"/>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pPr>
        <w:pStyle w:val="79"/>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pPr>
        <w:numPr>
          <w:ilvl w:val="255"/>
          <w:numId w:val="0"/>
        </w:numPr>
        <w:autoSpaceDE w:val="0"/>
        <w:autoSpaceDN w:val="0"/>
        <w:snapToGrid w:val="0"/>
        <w:spacing w:line="360" w:lineRule="auto"/>
        <w:jc w:val="left"/>
        <w:rPr>
          <w:rFonts w:hint="eastAsia" w:ascii="宋体" w:hAnsi="宋体" w:cs="宋体"/>
          <w:b/>
          <w:sz w:val="24"/>
        </w:rPr>
      </w:pPr>
      <w:r>
        <w:rPr>
          <w:rFonts w:hint="eastAsia" w:ascii="宋体" w:hAnsi="宋体" w:cs="宋体"/>
          <w:b/>
          <w:sz w:val="24"/>
        </w:rPr>
        <w:t>22. 通知</w:t>
      </w:r>
    </w:p>
    <w:p>
      <w:pPr>
        <w:pStyle w:val="79"/>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pPr>
        <w:pStyle w:val="79"/>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22.3本合同一方给另一方的通知均应采用书面形式，传真或快递送到本合同中规定的对方的地址和办理签收手续。</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22.4通知以送达之日或通知书中规定的生效之日起生效，两者中以较迟之日为准。</w:t>
      </w:r>
    </w:p>
    <w:p>
      <w:pPr>
        <w:numPr>
          <w:ilvl w:val="0"/>
          <w:numId w:val="11"/>
        </w:numPr>
        <w:snapToGrid w:val="0"/>
        <w:spacing w:line="360" w:lineRule="auto"/>
        <w:jc w:val="left"/>
        <w:rPr>
          <w:rFonts w:hint="eastAsia" w:ascii="宋体" w:hAnsi="宋体" w:cs="宋体"/>
          <w:b/>
          <w:bCs/>
          <w:sz w:val="24"/>
        </w:rPr>
      </w:pPr>
      <w:r>
        <w:rPr>
          <w:rFonts w:hint="eastAsia" w:ascii="宋体" w:hAnsi="宋体" w:cs="宋体"/>
          <w:b/>
          <w:bCs/>
          <w:sz w:val="24"/>
        </w:rPr>
        <w:t>合同未尽事项</w:t>
      </w:r>
    </w:p>
    <w:p>
      <w:pPr>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23.1合同未尽事项见</w:t>
      </w:r>
      <w:r>
        <w:rPr>
          <w:rFonts w:hint="eastAsia" w:ascii="宋体" w:hAnsi="宋体" w:cs="宋体"/>
          <w:b/>
          <w:sz w:val="24"/>
        </w:rPr>
        <w:t>【政府采购合同专用条款】</w:t>
      </w:r>
      <w:r>
        <w:rPr>
          <w:rFonts w:hint="eastAsia" w:ascii="宋体" w:hAnsi="宋体" w:cs="宋体"/>
          <w:bCs/>
          <w:sz w:val="24"/>
        </w:rPr>
        <w:t>。</w:t>
      </w:r>
    </w:p>
    <w:p>
      <w:pPr>
        <w:snapToGrid w:val="0"/>
        <w:spacing w:line="360" w:lineRule="auto"/>
        <w:jc w:val="left"/>
        <w:rPr>
          <w:rFonts w:hint="eastAsia" w:ascii="宋体" w:hAnsi="宋体" w:cs="宋体"/>
          <w:sz w:val="24"/>
        </w:rPr>
      </w:pPr>
      <w:r>
        <w:rPr>
          <w:rFonts w:hint="eastAsia" w:ascii="宋体" w:hAnsi="宋体" w:cs="宋体"/>
          <w:bCs/>
          <w:sz w:val="24"/>
        </w:rPr>
        <w:t xml:space="preserve">    23.2 合同附件与合同正文具有同等的法律效力。</w:t>
      </w:r>
      <w:bookmarkStart w:id="399" w:name="_Toc20313"/>
    </w:p>
    <w:p>
      <w:pPr>
        <w:snapToGrid w:val="0"/>
        <w:jc w:val="center"/>
        <w:rPr>
          <w:rFonts w:hint="eastAsia" w:ascii="黑体" w:hAnsi="华文中宋" w:eastAsia="黑体"/>
          <w:sz w:val="28"/>
          <w:szCs w:val="28"/>
        </w:rPr>
      </w:pPr>
      <w:r>
        <w:rPr>
          <w:rFonts w:hint="eastAsia" w:ascii="黑体" w:hAnsi="华文中宋" w:eastAsia="黑体"/>
          <w:sz w:val="28"/>
          <w:szCs w:val="28"/>
        </w:rPr>
        <w:br w:type="page"/>
      </w:r>
    </w:p>
    <w:p>
      <w:pPr>
        <w:pStyle w:val="4"/>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第三节 政府采购合同专用条款</w:t>
      </w:r>
      <w:bookmarkEnd w:id="399"/>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第1.2（6）项</w:t>
            </w:r>
          </w:p>
        </w:tc>
        <w:tc>
          <w:tcPr>
            <w:tcW w:w="1742" w:type="dxa"/>
            <w:vAlign w:val="center"/>
          </w:tcPr>
          <w:p>
            <w:pPr>
              <w:snapToGrid w:val="0"/>
              <w:jc w:val="left"/>
              <w:rPr>
                <w:rFonts w:hint="eastAsia" w:ascii="宋体" w:hAnsi="宋体" w:cs="宋体"/>
                <w:sz w:val="24"/>
              </w:rPr>
            </w:pPr>
            <w:r>
              <w:rPr>
                <w:rFonts w:hint="eastAsia" w:ascii="宋体" w:hAnsi="宋体" w:cs="宋体"/>
                <w:sz w:val="24"/>
              </w:rPr>
              <w:t>联合体具体要求</w:t>
            </w:r>
          </w:p>
        </w:tc>
        <w:tc>
          <w:tcPr>
            <w:tcW w:w="5170" w:type="dxa"/>
            <w:vAlign w:val="center"/>
          </w:tcPr>
          <w:p>
            <w:pPr>
              <w:snapToGrid w:val="0"/>
              <w:jc w:val="left"/>
              <w:rPr>
                <w:rFonts w:hint="eastAsia"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第1.2（7）项</w:t>
            </w:r>
          </w:p>
        </w:tc>
        <w:tc>
          <w:tcPr>
            <w:tcW w:w="1742" w:type="dxa"/>
            <w:vAlign w:val="center"/>
          </w:tcPr>
          <w:p>
            <w:pPr>
              <w:snapToGrid w:val="0"/>
              <w:jc w:val="left"/>
              <w:rPr>
                <w:rFonts w:hint="eastAsia" w:ascii="宋体" w:hAnsi="宋体" w:cs="宋体"/>
                <w:sz w:val="24"/>
              </w:rPr>
            </w:pPr>
            <w:r>
              <w:rPr>
                <w:rFonts w:hint="eastAsia" w:ascii="宋体" w:hAnsi="宋体" w:cs="宋体"/>
                <w:sz w:val="24"/>
              </w:rPr>
              <w:t>其他术语解释</w:t>
            </w:r>
          </w:p>
        </w:tc>
        <w:tc>
          <w:tcPr>
            <w:tcW w:w="5170" w:type="dxa"/>
            <w:vAlign w:val="center"/>
          </w:tcPr>
          <w:p>
            <w:pPr>
              <w:snapToGrid w:val="0"/>
              <w:jc w:val="left"/>
              <w:rPr>
                <w:rFonts w:hint="eastAsia" w:ascii="宋体" w:hAnsi="宋体" w:cs="宋体"/>
                <w:sz w:val="24"/>
              </w:rPr>
            </w:pPr>
            <w:r>
              <w:rPr>
                <w:rFonts w:hint="eastAsia" w:ascii="宋体" w:hAnsi="宋体" w:cs="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第4.4款</w:t>
            </w:r>
          </w:p>
        </w:tc>
        <w:tc>
          <w:tcPr>
            <w:tcW w:w="1742" w:type="dxa"/>
            <w:vAlign w:val="center"/>
          </w:tcPr>
          <w:p>
            <w:pPr>
              <w:snapToGrid w:val="0"/>
              <w:jc w:val="left"/>
              <w:rPr>
                <w:rFonts w:hint="eastAsia" w:ascii="宋体" w:hAnsi="宋体" w:cs="宋体"/>
                <w:sz w:val="24"/>
              </w:rPr>
            </w:pPr>
            <w:r>
              <w:rPr>
                <w:rFonts w:hint="eastAsia" w:ascii="宋体" w:hAnsi="宋体" w:cs="宋体"/>
                <w:sz w:val="24"/>
              </w:rPr>
              <w:t>履约验收中甲方提出异议或作出说明的期限</w:t>
            </w:r>
          </w:p>
        </w:tc>
        <w:tc>
          <w:tcPr>
            <w:tcW w:w="5170" w:type="dxa"/>
            <w:vAlign w:val="center"/>
          </w:tcPr>
          <w:p>
            <w:pPr>
              <w:snapToGrid w:val="0"/>
              <w:jc w:val="left"/>
              <w:rPr>
                <w:rFonts w:hint="eastAsia"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第4.6款</w:t>
            </w:r>
          </w:p>
        </w:tc>
        <w:tc>
          <w:tcPr>
            <w:tcW w:w="1742" w:type="dxa"/>
            <w:vAlign w:val="center"/>
          </w:tcPr>
          <w:p>
            <w:pPr>
              <w:snapToGrid w:val="0"/>
              <w:jc w:val="left"/>
              <w:rPr>
                <w:rFonts w:hint="eastAsia" w:ascii="宋体" w:hAnsi="宋体" w:cs="宋体"/>
                <w:sz w:val="24"/>
              </w:rPr>
            </w:pPr>
            <w:r>
              <w:rPr>
                <w:rFonts w:hint="eastAsia" w:ascii="宋体" w:hAnsi="宋体" w:cs="宋体"/>
                <w:sz w:val="24"/>
              </w:rPr>
              <w:t>约定甲方承担的其他义务和责任</w:t>
            </w:r>
          </w:p>
        </w:tc>
        <w:tc>
          <w:tcPr>
            <w:tcW w:w="5170" w:type="dxa"/>
            <w:vAlign w:val="center"/>
          </w:tcPr>
          <w:p>
            <w:pPr>
              <w:numPr>
                <w:ilvl w:val="0"/>
                <w:numId w:val="12"/>
              </w:numPr>
              <w:snapToGrid w:val="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甲方按双方约定的内容和时间，向乙方提供与项目有关的可以提供的资料；</w:t>
            </w:r>
          </w:p>
          <w:p>
            <w:pPr>
              <w:numPr>
                <w:ilvl w:val="0"/>
                <w:numId w:val="12"/>
              </w:numPr>
              <w:snapToGrid w:val="0"/>
              <w:jc w:val="left"/>
              <w:rPr>
                <w:rFonts w:hint="eastAsia" w:ascii="宋体" w:hAnsi="宋体" w:cs="宋体"/>
                <w:sz w:val="24"/>
              </w:rPr>
            </w:pPr>
            <w:r>
              <w:rPr>
                <w:rFonts w:hint="eastAsia" w:asciiTheme="minorEastAsia" w:hAnsiTheme="minorEastAsia" w:eastAsiaTheme="minorEastAsia" w:cstheme="minorEastAsia"/>
                <w:sz w:val="24"/>
              </w:rPr>
              <w:t>甲方对乙方提供的项目工作方案具有审定权、修改权，并有权要求乙方按甲方的要求修改方案,乙方不得以此为由要求增加任何费用；</w:t>
            </w:r>
          </w:p>
          <w:p>
            <w:pPr>
              <w:numPr>
                <w:ilvl w:val="0"/>
                <w:numId w:val="12"/>
              </w:numPr>
              <w:snapToGrid w:val="0"/>
              <w:jc w:val="left"/>
              <w:rPr>
                <w:rFonts w:hint="eastAsia" w:ascii="宋体" w:hAnsi="宋体" w:cs="宋体"/>
                <w:sz w:val="24"/>
              </w:rPr>
            </w:pPr>
            <w:r>
              <w:rPr>
                <w:rFonts w:hint="eastAsia" w:asciiTheme="minorEastAsia" w:hAnsiTheme="minorEastAsia" w:eastAsiaTheme="minorEastAsia" w:cstheme="minorEastAsia"/>
                <w:sz w:val="24"/>
              </w:rPr>
              <w:t>甲方有权对质量不合格产品进行拒收，由此产生的损失由乙方承担。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第5.4款</w:t>
            </w:r>
          </w:p>
        </w:tc>
        <w:tc>
          <w:tcPr>
            <w:tcW w:w="1742" w:type="dxa"/>
            <w:vAlign w:val="center"/>
          </w:tcPr>
          <w:p>
            <w:pPr>
              <w:snapToGrid w:val="0"/>
              <w:jc w:val="left"/>
              <w:rPr>
                <w:rFonts w:hint="eastAsia" w:ascii="宋体" w:hAnsi="宋体" w:cs="宋体"/>
                <w:sz w:val="24"/>
              </w:rPr>
            </w:pPr>
            <w:r>
              <w:rPr>
                <w:rFonts w:hint="eastAsia" w:ascii="宋体" w:hAnsi="宋体" w:cs="宋体"/>
                <w:sz w:val="24"/>
              </w:rPr>
              <w:t>约定乙方承担的其他义务和责任</w:t>
            </w:r>
          </w:p>
        </w:tc>
        <w:tc>
          <w:tcPr>
            <w:tcW w:w="5170" w:type="dxa"/>
            <w:vAlign w:val="center"/>
          </w:tcPr>
          <w:p>
            <w:pPr>
              <w:numPr>
                <w:ilvl w:val="0"/>
                <w:numId w:val="13"/>
              </w:numPr>
              <w:snapToGrid w:val="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乙方针对该项目出具的工作方案，均须事先经甲方书面确认后方可实施。乙方应当负责本项目的所有外部关系联系与协调；</w:t>
            </w:r>
          </w:p>
          <w:p>
            <w:pPr>
              <w:numPr>
                <w:ilvl w:val="0"/>
                <w:numId w:val="13"/>
              </w:numPr>
              <w:snapToGrid w:val="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；邮箱：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numPr>
                <w:ilvl w:val="0"/>
                <w:numId w:val="13"/>
              </w:numPr>
              <w:snapToGrid w:val="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乙方承诺按照招标文件要求和投标文件承诺提供货物及各项服务；</w:t>
            </w:r>
          </w:p>
          <w:p>
            <w:pPr>
              <w:numPr>
                <w:ilvl w:val="0"/>
                <w:numId w:val="13"/>
              </w:numPr>
              <w:snapToGrid w:val="0"/>
              <w:jc w:val="left"/>
              <w:rPr>
                <w:rFonts w:hint="eastAsia" w:ascii="宋体" w:hAnsi="宋体" w:cs="宋体"/>
                <w:sz w:val="24"/>
              </w:rPr>
            </w:pPr>
            <w:r>
              <w:rPr>
                <w:rFonts w:hint="eastAsia" w:asciiTheme="minorEastAsia" w:hAnsiTheme="minorEastAsia" w:eastAsiaTheme="minorEastAsia" w:cstheme="minorEastAsia"/>
                <w:sz w:val="24"/>
              </w:rPr>
              <w:t>乙方提供的所有产品均应符合质量合格标准；</w:t>
            </w:r>
          </w:p>
          <w:p>
            <w:pPr>
              <w:numPr>
                <w:ilvl w:val="0"/>
                <w:numId w:val="13"/>
              </w:numPr>
              <w:snapToGrid w:val="0"/>
              <w:jc w:val="left"/>
              <w:rPr>
                <w:rFonts w:hint="eastAsia" w:ascii="宋体" w:hAnsi="宋体" w:cs="宋体"/>
                <w:sz w:val="24"/>
              </w:rPr>
            </w:pPr>
            <w:r>
              <w:rPr>
                <w:rFonts w:hint="eastAsia" w:asciiTheme="minorEastAsia" w:hAnsiTheme="minorEastAsia" w:eastAsiaTheme="minorEastAsia" w:cstheme="minorEastAsia"/>
                <w:sz w:val="24"/>
              </w:rPr>
              <w:t>乙方必须在规定期间内完成招标文件要求和投标文件承诺的服务内容，并通过甲方的验收，否则甲方有权终止合同，并索回全部支付的货款，赔偿延误的损失。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第6.1款</w:t>
            </w:r>
          </w:p>
        </w:tc>
        <w:tc>
          <w:tcPr>
            <w:tcW w:w="1742" w:type="dxa"/>
            <w:vAlign w:val="center"/>
          </w:tcPr>
          <w:p>
            <w:pPr>
              <w:snapToGrid w:val="0"/>
              <w:jc w:val="left"/>
              <w:rPr>
                <w:rFonts w:hint="eastAsia" w:ascii="宋体" w:hAnsi="宋体" w:cs="宋体"/>
                <w:sz w:val="24"/>
              </w:rPr>
            </w:pPr>
            <w:r>
              <w:rPr>
                <w:rFonts w:hint="eastAsia" w:ascii="宋体" w:hAnsi="宋体" w:cs="宋体"/>
                <w:sz w:val="24"/>
              </w:rPr>
              <w:t>履行合同义务的顺序</w:t>
            </w:r>
          </w:p>
        </w:tc>
        <w:tc>
          <w:tcPr>
            <w:tcW w:w="5170" w:type="dxa"/>
            <w:vAlign w:val="center"/>
          </w:tcPr>
          <w:p>
            <w:pPr>
              <w:snapToGrid w:val="0"/>
              <w:jc w:val="left"/>
              <w:rPr>
                <w:rFonts w:hint="eastAsia" w:ascii="宋体" w:hAnsi="宋体" w:cs="宋体"/>
                <w:sz w:val="24"/>
              </w:rPr>
            </w:pPr>
            <w:r>
              <w:rPr>
                <w:rFonts w:hint="eastAsia" w:ascii="宋体" w:hAnsi="宋体" w:cs="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第7.1款</w:t>
            </w:r>
          </w:p>
        </w:tc>
        <w:tc>
          <w:tcPr>
            <w:tcW w:w="1742" w:type="dxa"/>
            <w:vAlign w:val="center"/>
          </w:tcPr>
          <w:p>
            <w:pPr>
              <w:snapToGrid w:val="0"/>
              <w:jc w:val="left"/>
              <w:rPr>
                <w:rFonts w:hint="eastAsia" w:ascii="宋体" w:hAnsi="宋体" w:cs="宋体"/>
                <w:sz w:val="24"/>
              </w:rPr>
            </w:pPr>
            <w:r>
              <w:rPr>
                <w:rFonts w:hint="eastAsia" w:ascii="宋体" w:hAnsi="宋体" w:cs="宋体"/>
                <w:sz w:val="24"/>
              </w:rPr>
              <w:t>包装特殊要求</w:t>
            </w:r>
          </w:p>
        </w:tc>
        <w:tc>
          <w:tcPr>
            <w:tcW w:w="5170" w:type="dxa"/>
            <w:vAlign w:val="center"/>
          </w:tcPr>
          <w:p>
            <w:pPr>
              <w:rPr>
                <w:rFonts w:hint="eastAsia" w:ascii="宋体" w:hAnsi="宋体" w:cs="宋体"/>
                <w:sz w:val="24"/>
              </w:rPr>
            </w:pPr>
            <w:r>
              <w:rPr>
                <w:rFonts w:hint="eastAsia" w:ascii="宋体" w:hAnsi="宋体" w:cs="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snapToGrid w:val="0"/>
              <w:jc w:val="center"/>
              <w:rPr>
                <w:rFonts w:hint="eastAsia" w:ascii="宋体" w:hAnsi="宋体" w:cs="宋体"/>
                <w:sz w:val="24"/>
              </w:rPr>
            </w:pPr>
          </w:p>
        </w:tc>
        <w:tc>
          <w:tcPr>
            <w:tcW w:w="1742" w:type="dxa"/>
            <w:vAlign w:val="center"/>
          </w:tcPr>
          <w:p>
            <w:pPr>
              <w:snapToGrid w:val="0"/>
              <w:jc w:val="left"/>
              <w:rPr>
                <w:rFonts w:hint="eastAsia" w:ascii="宋体" w:hAnsi="宋体" w:cs="宋体"/>
                <w:sz w:val="24"/>
              </w:rPr>
            </w:pPr>
            <w:r>
              <w:rPr>
                <w:rFonts w:hint="eastAsia" w:ascii="宋体" w:hAnsi="宋体" w:cs="宋体"/>
                <w:sz w:val="24"/>
              </w:rPr>
              <w:t>指定现场</w:t>
            </w:r>
          </w:p>
        </w:tc>
        <w:tc>
          <w:tcPr>
            <w:tcW w:w="5170" w:type="dxa"/>
            <w:vAlign w:val="center"/>
          </w:tcPr>
          <w:p>
            <w:pPr>
              <w:rPr>
                <w:rFonts w:hint="eastAsia"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第7.2款</w:t>
            </w:r>
          </w:p>
        </w:tc>
        <w:tc>
          <w:tcPr>
            <w:tcW w:w="1742" w:type="dxa"/>
            <w:vAlign w:val="center"/>
          </w:tcPr>
          <w:p>
            <w:pPr>
              <w:snapToGrid w:val="0"/>
              <w:jc w:val="left"/>
              <w:rPr>
                <w:rFonts w:hint="eastAsia" w:ascii="宋体" w:hAnsi="宋体" w:cs="宋体"/>
                <w:sz w:val="24"/>
              </w:rPr>
            </w:pPr>
            <w:r>
              <w:rPr>
                <w:rFonts w:hint="eastAsia" w:ascii="宋体" w:hAnsi="宋体" w:cs="宋体"/>
                <w:sz w:val="24"/>
              </w:rPr>
              <w:t>运输特殊要求</w:t>
            </w:r>
          </w:p>
        </w:tc>
        <w:tc>
          <w:tcPr>
            <w:tcW w:w="5170" w:type="dxa"/>
            <w:vAlign w:val="center"/>
          </w:tcPr>
          <w:p>
            <w:pPr>
              <w:rPr>
                <w:rFonts w:hint="eastAsia" w:ascii="宋体" w:hAnsi="宋体" w:cs="宋体"/>
                <w:sz w:val="24"/>
              </w:rPr>
            </w:pPr>
            <w:r>
              <w:rPr>
                <w:rFonts w:hint="eastAsia" w:ascii="宋体" w:hAnsi="宋体" w:cs="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第7.3款</w:t>
            </w:r>
          </w:p>
        </w:tc>
        <w:tc>
          <w:tcPr>
            <w:tcW w:w="1742" w:type="dxa"/>
            <w:vAlign w:val="center"/>
          </w:tcPr>
          <w:p>
            <w:pPr>
              <w:snapToGrid w:val="0"/>
              <w:jc w:val="left"/>
              <w:rPr>
                <w:rFonts w:hint="eastAsia" w:ascii="宋体" w:hAnsi="宋体" w:cs="宋体"/>
                <w:sz w:val="24"/>
              </w:rPr>
            </w:pPr>
            <w:r>
              <w:rPr>
                <w:rFonts w:hint="eastAsia" w:ascii="宋体" w:hAnsi="宋体" w:cs="宋体"/>
                <w:sz w:val="24"/>
              </w:rPr>
              <w:t>保险要求</w:t>
            </w:r>
          </w:p>
        </w:tc>
        <w:tc>
          <w:tcPr>
            <w:tcW w:w="5170" w:type="dxa"/>
            <w:vAlign w:val="center"/>
          </w:tcPr>
          <w:p>
            <w:pPr>
              <w:rPr>
                <w:rFonts w:hint="eastAsia" w:ascii="宋体" w:hAnsi="宋体" w:cs="宋体"/>
                <w:sz w:val="24"/>
              </w:rPr>
            </w:pPr>
            <w:r>
              <w:rPr>
                <w:rFonts w:hint="eastAsia" w:asciiTheme="minorEastAsia" w:hAnsiTheme="minorEastAsia" w:eastAsiaTheme="minorEastAsia" w:cstheme="minorEastAsia"/>
                <w:kern w:val="0"/>
                <w:sz w:val="24"/>
              </w:rPr>
              <w:t>对其在制造、购置、运输、存放及交货过程中的丢失或损坏进行全面保险。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第8.2（1）项</w:t>
            </w:r>
          </w:p>
        </w:tc>
        <w:tc>
          <w:tcPr>
            <w:tcW w:w="1742" w:type="dxa"/>
            <w:vAlign w:val="center"/>
          </w:tcPr>
          <w:p>
            <w:pPr>
              <w:snapToGrid w:val="0"/>
              <w:jc w:val="left"/>
              <w:rPr>
                <w:rFonts w:hint="eastAsia" w:ascii="宋体" w:hAnsi="宋体" w:cs="宋体"/>
                <w:sz w:val="24"/>
              </w:rPr>
            </w:pPr>
            <w:r>
              <w:rPr>
                <w:rFonts w:hint="eastAsia" w:ascii="宋体" w:hAnsi="宋体" w:cs="宋体"/>
                <w:sz w:val="24"/>
              </w:rPr>
              <w:t>质量保证期</w:t>
            </w:r>
          </w:p>
        </w:tc>
        <w:tc>
          <w:tcPr>
            <w:tcW w:w="5170" w:type="dxa"/>
            <w:vAlign w:val="center"/>
          </w:tcPr>
          <w:p>
            <w:pPr>
              <w:autoSpaceDE w:val="0"/>
              <w:autoSpaceDN w:val="0"/>
              <w:snapToGrid w:val="0"/>
              <w:jc w:val="left"/>
              <w:rPr>
                <w:rFonts w:hint="eastAsia" w:ascii="宋体" w:hAnsi="宋体" w:cs="宋体"/>
                <w:sz w:val="24"/>
                <w:highlight w:val="yellow"/>
              </w:rPr>
            </w:pPr>
            <w:r>
              <w:rPr>
                <w:rFonts w:hint="eastAsia" w:asciiTheme="minorEastAsia" w:hAnsiTheme="minorEastAsia" w:eastAsiaTheme="minorEastAsia" w:cstheme="minorEastAsia"/>
                <w:sz w:val="24"/>
              </w:rPr>
              <w:t>不少于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第8.2（3）项</w:t>
            </w:r>
          </w:p>
        </w:tc>
        <w:tc>
          <w:tcPr>
            <w:tcW w:w="1742" w:type="dxa"/>
            <w:vAlign w:val="center"/>
          </w:tcPr>
          <w:p>
            <w:pPr>
              <w:snapToGrid w:val="0"/>
              <w:jc w:val="left"/>
              <w:rPr>
                <w:rFonts w:hint="eastAsia" w:ascii="宋体" w:hAnsi="宋体" w:cs="宋体"/>
                <w:sz w:val="24"/>
              </w:rPr>
            </w:pPr>
            <w:r>
              <w:rPr>
                <w:rFonts w:hint="eastAsia" w:ascii="宋体" w:hAnsi="宋体" w:cs="宋体"/>
                <w:sz w:val="24"/>
              </w:rPr>
              <w:t>货物质量缺陷</w:t>
            </w:r>
          </w:p>
          <w:p>
            <w:pPr>
              <w:snapToGrid w:val="0"/>
              <w:jc w:val="left"/>
              <w:rPr>
                <w:rFonts w:hint="eastAsia" w:ascii="宋体" w:hAnsi="宋体" w:cs="宋体"/>
                <w:sz w:val="24"/>
              </w:rPr>
            </w:pPr>
            <w:r>
              <w:rPr>
                <w:rFonts w:hint="eastAsia" w:ascii="宋体" w:hAnsi="宋体" w:cs="宋体"/>
                <w:sz w:val="24"/>
              </w:rPr>
              <w:t>响应时间</w:t>
            </w:r>
          </w:p>
        </w:tc>
        <w:tc>
          <w:tcPr>
            <w:tcW w:w="5170" w:type="dxa"/>
            <w:vAlign w:val="center"/>
          </w:tcPr>
          <w:p>
            <w:pPr>
              <w:snapToGrid w:val="0"/>
              <w:jc w:val="left"/>
              <w:rPr>
                <w:rFonts w:hint="eastAsia" w:ascii="宋体" w:hAnsi="宋体" w:cs="宋体"/>
                <w:sz w:val="24"/>
              </w:rPr>
            </w:pPr>
            <w:r>
              <w:rPr>
                <w:rFonts w:hint="eastAsia" w:asciiTheme="minorEastAsia" w:hAnsiTheme="minorEastAsia" w:eastAsiaTheme="minorEastAsia" w:cstheme="minorEastAsia"/>
                <w:sz w:val="24"/>
              </w:rPr>
              <w:t>为本项目指定专属售后服务人员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，提供不少于3</w:t>
            </w:r>
            <w:r>
              <w:rPr>
                <w:rFonts w:hint="eastAsia" w:asciiTheme="minorEastAsia" w:hAnsiTheme="minorEastAsia" w:eastAsiaTheme="minorEastAsia" w:cstheme="minorEastAsia"/>
                <w:sz w:val="24"/>
                <w:lang w:val="zh-CN"/>
              </w:rPr>
              <w:t>年</w:t>
            </w:r>
            <w:r>
              <w:rPr>
                <w:rFonts w:hint="eastAsia" w:asciiTheme="minorEastAsia" w:hAnsiTheme="minorEastAsia" w:eastAsiaTheme="minorEastAsia" w:cstheme="minorEastAsia"/>
                <w:sz w:val="24"/>
              </w:rPr>
              <w:t>7*24小时保修和售后现场技术服务。在接到用户维修要求后4小时内到达现场，8小时内修复。若不能修复，则需要提供后备或替代设备，以保证用户正常的工作。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pStyle w:val="79"/>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第11.1款</w:t>
            </w:r>
          </w:p>
        </w:tc>
        <w:tc>
          <w:tcPr>
            <w:tcW w:w="1742" w:type="dxa"/>
            <w:vAlign w:val="center"/>
          </w:tcPr>
          <w:p>
            <w:pPr>
              <w:snapToGrid w:val="0"/>
              <w:rPr>
                <w:rFonts w:hint="eastAsia" w:ascii="宋体" w:hAnsi="宋体" w:cs="宋体"/>
                <w:sz w:val="24"/>
              </w:rPr>
            </w:pPr>
            <w:r>
              <w:rPr>
                <w:rFonts w:hint="eastAsia" w:ascii="宋体" w:hAnsi="宋体" w:cs="宋体"/>
                <w:sz w:val="24"/>
              </w:rPr>
              <w:t>其他应当保密的信息</w:t>
            </w:r>
          </w:p>
        </w:tc>
        <w:tc>
          <w:tcPr>
            <w:tcW w:w="5170" w:type="dxa"/>
            <w:vAlign w:val="center"/>
          </w:tcPr>
          <w:p>
            <w:pPr>
              <w:snapToGrid w:val="0"/>
              <w:jc w:val="left"/>
              <w:rPr>
                <w:rFonts w:hint="eastAsia" w:ascii="宋体" w:hAnsi="宋体" w:cs="宋体"/>
                <w:sz w:val="24"/>
              </w:rPr>
            </w:pPr>
            <w:r>
              <w:rPr>
                <w:rFonts w:hint="eastAsia" w:ascii="宋体" w:hAnsi="宋体" w:cs="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第12.2款</w:t>
            </w:r>
          </w:p>
        </w:tc>
        <w:tc>
          <w:tcPr>
            <w:tcW w:w="1742" w:type="dxa"/>
            <w:vAlign w:val="center"/>
          </w:tcPr>
          <w:p>
            <w:pPr>
              <w:snapToGrid w:val="0"/>
              <w:jc w:val="left"/>
              <w:rPr>
                <w:rFonts w:hint="eastAsia" w:ascii="宋体" w:hAnsi="宋体" w:cs="宋体"/>
                <w:sz w:val="24"/>
              </w:rPr>
            </w:pPr>
            <w:r>
              <w:rPr>
                <w:rFonts w:hint="eastAsia" w:ascii="宋体" w:hAnsi="宋体" w:cs="宋体"/>
                <w:sz w:val="24"/>
              </w:rPr>
              <w:t>合同价款支付时间</w:t>
            </w:r>
          </w:p>
        </w:tc>
        <w:tc>
          <w:tcPr>
            <w:tcW w:w="5170" w:type="dxa"/>
            <w:vAlign w:val="center"/>
          </w:tcPr>
          <w:p>
            <w:pPr>
              <w:snapToGrid w:val="0"/>
              <w:jc w:val="left"/>
              <w:rPr>
                <w:rFonts w:hint="eastAsia" w:ascii="宋体" w:hAnsi="宋体" w:cs="宋体"/>
                <w:sz w:val="24"/>
                <w:highlight w:val="yellow"/>
              </w:rPr>
            </w:pPr>
            <w:r>
              <w:rPr>
                <w:rFonts w:hint="eastAsia" w:ascii="宋体" w:hAnsi="宋体" w:cs="宋体"/>
                <w:sz w:val="24"/>
              </w:rPr>
              <w:t>合同生效以及具备实施条件（预算资金正式下达），采购人在5个工作日内支付合同总金额的40%预付款。项目验收合格后5个工作日内，乙方凭发票向甲方办理合同余款。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第13.2款</w:t>
            </w:r>
          </w:p>
        </w:tc>
        <w:tc>
          <w:tcPr>
            <w:tcW w:w="1742" w:type="dxa"/>
            <w:vAlign w:val="center"/>
          </w:tcPr>
          <w:p>
            <w:pPr>
              <w:snapToGrid w:val="0"/>
              <w:jc w:val="left"/>
              <w:rPr>
                <w:rFonts w:hint="eastAsia" w:ascii="宋体" w:hAnsi="宋体" w:cs="宋体"/>
                <w:sz w:val="24"/>
              </w:rPr>
            </w:pPr>
            <w:r>
              <w:rPr>
                <w:rFonts w:hint="eastAsia" w:ascii="宋体" w:hAnsi="宋体" w:cs="宋体"/>
                <w:sz w:val="24"/>
              </w:rPr>
              <w:t>履约保证金不予退还的情形</w:t>
            </w:r>
          </w:p>
        </w:tc>
        <w:tc>
          <w:tcPr>
            <w:tcW w:w="5170" w:type="dxa"/>
            <w:vAlign w:val="center"/>
          </w:tcPr>
          <w:p>
            <w:pPr>
              <w:snapToGrid w:val="0"/>
              <w:jc w:val="left"/>
              <w:rPr>
                <w:rFonts w:hint="eastAsia" w:ascii="宋体" w:hAnsi="宋体" w:cs="宋体"/>
                <w:sz w:val="24"/>
              </w:rPr>
            </w:pPr>
            <w:r>
              <w:rPr>
                <w:rFonts w:hint="eastAsia" w:ascii="宋体" w:hAnsi="宋体" w:cs="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第13.3款</w:t>
            </w:r>
          </w:p>
        </w:tc>
        <w:tc>
          <w:tcPr>
            <w:tcW w:w="1742" w:type="dxa"/>
            <w:vAlign w:val="center"/>
          </w:tcPr>
          <w:p>
            <w:pPr>
              <w:snapToGrid w:val="0"/>
              <w:jc w:val="left"/>
              <w:rPr>
                <w:rFonts w:hint="eastAsia" w:ascii="宋体" w:hAnsi="宋体" w:cs="宋体"/>
                <w:sz w:val="24"/>
              </w:rPr>
            </w:pPr>
            <w:r>
              <w:rPr>
                <w:rFonts w:hint="eastAsia" w:ascii="宋体" w:hAnsi="宋体" w:cs="宋体"/>
                <w:sz w:val="24"/>
              </w:rPr>
              <w:t>履约保证金退还时间及逾期退还的违约金</w:t>
            </w:r>
          </w:p>
        </w:tc>
        <w:tc>
          <w:tcPr>
            <w:tcW w:w="5170" w:type="dxa"/>
            <w:vAlign w:val="center"/>
          </w:tcPr>
          <w:p>
            <w:pPr>
              <w:snapToGrid w:val="0"/>
              <w:jc w:val="left"/>
              <w:rPr>
                <w:rFonts w:hint="eastAsia" w:ascii="宋体" w:hAnsi="宋体" w:cs="宋体"/>
                <w:sz w:val="24"/>
              </w:rPr>
            </w:pPr>
            <w:r>
              <w:rPr>
                <w:rFonts w:hint="eastAsia" w:ascii="宋体" w:hAnsi="宋体" w:cs="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第14.1（3）项</w:t>
            </w:r>
          </w:p>
        </w:tc>
        <w:tc>
          <w:tcPr>
            <w:tcW w:w="1742" w:type="dxa"/>
            <w:vAlign w:val="center"/>
          </w:tcPr>
          <w:p>
            <w:pPr>
              <w:snapToGrid w:val="0"/>
              <w:jc w:val="left"/>
              <w:rPr>
                <w:rFonts w:hint="eastAsia" w:ascii="宋体" w:hAnsi="宋体" w:cs="宋体"/>
                <w:sz w:val="24"/>
              </w:rPr>
            </w:pPr>
            <w:r>
              <w:rPr>
                <w:rFonts w:hint="eastAsia" w:ascii="宋体" w:hAnsi="宋体" w:cs="宋体"/>
                <w:sz w:val="24"/>
              </w:rPr>
              <w:t>运行监督、维修期限</w:t>
            </w:r>
          </w:p>
        </w:tc>
        <w:tc>
          <w:tcPr>
            <w:tcW w:w="5170" w:type="dxa"/>
            <w:vAlign w:val="center"/>
          </w:tcPr>
          <w:p>
            <w:pPr>
              <w:snapToGrid w:val="0"/>
              <w:jc w:val="left"/>
              <w:rPr>
                <w:rFonts w:hint="eastAsia" w:ascii="宋体" w:hAnsi="宋体" w:cs="宋体"/>
                <w:sz w:val="24"/>
              </w:rPr>
            </w:pPr>
            <w:r>
              <w:rPr>
                <w:rFonts w:hint="eastAsia" w:asciiTheme="minorEastAsia" w:hAnsiTheme="minorEastAsia" w:eastAsiaTheme="minorEastAsia" w:cstheme="minorEastAsia"/>
                <w:sz w:val="24"/>
              </w:rPr>
              <w:t>质保期内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第14.1（5）项</w:t>
            </w:r>
          </w:p>
        </w:tc>
        <w:tc>
          <w:tcPr>
            <w:tcW w:w="1742" w:type="dxa"/>
            <w:vAlign w:val="center"/>
          </w:tcPr>
          <w:p>
            <w:pPr>
              <w:snapToGrid w:val="0"/>
              <w:jc w:val="left"/>
              <w:rPr>
                <w:rFonts w:hint="eastAsia" w:ascii="宋体" w:hAnsi="宋体" w:cs="宋体"/>
                <w:sz w:val="24"/>
              </w:rPr>
            </w:pPr>
            <w:r>
              <w:rPr>
                <w:rFonts w:hint="eastAsia" w:ascii="宋体" w:hAnsi="宋体" w:cs="宋体"/>
                <w:sz w:val="24"/>
              </w:rPr>
              <w:t>货物回收的约定</w:t>
            </w:r>
          </w:p>
        </w:tc>
        <w:tc>
          <w:tcPr>
            <w:tcW w:w="5170" w:type="dxa"/>
            <w:vAlign w:val="center"/>
          </w:tcPr>
          <w:p>
            <w:pPr>
              <w:snapToGrid w:val="0"/>
              <w:jc w:val="left"/>
              <w:rPr>
                <w:rFonts w:hint="eastAsia" w:ascii="宋体" w:hAnsi="宋体" w:cs="宋体"/>
                <w:sz w:val="24"/>
              </w:rPr>
            </w:pPr>
            <w:r>
              <w:rPr>
                <w:rFonts w:hint="eastAsia" w:asciiTheme="minorEastAsia" w:hAnsiTheme="minorEastAsia" w:eastAsiaTheme="minorEastAsia" w:cstheme="minorEastAsia"/>
                <w:sz w:val="24"/>
              </w:rPr>
              <w:t>标的物归甲方所有，乙方不予收回。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第14.1（6）项</w:t>
            </w:r>
          </w:p>
        </w:tc>
        <w:tc>
          <w:tcPr>
            <w:tcW w:w="1742" w:type="dxa"/>
            <w:vAlign w:val="center"/>
          </w:tcPr>
          <w:p>
            <w:pPr>
              <w:snapToGrid w:val="0"/>
              <w:jc w:val="left"/>
              <w:rPr>
                <w:rFonts w:hint="eastAsia" w:ascii="宋体" w:hAnsi="宋体" w:cs="宋体"/>
                <w:sz w:val="24"/>
              </w:rPr>
            </w:pPr>
            <w:r>
              <w:rPr>
                <w:rFonts w:hint="eastAsia" w:ascii="宋体" w:hAnsi="宋体" w:cs="宋体"/>
                <w:sz w:val="24"/>
              </w:rPr>
              <w:t>乙方提供的其他服务</w:t>
            </w:r>
          </w:p>
        </w:tc>
        <w:tc>
          <w:tcPr>
            <w:tcW w:w="5170" w:type="dxa"/>
            <w:vAlign w:val="center"/>
          </w:tcPr>
          <w:p>
            <w:pPr>
              <w:numPr>
                <w:ilvl w:val="0"/>
                <w:numId w:val="14"/>
              </w:numPr>
              <w:snapToGrid w:val="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如涉及到甲方场地布局需要进行调整，乙方需提供免费的设备搬移服务。</w:t>
            </w:r>
          </w:p>
          <w:p>
            <w:pPr>
              <w:numPr>
                <w:ilvl w:val="0"/>
                <w:numId w:val="14"/>
              </w:numPr>
              <w:snapToGrid w:val="0"/>
              <w:jc w:val="left"/>
              <w:rPr>
                <w:rFonts w:hint="eastAsia" w:ascii="宋体" w:hAnsi="宋体" w:cs="宋体"/>
                <w:sz w:val="24"/>
              </w:rPr>
            </w:pPr>
            <w:r>
              <w:rPr>
                <w:rFonts w:hint="eastAsia" w:asciiTheme="minorEastAsia" w:hAnsiTheme="minorEastAsia" w:eastAsiaTheme="minorEastAsia" w:cstheme="minorEastAsia"/>
                <w:sz w:val="24"/>
              </w:rPr>
              <w:t>保修期内产品因设计、质量出现问题，均由乙方即时解决（包括更换配件耗材）</w:t>
            </w:r>
          </w:p>
          <w:p>
            <w:pPr>
              <w:numPr>
                <w:ilvl w:val="0"/>
                <w:numId w:val="14"/>
              </w:numPr>
              <w:snapToGrid w:val="0"/>
              <w:jc w:val="left"/>
              <w:rPr>
                <w:rFonts w:hint="eastAsia" w:ascii="宋体" w:hAnsi="宋体" w:cs="宋体"/>
                <w:sz w:val="24"/>
              </w:rPr>
            </w:pPr>
            <w:r>
              <w:rPr>
                <w:rFonts w:hint="eastAsia" w:asciiTheme="minorEastAsia" w:hAnsiTheme="minorEastAsia" w:eastAsiaTheme="minorEastAsia" w:cstheme="minorEastAsia"/>
                <w:sz w:val="24"/>
              </w:rPr>
              <w:t>售后服务内容：</w:t>
            </w:r>
            <w:r>
              <w:rPr>
                <w:rFonts w:hint="eastAsia" w:asciiTheme="minorEastAsia" w:hAnsiTheme="minorEastAsia" w:eastAsiaTheme="minorEastAsia" w:cstheme="minorEastAsia"/>
                <w:sz w:val="24"/>
                <w:u w:val="single"/>
              </w:rPr>
              <w:t>（根据投标响应补充）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第15.1款</w:t>
            </w:r>
          </w:p>
        </w:tc>
        <w:tc>
          <w:tcPr>
            <w:tcW w:w="1742" w:type="dxa"/>
            <w:vAlign w:val="center"/>
          </w:tcPr>
          <w:p>
            <w:pPr>
              <w:snapToGrid w:val="0"/>
              <w:jc w:val="left"/>
              <w:rPr>
                <w:rFonts w:hint="eastAsia" w:ascii="宋体" w:hAnsi="宋体" w:cs="宋体"/>
                <w:sz w:val="24"/>
              </w:rPr>
            </w:pPr>
            <w:r>
              <w:rPr>
                <w:rFonts w:hint="eastAsia" w:ascii="宋体" w:hAnsi="宋体" w:cs="宋体"/>
                <w:sz w:val="24"/>
              </w:rPr>
              <w:t>修理、重作、更换相关具体规定</w:t>
            </w:r>
          </w:p>
        </w:tc>
        <w:tc>
          <w:tcPr>
            <w:tcW w:w="5170" w:type="dxa"/>
            <w:vAlign w:val="center"/>
          </w:tcPr>
          <w:p>
            <w:pPr>
              <w:snapToGrid w:val="0"/>
              <w:jc w:val="left"/>
              <w:rPr>
                <w:rFonts w:hint="eastAsia" w:ascii="宋体" w:hAnsi="宋体" w:cs="宋体"/>
                <w:sz w:val="24"/>
              </w:rPr>
            </w:pPr>
            <w:r>
              <w:rPr>
                <w:rFonts w:hint="eastAsia" w:ascii="宋体" w:hAnsi="宋体" w:cs="宋体"/>
                <w:sz w:val="24"/>
              </w:rPr>
              <w:t>在接到用户维修要求后4小时内到达现场，8小时内修复。若不能修复，则需要提供后备或替代设备，以保证用户正常的工作。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第15.2（2）项</w:t>
            </w:r>
          </w:p>
        </w:tc>
        <w:tc>
          <w:tcPr>
            <w:tcW w:w="1742" w:type="dxa"/>
            <w:vAlign w:val="center"/>
          </w:tcPr>
          <w:p>
            <w:pPr>
              <w:snapToGrid w:val="0"/>
              <w:jc w:val="left"/>
              <w:rPr>
                <w:rFonts w:hint="eastAsia" w:ascii="宋体" w:hAnsi="宋体" w:cs="宋体"/>
                <w:sz w:val="24"/>
              </w:rPr>
            </w:pPr>
            <w:r>
              <w:rPr>
                <w:rFonts w:hint="eastAsia" w:ascii="宋体" w:hAnsi="宋体" w:cs="宋体"/>
                <w:sz w:val="24"/>
              </w:rPr>
              <w:t>迟延交货赔偿费</w:t>
            </w:r>
          </w:p>
        </w:tc>
        <w:tc>
          <w:tcPr>
            <w:tcW w:w="5170" w:type="dxa"/>
            <w:vAlign w:val="center"/>
          </w:tcPr>
          <w:p>
            <w:pPr>
              <w:snapToGrid w:val="0"/>
              <w:jc w:val="left"/>
              <w:rPr>
                <w:rFonts w:hint="eastAsia" w:ascii="宋体" w:hAnsi="宋体" w:cs="宋体" w:eastAsiaTheme="minorEastAsia"/>
                <w:sz w:val="24"/>
                <w:u w:val="single"/>
              </w:rPr>
            </w:pPr>
            <w:r>
              <w:rPr>
                <w:rFonts w:hint="eastAsia" w:asciiTheme="minorEastAsia" w:hAnsiTheme="minorEastAsia" w:eastAsiaTheme="minorEastAsia" w:cstheme="minorEastAsia"/>
                <w:sz w:val="24"/>
              </w:rPr>
              <w:t>除不可抗力外，如果乙方没有按照本合同约定的期限、地点和方式交付货物，那么甲方可要求乙方支付违约金，违约金按每迟延交付货物一日的应交付而未交付货物价格的5%计算，最高限额为本合同总价的 20%；迟延交付货物的违约金计算数额达到前述最高限额之日起，甲方有权在要求乙方支付违约金的同时，书面通知乙方解除本合同。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第15.3款</w:t>
            </w:r>
          </w:p>
        </w:tc>
        <w:tc>
          <w:tcPr>
            <w:tcW w:w="1742" w:type="dxa"/>
            <w:vAlign w:val="center"/>
          </w:tcPr>
          <w:p>
            <w:pPr>
              <w:snapToGrid w:val="0"/>
              <w:jc w:val="left"/>
              <w:rPr>
                <w:rFonts w:hint="eastAsia" w:ascii="宋体" w:hAnsi="宋体" w:cs="宋体"/>
                <w:sz w:val="24"/>
              </w:rPr>
            </w:pPr>
            <w:r>
              <w:rPr>
                <w:rFonts w:hint="eastAsia" w:ascii="宋体" w:hAnsi="宋体" w:cs="宋体"/>
                <w:sz w:val="24"/>
              </w:rPr>
              <w:t>逾期付款利息</w:t>
            </w:r>
          </w:p>
        </w:tc>
        <w:tc>
          <w:tcPr>
            <w:tcW w:w="5170" w:type="dxa"/>
            <w:vAlign w:val="center"/>
          </w:tcPr>
          <w:p>
            <w:pPr>
              <w:snapToGrid w:val="0"/>
              <w:jc w:val="left"/>
              <w:rPr>
                <w:rFonts w:hint="eastAsia" w:ascii="宋体" w:hAnsi="宋体" w:cs="宋体"/>
                <w:sz w:val="24"/>
                <w:u w:val="single"/>
              </w:rPr>
            </w:pPr>
            <w:r>
              <w:rPr>
                <w:rFonts w:hint="eastAsia" w:asciiTheme="minorEastAsia" w:hAnsiTheme="minorEastAsia" w:eastAsiaTheme="minorEastAsia" w:cstheme="minorEastAsia"/>
                <w:sz w:val="24"/>
              </w:rPr>
              <w:t>参考同期银行活期存款利息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第15.4款</w:t>
            </w:r>
          </w:p>
        </w:tc>
        <w:tc>
          <w:tcPr>
            <w:tcW w:w="1742" w:type="dxa"/>
            <w:tcBorders>
              <w:left w:val="single" w:color="auto" w:sz="2" w:space="0"/>
              <w:bottom w:val="single" w:color="auto" w:sz="2" w:space="0"/>
              <w:right w:val="single" w:color="auto" w:sz="2" w:space="0"/>
            </w:tcBorders>
            <w:vAlign w:val="center"/>
          </w:tcPr>
          <w:p>
            <w:pPr>
              <w:snapToGrid w:val="0"/>
              <w:jc w:val="left"/>
              <w:rPr>
                <w:rFonts w:hint="eastAsia" w:ascii="宋体" w:hAnsi="宋体" w:cs="宋体"/>
                <w:sz w:val="24"/>
              </w:rPr>
            </w:pPr>
            <w:r>
              <w:rPr>
                <w:rFonts w:hint="eastAsia" w:ascii="宋体" w:hAnsi="宋体" w:cs="宋体"/>
                <w:sz w:val="24"/>
              </w:rPr>
              <w:t>其他违约责任</w:t>
            </w:r>
          </w:p>
        </w:tc>
        <w:tc>
          <w:tcPr>
            <w:tcW w:w="5170" w:type="dxa"/>
            <w:tcBorders>
              <w:left w:val="single" w:color="auto" w:sz="2" w:space="0"/>
              <w:bottom w:val="single" w:color="auto" w:sz="2" w:space="0"/>
            </w:tcBorders>
            <w:vAlign w:val="center"/>
          </w:tcPr>
          <w:p>
            <w:pPr>
              <w:numPr>
                <w:ilvl w:val="0"/>
                <w:numId w:val="15"/>
              </w:numPr>
              <w:spacing w:line="30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15"/>
              </w:numPr>
              <w:spacing w:line="30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numPr>
                <w:ilvl w:val="0"/>
                <w:numId w:val="15"/>
              </w:numPr>
              <w:spacing w:line="30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如果出现政府采购监督管理部门在处理投诉事项期间，书面通知甲方暂停采购活动的情形，或者询问或质疑事项可能影响中标或者成交结果的，导致甲方中止履行合同的情形，均不视为甲方违约；</w:t>
            </w:r>
          </w:p>
          <w:p>
            <w:pPr>
              <w:numPr>
                <w:ilvl w:val="0"/>
                <w:numId w:val="15"/>
              </w:numPr>
              <w:spacing w:line="30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甲方有权对质量不合格产品进行拒收，由此产生的损失有乙方承担；</w:t>
            </w:r>
          </w:p>
          <w:p>
            <w:pPr>
              <w:numPr>
                <w:ilvl w:val="0"/>
                <w:numId w:val="15"/>
              </w:numPr>
              <w:spacing w:line="30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15"/>
              </w:numPr>
              <w:spacing w:line="30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上述第2项应退回或更换的货物，由乙方在验收后一周内运离安装地点，所需费用由乙方承担。如乙方在二周内不处理（搬走）的，视为乙方放弃，甲方有权自行处置（包括废物处理）。</w:t>
            </w:r>
          </w:p>
          <w:p>
            <w:pPr>
              <w:numPr>
                <w:ilvl w:val="0"/>
                <w:numId w:val="15"/>
              </w:numPr>
              <w:spacing w:line="300" w:lineRule="auto"/>
              <w:ind w:firstLine="240" w:firstLineChars="100"/>
              <w:rPr>
                <w:rFonts w:hint="eastAsia" w:ascii="宋体" w:hAnsi="宋体" w:cs="宋体"/>
                <w:sz w:val="24"/>
                <w:u w:val="single"/>
              </w:rPr>
            </w:pPr>
            <w:r>
              <w:rPr>
                <w:rFonts w:hint="eastAsia" w:asciiTheme="minorEastAsia" w:hAnsiTheme="minorEastAsia" w:eastAsiaTheme="minorEastAsia" w:cstheme="minorEastAsia"/>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numPr>
                <w:ilvl w:val="0"/>
                <w:numId w:val="15"/>
              </w:numPr>
              <w:spacing w:line="300" w:lineRule="auto"/>
              <w:ind w:firstLine="240" w:firstLineChars="100"/>
              <w:rPr>
                <w:rFonts w:hint="eastAsia" w:ascii="宋体" w:hAnsi="宋体" w:cs="宋体"/>
                <w:sz w:val="24"/>
                <w:u w:val="single"/>
              </w:rPr>
            </w:pPr>
            <w:r>
              <w:rPr>
                <w:rFonts w:hint="eastAsia" w:asciiTheme="minorEastAsia" w:hAnsiTheme="minorEastAsia" w:eastAsiaTheme="minorEastAsia" w:cstheme="minorEastAsia"/>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第19.2款</w:t>
            </w:r>
          </w:p>
        </w:tc>
        <w:tc>
          <w:tcPr>
            <w:tcW w:w="1742" w:type="dxa"/>
            <w:tcBorders>
              <w:top w:val="single" w:color="auto" w:sz="2" w:space="0"/>
              <w:left w:val="single" w:color="auto" w:sz="2" w:space="0"/>
              <w:right w:val="single" w:color="auto" w:sz="2" w:space="0"/>
            </w:tcBorders>
            <w:vAlign w:val="center"/>
          </w:tcPr>
          <w:p>
            <w:pPr>
              <w:snapToGrid w:val="0"/>
              <w:jc w:val="left"/>
              <w:rPr>
                <w:rFonts w:hint="eastAsia" w:ascii="宋体" w:hAnsi="宋体" w:cs="宋体"/>
                <w:sz w:val="24"/>
              </w:rPr>
            </w:pPr>
            <w:r>
              <w:rPr>
                <w:rFonts w:hint="eastAsia" w:ascii="宋体" w:hAnsi="宋体" w:cs="宋体"/>
                <w:sz w:val="24"/>
              </w:rPr>
              <w:t>解决争议的方法</w:t>
            </w:r>
          </w:p>
        </w:tc>
        <w:tc>
          <w:tcPr>
            <w:tcW w:w="5170" w:type="dxa"/>
            <w:tcBorders>
              <w:top w:val="single" w:color="auto" w:sz="2" w:space="0"/>
              <w:left w:val="single" w:color="auto" w:sz="2" w:space="0"/>
            </w:tcBorders>
            <w:vAlign w:val="center"/>
          </w:tcPr>
          <w:p>
            <w:pPr>
              <w:autoSpaceDE w:val="0"/>
              <w:autoSpaceDN w:val="0"/>
              <w:snapToGrid w:val="0"/>
              <w:jc w:val="left"/>
              <w:rPr>
                <w:rFonts w:hint="eastAsia" w:ascii="宋体" w:hAnsi="宋体" w:cs="宋体"/>
                <w:iCs/>
                <w:sz w:val="24"/>
              </w:rPr>
            </w:pPr>
            <w:r>
              <w:rPr>
                <w:rFonts w:hint="eastAsia" w:ascii="宋体" w:hAnsi="宋体" w:cs="宋体"/>
                <w:iCs/>
                <w:sz w:val="24"/>
              </w:rPr>
              <w:t>因本合同及合同有关事项发生的争议，按下列第</w:t>
            </w:r>
            <w:r>
              <w:rPr>
                <w:rFonts w:hint="eastAsia" w:ascii="宋体" w:hAnsi="宋体" w:cs="宋体"/>
                <w:iCs/>
                <w:sz w:val="24"/>
                <w:u w:val="single"/>
              </w:rPr>
              <w:t xml:space="preserve">   </w:t>
            </w:r>
            <w:r>
              <w:rPr>
                <w:rFonts w:hint="eastAsia" w:ascii="宋体" w:hAnsi="宋体" w:cs="宋体"/>
                <w:iCs/>
                <w:sz w:val="24"/>
              </w:rPr>
              <w:t>种方式解决：</w:t>
            </w:r>
          </w:p>
          <w:p>
            <w:pPr>
              <w:autoSpaceDE w:val="0"/>
              <w:autoSpaceDN w:val="0"/>
              <w:snapToGrid w:val="0"/>
              <w:jc w:val="left"/>
              <w:rPr>
                <w:rFonts w:hint="eastAsia" w:ascii="宋体" w:hAnsi="宋体" w:cs="宋体"/>
                <w:iCs/>
                <w:sz w:val="24"/>
              </w:rPr>
            </w:pPr>
            <w:r>
              <w:rPr>
                <w:rFonts w:hint="eastAsia" w:ascii="宋体" w:hAnsi="宋体" w:cs="宋体"/>
                <w:iCs/>
                <w:sz w:val="24"/>
              </w:rPr>
              <w:t>（1）向</w:t>
            </w:r>
            <w:r>
              <w:rPr>
                <w:rFonts w:hint="eastAsia" w:ascii="宋体" w:hAnsi="宋体" w:cs="宋体"/>
                <w:iCs/>
                <w:sz w:val="24"/>
                <w:u w:val="single"/>
              </w:rPr>
              <w:t xml:space="preserve">  杭州  </w:t>
            </w:r>
            <w:r>
              <w:rPr>
                <w:rFonts w:hint="eastAsia" w:ascii="宋体" w:hAnsi="宋体" w:cs="宋体"/>
                <w:iCs/>
                <w:sz w:val="24"/>
              </w:rPr>
              <w:t>仲裁委员会申请仲裁，仲裁地点为</w:t>
            </w:r>
            <w:r>
              <w:rPr>
                <w:rFonts w:hint="eastAsia" w:ascii="宋体" w:hAnsi="宋体" w:cs="宋体"/>
                <w:iCs/>
                <w:sz w:val="24"/>
                <w:u w:val="single"/>
              </w:rPr>
              <w:t xml:space="preserve">  浙江省杭州市西湖区文一西路588号西溪首座A3号楼1楼立案厅 </w:t>
            </w:r>
            <w:r>
              <w:rPr>
                <w:rFonts w:hint="eastAsia" w:ascii="宋体" w:hAnsi="宋体" w:cs="宋体"/>
                <w:iCs/>
                <w:sz w:val="24"/>
              </w:rPr>
              <w:t>；</w:t>
            </w:r>
          </w:p>
          <w:p>
            <w:pPr>
              <w:snapToGrid w:val="0"/>
              <w:jc w:val="left"/>
              <w:rPr>
                <w:rFonts w:hint="eastAsia" w:ascii="宋体" w:hAnsi="宋体" w:cs="宋体"/>
                <w:sz w:val="24"/>
                <w:u w:val="single"/>
              </w:rPr>
            </w:pPr>
            <w:r>
              <w:rPr>
                <w:rFonts w:hint="eastAsia" w:ascii="宋体" w:hAnsi="宋体" w:cs="宋体"/>
                <w:iCs/>
                <w:sz w:val="24"/>
              </w:rPr>
              <w:t>（2）向</w:t>
            </w:r>
            <w:r>
              <w:rPr>
                <w:rFonts w:hint="eastAsia" w:ascii="宋体" w:hAnsi="宋体" w:cs="宋体"/>
                <w:iCs/>
                <w:sz w:val="24"/>
                <w:u w:val="single"/>
              </w:rPr>
              <w:t xml:space="preserve">   </w:t>
            </w:r>
            <w:r>
              <w:rPr>
                <w:rFonts w:hint="eastAsia" w:asciiTheme="minorEastAsia" w:hAnsiTheme="minorEastAsia" w:eastAsiaTheme="minorEastAsia" w:cstheme="minorEastAsia"/>
                <w:iCs/>
                <w:sz w:val="24"/>
                <w:u w:val="single"/>
              </w:rPr>
              <w:t>项目属地</w:t>
            </w:r>
            <w:r>
              <w:rPr>
                <w:rFonts w:hint="eastAsia" w:ascii="宋体" w:hAnsi="宋体" w:cs="宋体"/>
                <w:iCs/>
                <w:sz w:val="24"/>
                <w:u w:val="single"/>
              </w:rPr>
              <w:t xml:space="preserve">   </w:t>
            </w:r>
            <w:r>
              <w:rPr>
                <w:rFonts w:hint="eastAsia" w:ascii="宋体" w:hAnsi="宋体" w:cs="宋体"/>
                <w:iCs/>
                <w:sz w:val="24"/>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snapToGrid w:val="0"/>
              <w:jc w:val="center"/>
              <w:rPr>
                <w:rFonts w:hint="eastAsia" w:ascii="宋体" w:hAnsi="宋体" w:cs="宋体"/>
                <w:sz w:val="24"/>
              </w:rPr>
            </w:pPr>
            <w:r>
              <w:rPr>
                <w:rFonts w:hint="eastAsia" w:ascii="宋体" w:hAnsi="宋体" w:cs="宋体"/>
                <w:sz w:val="24"/>
              </w:rPr>
              <w:t>第二节</w:t>
            </w:r>
          </w:p>
          <w:p>
            <w:pPr>
              <w:snapToGrid w:val="0"/>
              <w:jc w:val="center"/>
              <w:rPr>
                <w:rFonts w:hint="eastAsia" w:ascii="宋体" w:hAnsi="宋体" w:cs="宋体"/>
                <w:sz w:val="24"/>
              </w:rPr>
            </w:pPr>
            <w:r>
              <w:rPr>
                <w:rFonts w:hint="eastAsia" w:ascii="宋体" w:hAnsi="宋体" w:cs="宋体"/>
                <w:sz w:val="24"/>
              </w:rPr>
              <w:t>第23.1款</w:t>
            </w:r>
          </w:p>
        </w:tc>
        <w:tc>
          <w:tcPr>
            <w:tcW w:w="1742" w:type="dxa"/>
            <w:vAlign w:val="center"/>
          </w:tcPr>
          <w:p>
            <w:pPr>
              <w:snapToGrid w:val="0"/>
              <w:jc w:val="left"/>
              <w:rPr>
                <w:rFonts w:hint="eastAsia" w:ascii="宋体" w:hAnsi="宋体" w:cs="宋体"/>
                <w:sz w:val="24"/>
              </w:rPr>
            </w:pPr>
            <w:r>
              <w:rPr>
                <w:rFonts w:hint="eastAsia" w:ascii="宋体" w:hAnsi="宋体" w:cs="宋体"/>
                <w:bCs/>
                <w:sz w:val="24"/>
              </w:rPr>
              <w:t>其他专用条款</w:t>
            </w:r>
          </w:p>
        </w:tc>
        <w:tc>
          <w:tcPr>
            <w:tcW w:w="5170" w:type="dxa"/>
            <w:vAlign w:val="center"/>
          </w:tcPr>
          <w:p>
            <w:pPr>
              <w:snapToGrid w:val="0"/>
              <w:jc w:val="left"/>
              <w:rPr>
                <w:rFonts w:hint="eastAsia" w:ascii="宋体" w:hAnsi="宋体" w:cs="宋体"/>
                <w:sz w:val="24"/>
              </w:rPr>
            </w:pPr>
          </w:p>
        </w:tc>
      </w:tr>
    </w:tbl>
    <w:p>
      <w:pPr>
        <w:spacing w:line="360" w:lineRule="auto"/>
        <w:ind w:left="-420" w:leftChars="-200" w:right="-420" w:rightChars="-200" w:firstLine="480" w:firstLineChars="200"/>
        <w:rPr>
          <w:rFonts w:hint="eastAsia" w:ascii="宋体" w:hAnsi="宋体"/>
          <w:sz w:val="24"/>
        </w:rPr>
      </w:pPr>
    </w:p>
    <w:p>
      <w:pPr>
        <w:spacing w:line="360" w:lineRule="auto"/>
        <w:ind w:left="-420" w:leftChars="-200" w:right="-420" w:rightChars="-200"/>
        <w:rPr>
          <w:rFonts w:hint="eastAsia" w:ascii="宋体" w:hAnsi="宋体"/>
          <w:sz w:val="24"/>
        </w:rPr>
      </w:pPr>
    </w:p>
    <w:p>
      <w:pPr>
        <w:spacing w:line="360" w:lineRule="auto"/>
        <w:rPr>
          <w:rFonts w:hint="eastAsia" w:ascii="宋体" w:hAnsi="宋体" w:cs="宋体"/>
          <w:sz w:val="24"/>
        </w:rPr>
      </w:pPr>
    </w:p>
    <w:p/>
    <w:p/>
    <w:p>
      <w:pPr>
        <w:spacing w:line="360" w:lineRule="auto"/>
        <w:ind w:left="-420" w:leftChars="-200" w:right="-420" w:rightChars="-200" w:firstLine="480" w:firstLineChars="200"/>
        <w:jc w:val="center"/>
        <w:outlineLvl w:val="0"/>
        <w:rPr>
          <w:rFonts w:hint="eastAsia" w:ascii="宋体" w:hAnsi="宋体" w:cs="宋体"/>
          <w:sz w:val="24"/>
        </w:rPr>
      </w:pPr>
    </w:p>
    <w:p>
      <w:pPr>
        <w:jc w:val="center"/>
        <w:rPr>
          <w:rFonts w:hint="eastAsia"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第六部分</w:t>
      </w:r>
      <w:bookmarkEnd w:id="394"/>
      <w:bookmarkEnd w:id="395"/>
      <w:r>
        <w:rPr>
          <w:rFonts w:hint="eastAsia" w:ascii="宋体" w:hAnsi="宋体" w:cs="宋体"/>
          <w:b/>
          <w:sz w:val="36"/>
          <w:szCs w:val="20"/>
        </w:rPr>
        <w:t xml:space="preserve">  应提交的有关格式范例</w:t>
      </w:r>
    </w:p>
    <w:p>
      <w:pPr>
        <w:spacing w:line="360" w:lineRule="auto"/>
        <w:jc w:val="center"/>
        <w:outlineLvl w:val="0"/>
        <w:rPr>
          <w:rFonts w:hint="eastAsia" w:ascii="宋体" w:hAnsi="宋体" w:cs="宋体"/>
          <w:b/>
          <w:kern w:val="0"/>
          <w:sz w:val="36"/>
          <w:szCs w:val="36"/>
        </w:rPr>
      </w:pP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hint="eastAsia" w:ascii="宋体" w:hAnsi="宋体" w:cs="宋体"/>
          <w:b/>
          <w:kern w:val="0"/>
          <w:sz w:val="36"/>
          <w:szCs w:val="36"/>
        </w:rPr>
      </w:pPr>
    </w:p>
    <w:p>
      <w:pPr>
        <w:numPr>
          <w:ilvl w:val="0"/>
          <w:numId w:val="16"/>
        </w:numPr>
        <w:snapToGrid w:val="0"/>
        <w:spacing w:line="360" w:lineRule="auto"/>
        <w:rPr>
          <w:rFonts w:hint="eastAsia" w:ascii="宋体" w:hAnsi="宋体" w:cs="宋体"/>
          <w:sz w:val="24"/>
        </w:rPr>
      </w:pPr>
      <w:r>
        <w:rPr>
          <w:rFonts w:hint="eastAsia" w:ascii="宋体" w:hAnsi="宋体" w:cs="宋体"/>
          <w:sz w:val="24"/>
        </w:rPr>
        <w:t>符合参加政府采购活动应当具备的一般条件的承诺函……………（页码）</w:t>
      </w:r>
    </w:p>
    <w:p>
      <w:pPr>
        <w:numPr>
          <w:ilvl w:val="0"/>
          <w:numId w:val="16"/>
        </w:numPr>
        <w:snapToGrid w:val="0"/>
        <w:spacing w:line="360" w:lineRule="auto"/>
        <w:rPr>
          <w:rFonts w:hint="eastAsia" w:ascii="宋体" w:hAnsi="宋体" w:cs="宋体"/>
          <w:sz w:val="24"/>
        </w:rPr>
      </w:pPr>
      <w:r>
        <w:rPr>
          <w:rFonts w:hint="eastAsia" w:ascii="宋体" w:hAnsi="宋体" w:cs="宋体"/>
          <w:snapToGrid w:val="0"/>
          <w:kern w:val="28"/>
          <w:sz w:val="24"/>
          <w:szCs w:val="20"/>
        </w:rPr>
        <w:t>联合协议</w:t>
      </w:r>
      <w:r>
        <w:rPr>
          <w:rFonts w:hint="eastAsia" w:ascii="宋体" w:hAnsi="宋体" w:cs="宋体"/>
          <w:sz w:val="24"/>
        </w:rPr>
        <w:t>………………………………………………………………（页码）</w:t>
      </w:r>
    </w:p>
    <w:p>
      <w:pPr>
        <w:numPr>
          <w:ilvl w:val="0"/>
          <w:numId w:val="16"/>
        </w:numPr>
        <w:snapToGrid w:val="0"/>
        <w:spacing w:line="360" w:lineRule="auto"/>
        <w:rPr>
          <w:rFonts w:hint="eastAsia" w:ascii="宋体" w:hAnsi="宋体" w:cs="宋体"/>
          <w:sz w:val="24"/>
        </w:rPr>
      </w:pPr>
      <w:r>
        <w:rPr>
          <w:rFonts w:hint="eastAsia" w:ascii="宋体" w:hAnsi="宋体" w:cs="宋体"/>
          <w:sz w:val="24"/>
        </w:rPr>
        <w:t>落实政府采购政策需满足的资格要求………………………………（页码）</w:t>
      </w:r>
    </w:p>
    <w:p>
      <w:pPr>
        <w:numPr>
          <w:ilvl w:val="0"/>
          <w:numId w:val="16"/>
        </w:numPr>
        <w:snapToGrid w:val="0"/>
        <w:spacing w:line="360" w:lineRule="auto"/>
        <w:rPr>
          <w:rFonts w:hint="eastAsia" w:ascii="宋体" w:hAnsi="宋体" w:cs="宋体"/>
          <w:sz w:val="24"/>
        </w:rPr>
      </w:pPr>
      <w:r>
        <w:rPr>
          <w:rFonts w:hint="eastAsia" w:ascii="宋体" w:hAnsi="宋体" w:cs="宋体"/>
          <w:sz w:val="24"/>
        </w:rPr>
        <w:t>本项目的特定资格要求………………………………………………（页码）</w:t>
      </w:r>
    </w:p>
    <w:p>
      <w:pPr>
        <w:snapToGrid w:val="0"/>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一、符合参加政府采购活动应当具备的一般条件的承诺函</w:t>
      </w:r>
    </w:p>
    <w:p>
      <w:pPr>
        <w:snapToGrid w:val="0"/>
        <w:spacing w:line="360" w:lineRule="auto"/>
        <w:rPr>
          <w:rFonts w:hint="eastAsia" w:ascii="宋体" w:hAnsi="宋体" w:cs="宋体"/>
          <w:sz w:val="24"/>
        </w:rPr>
      </w:pPr>
      <w:r>
        <w:rPr>
          <w:rFonts w:hint="eastAsia" w:ascii="宋体" w:hAnsi="宋体" w:cs="宋体"/>
          <w:sz w:val="24"/>
        </w:rPr>
        <w:t>杭州第九中学树范学校、杭州洲源招标代理有限公司：</w:t>
      </w:r>
    </w:p>
    <w:p>
      <w:pPr>
        <w:snapToGrid w:val="0"/>
        <w:spacing w:line="360" w:lineRule="auto"/>
        <w:ind w:firstLine="480" w:firstLineChars="200"/>
        <w:rPr>
          <w:rFonts w:hint="eastAsia" w:ascii="宋体" w:hAnsi="宋体" w:cs="宋体"/>
          <w:sz w:val="24"/>
        </w:rPr>
      </w:pPr>
      <w:r>
        <w:rPr>
          <w:rFonts w:hint="eastAsia" w:ascii="宋体" w:hAnsi="宋体" w:cs="宋体"/>
          <w:sz w:val="24"/>
        </w:rPr>
        <w:t>我方参与杭州第九中学树范学校计算机网络及网络安全系统采购项目 【项目编号： ZYZB-GK-2025-004】政府采购活动，郑重承诺：</w:t>
      </w:r>
    </w:p>
    <w:p>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投标供应商名称(电子签名)：</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rPr>
          <w:rFonts w:hint="eastAsia" w:ascii="宋体" w:hAnsi="宋体" w:cs="宋体"/>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[以联合体形式投标的，提供联合协议（附件5）；本项目不接受联合体投标或者投标供应商不以联合体形式投标的，则不需要提供）]</w:t>
      </w: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hint="eastAsia" w:ascii="宋体" w:hAnsi="宋体" w:cs="宋体"/>
          <w:sz w:val="24"/>
        </w:rPr>
      </w:pPr>
    </w:p>
    <w:p>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投标供应商本身提供所有标的均由中小企业承接的，并相应达到了前述比例要求，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投标供应商本身提供所有标的均由中小企业承接的，并相应达到了前述比例要求，视同符合了资格条件，无需再向中小企业分包，无需提供分包意向协议。</w:t>
      </w:r>
    </w:p>
    <w:p>
      <w:pPr>
        <w:snapToGrid w:val="0"/>
        <w:spacing w:line="360" w:lineRule="auto"/>
        <w:ind w:right="48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pPr>
        <w:rPr>
          <w:rFonts w:hint="eastAsia" w:ascii="宋体" w:hAnsi="宋体" w:cs="宋体"/>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jc w:val="center"/>
        <w:rPr>
          <w:rFonts w:hint="eastAsia"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hint="eastAsia" w:ascii="宋体" w:hAnsi="宋体" w:cs="宋体"/>
          <w:b/>
          <w:kern w:val="0"/>
          <w:sz w:val="24"/>
        </w:rPr>
      </w:pPr>
    </w:p>
    <w:p>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pPr>
        <w:numPr>
          <w:ilvl w:val="0"/>
          <w:numId w:val="17"/>
        </w:numPr>
        <w:snapToGrid w:val="0"/>
        <w:spacing w:line="360" w:lineRule="auto"/>
        <w:rPr>
          <w:rFonts w:hint="eastAsia" w:ascii="宋体" w:hAnsi="宋体" w:cs="宋体"/>
          <w:sz w:val="24"/>
        </w:rPr>
      </w:pPr>
      <w:r>
        <w:rPr>
          <w:rFonts w:hint="eastAsia" w:ascii="宋体" w:hAnsi="宋体" w:cs="宋体"/>
          <w:sz w:val="24"/>
        </w:rPr>
        <w:t>投标函………………………………………………………………………（页码）</w:t>
      </w:r>
    </w:p>
    <w:p>
      <w:pPr>
        <w:numPr>
          <w:ilvl w:val="0"/>
          <w:numId w:val="17"/>
        </w:numPr>
        <w:snapToGrid w:val="0"/>
        <w:spacing w:line="360" w:lineRule="auto"/>
        <w:rPr>
          <w:rFonts w:hint="eastAsia" w:ascii="宋体" w:hAnsi="宋体" w:cs="宋体"/>
          <w:sz w:val="24"/>
        </w:rPr>
      </w:pPr>
      <w:r>
        <w:rPr>
          <w:rFonts w:hint="eastAsia" w:ascii="宋体" w:hAnsi="宋体" w:cs="宋体"/>
          <w:sz w:val="24"/>
        </w:rPr>
        <w:t>授权委托书或法定代表人（单位负责人、自然人本人）身份证明……（页码）</w:t>
      </w:r>
    </w:p>
    <w:p>
      <w:pPr>
        <w:numPr>
          <w:ilvl w:val="0"/>
          <w:numId w:val="17"/>
        </w:numPr>
        <w:snapToGrid w:val="0"/>
        <w:spacing w:line="360" w:lineRule="auto"/>
        <w:rPr>
          <w:rFonts w:hint="eastAsia" w:ascii="宋体" w:hAnsi="宋体" w:cs="宋体"/>
          <w:sz w:val="24"/>
        </w:rPr>
      </w:pPr>
      <w:r>
        <w:rPr>
          <w:rFonts w:hint="eastAsia" w:ascii="宋体" w:hAnsi="宋体" w:cs="宋体"/>
          <w:sz w:val="24"/>
        </w:rPr>
        <w:t>分包意向协议………………………………………………………………（页码）</w:t>
      </w:r>
    </w:p>
    <w:p>
      <w:pPr>
        <w:numPr>
          <w:ilvl w:val="0"/>
          <w:numId w:val="17"/>
        </w:numPr>
        <w:snapToGrid w:val="0"/>
        <w:spacing w:line="360" w:lineRule="auto"/>
        <w:rPr>
          <w:rFonts w:hint="eastAsia" w:ascii="宋体" w:hAnsi="宋体" w:cs="宋体"/>
          <w:sz w:val="24"/>
        </w:rPr>
      </w:pPr>
      <w:r>
        <w:rPr>
          <w:rFonts w:hint="eastAsia" w:ascii="宋体" w:hAnsi="宋体" w:cs="宋体"/>
          <w:sz w:val="24"/>
        </w:rPr>
        <w:t>符合性审查资料……………………………………………………………（页码）</w:t>
      </w:r>
    </w:p>
    <w:p>
      <w:pPr>
        <w:numPr>
          <w:ilvl w:val="0"/>
          <w:numId w:val="17"/>
        </w:numPr>
        <w:snapToGrid w:val="0"/>
        <w:spacing w:line="360" w:lineRule="auto"/>
        <w:rPr>
          <w:rFonts w:hint="eastAsia" w:ascii="宋体" w:hAnsi="宋体" w:cs="宋体"/>
          <w:sz w:val="24"/>
        </w:rPr>
      </w:pPr>
      <w:r>
        <w:rPr>
          <w:rFonts w:hint="eastAsia" w:ascii="宋体" w:hAnsi="宋体" w:cs="宋体"/>
          <w:sz w:val="24"/>
        </w:rPr>
        <w:t>评标标准相应的商务技术资料……………………………………………（页码）</w:t>
      </w:r>
    </w:p>
    <w:p>
      <w:pPr>
        <w:numPr>
          <w:ilvl w:val="0"/>
          <w:numId w:val="17"/>
        </w:numPr>
        <w:snapToGrid w:val="0"/>
        <w:spacing w:line="360" w:lineRule="auto"/>
        <w:rPr>
          <w:rFonts w:hint="eastAsia" w:ascii="宋体" w:hAnsi="宋体" w:cs="宋体"/>
          <w:sz w:val="24"/>
        </w:rPr>
      </w:pPr>
      <w:r>
        <w:rPr>
          <w:rFonts w:hint="eastAsia" w:ascii="宋体" w:hAnsi="宋体" w:cs="宋体"/>
          <w:sz w:val="24"/>
        </w:rPr>
        <w:t>投标标的清单………………………………………………………………（页码）</w:t>
      </w:r>
    </w:p>
    <w:p>
      <w:pPr>
        <w:numPr>
          <w:ilvl w:val="0"/>
          <w:numId w:val="17"/>
        </w:numPr>
        <w:snapToGrid w:val="0"/>
        <w:spacing w:line="360" w:lineRule="auto"/>
        <w:rPr>
          <w:rFonts w:hint="eastAsia" w:ascii="宋体" w:hAnsi="宋体" w:cs="宋体"/>
          <w:sz w:val="24"/>
        </w:rPr>
      </w:pPr>
      <w:r>
        <w:rPr>
          <w:rFonts w:hint="eastAsia" w:ascii="宋体" w:hAnsi="宋体" w:cs="宋体"/>
          <w:sz w:val="24"/>
        </w:rPr>
        <w:t>商务技术偏离表……………………………………………………………（页码）</w:t>
      </w:r>
    </w:p>
    <w:p>
      <w:pPr>
        <w:numPr>
          <w:ilvl w:val="0"/>
          <w:numId w:val="17"/>
        </w:numPr>
        <w:snapToGrid w:val="0"/>
        <w:spacing w:line="360" w:lineRule="auto"/>
        <w:rPr>
          <w:rFonts w:hint="eastAsia" w:ascii="宋体" w:hAnsi="宋体" w:cs="宋体"/>
          <w:sz w:val="24"/>
        </w:rPr>
      </w:pP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snapToGrid w:val="0"/>
        <w:spacing w:line="360" w:lineRule="auto"/>
        <w:jc w:val="center"/>
        <w:rPr>
          <w:rFonts w:hint="eastAsia" w:ascii="宋体" w:hAnsi="宋体" w:cs="宋体"/>
          <w:b/>
          <w:kern w:val="0"/>
          <w:sz w:val="32"/>
          <w:szCs w:val="32"/>
          <w:lang w:val="zh-CN"/>
        </w:rPr>
      </w:pPr>
    </w:p>
    <w:p>
      <w:pPr>
        <w:rPr>
          <w:rFonts w:hint="eastAsia"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00" w:lineRule="auto"/>
        <w:rPr>
          <w:rFonts w:hint="eastAsia" w:ascii="宋体" w:hAnsi="宋体" w:cs="宋体"/>
          <w:sz w:val="24"/>
        </w:rPr>
      </w:pPr>
      <w:r>
        <w:rPr>
          <w:rFonts w:hint="eastAsia" w:ascii="宋体" w:hAnsi="宋体" w:cs="宋体"/>
          <w:sz w:val="24"/>
        </w:rPr>
        <w:t>杭州第九中学树范学校、杭州洲源招标代理有限公司：</w:t>
      </w:r>
    </w:p>
    <w:p>
      <w:pPr>
        <w:snapToGrid w:val="0"/>
        <w:spacing w:line="300" w:lineRule="auto"/>
        <w:ind w:firstLine="480" w:firstLineChars="200"/>
        <w:jc w:val="left"/>
        <w:rPr>
          <w:rFonts w:hint="eastAsia" w:ascii="宋体" w:hAnsi="宋体" w:cs="宋体"/>
          <w:sz w:val="24"/>
        </w:rPr>
      </w:pPr>
      <w:r>
        <w:rPr>
          <w:rFonts w:hint="eastAsia" w:ascii="宋体" w:hAnsi="宋体" w:cs="宋体"/>
          <w:sz w:val="24"/>
        </w:rPr>
        <w:t>我方参加你方组织的杭州第九中学树范学校计算机网络及网络安全系统采购项目 【项目编号： ZYZB-GK-2025-004】招标的有关活动，并对此项目进行投标。为此：</w:t>
      </w:r>
    </w:p>
    <w:p>
      <w:pPr>
        <w:snapToGrid w:val="0"/>
        <w:spacing w:line="30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00" w:lineRule="auto"/>
        <w:ind w:firstLine="480" w:firstLineChars="200"/>
        <w:rPr>
          <w:rFonts w:hint="eastAsia" w:ascii="宋体" w:hAnsi="宋体" w:cs="宋体"/>
          <w:sz w:val="24"/>
        </w:rPr>
      </w:pPr>
      <w:r>
        <w:rPr>
          <w:rFonts w:hint="eastAsia" w:ascii="宋体" w:hAnsi="宋体" w:cs="宋体"/>
          <w:sz w:val="24"/>
        </w:rPr>
        <w:t>2、我方的投标文件包括以下内容：</w:t>
      </w:r>
    </w:p>
    <w:p>
      <w:pPr>
        <w:snapToGrid w:val="0"/>
        <w:spacing w:line="300" w:lineRule="auto"/>
        <w:ind w:left="210" w:leftChars="100" w:firstLine="480" w:firstLineChars="200"/>
        <w:rPr>
          <w:rFonts w:hint="eastAsia" w:ascii="宋体" w:hAnsi="宋体" w:cs="宋体"/>
          <w:sz w:val="24"/>
        </w:rPr>
      </w:pPr>
      <w:r>
        <w:rPr>
          <w:rFonts w:hint="eastAsia" w:ascii="宋体" w:hAnsi="宋体" w:cs="宋体"/>
          <w:sz w:val="24"/>
        </w:rPr>
        <w:t>2.1资格文件：</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2.1.1承诺函；</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0" w:name="_Hlk101257010"/>
      <w:r>
        <w:rPr>
          <w:rFonts w:hint="eastAsia" w:ascii="宋体" w:hAnsi="宋体" w:cs="宋体"/>
          <w:snapToGrid w:val="0"/>
          <w:kern w:val="28"/>
          <w:sz w:val="24"/>
          <w:szCs w:val="20"/>
        </w:rPr>
        <w:t>（如果有)</w:t>
      </w:r>
      <w:bookmarkEnd w:id="400"/>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0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0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0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napToGrid w:val="0"/>
        <w:spacing w:line="30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pPr>
        <w:snapToGrid w:val="0"/>
        <w:spacing w:line="30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pPr>
        <w:snapToGrid w:val="0"/>
        <w:spacing w:line="300" w:lineRule="auto"/>
        <w:ind w:firstLine="480" w:firstLineChars="200"/>
        <w:rPr>
          <w:rFonts w:hint="eastAsia" w:ascii="宋体" w:hAnsi="宋体" w:cs="宋体"/>
          <w:sz w:val="24"/>
        </w:rPr>
      </w:pPr>
      <w:r>
        <w:rPr>
          <w:rFonts w:hint="eastAsia" w:ascii="宋体" w:hAnsi="宋体" w:cs="宋体"/>
          <w:sz w:val="24"/>
        </w:rPr>
        <w:t>4、如我方中标，我方承诺：</w:t>
      </w:r>
    </w:p>
    <w:p>
      <w:pPr>
        <w:snapToGrid w:val="0"/>
        <w:spacing w:line="30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0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pPr>
        <w:snapToGrid w:val="0"/>
        <w:spacing w:line="30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pPr>
        <w:snapToGrid w:val="0"/>
        <w:spacing w:line="30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pPr>
        <w:snapToGrid w:val="0"/>
        <w:spacing w:line="300" w:lineRule="auto"/>
        <w:ind w:firstLine="480" w:firstLineChars="200"/>
        <w:rPr>
          <w:rFonts w:hint="eastAsia" w:ascii="宋体" w:hAnsi="宋体" w:cs="宋体"/>
          <w:sz w:val="24"/>
        </w:rPr>
      </w:pPr>
      <w:r>
        <w:rPr>
          <w:rFonts w:hint="eastAsia" w:ascii="宋体" w:hAnsi="宋体" w:cs="宋体"/>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snapToGrid w:val="0"/>
        <w:spacing w:line="300" w:lineRule="auto"/>
        <w:ind w:left="210" w:leftChars="100" w:firstLine="480" w:firstLineChars="200"/>
        <w:rPr>
          <w:rFonts w:hint="eastAsia" w:ascii="宋体" w:hAnsi="宋体" w:cs="宋体"/>
          <w:sz w:val="24"/>
        </w:rPr>
      </w:pPr>
    </w:p>
    <w:p>
      <w:pPr>
        <w:snapToGrid w:val="0"/>
        <w:spacing w:line="30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pPr>
        <w:spacing w:line="300" w:lineRule="auto"/>
        <w:ind w:firstLine="3600" w:firstLineChars="1500"/>
        <w:rPr>
          <w:rFonts w:hint="eastAsia" w:ascii="宋体" w:hAnsi="宋体" w:cs="宋体"/>
          <w:sz w:val="24"/>
        </w:rPr>
      </w:pPr>
      <w:r>
        <w:rPr>
          <w:rFonts w:hint="eastAsia" w:ascii="宋体" w:hAnsi="宋体" w:cs="宋体"/>
          <w:sz w:val="24"/>
        </w:rPr>
        <w:t xml:space="preserve">投标供应商名称（电子签名）：                          </w:t>
      </w:r>
    </w:p>
    <w:p>
      <w:pPr>
        <w:spacing w:line="300" w:lineRule="auto"/>
        <w:jc w:val="center"/>
        <w:rPr>
          <w:rFonts w:hint="eastAsia" w:ascii="宋体" w:hAnsi="宋体" w:cs="宋体"/>
          <w:sz w:val="24"/>
        </w:rPr>
      </w:pPr>
      <w:r>
        <w:rPr>
          <w:rFonts w:hint="eastAsia" w:ascii="宋体" w:hAnsi="宋体" w:cs="宋体"/>
          <w:sz w:val="24"/>
        </w:rPr>
        <w:t xml:space="preserve">     日期：  年   月   日</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rPr>
          <w:rFonts w:hint="eastAsia" w:ascii="宋体" w:hAnsi="宋体" w:cs="宋体"/>
          <w:b/>
          <w:kern w:val="0"/>
          <w:sz w:val="32"/>
          <w:szCs w:val="32"/>
        </w:rPr>
      </w:pPr>
      <w:r>
        <w:rPr>
          <w:rFonts w:hint="eastAsia" w:ascii="宋体" w:hAnsi="宋体" w:cs="宋体"/>
          <w:b/>
          <w:kern w:val="0"/>
          <w:sz w:val="32"/>
          <w:szCs w:val="32"/>
        </w:rPr>
        <w:br w:type="page"/>
      </w:r>
    </w:p>
    <w:p>
      <w:pPr>
        <w:jc w:val="center"/>
        <w:rPr>
          <w:rFonts w:hint="eastAsia" w:ascii="宋体" w:hAnsi="宋体" w:cs="宋体"/>
          <w:b/>
          <w:kern w:val="0"/>
          <w:sz w:val="32"/>
          <w:szCs w:val="32"/>
          <w:lang w:val="zh-CN"/>
        </w:rPr>
      </w:pPr>
      <w:r>
        <w:rPr>
          <w:rFonts w:hint="eastAsia" w:ascii="宋体" w:hAnsi="宋体" w:cs="宋体"/>
          <w:b/>
          <w:kern w:val="0"/>
          <w:sz w:val="32"/>
          <w:szCs w:val="32"/>
          <w:lang w:val="zh-CN"/>
        </w:rPr>
        <w:t>二、</w:t>
      </w:r>
      <w:r>
        <w:rPr>
          <w:rFonts w:hint="eastAsia" w:ascii="宋体" w:hAnsi="宋体" w:cs="宋体"/>
          <w:b/>
          <w:kern w:val="0"/>
          <w:sz w:val="28"/>
          <w:szCs w:val="28"/>
          <w:lang w:val="zh-CN"/>
        </w:rPr>
        <w:t>授权委托书或法定代表人（单位负责人、自然人本人）身份证明</w:t>
      </w:r>
    </w:p>
    <w:p>
      <w:pPr>
        <w:snapToGrid w:val="0"/>
        <w:spacing w:line="360" w:lineRule="auto"/>
        <w:rPr>
          <w:rFonts w:hint="eastAsia" w:ascii="宋体" w:hAnsi="宋体" w:cs="宋体"/>
          <w:sz w:val="24"/>
        </w:rPr>
      </w:pPr>
      <w:r>
        <w:rPr>
          <w:rFonts w:hint="eastAsia" w:ascii="宋体" w:hAnsi="宋体" w:cs="宋体"/>
          <w:sz w:val="24"/>
        </w:rPr>
        <w:t xml:space="preserve">                                </w:t>
      </w:r>
    </w:p>
    <w:p>
      <w:pPr>
        <w:snapToGrid w:val="0"/>
        <w:spacing w:line="360" w:lineRule="auto"/>
        <w:ind w:firstLine="2528" w:firstLineChars="787"/>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hint="eastAsia" w:ascii="宋体" w:hAnsi="宋体" w:cs="宋体"/>
          <w:kern w:val="0"/>
          <w:sz w:val="24"/>
        </w:rPr>
      </w:pPr>
      <w:r>
        <w:rPr>
          <w:rFonts w:hint="eastAsia" w:ascii="宋体" w:hAnsi="宋体" w:cs="宋体"/>
          <w:sz w:val="24"/>
        </w:rPr>
        <w:t>杭州第九中学树范学校、杭州洲源招标代理有限公司</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杭州第九中学树范学校计算机网络及网络安全系统采购项目 【项目编号： ZYZB-GK-2025-004】</w:t>
      </w:r>
      <w:r>
        <w:rPr>
          <w:rFonts w:hint="eastAsia" w:ascii="宋体" w:hAnsi="宋体" w:cs="宋体"/>
          <w:kern w:val="0"/>
          <w:sz w:val="24"/>
          <w:lang w:val="zh-CN"/>
        </w:rPr>
        <w:t>政府采购投标的一切事项，其法律后果由我方承担。</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投标供应商名称(电子签名)：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hint="eastAsia" w:ascii="宋体" w:hAnsi="宋体" w:cs="宋体"/>
          <w:sz w:val="24"/>
        </w:rPr>
      </w:pPr>
    </w:p>
    <w:p>
      <w:pPr>
        <w:spacing w:line="360" w:lineRule="auto"/>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hint="eastAsia" w:ascii="宋体" w:hAnsi="宋体" w:cs="宋体"/>
          <w:kern w:val="0"/>
          <w:sz w:val="24"/>
        </w:rPr>
      </w:pPr>
      <w:r>
        <w:rPr>
          <w:rFonts w:hint="eastAsia" w:ascii="宋体" w:hAnsi="宋体" w:cs="宋体"/>
          <w:sz w:val="24"/>
        </w:rPr>
        <w:t>杭州第九中学树范学校、杭州洲源招标代理有限公司</w:t>
      </w:r>
      <w:r>
        <w:rPr>
          <w:rFonts w:hint="eastAsia" w:ascii="宋体" w:hAnsi="宋体" w:cs="宋体"/>
          <w:kern w:val="0"/>
          <w:sz w:val="24"/>
          <w:lang w:val="zh-CN"/>
        </w:rPr>
        <w:t>：</w:t>
      </w:r>
    </w:p>
    <w:p>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杭州第九中学树范学校计算机网络及网络安全系统采购项目 【项目编号： ZYZB-GK-2025-004】</w:t>
      </w:r>
      <w:r>
        <w:rPr>
          <w:rFonts w:hint="eastAsia" w:ascii="宋体" w:hAnsi="宋体" w:cs="宋体"/>
          <w:kern w:val="0"/>
          <w:sz w:val="24"/>
          <w:lang w:val="zh-CN"/>
        </w:rPr>
        <w:t>政府采购投标的一切事项，其法律后果由我方承担。</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hint="eastAsia" w:ascii="宋体" w:hAnsi="宋体" w:cs="宋体"/>
          <w:b/>
          <w:kern w:val="0"/>
          <w:sz w:val="32"/>
          <w:szCs w:val="32"/>
        </w:rPr>
      </w:pPr>
    </w:p>
    <w:p>
      <w:pPr>
        <w:rPr>
          <w:rFonts w:hint="eastAsia" w:ascii="宋体" w:hAnsi="宋体" w:cs="宋体"/>
        </w:rPr>
      </w:pPr>
    </w:p>
    <w:p>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hint="eastAsia" w:ascii="宋体" w:hAnsi="宋体" w:cs="宋体"/>
          <w:b/>
          <w:kern w:val="0"/>
          <w:sz w:val="32"/>
          <w:szCs w:val="32"/>
          <w:lang w:val="zh-CN"/>
        </w:rPr>
      </w:pPr>
    </w:p>
    <w:p>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的身份证明（适用于法定代表人、单位负责人或者自然人本人代表投标供应商参加投标）</w:t>
      </w:r>
    </w:p>
    <w:p>
      <w:pPr>
        <w:pStyle w:val="147"/>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hAnsi="宋体" w:cs="宋体"/>
                <w:bCs/>
                <w:sz w:val="24"/>
              </w:rPr>
            </w:pPr>
            <w:r>
              <w:rPr>
                <w:rFonts w:hint="eastAsia" w:hAnsi="宋体" w:cs="宋体"/>
                <w:bCs/>
                <w:sz w:val="24"/>
              </w:rPr>
              <w:t>正面：                                 反面：</w:t>
            </w:r>
          </w:p>
          <w:p>
            <w:pPr>
              <w:pStyle w:val="147"/>
              <w:adjustRightInd w:val="0"/>
              <w:spacing w:line="360" w:lineRule="auto"/>
              <w:rPr>
                <w:rFonts w:hint="eastAsia" w:hAnsi="宋体" w:cs="宋体"/>
                <w:bCs/>
                <w:sz w:val="24"/>
              </w:rPr>
            </w:pPr>
          </w:p>
        </w:tc>
      </w:tr>
    </w:tbl>
    <w:p>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投标供应商名称(电子签名)：                              </w:t>
      </w:r>
    </w:p>
    <w:p>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snapToGrid w:val="0"/>
        <w:spacing w:line="360" w:lineRule="auto"/>
        <w:ind w:right="48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；采购人不同意分包或者投标供应商中标后不以分包方式履行合同的，则不需要提供。</w:t>
      </w:r>
      <w:r>
        <w:rPr>
          <w:rFonts w:hint="eastAsia" w:ascii="宋体" w:hAnsi="宋体" w:cs="宋体"/>
          <w:sz w:val="24"/>
        </w:rPr>
        <w:t>]</w:t>
      </w:r>
    </w:p>
    <w:p>
      <w:pPr>
        <w:snapToGrid w:val="0"/>
        <w:spacing w:line="360" w:lineRule="auto"/>
        <w:rPr>
          <w:rFonts w:hint="eastAsia" w:ascii="宋体" w:hAnsi="宋体" w:cs="宋体"/>
          <w:kern w:val="0"/>
          <w:sz w:val="24"/>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pPr>
        <w:jc w:val="center"/>
        <w:rPr>
          <w:rFonts w:hint="eastAsia" w:ascii="宋体" w:hAnsi="宋体" w:cs="宋体"/>
          <w:b/>
          <w:kern w:val="0"/>
          <w:sz w:val="32"/>
          <w:szCs w:val="32"/>
        </w:rPr>
      </w:pPr>
    </w:p>
    <w:tbl>
      <w:tblPr>
        <w:tblStyle w:val="62"/>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71"/>
        <w:gridCol w:w="396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3471"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3965"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524" w:type="dxa"/>
            <w:vAlign w:val="center"/>
          </w:tcPr>
          <w:p>
            <w:pPr>
              <w:snapToGrid w:val="0"/>
              <w:spacing w:line="240" w:lineRule="atLeast"/>
              <w:jc w:val="center"/>
              <w:rPr>
                <w:rFonts w:hint="eastAsia" w:ascii="宋体" w:hAnsi="宋体" w:cs="宋体"/>
                <w:b/>
                <w:sz w:val="24"/>
              </w:rPr>
            </w:pPr>
            <w:r>
              <w:rPr>
                <w:rFonts w:hint="eastAsia" w:ascii="宋体" w:hAnsi="宋体" w:cs="宋体"/>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宋体" w:hAnsi="宋体" w:cs="宋体"/>
                <w:sz w:val="24"/>
              </w:rPr>
            </w:pPr>
            <w:r>
              <w:rPr>
                <w:rFonts w:hint="eastAsia" w:ascii="宋体" w:hAnsi="宋体" w:cs="宋体"/>
                <w:sz w:val="24"/>
              </w:rPr>
              <w:t>1</w:t>
            </w:r>
          </w:p>
        </w:tc>
        <w:tc>
          <w:tcPr>
            <w:tcW w:w="3471" w:type="dxa"/>
            <w:vAlign w:val="center"/>
          </w:tcPr>
          <w:p>
            <w:pPr>
              <w:spacing w:line="360" w:lineRule="auto"/>
              <w:jc w:val="left"/>
              <w:rPr>
                <w:rFonts w:hint="eastAsia" w:ascii="宋体" w:hAnsi="宋体" w:cs="宋体"/>
                <w:sz w:val="24"/>
              </w:rPr>
            </w:pPr>
            <w:r>
              <w:rPr>
                <w:rFonts w:hint="eastAsia" w:ascii="宋体" w:hAnsi="宋体" w:cs="宋体"/>
                <w:sz w:val="24"/>
              </w:rPr>
              <w:t>投标文件按照招标文件要求签署、盖章。</w:t>
            </w:r>
          </w:p>
        </w:tc>
        <w:tc>
          <w:tcPr>
            <w:tcW w:w="3965" w:type="dxa"/>
            <w:vAlign w:val="center"/>
          </w:tcPr>
          <w:p>
            <w:pPr>
              <w:rPr>
                <w:rFonts w:hint="eastAsia" w:ascii="宋体" w:hAnsi="宋体" w:cs="宋体"/>
                <w:sz w:val="24"/>
              </w:rPr>
            </w:pPr>
            <w:r>
              <w:rPr>
                <w:rFonts w:hint="eastAsia" w:ascii="宋体" w:hAnsi="宋体" w:cs="宋体"/>
                <w:sz w:val="24"/>
              </w:rPr>
              <w:t>需要使用电子签名或者签字盖章的投标文件的组成部分</w:t>
            </w:r>
          </w:p>
        </w:tc>
        <w:tc>
          <w:tcPr>
            <w:tcW w:w="1524" w:type="dxa"/>
          </w:tcPr>
          <w:p>
            <w:pPr>
              <w:rPr>
                <w:rFonts w:hint="eastAsia" w:ascii="宋体" w:hAnsi="宋体" w:cs="宋体"/>
                <w:sz w:val="24"/>
              </w:rPr>
            </w:pPr>
            <w:r>
              <w:rPr>
                <w:rFonts w:hint="eastAsia" w:ascii="宋体" w:hAnsi="宋体" w:cs="宋体"/>
                <w:sz w:val="24"/>
              </w:rPr>
              <w:t>见投标文件</w:t>
            </w:r>
          </w:p>
          <w:p>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3471" w:type="dxa"/>
            <w:vAlign w:val="center"/>
          </w:tcPr>
          <w:p>
            <w:pPr>
              <w:spacing w:line="360" w:lineRule="auto"/>
              <w:jc w:val="left"/>
              <w:rPr>
                <w:rFonts w:hint="eastAsia" w:ascii="宋体" w:hAnsi="宋体" w:cs="宋体"/>
                <w:sz w:val="24"/>
              </w:rPr>
            </w:pPr>
            <w:r>
              <w:rPr>
                <w:rFonts w:hint="eastAsia" w:ascii="宋体" w:hAnsi="宋体" w:cs="宋体"/>
                <w:sz w:val="24"/>
              </w:rPr>
              <w:t>属于前附表列明的政府强制采购的节能产品品目清单范围的，提供中国节能产品认证证书或环境标志产品认证证书。（若有，详见前附表）</w:t>
            </w:r>
          </w:p>
        </w:tc>
        <w:tc>
          <w:tcPr>
            <w:tcW w:w="3965" w:type="dxa"/>
            <w:vAlign w:val="center"/>
          </w:tcPr>
          <w:p>
            <w:pPr>
              <w:rPr>
                <w:rFonts w:hint="eastAsia" w:ascii="宋体" w:hAnsi="宋体" w:cs="宋体"/>
                <w:sz w:val="24"/>
              </w:rPr>
            </w:pPr>
            <w:r>
              <w:rPr>
                <w:rFonts w:hint="eastAsia" w:ascii="宋体" w:hAnsi="宋体" w:cs="宋体"/>
                <w:sz w:val="24"/>
              </w:rPr>
              <w:t>具体要求详见《市场监管总局关于发布参与实施政府采购节能产品、环境标志产品认证机构名录的公告》（http://www.ccgp.gov.cn/zcfg/bwfile/201904/t20190403_11853998.htm）</w:t>
            </w:r>
          </w:p>
        </w:tc>
        <w:tc>
          <w:tcPr>
            <w:tcW w:w="1524" w:type="dxa"/>
          </w:tcPr>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见投标文件</w:t>
            </w:r>
          </w:p>
          <w:p>
            <w:pPr>
              <w:pStyle w:val="4"/>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宋体" w:hAnsi="宋体" w:cs="宋体"/>
                <w:sz w:val="24"/>
              </w:rPr>
            </w:pPr>
            <w:r>
              <w:rPr>
                <w:rFonts w:hint="eastAsia" w:ascii="宋体" w:hAnsi="宋体" w:cs="宋体"/>
                <w:sz w:val="24"/>
              </w:rPr>
              <w:t>3</w:t>
            </w:r>
          </w:p>
        </w:tc>
        <w:tc>
          <w:tcPr>
            <w:tcW w:w="3471" w:type="dxa"/>
            <w:vAlign w:val="center"/>
          </w:tcPr>
          <w:p>
            <w:pPr>
              <w:spacing w:line="360" w:lineRule="auto"/>
              <w:jc w:val="left"/>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3965" w:type="dxa"/>
            <w:vAlign w:val="center"/>
          </w:tcPr>
          <w:p>
            <w:pPr>
              <w:rPr>
                <w:rFonts w:hint="eastAsia" w:ascii="宋体" w:hAnsi="宋体" w:cs="宋体"/>
                <w:sz w:val="24"/>
              </w:rPr>
            </w:pPr>
            <w:r>
              <w:rPr>
                <w:rFonts w:hint="eastAsia" w:ascii="宋体" w:hAnsi="宋体" w:cs="宋体"/>
                <w:sz w:val="24"/>
              </w:rPr>
              <w:t>投标函</w:t>
            </w:r>
          </w:p>
        </w:tc>
        <w:tc>
          <w:tcPr>
            <w:tcW w:w="1524" w:type="dxa"/>
          </w:tcPr>
          <w:p>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hint="eastAsia" w:ascii="宋体" w:hAnsi="宋体" w:cs="宋体"/>
                <w:sz w:val="24"/>
              </w:rPr>
            </w:pPr>
            <w:r>
              <w:rPr>
                <w:rFonts w:hint="eastAsia" w:ascii="宋体" w:hAnsi="宋体" w:cs="宋体"/>
                <w:sz w:val="24"/>
              </w:rPr>
              <w:t>4</w:t>
            </w:r>
          </w:p>
        </w:tc>
        <w:tc>
          <w:tcPr>
            <w:tcW w:w="3471" w:type="dxa"/>
            <w:vAlign w:val="center"/>
          </w:tcPr>
          <w:p>
            <w:pPr>
              <w:spacing w:line="360" w:lineRule="auto"/>
              <w:jc w:val="left"/>
              <w:rPr>
                <w:rFonts w:hint="eastAsia" w:ascii="宋体" w:hAnsi="宋体" w:cs="宋体"/>
                <w:sz w:val="24"/>
              </w:rPr>
            </w:pPr>
            <w:r>
              <w:rPr>
                <w:rFonts w:hint="eastAsia" w:ascii="宋体" w:hAnsi="宋体" w:cs="宋体"/>
                <w:sz w:val="24"/>
              </w:rPr>
              <w:t>投标文件满足招标文件的其它实质性要求。</w:t>
            </w:r>
          </w:p>
        </w:tc>
        <w:tc>
          <w:tcPr>
            <w:tcW w:w="3965" w:type="dxa"/>
            <w:vAlign w:val="center"/>
          </w:tcPr>
          <w:p>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524" w:type="dxa"/>
          </w:tcPr>
          <w:p>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hint="eastAsia" w:ascii="宋体" w:hAnsi="宋体" w:cs="宋体"/>
          <w:sz w:val="24"/>
        </w:rPr>
      </w:pPr>
      <w:r>
        <w:rPr>
          <w:rFonts w:hint="eastAsia" w:ascii="宋体" w:hAnsi="宋体" w:cs="宋体"/>
          <w:sz w:val="24"/>
        </w:rPr>
        <w:t>注：1、按本格式和要求提供。</w:t>
      </w:r>
    </w:p>
    <w:p>
      <w:pPr>
        <w:spacing w:line="360" w:lineRule="auto"/>
        <w:ind w:right="420" w:firstLine="480" w:firstLineChars="200"/>
        <w:rPr>
          <w:rFonts w:hint="eastAsia" w:ascii="宋体" w:hAnsi="宋体" w:cs="宋体"/>
          <w:kern w:val="0"/>
          <w:sz w:val="32"/>
          <w:szCs w:val="32"/>
        </w:rPr>
      </w:pPr>
      <w:r>
        <w:rPr>
          <w:rFonts w:hint="eastAsia" w:ascii="宋体" w:hAnsi="宋体" w:cs="宋体"/>
          <w:sz w:val="24"/>
        </w:rPr>
        <w:t>2、招标文件中实质性要求必须明确响应。</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 xml:space="preserve">          </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pStyle w:val="4"/>
        <w:rPr>
          <w:rFonts w:hint="eastAsia"/>
          <w:lang w:val="en-US"/>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spacing w:line="360" w:lineRule="auto"/>
        <w:jc w:val="center"/>
        <w:rPr>
          <w:rFonts w:hint="eastAsia"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pPr>
      <w:r>
        <w:rPr>
          <w:rFonts w:hint="eastAsia" w:ascii="宋体" w:hAnsi="宋体" w:cs="宋体"/>
          <w:b/>
          <w:sz w:val="24"/>
        </w:rPr>
        <w:t>（按招标文件第四部分评标办法前附表中“投标文件中评标标准相应的商务技术资料目录”提供资料。）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73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b/>
                <w:sz w:val="24"/>
              </w:rPr>
            </w:pPr>
            <w:r>
              <w:rPr>
                <w:rFonts w:hint="eastAsia" w:ascii="宋体" w:hAnsi="宋体" w:cs="宋体"/>
                <w:b/>
                <w:sz w:val="24"/>
              </w:rPr>
              <w:br w:type="page"/>
            </w:r>
            <w:r>
              <w:rPr>
                <w:rFonts w:hint="eastAsia" w:ascii="宋体" w:hAnsi="宋体" w:cs="宋体"/>
                <w:b/>
                <w:sz w:val="24"/>
              </w:rPr>
              <w:t>序号</w:t>
            </w:r>
          </w:p>
        </w:tc>
        <w:tc>
          <w:tcPr>
            <w:tcW w:w="5733" w:type="dxa"/>
            <w:tcBorders>
              <w:top w:val="single" w:color="auto" w:sz="4" w:space="0"/>
              <w:left w:val="nil"/>
              <w:bottom w:val="single" w:color="auto" w:sz="4" w:space="0"/>
              <w:right w:val="single" w:color="auto" w:sz="4" w:space="0"/>
            </w:tcBorders>
          </w:tcPr>
          <w:p>
            <w:pPr>
              <w:snapToGrid w:val="0"/>
              <w:spacing w:line="360" w:lineRule="auto"/>
              <w:jc w:val="center"/>
              <w:rPr>
                <w:rFonts w:hint="eastAsia" w:ascii="宋体" w:hAnsi="宋体" w:cs="宋体"/>
                <w:b/>
                <w:sz w:val="24"/>
              </w:rPr>
            </w:pPr>
            <w:r>
              <w:rPr>
                <w:rFonts w:hint="eastAsia" w:ascii="宋体" w:hAnsi="宋体" w:cs="宋体"/>
                <w:b/>
                <w:sz w:val="24"/>
              </w:rPr>
              <w:t>投标文件中评标标准相应的商务技术资料目录*</w:t>
            </w:r>
          </w:p>
        </w:tc>
        <w:tc>
          <w:tcPr>
            <w:tcW w:w="2778" w:type="dxa"/>
            <w:tcBorders>
              <w:top w:val="single" w:color="auto" w:sz="4" w:space="0"/>
              <w:left w:val="nil"/>
              <w:bottom w:val="single" w:color="auto" w:sz="4" w:space="0"/>
              <w:right w:val="single" w:color="auto" w:sz="4" w:space="0"/>
            </w:tcBorders>
          </w:tcPr>
          <w:p>
            <w:pPr>
              <w:snapToGrid w:val="0"/>
              <w:spacing w:line="360" w:lineRule="auto"/>
              <w:rPr>
                <w:rFonts w:hint="eastAsia" w:ascii="宋体" w:hAnsi="宋体" w:cs="宋体"/>
                <w:b/>
                <w:sz w:val="24"/>
              </w:rPr>
            </w:pPr>
            <w:r>
              <w:rPr>
                <w:rFonts w:hint="eastAsia" w:ascii="宋体" w:hAnsi="宋体" w:cs="宋体"/>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5733" w:type="dxa"/>
            <w:tcBorders>
              <w:top w:val="single" w:color="auto" w:sz="4" w:space="0"/>
              <w:left w:val="nil"/>
              <w:bottom w:val="single" w:color="auto" w:sz="4" w:space="0"/>
              <w:right w:val="single" w:color="auto" w:sz="4" w:space="0"/>
            </w:tcBorders>
          </w:tcPr>
          <w:p>
            <w:pPr>
              <w:snapToGrid w:val="0"/>
              <w:spacing w:line="360" w:lineRule="auto"/>
              <w:rPr>
                <w:rFonts w:hint="eastAsia" w:ascii="宋体" w:hAnsi="宋体" w:cs="宋体"/>
                <w:sz w:val="24"/>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5733" w:type="dxa"/>
            <w:tcBorders>
              <w:top w:val="single" w:color="auto" w:sz="4" w:space="0"/>
              <w:left w:val="nil"/>
              <w:bottom w:val="single" w:color="auto" w:sz="4" w:space="0"/>
              <w:right w:val="single" w:color="auto" w:sz="4" w:space="0"/>
            </w:tcBorders>
            <w:vAlign w:val="center"/>
          </w:tcPr>
          <w:p>
            <w:pPr>
              <w:snapToGrid w:val="0"/>
              <w:spacing w:line="360" w:lineRule="auto"/>
              <w:rPr>
                <w:rFonts w:hint="eastAsia" w:ascii="宋体" w:hAnsi="宋体" w:cs="宋体"/>
                <w:sz w:val="24"/>
                <w:lang w:bidi="ar"/>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u w:val="single"/>
                <w:lang w:bidi="ar"/>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5733" w:type="dxa"/>
            <w:tcBorders>
              <w:top w:val="single" w:color="auto" w:sz="4" w:space="0"/>
              <w:left w:val="nil"/>
              <w:bottom w:val="single" w:color="auto" w:sz="4" w:space="0"/>
              <w:right w:val="single" w:color="auto" w:sz="4" w:space="0"/>
            </w:tcBorders>
            <w:vAlign w:val="center"/>
          </w:tcPr>
          <w:p>
            <w:pPr>
              <w:snapToGrid w:val="0"/>
              <w:spacing w:line="360" w:lineRule="auto"/>
              <w:rPr>
                <w:rFonts w:hint="eastAsia" w:ascii="宋体" w:hAnsi="宋体" w:cs="宋体"/>
                <w:sz w:val="24"/>
                <w:lang w:bidi="ar"/>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sz w:val="24"/>
                <w:lang w:bidi="ar"/>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5733" w:type="dxa"/>
            <w:tcBorders>
              <w:top w:val="single" w:color="auto" w:sz="4" w:space="0"/>
              <w:left w:val="nil"/>
              <w:bottom w:val="single" w:color="auto" w:sz="4" w:space="0"/>
              <w:right w:val="single" w:color="auto" w:sz="4" w:space="0"/>
            </w:tcBorders>
          </w:tcPr>
          <w:p>
            <w:pPr>
              <w:pStyle w:val="79"/>
              <w:widowControl w:val="0"/>
              <w:spacing w:line="360" w:lineRule="auto"/>
              <w:ind w:firstLine="0" w:firstLineChars="0"/>
              <w:jc w:val="both"/>
              <w:rPr>
                <w:rFonts w:hint="eastAsia" w:ascii="宋体" w:hAnsi="宋体" w:eastAsia="宋体" w:cs="宋体"/>
                <w:bCs/>
                <w:sz w:val="24"/>
                <w:szCs w:val="24"/>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5733" w:type="dxa"/>
            <w:tcBorders>
              <w:top w:val="single" w:color="auto" w:sz="4" w:space="0"/>
              <w:left w:val="nil"/>
              <w:bottom w:val="single" w:color="auto" w:sz="4" w:space="0"/>
              <w:right w:val="single" w:color="auto" w:sz="4" w:space="0"/>
            </w:tcBorders>
          </w:tcPr>
          <w:p>
            <w:pPr>
              <w:pStyle w:val="79"/>
              <w:widowControl w:val="0"/>
              <w:spacing w:line="360" w:lineRule="auto"/>
              <w:ind w:firstLine="0" w:firstLineChars="0"/>
              <w:jc w:val="both"/>
              <w:rPr>
                <w:rFonts w:hint="eastAsia" w:ascii="宋体" w:hAnsi="宋体" w:eastAsia="宋体" w:cs="宋体"/>
                <w:b/>
                <w:bCs/>
                <w:sz w:val="24"/>
                <w:szCs w:val="24"/>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sz w:val="24"/>
                <w:lang w:bidi="ar"/>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5733" w:type="dxa"/>
            <w:tcBorders>
              <w:top w:val="single" w:color="auto" w:sz="4" w:space="0"/>
              <w:left w:val="nil"/>
              <w:bottom w:val="single" w:color="auto" w:sz="4" w:space="0"/>
              <w:right w:val="single" w:color="auto" w:sz="4" w:space="0"/>
            </w:tcBorders>
          </w:tcPr>
          <w:p>
            <w:pPr>
              <w:pStyle w:val="79"/>
              <w:widowControl w:val="0"/>
              <w:spacing w:line="360" w:lineRule="auto"/>
              <w:ind w:firstLine="0" w:firstLineChars="0"/>
              <w:jc w:val="both"/>
              <w:rPr>
                <w:rFonts w:hint="eastAsia" w:ascii="宋体" w:hAnsi="宋体" w:eastAsia="宋体" w:cs="宋体"/>
                <w:b/>
                <w:bCs/>
                <w:sz w:val="24"/>
                <w:szCs w:val="24"/>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lang w:bidi="ar"/>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5733"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left"/>
              <w:rPr>
                <w:rFonts w:hint="eastAsia" w:ascii="宋体" w:hAnsi="宋体" w:cs="宋体"/>
                <w:b/>
                <w:bCs/>
                <w:sz w:val="24"/>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sz w:val="24"/>
                <w:lang w:bidi="ar"/>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cs="宋体"/>
                <w:sz w:val="24"/>
              </w:rPr>
            </w:pPr>
            <w:r>
              <w:rPr>
                <w:rFonts w:hint="eastAsia" w:ascii="宋体" w:hAnsi="宋体" w:cs="宋体"/>
                <w:sz w:val="24"/>
              </w:rPr>
              <w:t>6</w:t>
            </w:r>
          </w:p>
        </w:tc>
        <w:tc>
          <w:tcPr>
            <w:tcW w:w="5733" w:type="dxa"/>
            <w:tcBorders>
              <w:top w:val="single" w:color="auto" w:sz="4" w:space="0"/>
              <w:left w:val="nil"/>
              <w:bottom w:val="single" w:color="auto" w:sz="4" w:space="0"/>
              <w:right w:val="single" w:color="auto" w:sz="4" w:space="0"/>
            </w:tcBorders>
            <w:shd w:val="clear" w:color="auto" w:fill="FFFFFF"/>
            <w:vAlign w:val="center"/>
          </w:tcPr>
          <w:p>
            <w:pPr>
              <w:spacing w:line="360" w:lineRule="auto"/>
              <w:rPr>
                <w:rFonts w:hint="eastAsia" w:ascii="宋体" w:hAnsi="宋体" w:cs="宋体"/>
                <w:b/>
                <w:bCs/>
                <w:sz w:val="24"/>
              </w:rPr>
            </w:pPr>
          </w:p>
        </w:tc>
        <w:tc>
          <w:tcPr>
            <w:tcW w:w="2778"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lang w:bidi="ar"/>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5733" w:type="dxa"/>
            <w:tcBorders>
              <w:top w:val="single" w:color="auto" w:sz="4" w:space="0"/>
              <w:left w:val="nil"/>
              <w:bottom w:val="single" w:color="auto" w:sz="4" w:space="0"/>
              <w:right w:val="single" w:color="auto" w:sz="4" w:space="0"/>
            </w:tcBorders>
          </w:tcPr>
          <w:p>
            <w:pPr>
              <w:pStyle w:val="79"/>
              <w:widowControl w:val="0"/>
              <w:spacing w:line="360" w:lineRule="auto"/>
              <w:ind w:firstLine="0" w:firstLineChars="0"/>
              <w:jc w:val="both"/>
              <w:rPr>
                <w:rFonts w:hint="eastAsia" w:ascii="宋体" w:hAnsi="宋体" w:eastAsia="宋体" w:cs="宋体"/>
                <w:b/>
                <w:bCs/>
                <w:sz w:val="24"/>
                <w:szCs w:val="24"/>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sz w:val="24"/>
                <w:lang w:bidi="ar"/>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w:t>
            </w:r>
          </w:p>
        </w:tc>
        <w:tc>
          <w:tcPr>
            <w:tcW w:w="5733" w:type="dxa"/>
            <w:tcBorders>
              <w:top w:val="single" w:color="auto" w:sz="4" w:space="0"/>
              <w:left w:val="nil"/>
              <w:bottom w:val="single" w:color="auto" w:sz="4" w:space="0"/>
              <w:right w:val="single" w:color="auto" w:sz="4" w:space="0"/>
            </w:tcBorders>
          </w:tcPr>
          <w:p>
            <w:pPr>
              <w:snapToGrid w:val="0"/>
              <w:spacing w:line="360" w:lineRule="auto"/>
              <w:ind w:firstLine="480" w:firstLineChars="200"/>
              <w:jc w:val="center"/>
              <w:rPr>
                <w:rFonts w:hint="eastAsia" w:ascii="宋体" w:hAnsi="宋体" w:cs="宋体"/>
                <w:sz w:val="24"/>
              </w:rPr>
            </w:pPr>
          </w:p>
        </w:tc>
        <w:tc>
          <w:tcPr>
            <w:tcW w:w="2778"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bl>
    <w:p>
      <w:pPr>
        <w:rPr>
          <w:rFonts w:hint="eastAsia" w:ascii="宋体" w:hAnsi="宋体" w:cs="仿宋_GB2312"/>
          <w:b/>
          <w:sz w:val="30"/>
          <w:szCs w:val="30"/>
        </w:rPr>
      </w:pPr>
      <w:r>
        <w:rPr>
          <w:rFonts w:hint="eastAsia" w:ascii="宋体" w:hAnsi="宋体" w:cs="仿宋_GB2312"/>
          <w:b/>
          <w:sz w:val="30"/>
          <w:szCs w:val="30"/>
        </w:rPr>
        <w:br w:type="page"/>
      </w:r>
    </w:p>
    <w:p>
      <w:pPr>
        <w:spacing w:line="360" w:lineRule="auto"/>
        <w:jc w:val="left"/>
        <w:rPr>
          <w:rFonts w:hint="eastAsia" w:ascii="宋体" w:hAnsi="宋体" w:cs="仿宋_GB2312"/>
          <w:b/>
          <w:sz w:val="30"/>
          <w:szCs w:val="30"/>
        </w:rPr>
      </w:pPr>
      <w:r>
        <w:rPr>
          <w:rFonts w:hint="eastAsia" w:ascii="宋体" w:hAnsi="宋体" w:cs="仿宋_GB2312"/>
          <w:b/>
          <w:sz w:val="30"/>
          <w:szCs w:val="30"/>
        </w:rPr>
        <w:t>参考格式1</w:t>
      </w:r>
    </w:p>
    <w:p>
      <w:pPr>
        <w:spacing w:line="360" w:lineRule="auto"/>
        <w:jc w:val="center"/>
        <w:rPr>
          <w:rFonts w:hint="eastAsia" w:ascii="宋体" w:hAnsi="宋体"/>
          <w:b/>
          <w:bCs/>
          <w:sz w:val="28"/>
        </w:rPr>
      </w:pPr>
      <w:r>
        <w:rPr>
          <w:rFonts w:hint="eastAsia" w:ascii="宋体" w:hAnsi="宋体"/>
          <w:b/>
          <w:bCs/>
          <w:sz w:val="28"/>
        </w:rPr>
        <w:t>投标供应商简况表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hint="eastAsia" w:ascii="宋体" w:hAnsi="宋体"/>
              </w:rPr>
            </w:pPr>
            <w:r>
              <w:rPr>
                <w:rFonts w:hint="eastAsia" w:ascii="宋体" w:hAnsi="宋体" w:cs="宋体"/>
                <w:sz w:val="24"/>
                <w:lang w:val="zh-CN"/>
              </w:rPr>
              <w:t>单位名称</w:t>
            </w:r>
          </w:p>
        </w:tc>
        <w:tc>
          <w:tcPr>
            <w:tcW w:w="5143" w:type="dxa"/>
            <w:gridSpan w:val="4"/>
            <w:vAlign w:val="center"/>
          </w:tcPr>
          <w:p>
            <w:pPr>
              <w:autoSpaceDE w:val="0"/>
              <w:snapToGrid w:val="0"/>
              <w:spacing w:line="360" w:lineRule="auto"/>
              <w:jc w:val="center"/>
              <w:rPr>
                <w:rFonts w:hint="eastAsia" w:ascii="宋体" w:hAnsi="宋体" w:cs="宋体"/>
                <w:sz w:val="24"/>
                <w:lang w:val="zh-CN"/>
              </w:rPr>
            </w:pPr>
          </w:p>
        </w:tc>
        <w:tc>
          <w:tcPr>
            <w:tcW w:w="1418" w:type="dxa"/>
            <w:vAlign w:val="center"/>
          </w:tcPr>
          <w:p>
            <w:pPr>
              <w:autoSpaceDE w:val="0"/>
              <w:snapToGrid w:val="0"/>
              <w:spacing w:line="360" w:lineRule="auto"/>
              <w:jc w:val="center"/>
              <w:rPr>
                <w:rFonts w:hint="eastAsia" w:ascii="宋体" w:hAnsi="宋体"/>
              </w:rPr>
            </w:pPr>
            <w:r>
              <w:rPr>
                <w:rFonts w:hint="eastAsia" w:ascii="宋体" w:hAnsi="宋体" w:cs="宋体"/>
                <w:sz w:val="24"/>
                <w:lang w:val="zh-CN"/>
              </w:rPr>
              <w:t>成立时间</w:t>
            </w:r>
          </w:p>
        </w:tc>
        <w:tc>
          <w:tcPr>
            <w:tcW w:w="1515" w:type="dxa"/>
            <w:vAlign w:val="center"/>
          </w:tcPr>
          <w:p>
            <w:pPr>
              <w:autoSpaceDE w:val="0"/>
              <w:snapToGri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hint="eastAsia" w:ascii="宋体" w:hAnsi="宋体"/>
              </w:rPr>
            </w:pPr>
            <w:r>
              <w:rPr>
                <w:rFonts w:hint="eastAsia" w:ascii="宋体" w:hAnsi="宋体" w:cs="宋体"/>
                <w:sz w:val="24"/>
                <w:lang w:val="zh-CN"/>
              </w:rPr>
              <w:t>资质等级</w:t>
            </w:r>
          </w:p>
        </w:tc>
        <w:tc>
          <w:tcPr>
            <w:tcW w:w="1600" w:type="dxa"/>
            <w:vAlign w:val="center"/>
          </w:tcPr>
          <w:p>
            <w:pPr>
              <w:autoSpaceDE w:val="0"/>
              <w:snapToGrid w:val="0"/>
              <w:spacing w:line="360" w:lineRule="auto"/>
              <w:jc w:val="center"/>
              <w:rPr>
                <w:rFonts w:hint="eastAsia" w:ascii="宋体" w:hAnsi="宋体" w:cs="宋体"/>
                <w:sz w:val="24"/>
                <w:lang w:val="zh-CN"/>
              </w:rPr>
            </w:pPr>
          </w:p>
        </w:tc>
        <w:tc>
          <w:tcPr>
            <w:tcW w:w="1134" w:type="dxa"/>
            <w:vAlign w:val="center"/>
          </w:tcPr>
          <w:p>
            <w:pPr>
              <w:autoSpaceDE w:val="0"/>
              <w:snapToGrid w:val="0"/>
              <w:spacing w:line="360" w:lineRule="auto"/>
              <w:jc w:val="center"/>
              <w:rPr>
                <w:rFonts w:hint="eastAsia" w:ascii="宋体" w:hAnsi="宋体"/>
              </w:rPr>
            </w:pPr>
            <w:r>
              <w:rPr>
                <w:rFonts w:hint="eastAsia" w:ascii="宋体" w:hAnsi="宋体" w:cs="宋体"/>
                <w:sz w:val="24"/>
                <w:lang w:val="zh-CN"/>
              </w:rPr>
              <w:t>经营方式</w:t>
            </w:r>
          </w:p>
        </w:tc>
        <w:tc>
          <w:tcPr>
            <w:tcW w:w="2409" w:type="dxa"/>
            <w:gridSpan w:val="2"/>
            <w:vAlign w:val="center"/>
          </w:tcPr>
          <w:p>
            <w:pPr>
              <w:autoSpaceDE w:val="0"/>
              <w:snapToGrid w:val="0"/>
              <w:jc w:val="left"/>
              <w:rPr>
                <w:rFonts w:hint="eastAsia" w:ascii="宋体" w:hAnsi="宋体" w:cs="宋体"/>
                <w:sz w:val="24"/>
                <w:lang w:val="zh-CN"/>
              </w:rPr>
            </w:pPr>
            <w:r>
              <w:rPr>
                <w:rFonts w:hint="eastAsia" w:ascii="宋体" w:hAnsi="宋体" w:cs="宋体"/>
                <w:sz w:val="24"/>
                <w:lang w:val="zh-CN"/>
              </w:rPr>
              <w:t>□有限责任公司</w:t>
            </w:r>
          </w:p>
          <w:p>
            <w:pPr>
              <w:autoSpaceDE w:val="0"/>
              <w:snapToGrid w:val="0"/>
              <w:jc w:val="left"/>
              <w:rPr>
                <w:rFonts w:hint="eastAsia" w:ascii="宋体" w:hAnsi="宋体" w:cs="宋体"/>
                <w:sz w:val="24"/>
                <w:lang w:val="zh-CN"/>
              </w:rPr>
            </w:pPr>
            <w:r>
              <w:rPr>
                <w:rFonts w:hint="eastAsia" w:ascii="宋体" w:hAnsi="宋体" w:cs="宋体"/>
                <w:sz w:val="24"/>
                <w:lang w:val="zh-CN"/>
              </w:rPr>
              <w:t>□个人独立经营方式</w:t>
            </w:r>
          </w:p>
          <w:p>
            <w:pPr>
              <w:autoSpaceDE w:val="0"/>
              <w:snapToGrid w:val="0"/>
              <w:jc w:val="left"/>
              <w:rPr>
                <w:rFonts w:hint="eastAsia" w:ascii="宋体" w:hAnsi="宋体" w:cs="宋体"/>
                <w:sz w:val="24"/>
                <w:lang w:val="zh-CN"/>
              </w:rPr>
            </w:pPr>
            <w:r>
              <w:rPr>
                <w:rFonts w:hint="eastAsia" w:ascii="宋体" w:hAnsi="宋体" w:cs="宋体"/>
                <w:sz w:val="24"/>
                <w:lang w:val="zh-CN"/>
              </w:rPr>
              <w:t>□合伙经营方式</w:t>
            </w:r>
          </w:p>
          <w:p>
            <w:pPr>
              <w:autoSpaceDE w:val="0"/>
              <w:snapToGrid w:val="0"/>
              <w:jc w:val="left"/>
              <w:rPr>
                <w:rFonts w:hint="eastAsia" w:ascii="宋体" w:hAnsi="宋体"/>
                <w:lang w:val="zh-CN"/>
              </w:rPr>
            </w:pPr>
            <w:r>
              <w:rPr>
                <w:rFonts w:hint="eastAsia" w:ascii="宋体" w:hAnsi="宋体" w:cs="宋体"/>
                <w:sz w:val="24"/>
                <w:lang w:val="zh-CN"/>
              </w:rPr>
              <w:t>□其他</w:t>
            </w:r>
          </w:p>
        </w:tc>
        <w:tc>
          <w:tcPr>
            <w:tcW w:w="1418" w:type="dxa"/>
            <w:vAlign w:val="center"/>
          </w:tcPr>
          <w:p>
            <w:pPr>
              <w:autoSpaceDE w:val="0"/>
              <w:snapToGrid w:val="0"/>
              <w:jc w:val="center"/>
              <w:rPr>
                <w:rFonts w:hint="eastAsia" w:ascii="宋体" w:hAnsi="宋体"/>
              </w:rPr>
            </w:pPr>
            <w:r>
              <w:rPr>
                <w:rFonts w:hint="eastAsia" w:ascii="宋体" w:hAnsi="宋体" w:cs="宋体"/>
                <w:sz w:val="24"/>
                <w:lang w:val="zh-CN"/>
              </w:rPr>
              <w:t>企业性质</w:t>
            </w:r>
          </w:p>
        </w:tc>
        <w:tc>
          <w:tcPr>
            <w:tcW w:w="1515" w:type="dxa"/>
            <w:vAlign w:val="center"/>
          </w:tcPr>
          <w:p>
            <w:pPr>
              <w:autoSpaceDE w:val="0"/>
              <w:snapToGrid w:val="0"/>
              <w:jc w:val="left"/>
              <w:rPr>
                <w:rFonts w:hint="eastAsia" w:ascii="宋体" w:hAnsi="宋体" w:cs="宋体"/>
                <w:sz w:val="24"/>
                <w:lang w:val="zh-CN"/>
              </w:rPr>
            </w:pPr>
            <w:r>
              <w:rPr>
                <w:rFonts w:hint="eastAsia" w:ascii="宋体" w:hAnsi="宋体" w:cs="宋体"/>
                <w:sz w:val="24"/>
                <w:lang w:val="zh-CN"/>
              </w:rPr>
              <w:t>□事业单位</w:t>
            </w:r>
          </w:p>
          <w:p>
            <w:pPr>
              <w:autoSpaceDE w:val="0"/>
              <w:snapToGrid w:val="0"/>
              <w:jc w:val="left"/>
              <w:rPr>
                <w:rFonts w:hint="eastAsia" w:ascii="宋体" w:hAnsi="宋体" w:cs="宋体"/>
                <w:sz w:val="24"/>
                <w:lang w:val="zh-CN"/>
              </w:rPr>
            </w:pPr>
            <w:r>
              <w:rPr>
                <w:rFonts w:hint="eastAsia" w:ascii="宋体" w:hAnsi="宋体" w:cs="宋体"/>
                <w:sz w:val="24"/>
                <w:lang w:val="zh-CN"/>
              </w:rPr>
              <w:t>□国企</w:t>
            </w:r>
          </w:p>
          <w:p>
            <w:pPr>
              <w:autoSpaceDE w:val="0"/>
              <w:snapToGrid w:val="0"/>
              <w:jc w:val="left"/>
              <w:rPr>
                <w:rFonts w:hint="eastAsia" w:ascii="宋体" w:hAnsi="宋体" w:cs="宋体"/>
                <w:sz w:val="24"/>
                <w:lang w:val="zh-CN"/>
              </w:rPr>
            </w:pPr>
            <w:r>
              <w:rPr>
                <w:rFonts w:hint="eastAsia" w:ascii="宋体" w:hAnsi="宋体" w:cs="宋体"/>
                <w:sz w:val="24"/>
                <w:lang w:val="zh-CN"/>
              </w:rPr>
              <w:t>□民营</w:t>
            </w:r>
          </w:p>
          <w:p>
            <w:pPr>
              <w:autoSpaceDE w:val="0"/>
              <w:snapToGrid w:val="0"/>
              <w:jc w:val="left"/>
              <w:rPr>
                <w:rFonts w:hint="eastAsia" w:ascii="宋体" w:hAnsi="宋体" w:cs="宋体"/>
                <w:sz w:val="24"/>
                <w:lang w:val="zh-CN"/>
              </w:rPr>
            </w:pPr>
            <w:r>
              <w:rPr>
                <w:rFonts w:hint="eastAsia" w:ascii="宋体" w:hAnsi="宋体" w:cs="宋体"/>
                <w:sz w:val="24"/>
                <w:lang w:val="zh-CN"/>
              </w:rPr>
              <w:t>□个体经营者</w:t>
            </w:r>
          </w:p>
          <w:p>
            <w:pPr>
              <w:autoSpaceDE w:val="0"/>
              <w:snapToGrid w:val="0"/>
              <w:jc w:val="left"/>
              <w:rPr>
                <w:rFonts w:hint="eastAsia" w:ascii="宋体" w:hAnsi="宋体" w:cs="宋体"/>
                <w:sz w:val="24"/>
                <w:lang w:val="zh-CN"/>
              </w:rPr>
            </w:pPr>
            <w:r>
              <w:rPr>
                <w:rFonts w:hint="eastAsia" w:ascii="宋体" w:hAnsi="宋体" w:cs="宋体"/>
                <w:sz w:val="24"/>
                <w:lang w:val="zh-CN"/>
              </w:rPr>
              <w:t>□自然人</w:t>
            </w:r>
          </w:p>
          <w:p>
            <w:pPr>
              <w:autoSpaceDE w:val="0"/>
              <w:snapToGrid w:val="0"/>
              <w:jc w:val="left"/>
              <w:rPr>
                <w:rFonts w:hint="eastAsia" w:ascii="宋体" w:hAnsi="宋体" w:cs="宋体"/>
                <w:sz w:val="24"/>
                <w:lang w:val="zh-CN"/>
              </w:rPr>
            </w:pPr>
            <w:r>
              <w:rPr>
                <w:rFonts w:hint="eastAsia" w:ascii="宋体" w:hAnsi="宋体" w:cs="宋体"/>
                <w:sz w:val="24"/>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hint="eastAsia" w:ascii="宋体" w:hAnsi="宋体"/>
              </w:rPr>
            </w:pPr>
            <w:r>
              <w:rPr>
                <w:rFonts w:hint="eastAsia" w:ascii="宋体" w:hAnsi="宋体" w:cs="宋体"/>
                <w:sz w:val="24"/>
                <w:lang w:val="zh-CN"/>
              </w:rPr>
              <w:t>注册资金</w:t>
            </w:r>
          </w:p>
        </w:tc>
        <w:tc>
          <w:tcPr>
            <w:tcW w:w="1600" w:type="dxa"/>
            <w:vAlign w:val="center"/>
          </w:tcPr>
          <w:p>
            <w:pPr>
              <w:autoSpaceDE w:val="0"/>
              <w:snapToGrid w:val="0"/>
              <w:spacing w:line="360" w:lineRule="auto"/>
              <w:jc w:val="center"/>
              <w:rPr>
                <w:rFonts w:hint="eastAsia" w:ascii="宋体" w:hAnsi="宋体" w:cs="宋体"/>
                <w:sz w:val="24"/>
                <w:lang w:val="zh-CN"/>
              </w:rPr>
            </w:pPr>
          </w:p>
        </w:tc>
        <w:tc>
          <w:tcPr>
            <w:tcW w:w="1134" w:type="dxa"/>
            <w:vAlign w:val="center"/>
          </w:tcPr>
          <w:p>
            <w:pPr>
              <w:autoSpaceDE w:val="0"/>
              <w:snapToGrid w:val="0"/>
              <w:spacing w:line="360" w:lineRule="auto"/>
              <w:jc w:val="center"/>
              <w:rPr>
                <w:rFonts w:hint="eastAsia" w:ascii="宋体" w:hAnsi="宋体"/>
              </w:rPr>
            </w:pPr>
            <w:r>
              <w:rPr>
                <w:rFonts w:hint="eastAsia" w:ascii="宋体" w:hAnsi="宋体" w:cs="宋体"/>
                <w:sz w:val="24"/>
                <w:lang w:val="zh-CN"/>
              </w:rPr>
              <w:t>地    址</w:t>
            </w:r>
          </w:p>
        </w:tc>
        <w:tc>
          <w:tcPr>
            <w:tcW w:w="5342" w:type="dxa"/>
            <w:gridSpan w:val="4"/>
            <w:vAlign w:val="center"/>
          </w:tcPr>
          <w:p>
            <w:pPr>
              <w:autoSpaceDE w:val="0"/>
              <w:snapToGri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hint="eastAsia" w:ascii="宋体" w:hAnsi="宋体"/>
              </w:rPr>
            </w:pPr>
            <w:r>
              <w:rPr>
                <w:rFonts w:hint="eastAsia" w:ascii="宋体" w:hAnsi="宋体" w:cs="宋体"/>
                <w:sz w:val="24"/>
                <w:lang w:val="zh-CN"/>
              </w:rPr>
              <w:t>经营范围</w:t>
            </w:r>
          </w:p>
        </w:tc>
        <w:tc>
          <w:tcPr>
            <w:tcW w:w="8076" w:type="dxa"/>
            <w:gridSpan w:val="6"/>
            <w:vAlign w:val="center"/>
          </w:tcPr>
          <w:p>
            <w:pPr>
              <w:autoSpaceDE w:val="0"/>
              <w:snapToGrid w:val="0"/>
              <w:spacing w:line="360" w:lineRule="auto"/>
              <w:rPr>
                <w:rFonts w:hint="eastAsia" w:ascii="宋体" w:hAnsi="宋体" w:cs="宋体"/>
                <w:sz w:val="24"/>
                <w:lang w:val="zh-CN"/>
              </w:rPr>
            </w:pPr>
          </w:p>
          <w:p>
            <w:pPr>
              <w:autoSpaceDE w:val="0"/>
              <w:snapToGrid w:val="0"/>
              <w:spacing w:line="360" w:lineRule="auto"/>
              <w:rPr>
                <w:rFonts w:hint="eastAsia" w:ascii="宋体" w:hAnsi="宋体" w:cs="宋体"/>
                <w:sz w:val="24"/>
                <w:lang w:val="zh-CN"/>
              </w:rPr>
            </w:pPr>
          </w:p>
          <w:p>
            <w:pPr>
              <w:autoSpaceDE w:val="0"/>
              <w:snapToGrid w:val="0"/>
              <w:spacing w:line="360" w:lineRule="auto"/>
              <w:rPr>
                <w:rFonts w:hint="eastAsia" w:ascii="宋体" w:hAnsi="宋体" w:cs="宋体"/>
                <w:sz w:val="24"/>
                <w:lang w:val="zh-CN"/>
              </w:rPr>
            </w:pPr>
          </w:p>
          <w:p>
            <w:pPr>
              <w:autoSpaceDE w:val="0"/>
              <w:snapToGrid w:val="0"/>
              <w:spacing w:line="360" w:lineRule="auto"/>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hint="eastAsia" w:ascii="宋体" w:hAnsi="宋体"/>
              </w:rPr>
            </w:pPr>
            <w:r>
              <w:rPr>
                <w:rFonts w:hint="eastAsia" w:ascii="宋体" w:hAnsi="宋体" w:cs="宋体"/>
                <w:sz w:val="24"/>
                <w:lang w:val="zh-CN"/>
              </w:rPr>
              <w:t>单位</w:t>
            </w:r>
          </w:p>
          <w:p>
            <w:pPr>
              <w:autoSpaceDE w:val="0"/>
              <w:snapToGrid w:val="0"/>
              <w:spacing w:line="360" w:lineRule="auto"/>
              <w:jc w:val="center"/>
              <w:rPr>
                <w:rFonts w:hint="eastAsia" w:ascii="宋体" w:hAnsi="宋体"/>
              </w:rPr>
            </w:pPr>
            <w:r>
              <w:rPr>
                <w:rFonts w:hint="eastAsia" w:ascii="宋体" w:hAnsi="宋体" w:cs="宋体"/>
                <w:sz w:val="24"/>
                <w:lang w:val="zh-CN"/>
              </w:rPr>
              <w:t>职工</w:t>
            </w:r>
          </w:p>
        </w:tc>
        <w:tc>
          <w:tcPr>
            <w:tcW w:w="4348" w:type="dxa"/>
            <w:gridSpan w:val="3"/>
            <w:vAlign w:val="center"/>
          </w:tcPr>
          <w:p>
            <w:pPr>
              <w:autoSpaceDE w:val="0"/>
              <w:snapToGrid w:val="0"/>
              <w:jc w:val="center"/>
              <w:rPr>
                <w:rFonts w:hint="eastAsia" w:ascii="宋体" w:hAnsi="宋体"/>
              </w:rPr>
            </w:pPr>
            <w:r>
              <w:rPr>
                <w:rFonts w:hint="eastAsia" w:ascii="宋体" w:hAnsi="宋体" w:cs="宋体"/>
                <w:sz w:val="24"/>
                <w:lang w:val="zh-CN"/>
              </w:rPr>
              <w:t>人数</w:t>
            </w:r>
          </w:p>
        </w:tc>
        <w:tc>
          <w:tcPr>
            <w:tcW w:w="3728" w:type="dxa"/>
            <w:gridSpan w:val="3"/>
            <w:vAlign w:val="center"/>
          </w:tcPr>
          <w:p>
            <w:pPr>
              <w:autoSpaceDE w:val="0"/>
              <w:snapToGrid w:val="0"/>
              <w:jc w:val="center"/>
              <w:rPr>
                <w:rFonts w:hint="eastAsia" w:ascii="宋体" w:hAnsi="宋体"/>
              </w:rPr>
            </w:pPr>
            <w:r>
              <w:rPr>
                <w:rFonts w:hint="eastAsia" w:ascii="宋体" w:hAnsi="宋体" w:cs="宋体"/>
                <w:sz w:val="24"/>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hint="eastAsia" w:ascii="宋体" w:hAnsi="宋体" w:cs="宋体"/>
                <w:sz w:val="24"/>
                <w:lang w:val="zh-CN"/>
              </w:rPr>
            </w:pPr>
          </w:p>
        </w:tc>
        <w:tc>
          <w:tcPr>
            <w:tcW w:w="4348" w:type="dxa"/>
            <w:gridSpan w:val="3"/>
            <w:vAlign w:val="center"/>
          </w:tcPr>
          <w:p>
            <w:pPr>
              <w:autoSpaceDE w:val="0"/>
              <w:snapToGrid w:val="0"/>
              <w:spacing w:line="360" w:lineRule="auto"/>
              <w:jc w:val="center"/>
              <w:rPr>
                <w:rFonts w:hint="eastAsia" w:ascii="宋体" w:hAnsi="宋体" w:cs="宋体"/>
                <w:sz w:val="24"/>
                <w:lang w:val="zh-CN"/>
              </w:rPr>
            </w:pPr>
          </w:p>
        </w:tc>
        <w:tc>
          <w:tcPr>
            <w:tcW w:w="3728" w:type="dxa"/>
            <w:gridSpan w:val="3"/>
            <w:vAlign w:val="center"/>
          </w:tcPr>
          <w:p>
            <w:pPr>
              <w:autoSpaceDE w:val="0"/>
              <w:snapToGri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pPr>
              <w:autoSpaceDE w:val="0"/>
              <w:snapToGrid w:val="0"/>
              <w:spacing w:line="360" w:lineRule="auto"/>
              <w:jc w:val="center"/>
              <w:rPr>
                <w:rFonts w:hint="eastAsia" w:ascii="宋体" w:hAnsi="宋体"/>
              </w:rPr>
            </w:pPr>
            <w:r>
              <w:rPr>
                <w:rFonts w:hint="eastAsia" w:ascii="宋体" w:hAnsi="宋体" w:cs="宋体"/>
                <w:sz w:val="24"/>
              </w:rPr>
              <w:t>获奖情况</w:t>
            </w:r>
          </w:p>
          <w:p>
            <w:pPr>
              <w:autoSpaceDE w:val="0"/>
              <w:snapToGrid w:val="0"/>
              <w:spacing w:line="360" w:lineRule="auto"/>
              <w:jc w:val="center"/>
              <w:rPr>
                <w:rFonts w:hint="eastAsia" w:ascii="宋体" w:hAnsi="宋体"/>
              </w:rPr>
            </w:pPr>
            <w:r>
              <w:rPr>
                <w:rFonts w:hint="eastAsia" w:ascii="宋体" w:hAnsi="宋体" w:cs="宋体"/>
                <w:sz w:val="24"/>
              </w:rPr>
              <w:t>(荣誉)</w:t>
            </w:r>
          </w:p>
        </w:tc>
        <w:tc>
          <w:tcPr>
            <w:tcW w:w="8076" w:type="dxa"/>
            <w:gridSpan w:val="6"/>
            <w:vAlign w:val="center"/>
          </w:tcPr>
          <w:p>
            <w:pPr>
              <w:autoSpaceDE w:val="0"/>
              <w:snapToGri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pPr>
              <w:autoSpaceDE w:val="0"/>
              <w:snapToGrid w:val="0"/>
              <w:spacing w:line="360" w:lineRule="auto"/>
              <w:jc w:val="center"/>
              <w:rPr>
                <w:rFonts w:hint="eastAsia" w:ascii="宋体" w:hAnsi="宋体"/>
              </w:rPr>
            </w:pPr>
            <w:r>
              <w:rPr>
                <w:rFonts w:hint="eastAsia" w:ascii="宋体" w:hAnsi="宋体" w:cs="宋体"/>
                <w:sz w:val="24"/>
                <w:lang w:val="zh-CN"/>
              </w:rPr>
              <w:t>单</w:t>
            </w:r>
          </w:p>
          <w:p>
            <w:pPr>
              <w:autoSpaceDE w:val="0"/>
              <w:snapToGrid w:val="0"/>
              <w:spacing w:line="360" w:lineRule="auto"/>
              <w:jc w:val="center"/>
              <w:rPr>
                <w:rFonts w:hint="eastAsia" w:ascii="宋体" w:hAnsi="宋体"/>
              </w:rPr>
            </w:pPr>
            <w:r>
              <w:rPr>
                <w:rFonts w:hint="eastAsia" w:ascii="宋体" w:hAnsi="宋体" w:cs="宋体"/>
                <w:sz w:val="24"/>
                <w:lang w:val="zh-CN"/>
              </w:rPr>
              <w:t>位</w:t>
            </w:r>
          </w:p>
          <w:p>
            <w:pPr>
              <w:autoSpaceDE w:val="0"/>
              <w:snapToGrid w:val="0"/>
              <w:spacing w:line="360" w:lineRule="auto"/>
              <w:jc w:val="center"/>
              <w:rPr>
                <w:rFonts w:hint="eastAsia" w:ascii="宋体" w:hAnsi="宋体"/>
              </w:rPr>
            </w:pPr>
            <w:r>
              <w:rPr>
                <w:rFonts w:hint="eastAsia" w:ascii="宋体" w:hAnsi="宋体" w:cs="宋体"/>
                <w:sz w:val="24"/>
                <w:lang w:val="zh-CN"/>
              </w:rPr>
              <w:t>简</w:t>
            </w:r>
          </w:p>
          <w:p>
            <w:pPr>
              <w:autoSpaceDE w:val="0"/>
              <w:snapToGrid w:val="0"/>
              <w:spacing w:line="360" w:lineRule="auto"/>
              <w:jc w:val="center"/>
              <w:rPr>
                <w:rFonts w:hint="eastAsia" w:ascii="宋体" w:hAnsi="宋体"/>
              </w:rPr>
            </w:pPr>
            <w:r>
              <w:rPr>
                <w:rFonts w:hint="eastAsia" w:ascii="宋体" w:hAnsi="宋体" w:cs="宋体"/>
                <w:sz w:val="24"/>
                <w:lang w:val="zh-CN"/>
              </w:rPr>
              <w:t>历</w:t>
            </w:r>
          </w:p>
        </w:tc>
        <w:tc>
          <w:tcPr>
            <w:tcW w:w="8076" w:type="dxa"/>
            <w:gridSpan w:val="6"/>
          </w:tcPr>
          <w:p>
            <w:pPr>
              <w:autoSpaceDE w:val="0"/>
              <w:snapToGrid w:val="0"/>
              <w:spacing w:line="360" w:lineRule="auto"/>
              <w:jc w:val="center"/>
              <w:rPr>
                <w:rFonts w:hint="eastAsia" w:ascii="宋体" w:hAnsi="宋体" w:cs="宋体"/>
                <w:sz w:val="24"/>
                <w:lang w:val="zh-CN"/>
              </w:rPr>
            </w:pPr>
          </w:p>
        </w:tc>
      </w:tr>
    </w:tbl>
    <w:p>
      <w:pPr>
        <w:autoSpaceDE w:val="0"/>
        <w:snapToGrid w:val="0"/>
        <w:spacing w:line="360" w:lineRule="auto"/>
        <w:ind w:firstLine="840"/>
        <w:rPr>
          <w:rFonts w:hint="eastAsia" w:ascii="宋体" w:hAnsi="宋体"/>
        </w:rPr>
      </w:pPr>
      <w:r>
        <w:rPr>
          <w:rFonts w:hint="eastAsia" w:ascii="宋体" w:hAnsi="宋体" w:cs="宋体"/>
          <w:sz w:val="24"/>
          <w:lang w:val="zh-CN"/>
        </w:rPr>
        <w:t>附企业、人员的相关证书复印件。如有其它补充材料，格式自拟。（文本中已提供的资料无需重复提供）</w:t>
      </w:r>
    </w:p>
    <w:p>
      <w:pPr>
        <w:snapToGrid w:val="0"/>
        <w:spacing w:line="360" w:lineRule="auto"/>
        <w:ind w:firstLine="576"/>
        <w:jc w:val="center"/>
        <w:rPr>
          <w:rFonts w:hint="eastAsia" w:ascii="宋体" w:hAnsi="宋体" w:cs="仿宋_GB2312"/>
          <w:sz w:val="24"/>
          <w:lang w:val="zh-CN"/>
        </w:rPr>
      </w:pPr>
      <w:r>
        <w:rPr>
          <w:rFonts w:hint="eastAsia" w:ascii="宋体" w:hAnsi="宋体" w:cs="仿宋_GB2312"/>
          <w:sz w:val="24"/>
          <w:lang w:val="zh-CN"/>
        </w:rPr>
        <w:t xml:space="preserve">                     </w:t>
      </w:r>
      <w:r>
        <w:rPr>
          <w:rFonts w:ascii="宋体" w:hAnsi="宋体" w:cs="仿宋_GB2312"/>
          <w:sz w:val="24"/>
          <w:lang w:val="zh-CN"/>
        </w:rPr>
        <w:t xml:space="preserve">  </w:t>
      </w:r>
      <w:r>
        <w:rPr>
          <w:rFonts w:hint="eastAsia" w:ascii="宋体" w:hAnsi="宋体" w:cs="仿宋_GB2312"/>
          <w:sz w:val="24"/>
          <w:lang w:val="zh-CN"/>
        </w:rPr>
        <w:t>投标供应商</w:t>
      </w:r>
      <w:r>
        <w:rPr>
          <w:rFonts w:ascii="宋体" w:hAnsi="宋体" w:cs="仿宋_GB2312"/>
          <w:sz w:val="24"/>
          <w:lang w:val="zh-CN"/>
        </w:rPr>
        <w:t xml:space="preserve">名称(电子签名)：                </w:t>
      </w:r>
    </w:p>
    <w:p>
      <w:pPr>
        <w:snapToGrid w:val="0"/>
        <w:spacing w:line="360" w:lineRule="auto"/>
        <w:ind w:firstLine="576"/>
        <w:jc w:val="center"/>
        <w:rPr>
          <w:rFonts w:hint="eastAsia" w:ascii="宋体" w:hAnsi="宋体" w:cs="仿宋_GB2312"/>
          <w:b/>
          <w:sz w:val="32"/>
          <w:szCs w:val="32"/>
        </w:rPr>
      </w:pPr>
      <w:r>
        <w:rPr>
          <w:rFonts w:ascii="宋体" w:hAnsi="宋体" w:cs="仿宋_GB2312"/>
          <w:sz w:val="24"/>
          <w:lang w:val="zh-CN"/>
        </w:rPr>
        <w:t xml:space="preserve">                   日期：  年  月  日</w:t>
      </w:r>
    </w:p>
    <w:p>
      <w:pPr>
        <w:rPr>
          <w:rFonts w:hint="eastAsia" w:ascii="宋体" w:hAnsi="宋体" w:cs="仿宋_GB2312"/>
          <w:b/>
          <w:sz w:val="30"/>
          <w:szCs w:val="30"/>
        </w:rPr>
      </w:pPr>
      <w:r>
        <w:rPr>
          <w:rFonts w:hint="eastAsia" w:ascii="宋体" w:hAnsi="宋体" w:cs="仿宋_GB2312"/>
          <w:b/>
          <w:sz w:val="30"/>
          <w:szCs w:val="30"/>
        </w:rPr>
        <w:br w:type="page"/>
      </w:r>
    </w:p>
    <w:p>
      <w:pPr>
        <w:jc w:val="left"/>
        <w:rPr>
          <w:rFonts w:hint="eastAsia" w:ascii="宋体" w:hAnsi="宋体" w:cs="仿宋_GB2312"/>
          <w:b/>
          <w:sz w:val="30"/>
          <w:szCs w:val="30"/>
        </w:rPr>
      </w:pPr>
      <w:r>
        <w:rPr>
          <w:rFonts w:hint="eastAsia" w:ascii="宋体" w:hAnsi="宋体" w:cs="仿宋_GB2312"/>
          <w:b/>
          <w:sz w:val="30"/>
          <w:szCs w:val="30"/>
        </w:rPr>
        <w:t>参考格式2</w:t>
      </w:r>
    </w:p>
    <w:p>
      <w:pPr>
        <w:rPr>
          <w:rFonts w:hint="eastAsia" w:ascii="宋体" w:hAnsi="宋体"/>
        </w:rPr>
      </w:pPr>
    </w:p>
    <w:p>
      <w:pPr>
        <w:autoSpaceDE w:val="0"/>
        <w:spacing w:line="360" w:lineRule="auto"/>
        <w:ind w:firstLine="120"/>
        <w:jc w:val="center"/>
        <w:rPr>
          <w:rFonts w:hint="eastAsia" w:ascii="宋体" w:hAnsi="宋体"/>
          <w:sz w:val="28"/>
          <w:szCs w:val="28"/>
        </w:rPr>
      </w:pPr>
      <w:r>
        <w:rPr>
          <w:rFonts w:hint="eastAsia" w:ascii="宋体" w:hAnsi="宋体" w:cs="宋体"/>
          <w:b/>
          <w:sz w:val="28"/>
          <w:szCs w:val="28"/>
        </w:rPr>
        <w:t>20  年  月  日以</w:t>
      </w:r>
      <w:r>
        <w:rPr>
          <w:rFonts w:hint="eastAsia" w:ascii="宋体" w:hAnsi="宋体" w:cs="宋体"/>
          <w:b/>
          <w:sz w:val="28"/>
          <w:szCs w:val="28"/>
          <w:lang w:val="zh-CN"/>
        </w:rPr>
        <w:t>来主要业绩证明</w:t>
      </w:r>
    </w:p>
    <w:p>
      <w:pPr>
        <w:autoSpaceDE w:val="0"/>
        <w:spacing w:line="360" w:lineRule="auto"/>
        <w:ind w:firstLine="120"/>
        <w:rPr>
          <w:rFonts w:hint="eastAsia" w:ascii="宋体" w:hAnsi="宋体"/>
          <w:sz w:val="24"/>
          <w:szCs w:val="22"/>
        </w:rPr>
      </w:pPr>
      <w:r>
        <w:rPr>
          <w:rFonts w:ascii="宋体" w:hAnsi="宋体"/>
          <w:sz w:val="24"/>
          <w:szCs w:val="22"/>
        </w:rPr>
        <w:t>附表</w:t>
      </w:r>
      <w:r>
        <w:rPr>
          <w:rFonts w:hint="eastAsia" w:ascii="宋体" w:hAnsi="宋体"/>
          <w:sz w:val="24"/>
          <w:szCs w:val="22"/>
        </w:rPr>
        <w:t>：</w:t>
      </w:r>
      <w:r>
        <w:rPr>
          <w:rFonts w:ascii="宋体" w:hAnsi="宋体"/>
          <w:sz w:val="24"/>
          <w:szCs w:val="22"/>
        </w:rPr>
        <w:t>相关项目业绩一览表</w:t>
      </w:r>
    </w:p>
    <w:tbl>
      <w:tblPr>
        <w:tblStyle w:val="62"/>
        <w:tblW w:w="9588" w:type="dxa"/>
        <w:tblInd w:w="-7" w:type="dxa"/>
        <w:tblLayout w:type="fixed"/>
        <w:tblCellMar>
          <w:top w:w="0" w:type="dxa"/>
          <w:left w:w="108" w:type="dxa"/>
          <w:bottom w:w="0" w:type="dxa"/>
          <w:right w:w="108" w:type="dxa"/>
        </w:tblCellMar>
      </w:tblPr>
      <w:tblGrid>
        <w:gridCol w:w="1828"/>
        <w:gridCol w:w="966"/>
        <w:gridCol w:w="1380"/>
        <w:gridCol w:w="1450"/>
        <w:gridCol w:w="1174"/>
        <w:gridCol w:w="1540"/>
        <w:gridCol w:w="1250"/>
      </w:tblGrid>
      <w:tr>
        <w:tblPrEx>
          <w:tblCellMar>
            <w:top w:w="0" w:type="dxa"/>
            <w:left w:w="108" w:type="dxa"/>
            <w:bottom w:w="0" w:type="dxa"/>
            <w:right w:w="108" w:type="dxa"/>
          </w:tblCellMar>
        </w:tblPrEx>
        <w:trPr>
          <w:trHeight w:val="1177" w:hRule="atLeast"/>
        </w:trPr>
        <w:tc>
          <w:tcPr>
            <w:tcW w:w="1828"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rPr>
            </w:pPr>
            <w:r>
              <w:rPr>
                <w:rFonts w:hint="eastAsia" w:ascii="宋体" w:hAnsi="宋体" w:cs="宋体"/>
                <w:sz w:val="24"/>
              </w:rPr>
              <w:t>项目名称</w:t>
            </w:r>
          </w:p>
        </w:tc>
        <w:tc>
          <w:tcPr>
            <w:tcW w:w="966"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rPr>
            </w:pPr>
            <w:r>
              <w:rPr>
                <w:rFonts w:hint="eastAsia" w:ascii="宋体" w:hAnsi="宋体" w:cs="宋体"/>
                <w:sz w:val="24"/>
              </w:rPr>
              <w:t>项目</w:t>
            </w:r>
          </w:p>
          <w:p>
            <w:pPr>
              <w:autoSpaceDE w:val="0"/>
              <w:spacing w:line="276" w:lineRule="auto"/>
              <w:jc w:val="center"/>
              <w:rPr>
                <w:rFonts w:hint="eastAsia" w:ascii="宋体" w:hAnsi="宋体"/>
              </w:rPr>
            </w:pPr>
            <w:r>
              <w:rPr>
                <w:rFonts w:hint="eastAsia" w:ascii="宋体" w:hAnsi="宋体" w:cs="宋体"/>
                <w:sz w:val="24"/>
              </w:rPr>
              <w:t>类型</w:t>
            </w:r>
          </w:p>
        </w:tc>
        <w:tc>
          <w:tcPr>
            <w:tcW w:w="138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rPr>
            </w:pPr>
            <w:r>
              <w:rPr>
                <w:rFonts w:hint="eastAsia" w:ascii="宋体" w:hAnsi="宋体" w:cs="宋体"/>
                <w:sz w:val="24"/>
              </w:rPr>
              <w:t>简要描述</w:t>
            </w:r>
          </w:p>
        </w:tc>
        <w:tc>
          <w:tcPr>
            <w:tcW w:w="145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cs="宋体"/>
                <w:sz w:val="24"/>
              </w:rPr>
            </w:pPr>
            <w:r>
              <w:rPr>
                <w:rFonts w:hint="eastAsia" w:ascii="宋体" w:hAnsi="宋体" w:cs="宋体"/>
                <w:sz w:val="24"/>
              </w:rPr>
              <w:t>合同金额</w:t>
            </w:r>
          </w:p>
          <w:p>
            <w:pPr>
              <w:autoSpaceDE w:val="0"/>
              <w:spacing w:line="276" w:lineRule="auto"/>
              <w:jc w:val="center"/>
              <w:rPr>
                <w:rFonts w:hint="eastAsia" w:ascii="宋体" w:hAnsi="宋体"/>
              </w:rPr>
            </w:pPr>
            <w:r>
              <w:rPr>
                <w:rFonts w:hint="eastAsia" w:ascii="宋体" w:hAnsi="宋体" w:cs="宋体"/>
                <w:sz w:val="24"/>
              </w:rPr>
              <w:t>（万元）</w:t>
            </w:r>
          </w:p>
        </w:tc>
        <w:tc>
          <w:tcPr>
            <w:tcW w:w="1174"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rPr>
            </w:pPr>
            <w:r>
              <w:rPr>
                <w:rFonts w:hint="eastAsia" w:ascii="宋体" w:hAnsi="宋体" w:cs="宋体"/>
                <w:sz w:val="24"/>
              </w:rPr>
              <w:t>合同签订日期</w:t>
            </w:r>
          </w:p>
        </w:tc>
        <w:tc>
          <w:tcPr>
            <w:tcW w:w="154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rPr>
            </w:pPr>
            <w:r>
              <w:rPr>
                <w:rFonts w:hint="eastAsia" w:ascii="宋体" w:hAnsi="宋体" w:cs="宋体"/>
                <w:sz w:val="24"/>
              </w:rPr>
              <w:t>项目地址与采购单位联系电话</w:t>
            </w:r>
          </w:p>
        </w:tc>
        <w:tc>
          <w:tcPr>
            <w:tcW w:w="125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宋体" w:hAnsi="宋体"/>
              </w:rPr>
            </w:pPr>
            <w:r>
              <w:rPr>
                <w:rFonts w:hint="eastAsia" w:ascii="宋体" w:hAnsi="宋体" w:cs="宋体"/>
                <w:sz w:val="24"/>
              </w:rPr>
              <w:t>所在页码</w:t>
            </w:r>
          </w:p>
        </w:tc>
      </w:tr>
      <w:tr>
        <w:tblPrEx>
          <w:tblCellMar>
            <w:top w:w="0" w:type="dxa"/>
            <w:left w:w="108" w:type="dxa"/>
            <w:bottom w:w="0" w:type="dxa"/>
            <w:right w:w="108" w:type="dxa"/>
          </w:tblCellMar>
        </w:tblPrEx>
        <w:trPr>
          <w:trHeight w:val="894"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4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r>
      <w:tr>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4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r>
      <w:tr>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4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宋体" w:hAnsi="宋体" w:cs="宋体"/>
                <w:sz w:val="24"/>
              </w:rPr>
            </w:pPr>
          </w:p>
        </w:tc>
      </w:tr>
    </w:tbl>
    <w:p>
      <w:pPr>
        <w:autoSpaceDE w:val="0"/>
        <w:spacing w:line="360" w:lineRule="auto"/>
        <w:rPr>
          <w:rFonts w:hint="eastAsia" w:ascii="宋体" w:hAnsi="宋体"/>
        </w:rPr>
      </w:pPr>
      <w:r>
        <w:rPr>
          <w:rFonts w:hint="eastAsia" w:ascii="宋体" w:hAnsi="宋体" w:cs="宋体"/>
          <w:b/>
          <w:sz w:val="24"/>
        </w:rPr>
        <w:t xml:space="preserve">  注：投标供应商可按上述的格式自行编制，须随表提交相应的业绩证明材料（详见评分要求）并注明所在投标商务文件页码。</w:t>
      </w:r>
    </w:p>
    <w:p>
      <w:pPr>
        <w:snapToGrid w:val="0"/>
        <w:spacing w:line="360" w:lineRule="auto"/>
        <w:ind w:firstLine="576"/>
        <w:jc w:val="center"/>
        <w:rPr>
          <w:rFonts w:hint="eastAsia" w:ascii="宋体" w:hAnsi="宋体" w:cs="仿宋_GB2312"/>
          <w:sz w:val="24"/>
          <w:lang w:val="zh-CN"/>
        </w:rPr>
      </w:pPr>
      <w:r>
        <w:rPr>
          <w:rFonts w:hint="eastAsia" w:ascii="宋体" w:hAnsi="宋体" w:cs="仿宋_GB2312"/>
          <w:sz w:val="24"/>
          <w:lang w:val="zh-CN"/>
        </w:rPr>
        <w:t xml:space="preserve">                       投标供应商</w:t>
      </w:r>
      <w:r>
        <w:rPr>
          <w:rFonts w:ascii="宋体" w:hAnsi="宋体" w:cs="仿宋_GB2312"/>
          <w:sz w:val="24"/>
          <w:lang w:val="zh-CN"/>
        </w:rPr>
        <w:t xml:space="preserve">名称(电子签名)：                </w:t>
      </w:r>
    </w:p>
    <w:p>
      <w:pPr>
        <w:snapToGrid w:val="0"/>
        <w:spacing w:line="360" w:lineRule="auto"/>
        <w:ind w:firstLine="576"/>
        <w:jc w:val="center"/>
        <w:rPr>
          <w:rFonts w:hint="eastAsia" w:ascii="宋体" w:hAnsi="宋体"/>
        </w:rPr>
      </w:pPr>
      <w:r>
        <w:rPr>
          <w:rFonts w:ascii="宋体" w:hAnsi="宋体" w:cs="仿宋_GB2312"/>
          <w:sz w:val="24"/>
          <w:lang w:val="zh-CN"/>
        </w:rPr>
        <w:t xml:space="preserve">                   日期：  年  月  日</w:t>
      </w:r>
    </w:p>
    <w:p>
      <w:pPr>
        <w:jc w:val="center"/>
        <w:rPr>
          <w:rFonts w:hint="eastAsia" w:ascii="宋体" w:hAnsi="宋体" w:cs="宋体"/>
          <w:b/>
          <w:kern w:val="0"/>
          <w:sz w:val="32"/>
          <w:szCs w:val="32"/>
        </w:rPr>
      </w:pPr>
    </w:p>
    <w:p>
      <w:pPr>
        <w:rPr>
          <w:rFonts w:hint="eastAsia" w:ascii="宋体" w:hAnsi="宋体"/>
          <w:b/>
          <w:kern w:val="0"/>
          <w:sz w:val="30"/>
          <w:szCs w:val="30"/>
        </w:rPr>
      </w:pPr>
      <w:r>
        <w:rPr>
          <w:rFonts w:hint="eastAsia" w:ascii="宋体" w:hAnsi="宋体"/>
          <w:b/>
          <w:kern w:val="0"/>
          <w:sz w:val="30"/>
          <w:szCs w:val="30"/>
        </w:rPr>
        <w:t>参考格式3</w:t>
      </w:r>
    </w:p>
    <w:p>
      <w:pPr>
        <w:jc w:val="center"/>
        <w:rPr>
          <w:rFonts w:hint="eastAsia" w:ascii="宋体" w:hAnsi="宋体"/>
          <w:b/>
          <w:kern w:val="0"/>
          <w:sz w:val="28"/>
          <w:szCs w:val="28"/>
        </w:rPr>
      </w:pPr>
      <w:r>
        <w:rPr>
          <w:rFonts w:hint="eastAsia" w:ascii="宋体" w:hAnsi="宋体"/>
          <w:b/>
          <w:kern w:val="0"/>
          <w:sz w:val="28"/>
          <w:szCs w:val="28"/>
        </w:rPr>
        <w:t>拟投入项目成员情况表</w:t>
      </w:r>
    </w:p>
    <w:tbl>
      <w:tblPr>
        <w:tblStyle w:val="62"/>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tblPrEx>
          <w:tblCellMar>
            <w:top w:w="0" w:type="dxa"/>
            <w:left w:w="108" w:type="dxa"/>
            <w:bottom w:w="0" w:type="dxa"/>
            <w:right w:w="108" w:type="dxa"/>
          </w:tblCellMar>
        </w:tblPrEx>
        <w:trPr>
          <w:trHeight w:val="510"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sz w:val="24"/>
              </w:rPr>
            </w:pPr>
            <w:r>
              <w:rPr>
                <w:rFonts w:hint="eastAsia" w:ascii="宋体" w:hAnsi="宋体"/>
                <w:sz w:val="24"/>
              </w:rPr>
              <w:t>团队</w:t>
            </w:r>
          </w:p>
          <w:p>
            <w:pPr>
              <w:autoSpaceDE w:val="0"/>
              <w:snapToGrid w:val="0"/>
              <w:jc w:val="center"/>
              <w:rPr>
                <w:rFonts w:hint="eastAsia" w:ascii="宋体" w:hAnsi="宋体"/>
                <w:sz w:val="24"/>
              </w:rPr>
            </w:pPr>
            <w:r>
              <w:rPr>
                <w:rFonts w:hint="eastAsia" w:ascii="宋体" w:hAnsi="宋体"/>
                <w:sz w:val="24"/>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sz w:val="24"/>
              </w:rPr>
            </w:pPr>
            <w:r>
              <w:rPr>
                <w:rFonts w:hint="eastAsia" w:ascii="宋体" w:hAnsi="宋体"/>
                <w:sz w:val="24"/>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sz w:val="24"/>
              </w:rPr>
            </w:pPr>
            <w:r>
              <w:rPr>
                <w:rFonts w:hint="eastAsia" w:ascii="宋体" w:hAnsi="宋体"/>
                <w:sz w:val="24"/>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sz w:val="24"/>
              </w:rPr>
            </w:pPr>
            <w:r>
              <w:rPr>
                <w:rFonts w:hint="eastAsia" w:ascii="宋体" w:hAnsi="宋体"/>
                <w:sz w:val="24"/>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sz w:val="24"/>
              </w:rPr>
            </w:pPr>
            <w:r>
              <w:rPr>
                <w:rFonts w:hint="eastAsia" w:ascii="宋体" w:hAnsi="宋体"/>
                <w:sz w:val="24"/>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sz w:val="24"/>
              </w:rPr>
            </w:pPr>
            <w:r>
              <w:rPr>
                <w:rFonts w:hint="eastAsia" w:ascii="宋体" w:hAnsi="宋体"/>
                <w:sz w:val="24"/>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sz w:val="24"/>
              </w:rPr>
            </w:pPr>
            <w:r>
              <w:rPr>
                <w:rFonts w:hint="eastAsia" w:ascii="宋体" w:hAnsi="宋体"/>
                <w:sz w:val="24"/>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sz w:val="24"/>
              </w:rPr>
            </w:pPr>
            <w:r>
              <w:rPr>
                <w:rFonts w:hint="eastAsia" w:ascii="宋体" w:hAnsi="宋体"/>
                <w:sz w:val="24"/>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sz w:val="24"/>
              </w:rPr>
            </w:pPr>
            <w:r>
              <w:rPr>
                <w:rFonts w:hint="eastAsia" w:ascii="宋体" w:hAnsi="宋体"/>
                <w:sz w:val="24"/>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宋体" w:hAnsi="宋体"/>
                <w:sz w:val="24"/>
              </w:rPr>
            </w:pPr>
            <w:r>
              <w:rPr>
                <w:rFonts w:hint="eastAsia" w:ascii="宋体" w:hAnsi="宋体"/>
                <w:sz w:val="24"/>
              </w:rPr>
              <w:t>……</w:t>
            </w:r>
          </w:p>
          <w:p>
            <w:pPr>
              <w:autoSpaceDE w:val="0"/>
              <w:snapToGrid w:val="0"/>
              <w:jc w:val="center"/>
              <w:rPr>
                <w:rFonts w:hint="eastAsia" w:ascii="宋体" w:hAnsi="宋体"/>
                <w:sz w:val="24"/>
              </w:rPr>
            </w:pPr>
            <w:r>
              <w:rPr>
                <w:rFonts w:hint="eastAsia" w:ascii="宋体" w:hAnsi="宋体"/>
                <w:sz w:val="24"/>
              </w:rPr>
              <w:t>自行补充</w:t>
            </w:r>
          </w:p>
        </w:tc>
      </w:tr>
      <w:tr>
        <w:tblPrEx>
          <w:tblCellMar>
            <w:top w:w="0" w:type="dxa"/>
            <w:left w:w="108" w:type="dxa"/>
            <w:bottom w:w="0" w:type="dxa"/>
            <w:right w:w="108" w:type="dxa"/>
          </w:tblCellMar>
        </w:tblPrEx>
        <w:trPr>
          <w:trHeight w:val="510"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r>
              <w:rPr>
                <w:rFonts w:hint="eastAsia" w:ascii="宋体" w:hAnsi="宋体"/>
                <w:sz w:val="24"/>
              </w:rPr>
              <w:t>项目经理</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r>
      <w:tr>
        <w:tblPrEx>
          <w:tblCellMar>
            <w:top w:w="0" w:type="dxa"/>
            <w:left w:w="108" w:type="dxa"/>
            <w:bottom w:w="0" w:type="dxa"/>
            <w:right w:w="108" w:type="dxa"/>
          </w:tblCellMar>
        </w:tblPrEx>
        <w:trPr>
          <w:trHeight w:val="510"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r>
      <w:tr>
        <w:tblPrEx>
          <w:tblCellMar>
            <w:top w:w="0" w:type="dxa"/>
            <w:left w:w="108" w:type="dxa"/>
            <w:bottom w:w="0" w:type="dxa"/>
            <w:right w:w="108" w:type="dxa"/>
          </w:tblCellMar>
        </w:tblPrEx>
        <w:trPr>
          <w:trHeight w:val="510"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r>
      <w:tr>
        <w:trPr>
          <w:trHeight w:val="510"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r>
      <w:tr>
        <w:tblPrEx>
          <w:tblCellMar>
            <w:top w:w="0" w:type="dxa"/>
            <w:left w:w="108" w:type="dxa"/>
            <w:bottom w:w="0" w:type="dxa"/>
            <w:right w:w="108" w:type="dxa"/>
          </w:tblCellMar>
        </w:tblPrEx>
        <w:trPr>
          <w:trHeight w:val="510"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r>
      <w:tr>
        <w:tblPrEx>
          <w:tblCellMar>
            <w:top w:w="0" w:type="dxa"/>
            <w:left w:w="108" w:type="dxa"/>
            <w:bottom w:w="0" w:type="dxa"/>
            <w:right w:w="108" w:type="dxa"/>
          </w:tblCellMar>
        </w:tblPrEx>
        <w:trPr>
          <w:trHeight w:val="510"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宋体" w:hAnsi="宋体"/>
                <w:sz w:val="24"/>
              </w:rPr>
            </w:pPr>
          </w:p>
        </w:tc>
      </w:tr>
    </w:tbl>
    <w:p>
      <w:pPr>
        <w:snapToGrid w:val="0"/>
        <w:spacing w:line="360" w:lineRule="auto"/>
        <w:ind w:firstLine="576"/>
        <w:jc w:val="center"/>
        <w:rPr>
          <w:rFonts w:hint="eastAsia" w:ascii="宋体" w:hAnsi="宋体" w:cs="仿宋_GB2312"/>
          <w:sz w:val="24"/>
          <w:lang w:val="zh-CN"/>
        </w:rPr>
      </w:pPr>
      <w:r>
        <w:rPr>
          <w:rFonts w:ascii="宋体" w:hAnsi="宋体" w:cs="仿宋_GB2312"/>
          <w:sz w:val="24"/>
          <w:lang w:val="zh-CN"/>
        </w:rPr>
        <w:t xml:space="preserve"> </w:t>
      </w:r>
      <w:r>
        <w:rPr>
          <w:rFonts w:hint="eastAsia" w:ascii="宋体" w:hAnsi="宋体" w:cs="仿宋_GB2312"/>
          <w:sz w:val="24"/>
        </w:rPr>
        <w:t xml:space="preserve">            </w:t>
      </w:r>
      <w:r>
        <w:rPr>
          <w:rFonts w:hint="eastAsia" w:ascii="宋体" w:hAnsi="宋体" w:cs="仿宋_GB2312"/>
          <w:sz w:val="24"/>
          <w:lang w:val="zh-CN"/>
        </w:rPr>
        <w:t>投标供应商</w:t>
      </w:r>
      <w:r>
        <w:rPr>
          <w:rFonts w:ascii="宋体" w:hAnsi="宋体" w:cs="仿宋_GB2312"/>
          <w:sz w:val="24"/>
          <w:lang w:val="zh-CN"/>
        </w:rPr>
        <w:t xml:space="preserve">名称(电子签名)：                </w:t>
      </w:r>
    </w:p>
    <w:p>
      <w:pPr>
        <w:snapToGrid w:val="0"/>
        <w:spacing w:line="360" w:lineRule="auto"/>
        <w:ind w:firstLine="576"/>
        <w:jc w:val="center"/>
        <w:rPr>
          <w:rFonts w:hint="eastAsia" w:ascii="宋体" w:hAnsi="宋体" w:cs="仿宋_GB2312"/>
          <w:b/>
          <w:sz w:val="32"/>
          <w:szCs w:val="32"/>
        </w:rPr>
      </w:pPr>
      <w:r>
        <w:rPr>
          <w:rFonts w:ascii="宋体" w:hAnsi="宋体" w:cs="仿宋_GB2312"/>
          <w:sz w:val="24"/>
          <w:lang w:val="zh-CN"/>
        </w:rPr>
        <w:t xml:space="preserve">                   日期：  年  月  日</w:t>
      </w:r>
    </w:p>
    <w:p>
      <w:pPr>
        <w:rPr>
          <w:rFonts w:hint="eastAsia" w:ascii="宋体" w:hAnsi="宋体"/>
          <w:b/>
          <w:kern w:val="0"/>
          <w:sz w:val="30"/>
          <w:szCs w:val="30"/>
        </w:rPr>
      </w:pPr>
      <w:r>
        <w:rPr>
          <w:rFonts w:hint="eastAsia" w:ascii="宋体" w:hAnsi="宋体"/>
          <w:b/>
          <w:kern w:val="0"/>
          <w:sz w:val="30"/>
          <w:szCs w:val="30"/>
        </w:rPr>
        <w:t>参考格式4</w:t>
      </w:r>
    </w:p>
    <w:p>
      <w:pPr>
        <w:widowControl/>
        <w:jc w:val="center"/>
        <w:rPr>
          <w:rFonts w:hint="eastAsia" w:ascii="宋体" w:hAnsi="宋体"/>
          <w:b/>
          <w:kern w:val="0"/>
          <w:sz w:val="28"/>
          <w:szCs w:val="28"/>
        </w:rPr>
      </w:pPr>
      <w:r>
        <w:rPr>
          <w:rFonts w:hint="eastAsia" w:ascii="宋体" w:hAnsi="宋体"/>
          <w:b/>
          <w:kern w:val="0"/>
          <w:sz w:val="28"/>
          <w:szCs w:val="28"/>
        </w:rPr>
        <w:t>拟投入本项目的主要团队成员情况表</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姓</w:t>
            </w:r>
            <w:r>
              <w:rPr>
                <w:rFonts w:hint="eastAsia" w:ascii="宋体" w:hAnsi="宋体"/>
                <w:sz w:val="24"/>
              </w:rPr>
              <w:tab/>
            </w:r>
            <w:r>
              <w:rPr>
                <w:rFonts w:hint="eastAsia" w:ascii="宋体" w:hAnsi="宋体"/>
                <w:sz w:val="24"/>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性</w:t>
            </w:r>
            <w:r>
              <w:rPr>
                <w:rFonts w:hint="eastAsia" w:ascii="宋体" w:hAnsi="宋体"/>
                <w:sz w:val="24"/>
              </w:rPr>
              <w:tab/>
            </w:r>
            <w:r>
              <w:rPr>
                <w:rFonts w:hint="eastAsia" w:ascii="宋体" w:hAnsi="宋体"/>
                <w:sz w:val="24"/>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学</w:t>
            </w:r>
            <w:r>
              <w:rPr>
                <w:rFonts w:hint="eastAsia" w:ascii="宋体" w:hAnsi="宋体"/>
                <w:sz w:val="24"/>
              </w:rPr>
              <w:tab/>
            </w:r>
            <w:r>
              <w:rPr>
                <w:rFonts w:hint="eastAsia" w:ascii="宋体" w:hAnsi="宋体"/>
                <w:sz w:val="24"/>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职</w:t>
            </w:r>
            <w:r>
              <w:rPr>
                <w:rFonts w:hint="eastAsia" w:ascii="宋体" w:hAnsi="宋体"/>
                <w:sz w:val="24"/>
              </w:rPr>
              <w:tab/>
            </w:r>
            <w:r>
              <w:rPr>
                <w:rFonts w:hint="eastAsia" w:ascii="宋体" w:hAnsi="宋体"/>
                <w:sz w:val="24"/>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参加工作时间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lang w:eastAsia="zh-CN"/>
              </w:rPr>
            </w:pPr>
            <w:r>
              <w:rPr>
                <w:rFonts w:hint="eastAsia" w:ascii="宋体" w:hAnsi="宋体"/>
                <w:sz w:val="24"/>
                <w:lang w:eastAsia="zh-CN"/>
              </w:rPr>
              <w:t>已成功实施的类似项目情况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r>
              <w:rPr>
                <w:rFonts w:hint="eastAsia" w:ascii="宋体" w:hAnsi="宋体"/>
                <w:sz w:val="24"/>
              </w:rPr>
              <w:t>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5"/>
              <w:tabs>
                <w:tab w:val="left" w:pos="483"/>
              </w:tabs>
              <w:spacing w:before="104"/>
              <w:jc w:val="center"/>
              <w:rPr>
                <w:rFonts w:hint="eastAsia" w:ascii="宋体" w:hAnsi="宋体"/>
                <w:sz w:val="24"/>
              </w:rPr>
            </w:pPr>
          </w:p>
        </w:tc>
      </w:tr>
    </w:tbl>
    <w:p>
      <w:pPr>
        <w:autoSpaceDE w:val="0"/>
        <w:autoSpaceDN w:val="0"/>
        <w:snapToGrid w:val="0"/>
        <w:spacing w:line="360" w:lineRule="auto"/>
        <w:rPr>
          <w:rFonts w:hint="eastAsia" w:ascii="宋体" w:hAnsi="宋体"/>
          <w:b/>
          <w:sz w:val="24"/>
        </w:rPr>
      </w:pPr>
      <w:r>
        <w:rPr>
          <w:rFonts w:hint="eastAsia" w:ascii="宋体" w:hAnsi="宋体"/>
          <w:b/>
          <w:sz w:val="24"/>
        </w:rPr>
        <w:t>参考格式，可酌情调整补充</w:t>
      </w:r>
    </w:p>
    <w:p>
      <w:pPr>
        <w:rPr>
          <w:rFonts w:hint="eastAsia" w:ascii="宋体" w:hAnsi="宋体"/>
          <w:b/>
          <w:kern w:val="0"/>
          <w:sz w:val="32"/>
        </w:rPr>
      </w:pPr>
    </w:p>
    <w:p>
      <w:pPr>
        <w:snapToGrid w:val="0"/>
        <w:spacing w:line="360" w:lineRule="auto"/>
        <w:ind w:firstLine="4320" w:firstLineChars="1800"/>
        <w:rPr>
          <w:rFonts w:hint="eastAsia" w:ascii="宋体" w:hAnsi="宋体" w:cs="仿宋_GB2312"/>
          <w:sz w:val="24"/>
          <w:lang w:val="zh-CN"/>
        </w:rPr>
      </w:pPr>
      <w:r>
        <w:rPr>
          <w:rFonts w:hint="eastAsia" w:ascii="宋体" w:hAnsi="宋体" w:cs="仿宋_GB2312"/>
          <w:sz w:val="24"/>
          <w:lang w:val="zh-CN"/>
        </w:rPr>
        <w:t>投标供应商</w:t>
      </w:r>
      <w:r>
        <w:rPr>
          <w:rFonts w:ascii="宋体" w:hAnsi="宋体" w:cs="仿宋_GB2312"/>
          <w:sz w:val="24"/>
          <w:lang w:val="zh-CN"/>
        </w:rPr>
        <w:t xml:space="preserve">名称(电子签名)：                </w:t>
      </w:r>
    </w:p>
    <w:p>
      <w:pPr>
        <w:snapToGrid w:val="0"/>
        <w:spacing w:line="360" w:lineRule="auto"/>
        <w:ind w:firstLine="576"/>
        <w:jc w:val="center"/>
        <w:rPr>
          <w:rFonts w:hint="eastAsia" w:ascii="宋体" w:hAnsi="宋体" w:cs="仿宋_GB2312"/>
          <w:b/>
          <w:sz w:val="32"/>
          <w:szCs w:val="32"/>
        </w:rPr>
      </w:pPr>
      <w:r>
        <w:rPr>
          <w:rFonts w:ascii="宋体" w:hAnsi="宋体" w:cs="仿宋_GB2312"/>
          <w:sz w:val="24"/>
          <w:lang w:val="zh-CN"/>
        </w:rPr>
        <w:t xml:space="preserve">                  </w:t>
      </w:r>
      <w:r>
        <w:rPr>
          <w:rFonts w:hint="eastAsia" w:ascii="宋体" w:hAnsi="宋体" w:cs="仿宋_GB2312"/>
          <w:sz w:val="24"/>
        </w:rPr>
        <w:t xml:space="preserve">     </w:t>
      </w:r>
      <w:r>
        <w:rPr>
          <w:rFonts w:ascii="宋体" w:hAnsi="宋体" w:cs="仿宋_GB2312"/>
          <w:sz w:val="24"/>
          <w:lang w:val="zh-CN"/>
        </w:rPr>
        <w:t xml:space="preserve"> 日期：  年  月  日</w:t>
      </w:r>
    </w:p>
    <w:p>
      <w:pPr>
        <w:rPr>
          <w:rFonts w:hint="eastAsia" w:ascii="宋体" w:hAnsi="宋体" w:cs="宋体"/>
          <w:b/>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br w:type="page"/>
      </w:r>
    </w:p>
    <w:p>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货物名称</w:t>
            </w:r>
          </w:p>
        </w:tc>
        <w:tc>
          <w:tcPr>
            <w:tcW w:w="115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数量</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p>
        </w:tc>
      </w:tr>
    </w:tbl>
    <w:p>
      <w:pPr>
        <w:spacing w:line="360" w:lineRule="auto"/>
        <w:ind w:right="420"/>
        <w:rPr>
          <w:rFonts w:hint="eastAsia" w:ascii="宋体" w:hAnsi="宋体" w:cs="宋体"/>
          <w:sz w:val="24"/>
        </w:rPr>
      </w:pPr>
      <w:r>
        <w:rPr>
          <w:rFonts w:hint="eastAsia" w:ascii="宋体" w:hAnsi="宋体" w:cs="宋体"/>
          <w:sz w:val="24"/>
        </w:rPr>
        <w:t>注：按本格式和要求提供。</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96"/>
        <w:gridCol w:w="1074"/>
        <w:gridCol w:w="3023"/>
        <w:gridCol w:w="313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b/>
                <w:bCs/>
                <w:sz w:val="24"/>
              </w:rPr>
            </w:pPr>
            <w:r>
              <w:rPr>
                <w:rFonts w:hint="eastAsia" w:ascii="宋体" w:hAnsi="宋体" w:cs="宋体"/>
                <w:b/>
                <w:bCs/>
                <w:sz w:val="24"/>
              </w:rPr>
              <w:t>序号</w:t>
            </w:r>
          </w:p>
        </w:tc>
        <w:tc>
          <w:tcPr>
            <w:tcW w:w="4097" w:type="dxa"/>
            <w:gridSpan w:val="2"/>
          </w:tcPr>
          <w:p>
            <w:pPr>
              <w:jc w:val="center"/>
              <w:rPr>
                <w:rFonts w:hint="eastAsia" w:ascii="宋体" w:hAnsi="宋体" w:cs="宋体"/>
                <w:b/>
                <w:bCs/>
                <w:sz w:val="24"/>
              </w:rPr>
            </w:pPr>
            <w:r>
              <w:rPr>
                <w:rFonts w:hint="eastAsia" w:ascii="宋体" w:hAnsi="宋体" w:cs="宋体"/>
                <w:b/>
                <w:bCs/>
                <w:sz w:val="24"/>
              </w:rPr>
              <w:t>招标文件章节及具体内容</w:t>
            </w:r>
          </w:p>
        </w:tc>
        <w:tc>
          <w:tcPr>
            <w:tcW w:w="3132" w:type="dxa"/>
          </w:tcPr>
          <w:p>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pPr>
              <w:jc w:val="center"/>
              <w:rPr>
                <w:rFonts w:hint="eastAsia"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hint="eastAsia" w:ascii="宋体" w:hAnsi="宋体" w:cs="宋体"/>
                <w:b/>
                <w:bCs/>
                <w:sz w:val="24"/>
              </w:rPr>
            </w:pPr>
            <w:r>
              <w:rPr>
                <w:rFonts w:hint="eastAsia" w:ascii="宋体" w:hAnsi="宋体" w:cs="宋体"/>
                <w:b/>
                <w:bCs/>
                <w:sz w:val="24"/>
              </w:rPr>
              <w:t>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kern w:val="0"/>
                <w:sz w:val="24"/>
              </w:rPr>
            </w:pPr>
            <w:r>
              <w:rPr>
                <w:rFonts w:hint="eastAsia" w:ascii="宋体" w:hAnsi="宋体" w:cs="宋体"/>
                <w:kern w:val="0"/>
                <w:sz w:val="24"/>
              </w:rPr>
              <w:t>1</w:t>
            </w:r>
          </w:p>
        </w:tc>
        <w:tc>
          <w:tcPr>
            <w:tcW w:w="4097" w:type="dxa"/>
            <w:gridSpan w:val="2"/>
          </w:tcPr>
          <w:p>
            <w:pPr>
              <w:jc w:val="center"/>
              <w:rPr>
                <w:rFonts w:hint="eastAsia" w:ascii="宋体" w:hAnsi="宋体" w:cs="宋体"/>
                <w:b/>
                <w:kern w:val="0"/>
                <w:sz w:val="32"/>
                <w:szCs w:val="32"/>
              </w:rPr>
            </w:pPr>
          </w:p>
        </w:tc>
        <w:tc>
          <w:tcPr>
            <w:tcW w:w="3132"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kern w:val="0"/>
                <w:sz w:val="24"/>
              </w:rPr>
            </w:pPr>
            <w:r>
              <w:rPr>
                <w:rFonts w:hint="eastAsia" w:ascii="宋体" w:hAnsi="宋体" w:cs="宋体"/>
                <w:kern w:val="0"/>
                <w:sz w:val="24"/>
              </w:rPr>
              <w:t>2</w:t>
            </w:r>
          </w:p>
        </w:tc>
        <w:tc>
          <w:tcPr>
            <w:tcW w:w="4097" w:type="dxa"/>
            <w:gridSpan w:val="2"/>
          </w:tcPr>
          <w:p>
            <w:pPr>
              <w:jc w:val="center"/>
              <w:rPr>
                <w:rFonts w:hint="eastAsia" w:ascii="宋体" w:hAnsi="宋体" w:cs="宋体"/>
                <w:b/>
                <w:kern w:val="0"/>
                <w:sz w:val="32"/>
                <w:szCs w:val="32"/>
              </w:rPr>
            </w:pPr>
          </w:p>
        </w:tc>
        <w:tc>
          <w:tcPr>
            <w:tcW w:w="3132"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hint="eastAsia" w:ascii="宋体" w:hAnsi="宋体" w:cs="宋体"/>
                <w:kern w:val="0"/>
                <w:sz w:val="24"/>
              </w:rPr>
            </w:pPr>
            <w:r>
              <w:rPr>
                <w:rFonts w:hint="eastAsia" w:ascii="宋体" w:hAnsi="宋体" w:cs="宋体"/>
                <w:kern w:val="0"/>
                <w:sz w:val="24"/>
              </w:rPr>
              <w:t>……</w:t>
            </w:r>
          </w:p>
        </w:tc>
        <w:tc>
          <w:tcPr>
            <w:tcW w:w="4097" w:type="dxa"/>
            <w:gridSpan w:val="2"/>
          </w:tcPr>
          <w:p>
            <w:pPr>
              <w:jc w:val="center"/>
              <w:rPr>
                <w:rFonts w:hint="eastAsia" w:ascii="宋体" w:hAnsi="宋体" w:cs="宋体"/>
                <w:b/>
                <w:kern w:val="0"/>
                <w:sz w:val="32"/>
                <w:szCs w:val="32"/>
              </w:rPr>
            </w:pPr>
          </w:p>
        </w:tc>
        <w:tc>
          <w:tcPr>
            <w:tcW w:w="3132"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hint="eastAsia" w:ascii="宋体" w:hAnsi="宋体" w:cs="宋体"/>
                <w:b/>
                <w:kern w:val="0"/>
                <w:sz w:val="32"/>
                <w:szCs w:val="32"/>
              </w:rPr>
            </w:pPr>
            <w:r>
              <w:rPr>
                <w:rFonts w:hint="eastAsia" w:ascii="宋体" w:hAnsi="宋体" w:cs="宋体"/>
                <w:b/>
                <w:bCs/>
                <w:sz w:val="24"/>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jc w:val="center"/>
              <w:rPr>
                <w:rFonts w:hint="eastAsia" w:ascii="宋体" w:hAnsi="宋体" w:cs="宋体"/>
                <w:b/>
                <w:bCs/>
                <w:sz w:val="24"/>
              </w:rPr>
            </w:pPr>
            <w:r>
              <w:rPr>
                <w:rFonts w:hint="eastAsia" w:ascii="宋体" w:hAnsi="宋体" w:cs="宋体"/>
                <w:b/>
                <w:bCs/>
                <w:sz w:val="24"/>
              </w:rPr>
              <w:t>序号</w:t>
            </w:r>
          </w:p>
        </w:tc>
        <w:tc>
          <w:tcPr>
            <w:tcW w:w="1270" w:type="dxa"/>
            <w:gridSpan w:val="2"/>
          </w:tcPr>
          <w:p>
            <w:pPr>
              <w:jc w:val="center"/>
              <w:rPr>
                <w:rFonts w:hint="eastAsia" w:ascii="宋体" w:hAnsi="宋体" w:cs="宋体"/>
                <w:b/>
                <w:bCs/>
                <w:sz w:val="24"/>
              </w:rPr>
            </w:pPr>
            <w:r>
              <w:rPr>
                <w:rFonts w:hint="eastAsia" w:ascii="宋体" w:hAnsi="宋体" w:cs="宋体"/>
                <w:b/>
                <w:bCs/>
                <w:sz w:val="24"/>
              </w:rPr>
              <w:t>货物名称/型号</w:t>
            </w:r>
          </w:p>
        </w:tc>
        <w:tc>
          <w:tcPr>
            <w:tcW w:w="3023" w:type="dxa"/>
          </w:tcPr>
          <w:p>
            <w:pPr>
              <w:jc w:val="center"/>
              <w:rPr>
                <w:rFonts w:hint="eastAsia" w:ascii="宋体" w:hAnsi="宋体" w:cs="宋体"/>
                <w:b/>
                <w:bCs/>
                <w:sz w:val="24"/>
              </w:rPr>
            </w:pPr>
            <w:r>
              <w:rPr>
                <w:rFonts w:hint="eastAsia" w:ascii="宋体" w:hAnsi="宋体" w:cs="宋体"/>
                <w:b/>
                <w:bCs/>
                <w:sz w:val="24"/>
              </w:rPr>
              <w:t>招标文件章节及具体内容</w:t>
            </w:r>
          </w:p>
        </w:tc>
        <w:tc>
          <w:tcPr>
            <w:tcW w:w="3132" w:type="dxa"/>
          </w:tcPr>
          <w:p>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pPr>
              <w:jc w:val="center"/>
              <w:rPr>
                <w:rFonts w:hint="eastAsia"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jc w:val="center"/>
              <w:rPr>
                <w:rFonts w:hint="eastAsia" w:ascii="宋体" w:hAnsi="宋体" w:cs="宋体"/>
                <w:kern w:val="0"/>
                <w:sz w:val="24"/>
              </w:rPr>
            </w:pPr>
            <w:r>
              <w:rPr>
                <w:rFonts w:hint="eastAsia" w:ascii="宋体" w:hAnsi="宋体" w:cs="宋体"/>
                <w:kern w:val="0"/>
                <w:sz w:val="24"/>
              </w:rPr>
              <w:t>1</w:t>
            </w:r>
          </w:p>
        </w:tc>
        <w:tc>
          <w:tcPr>
            <w:tcW w:w="1270" w:type="dxa"/>
            <w:gridSpan w:val="2"/>
          </w:tcPr>
          <w:p>
            <w:pPr>
              <w:jc w:val="center"/>
              <w:rPr>
                <w:rFonts w:hint="eastAsia" w:ascii="宋体" w:hAnsi="宋体" w:cs="宋体"/>
                <w:b/>
                <w:kern w:val="0"/>
                <w:sz w:val="32"/>
                <w:szCs w:val="32"/>
              </w:rPr>
            </w:pPr>
          </w:p>
        </w:tc>
        <w:tc>
          <w:tcPr>
            <w:tcW w:w="3023" w:type="dxa"/>
          </w:tcPr>
          <w:p>
            <w:pPr>
              <w:jc w:val="center"/>
              <w:rPr>
                <w:rFonts w:hint="eastAsia" w:ascii="宋体" w:hAnsi="宋体" w:cs="宋体"/>
                <w:b/>
                <w:kern w:val="0"/>
                <w:sz w:val="32"/>
                <w:szCs w:val="32"/>
              </w:rPr>
            </w:pPr>
          </w:p>
        </w:tc>
        <w:tc>
          <w:tcPr>
            <w:tcW w:w="3132"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jc w:val="center"/>
              <w:rPr>
                <w:rFonts w:hint="eastAsia" w:ascii="宋体" w:hAnsi="宋体" w:cs="宋体"/>
                <w:kern w:val="0"/>
                <w:sz w:val="24"/>
              </w:rPr>
            </w:pPr>
            <w:r>
              <w:rPr>
                <w:rFonts w:hint="eastAsia" w:ascii="宋体" w:hAnsi="宋体" w:cs="宋体"/>
                <w:kern w:val="0"/>
                <w:sz w:val="24"/>
              </w:rPr>
              <w:t>2</w:t>
            </w:r>
          </w:p>
        </w:tc>
        <w:tc>
          <w:tcPr>
            <w:tcW w:w="1270" w:type="dxa"/>
            <w:gridSpan w:val="2"/>
          </w:tcPr>
          <w:p>
            <w:pPr>
              <w:jc w:val="center"/>
              <w:rPr>
                <w:rFonts w:hint="eastAsia" w:ascii="宋体" w:hAnsi="宋体" w:cs="宋体"/>
                <w:b/>
                <w:kern w:val="0"/>
                <w:sz w:val="32"/>
                <w:szCs w:val="32"/>
              </w:rPr>
            </w:pPr>
          </w:p>
        </w:tc>
        <w:tc>
          <w:tcPr>
            <w:tcW w:w="3023" w:type="dxa"/>
          </w:tcPr>
          <w:p>
            <w:pPr>
              <w:jc w:val="center"/>
              <w:rPr>
                <w:rFonts w:hint="eastAsia" w:ascii="宋体" w:hAnsi="宋体" w:cs="宋体"/>
                <w:b/>
                <w:kern w:val="0"/>
                <w:sz w:val="32"/>
                <w:szCs w:val="32"/>
              </w:rPr>
            </w:pPr>
          </w:p>
        </w:tc>
        <w:tc>
          <w:tcPr>
            <w:tcW w:w="3132"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jc w:val="center"/>
              <w:rPr>
                <w:rFonts w:hint="eastAsia" w:ascii="宋体" w:hAnsi="宋体" w:cs="宋体"/>
                <w:kern w:val="0"/>
                <w:sz w:val="24"/>
              </w:rPr>
            </w:pPr>
            <w:r>
              <w:rPr>
                <w:rFonts w:hint="eastAsia" w:ascii="宋体" w:hAnsi="宋体" w:cs="宋体"/>
                <w:kern w:val="0"/>
                <w:sz w:val="24"/>
              </w:rPr>
              <w:t>3</w:t>
            </w:r>
          </w:p>
        </w:tc>
        <w:tc>
          <w:tcPr>
            <w:tcW w:w="1270" w:type="dxa"/>
            <w:gridSpan w:val="2"/>
          </w:tcPr>
          <w:p>
            <w:pPr>
              <w:jc w:val="center"/>
              <w:rPr>
                <w:rFonts w:hint="eastAsia" w:ascii="宋体" w:hAnsi="宋体" w:cs="宋体"/>
                <w:b/>
                <w:kern w:val="0"/>
                <w:sz w:val="32"/>
                <w:szCs w:val="32"/>
              </w:rPr>
            </w:pPr>
          </w:p>
        </w:tc>
        <w:tc>
          <w:tcPr>
            <w:tcW w:w="3023" w:type="dxa"/>
          </w:tcPr>
          <w:p>
            <w:pPr>
              <w:jc w:val="center"/>
              <w:rPr>
                <w:rFonts w:hint="eastAsia" w:ascii="宋体" w:hAnsi="宋体" w:cs="宋体"/>
                <w:b/>
                <w:kern w:val="0"/>
                <w:sz w:val="32"/>
                <w:szCs w:val="32"/>
              </w:rPr>
            </w:pPr>
          </w:p>
        </w:tc>
        <w:tc>
          <w:tcPr>
            <w:tcW w:w="3132" w:type="dxa"/>
          </w:tcPr>
          <w:p>
            <w:pPr>
              <w:jc w:val="center"/>
              <w:rPr>
                <w:rFonts w:hint="eastAsia" w:ascii="宋体" w:hAnsi="宋体" w:cs="宋体"/>
                <w:b/>
                <w:kern w:val="0"/>
                <w:sz w:val="32"/>
                <w:szCs w:val="32"/>
              </w:rPr>
            </w:pPr>
          </w:p>
        </w:tc>
        <w:tc>
          <w:tcPr>
            <w:tcW w:w="1276" w:type="dxa"/>
          </w:tcPr>
          <w:p>
            <w:pPr>
              <w:jc w:val="center"/>
              <w:rPr>
                <w:rFonts w:hint="eastAsia" w:ascii="宋体" w:hAnsi="宋体" w:cs="宋体"/>
                <w:b/>
                <w:kern w:val="0"/>
                <w:sz w:val="32"/>
                <w:szCs w:val="32"/>
              </w:rPr>
            </w:pPr>
          </w:p>
        </w:tc>
      </w:tr>
    </w:tbl>
    <w:p>
      <w:pPr>
        <w:jc w:val="left"/>
        <w:rPr>
          <w:rFonts w:hint="eastAsia" w:ascii="宋体" w:hAnsi="宋体" w:cs="宋体"/>
          <w:kern w:val="0"/>
          <w:sz w:val="24"/>
        </w:rPr>
      </w:pPr>
      <w:r>
        <w:rPr>
          <w:rFonts w:hint="eastAsia" w:ascii="宋体" w:hAnsi="宋体" w:cs="宋体"/>
          <w:kern w:val="0"/>
          <w:sz w:val="24"/>
        </w:rPr>
        <w:t>投标供应商保证：除商务技术偏离表列出的偏离外，投标供应商响应招标文件的全部要求。有佐证材料的请标明佐证材料页码。</w:t>
      </w:r>
    </w:p>
    <w:p>
      <w:pPr>
        <w:jc w:val="center"/>
        <w:rPr>
          <w:rFonts w:hint="eastAsia" w:ascii="宋体" w:hAnsi="宋体" w:cs="宋体"/>
          <w:b/>
          <w:kern w:val="0"/>
          <w:sz w:val="32"/>
          <w:szCs w:val="32"/>
        </w:rPr>
      </w:pPr>
    </w:p>
    <w:p>
      <w:pPr>
        <w:spacing w:line="360" w:lineRule="auto"/>
        <w:ind w:right="420"/>
        <w:rPr>
          <w:rFonts w:hint="eastAsia" w:ascii="宋体" w:hAnsi="宋体" w:cs="宋体"/>
          <w:sz w:val="24"/>
        </w:rPr>
      </w:pPr>
      <w:r>
        <w:rPr>
          <w:rFonts w:hint="eastAsia" w:ascii="宋体" w:hAnsi="宋体" w:cs="宋体"/>
          <w:sz w:val="24"/>
        </w:rPr>
        <w:t>注：1.按本格式和要求提供。</w:t>
      </w:r>
    </w:p>
    <w:p>
      <w:pPr>
        <w:spacing w:line="360" w:lineRule="auto"/>
        <w:ind w:right="420" w:firstLine="480" w:firstLineChars="20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pPr>
        <w:spacing w:line="360" w:lineRule="auto"/>
        <w:ind w:right="420" w:firstLine="480" w:firstLineChars="200"/>
        <w:rPr>
          <w:rFonts w:hint="eastAsia" w:ascii="宋体" w:hAnsi="宋体" w:cs="宋体"/>
          <w:b/>
          <w:bCs/>
          <w:sz w:val="32"/>
          <w:szCs w:val="32"/>
        </w:rPr>
      </w:pPr>
      <w:r>
        <w:rPr>
          <w:rFonts w:hint="eastAsia" w:ascii="宋体" w:hAnsi="宋体" w:cs="宋体"/>
          <w:sz w:val="24"/>
        </w:rPr>
        <w:t>3.投标人须保证：除商务技术偏离表列出的偏离外，投标人响应招标文件的全部非实质性要求。</w:t>
      </w:r>
    </w:p>
    <w:p>
      <w:pPr>
        <w:ind w:firstLine="1911" w:firstLineChars="595"/>
        <w:rPr>
          <w:rFonts w:hint="eastAsia" w:ascii="宋体" w:hAnsi="宋体" w:cs="宋体"/>
          <w:b/>
          <w:bCs/>
          <w:sz w:val="32"/>
          <w:szCs w:val="32"/>
        </w:rPr>
      </w:pPr>
    </w:p>
    <w:p>
      <w:pPr>
        <w:rPr>
          <w:rFonts w:hint="eastAsia" w:ascii="宋体" w:hAnsi="宋体" w:cs="宋体"/>
          <w:b/>
          <w:bCs/>
          <w:sz w:val="32"/>
          <w:szCs w:val="32"/>
        </w:rPr>
      </w:pPr>
      <w:r>
        <w:rPr>
          <w:rFonts w:hint="eastAsia" w:ascii="宋体" w:hAnsi="宋体" w:cs="宋体"/>
          <w:b/>
          <w:bCs/>
          <w:sz w:val="32"/>
          <w:szCs w:val="32"/>
        </w:rPr>
        <w:br w:type="page"/>
      </w:r>
    </w:p>
    <w:p>
      <w:pPr>
        <w:spacing w:line="360" w:lineRule="auto"/>
        <w:jc w:val="center"/>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廉洁自律承诺书</w:t>
      </w:r>
    </w:p>
    <w:p>
      <w:pPr>
        <w:adjustRightInd/>
        <w:snapToGrid w:val="0"/>
        <w:spacing w:line="360" w:lineRule="auto"/>
        <w:rPr>
          <w:rFonts w:hint="eastAsia" w:ascii="宋体" w:hAnsi="宋体" w:cs="仿宋_GB2312"/>
          <w:snapToGrid w:val="0"/>
          <w:kern w:val="0"/>
          <w:sz w:val="24"/>
          <w:szCs w:val="20"/>
        </w:rPr>
      </w:pPr>
      <w:r>
        <w:rPr>
          <w:rFonts w:hint="eastAsia" w:ascii="宋体" w:hAnsi="宋体" w:cs="仿宋_GB2312"/>
          <w:snapToGrid w:val="0"/>
          <w:kern w:val="0"/>
          <w:sz w:val="24"/>
          <w:szCs w:val="20"/>
        </w:rPr>
        <w:t>杭州第九中学树范学校、杭州洲源招标代理有限公司：</w:t>
      </w:r>
    </w:p>
    <w:p>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我单位响应你单位项目招标要求参加投标。在这次投标过程中和中标后，我们将严格遵守国家法律法规要求，并郑重承诺：</w:t>
      </w:r>
    </w:p>
    <w:p>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 xml:space="preserve">一、不向项目有关人员及部门赠送礼金礼物、有价证券、回扣以及中介费、介绍费、咨询费等好处费； </w:t>
      </w:r>
    </w:p>
    <w:p>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 xml:space="preserve">二、不为项目有关人员及部门报销应由你方单位或个人支付的费用； </w:t>
      </w:r>
    </w:p>
    <w:p>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 xml:space="preserve">三、不向项目有关人员及部门提供有可能影响公正的宴请和健身娱乐等活动； </w:t>
      </w:r>
    </w:p>
    <w:p>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四、不为项目有关人员及部门出国（境）、旅游等提供方便；</w:t>
      </w:r>
    </w:p>
    <w:p>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五、不为项目有关人员个人装修住房、婚丧嫁娶、配偶子女工作安排等提供</w:t>
      </w:r>
    </w:p>
    <w:p>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好处；</w:t>
      </w:r>
    </w:p>
    <w:p>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 xml:space="preserve">六、严格遵守《中华人民共和国政府采购法》、《中华人民共和国招标投标法》、《中华人民共和国民法典》等法律法规，诚实守信，合法经营，坚决抵制各种违法违纪行为。 </w:t>
      </w:r>
    </w:p>
    <w:p>
      <w:pPr>
        <w:adjustRightInd/>
        <w:snapToGrid w:val="0"/>
        <w:spacing w:line="360" w:lineRule="auto"/>
        <w:ind w:firstLine="424" w:firstLineChars="177"/>
        <w:rPr>
          <w:rFonts w:hint="eastAsia" w:ascii="宋体" w:hAnsi="宋体" w:cs="宋体"/>
          <w:kern w:val="0"/>
          <w:sz w:val="24"/>
          <w:lang w:val="zh-CN"/>
        </w:rPr>
      </w:pPr>
      <w:r>
        <w:rPr>
          <w:rFonts w:hint="eastAsia" w:ascii="宋体" w:hAnsi="宋体" w:cs="仿宋_GB2312"/>
          <w:snapToGrid w:val="0"/>
          <w:kern w:val="0"/>
          <w:sz w:val="24"/>
          <w:szCs w:val="20"/>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djustRightInd/>
        <w:snapToGrid w:val="0"/>
        <w:spacing w:line="336" w:lineRule="auto"/>
        <w:ind w:firstLine="4915" w:firstLineChars="2048"/>
        <w:rPr>
          <w:rFonts w:hint="eastAsia" w:ascii="宋体" w:hAnsi="宋体" w:cs="宋体"/>
          <w:kern w:val="0"/>
          <w:sz w:val="24"/>
          <w:lang w:val="zh-CN"/>
        </w:rPr>
      </w:pPr>
    </w:p>
    <w:p>
      <w:pPr>
        <w:adjustRightInd/>
        <w:snapToGrid w:val="0"/>
        <w:spacing w:line="336" w:lineRule="auto"/>
        <w:ind w:firstLine="4915" w:firstLineChars="2048"/>
        <w:rPr>
          <w:rFonts w:hint="eastAsia" w:ascii="宋体" w:hAnsi="宋体" w:cs="宋体"/>
          <w:kern w:val="0"/>
          <w:sz w:val="24"/>
          <w:lang w:val="zh-CN"/>
        </w:rPr>
      </w:pPr>
    </w:p>
    <w:p>
      <w:pPr>
        <w:adjustRightInd/>
        <w:snapToGrid w:val="0"/>
        <w:spacing w:line="336" w:lineRule="auto"/>
        <w:ind w:firstLine="4915" w:firstLineChars="2048"/>
        <w:rPr>
          <w:rFonts w:hint="eastAsia" w:ascii="宋体" w:hAnsi="宋体" w:cs="仿宋_GB2312"/>
          <w:snapToGrid w:val="0"/>
          <w:kern w:val="0"/>
          <w:sz w:val="24"/>
          <w:szCs w:val="20"/>
        </w:rPr>
      </w:pPr>
      <w:r>
        <w:rPr>
          <w:rFonts w:hint="eastAsia" w:ascii="宋体" w:hAnsi="宋体" w:cs="宋体"/>
          <w:kern w:val="0"/>
          <w:sz w:val="24"/>
          <w:lang w:val="zh-CN"/>
        </w:rPr>
        <w:t>投标供应商名称（</w:t>
      </w:r>
      <w:r>
        <w:rPr>
          <w:rFonts w:hint="eastAsia" w:ascii="宋体" w:hAnsi="宋体" w:cs="宋体"/>
          <w:sz w:val="24"/>
        </w:rPr>
        <w:t>电子签名</w:t>
      </w:r>
      <w:r>
        <w:rPr>
          <w:rFonts w:hint="eastAsia" w:ascii="宋体" w:hAnsi="宋体" w:cs="宋体"/>
          <w:kern w:val="0"/>
          <w:sz w:val="24"/>
          <w:lang w:val="zh-CN"/>
        </w:rPr>
        <w:t>）：</w:t>
      </w:r>
    </w:p>
    <w:p>
      <w:pPr>
        <w:spacing w:line="360" w:lineRule="auto"/>
        <w:jc w:val="center"/>
        <w:rPr>
          <w:rFonts w:hint="eastAsia" w:ascii="宋体" w:hAnsi="宋体" w:cs="宋体"/>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kern w:val="0"/>
          <w:sz w:val="36"/>
          <w:szCs w:val="36"/>
        </w:rPr>
      </w:pP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hint="eastAsia" w:ascii="宋体" w:hAnsi="宋体" w:cs="宋体"/>
          <w:b/>
          <w:kern w:val="0"/>
          <w:sz w:val="36"/>
          <w:szCs w:val="36"/>
        </w:rPr>
      </w:pPr>
    </w:p>
    <w:p>
      <w:pPr>
        <w:numPr>
          <w:ilvl w:val="0"/>
          <w:numId w:val="18"/>
        </w:numPr>
        <w:snapToGrid w:val="0"/>
        <w:spacing w:line="360" w:lineRule="auto"/>
        <w:rPr>
          <w:rFonts w:hint="eastAsia" w:ascii="宋体" w:hAnsi="宋体" w:cs="宋体"/>
          <w:sz w:val="24"/>
        </w:rPr>
      </w:pPr>
      <w:r>
        <w:rPr>
          <w:rFonts w:hint="eastAsia" w:ascii="宋体" w:hAnsi="宋体" w:cs="宋体"/>
          <w:sz w:val="24"/>
        </w:rPr>
        <w:t>开标一览表（报价表）………………………………………………………（页码）</w:t>
      </w:r>
    </w:p>
    <w:p>
      <w:pPr>
        <w:numPr>
          <w:ilvl w:val="0"/>
          <w:numId w:val="18"/>
        </w:numPr>
        <w:snapToGrid w:val="0"/>
        <w:spacing w:line="360" w:lineRule="auto"/>
        <w:rPr>
          <w:rFonts w:hint="eastAsia" w:ascii="宋体" w:hAnsi="宋体" w:cs="宋体"/>
          <w:sz w:val="24"/>
        </w:rPr>
      </w:pPr>
      <w:r>
        <w:rPr>
          <w:rFonts w:hint="eastAsia" w:ascii="宋体" w:hAnsi="宋体" w:cs="宋体"/>
          <w:sz w:val="24"/>
        </w:rPr>
        <w:t>报价明细表……………………………………………………………………（页码）</w:t>
      </w:r>
    </w:p>
    <w:p>
      <w:pPr>
        <w:numPr>
          <w:ilvl w:val="0"/>
          <w:numId w:val="18"/>
        </w:numPr>
        <w:snapToGrid w:val="0"/>
        <w:spacing w:line="360" w:lineRule="auto"/>
        <w:rPr>
          <w:rFonts w:hint="eastAsia" w:ascii="宋体" w:hAnsi="宋体" w:cs="宋体"/>
          <w:sz w:val="24"/>
        </w:rPr>
      </w:pPr>
      <w:r>
        <w:rPr>
          <w:rFonts w:hint="eastAsia" w:ascii="宋体" w:hAnsi="宋体" w:cs="宋体"/>
          <w:sz w:val="24"/>
        </w:rPr>
        <w:t>报价情况说明（如果有）……………………………………………………（页码）</w:t>
      </w:r>
    </w:p>
    <w:p>
      <w:pPr>
        <w:numPr>
          <w:ilvl w:val="0"/>
          <w:numId w:val="18"/>
        </w:numPr>
        <w:snapToGrid w:val="0"/>
        <w:spacing w:line="360" w:lineRule="auto"/>
        <w:rPr>
          <w:rFonts w:hint="eastAsia" w:ascii="宋体" w:hAnsi="宋体" w:cs="宋体"/>
          <w:sz w:val="24"/>
        </w:rPr>
      </w:pPr>
      <w:r>
        <w:rPr>
          <w:rFonts w:hint="eastAsia" w:ascii="宋体" w:hAnsi="宋体" w:cs="宋体"/>
          <w:sz w:val="24"/>
        </w:rPr>
        <w:t>中小企业声明函………………………………………………………………（页码）</w:t>
      </w: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cs="宋体"/>
          <w:kern w:val="0"/>
          <w:sz w:val="24"/>
        </w:rPr>
      </w:pPr>
      <w:r>
        <w:rPr>
          <w:rFonts w:hint="eastAsia" w:ascii="宋体" w:hAnsi="宋体" w:cs="宋体"/>
          <w:sz w:val="24"/>
        </w:rPr>
        <w:t>杭州第九中学树范学校、杭州洲源招标代理有限公司</w:t>
      </w:r>
      <w:r>
        <w:rPr>
          <w:rFonts w:hint="eastAsia" w:ascii="宋体" w:hAnsi="宋体" w:cs="宋体"/>
          <w:kern w:val="0"/>
          <w:sz w:val="24"/>
          <w:lang w:val="zh-CN"/>
        </w:rPr>
        <w:t>：</w:t>
      </w:r>
    </w:p>
    <w:p>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w:t>
      </w:r>
      <w:r>
        <w:rPr>
          <w:rFonts w:hint="eastAsia" w:ascii="宋体" w:hAnsi="宋体" w:cs="宋体"/>
          <w:kern w:val="0"/>
          <w:sz w:val="24"/>
          <w:u w:val="single"/>
        </w:rPr>
        <w:t xml:space="preserve"> </w:t>
      </w:r>
      <w:r>
        <w:rPr>
          <w:rFonts w:hint="eastAsia" w:ascii="宋体" w:hAnsi="宋体" w:cs="宋体"/>
          <w:kern w:val="0"/>
          <w:sz w:val="24"/>
          <w:u w:val="single"/>
          <w:lang w:val="zh-CN"/>
        </w:rPr>
        <w:t>（</w:t>
      </w:r>
      <w:r>
        <w:rPr>
          <w:rFonts w:hint="eastAsia" w:ascii="宋体" w:hAnsi="宋体" w:cs="宋体"/>
          <w:kern w:val="0"/>
          <w:sz w:val="24"/>
          <w:u w:val="single"/>
        </w:rPr>
        <w:t>投标人名称</w:t>
      </w:r>
      <w:r>
        <w:rPr>
          <w:rFonts w:hint="eastAsia" w:ascii="宋体" w:hAnsi="宋体" w:cs="宋体"/>
          <w:kern w:val="0"/>
          <w:sz w:val="24"/>
          <w:u w:val="single"/>
          <w:lang w:val="zh-CN"/>
        </w:rPr>
        <w:t>）</w:t>
      </w:r>
      <w:r>
        <w:rPr>
          <w:rFonts w:hint="eastAsia" w:ascii="宋体" w:hAnsi="宋体" w:cs="宋体"/>
          <w:kern w:val="0"/>
          <w:sz w:val="24"/>
          <w:u w:val="single"/>
        </w:rPr>
        <w:t xml:space="preserve">  </w:t>
      </w:r>
      <w:r>
        <w:rPr>
          <w:rFonts w:hint="eastAsia" w:ascii="宋体" w:hAnsi="宋体" w:cs="宋体"/>
          <w:kern w:val="0"/>
          <w:sz w:val="24"/>
          <w:lang w:val="zh-CN"/>
        </w:rPr>
        <w:t>，谨此向你方发出要约如下：如你方接受本投标，我方承诺按照如下开标一览表（报价表）的价格完成</w:t>
      </w:r>
      <w:r>
        <w:rPr>
          <w:rFonts w:hint="eastAsia" w:ascii="宋体" w:hAnsi="宋体" w:cs="宋体"/>
          <w:sz w:val="24"/>
        </w:rPr>
        <w:t xml:space="preserve">杭州第九中学树范学校计算机网络及网络安全系统采购项目 </w:t>
      </w:r>
      <w:r>
        <w:rPr>
          <w:rFonts w:hint="eastAsia" w:ascii="宋体" w:hAnsi="宋体" w:cs="宋体"/>
          <w:kern w:val="0"/>
          <w:sz w:val="24"/>
          <w:lang w:val="zh-CN"/>
        </w:rPr>
        <w:t>【项目编号：</w:t>
      </w:r>
      <w:r>
        <w:rPr>
          <w:rFonts w:hint="eastAsia" w:ascii="宋体" w:hAnsi="宋体" w:cs="宋体"/>
          <w:sz w:val="24"/>
        </w:rPr>
        <w:t xml:space="preserve"> ZYZB-GK-2025-004】的实施</w:t>
      </w:r>
      <w:r>
        <w:rPr>
          <w:rFonts w:hint="eastAsia" w:ascii="宋体" w:hAnsi="宋体" w:cs="宋体"/>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hint="eastAsia" w:ascii="宋体" w:hAnsi="宋体" w:cs="宋体"/>
                <w:b/>
                <w:sz w:val="24"/>
              </w:rPr>
            </w:pPr>
            <w:r>
              <w:rPr>
                <w:rFonts w:hint="eastAsia" w:ascii="宋体" w:hAnsi="宋体" w:cs="宋体"/>
                <w:b/>
                <w:sz w:val="24"/>
              </w:rPr>
              <w:t>名称</w:t>
            </w:r>
          </w:p>
        </w:tc>
        <w:tc>
          <w:tcPr>
            <w:tcW w:w="1842" w:type="dxa"/>
          </w:tcPr>
          <w:p>
            <w:pPr>
              <w:spacing w:line="360" w:lineRule="auto"/>
              <w:rPr>
                <w:rFonts w:hint="eastAsia" w:ascii="宋体" w:hAnsi="宋体" w:cs="宋体"/>
                <w:b/>
                <w:sz w:val="24"/>
              </w:rPr>
            </w:pPr>
            <w:r>
              <w:rPr>
                <w:rFonts w:hint="eastAsia" w:ascii="宋体" w:hAnsi="宋体" w:cs="宋体"/>
                <w:b/>
                <w:sz w:val="24"/>
              </w:rPr>
              <w:t>品牌（如果有）</w:t>
            </w:r>
          </w:p>
        </w:tc>
        <w:tc>
          <w:tcPr>
            <w:tcW w:w="3117" w:type="dxa"/>
            <w:vAlign w:val="center"/>
          </w:tcPr>
          <w:p>
            <w:pPr>
              <w:spacing w:line="360" w:lineRule="auto"/>
              <w:jc w:val="center"/>
              <w:rPr>
                <w:rFonts w:hint="eastAsia"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hint="eastAsia" w:ascii="宋体" w:hAnsi="宋体" w:cs="宋体"/>
                <w:b/>
                <w:sz w:val="24"/>
              </w:rPr>
            </w:pPr>
            <w:r>
              <w:rPr>
                <w:rFonts w:hint="eastAsia" w:ascii="宋体" w:hAnsi="宋体" w:cs="宋体"/>
                <w:b/>
                <w:sz w:val="24"/>
              </w:rPr>
              <w:t>数量</w:t>
            </w:r>
          </w:p>
        </w:tc>
        <w:tc>
          <w:tcPr>
            <w:tcW w:w="1558" w:type="dxa"/>
            <w:vAlign w:val="center"/>
          </w:tcPr>
          <w:p>
            <w:pPr>
              <w:spacing w:line="360" w:lineRule="auto"/>
              <w:jc w:val="center"/>
              <w:rPr>
                <w:rFonts w:hint="eastAsia" w:ascii="宋体" w:hAnsi="宋体" w:cs="宋体"/>
                <w:b/>
                <w:sz w:val="24"/>
              </w:rPr>
            </w:pPr>
            <w:r>
              <w:rPr>
                <w:rFonts w:hint="eastAsia" w:ascii="宋体" w:hAnsi="宋体" w:cs="宋体"/>
                <w:b/>
                <w:sz w:val="24"/>
              </w:rPr>
              <w:t>单价</w:t>
            </w:r>
          </w:p>
        </w:tc>
        <w:tc>
          <w:tcPr>
            <w:tcW w:w="1988" w:type="dxa"/>
            <w:vAlign w:val="center"/>
          </w:tcPr>
          <w:p>
            <w:pPr>
              <w:spacing w:line="360" w:lineRule="auto"/>
              <w:jc w:val="center"/>
              <w:rPr>
                <w:rFonts w:hint="eastAsia" w:ascii="宋体" w:hAnsi="宋体" w:cs="宋体"/>
                <w:b/>
                <w:sz w:val="24"/>
              </w:rPr>
            </w:pPr>
            <w:r>
              <w:rPr>
                <w:rFonts w:hint="eastAsia" w:ascii="宋体" w:hAnsi="宋体" w:cs="宋体"/>
                <w:b/>
                <w:sz w:val="24"/>
              </w:rPr>
              <w:t>合计</w:t>
            </w:r>
          </w:p>
        </w:tc>
        <w:tc>
          <w:tcPr>
            <w:tcW w:w="3118" w:type="dxa"/>
            <w:vAlign w:val="center"/>
          </w:tcPr>
          <w:p>
            <w:pPr>
              <w:spacing w:line="360" w:lineRule="auto"/>
              <w:jc w:val="center"/>
              <w:rPr>
                <w:rFonts w:hint="eastAsia" w:ascii="宋体" w:hAnsi="宋体" w:cs="宋体"/>
                <w:b/>
                <w:sz w:val="24"/>
              </w:rPr>
            </w:pPr>
            <w:r>
              <w:rPr>
                <w:rFonts w:hint="eastAsia" w:ascii="宋体" w:hAnsi="宋体" w:cs="宋体"/>
                <w:b/>
                <w:bCs/>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2" w:type="dxa"/>
            <w:vAlign w:val="center"/>
          </w:tcPr>
          <w:p>
            <w:pPr>
              <w:snapToGrid w:val="0"/>
              <w:spacing w:line="360" w:lineRule="auto"/>
              <w:jc w:val="center"/>
              <w:rPr>
                <w:rFonts w:hint="eastAsia" w:ascii="宋体" w:hAnsi="宋体" w:cs="宋体"/>
                <w:sz w:val="24"/>
              </w:rPr>
            </w:pPr>
          </w:p>
        </w:tc>
        <w:tc>
          <w:tcPr>
            <w:tcW w:w="3117" w:type="dxa"/>
            <w:vAlign w:val="center"/>
          </w:tcPr>
          <w:p>
            <w:pPr>
              <w:snapToGrid w:val="0"/>
              <w:spacing w:line="360" w:lineRule="auto"/>
              <w:jc w:val="center"/>
              <w:rPr>
                <w:rFonts w:hint="eastAsia" w:ascii="宋体" w:hAnsi="宋体" w:cs="宋体"/>
                <w:sz w:val="24"/>
              </w:rPr>
            </w:pPr>
          </w:p>
        </w:tc>
        <w:tc>
          <w:tcPr>
            <w:tcW w:w="993" w:type="dxa"/>
            <w:vAlign w:val="center"/>
          </w:tcPr>
          <w:p>
            <w:pPr>
              <w:snapToGrid w:val="0"/>
              <w:spacing w:line="360" w:lineRule="auto"/>
              <w:jc w:val="center"/>
              <w:rPr>
                <w:rFonts w:hint="eastAsia" w:ascii="宋体" w:hAnsi="宋体" w:cs="宋体"/>
                <w:sz w:val="24"/>
              </w:rPr>
            </w:pPr>
          </w:p>
        </w:tc>
        <w:tc>
          <w:tcPr>
            <w:tcW w:w="1558" w:type="dxa"/>
            <w:vAlign w:val="center"/>
          </w:tcPr>
          <w:p>
            <w:pPr>
              <w:spacing w:line="360" w:lineRule="auto"/>
              <w:jc w:val="center"/>
              <w:rPr>
                <w:rFonts w:hint="eastAsia" w:ascii="宋体" w:hAnsi="宋体" w:cs="宋体"/>
                <w:sz w:val="24"/>
              </w:rPr>
            </w:pPr>
          </w:p>
        </w:tc>
        <w:tc>
          <w:tcPr>
            <w:tcW w:w="1988" w:type="dxa"/>
            <w:vAlign w:val="center"/>
          </w:tcPr>
          <w:p>
            <w:pPr>
              <w:spacing w:line="360" w:lineRule="auto"/>
              <w:jc w:val="center"/>
              <w:rPr>
                <w:rFonts w:hint="eastAsia" w:ascii="宋体" w:hAnsi="宋体" w:cs="宋体"/>
                <w:sz w:val="24"/>
              </w:rPr>
            </w:pPr>
          </w:p>
        </w:tc>
        <w:tc>
          <w:tcPr>
            <w:tcW w:w="3118"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2" w:type="dxa"/>
            <w:vAlign w:val="center"/>
          </w:tcPr>
          <w:p>
            <w:pPr>
              <w:snapToGrid w:val="0"/>
              <w:spacing w:line="360" w:lineRule="auto"/>
              <w:jc w:val="center"/>
              <w:rPr>
                <w:rFonts w:hint="eastAsia" w:ascii="宋体" w:hAnsi="宋体" w:cs="宋体"/>
                <w:sz w:val="24"/>
              </w:rPr>
            </w:pPr>
          </w:p>
        </w:tc>
        <w:tc>
          <w:tcPr>
            <w:tcW w:w="3117" w:type="dxa"/>
            <w:vAlign w:val="center"/>
          </w:tcPr>
          <w:p>
            <w:pPr>
              <w:snapToGrid w:val="0"/>
              <w:spacing w:line="360" w:lineRule="auto"/>
              <w:jc w:val="center"/>
              <w:rPr>
                <w:rFonts w:hint="eastAsia" w:ascii="宋体" w:hAnsi="宋体" w:cs="宋体"/>
                <w:sz w:val="24"/>
              </w:rPr>
            </w:pPr>
          </w:p>
        </w:tc>
        <w:tc>
          <w:tcPr>
            <w:tcW w:w="993" w:type="dxa"/>
            <w:vAlign w:val="center"/>
          </w:tcPr>
          <w:p>
            <w:pPr>
              <w:snapToGrid w:val="0"/>
              <w:spacing w:line="360" w:lineRule="auto"/>
              <w:jc w:val="center"/>
              <w:rPr>
                <w:rFonts w:hint="eastAsia" w:ascii="宋体" w:hAnsi="宋体" w:cs="宋体"/>
                <w:sz w:val="24"/>
              </w:rPr>
            </w:pPr>
          </w:p>
        </w:tc>
        <w:tc>
          <w:tcPr>
            <w:tcW w:w="1558" w:type="dxa"/>
            <w:vAlign w:val="center"/>
          </w:tcPr>
          <w:p>
            <w:pPr>
              <w:spacing w:line="360" w:lineRule="auto"/>
              <w:jc w:val="center"/>
              <w:rPr>
                <w:rFonts w:hint="eastAsia" w:ascii="宋体" w:hAnsi="宋体" w:cs="宋体"/>
                <w:sz w:val="24"/>
              </w:rPr>
            </w:pPr>
          </w:p>
        </w:tc>
        <w:tc>
          <w:tcPr>
            <w:tcW w:w="1988" w:type="dxa"/>
            <w:vAlign w:val="center"/>
          </w:tcPr>
          <w:p>
            <w:pPr>
              <w:spacing w:line="360" w:lineRule="auto"/>
              <w:jc w:val="center"/>
              <w:rPr>
                <w:rFonts w:hint="eastAsia" w:ascii="宋体" w:hAnsi="宋体" w:cs="宋体"/>
                <w:sz w:val="24"/>
              </w:rPr>
            </w:pPr>
          </w:p>
        </w:tc>
        <w:tc>
          <w:tcPr>
            <w:tcW w:w="3118"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hint="eastAsia" w:ascii="宋体" w:hAnsi="宋体" w:cs="宋体"/>
                <w:sz w:val="24"/>
              </w:rPr>
            </w:pPr>
          </w:p>
        </w:tc>
        <w:tc>
          <w:tcPr>
            <w:tcW w:w="1842" w:type="dxa"/>
            <w:vAlign w:val="center"/>
          </w:tcPr>
          <w:p>
            <w:pPr>
              <w:snapToGrid w:val="0"/>
              <w:spacing w:line="360" w:lineRule="auto"/>
              <w:jc w:val="center"/>
              <w:rPr>
                <w:rFonts w:hint="eastAsia" w:ascii="宋体" w:hAnsi="宋体" w:cs="宋体"/>
                <w:sz w:val="24"/>
              </w:rPr>
            </w:pPr>
          </w:p>
        </w:tc>
        <w:tc>
          <w:tcPr>
            <w:tcW w:w="3117" w:type="dxa"/>
            <w:vAlign w:val="center"/>
          </w:tcPr>
          <w:p>
            <w:pPr>
              <w:snapToGrid w:val="0"/>
              <w:spacing w:line="360" w:lineRule="auto"/>
              <w:jc w:val="center"/>
              <w:rPr>
                <w:rFonts w:hint="eastAsia" w:ascii="宋体" w:hAnsi="宋体" w:cs="宋体"/>
                <w:sz w:val="24"/>
              </w:rPr>
            </w:pPr>
          </w:p>
        </w:tc>
        <w:tc>
          <w:tcPr>
            <w:tcW w:w="993" w:type="dxa"/>
            <w:vAlign w:val="center"/>
          </w:tcPr>
          <w:p>
            <w:pPr>
              <w:snapToGrid w:val="0"/>
              <w:spacing w:line="360" w:lineRule="auto"/>
              <w:jc w:val="center"/>
              <w:rPr>
                <w:rFonts w:hint="eastAsia" w:ascii="宋体" w:hAnsi="宋体" w:cs="宋体"/>
                <w:sz w:val="24"/>
              </w:rPr>
            </w:pPr>
          </w:p>
        </w:tc>
        <w:tc>
          <w:tcPr>
            <w:tcW w:w="1558" w:type="dxa"/>
            <w:vAlign w:val="center"/>
          </w:tcPr>
          <w:p>
            <w:pPr>
              <w:spacing w:line="360" w:lineRule="auto"/>
              <w:jc w:val="center"/>
              <w:rPr>
                <w:rFonts w:hint="eastAsia" w:ascii="宋体" w:hAnsi="宋体" w:cs="宋体"/>
                <w:sz w:val="24"/>
              </w:rPr>
            </w:pPr>
          </w:p>
        </w:tc>
        <w:tc>
          <w:tcPr>
            <w:tcW w:w="1988" w:type="dxa"/>
            <w:vAlign w:val="center"/>
          </w:tcPr>
          <w:p>
            <w:pPr>
              <w:spacing w:line="360" w:lineRule="auto"/>
              <w:jc w:val="center"/>
              <w:rPr>
                <w:rFonts w:hint="eastAsia" w:ascii="宋体" w:hAnsi="宋体" w:cs="宋体"/>
                <w:sz w:val="24"/>
              </w:rPr>
            </w:pPr>
          </w:p>
        </w:tc>
        <w:tc>
          <w:tcPr>
            <w:tcW w:w="3118" w:type="dxa"/>
            <w:vAlign w:val="center"/>
          </w:tcPr>
          <w:p>
            <w:pPr>
              <w:spacing w:line="360" w:lineRule="auto"/>
              <w:jc w:val="center"/>
              <w:rPr>
                <w:rFonts w:hint="eastAsia" w:ascii="宋体" w:hAnsi="宋体" w:cs="宋体"/>
                <w:sz w:val="24"/>
              </w:rPr>
            </w:pPr>
            <w:r>
              <w:rPr>
                <w:rFonts w:hint="eastAsia" w:ascii="宋体" w:hAnsi="宋体" w:cs="宋体"/>
                <w:sz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pPr>
              <w:spacing w:line="360" w:lineRule="auto"/>
              <w:jc w:val="center"/>
              <w:rPr>
                <w:rFonts w:hint="eastAsia" w:ascii="宋体" w:hAnsi="宋体" w:cs="宋体"/>
                <w:sz w:val="24"/>
              </w:rPr>
            </w:pPr>
          </w:p>
        </w:tc>
        <w:tc>
          <w:tcPr>
            <w:tcW w:w="1417" w:type="dxa"/>
            <w:vAlign w:val="center"/>
          </w:tcPr>
          <w:p>
            <w:pPr>
              <w:snapToGrid w:val="0"/>
              <w:spacing w:line="360" w:lineRule="auto"/>
              <w:jc w:val="center"/>
              <w:rPr>
                <w:rFonts w:hint="eastAsia" w:ascii="宋体" w:hAnsi="宋体" w:cs="宋体"/>
                <w:sz w:val="24"/>
              </w:rPr>
            </w:pPr>
          </w:p>
        </w:tc>
        <w:tc>
          <w:tcPr>
            <w:tcW w:w="1842" w:type="dxa"/>
            <w:vAlign w:val="center"/>
          </w:tcPr>
          <w:p>
            <w:pPr>
              <w:snapToGrid w:val="0"/>
              <w:spacing w:line="360" w:lineRule="auto"/>
              <w:jc w:val="center"/>
              <w:rPr>
                <w:rFonts w:hint="eastAsia" w:ascii="宋体" w:hAnsi="宋体" w:cs="宋体"/>
                <w:sz w:val="24"/>
              </w:rPr>
            </w:pPr>
          </w:p>
        </w:tc>
        <w:tc>
          <w:tcPr>
            <w:tcW w:w="3117" w:type="dxa"/>
            <w:vAlign w:val="center"/>
          </w:tcPr>
          <w:p>
            <w:pPr>
              <w:snapToGrid w:val="0"/>
              <w:spacing w:line="360" w:lineRule="auto"/>
              <w:jc w:val="center"/>
              <w:rPr>
                <w:rFonts w:hint="eastAsia" w:ascii="宋体" w:hAnsi="宋体" w:cs="宋体"/>
                <w:sz w:val="24"/>
              </w:rPr>
            </w:pPr>
          </w:p>
        </w:tc>
        <w:tc>
          <w:tcPr>
            <w:tcW w:w="993" w:type="dxa"/>
            <w:vAlign w:val="center"/>
          </w:tcPr>
          <w:p>
            <w:pPr>
              <w:snapToGrid w:val="0"/>
              <w:spacing w:line="360" w:lineRule="auto"/>
              <w:jc w:val="center"/>
              <w:rPr>
                <w:rFonts w:hint="eastAsia" w:ascii="宋体" w:hAnsi="宋体" w:cs="宋体"/>
                <w:sz w:val="24"/>
              </w:rPr>
            </w:pPr>
          </w:p>
        </w:tc>
        <w:tc>
          <w:tcPr>
            <w:tcW w:w="1558" w:type="dxa"/>
            <w:vAlign w:val="center"/>
          </w:tcPr>
          <w:p>
            <w:pPr>
              <w:spacing w:line="360" w:lineRule="auto"/>
              <w:jc w:val="center"/>
              <w:rPr>
                <w:rFonts w:hint="eastAsia" w:ascii="宋体" w:hAnsi="宋体" w:cs="宋体"/>
                <w:sz w:val="24"/>
              </w:rPr>
            </w:pPr>
          </w:p>
        </w:tc>
        <w:tc>
          <w:tcPr>
            <w:tcW w:w="1988" w:type="dxa"/>
            <w:vAlign w:val="center"/>
          </w:tcPr>
          <w:p>
            <w:pPr>
              <w:spacing w:line="360" w:lineRule="auto"/>
              <w:jc w:val="center"/>
              <w:rPr>
                <w:rFonts w:hint="eastAsia" w:ascii="宋体" w:hAnsi="宋体" w:cs="宋体"/>
                <w:sz w:val="24"/>
              </w:rPr>
            </w:pPr>
          </w:p>
        </w:tc>
        <w:tc>
          <w:tcPr>
            <w:tcW w:w="3118"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763" w:type="dxa"/>
            <w:vAlign w:val="center"/>
          </w:tcPr>
          <w:p>
            <w:pPr>
              <w:spacing w:line="360" w:lineRule="auto"/>
              <w:jc w:val="center"/>
              <w:rPr>
                <w:rFonts w:hint="eastAsia" w:ascii="宋体" w:hAnsi="宋体" w:cs="宋体"/>
                <w:sz w:val="24"/>
              </w:rPr>
            </w:pPr>
          </w:p>
        </w:tc>
        <w:tc>
          <w:tcPr>
            <w:tcW w:w="1417" w:type="dxa"/>
            <w:vAlign w:val="center"/>
          </w:tcPr>
          <w:p>
            <w:pPr>
              <w:snapToGrid w:val="0"/>
              <w:spacing w:line="360" w:lineRule="auto"/>
              <w:jc w:val="center"/>
              <w:rPr>
                <w:rFonts w:hint="eastAsia" w:ascii="宋体" w:hAnsi="宋体" w:cs="宋体"/>
                <w:sz w:val="24"/>
              </w:rPr>
            </w:pPr>
          </w:p>
        </w:tc>
        <w:tc>
          <w:tcPr>
            <w:tcW w:w="1842" w:type="dxa"/>
            <w:vAlign w:val="center"/>
          </w:tcPr>
          <w:p>
            <w:pPr>
              <w:snapToGrid w:val="0"/>
              <w:spacing w:line="360" w:lineRule="auto"/>
              <w:jc w:val="center"/>
              <w:rPr>
                <w:rFonts w:hint="eastAsia" w:ascii="宋体" w:hAnsi="宋体" w:cs="宋体"/>
                <w:sz w:val="24"/>
              </w:rPr>
            </w:pPr>
          </w:p>
        </w:tc>
        <w:tc>
          <w:tcPr>
            <w:tcW w:w="3117" w:type="dxa"/>
            <w:vAlign w:val="center"/>
          </w:tcPr>
          <w:p>
            <w:pPr>
              <w:snapToGrid w:val="0"/>
              <w:spacing w:line="360" w:lineRule="auto"/>
              <w:jc w:val="center"/>
              <w:rPr>
                <w:rFonts w:hint="eastAsia" w:ascii="宋体" w:hAnsi="宋体" w:cs="宋体"/>
                <w:sz w:val="24"/>
              </w:rPr>
            </w:pPr>
          </w:p>
        </w:tc>
        <w:tc>
          <w:tcPr>
            <w:tcW w:w="993" w:type="dxa"/>
            <w:vAlign w:val="center"/>
          </w:tcPr>
          <w:p>
            <w:pPr>
              <w:snapToGrid w:val="0"/>
              <w:spacing w:line="360" w:lineRule="auto"/>
              <w:jc w:val="center"/>
              <w:rPr>
                <w:rFonts w:hint="eastAsia" w:ascii="宋体" w:hAnsi="宋体" w:cs="宋体"/>
                <w:sz w:val="24"/>
              </w:rPr>
            </w:pPr>
          </w:p>
        </w:tc>
        <w:tc>
          <w:tcPr>
            <w:tcW w:w="1558" w:type="dxa"/>
            <w:vAlign w:val="center"/>
          </w:tcPr>
          <w:p>
            <w:pPr>
              <w:spacing w:line="360" w:lineRule="auto"/>
              <w:jc w:val="center"/>
              <w:rPr>
                <w:rFonts w:hint="eastAsia" w:ascii="宋体" w:hAnsi="宋体" w:cs="宋体"/>
                <w:sz w:val="24"/>
              </w:rPr>
            </w:pPr>
          </w:p>
        </w:tc>
        <w:tc>
          <w:tcPr>
            <w:tcW w:w="1988" w:type="dxa"/>
            <w:vAlign w:val="center"/>
          </w:tcPr>
          <w:p>
            <w:pPr>
              <w:spacing w:line="360" w:lineRule="auto"/>
              <w:jc w:val="center"/>
              <w:rPr>
                <w:rFonts w:hint="eastAsia" w:ascii="宋体" w:hAnsi="宋体" w:cs="宋体"/>
                <w:sz w:val="24"/>
              </w:rPr>
            </w:pPr>
          </w:p>
        </w:tc>
        <w:tc>
          <w:tcPr>
            <w:tcW w:w="3118" w:type="dxa"/>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pPr>
              <w:spacing w:line="360" w:lineRule="auto"/>
              <w:jc w:val="center"/>
              <w:rPr>
                <w:rFonts w:hint="eastAsia" w:ascii="宋体" w:hAnsi="宋体" w:cs="宋体"/>
                <w:b/>
                <w:sz w:val="24"/>
              </w:rPr>
            </w:pPr>
            <w:r>
              <w:rPr>
                <w:rFonts w:hint="eastAsia" w:ascii="宋体" w:hAnsi="宋体" w:cs="宋体"/>
                <w:b/>
                <w:sz w:val="24"/>
              </w:rPr>
              <w:t>投标报价（小写）</w:t>
            </w:r>
          </w:p>
        </w:tc>
        <w:tc>
          <w:tcPr>
            <w:tcW w:w="7656" w:type="dxa"/>
            <w:gridSpan w:val="4"/>
            <w:vAlign w:val="center"/>
          </w:tcPr>
          <w:p>
            <w:pPr>
              <w:spacing w:line="360" w:lineRule="auto"/>
              <w:jc w:val="center"/>
              <w:rPr>
                <w:rFonts w:hint="eastAsia" w:ascii="宋体" w:hAnsi="宋体" w:cs="宋体"/>
                <w:sz w:val="24"/>
              </w:rPr>
            </w:pPr>
          </w:p>
        </w:tc>
        <w:tc>
          <w:tcPr>
            <w:tcW w:w="3118" w:type="dxa"/>
            <w:vAlign w:val="center"/>
          </w:tcPr>
          <w:p>
            <w:pPr>
              <w:spacing w:line="360" w:lineRule="auto"/>
              <w:jc w:val="center"/>
              <w:rPr>
                <w:rFonts w:hint="eastAsia" w:ascii="宋体" w:hAnsi="宋体" w:cs="宋体"/>
                <w:sz w:val="24"/>
              </w:rPr>
            </w:pPr>
            <w:r>
              <w:rPr>
                <w:rFonts w:hint="eastAsia" w:ascii="宋体" w:hAnsi="宋体" w:cs="宋体"/>
                <w:sz w:val="24"/>
              </w:rPr>
              <w:t>实施期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pPr>
              <w:spacing w:line="360" w:lineRule="auto"/>
              <w:jc w:val="center"/>
              <w:rPr>
                <w:rFonts w:hint="eastAsia" w:ascii="宋体" w:hAnsi="宋体" w:cs="宋体"/>
                <w:b/>
                <w:sz w:val="24"/>
              </w:rPr>
            </w:pPr>
            <w:r>
              <w:rPr>
                <w:rFonts w:hint="eastAsia" w:ascii="宋体" w:hAnsi="宋体" w:cs="宋体"/>
                <w:b/>
                <w:sz w:val="24"/>
              </w:rPr>
              <w:t>投标报价（大写）</w:t>
            </w:r>
          </w:p>
        </w:tc>
        <w:tc>
          <w:tcPr>
            <w:tcW w:w="7656" w:type="dxa"/>
            <w:gridSpan w:val="4"/>
            <w:vAlign w:val="center"/>
          </w:tcPr>
          <w:p>
            <w:pPr>
              <w:spacing w:line="360" w:lineRule="auto"/>
              <w:jc w:val="center"/>
              <w:rPr>
                <w:rFonts w:hint="eastAsia" w:ascii="宋体" w:hAnsi="宋体" w:cs="宋体"/>
                <w:sz w:val="24"/>
              </w:rPr>
            </w:pPr>
          </w:p>
        </w:tc>
        <w:tc>
          <w:tcPr>
            <w:tcW w:w="3118" w:type="dxa"/>
            <w:vAlign w:val="center"/>
          </w:tcPr>
          <w:p>
            <w:pPr>
              <w:spacing w:line="360" w:lineRule="auto"/>
              <w:jc w:val="center"/>
              <w:rPr>
                <w:rFonts w:hint="eastAsia" w:ascii="宋体" w:hAnsi="宋体" w:cs="宋体"/>
                <w:sz w:val="24"/>
              </w:rPr>
            </w:pPr>
          </w:p>
        </w:tc>
      </w:tr>
    </w:tbl>
    <w:p>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hint="eastAsia" w:ascii="宋体" w:hAnsi="宋体" w:cs="宋体"/>
          <w:kern w:val="0"/>
          <w:sz w:val="24"/>
        </w:rPr>
      </w:pPr>
      <w:r>
        <w:rPr>
          <w:rFonts w:hint="eastAsia" w:ascii="宋体" w:hAnsi="宋体" w:cs="宋体"/>
          <w:kern w:val="0"/>
          <w:sz w:val="24"/>
          <w:lang w:val="zh-CN"/>
        </w:rPr>
        <w:t>1、投标供应商需按本表格式填写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b/>
          <w:kern w:val="0"/>
          <w:sz w:val="24"/>
        </w:rPr>
        <w:t>若上述表格不足以说明报价情况，可附报价明细表做进一步补充说明；</w:t>
      </w:r>
    </w:p>
    <w:p>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bCs/>
          <w:kern w:val="0"/>
          <w:sz w:val="24"/>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kern w:val="0"/>
          <w:sz w:val="24"/>
          <w:lang w:val="zh-CN"/>
        </w:rPr>
        <w:t>采购内容未包含在《开标一览表（报价表）》名称栏中，投标供应商不能作出合理解释的，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rPr>
        <w:t>项目经理应与商务技术文件中一致</w:t>
      </w:r>
      <w:r>
        <w:rPr>
          <w:rFonts w:hint="eastAsia" w:ascii="宋体" w:hAnsi="宋体" w:cs="宋体"/>
          <w:kern w:val="0"/>
          <w:sz w:val="24"/>
          <w:lang w:val="zh-CN"/>
        </w:rPr>
        <w:t>。</w:t>
      </w:r>
    </w:p>
    <w:p>
      <w:pPr>
        <w:pStyle w:val="3"/>
        <w:rPr>
          <w:lang w:val="zh-CN"/>
        </w:rPr>
      </w:pPr>
    </w:p>
    <w:p>
      <w:pPr>
        <w:spacing w:line="360" w:lineRule="auto"/>
        <w:ind w:firstLine="482" w:firstLineChars="200"/>
        <w:rPr>
          <w:rFonts w:hint="eastAsia" w:ascii="宋体" w:hAnsi="宋体" w:cs="宋体"/>
          <w:b/>
          <w:kern w:val="0"/>
          <w:sz w:val="24"/>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二、报价情况说明（如果有）</w:t>
      </w:r>
    </w:p>
    <w:p>
      <w:pPr>
        <w:pStyle w:val="691"/>
        <w:keepNext w:val="0"/>
        <w:pageBreakBefore w:val="0"/>
        <w:tabs>
          <w:tab w:val="clear" w:pos="720"/>
        </w:tabs>
        <w:snapToGrid w:val="0"/>
        <w:spacing w:before="120" w:after="120"/>
        <w:outlineLvl w:val="9"/>
        <w:rPr>
          <w:rFonts w:hint="eastAsia" w:ascii="宋体" w:hAnsi="宋体" w:eastAsia="宋体" w:cs="宋体"/>
          <w:kern w:val="2"/>
          <w:sz w:val="32"/>
          <w:szCs w:val="32"/>
        </w:rPr>
      </w:pPr>
    </w:p>
    <w:p>
      <w:pPr>
        <w:pStyle w:val="691"/>
        <w:keepNext w:val="0"/>
        <w:pageBreakBefore w:val="0"/>
        <w:tabs>
          <w:tab w:val="clear" w:pos="720"/>
        </w:tabs>
        <w:snapToGrid w:val="0"/>
        <w:spacing w:before="120" w:after="120"/>
        <w:outlineLvl w:val="9"/>
        <w:rPr>
          <w:rFonts w:hint="eastAsia" w:ascii="宋体" w:hAnsi="宋体" w:eastAsia="宋体" w:cs="宋体"/>
          <w:kern w:val="2"/>
          <w:sz w:val="32"/>
          <w:szCs w:val="32"/>
        </w:rPr>
      </w:pPr>
    </w:p>
    <w:p>
      <w:pPr>
        <w:pStyle w:val="69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三、报价明细表</w:t>
      </w:r>
    </w:p>
    <w:p>
      <w:pPr>
        <w:pStyle w:val="691"/>
        <w:keepNext w:val="0"/>
        <w:pageBreakBefore w:val="0"/>
        <w:tabs>
          <w:tab w:val="clear" w:pos="720"/>
        </w:tabs>
        <w:snapToGrid w:val="0"/>
        <w:spacing w:before="120" w:after="120"/>
        <w:outlineLvl w:val="9"/>
        <w:rPr>
          <w:rFonts w:hint="eastAsia" w:ascii="宋体" w:hAnsi="宋体" w:eastAsia="宋体" w:cs="宋体"/>
          <w:kern w:val="2"/>
          <w:sz w:val="28"/>
          <w:szCs w:val="28"/>
        </w:rPr>
      </w:pPr>
      <w:r>
        <w:rPr>
          <w:rFonts w:hint="eastAsia" w:ascii="宋体" w:hAnsi="宋体" w:eastAsia="宋体" w:cs="宋体"/>
          <w:kern w:val="2"/>
          <w:sz w:val="28"/>
          <w:szCs w:val="28"/>
        </w:rPr>
        <w:t>（对</w:t>
      </w:r>
      <w:r>
        <w:rPr>
          <w:rFonts w:hint="eastAsia" w:ascii="宋体" w:hAnsi="宋体" w:eastAsia="宋体" w:cs="宋体"/>
          <w:kern w:val="2"/>
          <w:sz w:val="28"/>
          <w:szCs w:val="28"/>
          <w:lang w:val="zh-CN"/>
        </w:rPr>
        <w:t>开标一览表报价组成做补充说明，</w:t>
      </w:r>
      <w:r>
        <w:rPr>
          <w:rFonts w:hint="eastAsia" w:ascii="宋体" w:hAnsi="宋体" w:eastAsia="宋体" w:cs="宋体"/>
          <w:kern w:val="2"/>
          <w:sz w:val="28"/>
          <w:szCs w:val="28"/>
        </w:rPr>
        <w:t>格式可自拟）</w:t>
      </w:r>
    </w:p>
    <w:tbl>
      <w:tblPr>
        <w:tblStyle w:val="63"/>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849"/>
        <w:gridCol w:w="1909"/>
        <w:gridCol w:w="1295"/>
        <w:gridCol w:w="137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1"/>
              <w:keepNext w:val="0"/>
              <w:pageBreakBefore w:val="0"/>
              <w:tabs>
                <w:tab w:val="clear" w:pos="720"/>
              </w:tabs>
              <w:snapToGrid w:val="0"/>
              <w:spacing w:before="120" w:after="120" w:line="240" w:lineRule="auto"/>
              <w:outlineLvl w:val="9"/>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1849" w:type="dxa"/>
          </w:tcPr>
          <w:p>
            <w:pPr>
              <w:pStyle w:val="691"/>
              <w:keepNext w:val="0"/>
              <w:pageBreakBefore w:val="0"/>
              <w:tabs>
                <w:tab w:val="clear" w:pos="720"/>
              </w:tabs>
              <w:snapToGrid w:val="0"/>
              <w:spacing w:before="120" w:after="120" w:line="240" w:lineRule="auto"/>
              <w:outlineLvl w:val="9"/>
              <w:rPr>
                <w:rFonts w:hint="eastAsia" w:ascii="宋体" w:hAnsi="宋体" w:eastAsia="宋体" w:cs="宋体"/>
                <w:kern w:val="2"/>
                <w:sz w:val="24"/>
                <w:szCs w:val="24"/>
              </w:rPr>
            </w:pPr>
            <w:r>
              <w:rPr>
                <w:rFonts w:hint="eastAsia" w:ascii="宋体" w:hAnsi="宋体" w:eastAsia="宋体" w:cs="宋体"/>
                <w:kern w:val="2"/>
                <w:sz w:val="24"/>
                <w:szCs w:val="24"/>
              </w:rPr>
              <w:t>产品名称/规格型号</w:t>
            </w:r>
          </w:p>
        </w:tc>
        <w:tc>
          <w:tcPr>
            <w:tcW w:w="1909" w:type="dxa"/>
          </w:tcPr>
          <w:p>
            <w:pPr>
              <w:pStyle w:val="691"/>
              <w:keepNext w:val="0"/>
              <w:pageBreakBefore w:val="0"/>
              <w:tabs>
                <w:tab w:val="clear" w:pos="720"/>
              </w:tabs>
              <w:snapToGrid w:val="0"/>
              <w:spacing w:before="120" w:after="120" w:line="240" w:lineRule="auto"/>
              <w:outlineLvl w:val="9"/>
              <w:rPr>
                <w:rFonts w:hint="eastAsia" w:ascii="宋体" w:hAnsi="宋体" w:eastAsia="宋体" w:cs="宋体"/>
                <w:kern w:val="2"/>
                <w:sz w:val="24"/>
                <w:szCs w:val="24"/>
              </w:rPr>
            </w:pPr>
            <w:r>
              <w:rPr>
                <w:rFonts w:hint="eastAsia" w:ascii="宋体" w:hAnsi="宋体" w:eastAsia="宋体" w:cs="宋体"/>
                <w:kern w:val="2"/>
                <w:sz w:val="24"/>
                <w:szCs w:val="24"/>
              </w:rPr>
              <w:t>详细描述</w:t>
            </w:r>
          </w:p>
        </w:tc>
        <w:tc>
          <w:tcPr>
            <w:tcW w:w="1295" w:type="dxa"/>
          </w:tcPr>
          <w:p>
            <w:pPr>
              <w:pStyle w:val="691"/>
              <w:keepNext w:val="0"/>
              <w:pageBreakBefore w:val="0"/>
              <w:tabs>
                <w:tab w:val="clear" w:pos="720"/>
              </w:tabs>
              <w:snapToGrid w:val="0"/>
              <w:spacing w:before="120" w:after="120" w:line="240" w:lineRule="auto"/>
              <w:outlineLvl w:val="9"/>
              <w:rPr>
                <w:rFonts w:hint="eastAsia" w:ascii="宋体" w:hAnsi="宋体" w:eastAsia="宋体" w:cs="宋体"/>
                <w:kern w:val="2"/>
                <w:sz w:val="24"/>
                <w:szCs w:val="24"/>
              </w:rPr>
            </w:pPr>
            <w:r>
              <w:rPr>
                <w:rFonts w:hint="eastAsia" w:ascii="宋体" w:hAnsi="宋体" w:eastAsia="宋体" w:cs="宋体"/>
                <w:kern w:val="2"/>
                <w:sz w:val="24"/>
                <w:szCs w:val="24"/>
              </w:rPr>
              <w:t>单价</w:t>
            </w:r>
          </w:p>
        </w:tc>
        <w:tc>
          <w:tcPr>
            <w:tcW w:w="1375" w:type="dxa"/>
          </w:tcPr>
          <w:p>
            <w:pPr>
              <w:pStyle w:val="691"/>
              <w:keepNext w:val="0"/>
              <w:pageBreakBefore w:val="0"/>
              <w:tabs>
                <w:tab w:val="clear" w:pos="720"/>
              </w:tabs>
              <w:snapToGrid w:val="0"/>
              <w:spacing w:before="120" w:after="120" w:line="240" w:lineRule="auto"/>
              <w:outlineLvl w:val="9"/>
              <w:rPr>
                <w:rFonts w:hint="eastAsia" w:ascii="宋体" w:hAnsi="宋体" w:eastAsia="宋体" w:cs="宋体"/>
                <w:kern w:val="2"/>
                <w:sz w:val="24"/>
                <w:szCs w:val="24"/>
              </w:rPr>
            </w:pPr>
            <w:r>
              <w:rPr>
                <w:rFonts w:hint="eastAsia" w:ascii="宋体" w:hAnsi="宋体" w:eastAsia="宋体" w:cs="宋体"/>
                <w:kern w:val="2"/>
                <w:sz w:val="24"/>
                <w:szCs w:val="24"/>
              </w:rPr>
              <w:t>数量</w:t>
            </w:r>
          </w:p>
        </w:tc>
        <w:tc>
          <w:tcPr>
            <w:tcW w:w="1868" w:type="dxa"/>
          </w:tcPr>
          <w:p>
            <w:pPr>
              <w:pStyle w:val="691"/>
              <w:keepNext w:val="0"/>
              <w:pageBreakBefore w:val="0"/>
              <w:tabs>
                <w:tab w:val="clear" w:pos="720"/>
              </w:tabs>
              <w:snapToGrid w:val="0"/>
              <w:spacing w:before="120" w:after="120" w:line="240" w:lineRule="auto"/>
              <w:outlineLvl w:val="9"/>
              <w:rPr>
                <w:rFonts w:hint="eastAsia" w:ascii="宋体" w:hAnsi="宋体" w:eastAsia="宋体" w:cs="宋体"/>
                <w:kern w:val="2"/>
                <w:sz w:val="24"/>
                <w:szCs w:val="24"/>
              </w:rPr>
            </w:pPr>
            <w:r>
              <w:rPr>
                <w:rFonts w:hint="eastAsia" w:ascii="宋体" w:hAnsi="宋体" w:eastAsia="宋体" w:cs="宋体"/>
                <w:kern w:val="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1"/>
              <w:keepNext w:val="0"/>
              <w:pageBreakBefore w:val="0"/>
              <w:tabs>
                <w:tab w:val="clear" w:pos="720"/>
              </w:tabs>
              <w:snapToGrid w:val="0"/>
              <w:spacing w:before="120" w:after="120" w:line="240" w:lineRule="auto"/>
              <w:outlineLvl w:val="9"/>
              <w:rPr>
                <w:rFonts w:hint="eastAsia" w:ascii="宋体" w:hAnsi="宋体" w:eastAsia="宋体" w:cs="宋体"/>
                <w:b w:val="0"/>
                <w:bCs/>
                <w:kern w:val="2"/>
                <w:sz w:val="24"/>
                <w:szCs w:val="24"/>
              </w:rPr>
            </w:pPr>
            <w:r>
              <w:rPr>
                <w:rFonts w:hint="eastAsia" w:ascii="宋体" w:hAnsi="宋体" w:eastAsia="宋体" w:cs="宋体"/>
                <w:b w:val="0"/>
                <w:bCs/>
                <w:kern w:val="2"/>
                <w:sz w:val="24"/>
                <w:szCs w:val="24"/>
              </w:rPr>
              <w:t>1</w:t>
            </w:r>
          </w:p>
        </w:tc>
        <w:tc>
          <w:tcPr>
            <w:tcW w:w="1849"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b w:val="0"/>
                <w:bCs/>
                <w:kern w:val="2"/>
                <w:sz w:val="24"/>
                <w:szCs w:val="24"/>
              </w:rPr>
            </w:pPr>
          </w:p>
        </w:tc>
        <w:tc>
          <w:tcPr>
            <w:tcW w:w="1909"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b w:val="0"/>
                <w:bCs/>
                <w:kern w:val="2"/>
                <w:sz w:val="24"/>
                <w:szCs w:val="24"/>
              </w:rPr>
            </w:pPr>
          </w:p>
        </w:tc>
        <w:tc>
          <w:tcPr>
            <w:tcW w:w="1295"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c>
          <w:tcPr>
            <w:tcW w:w="1375"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c>
          <w:tcPr>
            <w:tcW w:w="1868"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1"/>
              <w:keepNext w:val="0"/>
              <w:pageBreakBefore w:val="0"/>
              <w:tabs>
                <w:tab w:val="clear" w:pos="720"/>
              </w:tabs>
              <w:snapToGrid w:val="0"/>
              <w:spacing w:before="120" w:after="120" w:line="240" w:lineRule="auto"/>
              <w:outlineLvl w:val="9"/>
              <w:rPr>
                <w:rFonts w:hint="eastAsia" w:ascii="宋体" w:hAnsi="宋体" w:eastAsia="宋体" w:cs="宋体"/>
                <w:b w:val="0"/>
                <w:bCs/>
                <w:kern w:val="2"/>
                <w:sz w:val="24"/>
                <w:szCs w:val="24"/>
              </w:rPr>
            </w:pPr>
            <w:r>
              <w:rPr>
                <w:rFonts w:hint="eastAsia" w:ascii="宋体" w:hAnsi="宋体" w:eastAsia="宋体" w:cs="宋体"/>
                <w:b w:val="0"/>
                <w:bCs/>
                <w:kern w:val="2"/>
                <w:sz w:val="24"/>
                <w:szCs w:val="24"/>
              </w:rPr>
              <w:t>2</w:t>
            </w:r>
          </w:p>
        </w:tc>
        <w:tc>
          <w:tcPr>
            <w:tcW w:w="1849"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b w:val="0"/>
                <w:bCs/>
                <w:kern w:val="2"/>
                <w:sz w:val="24"/>
                <w:szCs w:val="24"/>
              </w:rPr>
            </w:pPr>
          </w:p>
        </w:tc>
        <w:tc>
          <w:tcPr>
            <w:tcW w:w="1909"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b w:val="0"/>
                <w:bCs/>
                <w:kern w:val="2"/>
                <w:sz w:val="24"/>
                <w:szCs w:val="24"/>
              </w:rPr>
            </w:pPr>
          </w:p>
        </w:tc>
        <w:tc>
          <w:tcPr>
            <w:tcW w:w="1295"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c>
          <w:tcPr>
            <w:tcW w:w="1375"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c>
          <w:tcPr>
            <w:tcW w:w="1868"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1"/>
              <w:keepNext w:val="0"/>
              <w:pageBreakBefore w:val="0"/>
              <w:tabs>
                <w:tab w:val="clear" w:pos="720"/>
              </w:tabs>
              <w:snapToGrid w:val="0"/>
              <w:spacing w:before="120" w:after="120" w:line="240" w:lineRule="auto"/>
              <w:outlineLvl w:val="9"/>
              <w:rPr>
                <w:rFonts w:hint="eastAsia" w:ascii="宋体" w:hAnsi="宋体" w:eastAsia="宋体" w:cs="宋体"/>
                <w:b w:val="0"/>
                <w:bCs/>
                <w:kern w:val="2"/>
                <w:sz w:val="24"/>
                <w:szCs w:val="24"/>
              </w:rPr>
            </w:pPr>
            <w:r>
              <w:rPr>
                <w:rFonts w:hint="eastAsia" w:ascii="宋体" w:hAnsi="宋体" w:eastAsia="宋体" w:cs="宋体"/>
                <w:b w:val="0"/>
                <w:bCs/>
                <w:kern w:val="2"/>
                <w:sz w:val="24"/>
                <w:szCs w:val="24"/>
              </w:rPr>
              <w:t>3</w:t>
            </w:r>
          </w:p>
        </w:tc>
        <w:tc>
          <w:tcPr>
            <w:tcW w:w="1849"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b w:val="0"/>
                <w:bCs/>
                <w:kern w:val="2"/>
                <w:sz w:val="24"/>
                <w:szCs w:val="24"/>
              </w:rPr>
            </w:pPr>
          </w:p>
        </w:tc>
        <w:tc>
          <w:tcPr>
            <w:tcW w:w="1909"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b w:val="0"/>
                <w:bCs/>
                <w:kern w:val="2"/>
                <w:sz w:val="24"/>
                <w:szCs w:val="24"/>
              </w:rPr>
            </w:pPr>
          </w:p>
        </w:tc>
        <w:tc>
          <w:tcPr>
            <w:tcW w:w="1295"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c>
          <w:tcPr>
            <w:tcW w:w="1375"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c>
          <w:tcPr>
            <w:tcW w:w="1868"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pPr>
              <w:pStyle w:val="691"/>
              <w:keepNext w:val="0"/>
              <w:pageBreakBefore w:val="0"/>
              <w:tabs>
                <w:tab w:val="clear" w:pos="720"/>
              </w:tabs>
              <w:snapToGrid w:val="0"/>
              <w:spacing w:before="120" w:after="120" w:line="240" w:lineRule="auto"/>
              <w:outlineLvl w:val="9"/>
              <w:rPr>
                <w:rFonts w:hint="eastAsia" w:ascii="宋体" w:hAnsi="宋体" w:eastAsia="宋体" w:cs="宋体"/>
                <w:b w:val="0"/>
                <w:bCs/>
                <w:kern w:val="2"/>
                <w:sz w:val="24"/>
                <w:szCs w:val="24"/>
              </w:rPr>
            </w:pPr>
            <w:r>
              <w:rPr>
                <w:rFonts w:hint="eastAsia" w:ascii="宋体" w:hAnsi="宋体" w:eastAsia="宋体" w:cs="宋体"/>
                <w:b w:val="0"/>
                <w:bCs/>
                <w:kern w:val="2"/>
                <w:sz w:val="24"/>
                <w:szCs w:val="24"/>
              </w:rPr>
              <w:t>……</w:t>
            </w:r>
          </w:p>
        </w:tc>
        <w:tc>
          <w:tcPr>
            <w:tcW w:w="1849"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b w:val="0"/>
                <w:bCs/>
                <w:kern w:val="2"/>
                <w:sz w:val="24"/>
                <w:szCs w:val="24"/>
              </w:rPr>
            </w:pPr>
          </w:p>
        </w:tc>
        <w:tc>
          <w:tcPr>
            <w:tcW w:w="1909"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b w:val="0"/>
                <w:bCs/>
                <w:kern w:val="2"/>
                <w:sz w:val="24"/>
                <w:szCs w:val="24"/>
              </w:rPr>
            </w:pPr>
          </w:p>
        </w:tc>
        <w:tc>
          <w:tcPr>
            <w:tcW w:w="1295"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c>
          <w:tcPr>
            <w:tcW w:w="1375"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c>
          <w:tcPr>
            <w:tcW w:w="1868"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094" w:type="dxa"/>
            <w:gridSpan w:val="4"/>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合计（大写）</w:t>
            </w:r>
          </w:p>
        </w:tc>
        <w:tc>
          <w:tcPr>
            <w:tcW w:w="1375"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c>
          <w:tcPr>
            <w:tcW w:w="1868" w:type="dxa"/>
          </w:tcPr>
          <w:p>
            <w:pPr>
              <w:pStyle w:val="691"/>
              <w:keepNext w:val="0"/>
              <w:pageBreakBefore w:val="0"/>
              <w:tabs>
                <w:tab w:val="clear" w:pos="720"/>
              </w:tabs>
              <w:snapToGrid w:val="0"/>
              <w:spacing w:before="120" w:after="120" w:line="240" w:lineRule="auto"/>
              <w:jc w:val="both"/>
              <w:outlineLvl w:val="9"/>
              <w:rPr>
                <w:rFonts w:hint="eastAsia" w:ascii="宋体" w:hAnsi="宋体" w:eastAsia="宋体" w:cs="宋体"/>
                <w:kern w:val="2"/>
                <w:sz w:val="24"/>
                <w:szCs w:val="24"/>
              </w:rPr>
            </w:pPr>
          </w:p>
        </w:tc>
      </w:tr>
    </w:tbl>
    <w:p>
      <w:pPr>
        <w:pStyle w:val="691"/>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pPr>
        <w:pStyle w:val="691"/>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pPr>
        <w:pStyle w:val="691"/>
        <w:keepNext w:val="0"/>
        <w:pageBreakBefore w:val="0"/>
        <w:tabs>
          <w:tab w:val="clear" w:pos="720"/>
        </w:tabs>
        <w:snapToGrid w:val="0"/>
        <w:spacing w:before="120" w:after="120"/>
        <w:outlineLvl w:val="9"/>
        <w:rPr>
          <w:rFonts w:hint="eastAsia" w:ascii="宋体" w:hAnsi="宋体" w:eastAsia="宋体" w:cs="宋体"/>
          <w:sz w:val="32"/>
          <w:szCs w:val="32"/>
        </w:rPr>
      </w:pPr>
      <w:r>
        <w:rPr>
          <w:rFonts w:hint="eastAsia" w:ascii="宋体" w:hAnsi="宋体" w:eastAsia="宋体" w:cs="宋体"/>
          <w:sz w:val="32"/>
          <w:szCs w:val="32"/>
        </w:rPr>
        <w:t>四、中小企业声明函（如果有）</w:t>
      </w:r>
    </w:p>
    <w:p>
      <w:pPr>
        <w:widowControl/>
        <w:spacing w:line="360" w:lineRule="auto"/>
        <w:ind w:firstLine="120" w:firstLineChars="50"/>
        <w:jc w:val="left"/>
        <w:rPr>
          <w:rFonts w:hint="eastAsia" w:ascii="宋体" w:hAnsi="宋体" w:cs="宋体"/>
          <w:b/>
          <w:kern w:val="0"/>
          <w:sz w:val="36"/>
          <w:szCs w:val="36"/>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rPr>
          <w:rFonts w:hint="eastAsia" w:ascii="宋体" w:hAnsi="宋体" w:cs="宋体"/>
          <w:b/>
          <w:sz w:val="32"/>
          <w:szCs w:val="32"/>
        </w:rPr>
      </w:pPr>
      <w:r>
        <w:rPr>
          <w:rFonts w:hint="eastAsia" w:ascii="宋体" w:hAnsi="宋体" w:cs="宋体"/>
          <w:b/>
          <w:sz w:val="32"/>
          <w:szCs w:val="32"/>
        </w:rPr>
        <w:br w:type="page"/>
      </w: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401" w:name="_Toc465665161"/>
      <w:r>
        <w:rPr>
          <w:rFonts w:hint="eastAsia" w:ascii="宋体" w:hAnsi="宋体" w:cs="宋体"/>
        </w:rPr>
        <w:t>附件</w:t>
      </w:r>
      <w:bookmarkEnd w:id="401"/>
    </w:p>
    <w:p>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hint="eastAsia" w:ascii="宋体" w:hAnsi="宋体" w:cs="宋体"/>
          <w:b/>
          <w:spacing w:val="6"/>
          <w:sz w:val="32"/>
          <w:szCs w:val="32"/>
        </w:rPr>
      </w:pPr>
      <w:bookmarkStart w:id="402" w:name="OLE_LINK14"/>
      <w:bookmarkStart w:id="403" w:name="OLE_LINK13"/>
      <w:r>
        <w:rPr>
          <w:rFonts w:hint="eastAsia" w:ascii="宋体" w:hAnsi="宋体" w:cs="宋体"/>
          <w:b/>
          <w:spacing w:val="6"/>
          <w:sz w:val="32"/>
          <w:szCs w:val="32"/>
        </w:rPr>
        <w:t>残疾人福利性单位声明函</w:t>
      </w:r>
    </w:p>
    <w:bookmarkEnd w:id="402"/>
    <w:bookmarkEnd w:id="403"/>
    <w:p>
      <w:pPr>
        <w:spacing w:line="360" w:lineRule="auto"/>
        <w:rPr>
          <w:rFonts w:hint="eastAsia" w:ascii="宋体" w:hAnsi="宋体" w:cs="宋体"/>
          <w:b/>
          <w:spacing w:val="6"/>
          <w:sz w:val="30"/>
          <w:szCs w:val="30"/>
        </w:rPr>
      </w:pPr>
    </w:p>
    <w:p>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投标供应商名称（电子签名）</w:t>
      </w:r>
      <w:r>
        <w:rPr>
          <w:rFonts w:hint="eastAsia" w:ascii="宋体" w:hAnsi="宋体" w:cs="宋体"/>
          <w:sz w:val="24"/>
        </w:rPr>
        <w:t>：</w:t>
      </w:r>
    </w:p>
    <w:p>
      <w:pPr>
        <w:tabs>
          <w:tab w:val="left" w:pos="4860"/>
        </w:tabs>
        <w:spacing w:line="360" w:lineRule="auto"/>
        <w:ind w:right="1560" w:firstLine="3360" w:firstLineChars="1400"/>
        <w:rPr>
          <w:rFonts w:hint="eastAsia" w:ascii="宋体" w:hAnsi="宋体" w:cs="宋体"/>
          <w:sz w:val="24"/>
        </w:rPr>
      </w:pPr>
      <w:r>
        <w:rPr>
          <w:rFonts w:hint="eastAsia" w:ascii="宋体" w:hAnsi="宋体" w:cs="宋体"/>
          <w:sz w:val="24"/>
        </w:rPr>
        <w:t>日  期：</w:t>
      </w:r>
    </w:p>
    <w:p>
      <w:pPr>
        <w:spacing w:line="360" w:lineRule="auto"/>
        <w:ind w:firstLine="480" w:firstLineChars="200"/>
        <w:rPr>
          <w:rFonts w:hint="eastAsia" w:ascii="宋体" w:hAnsi="宋体" w:cs="宋体"/>
          <w:sz w:val="24"/>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rPr>
          <w:rFonts w:hint="eastAsia" w:ascii="宋体" w:hAnsi="宋体" w:cs="宋体"/>
          <w:b/>
          <w:spacing w:val="6"/>
          <w:sz w:val="32"/>
          <w:szCs w:val="32"/>
        </w:rPr>
      </w:pPr>
      <w:r>
        <w:rPr>
          <w:rFonts w:hint="eastAsia" w:ascii="宋体" w:hAnsi="宋体" w:cs="宋体"/>
          <w:b/>
          <w:spacing w:val="6"/>
          <w:sz w:val="32"/>
          <w:szCs w:val="32"/>
        </w:rPr>
        <w:br w:type="page"/>
      </w: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hint="eastAsia" w:ascii="宋体" w:hAnsi="宋体" w:cs="宋体"/>
          <w:bCs/>
          <w:sz w:val="24"/>
        </w:rPr>
      </w:pPr>
      <w:r>
        <w:rPr>
          <w:rFonts w:hint="eastAsia" w:ascii="宋体" w:hAnsi="宋体" w:cs="宋体"/>
          <w:bCs/>
          <w:sz w:val="24"/>
        </w:rPr>
        <w:t>二、质疑项目基本情况</w:t>
      </w:r>
    </w:p>
    <w:p>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hint="eastAsia" w:ascii="宋体" w:hAnsi="宋体" w:cs="宋体"/>
          <w:bCs/>
          <w:sz w:val="24"/>
        </w:rPr>
      </w:pPr>
      <w:r>
        <w:rPr>
          <w:rFonts w:hint="eastAsia" w:ascii="宋体" w:hAnsi="宋体" w:cs="宋体"/>
          <w:bCs/>
          <w:sz w:val="24"/>
        </w:rPr>
        <w:t>三、质疑事项具体内容</w:t>
      </w:r>
    </w:p>
    <w:p>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hint="eastAsia" w:ascii="宋体" w:hAnsi="宋体" w:cs="宋体"/>
          <w:sz w:val="24"/>
          <w:u w:val="dotted"/>
        </w:rPr>
      </w:pPr>
      <w:r>
        <w:rPr>
          <w:rFonts w:hint="eastAsia" w:ascii="宋体" w:hAnsi="宋体" w:cs="宋体"/>
          <w:sz w:val="24"/>
        </w:rPr>
        <w:t>质疑事项2</w:t>
      </w:r>
    </w:p>
    <w:p>
      <w:pPr>
        <w:snapToGrid w:val="0"/>
        <w:spacing w:line="360" w:lineRule="auto"/>
        <w:rPr>
          <w:rFonts w:hint="eastAsia" w:ascii="宋体" w:hAnsi="宋体" w:cs="宋体"/>
          <w:sz w:val="24"/>
        </w:rPr>
      </w:pPr>
      <w:r>
        <w:rPr>
          <w:rFonts w:hint="eastAsia" w:ascii="宋体" w:hAnsi="宋体" w:cs="宋体"/>
          <w:sz w:val="24"/>
        </w:rPr>
        <w:t>……</w:t>
      </w:r>
    </w:p>
    <w:p>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 xml:space="preserve">签字(签章)：                   公章：                      </w:t>
      </w:r>
    </w:p>
    <w:p>
      <w:pPr>
        <w:spacing w:line="360" w:lineRule="auto"/>
        <w:rPr>
          <w:rFonts w:hint="eastAsia" w:ascii="宋体" w:hAnsi="宋体" w:cs="宋体"/>
          <w:sz w:val="24"/>
        </w:rPr>
      </w:pPr>
      <w:r>
        <w:rPr>
          <w:rFonts w:hint="eastAsia" w:ascii="宋体" w:hAnsi="宋体" w:cs="宋体"/>
          <w:sz w:val="24"/>
        </w:rPr>
        <w:t xml:space="preserve">日期：    </w:t>
      </w:r>
    </w:p>
    <w:p>
      <w:pPr>
        <w:spacing w:line="360" w:lineRule="auto"/>
        <w:jc w:val="center"/>
        <w:rPr>
          <w:rFonts w:hint="eastAsia" w:ascii="宋体" w:hAnsi="宋体" w:cs="宋体"/>
          <w:b/>
          <w:bCs/>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360" w:lineRule="auto"/>
        <w:rPr>
          <w:rFonts w:hint="eastAsia"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sz w:val="30"/>
          <w:szCs w:val="30"/>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center"/>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p>
    <w:p>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hint="eastAsia" w:ascii="宋体" w:hAnsi="宋体" w:cs="宋体"/>
          <w:b/>
          <w:sz w:val="24"/>
        </w:rPr>
      </w:pPr>
    </w:p>
    <w:p>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hint="eastAsia" w:ascii="宋体" w:hAnsi="宋体" w:cs="宋体"/>
          <w:sz w:val="24"/>
        </w:rPr>
      </w:pPr>
      <w:r>
        <w:rPr>
          <w:rFonts w:hint="eastAsia" w:ascii="宋体" w:hAnsi="宋体" w:cs="宋体"/>
          <w:sz w:val="24"/>
        </w:rPr>
        <w:t>一、投诉相关主体基本情况</w:t>
      </w:r>
    </w:p>
    <w:p>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被投诉人2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二、投诉项目基本情况</w:t>
      </w:r>
    </w:p>
    <w:p>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三、质疑基本情况</w:t>
      </w:r>
    </w:p>
    <w:p>
      <w:pPr>
        <w:spacing w:line="360" w:lineRule="auto"/>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采购人/代理机构于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四、投诉事项具体内容</w:t>
      </w:r>
    </w:p>
    <w:p>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hint="eastAsia" w:ascii="宋体" w:hAnsi="宋体" w:cs="宋体"/>
          <w:sz w:val="24"/>
        </w:rPr>
      </w:pPr>
      <w:r>
        <w:rPr>
          <w:rFonts w:hint="eastAsia" w:ascii="宋体" w:hAnsi="宋体" w:cs="宋体"/>
          <w:sz w:val="24"/>
        </w:rPr>
        <w:t>投诉事项2</w:t>
      </w:r>
    </w:p>
    <w:p>
      <w:pPr>
        <w:spacing w:line="360" w:lineRule="auto"/>
        <w:rPr>
          <w:rFonts w:hint="eastAsia" w:ascii="宋体" w:hAnsi="宋体" w:cs="宋体"/>
          <w:sz w:val="24"/>
          <w:u w:val="dotted"/>
        </w:rPr>
      </w:pP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五、与投诉事项相关的投诉请求</w:t>
      </w:r>
    </w:p>
    <w:p>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签字(签章)：                   公章：                      </w:t>
      </w:r>
    </w:p>
    <w:p>
      <w:pPr>
        <w:spacing w:line="360" w:lineRule="auto"/>
        <w:rPr>
          <w:rFonts w:hint="eastAsia" w:ascii="宋体" w:hAnsi="宋体" w:cs="宋体"/>
          <w:sz w:val="24"/>
        </w:rPr>
      </w:pPr>
      <w:r>
        <w:rPr>
          <w:rFonts w:hint="eastAsia" w:ascii="宋体" w:hAnsi="宋体" w:cs="宋体"/>
          <w:sz w:val="24"/>
        </w:rPr>
        <w:t xml:space="preserve">日期：    </w:t>
      </w: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sz w:val="24"/>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hint="eastAsia" w:ascii="宋体" w:hAnsi="宋体" w:cs="宋体"/>
          <w:sz w:val="24"/>
          <w:u w:val="single"/>
        </w:rPr>
      </w:pPr>
    </w:p>
    <w:p>
      <w:pPr>
        <w:spacing w:line="360" w:lineRule="auto"/>
        <w:rPr>
          <w:rFonts w:hint="eastAsia" w:ascii="宋体" w:hAnsi="宋体" w:cs="宋体"/>
          <w:sz w:val="24"/>
        </w:rPr>
      </w:pPr>
      <w:r>
        <w:rPr>
          <w:rFonts w:hint="eastAsia" w:ascii="宋体" w:hAnsi="宋体" w:cs="宋体"/>
          <w:sz w:val="24"/>
        </w:rPr>
        <w:t>杭州第九中学树范学校、杭州洲源招标代理有限公司</w:t>
      </w:r>
    </w:p>
    <w:p>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你方组织的杭州第九中学树范学校计算机网络及网络安全系统采购项目 【项目编号： ZYZB-GK-2025-004】</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sz w:val="24"/>
        </w:rPr>
      </w:pPr>
      <w:r>
        <w:rPr>
          <w:rFonts w:hint="eastAsia" w:ascii="宋体" w:hAnsi="宋体" w:cs="宋体"/>
          <w:sz w:val="24"/>
        </w:rPr>
        <w:t>特此说明。</w:t>
      </w: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firstLine="494"/>
        <w:rPr>
          <w:rFonts w:hint="eastAsia" w:ascii="宋体" w:hAnsi="宋体" w:cs="宋体"/>
          <w:sz w:val="24"/>
        </w:rPr>
      </w:pPr>
    </w:p>
    <w:p>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pPr>
        <w:ind w:right="1440" w:firstLine="494"/>
        <w:jc w:val="center"/>
        <w:rPr>
          <w:rFonts w:hint="eastAsia" w:ascii="宋体" w:hAnsi="宋体" w:cs="宋体"/>
          <w:sz w:val="24"/>
        </w:rPr>
      </w:pPr>
      <w:r>
        <w:rPr>
          <w:rFonts w:hint="eastAsia" w:ascii="宋体" w:hAnsi="宋体" w:cs="宋体"/>
          <w:sz w:val="24"/>
        </w:rPr>
        <w:t xml:space="preserve">                              日期：       年     月     日</w:t>
      </w:r>
    </w:p>
    <w:p>
      <w:pPr>
        <w:rPr>
          <w:rFonts w:hint="eastAsia" w:ascii="宋体" w:hAnsi="宋体" w:cs="宋体"/>
          <w:sz w:val="24"/>
        </w:rPr>
      </w:pPr>
      <w:r>
        <w:rPr>
          <w:rFonts w:hint="eastAsia" w:ascii="宋体" w:hAnsi="宋体" w:cs="宋体"/>
          <w:b/>
          <w:bCs/>
          <w:sz w:val="24"/>
        </w:rPr>
        <w:t>附：</w:t>
      </w:r>
    </w:p>
    <w:p>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c/4wdgAAAAKAQAADwAAAAAAAAABACAAAAAi&#10;AAAAZHJzL2Rvd25yZXYueG1sUEsBAhQAFAAAAAgAh07iQFNvpMXRAQAA1AMAAA4AAAAAAAAAAQAg&#10;AAAAJwEAAGRycy9lMm9Eb2MueG1sUEsFBgAAAAAGAAYAWQEAAGoFA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RTDI4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0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（以联合体形式投标的，提供联合协议；本项目不接受联合体投标或者投标供应商不以联合体形式投标的，则不需要提供）</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组成一个联合体，以一个投标供应商的身份</w:t>
      </w:r>
      <w:r>
        <w:rPr>
          <w:rFonts w:hint="eastAsia" w:ascii="宋体" w:hAnsi="宋体" w:cs="宋体"/>
          <w:kern w:val="0"/>
          <w:sz w:val="24"/>
        </w:rPr>
        <w:t>参加</w:t>
      </w:r>
      <w:r>
        <w:rPr>
          <w:rFonts w:hint="eastAsia" w:ascii="宋体" w:hAnsi="宋体" w:cs="宋体"/>
          <w:sz w:val="24"/>
        </w:rPr>
        <w:t>杭州第九中学树范学校计算机网络及网络安全系统采购项目 【项目编号： ZYZB-GK-2025-004】</w:t>
      </w:r>
      <w:r>
        <w:rPr>
          <w:rFonts w:hint="eastAsia" w:ascii="宋体" w:hAnsi="宋体" w:cs="宋体"/>
          <w:kern w:val="0"/>
          <w:sz w:val="24"/>
          <w:lang w:val="zh-CN"/>
        </w:rPr>
        <w:t xml:space="preserve">投标。 </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w:t>
      </w:r>
      <w:r>
        <w:rPr>
          <w:rFonts w:hint="eastAsia" w:ascii="宋体" w:hAnsi="宋体" w:cs="宋体"/>
          <w:kern w:val="0"/>
          <w:sz w:val="24"/>
        </w:rPr>
        <w:t>响应</w:t>
      </w:r>
      <w:r>
        <w:rPr>
          <w:rFonts w:hint="eastAsia" w:ascii="宋体" w:hAnsi="宋体" w:cs="宋体"/>
          <w:kern w:val="0"/>
          <w:sz w:val="24"/>
          <w:lang w:val="zh-CN"/>
        </w:rPr>
        <w:t>等均对联合投标各方产生约束力。</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0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rPr>
        <w:t>前附表</w:t>
      </w:r>
      <w:r>
        <w:rPr>
          <w:rFonts w:hint="eastAsia" w:ascii="宋体" w:hAnsi="宋体" w:cs="宋体"/>
          <w:b/>
          <w:kern w:val="0"/>
          <w:sz w:val="24"/>
          <w:lang w:val="zh-CN"/>
        </w:rPr>
        <w:t>确定的比例给予扣除。供应商</w:t>
      </w:r>
      <w:r>
        <w:rPr>
          <w:rFonts w:hint="eastAsia" w:ascii="宋体" w:hAnsi="宋体" w:cs="宋体"/>
          <w:b/>
          <w:sz w:val="24"/>
        </w:rPr>
        <w:t>拟享受以上价格扣除政策的，填写有关内容。</w:t>
      </w:r>
      <w:bookmarkEnd w:id="405"/>
      <w:r>
        <w:rPr>
          <w:rFonts w:hint="eastAsia" w:ascii="宋体" w:hAnsi="宋体" w:cs="宋体"/>
          <w:b/>
          <w:kern w:val="0"/>
          <w:sz w:val="24"/>
          <w:lang w:val="zh-CN"/>
        </w:rPr>
        <w:t>）</w:t>
      </w:r>
    </w:p>
    <w:p>
      <w:pPr>
        <w:spacing w:line="30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0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6"/>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0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0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spacing w:line="300" w:lineRule="auto"/>
        <w:ind w:right="420"/>
        <w:rPr>
          <w:rFonts w:hint="eastAsia" w:ascii="宋体" w:hAnsi="宋体" w:cs="宋体"/>
          <w:b/>
          <w:spacing w:val="6"/>
          <w:sz w:val="32"/>
          <w:szCs w:val="32"/>
        </w:rPr>
      </w:pPr>
      <w:r>
        <w:rPr>
          <w:rFonts w:hint="eastAsia" w:ascii="宋体" w:hAnsi="宋体" w:cs="宋体"/>
          <w:sz w:val="24"/>
        </w:rPr>
        <w:t>注：按本格式和要求提供。</w:t>
      </w:r>
    </w:p>
    <w:p>
      <w:pPr>
        <w:rPr>
          <w:rFonts w:hint="eastAsia"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jc w:val="center"/>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0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中标后以分包方式履行合同的，提供分包意向协议；采购人不同意分包或者投标供应商中标后不以分包方式履行合同的，则不需要提供。</w:t>
      </w:r>
      <w:r>
        <w:rPr>
          <w:rFonts w:hint="eastAsia" w:ascii="宋体" w:hAnsi="宋体" w:cs="宋体"/>
          <w:sz w:val="24"/>
        </w:rPr>
        <w:t>）</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u w:val="single"/>
        </w:rPr>
        <w:t>（投标供应商名称）</w:t>
      </w:r>
      <w:r>
        <w:rPr>
          <w:rFonts w:hint="eastAsia" w:ascii="宋体" w:hAnsi="宋体" w:cs="宋体"/>
          <w:kern w:val="0"/>
          <w:sz w:val="24"/>
          <w:lang w:val="zh-CN"/>
        </w:rPr>
        <w:t>若成为</w:t>
      </w:r>
      <w:r>
        <w:rPr>
          <w:rFonts w:hint="eastAsia" w:ascii="宋体" w:hAnsi="宋体" w:cs="宋体"/>
          <w:sz w:val="24"/>
        </w:rPr>
        <w:t>杭州第九中学树范学校计算机网络及网络安全系统采购项目 【项目编号： ZYZB-GK-2025-004】</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u w:val="single"/>
        </w:rPr>
        <w:t>（投标供应商名称）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spacing w:line="300" w:lineRule="auto"/>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pPr>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0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rPr>
        <w:t>前附表</w:t>
      </w:r>
      <w:r>
        <w:rPr>
          <w:rFonts w:hint="eastAsia" w:ascii="宋体" w:hAnsi="宋体" w:cs="宋体"/>
          <w:b/>
          <w:kern w:val="0"/>
          <w:sz w:val="24"/>
          <w:lang w:val="zh-CN"/>
        </w:rPr>
        <w:t>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0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00" w:lineRule="auto"/>
        <w:ind w:firstLine="576"/>
        <w:rPr>
          <w:rFonts w:hint="eastAsia" w:ascii="宋体" w:hAnsi="宋体" w:cs="宋体"/>
          <w:u w:val="single"/>
        </w:rPr>
      </w:pPr>
      <w:r>
        <w:rPr>
          <w:rFonts w:hint="eastAsia" w:ascii="宋体" w:hAnsi="宋体" w:cs="宋体"/>
          <w:u w:val="single"/>
        </w:rPr>
        <w:t xml:space="preserve">                                                                                  </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四、质量</w:t>
      </w:r>
    </w:p>
    <w:p>
      <w:pPr>
        <w:snapToGrid w:val="0"/>
        <w:spacing w:line="300" w:lineRule="auto"/>
        <w:ind w:firstLine="576"/>
        <w:rPr>
          <w:rFonts w:hint="eastAsia" w:ascii="宋体" w:hAnsi="宋体" w:cs="宋体"/>
          <w:kern w:val="0"/>
          <w:sz w:val="24"/>
          <w:lang w:val="zh-CN"/>
        </w:rPr>
      </w:pPr>
      <w:r>
        <w:rPr>
          <w:rFonts w:hint="eastAsia" w:ascii="宋体" w:hAnsi="宋体" w:cs="宋体"/>
          <w:u w:val="single"/>
        </w:rPr>
        <w:t xml:space="preserve">                                                                                       </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pPr>
        <w:snapToGrid w:val="0"/>
        <w:spacing w:line="300" w:lineRule="auto"/>
        <w:ind w:left="573" w:leftChars="273"/>
        <w:rPr>
          <w:rFonts w:hint="eastAsia" w:ascii="宋体" w:hAnsi="宋体" w:cs="宋体"/>
          <w:kern w:val="0"/>
          <w:sz w:val="24"/>
          <w:lang w:val="zh-CN"/>
        </w:rPr>
      </w:pPr>
      <w:r>
        <w:rPr>
          <w:rFonts w:hint="eastAsia" w:ascii="宋体" w:hAnsi="宋体" w:cs="宋体"/>
          <w:u w:val="single"/>
        </w:rPr>
        <w:t xml:space="preserve">                                                                                     </w:t>
      </w:r>
    </w:p>
    <w:p>
      <w:pPr>
        <w:snapToGrid w:val="0"/>
        <w:spacing w:line="30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pPr>
        <w:snapToGrid w:val="0"/>
        <w:spacing w:line="300" w:lineRule="auto"/>
        <w:ind w:firstLine="576"/>
        <w:rPr>
          <w:rFonts w:hint="eastAsia" w:ascii="宋体" w:hAnsi="宋体" w:cs="宋体"/>
          <w:kern w:val="0"/>
          <w:sz w:val="24"/>
          <w:lang w:val="zh-CN"/>
        </w:rPr>
      </w:pPr>
      <w:r>
        <w:rPr>
          <w:rFonts w:hint="eastAsia" w:ascii="宋体" w:hAnsi="宋体" w:cs="宋体"/>
          <w:u w:val="single"/>
        </w:rPr>
        <w:t xml:space="preserve">                                                                                     </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pPr>
        <w:snapToGrid w:val="0"/>
        <w:spacing w:line="300" w:lineRule="auto"/>
        <w:ind w:firstLine="576"/>
        <w:rPr>
          <w:rFonts w:hint="eastAsia" w:ascii="宋体" w:hAnsi="宋体" w:cs="宋体"/>
          <w:kern w:val="0"/>
          <w:sz w:val="24"/>
          <w:lang w:val="zh-CN"/>
        </w:rPr>
      </w:pPr>
      <w:r>
        <w:rPr>
          <w:rFonts w:hint="eastAsia" w:ascii="宋体" w:hAnsi="宋体" w:cs="宋体"/>
          <w:u w:val="single"/>
        </w:rPr>
        <w:t xml:space="preserve">                                                                                  </w:t>
      </w:r>
    </w:p>
    <w:p>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八、其他</w:t>
      </w:r>
    </w:p>
    <w:p>
      <w:pPr>
        <w:snapToGrid w:val="0"/>
        <w:spacing w:line="300" w:lineRule="auto"/>
        <w:ind w:left="5758" w:leftChars="342" w:hanging="5040" w:hangingChars="2100"/>
        <w:jc w:val="left"/>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00" w:lineRule="auto"/>
        <w:ind w:left="5758" w:leftChars="342" w:hanging="5040" w:hangingChars="2100"/>
        <w:jc w:val="center"/>
        <w:rPr>
          <w:rFonts w:hint="eastAsia"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投标供应商名称(电子签名)：</w:t>
      </w:r>
    </w:p>
    <w:p>
      <w:pPr>
        <w:snapToGrid w:val="0"/>
        <w:spacing w:line="30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00" w:lineRule="auto"/>
        <w:jc w:val="center"/>
        <w:rPr>
          <w:rFonts w:hint="eastAsia" w:ascii="宋体" w:hAnsi="宋体" w:cs="宋体"/>
        </w:rPr>
      </w:pPr>
      <w:r>
        <w:rPr>
          <w:rFonts w:hint="eastAsia" w:ascii="宋体" w:hAnsi="宋体" w:cs="宋体"/>
          <w:kern w:val="0"/>
          <w:sz w:val="24"/>
        </w:rPr>
        <w:t xml:space="preserve">                  </w:t>
      </w:r>
      <w:r>
        <w:rPr>
          <w:rFonts w:hint="eastAsia" w:ascii="宋体" w:hAnsi="宋体" w:cs="宋体"/>
          <w:kern w:val="0"/>
          <w:sz w:val="24"/>
          <w:lang w:val="zh-CN"/>
        </w:rPr>
        <w:t>……</w:t>
      </w:r>
    </w:p>
    <w:p>
      <w:pPr>
        <w:spacing w:line="30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hint="eastAsia" w:ascii="宋体" w:hAnsi="宋体" w:cs="宋体"/>
          <w:b/>
          <w:spacing w:val="6"/>
          <w:sz w:val="32"/>
          <w:szCs w:val="32"/>
        </w:rPr>
      </w:pPr>
    </w:p>
    <w:p>
      <w:pPr>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hint="eastAsia" w:ascii="宋体" w:hAnsi="宋体" w:cs="宋体"/>
          <w:b/>
          <w:spacing w:val="6"/>
          <w:sz w:val="32"/>
          <w:szCs w:val="32"/>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p>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hint="eastAsia" w:ascii="宋体" w:hAnsi="宋体"/>
          <w:b/>
          <w:sz w:val="32"/>
        </w:rPr>
      </w:pPr>
      <w:r>
        <w:rPr>
          <w:rFonts w:hint="eastAsia" w:ascii="宋体" w:hAnsi="宋体"/>
          <w:b/>
          <w:sz w:val="32"/>
        </w:rPr>
        <w:t>中小企业声明函（货物）</w:t>
      </w:r>
    </w:p>
    <w:p>
      <w:pPr>
        <w:spacing w:line="336" w:lineRule="auto"/>
        <w:ind w:firstLine="480" w:firstLineChars="200"/>
        <w:rPr>
          <w:rFonts w:hint="eastAsia" w:ascii="宋体" w:hAnsi="宋体"/>
          <w:sz w:val="24"/>
        </w:rPr>
      </w:pPr>
      <w:r>
        <w:rPr>
          <w:rFonts w:hint="eastAsia" w:ascii="宋体" w:hAnsi="宋体"/>
          <w:sz w:val="24"/>
        </w:rPr>
        <w:t xml:space="preserve">本公司（联合体）郑重声明，根据《政府采购促进中小企业发展管理办法》（财库﹝2020﹞46 号）的规定，本公司（联合体）参加 </w:t>
      </w:r>
      <w:r>
        <w:rPr>
          <w:rFonts w:hint="eastAsia" w:ascii="宋体" w:hAnsi="宋体"/>
          <w:sz w:val="24"/>
          <w:u w:val="single"/>
        </w:rPr>
        <w:t xml:space="preserve">（采购人） </w:t>
      </w:r>
      <w:r>
        <w:rPr>
          <w:rFonts w:hint="eastAsia" w:ascii="宋体" w:hAnsi="宋体"/>
          <w:sz w:val="24"/>
        </w:rPr>
        <w:t xml:space="preserve">的 </w:t>
      </w:r>
      <w:r>
        <w:rPr>
          <w:rFonts w:hint="eastAsia" w:ascii="宋体" w:hAnsi="宋体"/>
          <w:sz w:val="24"/>
          <w:u w:val="single"/>
        </w:rPr>
        <w:t>（项目名称）</w:t>
      </w:r>
      <w:r>
        <w:rPr>
          <w:rFonts w:hint="eastAsia" w:ascii="宋体" w:hAnsi="宋体"/>
          <w:sz w:val="24"/>
        </w:rPr>
        <w:t xml:space="preserve"> 采购活动，提供的货物全部由符合政策要求的中小企业制造。相关企业（含联合体中的中小企业、签订分包意向协议的中小企业）的具体情况如下：</w:t>
      </w:r>
    </w:p>
    <w:tbl>
      <w:tblPr>
        <w:tblStyle w:val="62"/>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widowControl/>
              <w:snapToGrid w:val="0"/>
              <w:jc w:val="center"/>
              <w:textAlignment w:val="center"/>
              <w:rPr>
                <w:rFonts w:hint="eastAsia" w:ascii="宋体" w:hAnsi="宋体" w:cs="宋体"/>
                <w:b/>
                <w:bCs/>
                <w:sz w:val="24"/>
              </w:rPr>
            </w:pPr>
            <w:r>
              <w:rPr>
                <w:rFonts w:hint="eastAsia" w:ascii="宋体" w:hAnsi="宋体" w:cs="宋体"/>
                <w:b/>
                <w:bCs/>
                <w:kern w:val="0"/>
                <w:sz w:val="24"/>
              </w:rPr>
              <w:t>序号</w:t>
            </w:r>
          </w:p>
        </w:tc>
        <w:tc>
          <w:tcPr>
            <w:tcW w:w="2452" w:type="dxa"/>
            <w:vAlign w:val="center"/>
          </w:tcPr>
          <w:p>
            <w:pPr>
              <w:widowControl/>
              <w:snapToGrid w:val="0"/>
              <w:jc w:val="center"/>
              <w:textAlignment w:val="center"/>
              <w:rPr>
                <w:rFonts w:hint="eastAsia" w:ascii="宋体" w:hAnsi="宋体" w:cs="宋体"/>
                <w:b/>
                <w:bCs/>
                <w:sz w:val="24"/>
              </w:rPr>
            </w:pPr>
            <w:r>
              <w:rPr>
                <w:rFonts w:hint="eastAsia" w:ascii="宋体" w:hAnsi="宋体" w:cs="宋体"/>
                <w:b/>
                <w:bCs/>
                <w:kern w:val="0"/>
                <w:sz w:val="24"/>
              </w:rPr>
              <w:t>标的（货物）名称</w:t>
            </w:r>
          </w:p>
        </w:tc>
        <w:tc>
          <w:tcPr>
            <w:tcW w:w="907" w:type="dxa"/>
            <w:vAlign w:val="center"/>
          </w:tcPr>
          <w:p>
            <w:pPr>
              <w:widowControl/>
              <w:snapToGrid w:val="0"/>
              <w:jc w:val="center"/>
              <w:textAlignment w:val="center"/>
              <w:rPr>
                <w:rFonts w:hint="eastAsia" w:ascii="宋体" w:hAnsi="宋体" w:cs="宋体"/>
                <w:b/>
                <w:bCs/>
                <w:sz w:val="24"/>
              </w:rPr>
            </w:pPr>
            <w:r>
              <w:rPr>
                <w:rFonts w:hint="eastAsia" w:ascii="宋体" w:hAnsi="宋体" w:cs="宋体"/>
                <w:sz w:val="24"/>
              </w:rPr>
              <w:t>属于行业</w:t>
            </w:r>
          </w:p>
        </w:tc>
        <w:tc>
          <w:tcPr>
            <w:tcW w:w="3536" w:type="dxa"/>
            <w:vAlign w:val="center"/>
          </w:tcPr>
          <w:p>
            <w:pPr>
              <w:widowControl/>
              <w:snapToGrid w:val="0"/>
              <w:jc w:val="center"/>
              <w:textAlignment w:val="center"/>
              <w:rPr>
                <w:rFonts w:hint="eastAsia" w:ascii="宋体" w:hAnsi="宋体" w:cs="宋体"/>
                <w:sz w:val="24"/>
              </w:rPr>
            </w:pPr>
            <w:r>
              <w:rPr>
                <w:rFonts w:hint="eastAsia" w:ascii="宋体" w:hAnsi="宋体" w:cs="宋体"/>
                <w:sz w:val="24"/>
              </w:rPr>
              <w:t>制造商名称</w:t>
            </w:r>
          </w:p>
        </w:tc>
        <w:tc>
          <w:tcPr>
            <w:tcW w:w="1389" w:type="dxa"/>
            <w:vAlign w:val="center"/>
          </w:tcPr>
          <w:p>
            <w:pPr>
              <w:widowControl/>
              <w:snapToGrid w:val="0"/>
              <w:jc w:val="center"/>
              <w:textAlignment w:val="center"/>
              <w:rPr>
                <w:rFonts w:hint="eastAsia" w:ascii="宋体" w:hAnsi="宋体" w:cs="宋体"/>
                <w:sz w:val="24"/>
              </w:rPr>
            </w:pPr>
            <w:r>
              <w:rPr>
                <w:rFonts w:hint="eastAsia" w:ascii="宋体" w:hAnsi="宋体" w:cs="宋体"/>
                <w:sz w:val="24"/>
              </w:rPr>
              <w:t>从业人员（人数）</w:t>
            </w:r>
          </w:p>
        </w:tc>
        <w:tc>
          <w:tcPr>
            <w:tcW w:w="1312" w:type="dxa"/>
            <w:vAlign w:val="center"/>
          </w:tcPr>
          <w:p>
            <w:pPr>
              <w:widowControl/>
              <w:snapToGrid w:val="0"/>
              <w:jc w:val="center"/>
              <w:textAlignment w:val="center"/>
              <w:rPr>
                <w:rFonts w:hint="eastAsia" w:ascii="宋体" w:hAnsi="宋体" w:cs="宋体"/>
                <w:sz w:val="24"/>
              </w:rPr>
            </w:pPr>
            <w:r>
              <w:rPr>
                <w:rFonts w:hint="eastAsia" w:ascii="宋体" w:hAnsi="宋体" w:cs="宋体"/>
                <w:sz w:val="24"/>
              </w:rPr>
              <w:t>营业收入（万元）</w:t>
            </w:r>
          </w:p>
        </w:tc>
        <w:tc>
          <w:tcPr>
            <w:tcW w:w="1409" w:type="dxa"/>
            <w:vAlign w:val="center"/>
          </w:tcPr>
          <w:p>
            <w:pPr>
              <w:widowControl/>
              <w:snapToGrid w:val="0"/>
              <w:jc w:val="center"/>
              <w:textAlignment w:val="center"/>
              <w:rPr>
                <w:rFonts w:hint="eastAsia" w:ascii="宋体" w:hAnsi="宋体" w:cs="宋体"/>
                <w:sz w:val="24"/>
              </w:rPr>
            </w:pPr>
            <w:r>
              <w:rPr>
                <w:rFonts w:hint="eastAsia" w:ascii="宋体" w:hAnsi="宋体" w:cs="宋体"/>
                <w:sz w:val="24"/>
              </w:rPr>
              <w:t>资产总额（万元）</w:t>
            </w:r>
          </w:p>
        </w:tc>
        <w:tc>
          <w:tcPr>
            <w:tcW w:w="2451" w:type="dxa"/>
            <w:vAlign w:val="center"/>
          </w:tcPr>
          <w:p>
            <w:pPr>
              <w:widowControl/>
              <w:snapToGrid w:val="0"/>
              <w:jc w:val="center"/>
              <w:textAlignment w:val="center"/>
              <w:rPr>
                <w:rFonts w:hint="eastAsia" w:ascii="宋体" w:hAnsi="宋体" w:cs="宋体"/>
                <w:b/>
                <w:bCs/>
                <w:kern w:val="0"/>
                <w:sz w:val="24"/>
              </w:rPr>
            </w:pPr>
            <w:r>
              <w:rPr>
                <w:rFonts w:hint="eastAsia" w:ascii="宋体" w:hAnsi="宋体" w:cs="宋体"/>
                <w:sz w:val="24"/>
              </w:rPr>
              <w:t>属于</w:t>
            </w:r>
            <w:r>
              <w:rPr>
                <w:rFonts w:hint="eastAsia" w:ascii="宋体" w:hAnsi="宋体" w:cs="宋体"/>
                <w:sz w:val="24"/>
                <w:u w:val="single"/>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pPr>
              <w:widowControl/>
              <w:snapToGrid w:val="0"/>
              <w:jc w:val="center"/>
              <w:textAlignment w:val="center"/>
              <w:rPr>
                <w:rFonts w:hint="eastAsia" w:ascii="宋体" w:hAnsi="宋体" w:cs="宋体"/>
                <w:sz w:val="24"/>
              </w:rPr>
            </w:pPr>
            <w:r>
              <w:rPr>
                <w:rFonts w:hint="eastAsia" w:ascii="宋体" w:hAnsi="宋体" w:cs="宋体"/>
                <w:kern w:val="0"/>
                <w:sz w:val="24"/>
              </w:rPr>
              <w:t>1</w:t>
            </w:r>
          </w:p>
        </w:tc>
        <w:tc>
          <w:tcPr>
            <w:tcW w:w="2452" w:type="dxa"/>
            <w:shd w:val="clear" w:color="auto" w:fill="auto"/>
            <w:vAlign w:val="center"/>
          </w:tcPr>
          <w:p>
            <w:pPr>
              <w:widowControl/>
              <w:adjustRightInd/>
              <w:jc w:val="left"/>
              <w:rPr>
                <w:rFonts w:hint="eastAsia" w:ascii="宋体" w:hAnsi="宋体" w:cs="宋体"/>
                <w:color w:val="000000"/>
                <w:kern w:val="0"/>
                <w:sz w:val="24"/>
              </w:rPr>
            </w:pPr>
          </w:p>
        </w:tc>
        <w:tc>
          <w:tcPr>
            <w:tcW w:w="907" w:type="dxa"/>
            <w:vAlign w:val="center"/>
          </w:tcPr>
          <w:p>
            <w:pPr>
              <w:widowControl/>
              <w:snapToGrid w:val="0"/>
              <w:jc w:val="center"/>
              <w:textAlignment w:val="center"/>
              <w:rPr>
                <w:rFonts w:hint="eastAsia" w:ascii="宋体" w:hAnsi="宋体" w:cs="宋体"/>
                <w:sz w:val="24"/>
              </w:rPr>
            </w:pPr>
            <w:r>
              <w:rPr>
                <w:rFonts w:hint="eastAsia" w:ascii="宋体" w:hAnsi="宋体" w:cs="宋体"/>
                <w:sz w:val="24"/>
              </w:rPr>
              <w:t>工业</w:t>
            </w:r>
          </w:p>
        </w:tc>
        <w:tc>
          <w:tcPr>
            <w:tcW w:w="3536" w:type="dxa"/>
            <w:vAlign w:val="center"/>
          </w:tcPr>
          <w:p>
            <w:pPr>
              <w:widowControl/>
              <w:snapToGrid w:val="0"/>
              <w:jc w:val="center"/>
              <w:textAlignment w:val="center"/>
              <w:rPr>
                <w:rFonts w:hint="eastAsia" w:ascii="宋体" w:hAnsi="宋体" w:cs="宋体"/>
                <w:sz w:val="24"/>
              </w:rPr>
            </w:pPr>
          </w:p>
        </w:tc>
        <w:tc>
          <w:tcPr>
            <w:tcW w:w="1389" w:type="dxa"/>
            <w:vAlign w:val="center"/>
          </w:tcPr>
          <w:p>
            <w:pPr>
              <w:widowControl/>
              <w:snapToGrid w:val="0"/>
              <w:jc w:val="center"/>
              <w:textAlignment w:val="center"/>
              <w:rPr>
                <w:rFonts w:hint="eastAsia" w:ascii="宋体" w:hAnsi="宋体" w:cs="宋体"/>
                <w:sz w:val="24"/>
              </w:rPr>
            </w:pPr>
          </w:p>
        </w:tc>
        <w:tc>
          <w:tcPr>
            <w:tcW w:w="1312" w:type="dxa"/>
            <w:vAlign w:val="center"/>
          </w:tcPr>
          <w:p>
            <w:pPr>
              <w:snapToGrid w:val="0"/>
              <w:jc w:val="center"/>
              <w:rPr>
                <w:rFonts w:hint="eastAsia" w:ascii="宋体" w:hAnsi="宋体" w:cs="宋体"/>
                <w:sz w:val="24"/>
              </w:rPr>
            </w:pPr>
          </w:p>
        </w:tc>
        <w:tc>
          <w:tcPr>
            <w:tcW w:w="1409" w:type="dxa"/>
            <w:vAlign w:val="center"/>
          </w:tcPr>
          <w:p>
            <w:pPr>
              <w:snapToGrid w:val="0"/>
              <w:jc w:val="center"/>
              <w:rPr>
                <w:rFonts w:hint="eastAsia" w:ascii="宋体" w:hAnsi="宋体" w:cs="宋体"/>
                <w:sz w:val="24"/>
              </w:rPr>
            </w:pPr>
          </w:p>
        </w:tc>
        <w:tc>
          <w:tcPr>
            <w:tcW w:w="2451" w:type="dxa"/>
            <w:vAlign w:val="center"/>
          </w:tcPr>
          <w:p>
            <w:pPr>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pPr>
              <w:widowControl/>
              <w:snapToGrid w:val="0"/>
              <w:jc w:val="center"/>
              <w:textAlignment w:val="center"/>
              <w:rPr>
                <w:rFonts w:hint="eastAsia" w:ascii="宋体" w:hAnsi="宋体" w:cs="宋体"/>
                <w:kern w:val="0"/>
                <w:sz w:val="24"/>
              </w:rPr>
            </w:pPr>
            <w:r>
              <w:rPr>
                <w:rFonts w:hint="eastAsia" w:ascii="宋体" w:hAnsi="宋体" w:cs="宋体"/>
                <w:kern w:val="0"/>
                <w:sz w:val="24"/>
              </w:rPr>
              <w:t>2</w:t>
            </w:r>
          </w:p>
        </w:tc>
        <w:tc>
          <w:tcPr>
            <w:tcW w:w="2452" w:type="dxa"/>
            <w:shd w:val="clear" w:color="auto" w:fill="auto"/>
            <w:vAlign w:val="center"/>
          </w:tcPr>
          <w:p>
            <w:pPr>
              <w:widowControl/>
              <w:adjustRightInd/>
              <w:jc w:val="left"/>
              <w:rPr>
                <w:rFonts w:hint="eastAsia" w:ascii="宋体" w:hAnsi="宋体" w:cs="宋体"/>
                <w:color w:val="000000"/>
                <w:kern w:val="0"/>
                <w:sz w:val="24"/>
              </w:rPr>
            </w:pPr>
          </w:p>
        </w:tc>
        <w:tc>
          <w:tcPr>
            <w:tcW w:w="907" w:type="dxa"/>
            <w:shd w:val="clear" w:color="auto" w:fill="auto"/>
            <w:vAlign w:val="center"/>
          </w:tcPr>
          <w:p>
            <w:pPr>
              <w:widowControl/>
              <w:snapToGrid w:val="0"/>
              <w:jc w:val="center"/>
              <w:textAlignment w:val="center"/>
              <w:rPr>
                <w:rFonts w:hint="eastAsia" w:ascii="宋体" w:hAnsi="宋体" w:cs="宋体"/>
                <w:sz w:val="24"/>
              </w:rPr>
            </w:pPr>
          </w:p>
        </w:tc>
        <w:tc>
          <w:tcPr>
            <w:tcW w:w="3536" w:type="dxa"/>
            <w:shd w:val="clear" w:color="auto" w:fill="auto"/>
            <w:vAlign w:val="center"/>
          </w:tcPr>
          <w:p>
            <w:pPr>
              <w:widowControl/>
              <w:snapToGrid w:val="0"/>
              <w:jc w:val="center"/>
              <w:textAlignment w:val="center"/>
              <w:rPr>
                <w:rFonts w:hint="eastAsia" w:ascii="宋体" w:hAnsi="宋体" w:cs="宋体"/>
                <w:sz w:val="24"/>
              </w:rPr>
            </w:pPr>
          </w:p>
        </w:tc>
        <w:tc>
          <w:tcPr>
            <w:tcW w:w="1389" w:type="dxa"/>
            <w:shd w:val="clear" w:color="auto" w:fill="auto"/>
            <w:vAlign w:val="center"/>
          </w:tcPr>
          <w:p>
            <w:pPr>
              <w:widowControl/>
              <w:snapToGrid w:val="0"/>
              <w:jc w:val="center"/>
              <w:textAlignment w:val="center"/>
              <w:rPr>
                <w:rFonts w:hint="eastAsia" w:ascii="宋体" w:hAnsi="宋体" w:cs="宋体"/>
                <w:sz w:val="24"/>
              </w:rPr>
            </w:pPr>
          </w:p>
        </w:tc>
        <w:tc>
          <w:tcPr>
            <w:tcW w:w="1312" w:type="dxa"/>
            <w:shd w:val="clear" w:color="auto" w:fill="auto"/>
            <w:vAlign w:val="center"/>
          </w:tcPr>
          <w:p>
            <w:pPr>
              <w:snapToGrid w:val="0"/>
              <w:jc w:val="center"/>
              <w:rPr>
                <w:rFonts w:hint="eastAsia" w:ascii="宋体" w:hAnsi="宋体" w:cs="宋体"/>
                <w:sz w:val="24"/>
              </w:rPr>
            </w:pPr>
          </w:p>
        </w:tc>
        <w:tc>
          <w:tcPr>
            <w:tcW w:w="1409" w:type="dxa"/>
            <w:shd w:val="clear" w:color="auto" w:fill="auto"/>
            <w:vAlign w:val="center"/>
          </w:tcPr>
          <w:p>
            <w:pPr>
              <w:snapToGrid w:val="0"/>
              <w:jc w:val="center"/>
              <w:rPr>
                <w:rFonts w:hint="eastAsia" w:ascii="宋体" w:hAnsi="宋体" w:cs="宋体"/>
                <w:sz w:val="24"/>
              </w:rPr>
            </w:pPr>
          </w:p>
        </w:tc>
        <w:tc>
          <w:tcPr>
            <w:tcW w:w="2451" w:type="dxa"/>
            <w:shd w:val="clear" w:color="auto" w:fill="auto"/>
            <w:vAlign w:val="center"/>
          </w:tcPr>
          <w:p>
            <w:pPr>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pPr>
              <w:widowControl/>
              <w:snapToGrid w:val="0"/>
              <w:jc w:val="center"/>
              <w:textAlignment w:val="center"/>
              <w:rPr>
                <w:rFonts w:hint="eastAsia" w:ascii="宋体" w:hAnsi="宋体" w:cs="宋体"/>
                <w:kern w:val="0"/>
                <w:sz w:val="24"/>
              </w:rPr>
            </w:pPr>
            <w:r>
              <w:rPr>
                <w:rFonts w:hint="eastAsia" w:ascii="宋体" w:hAnsi="宋体" w:cs="宋体"/>
                <w:kern w:val="0"/>
                <w:sz w:val="24"/>
              </w:rPr>
              <w:t>3</w:t>
            </w:r>
          </w:p>
        </w:tc>
        <w:tc>
          <w:tcPr>
            <w:tcW w:w="2452" w:type="dxa"/>
            <w:shd w:val="clear" w:color="auto" w:fill="auto"/>
            <w:vAlign w:val="center"/>
          </w:tcPr>
          <w:p>
            <w:pPr>
              <w:widowControl/>
              <w:adjustRightInd/>
              <w:jc w:val="left"/>
              <w:rPr>
                <w:rFonts w:hint="eastAsia" w:ascii="宋体" w:hAnsi="宋体" w:cs="宋体"/>
                <w:color w:val="000000"/>
                <w:kern w:val="0"/>
                <w:sz w:val="24"/>
              </w:rPr>
            </w:pPr>
          </w:p>
        </w:tc>
        <w:tc>
          <w:tcPr>
            <w:tcW w:w="907" w:type="dxa"/>
            <w:shd w:val="clear" w:color="auto" w:fill="auto"/>
            <w:vAlign w:val="center"/>
          </w:tcPr>
          <w:p>
            <w:pPr>
              <w:widowControl/>
              <w:snapToGrid w:val="0"/>
              <w:jc w:val="center"/>
              <w:textAlignment w:val="center"/>
              <w:rPr>
                <w:rFonts w:hint="eastAsia" w:ascii="宋体" w:hAnsi="宋体" w:cs="宋体"/>
                <w:sz w:val="24"/>
              </w:rPr>
            </w:pPr>
          </w:p>
        </w:tc>
        <w:tc>
          <w:tcPr>
            <w:tcW w:w="3536" w:type="dxa"/>
            <w:shd w:val="clear" w:color="auto" w:fill="auto"/>
            <w:vAlign w:val="center"/>
          </w:tcPr>
          <w:p>
            <w:pPr>
              <w:widowControl/>
              <w:snapToGrid w:val="0"/>
              <w:jc w:val="center"/>
              <w:textAlignment w:val="center"/>
              <w:rPr>
                <w:rFonts w:hint="eastAsia" w:ascii="宋体" w:hAnsi="宋体" w:cs="宋体"/>
                <w:sz w:val="24"/>
              </w:rPr>
            </w:pPr>
          </w:p>
        </w:tc>
        <w:tc>
          <w:tcPr>
            <w:tcW w:w="1389" w:type="dxa"/>
            <w:shd w:val="clear" w:color="auto" w:fill="auto"/>
            <w:vAlign w:val="center"/>
          </w:tcPr>
          <w:p>
            <w:pPr>
              <w:widowControl/>
              <w:snapToGrid w:val="0"/>
              <w:jc w:val="center"/>
              <w:textAlignment w:val="center"/>
              <w:rPr>
                <w:rFonts w:hint="eastAsia" w:ascii="宋体" w:hAnsi="宋体" w:cs="宋体"/>
                <w:sz w:val="24"/>
              </w:rPr>
            </w:pPr>
          </w:p>
        </w:tc>
        <w:tc>
          <w:tcPr>
            <w:tcW w:w="1312" w:type="dxa"/>
            <w:shd w:val="clear" w:color="auto" w:fill="auto"/>
            <w:vAlign w:val="center"/>
          </w:tcPr>
          <w:p>
            <w:pPr>
              <w:snapToGrid w:val="0"/>
              <w:jc w:val="center"/>
              <w:rPr>
                <w:rFonts w:hint="eastAsia" w:ascii="宋体" w:hAnsi="宋体" w:cs="宋体"/>
                <w:sz w:val="24"/>
              </w:rPr>
            </w:pPr>
          </w:p>
        </w:tc>
        <w:tc>
          <w:tcPr>
            <w:tcW w:w="1409" w:type="dxa"/>
            <w:shd w:val="clear" w:color="auto" w:fill="auto"/>
            <w:vAlign w:val="center"/>
          </w:tcPr>
          <w:p>
            <w:pPr>
              <w:snapToGrid w:val="0"/>
              <w:jc w:val="center"/>
              <w:rPr>
                <w:rFonts w:hint="eastAsia" w:ascii="宋体" w:hAnsi="宋体" w:cs="宋体"/>
                <w:sz w:val="24"/>
              </w:rPr>
            </w:pPr>
          </w:p>
        </w:tc>
        <w:tc>
          <w:tcPr>
            <w:tcW w:w="2451" w:type="dxa"/>
            <w:shd w:val="clear" w:color="auto" w:fill="auto"/>
            <w:vAlign w:val="center"/>
          </w:tcPr>
          <w:p>
            <w:pPr>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pPr>
              <w:widowControl/>
              <w:snapToGrid w:val="0"/>
              <w:jc w:val="center"/>
              <w:textAlignment w:val="center"/>
              <w:rPr>
                <w:rFonts w:hint="eastAsia" w:ascii="宋体" w:hAnsi="宋体" w:cs="宋体"/>
                <w:kern w:val="0"/>
                <w:sz w:val="24"/>
              </w:rPr>
            </w:pPr>
            <w:r>
              <w:rPr>
                <w:rFonts w:hint="eastAsia" w:ascii="宋体" w:hAnsi="宋体" w:cs="宋体"/>
                <w:kern w:val="0"/>
                <w:sz w:val="24"/>
              </w:rPr>
              <w:t>4</w:t>
            </w:r>
          </w:p>
        </w:tc>
        <w:tc>
          <w:tcPr>
            <w:tcW w:w="2452" w:type="dxa"/>
            <w:shd w:val="clear" w:color="auto" w:fill="auto"/>
            <w:vAlign w:val="center"/>
          </w:tcPr>
          <w:p>
            <w:pPr>
              <w:widowControl/>
              <w:adjustRightInd/>
              <w:jc w:val="left"/>
              <w:rPr>
                <w:rFonts w:hint="eastAsia" w:ascii="宋体" w:hAnsi="宋体" w:cs="宋体"/>
                <w:color w:val="000000"/>
                <w:kern w:val="0"/>
                <w:sz w:val="24"/>
              </w:rPr>
            </w:pPr>
          </w:p>
        </w:tc>
        <w:tc>
          <w:tcPr>
            <w:tcW w:w="907" w:type="dxa"/>
            <w:shd w:val="clear" w:color="auto" w:fill="auto"/>
            <w:vAlign w:val="center"/>
          </w:tcPr>
          <w:p>
            <w:pPr>
              <w:widowControl/>
              <w:snapToGrid w:val="0"/>
              <w:jc w:val="center"/>
              <w:textAlignment w:val="center"/>
              <w:rPr>
                <w:rFonts w:hint="eastAsia" w:ascii="宋体" w:hAnsi="宋体" w:cs="宋体"/>
                <w:sz w:val="24"/>
              </w:rPr>
            </w:pPr>
          </w:p>
        </w:tc>
        <w:tc>
          <w:tcPr>
            <w:tcW w:w="3536" w:type="dxa"/>
            <w:shd w:val="clear" w:color="auto" w:fill="auto"/>
            <w:vAlign w:val="center"/>
          </w:tcPr>
          <w:p>
            <w:pPr>
              <w:widowControl/>
              <w:snapToGrid w:val="0"/>
              <w:jc w:val="center"/>
              <w:textAlignment w:val="center"/>
              <w:rPr>
                <w:rFonts w:hint="eastAsia" w:ascii="宋体" w:hAnsi="宋体" w:cs="宋体"/>
                <w:sz w:val="24"/>
              </w:rPr>
            </w:pPr>
          </w:p>
        </w:tc>
        <w:tc>
          <w:tcPr>
            <w:tcW w:w="1389" w:type="dxa"/>
            <w:shd w:val="clear" w:color="auto" w:fill="auto"/>
            <w:vAlign w:val="center"/>
          </w:tcPr>
          <w:p>
            <w:pPr>
              <w:widowControl/>
              <w:snapToGrid w:val="0"/>
              <w:jc w:val="center"/>
              <w:textAlignment w:val="center"/>
              <w:rPr>
                <w:rFonts w:hint="eastAsia" w:ascii="宋体" w:hAnsi="宋体" w:cs="宋体"/>
                <w:sz w:val="24"/>
              </w:rPr>
            </w:pPr>
          </w:p>
        </w:tc>
        <w:tc>
          <w:tcPr>
            <w:tcW w:w="1312" w:type="dxa"/>
            <w:shd w:val="clear" w:color="auto" w:fill="auto"/>
            <w:vAlign w:val="center"/>
          </w:tcPr>
          <w:p>
            <w:pPr>
              <w:snapToGrid w:val="0"/>
              <w:jc w:val="center"/>
              <w:rPr>
                <w:rFonts w:hint="eastAsia" w:ascii="宋体" w:hAnsi="宋体" w:cs="宋体"/>
                <w:sz w:val="24"/>
              </w:rPr>
            </w:pPr>
          </w:p>
        </w:tc>
        <w:tc>
          <w:tcPr>
            <w:tcW w:w="1409" w:type="dxa"/>
            <w:shd w:val="clear" w:color="auto" w:fill="auto"/>
            <w:vAlign w:val="center"/>
          </w:tcPr>
          <w:p>
            <w:pPr>
              <w:snapToGrid w:val="0"/>
              <w:jc w:val="center"/>
              <w:rPr>
                <w:rFonts w:hint="eastAsia" w:ascii="宋体" w:hAnsi="宋体" w:cs="宋体"/>
                <w:sz w:val="24"/>
              </w:rPr>
            </w:pPr>
          </w:p>
        </w:tc>
        <w:tc>
          <w:tcPr>
            <w:tcW w:w="2451" w:type="dxa"/>
            <w:shd w:val="clear" w:color="auto" w:fill="auto"/>
            <w:vAlign w:val="center"/>
          </w:tcPr>
          <w:p>
            <w:pPr>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pPr>
              <w:widowControl/>
              <w:snapToGrid w:val="0"/>
              <w:jc w:val="center"/>
              <w:textAlignment w:val="center"/>
              <w:rPr>
                <w:rFonts w:hint="eastAsia" w:ascii="宋体" w:hAnsi="宋体" w:cs="宋体"/>
                <w:kern w:val="0"/>
                <w:sz w:val="24"/>
              </w:rPr>
            </w:pPr>
            <w:r>
              <w:rPr>
                <w:rFonts w:hint="eastAsia" w:ascii="宋体" w:hAnsi="宋体" w:cs="宋体"/>
                <w:kern w:val="0"/>
                <w:sz w:val="24"/>
              </w:rPr>
              <w:t>5</w:t>
            </w:r>
          </w:p>
        </w:tc>
        <w:tc>
          <w:tcPr>
            <w:tcW w:w="2452" w:type="dxa"/>
            <w:shd w:val="clear" w:color="auto" w:fill="auto"/>
            <w:vAlign w:val="center"/>
          </w:tcPr>
          <w:p>
            <w:pPr>
              <w:widowControl/>
              <w:adjustRightInd/>
              <w:jc w:val="left"/>
              <w:rPr>
                <w:rFonts w:hint="eastAsia" w:ascii="宋体" w:hAnsi="宋体" w:cs="宋体"/>
                <w:color w:val="000000"/>
                <w:kern w:val="0"/>
                <w:sz w:val="24"/>
              </w:rPr>
            </w:pPr>
          </w:p>
        </w:tc>
        <w:tc>
          <w:tcPr>
            <w:tcW w:w="907" w:type="dxa"/>
            <w:shd w:val="clear" w:color="auto" w:fill="auto"/>
            <w:vAlign w:val="center"/>
          </w:tcPr>
          <w:p>
            <w:pPr>
              <w:widowControl/>
              <w:snapToGrid w:val="0"/>
              <w:jc w:val="center"/>
              <w:textAlignment w:val="center"/>
              <w:rPr>
                <w:rFonts w:hint="eastAsia" w:ascii="宋体" w:hAnsi="宋体" w:cs="宋体"/>
                <w:sz w:val="24"/>
              </w:rPr>
            </w:pPr>
          </w:p>
        </w:tc>
        <w:tc>
          <w:tcPr>
            <w:tcW w:w="3536" w:type="dxa"/>
            <w:shd w:val="clear" w:color="auto" w:fill="auto"/>
            <w:vAlign w:val="center"/>
          </w:tcPr>
          <w:p>
            <w:pPr>
              <w:widowControl/>
              <w:snapToGrid w:val="0"/>
              <w:jc w:val="center"/>
              <w:textAlignment w:val="center"/>
              <w:rPr>
                <w:rFonts w:hint="eastAsia" w:ascii="宋体" w:hAnsi="宋体" w:cs="宋体"/>
                <w:sz w:val="24"/>
              </w:rPr>
            </w:pPr>
          </w:p>
        </w:tc>
        <w:tc>
          <w:tcPr>
            <w:tcW w:w="1389" w:type="dxa"/>
            <w:shd w:val="clear" w:color="auto" w:fill="auto"/>
            <w:vAlign w:val="center"/>
          </w:tcPr>
          <w:p>
            <w:pPr>
              <w:widowControl/>
              <w:snapToGrid w:val="0"/>
              <w:jc w:val="center"/>
              <w:textAlignment w:val="center"/>
              <w:rPr>
                <w:rFonts w:hint="eastAsia" w:ascii="宋体" w:hAnsi="宋体" w:cs="宋体"/>
                <w:sz w:val="24"/>
              </w:rPr>
            </w:pPr>
          </w:p>
        </w:tc>
        <w:tc>
          <w:tcPr>
            <w:tcW w:w="1312" w:type="dxa"/>
            <w:shd w:val="clear" w:color="auto" w:fill="auto"/>
            <w:vAlign w:val="center"/>
          </w:tcPr>
          <w:p>
            <w:pPr>
              <w:snapToGrid w:val="0"/>
              <w:jc w:val="center"/>
              <w:rPr>
                <w:rFonts w:hint="eastAsia" w:ascii="宋体" w:hAnsi="宋体" w:cs="宋体"/>
                <w:sz w:val="24"/>
              </w:rPr>
            </w:pPr>
          </w:p>
        </w:tc>
        <w:tc>
          <w:tcPr>
            <w:tcW w:w="1409" w:type="dxa"/>
            <w:shd w:val="clear" w:color="auto" w:fill="auto"/>
            <w:vAlign w:val="center"/>
          </w:tcPr>
          <w:p>
            <w:pPr>
              <w:snapToGrid w:val="0"/>
              <w:jc w:val="center"/>
              <w:rPr>
                <w:rFonts w:hint="eastAsia" w:ascii="宋体" w:hAnsi="宋体" w:cs="宋体"/>
                <w:sz w:val="24"/>
              </w:rPr>
            </w:pPr>
          </w:p>
        </w:tc>
        <w:tc>
          <w:tcPr>
            <w:tcW w:w="2451" w:type="dxa"/>
            <w:shd w:val="clear" w:color="auto" w:fill="auto"/>
            <w:vAlign w:val="center"/>
          </w:tcPr>
          <w:p>
            <w:pPr>
              <w:snapToGrid w:val="0"/>
              <w:jc w:val="center"/>
              <w:rPr>
                <w:rFonts w:hint="eastAsia" w:ascii="宋体" w:hAnsi="宋体" w:cs="宋体"/>
                <w:sz w:val="24"/>
              </w:rPr>
            </w:pPr>
          </w:p>
        </w:tc>
      </w:tr>
    </w:tbl>
    <w:p>
      <w:pPr>
        <w:spacing w:line="336" w:lineRule="auto"/>
        <w:ind w:firstLine="480" w:firstLineChars="200"/>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36" w:lineRule="auto"/>
        <w:ind w:firstLine="480" w:firstLineChars="200"/>
        <w:rPr>
          <w:rFonts w:hint="eastAsia" w:ascii="宋体" w:hAnsi="宋体"/>
          <w:sz w:val="24"/>
        </w:rPr>
      </w:pPr>
      <w:r>
        <w:rPr>
          <w:rFonts w:hint="eastAsia" w:ascii="宋体" w:hAnsi="宋体"/>
          <w:sz w:val="24"/>
        </w:rPr>
        <w:t>本企业对上述声明内容的真实性负责。如有虚假，将依法承担相应责任。</w:t>
      </w:r>
    </w:p>
    <w:p>
      <w:pPr>
        <w:snapToGrid w:val="0"/>
        <w:spacing w:line="336" w:lineRule="auto"/>
        <w:ind w:firstLine="8618" w:firstLineChars="3591"/>
        <w:rPr>
          <w:rFonts w:hint="eastAsia" w:ascii="宋体" w:hAnsi="宋体"/>
          <w:kern w:val="0"/>
          <w:sz w:val="24"/>
        </w:rPr>
      </w:pPr>
      <w:r>
        <w:rPr>
          <w:rFonts w:hint="eastAsia" w:ascii="宋体" w:hAnsi="宋体"/>
          <w:kern w:val="0"/>
          <w:sz w:val="24"/>
        </w:rPr>
        <w:t>投标供应商名称(电子签名)：</w:t>
      </w:r>
    </w:p>
    <w:p>
      <w:pPr>
        <w:snapToGrid w:val="0"/>
        <w:spacing w:line="336" w:lineRule="auto"/>
        <w:ind w:firstLine="8618" w:firstLineChars="3591"/>
        <w:rPr>
          <w:rFonts w:hint="eastAsia" w:ascii="宋体" w:hAnsi="宋体"/>
          <w:kern w:val="0"/>
          <w:sz w:val="24"/>
        </w:rPr>
      </w:pPr>
      <w:r>
        <w:rPr>
          <w:rFonts w:hint="eastAsia" w:ascii="宋体" w:hAnsi="宋体"/>
          <w:kern w:val="0"/>
          <w:sz w:val="24"/>
        </w:rPr>
        <w:t xml:space="preserve">                   日期：  年  月   日</w:t>
      </w:r>
    </w:p>
    <w:p>
      <w:pPr>
        <w:spacing w:line="336" w:lineRule="auto"/>
        <w:ind w:firstLine="442" w:firstLineChars="200"/>
        <w:jc w:val="left"/>
        <w:rPr>
          <w:rFonts w:hint="eastAsia" w:ascii="宋体" w:hAnsi="宋体"/>
          <w:b/>
          <w:bCs/>
          <w:sz w:val="22"/>
        </w:rPr>
      </w:pPr>
      <w:r>
        <w:rPr>
          <w:rFonts w:hint="eastAsia" w:ascii="宋体" w:hAnsi="宋体"/>
          <w:b/>
          <w:bCs/>
          <w:sz w:val="22"/>
        </w:rPr>
        <w:t>从业人员、营业收入、资产总额填报上一年度数据，无上一年度数据的新成立企业可不填报。</w:t>
      </w:r>
    </w:p>
    <w:p>
      <w:pPr>
        <w:spacing w:line="336" w:lineRule="auto"/>
        <w:ind w:right="420" w:firstLine="480" w:firstLineChars="200"/>
        <w:rPr>
          <w:rFonts w:hint="eastAsia" w:ascii="宋体" w:hAnsi="宋体"/>
          <w:sz w:val="24"/>
        </w:rPr>
      </w:pPr>
      <w:r>
        <w:rPr>
          <w:rFonts w:hint="eastAsia" w:ascii="宋体" w:hAnsi="宋体"/>
          <w:sz w:val="24"/>
        </w:rPr>
        <w:t>注：1、</w:t>
      </w:r>
      <w:r>
        <w:rPr>
          <w:rFonts w:hint="eastAsia" w:ascii="宋体" w:hAnsi="宋体" w:cs="宋体"/>
          <w:sz w:val="24"/>
        </w:rPr>
        <w:t>填写要求：①</w:t>
      </w:r>
      <w:r>
        <w:rPr>
          <w:rFonts w:hint="eastAsia" w:ascii="宋体" w:hAnsi="宋体" w:cs="宋体"/>
          <w:sz w:val="24"/>
          <w:lang w:val="en"/>
        </w:rPr>
        <w:t>从业人员、营业收入、资产总额填报上一年度数据，无上一年度数据的新成立企业可不填报</w:t>
      </w:r>
      <w:r>
        <w:rPr>
          <w:rFonts w:hint="eastAsia" w:ascii="宋体" w:hAnsi="宋体" w:cs="宋体"/>
          <w:sz w:val="24"/>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cs="宋体"/>
          <w:sz w:val="24"/>
          <w:lang w:val="en"/>
        </w:rPr>
        <w:t>《中小企业声明函》填写企业类型错误或者未填写企业类型的，投标无效。</w:t>
      </w:r>
    </w:p>
    <w:p>
      <w:pPr>
        <w:spacing w:line="336" w:lineRule="auto"/>
        <w:ind w:right="420" w:firstLine="480" w:firstLineChars="200"/>
        <w:rPr>
          <w:rFonts w:hint="eastAsia" w:ascii="宋体" w:hAnsi="宋体" w:cs="宋体"/>
          <w:sz w:val="24"/>
        </w:rPr>
      </w:pPr>
      <w:r>
        <w:rPr>
          <w:rFonts w:hint="eastAsia" w:ascii="宋体" w:hAnsi="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w:t>
      </w:r>
      <w:r>
        <w:rPr>
          <w:rFonts w:hint="eastAsia" w:ascii="宋体" w:hAnsi="宋体"/>
          <w:kern w:val="0"/>
          <w:sz w:val="24"/>
        </w:rPr>
        <w:t>供应商</w:t>
      </w:r>
      <w:r>
        <w:rPr>
          <w:rFonts w:hint="eastAsia" w:ascii="宋体" w:hAnsi="宋体"/>
          <w:sz w:val="24"/>
        </w:rPr>
        <w:t>提供由省级以上监狱管理局、戒毒管理局（含新疆生产建设兵团）出具的属于监狱企业证明文件的，视同为小型和微型企业。</w:t>
      </w:r>
    </w:p>
    <w:sectPr>
      <w:pgSz w:w="16838" w:h="11906" w:orient="landscape"/>
      <w:pgMar w:top="1417" w:right="1276" w:bottom="1134" w:left="124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moder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0000000000000000000"/>
    <w:charset w:val="00"/>
    <w:family w:val="modern"/>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1" w:usb3="00000000" w:csb0="400001BF" w:csb1="DFF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136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123</w:t>
                          </w:r>
                          <w:r>
                            <w:fldChar w:fldCharType="end"/>
                          </w:r>
                          <w:r>
                            <w:t xml:space="preserve"> / </w:t>
                          </w:r>
                          <w:r>
                            <w:fldChar w:fldCharType="begin"/>
                          </w:r>
                          <w:r>
                            <w:instrText xml:space="preserve"> NUMPAGES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123</w:t>
                    </w:r>
                    <w:r>
                      <w:fldChar w:fldCharType="end"/>
                    </w:r>
                    <w:r>
                      <w:t xml:space="preserve"> / </w:t>
                    </w:r>
                    <w:r>
                      <w:fldChar w:fldCharType="begin"/>
                    </w:r>
                    <w:r>
                      <w:instrText xml:space="preserve"> NUMPAGES  \* MERGEFORMAT </w:instrText>
                    </w:r>
                    <w:r>
                      <w:fldChar w:fldCharType="separate"/>
                    </w:r>
                    <w:r>
                      <w:t>136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127</w:t>
                          </w:r>
                          <w:r>
                            <w:fldChar w:fldCharType="end"/>
                          </w:r>
                          <w:r>
                            <w:t xml:space="preserve"> / </w:t>
                          </w:r>
                          <w:r>
                            <w:fldChar w:fldCharType="begin"/>
                          </w:r>
                          <w:r>
                            <w:instrText xml:space="preserve"> NUMPAGES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127</w:t>
                    </w:r>
                    <w:r>
                      <w:fldChar w:fldCharType="end"/>
                    </w:r>
                    <w:r>
                      <w:t xml:space="preserve"> / </w:t>
                    </w:r>
                    <w:r>
                      <w:fldChar w:fldCharType="begin"/>
                    </w:r>
                    <w:r>
                      <w:instrText xml:space="preserve"> NUMPAGES  \* MERGEFORMAT </w:instrText>
                    </w:r>
                    <w:r>
                      <w:fldChar w:fldCharType="separate"/>
                    </w:r>
                    <w:r>
                      <w:t>136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126</w:t>
                          </w:r>
                          <w:r>
                            <w:fldChar w:fldCharType="end"/>
                          </w:r>
                          <w:r>
                            <w:t xml:space="preserve"> / </w:t>
                          </w:r>
                          <w:r>
                            <w:fldChar w:fldCharType="begin"/>
                          </w:r>
                          <w:r>
                            <w:instrText xml:space="preserve"> NUMPAGES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126</w:t>
                    </w:r>
                    <w:r>
                      <w:fldChar w:fldCharType="end"/>
                    </w:r>
                    <w:r>
                      <w:t xml:space="preserve"> / </w:t>
                    </w:r>
                    <w:r>
                      <w:fldChar w:fldCharType="begin"/>
                    </w:r>
                    <w:r>
                      <w:instrText xml:space="preserve"> NUMPAGES  \* MERGEFORMAT </w:instrText>
                    </w:r>
                    <w:r>
                      <w:fldChar w:fldCharType="separate"/>
                    </w:r>
                    <w:r>
                      <w:t>136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33</w:t>
                          </w:r>
                          <w:r>
                            <w:fldChar w:fldCharType="end"/>
                          </w:r>
                          <w:r>
                            <w:t xml:space="preserve"> / </w:t>
                          </w:r>
                          <w:r>
                            <w:fldChar w:fldCharType="begin"/>
                          </w:r>
                          <w:r>
                            <w:instrText xml:space="preserve"> NUMPAGES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33</w:t>
                    </w:r>
                    <w:r>
                      <w:fldChar w:fldCharType="end"/>
                    </w:r>
                    <w:r>
                      <w:t xml:space="preserve"> / </w:t>
                    </w:r>
                    <w:r>
                      <w:fldChar w:fldCharType="begin"/>
                    </w:r>
                    <w:r>
                      <w:instrText xml:space="preserve"> NUMPAGES  \* MERGEFORMAT </w:instrText>
                    </w:r>
                    <w:r>
                      <w:fldChar w:fldCharType="separate"/>
                    </w:r>
                    <w:r>
                      <w:t>136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93</w:t>
                          </w:r>
                          <w:r>
                            <w:fldChar w:fldCharType="end"/>
                          </w:r>
                          <w:r>
                            <w:t xml:space="preserve"> / </w:t>
                          </w:r>
                          <w:r>
                            <w:fldChar w:fldCharType="begin"/>
                          </w:r>
                          <w:r>
                            <w:instrText xml:space="preserve"> NUMPAGES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93</w:t>
                    </w:r>
                    <w:r>
                      <w:fldChar w:fldCharType="end"/>
                    </w:r>
                    <w:r>
                      <w:t xml:space="preserve"> / </w:t>
                    </w:r>
                    <w:r>
                      <w:fldChar w:fldCharType="begin"/>
                    </w:r>
                    <w:r>
                      <w:instrText xml:space="preserve"> NUMPAGES  \* MERGEFORMAT </w:instrText>
                    </w:r>
                    <w:r>
                      <w:fldChar w:fldCharType="separate"/>
                    </w:r>
                    <w:r>
                      <w:t>136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136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117</w:t>
                          </w:r>
                          <w:r>
                            <w:fldChar w:fldCharType="end"/>
                          </w:r>
                          <w:r>
                            <w:t xml:space="preserve"> / </w:t>
                          </w:r>
                          <w:r>
                            <w:fldChar w:fldCharType="begin"/>
                          </w:r>
                          <w:r>
                            <w:instrText xml:space="preserve"> NUMPAGES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117</w:t>
                    </w:r>
                    <w:r>
                      <w:fldChar w:fldCharType="end"/>
                    </w:r>
                    <w:r>
                      <w:t xml:space="preserve"> / </w:t>
                    </w:r>
                    <w:r>
                      <w:fldChar w:fldCharType="begin"/>
                    </w:r>
                    <w:r>
                      <w:instrText xml:space="preserve"> NUMPAGES  \* MERGEFORMAT </w:instrText>
                    </w:r>
                    <w:r>
                      <w:fldChar w:fldCharType="separate"/>
                    </w:r>
                    <w:r>
                      <w:t>136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116</w:t>
                          </w:r>
                          <w:r>
                            <w:fldChar w:fldCharType="end"/>
                          </w:r>
                          <w:r>
                            <w:t xml:space="preserve"> / </w:t>
                          </w:r>
                          <w:r>
                            <w:fldChar w:fldCharType="begin"/>
                          </w:r>
                          <w:r>
                            <w:instrText xml:space="preserve"> NUMPAGES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116</w:t>
                    </w:r>
                    <w:r>
                      <w:fldChar w:fldCharType="end"/>
                    </w:r>
                    <w:r>
                      <w:t xml:space="preserve"> / </w:t>
                    </w:r>
                    <w:r>
                      <w:fldChar w:fldCharType="begin"/>
                    </w:r>
                    <w:r>
                      <w:instrText xml:space="preserve"> NUMPAGES  \* MERGEFORMAT </w:instrText>
                    </w:r>
                    <w:r>
                      <w:fldChar w:fldCharType="separate"/>
                    </w:r>
                    <w:r>
                      <w:t>136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125</w:t>
                          </w:r>
                          <w:r>
                            <w:fldChar w:fldCharType="end"/>
                          </w:r>
                          <w:r>
                            <w:t xml:space="preserve"> / </w:t>
                          </w:r>
                          <w:r>
                            <w:fldChar w:fldCharType="begin"/>
                          </w:r>
                          <w:r>
                            <w:instrText xml:space="preserve"> NUMPAGES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125</w:t>
                    </w:r>
                    <w:r>
                      <w:fldChar w:fldCharType="end"/>
                    </w:r>
                    <w:r>
                      <w:t xml:space="preserve"> / </w:t>
                    </w:r>
                    <w:r>
                      <w:fldChar w:fldCharType="begin"/>
                    </w:r>
                    <w:r>
                      <w:instrText xml:space="preserve"> NUMPAGES  \* MERGEFORMAT </w:instrText>
                    </w:r>
                    <w:r>
                      <w:fldChar w:fldCharType="separate"/>
                    </w:r>
                    <w:r>
                      <w:t>136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1"/>
      </w:pBdr>
      <w:jc w:val="right"/>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7A7974C"/>
    <w:multiLevelType w:val="singleLevel"/>
    <w:tmpl w:val="C7A7974C"/>
    <w:lvl w:ilvl="0" w:tentative="0">
      <w:start w:val="1"/>
      <w:numFmt w:val="decimal"/>
      <w:suff w:val="nothing"/>
      <w:lvlText w:val="%1）"/>
      <w:lvlJc w:val="left"/>
    </w:lvl>
  </w:abstractNum>
  <w:abstractNum w:abstractNumId="2">
    <w:nsid w:val="CC7AFD66"/>
    <w:multiLevelType w:val="singleLevel"/>
    <w:tmpl w:val="CC7AFD66"/>
    <w:lvl w:ilvl="0" w:tentative="0">
      <w:start w:val="4"/>
      <w:numFmt w:val="decimal"/>
      <w:lvlText w:val="%1."/>
      <w:lvlJc w:val="left"/>
      <w:pPr>
        <w:tabs>
          <w:tab w:val="left" w:pos="312"/>
        </w:tabs>
      </w:p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C7156AC"/>
    <w:multiLevelType w:val="singleLevel"/>
    <w:tmpl w:val="0C7156AC"/>
    <w:lvl w:ilvl="0" w:tentative="0">
      <w:start w:val="1"/>
      <w:numFmt w:val="decimal"/>
      <w:suff w:val="nothing"/>
      <w:lvlText w:val="（%1）"/>
      <w:lvlJc w:val="left"/>
    </w:lvl>
  </w:abstractNum>
  <w:abstractNum w:abstractNumId="9">
    <w:nsid w:val="17E52794"/>
    <w:multiLevelType w:val="singleLevel"/>
    <w:tmpl w:val="17E52794"/>
    <w:lvl w:ilvl="0" w:tentative="0">
      <w:start w:val="1"/>
      <w:numFmt w:val="decimal"/>
      <w:suff w:val="nothing"/>
      <w:lvlText w:val="（%1）"/>
      <w:lvlJc w:val="left"/>
    </w:lvl>
  </w:abstractNum>
  <w:abstractNum w:abstractNumId="10">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11">
    <w:nsid w:val="206E497A"/>
    <w:multiLevelType w:val="singleLevel"/>
    <w:tmpl w:val="206E497A"/>
    <w:lvl w:ilvl="0" w:tentative="0">
      <w:start w:val="2"/>
      <w:numFmt w:val="decimal"/>
      <w:suff w:val="nothing"/>
      <w:lvlText w:val="（%1）"/>
      <w:lvlJc w:val="left"/>
    </w:lvl>
  </w:abstractNum>
  <w:abstractNum w:abstractNumId="12">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13">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14">
    <w:nsid w:val="576D5603"/>
    <w:multiLevelType w:val="singleLevel"/>
    <w:tmpl w:val="576D5603"/>
    <w:lvl w:ilvl="0" w:tentative="0">
      <w:start w:val="1"/>
      <w:numFmt w:val="decimal"/>
      <w:suff w:val="nothing"/>
      <w:lvlText w:val="%1、"/>
      <w:lvlJc w:val="left"/>
    </w:lvl>
  </w:abstractNum>
  <w:abstractNum w:abstractNumId="15">
    <w:nsid w:val="5F4A6B73"/>
    <w:multiLevelType w:val="singleLevel"/>
    <w:tmpl w:val="5F4A6B73"/>
    <w:lvl w:ilvl="0" w:tentative="0">
      <w:start w:val="1"/>
      <w:numFmt w:val="decimal"/>
      <w:suff w:val="nothing"/>
      <w:lvlText w:val="%1）"/>
      <w:lvlJc w:val="left"/>
    </w:lvl>
  </w:abstractNum>
  <w:abstractNum w:abstractNumId="16">
    <w:nsid w:val="6B532E5A"/>
    <w:multiLevelType w:val="singleLevel"/>
    <w:tmpl w:val="6B532E5A"/>
    <w:lvl w:ilvl="0" w:tentative="0">
      <w:start w:val="1"/>
      <w:numFmt w:val="decimal"/>
      <w:suff w:val="nothing"/>
      <w:lvlText w:val="%1、"/>
      <w:lvlJc w:val="left"/>
    </w:lvl>
  </w:abstractNum>
  <w:abstractNum w:abstractNumId="17">
    <w:nsid w:val="7A0F6431"/>
    <w:multiLevelType w:val="singleLevel"/>
    <w:tmpl w:val="7A0F6431"/>
    <w:lvl w:ilvl="0" w:tentative="0">
      <w:start w:val="1"/>
      <w:numFmt w:val="decimal"/>
      <w:suff w:val="space"/>
      <w:lvlText w:val="%1."/>
      <w:lvlJc w:val="left"/>
    </w:lvl>
  </w:abstractNum>
  <w:num w:numId="1">
    <w:abstractNumId w:val="2"/>
  </w:num>
  <w:num w:numId="2">
    <w:abstractNumId w:val="11"/>
  </w:num>
  <w:num w:numId="3">
    <w:abstractNumId w:val="14"/>
  </w:num>
  <w:num w:numId="4">
    <w:abstractNumId w:val="16"/>
  </w:num>
  <w:num w:numId="5">
    <w:abstractNumId w:val="17"/>
  </w:num>
  <w:num w:numId="6">
    <w:abstractNumId w:val="3"/>
  </w:num>
  <w:num w:numId="7">
    <w:abstractNumId w:val="7"/>
  </w:num>
  <w:num w:numId="8">
    <w:abstractNumId w:val="5"/>
  </w:num>
  <w:num w:numId="9">
    <w:abstractNumId w:val="4"/>
  </w:num>
  <w:num w:numId="10">
    <w:abstractNumId w:val="0"/>
  </w:num>
  <w:num w:numId="11">
    <w:abstractNumId w:val="6"/>
  </w:num>
  <w:num w:numId="12">
    <w:abstractNumId w:val="8"/>
  </w:num>
  <w:num w:numId="13">
    <w:abstractNumId w:val="9"/>
  </w:num>
  <w:num w:numId="14">
    <w:abstractNumId w:val="1"/>
  </w:num>
  <w:num w:numId="15">
    <w:abstractNumId w:val="15"/>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N2FmMDc4MDRjMTdhODA5NGY1MDdmZTA2N2VkZDYifQ=="/>
    <w:docVar w:name="KSO_WPS_MARK_KEY" w:val="d6aec87a-5986-4835-8e6a-0a71edaadd49"/>
  </w:docVars>
  <w:rsids>
    <w:rsidRoot w:val="00B57F9F"/>
    <w:rsid w:val="00017030"/>
    <w:rsid w:val="00024E93"/>
    <w:rsid w:val="0004673E"/>
    <w:rsid w:val="00050AD2"/>
    <w:rsid w:val="000517F0"/>
    <w:rsid w:val="00051DB7"/>
    <w:rsid w:val="0005705E"/>
    <w:rsid w:val="00060E6E"/>
    <w:rsid w:val="000A6C6A"/>
    <w:rsid w:val="000E1E8C"/>
    <w:rsid w:val="000E59D3"/>
    <w:rsid w:val="000E791B"/>
    <w:rsid w:val="0010754C"/>
    <w:rsid w:val="00132854"/>
    <w:rsid w:val="001702EB"/>
    <w:rsid w:val="001803BF"/>
    <w:rsid w:val="001836F3"/>
    <w:rsid w:val="0018593D"/>
    <w:rsid w:val="001C326C"/>
    <w:rsid w:val="001D72C9"/>
    <w:rsid w:val="001E0782"/>
    <w:rsid w:val="001E5CFB"/>
    <w:rsid w:val="00203CE5"/>
    <w:rsid w:val="002072E5"/>
    <w:rsid w:val="00210D8B"/>
    <w:rsid w:val="00215998"/>
    <w:rsid w:val="0023571D"/>
    <w:rsid w:val="00253916"/>
    <w:rsid w:val="00255816"/>
    <w:rsid w:val="002675C7"/>
    <w:rsid w:val="00270BE1"/>
    <w:rsid w:val="00306B36"/>
    <w:rsid w:val="00325A89"/>
    <w:rsid w:val="003333C2"/>
    <w:rsid w:val="003814FC"/>
    <w:rsid w:val="00386118"/>
    <w:rsid w:val="003923D3"/>
    <w:rsid w:val="00396C86"/>
    <w:rsid w:val="00397958"/>
    <w:rsid w:val="003B489C"/>
    <w:rsid w:val="003B7514"/>
    <w:rsid w:val="003D5FBA"/>
    <w:rsid w:val="003E1DF7"/>
    <w:rsid w:val="003E626E"/>
    <w:rsid w:val="003F3453"/>
    <w:rsid w:val="003F7242"/>
    <w:rsid w:val="00410E2C"/>
    <w:rsid w:val="00417558"/>
    <w:rsid w:val="00444AAE"/>
    <w:rsid w:val="0044503D"/>
    <w:rsid w:val="004B2D41"/>
    <w:rsid w:val="004C1BF8"/>
    <w:rsid w:val="004D4B6F"/>
    <w:rsid w:val="004E1417"/>
    <w:rsid w:val="004E3B1F"/>
    <w:rsid w:val="004E5B04"/>
    <w:rsid w:val="005063BE"/>
    <w:rsid w:val="005144F8"/>
    <w:rsid w:val="005159F8"/>
    <w:rsid w:val="005367C0"/>
    <w:rsid w:val="00571E9C"/>
    <w:rsid w:val="00575E0F"/>
    <w:rsid w:val="00587D65"/>
    <w:rsid w:val="00597881"/>
    <w:rsid w:val="00597C74"/>
    <w:rsid w:val="005D5BC8"/>
    <w:rsid w:val="005E4826"/>
    <w:rsid w:val="005F0FC9"/>
    <w:rsid w:val="0062056A"/>
    <w:rsid w:val="0062752D"/>
    <w:rsid w:val="006411C8"/>
    <w:rsid w:val="00646ACA"/>
    <w:rsid w:val="00646CFB"/>
    <w:rsid w:val="00666673"/>
    <w:rsid w:val="00674E22"/>
    <w:rsid w:val="00674FC4"/>
    <w:rsid w:val="00683E69"/>
    <w:rsid w:val="00690946"/>
    <w:rsid w:val="00697424"/>
    <w:rsid w:val="006B21C5"/>
    <w:rsid w:val="006C2330"/>
    <w:rsid w:val="006C2B72"/>
    <w:rsid w:val="006C678A"/>
    <w:rsid w:val="006D43EC"/>
    <w:rsid w:val="006E1EAF"/>
    <w:rsid w:val="006E6919"/>
    <w:rsid w:val="007121E2"/>
    <w:rsid w:val="00712829"/>
    <w:rsid w:val="0071292D"/>
    <w:rsid w:val="00713EF1"/>
    <w:rsid w:val="00720B6C"/>
    <w:rsid w:val="00734DC5"/>
    <w:rsid w:val="007615F7"/>
    <w:rsid w:val="0077427C"/>
    <w:rsid w:val="00774684"/>
    <w:rsid w:val="00780372"/>
    <w:rsid w:val="00797913"/>
    <w:rsid w:val="007A2B52"/>
    <w:rsid w:val="007C2B98"/>
    <w:rsid w:val="007C65E8"/>
    <w:rsid w:val="007D0367"/>
    <w:rsid w:val="007D5AF6"/>
    <w:rsid w:val="00814342"/>
    <w:rsid w:val="008202B3"/>
    <w:rsid w:val="008226CE"/>
    <w:rsid w:val="00846041"/>
    <w:rsid w:val="0086622D"/>
    <w:rsid w:val="00871A34"/>
    <w:rsid w:val="008754CC"/>
    <w:rsid w:val="0088183C"/>
    <w:rsid w:val="00897677"/>
    <w:rsid w:val="008A5234"/>
    <w:rsid w:val="008C7049"/>
    <w:rsid w:val="008C71D4"/>
    <w:rsid w:val="008E342C"/>
    <w:rsid w:val="008E3C81"/>
    <w:rsid w:val="008E44EE"/>
    <w:rsid w:val="008E508E"/>
    <w:rsid w:val="008F71A1"/>
    <w:rsid w:val="00903A8B"/>
    <w:rsid w:val="00906585"/>
    <w:rsid w:val="00921151"/>
    <w:rsid w:val="009313A3"/>
    <w:rsid w:val="00932D26"/>
    <w:rsid w:val="0094438C"/>
    <w:rsid w:val="00963F4C"/>
    <w:rsid w:val="0098697D"/>
    <w:rsid w:val="00994883"/>
    <w:rsid w:val="009C36CA"/>
    <w:rsid w:val="009E4E43"/>
    <w:rsid w:val="009F0010"/>
    <w:rsid w:val="00A37299"/>
    <w:rsid w:val="00A463F6"/>
    <w:rsid w:val="00A50038"/>
    <w:rsid w:val="00A73262"/>
    <w:rsid w:val="00A86E14"/>
    <w:rsid w:val="00A96BDD"/>
    <w:rsid w:val="00AB5150"/>
    <w:rsid w:val="00AB6F9C"/>
    <w:rsid w:val="00B2110E"/>
    <w:rsid w:val="00B42BE8"/>
    <w:rsid w:val="00B57F9F"/>
    <w:rsid w:val="00B76786"/>
    <w:rsid w:val="00B9348C"/>
    <w:rsid w:val="00B93736"/>
    <w:rsid w:val="00BA0D20"/>
    <w:rsid w:val="00BA7A3B"/>
    <w:rsid w:val="00BB16A0"/>
    <w:rsid w:val="00BD29BF"/>
    <w:rsid w:val="00BD7A9C"/>
    <w:rsid w:val="00BF2CA2"/>
    <w:rsid w:val="00C07316"/>
    <w:rsid w:val="00C22DEA"/>
    <w:rsid w:val="00C377BB"/>
    <w:rsid w:val="00C464B9"/>
    <w:rsid w:val="00C47548"/>
    <w:rsid w:val="00C63035"/>
    <w:rsid w:val="00C75FCA"/>
    <w:rsid w:val="00CA15DA"/>
    <w:rsid w:val="00CC664A"/>
    <w:rsid w:val="00CD1357"/>
    <w:rsid w:val="00CD3536"/>
    <w:rsid w:val="00CD7336"/>
    <w:rsid w:val="00D00C40"/>
    <w:rsid w:val="00D268C3"/>
    <w:rsid w:val="00D35CF4"/>
    <w:rsid w:val="00D7779C"/>
    <w:rsid w:val="00DA015D"/>
    <w:rsid w:val="00DC72F8"/>
    <w:rsid w:val="00DD1589"/>
    <w:rsid w:val="00DD15F5"/>
    <w:rsid w:val="00E20BC1"/>
    <w:rsid w:val="00E60C99"/>
    <w:rsid w:val="00E8170D"/>
    <w:rsid w:val="00E8650D"/>
    <w:rsid w:val="00E87637"/>
    <w:rsid w:val="00E96BDE"/>
    <w:rsid w:val="00EB6CF8"/>
    <w:rsid w:val="00EC3747"/>
    <w:rsid w:val="00EC4F50"/>
    <w:rsid w:val="00ED3692"/>
    <w:rsid w:val="00F02C3C"/>
    <w:rsid w:val="00F22D08"/>
    <w:rsid w:val="00F34ECF"/>
    <w:rsid w:val="00F40C63"/>
    <w:rsid w:val="00F41DED"/>
    <w:rsid w:val="00F44504"/>
    <w:rsid w:val="00F5654C"/>
    <w:rsid w:val="00F8302A"/>
    <w:rsid w:val="00F83F2F"/>
    <w:rsid w:val="00F95D0B"/>
    <w:rsid w:val="00FA32AD"/>
    <w:rsid w:val="00FA3664"/>
    <w:rsid w:val="00FE57EB"/>
    <w:rsid w:val="013D2DA5"/>
    <w:rsid w:val="017378E5"/>
    <w:rsid w:val="017546F1"/>
    <w:rsid w:val="01BD47B4"/>
    <w:rsid w:val="02104022"/>
    <w:rsid w:val="02227445"/>
    <w:rsid w:val="02693733"/>
    <w:rsid w:val="02936A01"/>
    <w:rsid w:val="02A943FD"/>
    <w:rsid w:val="034D4AFA"/>
    <w:rsid w:val="03555A65"/>
    <w:rsid w:val="03640E6E"/>
    <w:rsid w:val="0370464D"/>
    <w:rsid w:val="03B10EED"/>
    <w:rsid w:val="040C25C7"/>
    <w:rsid w:val="04137DFA"/>
    <w:rsid w:val="045E5F29"/>
    <w:rsid w:val="04640655"/>
    <w:rsid w:val="04C53F44"/>
    <w:rsid w:val="04D30E98"/>
    <w:rsid w:val="04D65ADE"/>
    <w:rsid w:val="04FE13F4"/>
    <w:rsid w:val="052102F4"/>
    <w:rsid w:val="054F4E62"/>
    <w:rsid w:val="05FD666C"/>
    <w:rsid w:val="0616772D"/>
    <w:rsid w:val="07034156"/>
    <w:rsid w:val="074E29DE"/>
    <w:rsid w:val="074E5725"/>
    <w:rsid w:val="076D0AA2"/>
    <w:rsid w:val="07AA637F"/>
    <w:rsid w:val="07FF20AC"/>
    <w:rsid w:val="0808616E"/>
    <w:rsid w:val="08887E73"/>
    <w:rsid w:val="08901A19"/>
    <w:rsid w:val="09287EA3"/>
    <w:rsid w:val="099F5C8C"/>
    <w:rsid w:val="0A011AB1"/>
    <w:rsid w:val="0A8C4462"/>
    <w:rsid w:val="0AA57C80"/>
    <w:rsid w:val="0AB127F3"/>
    <w:rsid w:val="0AD6392F"/>
    <w:rsid w:val="0B093D05"/>
    <w:rsid w:val="0B1D3123"/>
    <w:rsid w:val="0C160487"/>
    <w:rsid w:val="0C3F4DDE"/>
    <w:rsid w:val="0CCA7E33"/>
    <w:rsid w:val="0CFB767D"/>
    <w:rsid w:val="0D1644B7"/>
    <w:rsid w:val="0D230411"/>
    <w:rsid w:val="0DD405FA"/>
    <w:rsid w:val="0DF605D7"/>
    <w:rsid w:val="0E666E1D"/>
    <w:rsid w:val="0F661726"/>
    <w:rsid w:val="0F6E6C8E"/>
    <w:rsid w:val="0F801082"/>
    <w:rsid w:val="0FAC4C5F"/>
    <w:rsid w:val="0FD04DF1"/>
    <w:rsid w:val="0FE34B24"/>
    <w:rsid w:val="0FF54858"/>
    <w:rsid w:val="10335006"/>
    <w:rsid w:val="103A670E"/>
    <w:rsid w:val="108005C5"/>
    <w:rsid w:val="10DD27DA"/>
    <w:rsid w:val="110A6481"/>
    <w:rsid w:val="1162736D"/>
    <w:rsid w:val="116F4196"/>
    <w:rsid w:val="11A7392F"/>
    <w:rsid w:val="11B77E8A"/>
    <w:rsid w:val="11BD75F7"/>
    <w:rsid w:val="121E232E"/>
    <w:rsid w:val="12217B86"/>
    <w:rsid w:val="123A0C48"/>
    <w:rsid w:val="125C6E10"/>
    <w:rsid w:val="127B55C6"/>
    <w:rsid w:val="13024052"/>
    <w:rsid w:val="13CA4AD7"/>
    <w:rsid w:val="141D2DDE"/>
    <w:rsid w:val="148937C0"/>
    <w:rsid w:val="14CC338B"/>
    <w:rsid w:val="14EE2C86"/>
    <w:rsid w:val="15291F0A"/>
    <w:rsid w:val="16D162EC"/>
    <w:rsid w:val="172A0036"/>
    <w:rsid w:val="175E7186"/>
    <w:rsid w:val="1767603B"/>
    <w:rsid w:val="178070FD"/>
    <w:rsid w:val="17865BED"/>
    <w:rsid w:val="1787048B"/>
    <w:rsid w:val="17A9688A"/>
    <w:rsid w:val="18412030"/>
    <w:rsid w:val="1890336F"/>
    <w:rsid w:val="18AC5CCF"/>
    <w:rsid w:val="18CE3E98"/>
    <w:rsid w:val="18EB32E8"/>
    <w:rsid w:val="18EE5449"/>
    <w:rsid w:val="19106433"/>
    <w:rsid w:val="19202945"/>
    <w:rsid w:val="19834C82"/>
    <w:rsid w:val="1998697F"/>
    <w:rsid w:val="199E1ABC"/>
    <w:rsid w:val="19F44E85"/>
    <w:rsid w:val="1A53359D"/>
    <w:rsid w:val="1AE300CE"/>
    <w:rsid w:val="1B041DF3"/>
    <w:rsid w:val="1B216501"/>
    <w:rsid w:val="1BF65BDF"/>
    <w:rsid w:val="1C0E564A"/>
    <w:rsid w:val="1D091942"/>
    <w:rsid w:val="1DA11B7B"/>
    <w:rsid w:val="1E026ABD"/>
    <w:rsid w:val="1E5906A7"/>
    <w:rsid w:val="1F6115C2"/>
    <w:rsid w:val="1F6F0182"/>
    <w:rsid w:val="1F7E6617"/>
    <w:rsid w:val="1F9A3AB8"/>
    <w:rsid w:val="1FAE057F"/>
    <w:rsid w:val="1FF92934"/>
    <w:rsid w:val="20541126"/>
    <w:rsid w:val="207277FE"/>
    <w:rsid w:val="20AA51EA"/>
    <w:rsid w:val="20D94571"/>
    <w:rsid w:val="20E61D29"/>
    <w:rsid w:val="211068FF"/>
    <w:rsid w:val="21466170"/>
    <w:rsid w:val="21690C01"/>
    <w:rsid w:val="21A63C04"/>
    <w:rsid w:val="21B24356"/>
    <w:rsid w:val="21B75E11"/>
    <w:rsid w:val="220B656A"/>
    <w:rsid w:val="223E085B"/>
    <w:rsid w:val="22561186"/>
    <w:rsid w:val="22D8603F"/>
    <w:rsid w:val="232C1EE7"/>
    <w:rsid w:val="236E0751"/>
    <w:rsid w:val="23957A8C"/>
    <w:rsid w:val="24082954"/>
    <w:rsid w:val="241A4435"/>
    <w:rsid w:val="241E3F25"/>
    <w:rsid w:val="24D80578"/>
    <w:rsid w:val="25201F1F"/>
    <w:rsid w:val="25C573EF"/>
    <w:rsid w:val="26521638"/>
    <w:rsid w:val="267E6EFD"/>
    <w:rsid w:val="27037402"/>
    <w:rsid w:val="271C2272"/>
    <w:rsid w:val="273175A3"/>
    <w:rsid w:val="2778394C"/>
    <w:rsid w:val="283A50A6"/>
    <w:rsid w:val="28B135BA"/>
    <w:rsid w:val="28B8194A"/>
    <w:rsid w:val="291A3F91"/>
    <w:rsid w:val="29905786"/>
    <w:rsid w:val="29CE5AA6"/>
    <w:rsid w:val="2A043D7C"/>
    <w:rsid w:val="2AD56B06"/>
    <w:rsid w:val="2B004385"/>
    <w:rsid w:val="2B430F56"/>
    <w:rsid w:val="2B520958"/>
    <w:rsid w:val="2B7D2E6A"/>
    <w:rsid w:val="2B9E76FA"/>
    <w:rsid w:val="2BDD22AB"/>
    <w:rsid w:val="2BEC4909"/>
    <w:rsid w:val="2BED6380"/>
    <w:rsid w:val="2C097269"/>
    <w:rsid w:val="2C341A3C"/>
    <w:rsid w:val="2C5A1872"/>
    <w:rsid w:val="2C6170A5"/>
    <w:rsid w:val="2C6F5308"/>
    <w:rsid w:val="2C8763E0"/>
    <w:rsid w:val="2CEF46B1"/>
    <w:rsid w:val="2D047A30"/>
    <w:rsid w:val="2D534135"/>
    <w:rsid w:val="2D5E35E4"/>
    <w:rsid w:val="2D652BC5"/>
    <w:rsid w:val="2D8D3ECA"/>
    <w:rsid w:val="2D940DB4"/>
    <w:rsid w:val="2E431FEF"/>
    <w:rsid w:val="2E6115DE"/>
    <w:rsid w:val="2E933762"/>
    <w:rsid w:val="2EA05634"/>
    <w:rsid w:val="2EF85BE8"/>
    <w:rsid w:val="2F126434"/>
    <w:rsid w:val="2F4B5DEA"/>
    <w:rsid w:val="2FA33530"/>
    <w:rsid w:val="2FF15726"/>
    <w:rsid w:val="308A0377"/>
    <w:rsid w:val="30E444C7"/>
    <w:rsid w:val="31191C5C"/>
    <w:rsid w:val="317E519C"/>
    <w:rsid w:val="318F6462"/>
    <w:rsid w:val="31961E90"/>
    <w:rsid w:val="320C4BB5"/>
    <w:rsid w:val="32236BAB"/>
    <w:rsid w:val="324C70CC"/>
    <w:rsid w:val="32851613"/>
    <w:rsid w:val="32A0405F"/>
    <w:rsid w:val="32A744CA"/>
    <w:rsid w:val="32B06690"/>
    <w:rsid w:val="3328091C"/>
    <w:rsid w:val="3350577D"/>
    <w:rsid w:val="3381627F"/>
    <w:rsid w:val="33945FB2"/>
    <w:rsid w:val="33A1247D"/>
    <w:rsid w:val="33AF6948"/>
    <w:rsid w:val="33BC1065"/>
    <w:rsid w:val="33D377E9"/>
    <w:rsid w:val="33F20F2A"/>
    <w:rsid w:val="34164C19"/>
    <w:rsid w:val="348222AE"/>
    <w:rsid w:val="34AC10D9"/>
    <w:rsid w:val="34FB796B"/>
    <w:rsid w:val="35146F8F"/>
    <w:rsid w:val="35380BBF"/>
    <w:rsid w:val="356D6ABA"/>
    <w:rsid w:val="35B04BF9"/>
    <w:rsid w:val="366A4DA8"/>
    <w:rsid w:val="36FD5C1C"/>
    <w:rsid w:val="37AE28BD"/>
    <w:rsid w:val="37B7226F"/>
    <w:rsid w:val="37CE7466"/>
    <w:rsid w:val="382673F4"/>
    <w:rsid w:val="38750AF9"/>
    <w:rsid w:val="3894435E"/>
    <w:rsid w:val="38A3458D"/>
    <w:rsid w:val="38EC419A"/>
    <w:rsid w:val="39BF365D"/>
    <w:rsid w:val="39CE38A0"/>
    <w:rsid w:val="39D8471E"/>
    <w:rsid w:val="39F975C6"/>
    <w:rsid w:val="3A184BB9"/>
    <w:rsid w:val="3A45431D"/>
    <w:rsid w:val="3A717272"/>
    <w:rsid w:val="3AEE6F2E"/>
    <w:rsid w:val="3B464036"/>
    <w:rsid w:val="3B697D24"/>
    <w:rsid w:val="3BAA5C47"/>
    <w:rsid w:val="3BB07701"/>
    <w:rsid w:val="3BD43417"/>
    <w:rsid w:val="3BF2576E"/>
    <w:rsid w:val="3C1C2728"/>
    <w:rsid w:val="3C3316C1"/>
    <w:rsid w:val="3C7544A7"/>
    <w:rsid w:val="3CC72F54"/>
    <w:rsid w:val="3CF34B2B"/>
    <w:rsid w:val="3CFB4907"/>
    <w:rsid w:val="3D000214"/>
    <w:rsid w:val="3D581DFE"/>
    <w:rsid w:val="3D6D13E7"/>
    <w:rsid w:val="3DAB4624"/>
    <w:rsid w:val="3DFD4754"/>
    <w:rsid w:val="3E187F3C"/>
    <w:rsid w:val="3E391C30"/>
    <w:rsid w:val="3EB93A55"/>
    <w:rsid w:val="3EE85404"/>
    <w:rsid w:val="3EF06066"/>
    <w:rsid w:val="3EF618CF"/>
    <w:rsid w:val="3EFC1EE1"/>
    <w:rsid w:val="3F8B767F"/>
    <w:rsid w:val="3F8E5FAB"/>
    <w:rsid w:val="3FFC3119"/>
    <w:rsid w:val="40160F52"/>
    <w:rsid w:val="40384169"/>
    <w:rsid w:val="408B3180"/>
    <w:rsid w:val="409D6AF8"/>
    <w:rsid w:val="409E548D"/>
    <w:rsid w:val="40CF687B"/>
    <w:rsid w:val="4110479E"/>
    <w:rsid w:val="41B37A4C"/>
    <w:rsid w:val="41C07F72"/>
    <w:rsid w:val="41CE268F"/>
    <w:rsid w:val="41E225DE"/>
    <w:rsid w:val="424D3EFC"/>
    <w:rsid w:val="42852710"/>
    <w:rsid w:val="429050A7"/>
    <w:rsid w:val="432A3029"/>
    <w:rsid w:val="43963680"/>
    <w:rsid w:val="441822E7"/>
    <w:rsid w:val="44583533"/>
    <w:rsid w:val="4489721C"/>
    <w:rsid w:val="44A678F3"/>
    <w:rsid w:val="45737CEA"/>
    <w:rsid w:val="45F222FB"/>
    <w:rsid w:val="45F75C0A"/>
    <w:rsid w:val="45FC57E8"/>
    <w:rsid w:val="46146ADE"/>
    <w:rsid w:val="46933EA7"/>
    <w:rsid w:val="469F0A9E"/>
    <w:rsid w:val="46E14C12"/>
    <w:rsid w:val="471054F8"/>
    <w:rsid w:val="4740402F"/>
    <w:rsid w:val="47621DD8"/>
    <w:rsid w:val="4845296E"/>
    <w:rsid w:val="484C07B1"/>
    <w:rsid w:val="493F3E72"/>
    <w:rsid w:val="49A308A5"/>
    <w:rsid w:val="49D00F6E"/>
    <w:rsid w:val="49EB7B56"/>
    <w:rsid w:val="49F34002"/>
    <w:rsid w:val="49FD6207"/>
    <w:rsid w:val="4A1F69DE"/>
    <w:rsid w:val="4A5E5E4D"/>
    <w:rsid w:val="4A671F9C"/>
    <w:rsid w:val="4AF40C8C"/>
    <w:rsid w:val="4B481704"/>
    <w:rsid w:val="4BFD4DBE"/>
    <w:rsid w:val="4C082C41"/>
    <w:rsid w:val="4C26756B"/>
    <w:rsid w:val="4C767364"/>
    <w:rsid w:val="4CA73472"/>
    <w:rsid w:val="4DAB37EF"/>
    <w:rsid w:val="4DC4528E"/>
    <w:rsid w:val="4EB55699"/>
    <w:rsid w:val="4F495A4B"/>
    <w:rsid w:val="4F657FAC"/>
    <w:rsid w:val="4F6E60DE"/>
    <w:rsid w:val="4FF92165"/>
    <w:rsid w:val="502F4C40"/>
    <w:rsid w:val="5051105B"/>
    <w:rsid w:val="5062775E"/>
    <w:rsid w:val="50D91050"/>
    <w:rsid w:val="50E74D02"/>
    <w:rsid w:val="51002139"/>
    <w:rsid w:val="51112598"/>
    <w:rsid w:val="514E7348"/>
    <w:rsid w:val="515F70AD"/>
    <w:rsid w:val="51910BBF"/>
    <w:rsid w:val="51A4787B"/>
    <w:rsid w:val="51CB6BEB"/>
    <w:rsid w:val="51EE28D9"/>
    <w:rsid w:val="51F44B26"/>
    <w:rsid w:val="52C70F60"/>
    <w:rsid w:val="53142E77"/>
    <w:rsid w:val="532145E9"/>
    <w:rsid w:val="532760A3"/>
    <w:rsid w:val="53334A48"/>
    <w:rsid w:val="53634EA1"/>
    <w:rsid w:val="54041F40"/>
    <w:rsid w:val="544F728A"/>
    <w:rsid w:val="54711894"/>
    <w:rsid w:val="54774E08"/>
    <w:rsid w:val="54857300"/>
    <w:rsid w:val="54D36B66"/>
    <w:rsid w:val="54E605DF"/>
    <w:rsid w:val="54F75F49"/>
    <w:rsid w:val="54FB77E7"/>
    <w:rsid w:val="5507618C"/>
    <w:rsid w:val="55290286"/>
    <w:rsid w:val="55630EE8"/>
    <w:rsid w:val="558A46C7"/>
    <w:rsid w:val="55D63DB0"/>
    <w:rsid w:val="56A25A40"/>
    <w:rsid w:val="56A95021"/>
    <w:rsid w:val="56C854A7"/>
    <w:rsid w:val="56FA5424"/>
    <w:rsid w:val="575651A9"/>
    <w:rsid w:val="578D66F1"/>
    <w:rsid w:val="57D310E8"/>
    <w:rsid w:val="582157B7"/>
    <w:rsid w:val="582E7A95"/>
    <w:rsid w:val="58CF671F"/>
    <w:rsid w:val="58FC1D80"/>
    <w:rsid w:val="595B312C"/>
    <w:rsid w:val="5967369D"/>
    <w:rsid w:val="596E1243"/>
    <w:rsid w:val="59837DAB"/>
    <w:rsid w:val="59A246D5"/>
    <w:rsid w:val="59F36CDF"/>
    <w:rsid w:val="5A753B98"/>
    <w:rsid w:val="5ADB07F7"/>
    <w:rsid w:val="5B61411C"/>
    <w:rsid w:val="5BB57FC4"/>
    <w:rsid w:val="5BD45AB7"/>
    <w:rsid w:val="5BF84160"/>
    <w:rsid w:val="5C25514A"/>
    <w:rsid w:val="5CF756C5"/>
    <w:rsid w:val="5D05249E"/>
    <w:rsid w:val="5D2F3B90"/>
    <w:rsid w:val="5E4D2736"/>
    <w:rsid w:val="5E8048B9"/>
    <w:rsid w:val="5F1F0DB8"/>
    <w:rsid w:val="5F712FE4"/>
    <w:rsid w:val="5FFA3EF7"/>
    <w:rsid w:val="604D2A5C"/>
    <w:rsid w:val="60D317FB"/>
    <w:rsid w:val="610C0686"/>
    <w:rsid w:val="616B35FF"/>
    <w:rsid w:val="61A134C4"/>
    <w:rsid w:val="61D07906"/>
    <w:rsid w:val="620D46B6"/>
    <w:rsid w:val="62606EDB"/>
    <w:rsid w:val="627D5043"/>
    <w:rsid w:val="62B114E5"/>
    <w:rsid w:val="631C4893"/>
    <w:rsid w:val="64C43F99"/>
    <w:rsid w:val="650A5824"/>
    <w:rsid w:val="652A6620"/>
    <w:rsid w:val="652C12F7"/>
    <w:rsid w:val="654020D2"/>
    <w:rsid w:val="6589499B"/>
    <w:rsid w:val="65BC3F1F"/>
    <w:rsid w:val="65BC4C3F"/>
    <w:rsid w:val="661F0E5C"/>
    <w:rsid w:val="663A3EE7"/>
    <w:rsid w:val="6660394E"/>
    <w:rsid w:val="6663343E"/>
    <w:rsid w:val="66BA551E"/>
    <w:rsid w:val="672506F4"/>
    <w:rsid w:val="672B3D25"/>
    <w:rsid w:val="67CA01E6"/>
    <w:rsid w:val="68437B8A"/>
    <w:rsid w:val="68547D5F"/>
    <w:rsid w:val="68994EF5"/>
    <w:rsid w:val="68F42A0B"/>
    <w:rsid w:val="68FB795E"/>
    <w:rsid w:val="699F653B"/>
    <w:rsid w:val="69E26AA4"/>
    <w:rsid w:val="69FC398E"/>
    <w:rsid w:val="6A4946F9"/>
    <w:rsid w:val="6A802962"/>
    <w:rsid w:val="6A841BD5"/>
    <w:rsid w:val="6A883473"/>
    <w:rsid w:val="6B4F3F91"/>
    <w:rsid w:val="6BE5218E"/>
    <w:rsid w:val="6C944351"/>
    <w:rsid w:val="6D0A2DB0"/>
    <w:rsid w:val="6DB602F7"/>
    <w:rsid w:val="6DB66549"/>
    <w:rsid w:val="6DE5298B"/>
    <w:rsid w:val="6E094AD1"/>
    <w:rsid w:val="6E8421A4"/>
    <w:rsid w:val="6E9248C1"/>
    <w:rsid w:val="6E9E14B7"/>
    <w:rsid w:val="6EC66318"/>
    <w:rsid w:val="6F1572A0"/>
    <w:rsid w:val="6F457B85"/>
    <w:rsid w:val="6FBD390E"/>
    <w:rsid w:val="711E68DF"/>
    <w:rsid w:val="711F02B5"/>
    <w:rsid w:val="712B16AC"/>
    <w:rsid w:val="712F5197"/>
    <w:rsid w:val="71380BB3"/>
    <w:rsid w:val="71BF6E1C"/>
    <w:rsid w:val="720A4A35"/>
    <w:rsid w:val="72611118"/>
    <w:rsid w:val="72C214EC"/>
    <w:rsid w:val="72D82ABE"/>
    <w:rsid w:val="732405D2"/>
    <w:rsid w:val="7347049E"/>
    <w:rsid w:val="73C372CA"/>
    <w:rsid w:val="73E93F75"/>
    <w:rsid w:val="73F559BF"/>
    <w:rsid w:val="740B21FC"/>
    <w:rsid w:val="74245A1D"/>
    <w:rsid w:val="742A7ABE"/>
    <w:rsid w:val="74996FAB"/>
    <w:rsid w:val="74CB28DA"/>
    <w:rsid w:val="751B2138"/>
    <w:rsid w:val="754B57C9"/>
    <w:rsid w:val="75526B58"/>
    <w:rsid w:val="75AC48DF"/>
    <w:rsid w:val="75F8708D"/>
    <w:rsid w:val="764C53C8"/>
    <w:rsid w:val="76703DCC"/>
    <w:rsid w:val="77472401"/>
    <w:rsid w:val="776B3F01"/>
    <w:rsid w:val="77763B50"/>
    <w:rsid w:val="77764653"/>
    <w:rsid w:val="7782124A"/>
    <w:rsid w:val="77F14A67"/>
    <w:rsid w:val="781B5927"/>
    <w:rsid w:val="78332888"/>
    <w:rsid w:val="78434E7D"/>
    <w:rsid w:val="78480C42"/>
    <w:rsid w:val="78E94DC9"/>
    <w:rsid w:val="78F60B39"/>
    <w:rsid w:val="794C5FB4"/>
    <w:rsid w:val="79F00974"/>
    <w:rsid w:val="79F24465"/>
    <w:rsid w:val="7A1C5986"/>
    <w:rsid w:val="7A3C3434"/>
    <w:rsid w:val="7A401D4D"/>
    <w:rsid w:val="7A9674E6"/>
    <w:rsid w:val="7B0A0BBE"/>
    <w:rsid w:val="7B2F4F94"/>
    <w:rsid w:val="7B92448A"/>
    <w:rsid w:val="7C18217D"/>
    <w:rsid w:val="7C2A25DC"/>
    <w:rsid w:val="7C386EDB"/>
    <w:rsid w:val="7C3D3540"/>
    <w:rsid w:val="7CA67789"/>
    <w:rsid w:val="7CBB6517"/>
    <w:rsid w:val="7CE00EED"/>
    <w:rsid w:val="7CE65DD7"/>
    <w:rsid w:val="7E712E23"/>
    <w:rsid w:val="7FDB3BED"/>
    <w:rsid w:val="7FE707E4"/>
    <w:rsid w:val="7FE94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6"/>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link w:val="263"/>
    <w:qFormat/>
    <w:uiPriority w:val="99"/>
    <w:pPr>
      <w:spacing w:line="480" w:lineRule="exact"/>
      <w:ind w:firstLine="480" w:firstLineChars="200"/>
    </w:pPr>
    <w:rPr>
      <w:rFonts w:ascii="宋体" w:hAnsi="宋体"/>
      <w:sz w:val="24"/>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4"/>
    <w:link w:val="319"/>
    <w:qFormat/>
    <w:uiPriority w:val="0"/>
    <w:pPr>
      <w:ind w:firstLine="420"/>
    </w:pPr>
    <w:rPr>
      <w:rFonts w:hAnsi="Calibri" w:cs="Times New Roman"/>
      <w:snapToGrid/>
      <w:szCs w:val="20"/>
    </w:rPr>
  </w:style>
  <w:style w:type="paragraph" w:styleId="61">
    <w:name w:val="Body Text First Indent 2"/>
    <w:basedOn w:val="2"/>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2c208e49-9164-4116-9474-e74b40fd8194"/>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_02842eb6-dba6-4068-ad14-e833272a8841"/>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1c4852db-8b12-4cfe-afc3-f049291e91da"/>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b413e9df-543a-4891-996e-5bb34760cf9e"/>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99"/>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4级"/>
    <w:basedOn w:val="1"/>
    <w:qFormat/>
    <w:uiPriority w:val="0"/>
    <w:pPr>
      <w:keepNext/>
      <w:keepLines/>
      <w:spacing w:line="312" w:lineRule="auto"/>
      <w:outlineLvl w:val="3"/>
    </w:pPr>
    <w:rPr>
      <w:rFonts w:ascii="Arial" w:hAnsi="Arial"/>
      <w:b/>
      <w:bCs/>
      <w:sz w:val="28"/>
      <w:szCs w:val="32"/>
    </w:rPr>
  </w:style>
  <w:style w:type="paragraph" w:customStyle="1" w:styleId="964">
    <w:name w:val="_正文"/>
    <w:basedOn w:val="1"/>
    <w:qFormat/>
    <w:uiPriority w:val="0"/>
    <w:pPr>
      <w:ind w:firstLine="560" w:firstLineChars="200"/>
    </w:pPr>
    <w:rPr>
      <w:rFonts w:ascii="宋体" w:hAnsi="宋体"/>
      <w:sz w:val="28"/>
      <w:szCs w:val="28"/>
    </w:rPr>
  </w:style>
  <w:style w:type="paragraph" w:customStyle="1" w:styleId="965">
    <w:name w:val="表格正文"/>
    <w:basedOn w:val="1"/>
    <w:qFormat/>
    <w:uiPriority w:val="0"/>
    <w:pPr>
      <w:widowControl/>
      <w:jc w:val="center"/>
    </w:pPr>
    <w:rPr>
      <w:rFonts w:hint="eastAsia" w:ascii="宋体" w:hAnsi="宋体"/>
      <w:color w:val="000000"/>
      <w:kern w:val="0"/>
      <w:szCs w:val="21"/>
    </w:rPr>
  </w:style>
  <w:style w:type="paragraph" w:customStyle="1" w:styleId="966">
    <w:name w:val="Revision_6440550c-9e4b-42b2-9eb8-f1ad86716dbf"/>
    <w:qFormat/>
    <w:uiPriority w:val="99"/>
    <w:rPr>
      <w:rFonts w:ascii="Times New Roman" w:hAnsi="Times New Roman" w:eastAsia="宋体" w:cs="Times New Roman"/>
      <w:kern w:val="2"/>
      <w:sz w:val="21"/>
      <w:szCs w:val="24"/>
      <w:lang w:val="en-US" w:eastAsia="zh-CN" w:bidi="ar-SA"/>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一级标题"/>
    <w:basedOn w:val="1"/>
    <w:next w:val="1"/>
    <w:qFormat/>
    <w:uiPriority w:val="0"/>
    <w:pPr>
      <w:adjustRightInd/>
      <w:spacing w:line="360" w:lineRule="auto"/>
      <w:outlineLvl w:val="0"/>
    </w:pPr>
    <w:rPr>
      <w:rFonts w:ascii="仿宋" w:hAnsi="仿宋" w:eastAsia="仿宋" w:cs="仿宋_GB2312"/>
      <w:b/>
      <w:sz w:val="32"/>
    </w:rPr>
  </w:style>
  <w:style w:type="paragraph" w:customStyle="1" w:styleId="969">
    <w:name w:val="正文空2字"/>
    <w:basedOn w:val="97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0">
    <w:name w:val="左对齐正文"/>
    <w:qFormat/>
    <w:uiPriority w:val="99"/>
    <w:rPr>
      <w:rFonts w:ascii="Calibri" w:hAnsi="Calibri" w:eastAsia="仿宋_GB2312" w:cs="Calibri"/>
      <w:kern w:val="2"/>
      <w:sz w:val="32"/>
      <w:szCs w:val="32"/>
      <w:lang w:val="en-US" w:eastAsia="zh-CN" w:bidi="ar-SA"/>
    </w:rPr>
  </w:style>
  <w:style w:type="paragraph" w:customStyle="1" w:styleId="971">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2">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12697</Words>
  <Characters>72376</Characters>
  <Lines>603</Lines>
  <Paragraphs>169</Paragraphs>
  <TotalTime>86</TotalTime>
  <ScaleCrop>false</ScaleCrop>
  <LinksUpToDate>false</LinksUpToDate>
  <CharactersWithSpaces>84904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2025-01-24T14:14:00Z</dcterms:created>
  <dc:creator>c</dc:creator>
  <cp:lastModifiedBy>cby</cp:lastModifiedBy>
  <cp:lastPrinted>2024-11-08T09:41:00Z</cp:lastPrinted>
  <dcterms:modified xsi:type="dcterms:W3CDTF">2025-01-25T07:04:31Z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34D23B6072CD45CBADF8A9B11E570794_13</vt:lpwstr>
  </property>
  <property fmtid="{D5CDD505-2E9C-101B-9397-08002B2CF9AE}" pid="5" name="KSOTemplateDocerSaveRecord">
    <vt:lpwstr>eyJoZGlkIjoiZjQzYWMxYTY4NTY4MGE0MzE4YTc0NmQ4ZWIwODBmNDkiLCJ1c2VySWQiOiI0NDg3MDg0OTkifQ==</vt:lpwstr>
  </property>
</Properties>
</file>